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58CC" w:rsidRDefault="005743F0">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rsidR="005558CC" w:rsidRDefault="005743F0">
      <w:pPr>
        <w:pStyle w:val="NameofActRegPage1"/>
        <w:spacing w:before="3760" w:after="4200"/>
        <w:outlineLvl w:val="0"/>
      </w:pPr>
      <w:r>
        <w:fldChar w:fldCharType="begin"/>
      </w:r>
      <w:r>
        <w:instrText xml:space="preserve"> STYLEREF "Name Of Act/Reg"</w:instrText>
      </w:r>
      <w:r>
        <w:fldChar w:fldCharType="separate"/>
      </w:r>
      <w:r w:rsidR="00B66034">
        <w:rPr>
          <w:noProof/>
        </w:rPr>
        <w:t>Sale of Land Act 1970</w:t>
      </w:r>
      <w:r>
        <w:fldChar w:fldCharType="end"/>
      </w:r>
    </w:p>
    <w:p w:rsidR="005558CC" w:rsidRDefault="005558CC">
      <w:pPr>
        <w:jc w:val="center"/>
        <w:sectPr w:rsidR="005558CC">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rsidR="005558CC" w:rsidRDefault="005743F0">
      <w:pPr>
        <w:pStyle w:val="WA"/>
      </w:pPr>
      <w:r>
        <w:lastRenderedPageBreak/>
        <w:t>Western Australia</w:t>
      </w:r>
    </w:p>
    <w:p w:rsidR="005558CC" w:rsidRDefault="005743F0">
      <w:pPr>
        <w:pStyle w:val="NameofActRegPage1"/>
      </w:pPr>
      <w:r>
        <w:fldChar w:fldCharType="begin"/>
      </w:r>
      <w:r>
        <w:instrText xml:space="preserve"> STYLEREF "Name Of Act/Reg"</w:instrText>
      </w:r>
      <w:r>
        <w:fldChar w:fldCharType="separate"/>
      </w:r>
      <w:r w:rsidR="00B66034">
        <w:rPr>
          <w:noProof/>
        </w:rPr>
        <w:t>Sale of Land Act 1970</w:t>
      </w:r>
      <w:r>
        <w:fldChar w:fldCharType="end"/>
      </w:r>
    </w:p>
    <w:p w:rsidR="005558CC" w:rsidRDefault="005743F0">
      <w:pPr>
        <w:pStyle w:val="Arrangement"/>
      </w:pPr>
      <w:r>
        <w:t>Contents</w:t>
      </w:r>
    </w:p>
    <w:p w:rsidR="00C85007" w:rsidRDefault="005743F0">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C85007">
        <w:t>Part I — Preliminary</w:t>
      </w:r>
    </w:p>
    <w:p w:rsidR="00C85007" w:rsidRDefault="00C85007">
      <w:pPr>
        <w:pStyle w:val="TOC8"/>
        <w:rPr>
          <w:rFonts w:asciiTheme="minorHAnsi" w:eastAsiaTheme="minorEastAsia" w:hAnsiTheme="minorHAnsi" w:cstheme="minorBidi"/>
          <w:szCs w:val="22"/>
        </w:rPr>
      </w:pPr>
      <w:r>
        <w:t>1</w:t>
      </w:r>
      <w:r w:rsidRPr="004D23A8">
        <w:rPr>
          <w:snapToGrid w:val="0"/>
        </w:rPr>
        <w:t>.</w:t>
      </w:r>
      <w:r w:rsidRPr="004D23A8">
        <w:rPr>
          <w:snapToGrid w:val="0"/>
        </w:rPr>
        <w:tab/>
        <w:t>Short title</w:t>
      </w:r>
      <w:r>
        <w:tab/>
      </w:r>
      <w:r>
        <w:fldChar w:fldCharType="begin"/>
      </w:r>
      <w:r>
        <w:instrText xml:space="preserve"> PAGEREF _Toc74735073 \h </w:instrText>
      </w:r>
      <w:r>
        <w:fldChar w:fldCharType="separate"/>
      </w:r>
      <w:r w:rsidR="00B66034">
        <w:t>2</w:t>
      </w:r>
      <w:r>
        <w:fldChar w:fldCharType="end"/>
      </w:r>
    </w:p>
    <w:p w:rsidR="00C85007" w:rsidRDefault="00C85007">
      <w:pPr>
        <w:pStyle w:val="TOC8"/>
        <w:rPr>
          <w:rFonts w:asciiTheme="minorHAnsi" w:eastAsiaTheme="minorEastAsia" w:hAnsiTheme="minorHAnsi" w:cstheme="minorBidi"/>
          <w:szCs w:val="22"/>
        </w:rPr>
      </w:pPr>
      <w:r>
        <w:t>2</w:t>
      </w:r>
      <w:r w:rsidRPr="004D23A8">
        <w:rPr>
          <w:snapToGrid w:val="0"/>
        </w:rPr>
        <w:t>.</w:t>
      </w:r>
      <w:r w:rsidRPr="004D23A8">
        <w:rPr>
          <w:snapToGrid w:val="0"/>
        </w:rPr>
        <w:tab/>
        <w:t>Commencement</w:t>
      </w:r>
      <w:r>
        <w:tab/>
      </w:r>
      <w:r>
        <w:fldChar w:fldCharType="begin"/>
      </w:r>
      <w:r>
        <w:instrText xml:space="preserve"> PAGEREF _Toc74735074 \h </w:instrText>
      </w:r>
      <w:r>
        <w:fldChar w:fldCharType="separate"/>
      </w:r>
      <w:r w:rsidR="00B66034">
        <w:t>2</w:t>
      </w:r>
      <w:r>
        <w:fldChar w:fldCharType="end"/>
      </w:r>
    </w:p>
    <w:p w:rsidR="00C85007" w:rsidRDefault="00C85007">
      <w:pPr>
        <w:pStyle w:val="TOC8"/>
        <w:rPr>
          <w:rFonts w:asciiTheme="minorHAnsi" w:eastAsiaTheme="minorEastAsia" w:hAnsiTheme="minorHAnsi" w:cstheme="minorBidi"/>
          <w:szCs w:val="22"/>
        </w:rPr>
      </w:pPr>
      <w:r>
        <w:t>5</w:t>
      </w:r>
      <w:r w:rsidRPr="004D23A8">
        <w:rPr>
          <w:snapToGrid w:val="0"/>
        </w:rPr>
        <w:t>.</w:t>
      </w:r>
      <w:r w:rsidRPr="004D23A8">
        <w:rPr>
          <w:snapToGrid w:val="0"/>
        </w:rPr>
        <w:tab/>
        <w:t>Interpretation</w:t>
      </w:r>
      <w:r>
        <w:tab/>
      </w:r>
      <w:r>
        <w:fldChar w:fldCharType="begin"/>
      </w:r>
      <w:r>
        <w:instrText xml:space="preserve"> PAGEREF _Toc74735075 \h </w:instrText>
      </w:r>
      <w:r>
        <w:fldChar w:fldCharType="separate"/>
      </w:r>
      <w:r w:rsidR="00B66034">
        <w:t>2</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t>Part II — Sale of land under terms contract</w:t>
      </w:r>
    </w:p>
    <w:p w:rsidR="00C85007" w:rsidRDefault="00C85007">
      <w:pPr>
        <w:pStyle w:val="TOC8"/>
        <w:rPr>
          <w:rFonts w:asciiTheme="minorHAnsi" w:eastAsiaTheme="minorEastAsia" w:hAnsiTheme="minorHAnsi" w:cstheme="minorBidi"/>
          <w:szCs w:val="22"/>
        </w:rPr>
      </w:pPr>
      <w:r>
        <w:t>6</w:t>
      </w:r>
      <w:r w:rsidRPr="004D23A8">
        <w:rPr>
          <w:snapToGrid w:val="0"/>
        </w:rPr>
        <w:t>.</w:t>
      </w:r>
      <w:r w:rsidRPr="004D23A8">
        <w:rPr>
          <w:snapToGrid w:val="0"/>
        </w:rPr>
        <w:tab/>
        <w:t>Restriction on rescission</w:t>
      </w:r>
      <w:r>
        <w:tab/>
      </w:r>
      <w:r>
        <w:fldChar w:fldCharType="begin"/>
      </w:r>
      <w:r>
        <w:instrText xml:space="preserve"> PAGEREF _Toc74735077 \h </w:instrText>
      </w:r>
      <w:r>
        <w:fldChar w:fldCharType="separate"/>
      </w:r>
      <w:r w:rsidR="00B66034">
        <w:t>4</w:t>
      </w:r>
      <w:r>
        <w:fldChar w:fldCharType="end"/>
      </w:r>
    </w:p>
    <w:p w:rsidR="00C85007" w:rsidRDefault="00C85007">
      <w:pPr>
        <w:pStyle w:val="TOC8"/>
        <w:rPr>
          <w:rFonts w:asciiTheme="minorHAnsi" w:eastAsiaTheme="minorEastAsia" w:hAnsiTheme="minorHAnsi" w:cstheme="minorBidi"/>
          <w:szCs w:val="22"/>
        </w:rPr>
      </w:pPr>
      <w:r>
        <w:t>7</w:t>
      </w:r>
      <w:r w:rsidRPr="004D23A8">
        <w:rPr>
          <w:snapToGrid w:val="0"/>
        </w:rPr>
        <w:t>.</w:t>
      </w:r>
      <w:r w:rsidRPr="004D23A8">
        <w:rPr>
          <w:snapToGrid w:val="0"/>
        </w:rPr>
        <w:tab/>
        <w:t>Notification of condition of title</w:t>
      </w:r>
      <w:r>
        <w:tab/>
      </w:r>
      <w:r>
        <w:fldChar w:fldCharType="begin"/>
      </w:r>
      <w:r>
        <w:instrText xml:space="preserve"> PAGEREF _Toc74735078 \h </w:instrText>
      </w:r>
      <w:r>
        <w:fldChar w:fldCharType="separate"/>
      </w:r>
      <w:r w:rsidR="00B66034">
        <w:t>4</w:t>
      </w:r>
      <w:r>
        <w:fldChar w:fldCharType="end"/>
      </w:r>
    </w:p>
    <w:p w:rsidR="00C85007" w:rsidRDefault="00C85007">
      <w:pPr>
        <w:pStyle w:val="TOC8"/>
        <w:rPr>
          <w:rFonts w:asciiTheme="minorHAnsi" w:eastAsiaTheme="minorEastAsia" w:hAnsiTheme="minorHAnsi" w:cstheme="minorBidi"/>
          <w:szCs w:val="22"/>
        </w:rPr>
      </w:pPr>
      <w:r>
        <w:t>8</w:t>
      </w:r>
      <w:r w:rsidRPr="004D23A8">
        <w:rPr>
          <w:snapToGrid w:val="0"/>
        </w:rPr>
        <w:t>.</w:t>
      </w:r>
      <w:r w:rsidRPr="004D23A8">
        <w:rPr>
          <w:snapToGrid w:val="0"/>
        </w:rPr>
        <w:tab/>
        <w:t>Limitation on encumbrances</w:t>
      </w:r>
      <w:r>
        <w:tab/>
      </w:r>
      <w:r>
        <w:fldChar w:fldCharType="begin"/>
      </w:r>
      <w:r>
        <w:instrText xml:space="preserve"> PAGEREF _Toc74735079 \h </w:instrText>
      </w:r>
      <w:r>
        <w:fldChar w:fldCharType="separate"/>
      </w:r>
      <w:r w:rsidR="00B66034">
        <w:t>5</w:t>
      </w:r>
      <w:r>
        <w:fldChar w:fldCharType="end"/>
      </w:r>
    </w:p>
    <w:p w:rsidR="00C85007" w:rsidRDefault="00C85007">
      <w:pPr>
        <w:pStyle w:val="TOC8"/>
        <w:rPr>
          <w:rFonts w:asciiTheme="minorHAnsi" w:eastAsiaTheme="minorEastAsia" w:hAnsiTheme="minorHAnsi" w:cstheme="minorBidi"/>
          <w:szCs w:val="22"/>
        </w:rPr>
      </w:pPr>
      <w:r>
        <w:t>9</w:t>
      </w:r>
      <w:r w:rsidRPr="004D23A8">
        <w:rPr>
          <w:snapToGrid w:val="0"/>
        </w:rPr>
        <w:t>.</w:t>
      </w:r>
      <w:r w:rsidRPr="004D23A8">
        <w:rPr>
          <w:snapToGrid w:val="0"/>
        </w:rPr>
        <w:tab/>
        <w:t>Power of Court on application for leave to encumber the land</w:t>
      </w:r>
      <w:r>
        <w:tab/>
      </w:r>
      <w:r>
        <w:fldChar w:fldCharType="begin"/>
      </w:r>
      <w:r>
        <w:instrText xml:space="preserve"> PAGEREF _Toc74735080 \h </w:instrText>
      </w:r>
      <w:r>
        <w:fldChar w:fldCharType="separate"/>
      </w:r>
      <w:r w:rsidR="00B66034">
        <w:t>5</w:t>
      </w:r>
      <w:r>
        <w:fldChar w:fldCharType="end"/>
      </w:r>
    </w:p>
    <w:p w:rsidR="00C85007" w:rsidRDefault="00C85007">
      <w:pPr>
        <w:pStyle w:val="TOC8"/>
        <w:rPr>
          <w:rFonts w:asciiTheme="minorHAnsi" w:eastAsiaTheme="minorEastAsia" w:hAnsiTheme="minorHAnsi" w:cstheme="minorBidi"/>
          <w:szCs w:val="22"/>
        </w:rPr>
      </w:pPr>
      <w:r>
        <w:t>10</w:t>
      </w:r>
      <w:r w:rsidRPr="004D23A8">
        <w:rPr>
          <w:snapToGrid w:val="0"/>
        </w:rPr>
        <w:t>.</w:t>
      </w:r>
      <w:r w:rsidRPr="004D23A8">
        <w:rPr>
          <w:snapToGrid w:val="0"/>
        </w:rPr>
        <w:tab/>
        <w:t>Remedy of purchaser on contravention by vendor</w:t>
      </w:r>
      <w:r>
        <w:tab/>
      </w:r>
      <w:r>
        <w:fldChar w:fldCharType="begin"/>
      </w:r>
      <w:r>
        <w:instrText xml:space="preserve"> PAGEREF _Toc74735081 \h </w:instrText>
      </w:r>
      <w:r>
        <w:fldChar w:fldCharType="separate"/>
      </w:r>
      <w:r w:rsidR="00B66034">
        <w:t>5</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t>Part III — Restrictions on sale of subdivisional land</w:t>
      </w:r>
    </w:p>
    <w:p w:rsidR="00C85007" w:rsidRDefault="00C85007">
      <w:pPr>
        <w:pStyle w:val="TOC8"/>
        <w:rPr>
          <w:rFonts w:asciiTheme="minorHAnsi" w:eastAsiaTheme="minorEastAsia" w:hAnsiTheme="minorHAnsi" w:cstheme="minorBidi"/>
          <w:szCs w:val="22"/>
        </w:rPr>
      </w:pPr>
      <w:r>
        <w:t>11</w:t>
      </w:r>
      <w:r w:rsidRPr="004D23A8">
        <w:rPr>
          <w:snapToGrid w:val="0"/>
        </w:rPr>
        <w:t>.</w:t>
      </w:r>
      <w:r w:rsidRPr="004D23A8">
        <w:rPr>
          <w:snapToGrid w:val="0"/>
        </w:rPr>
        <w:tab/>
        <w:t>Interpretation</w:t>
      </w:r>
      <w:r>
        <w:tab/>
      </w:r>
      <w:r>
        <w:fldChar w:fldCharType="begin"/>
      </w:r>
      <w:r>
        <w:instrText xml:space="preserve"> PAGEREF _Toc74735083 \h </w:instrText>
      </w:r>
      <w:r>
        <w:fldChar w:fldCharType="separate"/>
      </w:r>
      <w:r w:rsidR="00B66034">
        <w:t>7</w:t>
      </w:r>
      <w:r>
        <w:fldChar w:fldCharType="end"/>
      </w:r>
    </w:p>
    <w:p w:rsidR="00C85007" w:rsidRDefault="00C85007">
      <w:pPr>
        <w:pStyle w:val="TOC8"/>
        <w:rPr>
          <w:rFonts w:asciiTheme="minorHAnsi" w:eastAsiaTheme="minorEastAsia" w:hAnsiTheme="minorHAnsi" w:cstheme="minorBidi"/>
          <w:szCs w:val="22"/>
        </w:rPr>
      </w:pPr>
      <w:r>
        <w:t>13</w:t>
      </w:r>
      <w:r w:rsidRPr="004D23A8">
        <w:rPr>
          <w:snapToGrid w:val="0"/>
        </w:rPr>
        <w:t>.</w:t>
      </w:r>
      <w:r w:rsidRPr="004D23A8">
        <w:rPr>
          <w:snapToGrid w:val="0"/>
        </w:rPr>
        <w:tab/>
        <w:t>Restriction on sale of subdivisional land</w:t>
      </w:r>
      <w:r>
        <w:tab/>
      </w:r>
      <w:r>
        <w:fldChar w:fldCharType="begin"/>
      </w:r>
      <w:r>
        <w:instrText xml:space="preserve"> PAGEREF _Toc74735084 \h </w:instrText>
      </w:r>
      <w:r>
        <w:fldChar w:fldCharType="separate"/>
      </w:r>
      <w:r w:rsidR="00B66034">
        <w:t>9</w:t>
      </w:r>
      <w:r>
        <w:fldChar w:fldCharType="end"/>
      </w:r>
    </w:p>
    <w:p w:rsidR="00C85007" w:rsidRDefault="00C85007">
      <w:pPr>
        <w:pStyle w:val="TOC8"/>
        <w:rPr>
          <w:rFonts w:asciiTheme="minorHAnsi" w:eastAsiaTheme="minorEastAsia" w:hAnsiTheme="minorHAnsi" w:cstheme="minorBidi"/>
          <w:szCs w:val="22"/>
        </w:rPr>
      </w:pPr>
      <w:r>
        <w:t>13A.</w:t>
      </w:r>
      <w:r>
        <w:tab/>
        <w:t>Relationship between section 13 and sections 13B to 13D</w:t>
      </w:r>
      <w:r>
        <w:tab/>
      </w:r>
      <w:r>
        <w:fldChar w:fldCharType="begin"/>
      </w:r>
      <w:r>
        <w:instrText xml:space="preserve"> PAGEREF _Toc74735085 \h </w:instrText>
      </w:r>
      <w:r>
        <w:fldChar w:fldCharType="separate"/>
      </w:r>
      <w:r w:rsidR="00B66034">
        <w:t>10</w:t>
      </w:r>
      <w:r>
        <w:fldChar w:fldCharType="end"/>
      </w:r>
    </w:p>
    <w:p w:rsidR="00C85007" w:rsidRDefault="00C85007">
      <w:pPr>
        <w:pStyle w:val="TOC8"/>
        <w:rPr>
          <w:rFonts w:asciiTheme="minorHAnsi" w:eastAsiaTheme="minorEastAsia" w:hAnsiTheme="minorHAnsi" w:cstheme="minorBidi"/>
          <w:szCs w:val="22"/>
        </w:rPr>
      </w:pPr>
      <w:r>
        <w:t>13B.</w:t>
      </w:r>
      <w:r>
        <w:tab/>
        <w:t>Requirement for future lot contract to include vendor’s condition</w:t>
      </w:r>
      <w:r>
        <w:tab/>
      </w:r>
      <w:r>
        <w:fldChar w:fldCharType="begin"/>
      </w:r>
      <w:r>
        <w:instrText xml:space="preserve"> PAGEREF _Toc74735086 \h </w:instrText>
      </w:r>
      <w:r>
        <w:fldChar w:fldCharType="separate"/>
      </w:r>
      <w:r w:rsidR="00B66034">
        <w:t>10</w:t>
      </w:r>
      <w:r>
        <w:fldChar w:fldCharType="end"/>
      </w:r>
    </w:p>
    <w:p w:rsidR="00C85007" w:rsidRDefault="00C85007">
      <w:pPr>
        <w:pStyle w:val="TOC8"/>
        <w:rPr>
          <w:rFonts w:asciiTheme="minorHAnsi" w:eastAsiaTheme="minorEastAsia" w:hAnsiTheme="minorHAnsi" w:cstheme="minorBidi"/>
          <w:szCs w:val="22"/>
        </w:rPr>
      </w:pPr>
      <w:r>
        <w:t>13C.</w:t>
      </w:r>
      <w:r>
        <w:tab/>
        <w:t>Requirement for future lot contract to include warning</w:t>
      </w:r>
      <w:r>
        <w:tab/>
      </w:r>
      <w:r>
        <w:fldChar w:fldCharType="begin"/>
      </w:r>
      <w:r>
        <w:instrText xml:space="preserve"> PAGEREF _Toc74735087 \h </w:instrText>
      </w:r>
      <w:r>
        <w:fldChar w:fldCharType="separate"/>
      </w:r>
      <w:r w:rsidR="00B66034">
        <w:t>11</w:t>
      </w:r>
      <w:r>
        <w:fldChar w:fldCharType="end"/>
      </w:r>
    </w:p>
    <w:p w:rsidR="00C85007" w:rsidRDefault="00C85007">
      <w:pPr>
        <w:pStyle w:val="TOC8"/>
        <w:rPr>
          <w:rFonts w:asciiTheme="minorHAnsi" w:eastAsiaTheme="minorEastAsia" w:hAnsiTheme="minorHAnsi" w:cstheme="minorBidi"/>
          <w:szCs w:val="22"/>
        </w:rPr>
      </w:pPr>
      <w:r>
        <w:t>13D.</w:t>
      </w:r>
      <w:r>
        <w:tab/>
        <w:t>Requirement for future lot contract to provide that deposit or other amount payable by purchaser must be paid to deposit holder</w:t>
      </w:r>
      <w:r>
        <w:tab/>
      </w:r>
      <w:r>
        <w:fldChar w:fldCharType="begin"/>
      </w:r>
      <w:r>
        <w:instrText xml:space="preserve"> PAGEREF _Toc74735088 \h </w:instrText>
      </w:r>
      <w:r>
        <w:fldChar w:fldCharType="separate"/>
      </w:r>
      <w:r w:rsidR="00B66034">
        <w:t>12</w:t>
      </w:r>
      <w:r>
        <w:fldChar w:fldCharType="end"/>
      </w:r>
    </w:p>
    <w:p w:rsidR="00C85007" w:rsidRDefault="00C85007">
      <w:pPr>
        <w:pStyle w:val="TOC8"/>
        <w:rPr>
          <w:rFonts w:asciiTheme="minorHAnsi" w:eastAsiaTheme="minorEastAsia" w:hAnsiTheme="minorHAnsi" w:cstheme="minorBidi"/>
          <w:szCs w:val="22"/>
        </w:rPr>
      </w:pPr>
      <w:r>
        <w:lastRenderedPageBreak/>
        <w:t>13E.</w:t>
      </w:r>
      <w:r>
        <w:tab/>
        <w:t>Obligations relating to deposit or other amount payable under future lot contract</w:t>
      </w:r>
      <w:r>
        <w:tab/>
      </w:r>
      <w:r>
        <w:fldChar w:fldCharType="begin"/>
      </w:r>
      <w:r>
        <w:instrText xml:space="preserve"> PAGEREF _Toc74735089 \h </w:instrText>
      </w:r>
      <w:r>
        <w:fldChar w:fldCharType="separate"/>
      </w:r>
      <w:r w:rsidR="00B66034">
        <w:t>13</w:t>
      </w:r>
      <w:r>
        <w:fldChar w:fldCharType="end"/>
      </w:r>
    </w:p>
    <w:p w:rsidR="00C85007" w:rsidRDefault="00C85007">
      <w:pPr>
        <w:pStyle w:val="TOC8"/>
        <w:rPr>
          <w:rFonts w:asciiTheme="minorHAnsi" w:eastAsiaTheme="minorEastAsia" w:hAnsiTheme="minorHAnsi" w:cstheme="minorBidi"/>
          <w:szCs w:val="22"/>
        </w:rPr>
      </w:pPr>
      <w:r>
        <w:t>13F.</w:t>
      </w:r>
      <w:r>
        <w:tab/>
        <w:t>Registrar of Titles may require audit of trust accounts</w:t>
      </w:r>
      <w:r>
        <w:tab/>
      </w:r>
      <w:r>
        <w:fldChar w:fldCharType="begin"/>
      </w:r>
      <w:r>
        <w:instrText xml:space="preserve"> PAGEREF _Toc74735090 \h </w:instrText>
      </w:r>
      <w:r>
        <w:fldChar w:fldCharType="separate"/>
      </w:r>
      <w:r w:rsidR="00B66034">
        <w:t>14</w:t>
      </w:r>
      <w:r>
        <w:fldChar w:fldCharType="end"/>
      </w:r>
    </w:p>
    <w:p w:rsidR="00C85007" w:rsidRDefault="00C85007">
      <w:pPr>
        <w:pStyle w:val="TOC8"/>
        <w:rPr>
          <w:rFonts w:asciiTheme="minorHAnsi" w:eastAsiaTheme="minorEastAsia" w:hAnsiTheme="minorHAnsi" w:cstheme="minorBidi"/>
          <w:szCs w:val="22"/>
        </w:rPr>
      </w:pPr>
      <w:r>
        <w:t>13G.</w:t>
      </w:r>
      <w:r>
        <w:tab/>
        <w:t>All reasonable endeavours must be made to satisfy vendor’s condition</w:t>
      </w:r>
      <w:r>
        <w:tab/>
      </w:r>
      <w:r>
        <w:fldChar w:fldCharType="begin"/>
      </w:r>
      <w:r>
        <w:instrText xml:space="preserve"> PAGEREF _Toc74735091 \h </w:instrText>
      </w:r>
      <w:r>
        <w:fldChar w:fldCharType="separate"/>
      </w:r>
      <w:r w:rsidR="00B66034">
        <w:t>15</w:t>
      </w:r>
      <w:r>
        <w:fldChar w:fldCharType="end"/>
      </w:r>
    </w:p>
    <w:p w:rsidR="00C85007" w:rsidRDefault="00C85007">
      <w:pPr>
        <w:pStyle w:val="TOC8"/>
        <w:rPr>
          <w:rFonts w:asciiTheme="minorHAnsi" w:eastAsiaTheme="minorEastAsia" w:hAnsiTheme="minorHAnsi" w:cstheme="minorBidi"/>
          <w:szCs w:val="22"/>
        </w:rPr>
      </w:pPr>
      <w:r>
        <w:t>13H.</w:t>
      </w:r>
      <w:r>
        <w:tab/>
        <w:t>Consequences if vendor’s condition is satisfied</w:t>
      </w:r>
      <w:r>
        <w:tab/>
      </w:r>
      <w:r>
        <w:fldChar w:fldCharType="begin"/>
      </w:r>
      <w:r>
        <w:instrText xml:space="preserve"> PAGEREF _Toc74735092 \h </w:instrText>
      </w:r>
      <w:r>
        <w:fldChar w:fldCharType="separate"/>
      </w:r>
      <w:r w:rsidR="00B66034">
        <w:t>16</w:t>
      </w:r>
      <w:r>
        <w:fldChar w:fldCharType="end"/>
      </w:r>
    </w:p>
    <w:p w:rsidR="00C85007" w:rsidRDefault="00C85007">
      <w:pPr>
        <w:pStyle w:val="TOC8"/>
        <w:rPr>
          <w:rFonts w:asciiTheme="minorHAnsi" w:eastAsiaTheme="minorEastAsia" w:hAnsiTheme="minorHAnsi" w:cstheme="minorBidi"/>
          <w:szCs w:val="22"/>
        </w:rPr>
      </w:pPr>
      <w:r>
        <w:t>13I.</w:t>
      </w:r>
      <w:r>
        <w:tab/>
        <w:t>Consequences if vendor’s condition is not satisfied or is taken not to have been satisfied</w:t>
      </w:r>
      <w:r>
        <w:tab/>
      </w:r>
      <w:r>
        <w:fldChar w:fldCharType="begin"/>
      </w:r>
      <w:r>
        <w:instrText xml:space="preserve"> PAGEREF _Toc74735093 \h </w:instrText>
      </w:r>
      <w:r>
        <w:fldChar w:fldCharType="separate"/>
      </w:r>
      <w:r w:rsidR="00B66034">
        <w:t>16</w:t>
      </w:r>
      <w:r>
        <w:fldChar w:fldCharType="end"/>
      </w:r>
    </w:p>
    <w:p w:rsidR="00C85007" w:rsidRDefault="00C85007">
      <w:pPr>
        <w:pStyle w:val="TOC8"/>
        <w:rPr>
          <w:rFonts w:asciiTheme="minorHAnsi" w:eastAsiaTheme="minorEastAsia" w:hAnsiTheme="minorHAnsi" w:cstheme="minorBidi"/>
          <w:szCs w:val="22"/>
        </w:rPr>
      </w:pPr>
      <w:r>
        <w:t>14</w:t>
      </w:r>
      <w:r w:rsidRPr="004D23A8">
        <w:rPr>
          <w:snapToGrid w:val="0"/>
        </w:rPr>
        <w:t>.</w:t>
      </w:r>
      <w:r w:rsidRPr="004D23A8">
        <w:rPr>
          <w:snapToGrid w:val="0"/>
        </w:rPr>
        <w:tab/>
        <w:t>Restriction on sale of mortgaged subdivisional land</w:t>
      </w:r>
      <w:r>
        <w:tab/>
      </w:r>
      <w:r>
        <w:fldChar w:fldCharType="begin"/>
      </w:r>
      <w:r>
        <w:instrText xml:space="preserve"> PAGEREF _Toc74735094 \h </w:instrText>
      </w:r>
      <w:r>
        <w:fldChar w:fldCharType="separate"/>
      </w:r>
      <w:r w:rsidR="00B66034">
        <w:t>17</w:t>
      </w:r>
      <w:r>
        <w:fldChar w:fldCharType="end"/>
      </w:r>
    </w:p>
    <w:p w:rsidR="00C85007" w:rsidRDefault="00C85007">
      <w:pPr>
        <w:pStyle w:val="TOC8"/>
        <w:rPr>
          <w:rFonts w:asciiTheme="minorHAnsi" w:eastAsiaTheme="minorEastAsia" w:hAnsiTheme="minorHAnsi" w:cstheme="minorBidi"/>
          <w:szCs w:val="22"/>
        </w:rPr>
      </w:pPr>
      <w:r>
        <w:t>15</w:t>
      </w:r>
      <w:r w:rsidRPr="004D23A8">
        <w:rPr>
          <w:snapToGrid w:val="0"/>
        </w:rPr>
        <w:t>.</w:t>
      </w:r>
      <w:r w:rsidRPr="004D23A8">
        <w:rPr>
          <w:snapToGrid w:val="0"/>
        </w:rPr>
        <w:tab/>
        <w:t>Exemptions</w:t>
      </w:r>
      <w:r>
        <w:tab/>
      </w:r>
      <w:r>
        <w:fldChar w:fldCharType="begin"/>
      </w:r>
      <w:r>
        <w:instrText xml:space="preserve"> PAGEREF _Toc74735095 \h </w:instrText>
      </w:r>
      <w:r>
        <w:fldChar w:fldCharType="separate"/>
      </w:r>
      <w:r w:rsidR="00B66034">
        <w:t>19</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t>Part IV — Offences in relation to sale of land</w:t>
      </w:r>
    </w:p>
    <w:p w:rsidR="00C85007" w:rsidRDefault="00C85007">
      <w:pPr>
        <w:pStyle w:val="TOC8"/>
        <w:rPr>
          <w:rFonts w:asciiTheme="minorHAnsi" w:eastAsiaTheme="minorEastAsia" w:hAnsiTheme="minorHAnsi" w:cstheme="minorBidi"/>
          <w:szCs w:val="22"/>
        </w:rPr>
      </w:pPr>
      <w:r>
        <w:t>16</w:t>
      </w:r>
      <w:r w:rsidRPr="004D23A8">
        <w:rPr>
          <w:snapToGrid w:val="0"/>
        </w:rPr>
        <w:t>.</w:t>
      </w:r>
      <w:r w:rsidRPr="004D23A8">
        <w:rPr>
          <w:snapToGrid w:val="0"/>
        </w:rPr>
        <w:tab/>
        <w:t>Limitation on advertisement</w:t>
      </w:r>
      <w:r>
        <w:tab/>
      </w:r>
      <w:r>
        <w:fldChar w:fldCharType="begin"/>
      </w:r>
      <w:r>
        <w:instrText xml:space="preserve"> PAGEREF _Toc74735097 \h </w:instrText>
      </w:r>
      <w:r>
        <w:fldChar w:fldCharType="separate"/>
      </w:r>
      <w:r w:rsidR="00B66034">
        <w:t>21</w:t>
      </w:r>
      <w:r>
        <w:fldChar w:fldCharType="end"/>
      </w:r>
    </w:p>
    <w:p w:rsidR="00C85007" w:rsidRDefault="00C85007">
      <w:pPr>
        <w:pStyle w:val="TOC8"/>
        <w:rPr>
          <w:rFonts w:asciiTheme="minorHAnsi" w:eastAsiaTheme="minorEastAsia" w:hAnsiTheme="minorHAnsi" w:cstheme="minorBidi"/>
          <w:szCs w:val="22"/>
        </w:rPr>
      </w:pPr>
      <w:r>
        <w:t>17</w:t>
      </w:r>
      <w:r w:rsidRPr="004D23A8">
        <w:rPr>
          <w:snapToGrid w:val="0"/>
        </w:rPr>
        <w:t>.</w:t>
      </w:r>
      <w:r w:rsidRPr="004D23A8">
        <w:rPr>
          <w:snapToGrid w:val="0"/>
        </w:rPr>
        <w:tab/>
        <w:t>Misrepresentation concerning public amenity</w:t>
      </w:r>
      <w:r>
        <w:tab/>
      </w:r>
      <w:r>
        <w:fldChar w:fldCharType="begin"/>
      </w:r>
      <w:r>
        <w:instrText xml:space="preserve"> PAGEREF _Toc74735098 \h </w:instrText>
      </w:r>
      <w:r>
        <w:fldChar w:fldCharType="separate"/>
      </w:r>
      <w:r w:rsidR="00B66034">
        <w:t>21</w:t>
      </w:r>
      <w:r>
        <w:fldChar w:fldCharType="end"/>
      </w:r>
    </w:p>
    <w:p w:rsidR="00C85007" w:rsidRDefault="00C85007">
      <w:pPr>
        <w:pStyle w:val="TOC8"/>
        <w:rPr>
          <w:rFonts w:asciiTheme="minorHAnsi" w:eastAsiaTheme="minorEastAsia" w:hAnsiTheme="minorHAnsi" w:cstheme="minorBidi"/>
          <w:szCs w:val="22"/>
        </w:rPr>
      </w:pPr>
      <w:r>
        <w:t>18</w:t>
      </w:r>
      <w:r w:rsidRPr="004D23A8">
        <w:rPr>
          <w:snapToGrid w:val="0"/>
        </w:rPr>
        <w:t>.</w:t>
      </w:r>
      <w:r w:rsidRPr="004D23A8">
        <w:rPr>
          <w:snapToGrid w:val="0"/>
        </w:rPr>
        <w:tab/>
        <w:t>House to house selling prohibited</w:t>
      </w:r>
      <w:r>
        <w:tab/>
      </w:r>
      <w:r>
        <w:fldChar w:fldCharType="begin"/>
      </w:r>
      <w:r>
        <w:instrText xml:space="preserve"> PAGEREF _Toc74735099 \h </w:instrText>
      </w:r>
      <w:r>
        <w:fldChar w:fldCharType="separate"/>
      </w:r>
      <w:r w:rsidR="00B66034">
        <w:t>22</w:t>
      </w:r>
      <w:r>
        <w:fldChar w:fldCharType="end"/>
      </w:r>
    </w:p>
    <w:p w:rsidR="00C85007" w:rsidRDefault="00C85007">
      <w:pPr>
        <w:pStyle w:val="TOC8"/>
        <w:rPr>
          <w:rFonts w:asciiTheme="minorHAnsi" w:eastAsiaTheme="minorEastAsia" w:hAnsiTheme="minorHAnsi" w:cstheme="minorBidi"/>
          <w:szCs w:val="22"/>
        </w:rPr>
      </w:pPr>
      <w:r>
        <w:t>19</w:t>
      </w:r>
      <w:r w:rsidRPr="004D23A8">
        <w:rPr>
          <w:snapToGrid w:val="0"/>
        </w:rPr>
        <w:t>.</w:t>
      </w:r>
      <w:r w:rsidRPr="004D23A8">
        <w:rPr>
          <w:snapToGrid w:val="0"/>
        </w:rPr>
        <w:tab/>
        <w:t>Remedy of purchaser on contravention of s. 18</w:t>
      </w:r>
      <w:r>
        <w:tab/>
      </w:r>
      <w:r>
        <w:fldChar w:fldCharType="begin"/>
      </w:r>
      <w:r>
        <w:instrText xml:space="preserve"> PAGEREF _Toc74735100 \h </w:instrText>
      </w:r>
      <w:r>
        <w:fldChar w:fldCharType="separate"/>
      </w:r>
      <w:r w:rsidR="00B66034">
        <w:t>22</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t>Part IVA — Dealings in undivided shares in land</w:t>
      </w:r>
    </w:p>
    <w:p w:rsidR="00C85007" w:rsidRDefault="00C85007">
      <w:pPr>
        <w:pStyle w:val="TOC8"/>
        <w:rPr>
          <w:rFonts w:asciiTheme="minorHAnsi" w:eastAsiaTheme="minorEastAsia" w:hAnsiTheme="minorHAnsi" w:cstheme="minorBidi"/>
          <w:szCs w:val="22"/>
        </w:rPr>
      </w:pPr>
      <w:r>
        <w:t>19A</w:t>
      </w:r>
      <w:r w:rsidRPr="004D23A8">
        <w:rPr>
          <w:snapToGrid w:val="0"/>
        </w:rPr>
        <w:t>.</w:t>
      </w:r>
      <w:r w:rsidRPr="004D23A8">
        <w:rPr>
          <w:snapToGrid w:val="0"/>
        </w:rPr>
        <w:tab/>
        <w:t>Interpretation, etc.</w:t>
      </w:r>
      <w:r>
        <w:tab/>
      </w:r>
      <w:r>
        <w:fldChar w:fldCharType="begin"/>
      </w:r>
      <w:r>
        <w:instrText xml:space="preserve"> PAGEREF _Toc74735102 \h </w:instrText>
      </w:r>
      <w:r>
        <w:fldChar w:fldCharType="separate"/>
      </w:r>
      <w:r w:rsidR="00B66034">
        <w:t>23</w:t>
      </w:r>
      <w:r>
        <w:fldChar w:fldCharType="end"/>
      </w:r>
    </w:p>
    <w:p w:rsidR="00C85007" w:rsidRDefault="00C85007">
      <w:pPr>
        <w:pStyle w:val="TOC8"/>
        <w:rPr>
          <w:rFonts w:asciiTheme="minorHAnsi" w:eastAsiaTheme="minorEastAsia" w:hAnsiTheme="minorHAnsi" w:cstheme="minorBidi"/>
          <w:szCs w:val="22"/>
        </w:rPr>
      </w:pPr>
      <w:r>
        <w:t>19B</w:t>
      </w:r>
      <w:r w:rsidRPr="004D23A8">
        <w:rPr>
          <w:snapToGrid w:val="0"/>
        </w:rPr>
        <w:t>.</w:t>
      </w:r>
      <w:r w:rsidRPr="004D23A8">
        <w:rPr>
          <w:snapToGrid w:val="0"/>
        </w:rPr>
        <w:tab/>
        <w:t>Certain offers to the public prohibited</w:t>
      </w:r>
      <w:r>
        <w:tab/>
      </w:r>
      <w:r>
        <w:fldChar w:fldCharType="begin"/>
      </w:r>
      <w:r>
        <w:instrText xml:space="preserve"> PAGEREF _Toc74735103 \h </w:instrText>
      </w:r>
      <w:r>
        <w:fldChar w:fldCharType="separate"/>
      </w:r>
      <w:r w:rsidR="00B66034">
        <w:t>25</w:t>
      </w:r>
      <w:r>
        <w:fldChar w:fldCharType="end"/>
      </w:r>
    </w:p>
    <w:p w:rsidR="00C85007" w:rsidRDefault="00C85007">
      <w:pPr>
        <w:pStyle w:val="TOC8"/>
        <w:rPr>
          <w:rFonts w:asciiTheme="minorHAnsi" w:eastAsiaTheme="minorEastAsia" w:hAnsiTheme="minorHAnsi" w:cstheme="minorBidi"/>
          <w:szCs w:val="22"/>
        </w:rPr>
      </w:pPr>
      <w:r>
        <w:t>19C</w:t>
      </w:r>
      <w:r w:rsidRPr="004D23A8">
        <w:rPr>
          <w:snapToGrid w:val="0"/>
        </w:rPr>
        <w:t>.</w:t>
      </w:r>
      <w:r w:rsidRPr="004D23A8">
        <w:rPr>
          <w:snapToGrid w:val="0"/>
        </w:rPr>
        <w:tab/>
        <w:t>Transitional provision</w:t>
      </w:r>
      <w:r>
        <w:tab/>
      </w:r>
      <w:r>
        <w:fldChar w:fldCharType="begin"/>
      </w:r>
      <w:r>
        <w:instrText xml:space="preserve"> PAGEREF _Toc74735104 \h </w:instrText>
      </w:r>
      <w:r>
        <w:fldChar w:fldCharType="separate"/>
      </w:r>
      <w:r w:rsidR="00B66034">
        <w:t>27</w:t>
      </w:r>
      <w:r>
        <w:fldChar w:fldCharType="end"/>
      </w:r>
    </w:p>
    <w:p w:rsidR="00C85007" w:rsidRDefault="00C85007">
      <w:pPr>
        <w:pStyle w:val="TOC8"/>
        <w:rPr>
          <w:rFonts w:asciiTheme="minorHAnsi" w:eastAsiaTheme="minorEastAsia" w:hAnsiTheme="minorHAnsi" w:cstheme="minorBidi"/>
          <w:szCs w:val="22"/>
        </w:rPr>
      </w:pPr>
      <w:r>
        <w:t>19D</w:t>
      </w:r>
      <w:r w:rsidRPr="004D23A8">
        <w:rPr>
          <w:snapToGrid w:val="0"/>
        </w:rPr>
        <w:t>.</w:t>
      </w:r>
      <w:r w:rsidRPr="004D23A8">
        <w:rPr>
          <w:snapToGrid w:val="0"/>
        </w:rPr>
        <w:tab/>
        <w:t>Rescission</w:t>
      </w:r>
      <w:r>
        <w:tab/>
      </w:r>
      <w:r>
        <w:fldChar w:fldCharType="begin"/>
      </w:r>
      <w:r>
        <w:instrText xml:space="preserve"> PAGEREF _Toc74735105 \h </w:instrText>
      </w:r>
      <w:r>
        <w:fldChar w:fldCharType="separate"/>
      </w:r>
      <w:r w:rsidR="00B66034">
        <w:t>28</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t>Part V — Application to the Court by vendor or purchaser</w:t>
      </w:r>
    </w:p>
    <w:p w:rsidR="00C85007" w:rsidRDefault="00C85007">
      <w:pPr>
        <w:pStyle w:val="TOC8"/>
        <w:rPr>
          <w:rFonts w:asciiTheme="minorHAnsi" w:eastAsiaTheme="minorEastAsia" w:hAnsiTheme="minorHAnsi" w:cstheme="minorBidi"/>
          <w:szCs w:val="22"/>
        </w:rPr>
      </w:pPr>
      <w:r>
        <w:t>20</w:t>
      </w:r>
      <w:r w:rsidRPr="004D23A8">
        <w:rPr>
          <w:snapToGrid w:val="0"/>
        </w:rPr>
        <w:t>.</w:t>
      </w:r>
      <w:r w:rsidRPr="004D23A8">
        <w:rPr>
          <w:snapToGrid w:val="0"/>
        </w:rPr>
        <w:tab/>
        <w:t>Application to Court</w:t>
      </w:r>
      <w:r>
        <w:tab/>
      </w:r>
      <w:r>
        <w:fldChar w:fldCharType="begin"/>
      </w:r>
      <w:r>
        <w:instrText xml:space="preserve"> PAGEREF _Toc74735107 \h </w:instrText>
      </w:r>
      <w:r>
        <w:fldChar w:fldCharType="separate"/>
      </w:r>
      <w:r w:rsidR="00B66034">
        <w:t>29</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t>Part VI — Rules relating to title of general law land</w:t>
      </w:r>
    </w:p>
    <w:p w:rsidR="00C85007" w:rsidRDefault="00C85007">
      <w:pPr>
        <w:pStyle w:val="TOC8"/>
        <w:rPr>
          <w:rFonts w:asciiTheme="minorHAnsi" w:eastAsiaTheme="minorEastAsia" w:hAnsiTheme="minorHAnsi" w:cstheme="minorBidi"/>
          <w:szCs w:val="22"/>
        </w:rPr>
      </w:pPr>
      <w:r>
        <w:t>21</w:t>
      </w:r>
      <w:r w:rsidRPr="004D23A8">
        <w:rPr>
          <w:snapToGrid w:val="0"/>
        </w:rPr>
        <w:t>.</w:t>
      </w:r>
      <w:r w:rsidRPr="004D23A8">
        <w:rPr>
          <w:snapToGrid w:val="0"/>
        </w:rPr>
        <w:tab/>
        <w:t>Application of this Part</w:t>
      </w:r>
      <w:r>
        <w:tab/>
      </w:r>
      <w:r>
        <w:fldChar w:fldCharType="begin"/>
      </w:r>
      <w:r>
        <w:instrText xml:space="preserve"> PAGEREF _Toc74735109 \h </w:instrText>
      </w:r>
      <w:r>
        <w:fldChar w:fldCharType="separate"/>
      </w:r>
      <w:r w:rsidR="00B66034">
        <w:t>30</w:t>
      </w:r>
      <w:r>
        <w:fldChar w:fldCharType="end"/>
      </w:r>
    </w:p>
    <w:p w:rsidR="00C85007" w:rsidRDefault="00C85007">
      <w:pPr>
        <w:pStyle w:val="TOC8"/>
        <w:rPr>
          <w:rFonts w:asciiTheme="minorHAnsi" w:eastAsiaTheme="minorEastAsia" w:hAnsiTheme="minorHAnsi" w:cstheme="minorBidi"/>
          <w:szCs w:val="22"/>
        </w:rPr>
      </w:pPr>
      <w:r>
        <w:t>22</w:t>
      </w:r>
      <w:r w:rsidRPr="004D23A8">
        <w:rPr>
          <w:snapToGrid w:val="0"/>
        </w:rPr>
        <w:t>.</w:t>
      </w:r>
      <w:r w:rsidRPr="004D23A8">
        <w:rPr>
          <w:snapToGrid w:val="0"/>
        </w:rPr>
        <w:tab/>
        <w:t>Thirty years title substituted for 40 years</w:t>
      </w:r>
      <w:r>
        <w:tab/>
      </w:r>
      <w:r>
        <w:fldChar w:fldCharType="begin"/>
      </w:r>
      <w:r>
        <w:instrText xml:space="preserve"> PAGEREF _Toc74735110 \h </w:instrText>
      </w:r>
      <w:r>
        <w:fldChar w:fldCharType="separate"/>
      </w:r>
      <w:r w:rsidR="00B66034">
        <w:t>30</w:t>
      </w:r>
      <w:r>
        <w:fldChar w:fldCharType="end"/>
      </w:r>
    </w:p>
    <w:p w:rsidR="00C85007" w:rsidRDefault="00C85007">
      <w:pPr>
        <w:pStyle w:val="TOC8"/>
        <w:rPr>
          <w:rFonts w:asciiTheme="minorHAnsi" w:eastAsiaTheme="minorEastAsia" w:hAnsiTheme="minorHAnsi" w:cstheme="minorBidi"/>
          <w:szCs w:val="22"/>
        </w:rPr>
      </w:pPr>
      <w:r>
        <w:t>23</w:t>
      </w:r>
      <w:r w:rsidRPr="004D23A8">
        <w:rPr>
          <w:snapToGrid w:val="0"/>
        </w:rPr>
        <w:t>.</w:t>
      </w:r>
      <w:r w:rsidRPr="004D23A8">
        <w:rPr>
          <w:snapToGrid w:val="0"/>
        </w:rPr>
        <w:tab/>
        <w:t>Rights of vendor and purchaser as to title</w:t>
      </w:r>
      <w:r>
        <w:tab/>
      </w:r>
      <w:r>
        <w:fldChar w:fldCharType="begin"/>
      </w:r>
      <w:r>
        <w:instrText xml:space="preserve"> PAGEREF _Toc74735111 \h </w:instrText>
      </w:r>
      <w:r>
        <w:fldChar w:fldCharType="separate"/>
      </w:r>
      <w:r w:rsidR="00B66034">
        <w:t>30</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lastRenderedPageBreak/>
        <w:t xml:space="preserve">Part VII — Transitional provisions for </w:t>
      </w:r>
      <w:r w:rsidRPr="004D23A8">
        <w:rPr>
          <w:i/>
        </w:rPr>
        <w:t>Sale of Land Amendment Act 2016</w:t>
      </w:r>
    </w:p>
    <w:p w:rsidR="00C85007" w:rsidRDefault="00C85007">
      <w:pPr>
        <w:pStyle w:val="TOC8"/>
        <w:rPr>
          <w:rFonts w:asciiTheme="minorHAnsi" w:eastAsiaTheme="minorEastAsia" w:hAnsiTheme="minorHAnsi" w:cstheme="minorBidi"/>
          <w:szCs w:val="22"/>
        </w:rPr>
      </w:pPr>
      <w:r>
        <w:t>24.</w:t>
      </w:r>
      <w:r>
        <w:tab/>
        <w:t xml:space="preserve">Transitional provisions for </w:t>
      </w:r>
      <w:r w:rsidRPr="004D23A8">
        <w:rPr>
          <w:i/>
        </w:rPr>
        <w:t>Sale of Land Amendment Act 2016</w:t>
      </w:r>
      <w:r>
        <w:tab/>
      </w:r>
      <w:r>
        <w:fldChar w:fldCharType="begin"/>
      </w:r>
      <w:r>
        <w:instrText xml:space="preserve"> PAGEREF _Toc74735113 \h </w:instrText>
      </w:r>
      <w:r>
        <w:fldChar w:fldCharType="separate"/>
      </w:r>
      <w:r w:rsidR="00B66034">
        <w:t>32</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t>Notes</w:t>
      </w:r>
    </w:p>
    <w:p w:rsidR="00C85007" w:rsidRDefault="00C85007" w:rsidP="00C85007">
      <w:pPr>
        <w:pStyle w:val="TOC8"/>
        <w:rPr>
          <w:rFonts w:asciiTheme="minorHAnsi" w:eastAsiaTheme="minorEastAsia" w:hAnsiTheme="minorHAnsi" w:cstheme="minorBidi"/>
          <w:szCs w:val="22"/>
        </w:rPr>
      </w:pPr>
      <w:r>
        <w:tab/>
        <w:t>Compilation table</w:t>
      </w:r>
      <w:r>
        <w:tab/>
      </w:r>
      <w:r>
        <w:fldChar w:fldCharType="begin"/>
      </w:r>
      <w:r>
        <w:instrText xml:space="preserve"> PAGEREF _Toc74735115 \h </w:instrText>
      </w:r>
      <w:r>
        <w:fldChar w:fldCharType="separate"/>
      </w:r>
      <w:r w:rsidR="00B66034">
        <w:t>33</w:t>
      </w:r>
      <w:r>
        <w:fldChar w:fldCharType="end"/>
      </w:r>
    </w:p>
    <w:p w:rsidR="00C85007" w:rsidRDefault="00C85007" w:rsidP="00C85007">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_Toc74735116 \h </w:instrText>
      </w:r>
      <w:r>
        <w:fldChar w:fldCharType="separate"/>
      </w:r>
      <w:r w:rsidR="00B66034">
        <w:t>34</w:t>
      </w:r>
      <w:r>
        <w:fldChar w:fldCharType="end"/>
      </w:r>
    </w:p>
    <w:p w:rsidR="00C85007" w:rsidRDefault="00C85007" w:rsidP="00C85007">
      <w:pPr>
        <w:pStyle w:val="TOC8"/>
        <w:rPr>
          <w:rFonts w:asciiTheme="minorHAnsi" w:eastAsiaTheme="minorEastAsia" w:hAnsiTheme="minorHAnsi" w:cstheme="minorBidi"/>
          <w:szCs w:val="22"/>
        </w:rPr>
      </w:pPr>
      <w:r>
        <w:tab/>
        <w:t>Other notes</w:t>
      </w:r>
      <w:r>
        <w:tab/>
      </w:r>
      <w:r>
        <w:fldChar w:fldCharType="begin"/>
      </w:r>
      <w:r>
        <w:instrText xml:space="preserve"> PAGEREF _Toc74735117 \h </w:instrText>
      </w:r>
      <w:r>
        <w:fldChar w:fldCharType="separate"/>
      </w:r>
      <w:r w:rsidR="00B66034">
        <w:t>35</w:t>
      </w:r>
      <w:r>
        <w:fldChar w:fldCharType="end"/>
      </w:r>
    </w:p>
    <w:p w:rsidR="00C85007" w:rsidRDefault="00C85007">
      <w:pPr>
        <w:pStyle w:val="TOC2"/>
        <w:tabs>
          <w:tab w:val="right" w:leader="dot" w:pos="7077"/>
        </w:tabs>
        <w:rPr>
          <w:rFonts w:asciiTheme="minorHAnsi" w:eastAsiaTheme="minorEastAsia" w:hAnsiTheme="minorHAnsi" w:cstheme="minorBidi"/>
          <w:b w:val="0"/>
          <w:sz w:val="22"/>
          <w:szCs w:val="22"/>
        </w:rPr>
      </w:pPr>
      <w:r>
        <w:t>Defined terms</w:t>
      </w:r>
    </w:p>
    <w:p w:rsidR="005558CC" w:rsidRDefault="005743F0">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rsidR="005558CC" w:rsidRDefault="005558CC">
      <w:pPr>
        <w:pStyle w:val="NoteHeading"/>
        <w:sectPr w:rsidR="005558CC">
          <w:headerReference w:type="even" r:id="rId14"/>
          <w:headerReference w:type="default" r:id="rId15"/>
          <w:footerReference w:type="even" r:id="rId16"/>
          <w:footerReference w:type="default" r:id="rId17"/>
          <w:headerReference w:type="first" r:id="rId18"/>
          <w:footerReference w:type="first" r:id="rId19"/>
          <w:type w:val="oddPage"/>
          <w:pgSz w:w="11907" w:h="16840" w:code="9"/>
          <w:pgMar w:top="2381" w:right="2410" w:bottom="3544" w:left="2410" w:header="720" w:footer="3544" w:gutter="0"/>
          <w:pgNumType w:fmt="lowerRoman" w:start="1"/>
          <w:cols w:space="720"/>
          <w:noEndnote/>
          <w:titlePg/>
        </w:sectPr>
      </w:pPr>
    </w:p>
    <w:p w:rsidR="005558CC" w:rsidRDefault="005743F0">
      <w:pPr>
        <w:pStyle w:val="WA"/>
      </w:pPr>
      <w:r>
        <w:lastRenderedPageBreak/>
        <w:t>Western Australia</w:t>
      </w:r>
    </w:p>
    <w:p w:rsidR="005558CC" w:rsidRDefault="005743F0">
      <w:pPr>
        <w:pStyle w:val="NameofActReg"/>
        <w:spacing w:before="960" w:after="1440"/>
      </w:pPr>
      <w:r>
        <w:t xml:space="preserve">Sale of Land Act 1970 </w:t>
      </w:r>
    </w:p>
    <w:p w:rsidR="005558CC" w:rsidRDefault="005743F0">
      <w:pPr>
        <w:pStyle w:val="LongTitle"/>
        <w:rPr>
          <w:snapToGrid w:val="0"/>
        </w:rPr>
      </w:pPr>
      <w:r>
        <w:rPr>
          <w:snapToGrid w:val="0"/>
        </w:rPr>
        <w:t xml:space="preserve">An Act to consolidate and amend the law relating to the sale of land. </w:t>
      </w:r>
    </w:p>
    <w:p w:rsidR="005558CC" w:rsidRDefault="005743F0">
      <w:pPr>
        <w:pStyle w:val="Heading2"/>
      </w:pPr>
      <w:bookmarkStart w:id="3" w:name="_Toc74658153"/>
      <w:bookmarkStart w:id="4" w:name="_Toc74658200"/>
      <w:bookmarkStart w:id="5" w:name="_Toc74735072"/>
      <w:r>
        <w:rPr>
          <w:rStyle w:val="CharPartNo"/>
        </w:rPr>
        <w:lastRenderedPageBreak/>
        <w:t>Part I</w:t>
      </w:r>
      <w:r>
        <w:rPr>
          <w:rStyle w:val="CharDivNo"/>
        </w:rPr>
        <w:t> </w:t>
      </w:r>
      <w:r>
        <w:t>—</w:t>
      </w:r>
      <w:r>
        <w:rPr>
          <w:rStyle w:val="CharDivText"/>
        </w:rPr>
        <w:t> </w:t>
      </w:r>
      <w:r>
        <w:rPr>
          <w:rStyle w:val="CharPartText"/>
        </w:rPr>
        <w:t>Preliminary</w:t>
      </w:r>
      <w:bookmarkEnd w:id="3"/>
      <w:bookmarkEnd w:id="4"/>
      <w:bookmarkEnd w:id="5"/>
      <w:r>
        <w:rPr>
          <w:rStyle w:val="CharPartText"/>
        </w:rPr>
        <w:t xml:space="preserve"> </w:t>
      </w:r>
    </w:p>
    <w:p w:rsidR="005558CC" w:rsidRDefault="005743F0">
      <w:pPr>
        <w:pStyle w:val="Heading5"/>
        <w:rPr>
          <w:snapToGrid w:val="0"/>
        </w:rPr>
      </w:pPr>
      <w:bookmarkStart w:id="6" w:name="_Toc74735073"/>
      <w:r>
        <w:rPr>
          <w:rStyle w:val="CharSectno"/>
        </w:rPr>
        <w:t>1</w:t>
      </w:r>
      <w:r>
        <w:rPr>
          <w:snapToGrid w:val="0"/>
        </w:rPr>
        <w:t>.</w:t>
      </w:r>
      <w:r>
        <w:rPr>
          <w:snapToGrid w:val="0"/>
        </w:rPr>
        <w:tab/>
        <w:t>Short title</w:t>
      </w:r>
      <w:bookmarkEnd w:id="6"/>
      <w:r>
        <w:rPr>
          <w:snapToGrid w:val="0"/>
        </w:rPr>
        <w:t xml:space="preserve"> </w:t>
      </w:r>
    </w:p>
    <w:p w:rsidR="005558CC" w:rsidRDefault="005743F0">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rPr>
        <w:t>.</w:t>
      </w:r>
    </w:p>
    <w:p w:rsidR="005558CC" w:rsidRDefault="005743F0">
      <w:pPr>
        <w:pStyle w:val="Heading5"/>
        <w:rPr>
          <w:snapToGrid w:val="0"/>
        </w:rPr>
      </w:pPr>
      <w:bookmarkStart w:id="7" w:name="_Toc74735074"/>
      <w:r>
        <w:rPr>
          <w:rStyle w:val="CharSectno"/>
        </w:rPr>
        <w:t>2</w:t>
      </w:r>
      <w:r>
        <w:rPr>
          <w:snapToGrid w:val="0"/>
        </w:rPr>
        <w:t>.</w:t>
      </w:r>
      <w:r>
        <w:rPr>
          <w:snapToGrid w:val="0"/>
        </w:rPr>
        <w:tab/>
        <w:t>Commencement</w:t>
      </w:r>
      <w:bookmarkEnd w:id="7"/>
      <w:r>
        <w:rPr>
          <w:snapToGrid w:val="0"/>
        </w:rPr>
        <w:t xml:space="preserve"> </w:t>
      </w:r>
    </w:p>
    <w:p w:rsidR="005558CC" w:rsidRDefault="005743F0">
      <w:pPr>
        <w:pStyle w:val="Subsection"/>
        <w:rPr>
          <w:snapToGrid w:val="0"/>
        </w:rPr>
      </w:pPr>
      <w:r>
        <w:rPr>
          <w:snapToGrid w:val="0"/>
        </w:rPr>
        <w:tab/>
      </w:r>
      <w:r>
        <w:rPr>
          <w:snapToGrid w:val="0"/>
        </w:rPr>
        <w:tab/>
        <w:t>This Act shall come into operation on a date to be fixed by proclamation.</w:t>
      </w:r>
    </w:p>
    <w:p w:rsidR="005558CC" w:rsidRDefault="005743F0">
      <w:pPr>
        <w:pStyle w:val="Ednotesection"/>
      </w:pPr>
      <w:r>
        <w:t>[</w:t>
      </w:r>
      <w:r>
        <w:rPr>
          <w:b/>
        </w:rPr>
        <w:t>3.</w:t>
      </w:r>
      <w:r>
        <w:tab/>
        <w:t>Deleted: No. 10 of 1998 s. 76.]</w:t>
      </w:r>
    </w:p>
    <w:p w:rsidR="005558CC" w:rsidRDefault="005743F0">
      <w:pPr>
        <w:pStyle w:val="Ednotesection"/>
      </w:pPr>
      <w:r>
        <w:t>[</w:t>
      </w:r>
      <w:r>
        <w:rPr>
          <w:b/>
        </w:rPr>
        <w:t>4.</w:t>
      </w:r>
      <w:r>
        <w:tab/>
        <w:t>Omitted under the Reprints Act 1984 s. 7(4)(f).]</w:t>
      </w:r>
    </w:p>
    <w:p w:rsidR="005558CC" w:rsidRDefault="005743F0">
      <w:pPr>
        <w:pStyle w:val="Heading5"/>
        <w:rPr>
          <w:snapToGrid w:val="0"/>
        </w:rPr>
      </w:pPr>
      <w:bookmarkStart w:id="8" w:name="_Toc74735075"/>
      <w:r>
        <w:rPr>
          <w:rStyle w:val="CharSectno"/>
        </w:rPr>
        <w:t>5</w:t>
      </w:r>
      <w:r>
        <w:rPr>
          <w:snapToGrid w:val="0"/>
        </w:rPr>
        <w:t>.</w:t>
      </w:r>
      <w:r>
        <w:rPr>
          <w:snapToGrid w:val="0"/>
        </w:rPr>
        <w:tab/>
        <w:t>Interpretation</w:t>
      </w:r>
      <w:bookmarkEnd w:id="8"/>
      <w:r>
        <w:rPr>
          <w:snapToGrid w:val="0"/>
        </w:rPr>
        <w:t xml:space="preserve"> </w:t>
      </w:r>
    </w:p>
    <w:p w:rsidR="005558CC" w:rsidRDefault="005743F0">
      <w:pPr>
        <w:pStyle w:val="Subsection"/>
        <w:rPr>
          <w:snapToGrid w:val="0"/>
        </w:rPr>
      </w:pPr>
      <w:r>
        <w:rPr>
          <w:snapToGrid w:val="0"/>
        </w:rPr>
        <w:tab/>
      </w:r>
      <w:r>
        <w:rPr>
          <w:snapToGrid w:val="0"/>
        </w:rPr>
        <w:tab/>
        <w:t>In this Act, unless the contrary intention appears — </w:t>
      </w:r>
    </w:p>
    <w:p w:rsidR="005558CC" w:rsidRDefault="005743F0">
      <w:pPr>
        <w:pStyle w:val="Defstart"/>
      </w:pPr>
      <w:r>
        <w:rPr>
          <w:b/>
        </w:rPr>
        <w:tab/>
      </w:r>
      <w:r>
        <w:rPr>
          <w:rStyle w:val="CharDefText"/>
        </w:rPr>
        <w:t>advertise</w:t>
      </w:r>
      <w:r>
        <w:t xml:space="preserve"> includes — </w:t>
      </w:r>
    </w:p>
    <w:p w:rsidR="005558CC" w:rsidRDefault="005743F0">
      <w:pPr>
        <w:pStyle w:val="Defpara"/>
      </w:pPr>
      <w:r>
        <w:tab/>
        <w:t>(a)</w:t>
      </w:r>
      <w:r>
        <w:tab/>
        <w:t>issue, deliver, or publicly exhibit in writing; and</w:t>
      </w:r>
    </w:p>
    <w:p w:rsidR="005558CC" w:rsidRDefault="005743F0">
      <w:pPr>
        <w:pStyle w:val="Defpara"/>
      </w:pPr>
      <w:r>
        <w:tab/>
        <w:t>(b)</w:t>
      </w:r>
      <w:r>
        <w:tab/>
        <w:t>publish, or disseminate, by broadcasting, television, cinematograph, or any other means whatsoever,</w:t>
      </w:r>
    </w:p>
    <w:p w:rsidR="005558CC" w:rsidRDefault="005743F0">
      <w:pPr>
        <w:pStyle w:val="Defstart"/>
      </w:pPr>
      <w:r>
        <w:tab/>
        <w:t>and with corresponding meanings also includes cause to be advertised;</w:t>
      </w:r>
    </w:p>
    <w:p w:rsidR="005558CC" w:rsidRDefault="005743F0">
      <w:pPr>
        <w:pStyle w:val="Defstart"/>
      </w:pPr>
      <w:r>
        <w:rPr>
          <w:b/>
        </w:rPr>
        <w:tab/>
      </w:r>
      <w:r>
        <w:rPr>
          <w:rStyle w:val="CharDefText"/>
        </w:rPr>
        <w:t>advertisement</w:t>
      </w:r>
      <w:r>
        <w:t xml:space="preserve"> includes corresponding meanings to “advertise”;</w:t>
      </w:r>
    </w:p>
    <w:p w:rsidR="005558CC" w:rsidRDefault="005743F0">
      <w:pPr>
        <w:pStyle w:val="Defstart"/>
      </w:pPr>
      <w:r>
        <w:rPr>
          <w:b/>
        </w:rPr>
        <w:tab/>
      </w:r>
      <w:r>
        <w:rPr>
          <w:rStyle w:val="CharDefText"/>
        </w:rPr>
        <w:t>Court</w:t>
      </w:r>
      <w:r>
        <w:t xml:space="preserve"> means the Supreme Court;</w:t>
      </w:r>
    </w:p>
    <w:p w:rsidR="005558CC" w:rsidRDefault="005743F0">
      <w:pPr>
        <w:pStyle w:val="Defstart"/>
      </w:pPr>
      <w:r>
        <w:rPr>
          <w:b/>
        </w:rPr>
        <w:tab/>
      </w:r>
      <w:r>
        <w:rPr>
          <w:rStyle w:val="CharDefText"/>
        </w:rPr>
        <w:t>land</w:t>
      </w:r>
      <w:r>
        <w:t xml:space="preserve"> includes land of any tenure and buildings or parts of buildings;</w:t>
      </w:r>
    </w:p>
    <w:p w:rsidR="005558CC" w:rsidRDefault="005743F0">
      <w:pPr>
        <w:pStyle w:val="Defstart"/>
        <w:ind w:left="1327" w:hanging="1327"/>
      </w:pPr>
      <w:r>
        <w:rPr>
          <w:b/>
        </w:rPr>
        <w:tab/>
      </w:r>
      <w:r>
        <w:rPr>
          <w:rStyle w:val="CharDefText"/>
        </w:rPr>
        <w:t>section</w:t>
      </w:r>
      <w:r>
        <w:t xml:space="preserve"> means a section of this Act; and</w:t>
      </w:r>
    </w:p>
    <w:p w:rsidR="005558CC" w:rsidRDefault="005743F0">
      <w:pPr>
        <w:pStyle w:val="Defstart"/>
        <w:keepNext/>
        <w:keepLines/>
      </w:pPr>
      <w:r>
        <w:rPr>
          <w:b/>
        </w:rPr>
        <w:tab/>
      </w:r>
      <w:r>
        <w:rPr>
          <w:rStyle w:val="CharDefText"/>
        </w:rPr>
        <w:t>terms contract</w:t>
      </w:r>
      <w:r>
        <w:t xml:space="preserve"> means an executory contract for the sale and purchase of land under which the purchaser is — </w:t>
      </w:r>
    </w:p>
    <w:p w:rsidR="005558CC" w:rsidRDefault="005743F0">
      <w:pPr>
        <w:pStyle w:val="Defpara"/>
      </w:pPr>
      <w:r>
        <w:tab/>
        <w:t>(a)</w:t>
      </w:r>
      <w:r>
        <w:tab/>
        <w:t>obliged to make 2 or more payments to the vendor (over and above any deposit) before he is entitled to a conveyance or transfer of the land; or</w:t>
      </w:r>
    </w:p>
    <w:p w:rsidR="005558CC" w:rsidRDefault="005743F0">
      <w:pPr>
        <w:pStyle w:val="Defpara"/>
      </w:pPr>
      <w:r>
        <w:tab/>
        <w:t>(b)</w:t>
      </w:r>
      <w:r>
        <w:tab/>
        <w:t>entitled to possession or occupation of the land before he becomes entitled to a conveyance or transfer of the land,</w:t>
      </w:r>
    </w:p>
    <w:p w:rsidR="005558CC" w:rsidRDefault="005743F0">
      <w:pPr>
        <w:pStyle w:val="Defstart"/>
      </w:pPr>
      <w:r>
        <w:lastRenderedPageBreak/>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rsidR="005558CC" w:rsidRDefault="005743F0">
      <w:pPr>
        <w:pStyle w:val="Heading2"/>
      </w:pPr>
      <w:bookmarkStart w:id="9" w:name="_Toc74658157"/>
      <w:bookmarkStart w:id="10" w:name="_Toc74658204"/>
      <w:bookmarkStart w:id="11" w:name="_Toc74735076"/>
      <w:r>
        <w:rPr>
          <w:rStyle w:val="CharPartNo"/>
        </w:rPr>
        <w:lastRenderedPageBreak/>
        <w:t>Part II</w:t>
      </w:r>
      <w:r>
        <w:rPr>
          <w:rStyle w:val="CharDivNo"/>
        </w:rPr>
        <w:t> </w:t>
      </w:r>
      <w:r>
        <w:t>—</w:t>
      </w:r>
      <w:r>
        <w:rPr>
          <w:rStyle w:val="CharDivText"/>
        </w:rPr>
        <w:t> </w:t>
      </w:r>
      <w:r>
        <w:rPr>
          <w:rStyle w:val="CharPartText"/>
        </w:rPr>
        <w:t>Sale of land under terms contract</w:t>
      </w:r>
      <w:bookmarkEnd w:id="9"/>
      <w:bookmarkEnd w:id="10"/>
      <w:bookmarkEnd w:id="11"/>
      <w:r>
        <w:rPr>
          <w:rStyle w:val="CharPartText"/>
        </w:rPr>
        <w:t xml:space="preserve"> </w:t>
      </w:r>
    </w:p>
    <w:p w:rsidR="005558CC" w:rsidRDefault="005743F0">
      <w:pPr>
        <w:pStyle w:val="Heading5"/>
        <w:rPr>
          <w:snapToGrid w:val="0"/>
        </w:rPr>
      </w:pPr>
      <w:bookmarkStart w:id="12" w:name="_Toc74735077"/>
      <w:r>
        <w:rPr>
          <w:rStyle w:val="CharSectno"/>
        </w:rPr>
        <w:t>6</w:t>
      </w:r>
      <w:r>
        <w:rPr>
          <w:snapToGrid w:val="0"/>
        </w:rPr>
        <w:t>.</w:t>
      </w:r>
      <w:r>
        <w:rPr>
          <w:snapToGrid w:val="0"/>
        </w:rPr>
        <w:tab/>
        <w:t>Restriction on rescission</w:t>
      </w:r>
      <w:bookmarkEnd w:id="12"/>
      <w:r>
        <w:rPr>
          <w:snapToGrid w:val="0"/>
        </w:rPr>
        <w:t xml:space="preserve"> </w:t>
      </w:r>
    </w:p>
    <w:p w:rsidR="005558CC" w:rsidRDefault="005743F0">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rsidR="005558CC" w:rsidRDefault="005743F0">
      <w:pPr>
        <w:pStyle w:val="Subsection"/>
        <w:rPr>
          <w:snapToGrid w:val="0"/>
        </w:rPr>
      </w:pPr>
      <w:r>
        <w:rPr>
          <w:snapToGrid w:val="0"/>
        </w:rPr>
        <w:tab/>
        <w:t>(2)</w:t>
      </w:r>
      <w:r>
        <w:rPr>
          <w:snapToGrid w:val="0"/>
        </w:rPr>
        <w:tab/>
        <w:t>The time referred to in subsection (1) within which the purchaser is required to remedy a breach is — </w:t>
      </w:r>
    </w:p>
    <w:p w:rsidR="005558CC" w:rsidRDefault="005743F0">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rsidR="005558CC" w:rsidRDefault="005743F0">
      <w:pPr>
        <w:pStyle w:val="Indenta"/>
        <w:rPr>
          <w:snapToGrid w:val="0"/>
        </w:rPr>
      </w:pPr>
      <w:r>
        <w:rPr>
          <w:snapToGrid w:val="0"/>
        </w:rPr>
        <w:tab/>
        <w:t>(b)</w:t>
      </w:r>
      <w:r>
        <w:rPr>
          <w:snapToGrid w:val="0"/>
        </w:rPr>
        <w:tab/>
        <w:t>in any other case — a reasonable time from the date of service of the notice.</w:t>
      </w:r>
    </w:p>
    <w:p w:rsidR="005558CC" w:rsidRDefault="005743F0">
      <w:pPr>
        <w:pStyle w:val="Heading5"/>
        <w:rPr>
          <w:snapToGrid w:val="0"/>
        </w:rPr>
      </w:pPr>
      <w:bookmarkStart w:id="13" w:name="_Toc74735078"/>
      <w:r>
        <w:rPr>
          <w:rStyle w:val="CharSectno"/>
        </w:rPr>
        <w:t>7</w:t>
      </w:r>
      <w:r>
        <w:rPr>
          <w:snapToGrid w:val="0"/>
        </w:rPr>
        <w:t>.</w:t>
      </w:r>
      <w:r>
        <w:rPr>
          <w:snapToGrid w:val="0"/>
        </w:rPr>
        <w:tab/>
        <w:t>Notification of condition of title</w:t>
      </w:r>
      <w:bookmarkEnd w:id="13"/>
      <w:r>
        <w:rPr>
          <w:snapToGrid w:val="0"/>
        </w:rPr>
        <w:t xml:space="preserve"> </w:t>
      </w:r>
    </w:p>
    <w:p w:rsidR="005558CC" w:rsidRDefault="005743F0">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rsidR="005558CC" w:rsidRDefault="005743F0">
      <w:pPr>
        <w:pStyle w:val="Penstart"/>
      </w:pPr>
      <w:r>
        <w:tab/>
        <w:t>Penalty for this subsection: a fine of $100 000.</w:t>
      </w:r>
    </w:p>
    <w:p w:rsidR="005558CC" w:rsidRDefault="005743F0">
      <w:pPr>
        <w:pStyle w:val="Subsection"/>
        <w:rPr>
          <w:snapToGrid w:val="0"/>
        </w:rPr>
      </w:pPr>
      <w:r>
        <w:rPr>
          <w:snapToGrid w:val="0"/>
        </w:rPr>
        <w:tab/>
        <w:t>(2)</w:t>
      </w:r>
      <w:r>
        <w:rPr>
          <w:snapToGrid w:val="0"/>
        </w:rPr>
        <w:tab/>
        <w:t>In subsection (1) — </w:t>
      </w:r>
    </w:p>
    <w:p w:rsidR="005558CC" w:rsidRDefault="005743F0">
      <w:pPr>
        <w:pStyle w:val="Defstart"/>
      </w:pPr>
      <w:r>
        <w:rPr>
          <w:b/>
        </w:rPr>
        <w:tab/>
      </w:r>
      <w:r>
        <w:rPr>
          <w:rStyle w:val="CharDefText"/>
        </w:rPr>
        <w:t>charge</w:t>
      </w:r>
      <w:r>
        <w:t xml:space="preserve"> does not include rates or taxes charged on the land; and</w:t>
      </w:r>
    </w:p>
    <w:p w:rsidR="005558CC" w:rsidRDefault="005743F0">
      <w:pPr>
        <w:pStyle w:val="Defstart"/>
        <w:keepNext/>
      </w:pPr>
      <w:r>
        <w:rPr>
          <w:b/>
        </w:rPr>
        <w:lastRenderedPageBreak/>
        <w:tab/>
      </w:r>
      <w:r>
        <w:rPr>
          <w:rStyle w:val="CharDefText"/>
        </w:rPr>
        <w:t>notice in writing</w:t>
      </w:r>
      <w:r>
        <w:t xml:space="preserve"> includes a statement that is clearly contained in the contract.</w:t>
      </w:r>
    </w:p>
    <w:p w:rsidR="005558CC" w:rsidRDefault="005743F0">
      <w:pPr>
        <w:pStyle w:val="Footnotesection"/>
      </w:pPr>
      <w:r>
        <w:tab/>
        <w:t xml:space="preserve">[Section 7 amended: No. 81 of 1996 s. 153(1); No. 59 of 2004 s. 141; No. 38 of 2016 s. 4.] </w:t>
      </w:r>
    </w:p>
    <w:p w:rsidR="005558CC" w:rsidRDefault="005743F0">
      <w:pPr>
        <w:pStyle w:val="Heading5"/>
        <w:rPr>
          <w:snapToGrid w:val="0"/>
        </w:rPr>
      </w:pPr>
      <w:bookmarkStart w:id="14" w:name="_Toc74735079"/>
      <w:r>
        <w:rPr>
          <w:rStyle w:val="CharSectno"/>
        </w:rPr>
        <w:t>8</w:t>
      </w:r>
      <w:r>
        <w:rPr>
          <w:snapToGrid w:val="0"/>
        </w:rPr>
        <w:t>.</w:t>
      </w:r>
      <w:r>
        <w:rPr>
          <w:snapToGrid w:val="0"/>
        </w:rPr>
        <w:tab/>
        <w:t>Limitation on encumbrances</w:t>
      </w:r>
      <w:bookmarkEnd w:id="14"/>
      <w:r>
        <w:rPr>
          <w:snapToGrid w:val="0"/>
        </w:rPr>
        <w:t xml:space="preserve"> </w:t>
      </w:r>
    </w:p>
    <w:p w:rsidR="005558CC" w:rsidRDefault="005743F0">
      <w:pPr>
        <w:pStyle w:val="Subsection"/>
        <w:rPr>
          <w:snapToGrid w:val="0"/>
        </w:rPr>
      </w:pPr>
      <w:r>
        <w:rPr>
          <w:snapToGrid w:val="0"/>
        </w:rPr>
        <w:tab/>
      </w:r>
      <w:r>
        <w:rPr>
          <w:snapToGrid w:val="0"/>
        </w:rPr>
        <w:tab/>
        <w:t>A vendor of land under a terms contract shall not encumber the land by mortgage or otherwise unless — </w:t>
      </w:r>
    </w:p>
    <w:p w:rsidR="005558CC" w:rsidRDefault="005743F0">
      <w:pPr>
        <w:pStyle w:val="Indenta"/>
        <w:rPr>
          <w:snapToGrid w:val="0"/>
        </w:rPr>
      </w:pPr>
      <w:r>
        <w:rPr>
          <w:snapToGrid w:val="0"/>
        </w:rPr>
        <w:tab/>
        <w:t>(a)</w:t>
      </w:r>
      <w:r>
        <w:rPr>
          <w:snapToGrid w:val="0"/>
        </w:rPr>
        <w:tab/>
        <w:t>within the period of 28 days before he does so, the purchaser of the land consented in writing thereto; or</w:t>
      </w:r>
    </w:p>
    <w:p w:rsidR="005558CC" w:rsidRDefault="005743F0">
      <w:pPr>
        <w:pStyle w:val="Indenta"/>
        <w:rPr>
          <w:snapToGrid w:val="0"/>
        </w:rPr>
      </w:pPr>
      <w:r>
        <w:rPr>
          <w:snapToGrid w:val="0"/>
        </w:rPr>
        <w:tab/>
        <w:t>(b)</w:t>
      </w:r>
      <w:r>
        <w:rPr>
          <w:snapToGrid w:val="0"/>
        </w:rPr>
        <w:tab/>
        <w:t>the Court, on the application of the vendor pursuant to section 9, gives him leave to do so.</w:t>
      </w:r>
    </w:p>
    <w:p w:rsidR="005558CC" w:rsidRDefault="005743F0">
      <w:pPr>
        <w:pStyle w:val="Penstart"/>
      </w:pPr>
      <w:r>
        <w:tab/>
        <w:t>Penalty: a fine of $100 000.</w:t>
      </w:r>
    </w:p>
    <w:p w:rsidR="005558CC" w:rsidRDefault="005743F0">
      <w:pPr>
        <w:pStyle w:val="Footnotesection"/>
      </w:pPr>
      <w:r>
        <w:tab/>
        <w:t xml:space="preserve">[Section 8 amended: No. 38 of 2016 s. 5.] </w:t>
      </w:r>
    </w:p>
    <w:p w:rsidR="005558CC" w:rsidRDefault="005743F0">
      <w:pPr>
        <w:pStyle w:val="Heading5"/>
        <w:rPr>
          <w:snapToGrid w:val="0"/>
        </w:rPr>
      </w:pPr>
      <w:bookmarkStart w:id="15" w:name="_Toc74735080"/>
      <w:r>
        <w:rPr>
          <w:rStyle w:val="CharSectno"/>
        </w:rPr>
        <w:t>9</w:t>
      </w:r>
      <w:r>
        <w:rPr>
          <w:snapToGrid w:val="0"/>
        </w:rPr>
        <w:t>.</w:t>
      </w:r>
      <w:r>
        <w:rPr>
          <w:snapToGrid w:val="0"/>
        </w:rPr>
        <w:tab/>
        <w:t>Power of Court on application for leave to encumber the land</w:t>
      </w:r>
      <w:bookmarkEnd w:id="15"/>
      <w:r>
        <w:rPr>
          <w:snapToGrid w:val="0"/>
        </w:rPr>
        <w:t xml:space="preserve"> </w:t>
      </w:r>
    </w:p>
    <w:p w:rsidR="005558CC" w:rsidRDefault="005743F0">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rsidR="005558CC" w:rsidRDefault="005743F0">
      <w:pPr>
        <w:pStyle w:val="Heading5"/>
        <w:rPr>
          <w:snapToGrid w:val="0"/>
        </w:rPr>
      </w:pPr>
      <w:bookmarkStart w:id="16" w:name="_Toc74735081"/>
      <w:r>
        <w:rPr>
          <w:rStyle w:val="CharSectno"/>
        </w:rPr>
        <w:t>10</w:t>
      </w:r>
      <w:r>
        <w:rPr>
          <w:snapToGrid w:val="0"/>
        </w:rPr>
        <w:t>.</w:t>
      </w:r>
      <w:r>
        <w:rPr>
          <w:snapToGrid w:val="0"/>
        </w:rPr>
        <w:tab/>
        <w:t>Remedy of purchaser on contravention by vendor</w:t>
      </w:r>
      <w:bookmarkEnd w:id="16"/>
      <w:r>
        <w:rPr>
          <w:snapToGrid w:val="0"/>
        </w:rPr>
        <w:t xml:space="preserve"> </w:t>
      </w:r>
    </w:p>
    <w:p w:rsidR="005558CC" w:rsidRDefault="005743F0">
      <w:pPr>
        <w:pStyle w:val="Subsection"/>
        <w:rPr>
          <w:snapToGrid w:val="0"/>
        </w:rPr>
      </w:pPr>
      <w:r>
        <w:rPr>
          <w:snapToGrid w:val="0"/>
        </w:rPr>
        <w:tab/>
      </w:r>
      <w:r>
        <w:rPr>
          <w:snapToGrid w:val="0"/>
        </w:rPr>
        <w:tab/>
        <w:t xml:space="preserve">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w:t>
      </w:r>
      <w:r>
        <w:rPr>
          <w:snapToGrid w:val="0"/>
        </w:rPr>
        <w:lastRenderedPageBreak/>
        <w:t>exercised or made had it been alleged and established that the contract had been induced by fraudulent misrepresentation.</w:t>
      </w:r>
    </w:p>
    <w:p w:rsidR="005558CC" w:rsidRDefault="005743F0">
      <w:pPr>
        <w:pStyle w:val="Heading2"/>
      </w:pPr>
      <w:bookmarkStart w:id="17" w:name="_Toc74658163"/>
      <w:bookmarkStart w:id="18" w:name="_Toc74658210"/>
      <w:bookmarkStart w:id="19" w:name="_Toc74735082"/>
      <w:r>
        <w:rPr>
          <w:rStyle w:val="CharPartNo"/>
        </w:rPr>
        <w:lastRenderedPageBreak/>
        <w:t>Part III</w:t>
      </w:r>
      <w:r>
        <w:rPr>
          <w:rStyle w:val="CharDivNo"/>
        </w:rPr>
        <w:t> </w:t>
      </w:r>
      <w:r>
        <w:t>—</w:t>
      </w:r>
      <w:r>
        <w:rPr>
          <w:rStyle w:val="CharDivText"/>
        </w:rPr>
        <w:t> </w:t>
      </w:r>
      <w:r>
        <w:rPr>
          <w:rStyle w:val="CharPartText"/>
        </w:rPr>
        <w:t>Restrictions on sale of subdivisional land</w:t>
      </w:r>
      <w:bookmarkEnd w:id="17"/>
      <w:bookmarkEnd w:id="18"/>
      <w:bookmarkEnd w:id="19"/>
      <w:r>
        <w:rPr>
          <w:rStyle w:val="CharPartText"/>
        </w:rPr>
        <w:t xml:space="preserve"> </w:t>
      </w:r>
    </w:p>
    <w:p w:rsidR="005558CC" w:rsidRDefault="005743F0">
      <w:pPr>
        <w:pStyle w:val="Heading5"/>
        <w:spacing w:before="180"/>
        <w:rPr>
          <w:snapToGrid w:val="0"/>
        </w:rPr>
      </w:pPr>
      <w:bookmarkStart w:id="20" w:name="_Toc74735083"/>
      <w:r>
        <w:rPr>
          <w:rStyle w:val="CharSectno"/>
        </w:rPr>
        <w:t>11</w:t>
      </w:r>
      <w:r>
        <w:rPr>
          <w:snapToGrid w:val="0"/>
        </w:rPr>
        <w:t>.</w:t>
      </w:r>
      <w:r>
        <w:rPr>
          <w:snapToGrid w:val="0"/>
        </w:rPr>
        <w:tab/>
        <w:t>Interpretation</w:t>
      </w:r>
      <w:bookmarkEnd w:id="20"/>
      <w:r>
        <w:rPr>
          <w:snapToGrid w:val="0"/>
        </w:rPr>
        <w:t xml:space="preserve"> </w:t>
      </w:r>
    </w:p>
    <w:p w:rsidR="005558CC" w:rsidRDefault="005743F0">
      <w:pPr>
        <w:pStyle w:val="Subsection"/>
        <w:spacing w:before="120"/>
        <w:rPr>
          <w:snapToGrid w:val="0"/>
        </w:rPr>
      </w:pPr>
      <w:r>
        <w:rPr>
          <w:snapToGrid w:val="0"/>
        </w:rPr>
        <w:tab/>
      </w:r>
      <w:r>
        <w:rPr>
          <w:snapToGrid w:val="0"/>
        </w:rPr>
        <w:tab/>
        <w:t>In this Part, unless the contrary intention appears — </w:t>
      </w:r>
    </w:p>
    <w:p w:rsidR="005558CC" w:rsidRDefault="005743F0">
      <w:pPr>
        <w:pStyle w:val="Defstart"/>
      </w:pPr>
      <w:r>
        <w:tab/>
      </w:r>
      <w:r>
        <w:rPr>
          <w:rStyle w:val="CharDefText"/>
        </w:rPr>
        <w:t>ADI</w:t>
      </w:r>
      <w:r>
        <w:t xml:space="preserve"> means an authorised deposit</w:t>
      </w:r>
      <w:r>
        <w:noBreakHyphen/>
        <w:t xml:space="preserve">taking institution as defined in the </w:t>
      </w:r>
      <w:r>
        <w:rPr>
          <w:i/>
        </w:rPr>
        <w:t>Banking Act 1959</w:t>
      </w:r>
      <w:r>
        <w:t xml:space="preserve"> (Commonwealth) section 5(1);</w:t>
      </w:r>
    </w:p>
    <w:p w:rsidR="005558CC" w:rsidRDefault="005743F0">
      <w:pPr>
        <w:pStyle w:val="Defstart"/>
      </w:pPr>
      <w:r>
        <w:tab/>
      </w:r>
      <w:r>
        <w:rPr>
          <w:rStyle w:val="CharDefText"/>
        </w:rPr>
        <w:t>approved form</w:t>
      </w:r>
      <w:r>
        <w:t xml:space="preserve"> means a form approved by the Registrar of Titles;</w:t>
      </w:r>
    </w:p>
    <w:p w:rsidR="005558CC" w:rsidRDefault="005743F0">
      <w:pPr>
        <w:pStyle w:val="Defstart"/>
      </w:pPr>
      <w:r>
        <w:tab/>
      </w:r>
      <w:r>
        <w:rPr>
          <w:rStyle w:val="CharDefText"/>
        </w:rPr>
        <w:t>Australian legal practitioner</w:t>
      </w:r>
      <w:r>
        <w:t xml:space="preserve"> has the meaning given in the </w:t>
      </w:r>
      <w:r>
        <w:rPr>
          <w:i/>
        </w:rPr>
        <w:t>Legal Profession Act 2008</w:t>
      </w:r>
      <w:r>
        <w:t xml:space="preserve"> section 3;</w:t>
      </w:r>
    </w:p>
    <w:p w:rsidR="005558CC" w:rsidRDefault="005743F0">
      <w:pPr>
        <w:pStyle w:val="Defstart"/>
      </w:pPr>
      <w:r>
        <w:tab/>
      </w:r>
      <w:r>
        <w:rPr>
          <w:rStyle w:val="CharDefText"/>
        </w:rPr>
        <w:t xml:space="preserve">deposit holder </w:t>
      </w:r>
      <w:r>
        <w:t>means a person —</w:t>
      </w:r>
    </w:p>
    <w:p w:rsidR="005558CC" w:rsidRDefault="005743F0">
      <w:pPr>
        <w:pStyle w:val="Defpara"/>
      </w:pPr>
      <w:r>
        <w:tab/>
        <w:t>(a)</w:t>
      </w:r>
      <w:r>
        <w:tab/>
        <w:t>who accepts or holds any deposit or other amount for and on behalf of one or more of the parties to a contract for the sale of land; and</w:t>
      </w:r>
    </w:p>
    <w:p w:rsidR="005558CC" w:rsidRDefault="005743F0">
      <w:pPr>
        <w:pStyle w:val="Defpara"/>
      </w:pPr>
      <w:r>
        <w:tab/>
        <w:t>(b)</w:t>
      </w:r>
      <w:r>
        <w:tab/>
        <w:t xml:space="preserve">who is any of the following — </w:t>
      </w:r>
    </w:p>
    <w:p w:rsidR="005558CC" w:rsidRDefault="005743F0">
      <w:pPr>
        <w:pStyle w:val="Defsubpara"/>
      </w:pPr>
      <w:r>
        <w:tab/>
        <w:t>(i)</w:t>
      </w:r>
      <w:r>
        <w:tab/>
        <w:t>an Australian legal practitioner;</w:t>
      </w:r>
    </w:p>
    <w:p w:rsidR="005558CC" w:rsidRDefault="005743F0">
      <w:pPr>
        <w:pStyle w:val="Defsubpara"/>
      </w:pPr>
      <w:r>
        <w:tab/>
        <w:t>(ii)</w:t>
      </w:r>
      <w:r>
        <w:tab/>
        <w:t>a real estate agent;</w:t>
      </w:r>
    </w:p>
    <w:p w:rsidR="005558CC" w:rsidRDefault="005743F0">
      <w:pPr>
        <w:pStyle w:val="Defsubpara"/>
      </w:pPr>
      <w:r>
        <w:tab/>
        <w:t>(iii)</w:t>
      </w:r>
      <w:r>
        <w:tab/>
        <w:t>a settlement agent;</w:t>
      </w:r>
    </w:p>
    <w:p w:rsidR="005558CC" w:rsidRDefault="005743F0">
      <w:pPr>
        <w:pStyle w:val="Defstart"/>
      </w:pPr>
      <w:r>
        <w:tab/>
      </w:r>
      <w:r>
        <w:rPr>
          <w:rStyle w:val="CharDefText"/>
        </w:rPr>
        <w:t>future lot contract</w:t>
      </w:r>
      <w:r>
        <w:t xml:space="preserve"> means an executory contract for the sale and purchase of one or more lots to be created by subdivision where the vendor is a person —</w:t>
      </w:r>
    </w:p>
    <w:p w:rsidR="005558CC" w:rsidRDefault="005743F0">
      <w:pPr>
        <w:pStyle w:val="Defpara"/>
      </w:pPr>
      <w:r>
        <w:tab/>
        <w:t>(a)</w:t>
      </w:r>
      <w:r>
        <w:tab/>
        <w:t>who is not the proprietor of the lot or lots to which the contract relates; but</w:t>
      </w:r>
    </w:p>
    <w:p w:rsidR="005558CC" w:rsidRDefault="005743F0">
      <w:pPr>
        <w:pStyle w:val="Defpara"/>
      </w:pPr>
      <w:r>
        <w:tab/>
        <w:t>(b)</w:t>
      </w:r>
      <w:r>
        <w:tab/>
        <w:t>who will become, or will be entitled to become, the proprietor of that lot or those lots;</w:t>
      </w:r>
    </w:p>
    <w:p w:rsidR="005558CC" w:rsidRDefault="005743F0">
      <w:pPr>
        <w:pStyle w:val="Defstart"/>
      </w:pPr>
      <w:r>
        <w:tab/>
      </w:r>
      <w:r>
        <w:rPr>
          <w:rStyle w:val="CharDefText"/>
        </w:rPr>
        <w:t>lot</w:t>
      </w:r>
      <w:r>
        <w:t xml:space="preserve"> has the meaning given in the </w:t>
      </w:r>
      <w:r>
        <w:rPr>
          <w:i/>
        </w:rPr>
        <w:t>Planning and Development Act 2005</w:t>
      </w:r>
      <w:r>
        <w:t xml:space="preserve"> section 4 except that, for the purposes of this Part, it includes — </w:t>
      </w:r>
    </w:p>
    <w:p w:rsidR="005558CC" w:rsidRDefault="005743F0">
      <w:pPr>
        <w:pStyle w:val="Defpara"/>
      </w:pPr>
      <w:r>
        <w:tab/>
        <w:t>(a)</w:t>
      </w:r>
      <w:r>
        <w:tab/>
        <w:t xml:space="preserve">a lot as defined in the </w:t>
      </w:r>
      <w:r>
        <w:rPr>
          <w:i/>
        </w:rPr>
        <w:t>Strata Titles Act 1985</w:t>
      </w:r>
      <w:r>
        <w:t xml:space="preserve"> section 3(1); and</w:t>
      </w:r>
    </w:p>
    <w:p w:rsidR="005558CC" w:rsidRDefault="005743F0">
      <w:pPr>
        <w:pStyle w:val="Ednotedefpara"/>
      </w:pPr>
      <w:r>
        <w:tab/>
        <w:t>[(b)</w:t>
      </w:r>
      <w:r>
        <w:tab/>
        <w:t>deleted]</w:t>
      </w:r>
    </w:p>
    <w:p w:rsidR="005558CC" w:rsidRDefault="005743F0">
      <w:pPr>
        <w:pStyle w:val="Defpara"/>
      </w:pPr>
      <w:r>
        <w:lastRenderedPageBreak/>
        <w:tab/>
        <w:t>(c)</w:t>
      </w:r>
      <w:r>
        <w:tab/>
        <w:t>an area of land represented, by or on behalf of any person attempting to promote the sale of that area of land, to be an area of land that will constitute a lot in a proposed subdivision;</w:t>
      </w:r>
    </w:p>
    <w:p w:rsidR="005558CC" w:rsidRDefault="005743F0">
      <w:pPr>
        <w:pStyle w:val="Defstart"/>
      </w:pPr>
      <w:r>
        <w:rPr>
          <w:b/>
        </w:rPr>
        <w:tab/>
      </w:r>
      <w:r>
        <w:rPr>
          <w:rStyle w:val="CharDefText"/>
        </w:rPr>
        <w:t>proprietor</w:t>
      </w:r>
      <w:r>
        <w:t xml:space="preserve"> has the same meaning as it has in section 4 of the </w:t>
      </w:r>
      <w:r>
        <w:rPr>
          <w:i/>
        </w:rPr>
        <w:t>Transfer of Land Act 1893</w:t>
      </w:r>
      <w:r>
        <w:t>;</w:t>
      </w:r>
    </w:p>
    <w:p w:rsidR="005558CC" w:rsidRDefault="005743F0">
      <w:pPr>
        <w:pStyle w:val="Defstart"/>
      </w:pPr>
      <w:r>
        <w:tab/>
      </w:r>
      <w:r>
        <w:rPr>
          <w:rStyle w:val="CharDefText"/>
        </w:rPr>
        <w:t>real estate agent</w:t>
      </w:r>
      <w:r>
        <w:t xml:space="preserve"> means a person who is licensed as a real estate agent under the </w:t>
      </w:r>
      <w:r>
        <w:rPr>
          <w:i/>
        </w:rPr>
        <w:t>Real Estate and Business Agents Act 1978</w:t>
      </w:r>
      <w:r>
        <w:t>;</w:t>
      </w:r>
    </w:p>
    <w:p w:rsidR="005558CC" w:rsidRDefault="005743F0">
      <w:pPr>
        <w:pStyle w:val="Defstart"/>
      </w:pPr>
      <w:r>
        <w:tab/>
      </w:r>
      <w:r>
        <w:rPr>
          <w:rStyle w:val="CharDefText"/>
        </w:rPr>
        <w:t>Registrar of Titles</w:t>
      </w:r>
      <w:r>
        <w:t xml:space="preserve"> means the person designated for the time being as the Registrar of Titles under the </w:t>
      </w:r>
      <w:r>
        <w:rPr>
          <w:i/>
        </w:rPr>
        <w:t>Transfer of Land Act 1893</w:t>
      </w:r>
      <w:r>
        <w:t xml:space="preserve"> section 7;</w:t>
      </w:r>
    </w:p>
    <w:p w:rsidR="005558CC" w:rsidRDefault="005743F0">
      <w:pPr>
        <w:pStyle w:val="Defstart"/>
      </w:pPr>
      <w:r>
        <w:rPr>
          <w:b/>
        </w:rPr>
        <w:tab/>
      </w:r>
      <w:r>
        <w:rPr>
          <w:rStyle w:val="CharDefText"/>
        </w:rPr>
        <w:t>sell</w:t>
      </w:r>
      <w:r>
        <w:t xml:space="preserve"> includes — </w:t>
      </w:r>
    </w:p>
    <w:p w:rsidR="005558CC" w:rsidRDefault="005743F0">
      <w:pPr>
        <w:pStyle w:val="Defpara"/>
      </w:pPr>
      <w:r>
        <w:tab/>
        <w:t>(a)</w:t>
      </w:r>
      <w:r>
        <w:tab/>
        <w:t>for valuable consideration — </w:t>
      </w:r>
    </w:p>
    <w:p w:rsidR="005558CC" w:rsidRDefault="005743F0">
      <w:pPr>
        <w:pStyle w:val="Defsubpara"/>
      </w:pPr>
      <w:r>
        <w:tab/>
        <w:t>(i)</w:t>
      </w:r>
      <w:r>
        <w:tab/>
        <w:t>assign an interest in;</w:t>
      </w:r>
    </w:p>
    <w:p w:rsidR="005558CC" w:rsidRDefault="005743F0">
      <w:pPr>
        <w:pStyle w:val="Defsubpara"/>
      </w:pPr>
      <w:r>
        <w:tab/>
        <w:t>(ii)</w:t>
      </w:r>
      <w:r>
        <w:tab/>
        <w:t>assign the benefit of a contract relating to;</w:t>
      </w:r>
    </w:p>
    <w:p w:rsidR="005558CC" w:rsidRDefault="005743F0">
      <w:pPr>
        <w:pStyle w:val="Defsubpara"/>
      </w:pPr>
      <w:r>
        <w:tab/>
        <w:t>(iii)</w:t>
      </w:r>
      <w:r>
        <w:tab/>
        <w:t xml:space="preserve">confer a right to purchase, to acquire an interest in, or to acquire the benefit of a contract relating to; </w:t>
      </w:r>
    </w:p>
    <w:p w:rsidR="005558CC" w:rsidRDefault="005743F0">
      <w:pPr>
        <w:pStyle w:val="Defpara"/>
        <w:spacing w:before="60"/>
      </w:pPr>
      <w:r>
        <w:tab/>
      </w:r>
      <w:r>
        <w:tab/>
        <w:t>and</w:t>
      </w:r>
    </w:p>
    <w:p w:rsidR="005558CC" w:rsidRDefault="005743F0">
      <w:pPr>
        <w:pStyle w:val="Defpara"/>
      </w:pPr>
      <w:r>
        <w:tab/>
        <w:t>(b)</w:t>
      </w:r>
      <w:r>
        <w:tab/>
        <w:t>offer, hold oneself out or advertise as being willing, or agree to sell or, for valuable consideration, to do as mentioned in paragraph (a)(i), (ii) or (iii),</w:t>
      </w:r>
    </w:p>
    <w:p w:rsidR="005558CC" w:rsidRDefault="005743F0">
      <w:pPr>
        <w:pStyle w:val="Defstart"/>
      </w:pPr>
      <w:r>
        <w:tab/>
        <w:t xml:space="preserve">and </w:t>
      </w:r>
      <w:r>
        <w:rPr>
          <w:rStyle w:val="CharDefText"/>
        </w:rPr>
        <w:t>selling</w:t>
      </w:r>
      <w:r>
        <w:t xml:space="preserve"> and </w:t>
      </w:r>
      <w:r>
        <w:rPr>
          <w:rStyle w:val="CharDefText"/>
        </w:rPr>
        <w:t>sold</w:t>
      </w:r>
      <w:r>
        <w:t xml:space="preserve"> include corresponding meanings;</w:t>
      </w:r>
    </w:p>
    <w:p w:rsidR="005558CC" w:rsidRDefault="005743F0">
      <w:pPr>
        <w:pStyle w:val="Defstart"/>
      </w:pPr>
      <w:r>
        <w:tab/>
      </w:r>
      <w:r>
        <w:rPr>
          <w:rStyle w:val="CharDefText"/>
        </w:rPr>
        <w:t>settlement agent</w:t>
      </w:r>
      <w:r>
        <w:t xml:space="preserve"> means a person who is licensed as a settlement agent under the </w:t>
      </w:r>
      <w:r>
        <w:rPr>
          <w:i/>
        </w:rPr>
        <w:t>Settlement Agents Act 1981</w:t>
      </w:r>
      <w:r>
        <w:t>;</w:t>
      </w:r>
    </w:p>
    <w:p w:rsidR="005558CC" w:rsidRDefault="005743F0">
      <w:pPr>
        <w:pStyle w:val="Defstart"/>
      </w:pPr>
      <w:r>
        <w:tab/>
      </w:r>
      <w:r>
        <w:rPr>
          <w:rStyle w:val="CharDefText"/>
        </w:rPr>
        <w:t>vendor’s condition</w:t>
      </w:r>
      <w:r>
        <w:t xml:space="preserve"> has the meaning given in section 13B(1);</w:t>
      </w:r>
    </w:p>
    <w:p w:rsidR="005558CC" w:rsidRDefault="005743F0">
      <w:pPr>
        <w:pStyle w:val="Defstart"/>
      </w:pPr>
      <w:r>
        <w:tab/>
      </w:r>
      <w:r>
        <w:rPr>
          <w:rStyle w:val="CharDefText"/>
        </w:rPr>
        <w:t>working day</w:t>
      </w:r>
      <w:r>
        <w:t xml:space="preserve"> means a day other than a Saturday, a Sunday or a public holiday.</w:t>
      </w:r>
    </w:p>
    <w:p w:rsidR="005558CC" w:rsidRDefault="005743F0">
      <w:pPr>
        <w:pStyle w:val="Footnotesection"/>
      </w:pPr>
      <w:r>
        <w:tab/>
        <w:t>[Section 11 amended: No. 38 of 2005 s. 15; No. 38 of 2016 s. 6; No. 30 of 2018 s. 186.]</w:t>
      </w:r>
    </w:p>
    <w:p w:rsidR="005558CC" w:rsidRDefault="005743F0">
      <w:pPr>
        <w:pStyle w:val="Ednotesection"/>
        <w:spacing w:before="180"/>
        <w:ind w:left="890" w:hanging="890"/>
      </w:pPr>
      <w:r>
        <w:t>[</w:t>
      </w:r>
      <w:r>
        <w:rPr>
          <w:b/>
        </w:rPr>
        <w:t>12.</w:t>
      </w:r>
      <w:r>
        <w:tab/>
        <w:t xml:space="preserve">Deleted: No. 40 of 1985 s. 4.] </w:t>
      </w:r>
    </w:p>
    <w:p w:rsidR="005558CC" w:rsidRDefault="005743F0">
      <w:pPr>
        <w:pStyle w:val="Heading5"/>
        <w:spacing w:before="180"/>
        <w:rPr>
          <w:snapToGrid w:val="0"/>
        </w:rPr>
      </w:pPr>
      <w:bookmarkStart w:id="21" w:name="_Toc74735084"/>
      <w:r>
        <w:rPr>
          <w:rStyle w:val="CharSectno"/>
        </w:rPr>
        <w:lastRenderedPageBreak/>
        <w:t>13</w:t>
      </w:r>
      <w:r>
        <w:rPr>
          <w:snapToGrid w:val="0"/>
        </w:rPr>
        <w:t>.</w:t>
      </w:r>
      <w:r>
        <w:rPr>
          <w:snapToGrid w:val="0"/>
        </w:rPr>
        <w:tab/>
        <w:t>Restriction on sale of subdivisional land</w:t>
      </w:r>
      <w:bookmarkEnd w:id="21"/>
      <w:r>
        <w:rPr>
          <w:snapToGrid w:val="0"/>
        </w:rPr>
        <w:t xml:space="preserve"> </w:t>
      </w:r>
    </w:p>
    <w:p w:rsidR="005558CC" w:rsidRDefault="005743F0">
      <w:pPr>
        <w:pStyle w:val="Subsection"/>
        <w:spacing w:before="120"/>
        <w:rPr>
          <w:snapToGrid w:val="0"/>
        </w:rPr>
      </w:pPr>
      <w:r>
        <w:rPr>
          <w:snapToGrid w:val="0"/>
        </w:rPr>
        <w:tab/>
        <w:t>(1)</w:t>
      </w:r>
      <w:r>
        <w:rPr>
          <w:snapToGrid w:val="0"/>
        </w:rPr>
        <w:tab/>
        <w:t xml:space="preserve">A person who would, but for this Act, have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unless — </w:t>
      </w:r>
    </w:p>
    <w:p w:rsidR="005558CC" w:rsidRDefault="005743F0">
      <w:pPr>
        <w:pStyle w:val="Indenta"/>
        <w:rPr>
          <w:snapToGrid w:val="0"/>
        </w:rPr>
      </w:pPr>
      <w:r>
        <w:rPr>
          <w:snapToGrid w:val="0"/>
        </w:rPr>
        <w:tab/>
        <w:t>(a)</w:t>
      </w:r>
      <w:r>
        <w:rPr>
          <w:snapToGrid w:val="0"/>
        </w:rPr>
        <w:tab/>
        <w:t>he is the proprietor thereof;</w:t>
      </w:r>
    </w:p>
    <w:p w:rsidR="005558CC" w:rsidRDefault="005743F0">
      <w:pPr>
        <w:pStyle w:val="Indenta"/>
        <w:rPr>
          <w:snapToGrid w:val="0"/>
        </w:rPr>
      </w:pPr>
      <w:r>
        <w:rPr>
          <w:snapToGrid w:val="0"/>
        </w:rPr>
        <w:tab/>
        <w:t>(b)</w:t>
      </w:r>
      <w:r>
        <w:rPr>
          <w:snapToGrid w:val="0"/>
        </w:rPr>
        <w:tab/>
        <w:t>he is selling as agent of the proprietor;</w:t>
      </w:r>
    </w:p>
    <w:p w:rsidR="005558CC" w:rsidRDefault="005743F0">
      <w:pPr>
        <w:pStyle w:val="Ednotepara"/>
      </w:pPr>
      <w:r>
        <w:tab/>
        <w:t>[(c)</w:t>
      </w:r>
      <w:r>
        <w:tab/>
        <w:t>deleted]</w:t>
      </w:r>
    </w:p>
    <w:p w:rsidR="005558CC" w:rsidRDefault="005743F0">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rsidR="005558CC" w:rsidRDefault="005743F0">
      <w:pPr>
        <w:pStyle w:val="Indenta"/>
        <w:rPr>
          <w:snapToGrid w:val="0"/>
        </w:rPr>
      </w:pPr>
      <w:r>
        <w:rPr>
          <w:snapToGrid w:val="0"/>
        </w:rPr>
        <w:tab/>
        <w:t>(e)</w:t>
      </w:r>
      <w:r>
        <w:rPr>
          <w:snapToGrid w:val="0"/>
        </w:rPr>
        <w:tab/>
        <w:t>he is presently entitled to become the proprietor of the lot.</w:t>
      </w:r>
    </w:p>
    <w:p w:rsidR="005558CC" w:rsidRDefault="005743F0">
      <w:pPr>
        <w:pStyle w:val="Penstart"/>
      </w:pPr>
      <w:r>
        <w:tab/>
        <w:t>Penalty for this subsection: a fine of $100 000.</w:t>
      </w:r>
    </w:p>
    <w:p w:rsidR="005558CC" w:rsidRDefault="005743F0">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with the Registrar of Titles.</w:t>
      </w:r>
    </w:p>
    <w:p w:rsidR="005558CC" w:rsidRDefault="005743F0">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rsidR="005558CC" w:rsidRDefault="005743F0">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rsidR="005558CC" w:rsidRDefault="005743F0">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rsidR="005558CC" w:rsidRDefault="005743F0">
      <w:pPr>
        <w:pStyle w:val="Footnotesection"/>
      </w:pPr>
      <w:r>
        <w:lastRenderedPageBreak/>
        <w:tab/>
        <w:t xml:space="preserve">[Section 13 amended: No. 40 of 1985 s. 5; No. 81 of 1996 s. 153(1) and (2); No. 60 of 2006 s. 157; No. 38 of 2016 s. 7.] </w:t>
      </w:r>
    </w:p>
    <w:p w:rsidR="005558CC" w:rsidRDefault="005743F0">
      <w:pPr>
        <w:pStyle w:val="Heading5"/>
      </w:pPr>
      <w:bookmarkStart w:id="22" w:name="_Toc74735085"/>
      <w:r>
        <w:rPr>
          <w:rStyle w:val="CharSectno"/>
        </w:rPr>
        <w:t>13A</w:t>
      </w:r>
      <w:r>
        <w:t>.</w:t>
      </w:r>
      <w:r>
        <w:tab/>
        <w:t>Relationship between section 13 and sections 13B to 13D</w:t>
      </w:r>
      <w:bookmarkEnd w:id="22"/>
    </w:p>
    <w:p w:rsidR="005558CC" w:rsidRDefault="005743F0">
      <w:pPr>
        <w:pStyle w:val="Subsection"/>
      </w:pPr>
      <w:r>
        <w:tab/>
      </w:r>
      <w:r>
        <w:tab/>
        <w:t>Despite section 13, a person may sell one or more lots under a future lot contract as long as sections 13B to 13D are complied with.</w:t>
      </w:r>
    </w:p>
    <w:p w:rsidR="005558CC" w:rsidRDefault="005743F0">
      <w:pPr>
        <w:pStyle w:val="Footnotesection"/>
      </w:pPr>
      <w:r>
        <w:tab/>
        <w:t xml:space="preserve">[Section 13A inserted: No. 38 of 2016 s. 8.] </w:t>
      </w:r>
    </w:p>
    <w:p w:rsidR="005558CC" w:rsidRDefault="005743F0">
      <w:pPr>
        <w:pStyle w:val="Heading5"/>
      </w:pPr>
      <w:bookmarkStart w:id="23" w:name="_Toc74735086"/>
      <w:r>
        <w:rPr>
          <w:rStyle w:val="CharSectno"/>
        </w:rPr>
        <w:t>13B</w:t>
      </w:r>
      <w:r>
        <w:t>.</w:t>
      </w:r>
      <w:r>
        <w:tab/>
        <w:t>Requirement for future lot contract to include vendor’s condition</w:t>
      </w:r>
      <w:bookmarkEnd w:id="23"/>
    </w:p>
    <w:p w:rsidR="005558CC" w:rsidRDefault="005743F0">
      <w:pPr>
        <w:pStyle w:val="Subsection"/>
      </w:pPr>
      <w:r>
        <w:tab/>
        <w:t>(1)</w:t>
      </w:r>
      <w:r>
        <w:tab/>
        <w:t xml:space="preserve">A future lot contract must include the condition (the </w:t>
      </w:r>
      <w:r>
        <w:rPr>
          <w:rStyle w:val="CharDefText"/>
        </w:rPr>
        <w:t>vendor’s condition</w:t>
      </w:r>
      <w:r>
        <w:t>) that before the close of the period specified in subsection (2), the vendor will become, or will be entitled to become, the proprietor of the lot or lots to which the contract relates.</w:t>
      </w:r>
    </w:p>
    <w:p w:rsidR="005558CC" w:rsidRDefault="005743F0">
      <w:pPr>
        <w:pStyle w:val="Subsection"/>
      </w:pPr>
      <w:r>
        <w:tab/>
        <w:t>(2)</w:t>
      </w:r>
      <w:r>
        <w:tab/>
        <w:t>The period referred to in subsection (1) is —</w:t>
      </w:r>
    </w:p>
    <w:p w:rsidR="005558CC" w:rsidRDefault="005743F0">
      <w:pPr>
        <w:pStyle w:val="Indenta"/>
      </w:pPr>
      <w:r>
        <w:tab/>
        <w:t>(a)</w:t>
      </w:r>
      <w:r>
        <w:tab/>
        <w:t>the period of 6 months beginning with the day on which the future lot contract is executed by the parties or, if the parties execute the contract on different days, the later of those days; or</w:t>
      </w:r>
    </w:p>
    <w:p w:rsidR="005558CC" w:rsidRDefault="005743F0">
      <w:pPr>
        <w:pStyle w:val="Indenta"/>
      </w:pPr>
      <w:r>
        <w:tab/>
        <w:t>(b)</w:t>
      </w:r>
      <w:r>
        <w:tab/>
        <w:t>any other period that the parties may specify in the future lot contract or in a variation to that contract as the applicable period for the purposes of subsection (1).</w:t>
      </w:r>
    </w:p>
    <w:p w:rsidR="005558CC" w:rsidRDefault="005743F0">
      <w:pPr>
        <w:pStyle w:val="Subsection"/>
      </w:pPr>
      <w:r>
        <w:tab/>
        <w:t>(3)</w:t>
      </w:r>
      <w:r>
        <w:tab/>
        <w:t xml:space="preserve">If a future lot contract does not include the vendor’s condition required under subsection (1) — </w:t>
      </w:r>
    </w:p>
    <w:p w:rsidR="005558CC" w:rsidRDefault="005743F0">
      <w:pPr>
        <w:pStyle w:val="Indenta"/>
      </w:pPr>
      <w:r>
        <w:tab/>
        <w:t>(a)</w:t>
      </w:r>
      <w:r>
        <w:tab/>
        <w:t>the contract is illegal and void; and</w:t>
      </w:r>
    </w:p>
    <w:p w:rsidR="005558CC" w:rsidRDefault="005743F0">
      <w:pPr>
        <w:pStyle w:val="Indenta"/>
        <w:keepNext/>
      </w:pPr>
      <w:r>
        <w:tab/>
        <w:t>(b)</w:t>
      </w:r>
      <w:r>
        <w:tab/>
        <w:t xml:space="preserve">the purchaser may recover from the deposit holder specified in the contract or from any other person to whom the deposit was paid — </w:t>
      </w:r>
    </w:p>
    <w:p w:rsidR="005558CC" w:rsidRDefault="005743F0">
      <w:pPr>
        <w:pStyle w:val="Indenti"/>
      </w:pPr>
      <w:r>
        <w:tab/>
        <w:t>(i)</w:t>
      </w:r>
      <w:r>
        <w:tab/>
        <w:t>any deposit or other amount paid by the purchaser under the contract; and</w:t>
      </w:r>
    </w:p>
    <w:p w:rsidR="005558CC" w:rsidRDefault="005743F0">
      <w:pPr>
        <w:pStyle w:val="Indenti"/>
      </w:pPr>
      <w:r>
        <w:lastRenderedPageBreak/>
        <w:tab/>
        <w:t>(ii)</w:t>
      </w:r>
      <w:r>
        <w:tab/>
        <w:t>if applicable, any interest accrued on the deposit or other amount.</w:t>
      </w:r>
    </w:p>
    <w:p w:rsidR="005558CC" w:rsidRDefault="005743F0">
      <w:pPr>
        <w:pStyle w:val="Subsection"/>
      </w:pPr>
      <w:r>
        <w:tab/>
        <w:t>(4)</w:t>
      </w:r>
      <w:r>
        <w:tab/>
        <w:t xml:space="preserve">For the purposes of subsection (1), a vendor is entitled to become the proprietor of the lot or lots to which the future lot contract relates if the vendor is entitled to be registered as proprietor of that lot or those lots under one or more registrable instruments or under one or more applications made under the </w:t>
      </w:r>
      <w:r>
        <w:rPr>
          <w:i/>
        </w:rPr>
        <w:t>Transfer of Land Act 1893</w:t>
      </w:r>
      <w:r>
        <w:t xml:space="preserve"> which have been lodged with the Registrar of Titles.</w:t>
      </w:r>
    </w:p>
    <w:p w:rsidR="005558CC" w:rsidRDefault="005743F0">
      <w:pPr>
        <w:pStyle w:val="Subsection"/>
      </w:pPr>
      <w:r>
        <w:tab/>
        <w:t>(5)</w:t>
      </w:r>
      <w:r>
        <w:tab/>
        <w:t>An instrument or application that was at the relevant time lodged as described in subsection (4) but was defective is to be taken to give as good an entitlement to be registered as proprietor as it would give had there been no defect in the instrument or application if —</w:t>
      </w:r>
    </w:p>
    <w:p w:rsidR="005558CC" w:rsidRDefault="005743F0">
      <w:pPr>
        <w:pStyle w:val="Indenta"/>
      </w:pPr>
      <w:r>
        <w:tab/>
        <w:t>(a)</w:t>
      </w:r>
      <w:r>
        <w:tab/>
        <w:t>the instrument has subsequently been registered or the application granted without having been returned by the Registrar of Titles or having been withdrawn from the registration process; or</w:t>
      </w:r>
    </w:p>
    <w:p w:rsidR="005558CC" w:rsidRDefault="005743F0">
      <w:pPr>
        <w:pStyle w:val="Indenta"/>
      </w:pPr>
      <w:r>
        <w:tab/>
        <w:t>(b)</w:t>
      </w:r>
      <w:r>
        <w:tab/>
        <w:t>the Registrar of Titles certifies in writing that the defect was not of a substantial nature and that it has been remedied.</w:t>
      </w:r>
    </w:p>
    <w:p w:rsidR="005558CC" w:rsidRDefault="005743F0">
      <w:pPr>
        <w:pStyle w:val="Subsection"/>
      </w:pPr>
      <w:r>
        <w:tab/>
        <w:t>(6)</w:t>
      </w:r>
      <w:r>
        <w:tab/>
        <w:t>A vendor who enters into a future lot contract that does not include the vendor’s condition required under subsection (1) commits an offence.</w:t>
      </w:r>
    </w:p>
    <w:p w:rsidR="005558CC" w:rsidRDefault="005743F0">
      <w:pPr>
        <w:pStyle w:val="Penstart"/>
      </w:pPr>
      <w:r>
        <w:tab/>
        <w:t>Penalty for this subsection: a fine of $100 000.</w:t>
      </w:r>
    </w:p>
    <w:p w:rsidR="005558CC" w:rsidRDefault="005743F0">
      <w:pPr>
        <w:pStyle w:val="Footnotesection"/>
      </w:pPr>
      <w:r>
        <w:tab/>
        <w:t xml:space="preserve">[Section 13B inserted: No. 38 of 2016 s. 8.] </w:t>
      </w:r>
    </w:p>
    <w:p w:rsidR="005558CC" w:rsidRDefault="005743F0">
      <w:pPr>
        <w:pStyle w:val="Heading5"/>
      </w:pPr>
      <w:bookmarkStart w:id="24" w:name="_Toc74735087"/>
      <w:r>
        <w:rPr>
          <w:rStyle w:val="CharSectno"/>
        </w:rPr>
        <w:t>13C</w:t>
      </w:r>
      <w:r>
        <w:t>.</w:t>
      </w:r>
      <w:r>
        <w:tab/>
        <w:t>Requirement for future lot contract to include warning</w:t>
      </w:r>
      <w:bookmarkEnd w:id="24"/>
    </w:p>
    <w:p w:rsidR="005558CC" w:rsidRDefault="005743F0">
      <w:pPr>
        <w:pStyle w:val="Subsection"/>
      </w:pPr>
      <w:r>
        <w:tab/>
        <w:t>(1)</w:t>
      </w:r>
      <w:r>
        <w:tab/>
        <w:t>A future lot contract must include a warning that contains a statement to the effect that the vendor is not the proprietor of the lot or lots to which the contract relates.</w:t>
      </w:r>
    </w:p>
    <w:p w:rsidR="005558CC" w:rsidRDefault="005743F0">
      <w:pPr>
        <w:pStyle w:val="Subsection"/>
      </w:pPr>
      <w:r>
        <w:tab/>
        <w:t>(2)</w:t>
      </w:r>
      <w:r>
        <w:tab/>
        <w:t>The warning required under subsection (1) must be in the approved form.</w:t>
      </w:r>
    </w:p>
    <w:p w:rsidR="005558CC" w:rsidRDefault="005743F0">
      <w:pPr>
        <w:pStyle w:val="Subsection"/>
      </w:pPr>
      <w:r>
        <w:lastRenderedPageBreak/>
        <w:tab/>
        <w:t>(3)</w:t>
      </w:r>
      <w:r>
        <w:tab/>
        <w:t>If a future lot contract does not include the warning required under subsection (1) —</w:t>
      </w:r>
    </w:p>
    <w:p w:rsidR="005558CC" w:rsidRDefault="005743F0">
      <w:pPr>
        <w:pStyle w:val="Indenta"/>
      </w:pPr>
      <w:r>
        <w:tab/>
        <w:t>(a)</w:t>
      </w:r>
      <w:r>
        <w:tab/>
        <w:t>the contract is illegal and void; and</w:t>
      </w:r>
    </w:p>
    <w:p w:rsidR="005558CC" w:rsidRDefault="005743F0">
      <w:pPr>
        <w:pStyle w:val="Indenta"/>
      </w:pPr>
      <w:r>
        <w:tab/>
        <w:t>(b)</w:t>
      </w:r>
      <w:r>
        <w:tab/>
        <w:t xml:space="preserve">the purchaser may recover from the deposit holder specified in the contract or from any other person to whom the deposit was paid — </w:t>
      </w:r>
    </w:p>
    <w:p w:rsidR="005558CC" w:rsidRDefault="005743F0">
      <w:pPr>
        <w:pStyle w:val="Indenti"/>
      </w:pPr>
      <w:r>
        <w:tab/>
        <w:t>(i)</w:t>
      </w:r>
      <w:r>
        <w:tab/>
        <w:t>any deposit or other amount paid by the purchaser under the contract; and</w:t>
      </w:r>
    </w:p>
    <w:p w:rsidR="005558CC" w:rsidRDefault="005743F0">
      <w:pPr>
        <w:pStyle w:val="Indenti"/>
      </w:pPr>
      <w:r>
        <w:tab/>
        <w:t>(ii)</w:t>
      </w:r>
      <w:r>
        <w:tab/>
        <w:t>if applicable, any interest accrued on the deposit or other amount.</w:t>
      </w:r>
    </w:p>
    <w:p w:rsidR="005558CC" w:rsidRDefault="005743F0">
      <w:pPr>
        <w:pStyle w:val="Subsection"/>
      </w:pPr>
      <w:r>
        <w:tab/>
        <w:t>(4)</w:t>
      </w:r>
      <w:r>
        <w:tab/>
        <w:t>A vendor who enters into a future lot contract that does not include the warning required under subsection (1) commits an offence.</w:t>
      </w:r>
    </w:p>
    <w:p w:rsidR="005558CC" w:rsidRDefault="005743F0">
      <w:pPr>
        <w:pStyle w:val="Penstart"/>
      </w:pPr>
      <w:r>
        <w:tab/>
        <w:t>Penalty for this subsection: a fine of $100 000.</w:t>
      </w:r>
    </w:p>
    <w:p w:rsidR="005558CC" w:rsidRDefault="005743F0">
      <w:pPr>
        <w:pStyle w:val="Footnotesection"/>
      </w:pPr>
      <w:r>
        <w:tab/>
        <w:t xml:space="preserve">[Section 13C inserted: No. 38 of 2016 s. 8.] </w:t>
      </w:r>
    </w:p>
    <w:p w:rsidR="005558CC" w:rsidRDefault="005743F0">
      <w:pPr>
        <w:pStyle w:val="Heading5"/>
      </w:pPr>
      <w:bookmarkStart w:id="25" w:name="_Toc74735088"/>
      <w:r>
        <w:rPr>
          <w:rStyle w:val="CharSectno"/>
        </w:rPr>
        <w:t>13D</w:t>
      </w:r>
      <w:r>
        <w:t>.</w:t>
      </w:r>
      <w:r>
        <w:tab/>
        <w:t>Requirement for future lot contract to provide that deposit or other amount payable by purchaser must be paid to deposit holder</w:t>
      </w:r>
      <w:bookmarkEnd w:id="25"/>
    </w:p>
    <w:p w:rsidR="005558CC" w:rsidRDefault="005743F0">
      <w:pPr>
        <w:pStyle w:val="Subsection"/>
      </w:pPr>
      <w:r>
        <w:tab/>
        <w:t>(1)</w:t>
      </w:r>
      <w:r>
        <w:tab/>
        <w:t>A future lot contract must provide that any deposit or other amount payable by the purchaser under the contract must be —</w:t>
      </w:r>
    </w:p>
    <w:p w:rsidR="005558CC" w:rsidRDefault="005743F0">
      <w:pPr>
        <w:pStyle w:val="Indenta"/>
      </w:pPr>
      <w:r>
        <w:tab/>
        <w:t>(a)</w:t>
      </w:r>
      <w:r>
        <w:tab/>
        <w:t>paid by the vendor to a deposit holder specified in the contract within 2 working days after receipt of the payment from the purchaser; and</w:t>
      </w:r>
    </w:p>
    <w:p w:rsidR="005558CC" w:rsidRDefault="005743F0">
      <w:pPr>
        <w:pStyle w:val="Indenta"/>
      </w:pPr>
      <w:r>
        <w:tab/>
        <w:t>(b)</w:t>
      </w:r>
      <w:r>
        <w:tab/>
        <w:t>held by the deposit holder on trust for the person entitled to receive it under the contract.</w:t>
      </w:r>
    </w:p>
    <w:p w:rsidR="005558CC" w:rsidRDefault="005743F0">
      <w:pPr>
        <w:pStyle w:val="Subsection"/>
      </w:pPr>
      <w:r>
        <w:tab/>
        <w:t>(2)</w:t>
      </w:r>
      <w:r>
        <w:tab/>
        <w:t>If a future lot contract does not include the provision required under subsection (1) —</w:t>
      </w:r>
    </w:p>
    <w:p w:rsidR="005558CC" w:rsidRDefault="005743F0">
      <w:pPr>
        <w:pStyle w:val="Indenta"/>
      </w:pPr>
      <w:r>
        <w:tab/>
        <w:t>(a)</w:t>
      </w:r>
      <w:r>
        <w:tab/>
        <w:t>the contract is illegal and void; and</w:t>
      </w:r>
    </w:p>
    <w:p w:rsidR="005558CC" w:rsidRDefault="005743F0">
      <w:pPr>
        <w:pStyle w:val="Indenta"/>
      </w:pPr>
      <w:r>
        <w:tab/>
        <w:t>(b)</w:t>
      </w:r>
      <w:r>
        <w:tab/>
        <w:t xml:space="preserve">the purchaser may recover from the deposit holder specified in the contract or from any other person to whom the deposit was paid — </w:t>
      </w:r>
    </w:p>
    <w:p w:rsidR="005558CC" w:rsidRDefault="005743F0">
      <w:pPr>
        <w:pStyle w:val="Indenti"/>
      </w:pPr>
      <w:r>
        <w:lastRenderedPageBreak/>
        <w:tab/>
        <w:t>(i)</w:t>
      </w:r>
      <w:r>
        <w:tab/>
        <w:t>any deposit or other amount paid by the purchaser under the contract; and</w:t>
      </w:r>
    </w:p>
    <w:p w:rsidR="005558CC" w:rsidRDefault="005743F0">
      <w:pPr>
        <w:pStyle w:val="Indenti"/>
      </w:pPr>
      <w:r>
        <w:tab/>
        <w:t>(ii)</w:t>
      </w:r>
      <w:r>
        <w:tab/>
        <w:t>if applicable, any interest accrued on the deposit or other amount.</w:t>
      </w:r>
    </w:p>
    <w:p w:rsidR="005558CC" w:rsidRDefault="005743F0">
      <w:pPr>
        <w:pStyle w:val="Footnotesection"/>
      </w:pPr>
      <w:r>
        <w:tab/>
        <w:t xml:space="preserve">[Section 13D inserted: No. 38 of 2016 s. 8.] </w:t>
      </w:r>
    </w:p>
    <w:p w:rsidR="005558CC" w:rsidRDefault="005743F0">
      <w:pPr>
        <w:pStyle w:val="Heading5"/>
      </w:pPr>
      <w:bookmarkStart w:id="26" w:name="_Toc74735089"/>
      <w:r>
        <w:rPr>
          <w:rStyle w:val="CharSectno"/>
        </w:rPr>
        <w:t>13E</w:t>
      </w:r>
      <w:r>
        <w:t>.</w:t>
      </w:r>
      <w:r>
        <w:tab/>
        <w:t>Obligations relating to deposit or other amount payable under future lot contract</w:t>
      </w:r>
      <w:bookmarkEnd w:id="26"/>
    </w:p>
    <w:p w:rsidR="005558CC" w:rsidRDefault="005743F0">
      <w:pPr>
        <w:pStyle w:val="Subsection"/>
      </w:pPr>
      <w:r>
        <w:tab/>
        <w:t>(1)</w:t>
      </w:r>
      <w:r>
        <w:tab/>
        <w:t>A vendor must pay to the deposit holder specified in a future lot contract any deposit or other amount paid by the purchaser under the contract within 2 working days after receipt of the payment from the purchaser.</w:t>
      </w:r>
    </w:p>
    <w:p w:rsidR="005558CC" w:rsidRDefault="005743F0">
      <w:pPr>
        <w:pStyle w:val="Penstart"/>
      </w:pPr>
      <w:r>
        <w:tab/>
        <w:t>Penalty for this subsection: a fine of $100 000.</w:t>
      </w:r>
    </w:p>
    <w:p w:rsidR="005558CC" w:rsidRDefault="005743F0">
      <w:pPr>
        <w:pStyle w:val="Subsection"/>
      </w:pPr>
      <w:r>
        <w:tab/>
        <w:t>(2)</w:t>
      </w:r>
      <w:r>
        <w:tab/>
        <w:t>If a vendor fails to comply with subsection (1), the purchaser may —</w:t>
      </w:r>
    </w:p>
    <w:p w:rsidR="005558CC" w:rsidRDefault="005743F0">
      <w:pPr>
        <w:pStyle w:val="Indenta"/>
      </w:pPr>
      <w:r>
        <w:tab/>
        <w:t>(a)</w:t>
      </w:r>
      <w:r>
        <w:tab/>
        <w:t>terminate the contract by notice in writing to the vendor; and</w:t>
      </w:r>
    </w:p>
    <w:p w:rsidR="005558CC" w:rsidRDefault="005743F0">
      <w:pPr>
        <w:pStyle w:val="Indenta"/>
      </w:pPr>
      <w:r>
        <w:tab/>
        <w:t>(b)</w:t>
      </w:r>
      <w:r>
        <w:tab/>
        <w:t xml:space="preserve">recover from the deposit holder specified in the contract or from any other person to whom the deposit was paid — </w:t>
      </w:r>
    </w:p>
    <w:p w:rsidR="005558CC" w:rsidRDefault="005743F0">
      <w:pPr>
        <w:pStyle w:val="Indenti"/>
      </w:pPr>
      <w:r>
        <w:tab/>
        <w:t>(i)</w:t>
      </w:r>
      <w:r>
        <w:tab/>
        <w:t>any deposit or other amount paid by the purchaser under the contract; and</w:t>
      </w:r>
    </w:p>
    <w:p w:rsidR="005558CC" w:rsidRDefault="005743F0">
      <w:pPr>
        <w:pStyle w:val="Indenti"/>
      </w:pPr>
      <w:r>
        <w:tab/>
        <w:t>(ii)</w:t>
      </w:r>
      <w:r>
        <w:tab/>
        <w:t>if applicable, any interest accrued on the deposit or other amount.</w:t>
      </w:r>
    </w:p>
    <w:p w:rsidR="005558CC" w:rsidRDefault="005743F0">
      <w:pPr>
        <w:pStyle w:val="Subsection"/>
        <w:keepNext/>
      </w:pPr>
      <w:r>
        <w:tab/>
        <w:t>(3)</w:t>
      </w:r>
      <w:r>
        <w:tab/>
        <w:t>A deposit holder must —</w:t>
      </w:r>
    </w:p>
    <w:p w:rsidR="005558CC" w:rsidRDefault="005743F0">
      <w:pPr>
        <w:pStyle w:val="Indenta"/>
      </w:pPr>
      <w:r>
        <w:tab/>
        <w:t>(a)</w:t>
      </w:r>
      <w:r>
        <w:tab/>
        <w:t>operate a trust account in an ADI to which all deposits or other amounts paid to the deposit holder either directly by a purchaser or by a vendor under subsection (1) must be deposited; and</w:t>
      </w:r>
    </w:p>
    <w:p w:rsidR="005558CC" w:rsidRDefault="005743F0">
      <w:pPr>
        <w:pStyle w:val="Indenta"/>
      </w:pPr>
      <w:r>
        <w:tab/>
        <w:t>(b)</w:t>
      </w:r>
      <w:r>
        <w:tab/>
        <w:t>arrange for the trust account to be audited when required under section 13F(1); and</w:t>
      </w:r>
    </w:p>
    <w:p w:rsidR="005558CC" w:rsidRDefault="005743F0">
      <w:pPr>
        <w:pStyle w:val="Indenta"/>
        <w:keepNext/>
      </w:pPr>
      <w:r>
        <w:lastRenderedPageBreak/>
        <w:tab/>
        <w:t>(c)</w:t>
      </w:r>
      <w:r>
        <w:tab/>
        <w:t xml:space="preserve">hold the amounts in the trust account on trust for the purchaser until — </w:t>
      </w:r>
    </w:p>
    <w:p w:rsidR="005558CC" w:rsidRDefault="005743F0">
      <w:pPr>
        <w:pStyle w:val="Indenti"/>
      </w:pPr>
      <w:r>
        <w:tab/>
        <w:t>(i)</w:t>
      </w:r>
      <w:r>
        <w:tab/>
        <w:t>the right to recover the deposit or other amount arises under subsection (2)(b), section 13B(3)(b), 13C(3)(b), 13D(2)(b) or 13I(4); or</w:t>
      </w:r>
    </w:p>
    <w:p w:rsidR="005558CC" w:rsidRDefault="005743F0">
      <w:pPr>
        <w:pStyle w:val="Indenti"/>
      </w:pPr>
      <w:r>
        <w:tab/>
        <w:t>(ii)</w:t>
      </w:r>
      <w:r>
        <w:tab/>
        <w:t>the settlement of the relevant future lot contract; or</w:t>
      </w:r>
    </w:p>
    <w:p w:rsidR="005558CC" w:rsidRDefault="005743F0">
      <w:pPr>
        <w:pStyle w:val="Indenti"/>
      </w:pPr>
      <w:r>
        <w:tab/>
        <w:t>(iii)</w:t>
      </w:r>
      <w:r>
        <w:tab/>
        <w:t>the completion of the transfer of the lot or lots to which the relevant future lot contract relates; or</w:t>
      </w:r>
    </w:p>
    <w:p w:rsidR="005558CC" w:rsidRDefault="005743F0">
      <w:pPr>
        <w:pStyle w:val="Indenti"/>
      </w:pPr>
      <w:r>
        <w:tab/>
        <w:t>(iv)</w:t>
      </w:r>
      <w:r>
        <w:tab/>
        <w:t>the occurrence of any other circumstance that would entitle the vendor or purchaser to be paid the deposit or other amount under the relevant future lot contract.</w:t>
      </w:r>
    </w:p>
    <w:p w:rsidR="005558CC" w:rsidRDefault="005743F0">
      <w:pPr>
        <w:pStyle w:val="Penstart"/>
      </w:pPr>
      <w:r>
        <w:tab/>
        <w:t>Penalty for this subsection: a fine of $100 000.</w:t>
      </w:r>
    </w:p>
    <w:p w:rsidR="005558CC" w:rsidRDefault="005743F0">
      <w:pPr>
        <w:pStyle w:val="Subsection"/>
      </w:pPr>
      <w:r>
        <w:tab/>
        <w:t>(4)</w:t>
      </w:r>
      <w:r>
        <w:tab/>
        <w:t>A deposit holder must repay the deposit or other amount if the right to recover the deposit or other amount arises under any of the provisions referred to in subsection (3)(c)(i).</w:t>
      </w:r>
    </w:p>
    <w:p w:rsidR="005558CC" w:rsidRDefault="005743F0">
      <w:pPr>
        <w:pStyle w:val="Penstart"/>
      </w:pPr>
      <w:r>
        <w:tab/>
        <w:t>Penalty for this subsection: a fine of $100 000.</w:t>
      </w:r>
    </w:p>
    <w:p w:rsidR="005558CC" w:rsidRDefault="005743F0">
      <w:pPr>
        <w:pStyle w:val="Subsection"/>
      </w:pPr>
      <w:r>
        <w:tab/>
        <w:t>(5)</w:t>
      </w:r>
      <w:r>
        <w:tab/>
        <w:t>A deposit holder may deduct from any repayment to be made to the purchaser an amount due to the vendor under a future lot contract in respect of any period during which the purchaser was —</w:t>
      </w:r>
    </w:p>
    <w:p w:rsidR="005558CC" w:rsidRDefault="005743F0">
      <w:pPr>
        <w:pStyle w:val="Indenta"/>
      </w:pPr>
      <w:r>
        <w:tab/>
        <w:t>(a)</w:t>
      </w:r>
      <w:r>
        <w:tab/>
        <w:t>in occupation of the lot or lots to which the future lot contract relates; or</w:t>
      </w:r>
    </w:p>
    <w:p w:rsidR="005558CC" w:rsidRDefault="005743F0">
      <w:pPr>
        <w:pStyle w:val="Indenta"/>
        <w:keepNext/>
      </w:pPr>
      <w:r>
        <w:tab/>
        <w:t>(b)</w:t>
      </w:r>
      <w:r>
        <w:tab/>
        <w:t>entitled to receive the rents and profits of that lot or those lots.</w:t>
      </w:r>
    </w:p>
    <w:p w:rsidR="005558CC" w:rsidRDefault="005743F0">
      <w:pPr>
        <w:pStyle w:val="Footnotesection"/>
      </w:pPr>
      <w:r>
        <w:tab/>
        <w:t xml:space="preserve">[Section 13E inserted: No. 38 of 2016 s. 8.] </w:t>
      </w:r>
    </w:p>
    <w:p w:rsidR="005558CC" w:rsidRDefault="005743F0">
      <w:pPr>
        <w:pStyle w:val="Heading5"/>
      </w:pPr>
      <w:bookmarkStart w:id="27" w:name="_Toc74735090"/>
      <w:r>
        <w:rPr>
          <w:rStyle w:val="CharSectno"/>
        </w:rPr>
        <w:t>13F</w:t>
      </w:r>
      <w:r>
        <w:t>.</w:t>
      </w:r>
      <w:r>
        <w:tab/>
        <w:t>Registrar of Titles may require audit of trust accounts</w:t>
      </w:r>
      <w:bookmarkEnd w:id="27"/>
    </w:p>
    <w:p w:rsidR="005558CC" w:rsidRDefault="005743F0">
      <w:pPr>
        <w:pStyle w:val="Subsection"/>
      </w:pPr>
      <w:r>
        <w:tab/>
        <w:t>(1)</w:t>
      </w:r>
      <w:r>
        <w:tab/>
        <w:t>The Registrar of Titles may from time to time require an audit of a deposit holder’s trust accounts for the purpose of determining compliance with the requirements in section 13E.</w:t>
      </w:r>
    </w:p>
    <w:p w:rsidR="005558CC" w:rsidRDefault="005743F0">
      <w:pPr>
        <w:pStyle w:val="Subsection"/>
      </w:pPr>
      <w:r>
        <w:lastRenderedPageBreak/>
        <w:tab/>
        <w:t>(2)</w:t>
      </w:r>
      <w:r>
        <w:tab/>
        <w:t>A deposit holder must comply with a requirement for an audit under subsection (1).</w:t>
      </w:r>
    </w:p>
    <w:p w:rsidR="005558CC" w:rsidRDefault="005743F0">
      <w:pPr>
        <w:pStyle w:val="Subsection"/>
      </w:pPr>
      <w:r>
        <w:tab/>
        <w:t>(3)</w:t>
      </w:r>
      <w:r>
        <w:tab/>
        <w:t>An audit under subsection (1) must be carried out by a person (whether in the public or private sector) who the Registrar of Titles considers to be suitably qualified for the purpose.</w:t>
      </w:r>
    </w:p>
    <w:p w:rsidR="005558CC" w:rsidRDefault="005743F0">
      <w:pPr>
        <w:pStyle w:val="Subsection"/>
      </w:pPr>
      <w:r>
        <w:tab/>
        <w:t>(4)</w:t>
      </w:r>
      <w:r>
        <w:tab/>
        <w:t>If the deposit holder whose trust accounts are to be audited fails to arrange for the audit, then the Registrar of Titles may —</w:t>
      </w:r>
    </w:p>
    <w:p w:rsidR="005558CC" w:rsidRDefault="005743F0">
      <w:pPr>
        <w:pStyle w:val="Indenta"/>
      </w:pPr>
      <w:r>
        <w:tab/>
        <w:t>(a)</w:t>
      </w:r>
      <w:r>
        <w:tab/>
        <w:t>engage a person (whether in the public or private sector) who the Registrar of Titles considers to be suitably qualified to carry out the audit; and</w:t>
      </w:r>
    </w:p>
    <w:p w:rsidR="005558CC" w:rsidRDefault="005743F0">
      <w:pPr>
        <w:pStyle w:val="Indenta"/>
      </w:pPr>
      <w:r>
        <w:tab/>
        <w:t>(b)</w:t>
      </w:r>
      <w:r>
        <w:tab/>
        <w:t>require the deposit holder or any other person to provide access to the deposit holder’s trust accounts and associated records for the purposes of the audit or, if access is refused within a reasonable time, apply to the Court for an order requiring access; and</w:t>
      </w:r>
    </w:p>
    <w:p w:rsidR="005558CC" w:rsidRDefault="005743F0">
      <w:pPr>
        <w:pStyle w:val="Indenta"/>
      </w:pPr>
      <w:r>
        <w:tab/>
        <w:t>(c)</w:t>
      </w:r>
      <w:r>
        <w:tab/>
        <w:t>recover from the deposit holder the costs incurred by the Registrar of Titles in relation to the audit (including the costs of an application, if required, for an order under paragraph (b)).</w:t>
      </w:r>
    </w:p>
    <w:p w:rsidR="005558CC" w:rsidRDefault="005743F0">
      <w:pPr>
        <w:pStyle w:val="Footnotesection"/>
      </w:pPr>
      <w:r>
        <w:tab/>
        <w:t xml:space="preserve">[Section 13F inserted: No. 38 of 2016 s. 8.] </w:t>
      </w:r>
    </w:p>
    <w:p w:rsidR="005558CC" w:rsidRDefault="005743F0">
      <w:pPr>
        <w:pStyle w:val="Heading5"/>
      </w:pPr>
      <w:bookmarkStart w:id="28" w:name="_Toc74735091"/>
      <w:r>
        <w:rPr>
          <w:rStyle w:val="CharSectno"/>
        </w:rPr>
        <w:t>13G</w:t>
      </w:r>
      <w:r>
        <w:t>.</w:t>
      </w:r>
      <w:r>
        <w:tab/>
        <w:t>All reasonable endeavours must be made to satisfy vendor’s condition</w:t>
      </w:r>
      <w:bookmarkEnd w:id="28"/>
    </w:p>
    <w:p w:rsidR="005558CC" w:rsidRDefault="005743F0">
      <w:pPr>
        <w:pStyle w:val="Subsection"/>
      </w:pPr>
      <w:r>
        <w:tab/>
        <w:t>(1)</w:t>
      </w:r>
      <w:r>
        <w:tab/>
        <w:t>A vendor and, if applicable, a purchaser must make all reasonable endeavours to ensure that the vendor can satisfy the vendor’s condition in a future lot contract.</w:t>
      </w:r>
    </w:p>
    <w:p w:rsidR="005558CC" w:rsidRDefault="005743F0">
      <w:pPr>
        <w:pStyle w:val="Subsection"/>
      </w:pPr>
      <w:r>
        <w:tab/>
        <w:t>(2)</w:t>
      </w:r>
      <w:r>
        <w:tab/>
        <w:t xml:space="preserve">Without limiting subsection (1), the vendor must make all reasonable endeavours before the expiry of the period specified in section 13B(2) to — </w:t>
      </w:r>
    </w:p>
    <w:p w:rsidR="005558CC" w:rsidRDefault="005743F0">
      <w:pPr>
        <w:pStyle w:val="Indenta"/>
      </w:pPr>
      <w:r>
        <w:tab/>
        <w:t>(a)</w:t>
      </w:r>
      <w:r>
        <w:tab/>
        <w:t>obtain the necessary regulatory approvals for the subdivision or proposed subdivision; and</w:t>
      </w:r>
    </w:p>
    <w:p w:rsidR="005558CC" w:rsidRDefault="005743F0">
      <w:pPr>
        <w:pStyle w:val="Indenta"/>
      </w:pPr>
      <w:r>
        <w:tab/>
        <w:t>(b)</w:t>
      </w:r>
      <w:r>
        <w:tab/>
        <w:t>create and lodge the necessary plans for the subdivision or proposed subdivision.</w:t>
      </w:r>
    </w:p>
    <w:p w:rsidR="005558CC" w:rsidRDefault="005743F0">
      <w:pPr>
        <w:pStyle w:val="Subsection"/>
      </w:pPr>
      <w:r>
        <w:lastRenderedPageBreak/>
        <w:tab/>
        <w:t>(3)</w:t>
      </w:r>
      <w:r>
        <w:tab/>
        <w:t>The vendor must give the purchaser reasonable information about the steps taken by or on behalf of the vendor to satisfy the vendor’s condition within a reasonable time after receipt of a written request for the information from the purchaser.</w:t>
      </w:r>
    </w:p>
    <w:p w:rsidR="005558CC" w:rsidRDefault="005743F0">
      <w:pPr>
        <w:pStyle w:val="Subsection"/>
      </w:pPr>
      <w:r>
        <w:tab/>
        <w:t>(4)</w:t>
      </w:r>
      <w:r>
        <w:tab/>
        <w:t>Despite any agreement to the contrary, the provisions of subsections (1) to (3) must be taken to form part of every future lot contract.</w:t>
      </w:r>
    </w:p>
    <w:p w:rsidR="005558CC" w:rsidRDefault="005743F0">
      <w:pPr>
        <w:pStyle w:val="Footnotesection"/>
      </w:pPr>
      <w:r>
        <w:tab/>
        <w:t xml:space="preserve">[Section 13G inserted: No. 38 of 2016 s. 8.] </w:t>
      </w:r>
    </w:p>
    <w:p w:rsidR="005558CC" w:rsidRDefault="005743F0">
      <w:pPr>
        <w:pStyle w:val="Heading5"/>
      </w:pPr>
      <w:bookmarkStart w:id="29" w:name="_Toc74735092"/>
      <w:r>
        <w:rPr>
          <w:rStyle w:val="CharSectno"/>
        </w:rPr>
        <w:t>13H</w:t>
      </w:r>
      <w:r>
        <w:t>.</w:t>
      </w:r>
      <w:r>
        <w:tab/>
        <w:t>Consequences if vendor’s condition is satisfied</w:t>
      </w:r>
      <w:bookmarkEnd w:id="29"/>
    </w:p>
    <w:p w:rsidR="005558CC" w:rsidRDefault="005743F0">
      <w:pPr>
        <w:pStyle w:val="Subsection"/>
      </w:pPr>
      <w:r>
        <w:tab/>
        <w:t>(1)</w:t>
      </w:r>
      <w:r>
        <w:tab/>
        <w:t>This section applies if the vendor’s condition in a future lot contract is satisfied.</w:t>
      </w:r>
    </w:p>
    <w:p w:rsidR="005558CC" w:rsidRDefault="005743F0">
      <w:pPr>
        <w:pStyle w:val="Subsection"/>
      </w:pPr>
      <w:r>
        <w:tab/>
        <w:t>(2)</w:t>
      </w:r>
      <w:r>
        <w:tab/>
        <w:t xml:space="preserve">If this section applies — </w:t>
      </w:r>
    </w:p>
    <w:p w:rsidR="005558CC" w:rsidRDefault="005743F0">
      <w:pPr>
        <w:pStyle w:val="Indenta"/>
      </w:pPr>
      <w:r>
        <w:tab/>
        <w:t>(a)</w:t>
      </w:r>
      <w:r>
        <w:tab/>
        <w:t>the vendor must give the purchaser notice in writing that the vendor’s condition has been satisfied; and</w:t>
      </w:r>
    </w:p>
    <w:p w:rsidR="005558CC" w:rsidRDefault="005743F0">
      <w:pPr>
        <w:pStyle w:val="Indenta"/>
      </w:pPr>
      <w:r>
        <w:tab/>
        <w:t>(b)</w:t>
      </w:r>
      <w:r>
        <w:tab/>
        <w:t>any deposit or other amount paid by the purchaser under the contract may be applied in accordance with the law.</w:t>
      </w:r>
    </w:p>
    <w:p w:rsidR="005558CC" w:rsidRDefault="005743F0">
      <w:pPr>
        <w:pStyle w:val="Subsection"/>
      </w:pPr>
      <w:r>
        <w:tab/>
        <w:t>(3)</w:t>
      </w:r>
      <w:r>
        <w:tab/>
        <w:t>The notice required under subsection (2)(a) must be given within 10 working days after the date on which the vendor’s condition is satisfied.</w:t>
      </w:r>
    </w:p>
    <w:p w:rsidR="005558CC" w:rsidRDefault="005743F0">
      <w:pPr>
        <w:pStyle w:val="Subsection"/>
      </w:pPr>
      <w:r>
        <w:tab/>
        <w:t>(4)</w:t>
      </w:r>
      <w:r>
        <w:tab/>
        <w:t>If the vendor fails to give the notice required under subsection (2)(a) within the time specified in subsection (3), the vendor’s condition is taken not to have been satisfied.</w:t>
      </w:r>
    </w:p>
    <w:p w:rsidR="005558CC" w:rsidRDefault="005743F0">
      <w:pPr>
        <w:pStyle w:val="Footnotesection"/>
      </w:pPr>
      <w:r>
        <w:tab/>
        <w:t xml:space="preserve">[Section 13H inserted: No. 38 of 2016 s. 8.] </w:t>
      </w:r>
    </w:p>
    <w:p w:rsidR="005558CC" w:rsidRDefault="005743F0">
      <w:pPr>
        <w:pStyle w:val="Heading5"/>
      </w:pPr>
      <w:bookmarkStart w:id="30" w:name="_Toc74735093"/>
      <w:r>
        <w:rPr>
          <w:rStyle w:val="CharSectno"/>
        </w:rPr>
        <w:t>13I</w:t>
      </w:r>
      <w:r>
        <w:t>.</w:t>
      </w:r>
      <w:r>
        <w:tab/>
        <w:t>Consequences if vendor’s condition is not satisfied or is taken not to have been satisfied</w:t>
      </w:r>
      <w:bookmarkEnd w:id="30"/>
    </w:p>
    <w:p w:rsidR="005558CC" w:rsidRDefault="005743F0">
      <w:pPr>
        <w:pStyle w:val="Subsection"/>
      </w:pPr>
      <w:r>
        <w:tab/>
        <w:t>(1)</w:t>
      </w:r>
      <w:r>
        <w:tab/>
        <w:t xml:space="preserve">If a vendor’s condition in a future lot contract is not satisfied — </w:t>
      </w:r>
    </w:p>
    <w:p w:rsidR="005558CC" w:rsidRDefault="005743F0">
      <w:pPr>
        <w:pStyle w:val="Indenta"/>
      </w:pPr>
      <w:r>
        <w:tab/>
        <w:t>(a)</w:t>
      </w:r>
      <w:r>
        <w:tab/>
        <w:t>the purchaser may terminate the contract by notice in writing to the vendor; or</w:t>
      </w:r>
    </w:p>
    <w:p w:rsidR="005558CC" w:rsidRDefault="005743F0">
      <w:pPr>
        <w:pStyle w:val="Indenta"/>
      </w:pPr>
      <w:r>
        <w:lastRenderedPageBreak/>
        <w:tab/>
        <w:t>(b)</w:t>
      </w:r>
      <w:r>
        <w:tab/>
        <w:t>the vendor may terminate the contract by notice in writing to the purchaser but only if the vendor has complied with section 13G.</w:t>
      </w:r>
    </w:p>
    <w:p w:rsidR="005558CC" w:rsidRDefault="005743F0">
      <w:pPr>
        <w:pStyle w:val="Subsection"/>
      </w:pPr>
      <w:r>
        <w:tab/>
        <w:t>(2)</w:t>
      </w:r>
      <w:r>
        <w:tab/>
        <w:t>If the vendor’s condition is taken not to have been satisfied under section 13H(4), the purchaser may terminate the contract by notice in writing to the vendor.</w:t>
      </w:r>
    </w:p>
    <w:p w:rsidR="005558CC" w:rsidRDefault="005743F0">
      <w:pPr>
        <w:pStyle w:val="Subsection"/>
      </w:pPr>
      <w:r>
        <w:tab/>
        <w:t>(3)</w:t>
      </w:r>
      <w:r>
        <w:tab/>
        <w:t>To avoid doubt, nothing in this section confers on the vendor the right to terminate a future lot contract if the vendor’s condition is taken not to have been satisfied under section 13H(4).</w:t>
      </w:r>
    </w:p>
    <w:p w:rsidR="005558CC" w:rsidRDefault="005743F0">
      <w:pPr>
        <w:pStyle w:val="Subsection"/>
      </w:pPr>
      <w:r>
        <w:tab/>
        <w:t>(4)</w:t>
      </w:r>
      <w:r>
        <w:tab/>
        <w:t>If the contract is terminated under subsection (1)(a) or (b) or subsection (2), the purchaser may recover from the deposit holder specified in the contract or from any other person to whom the deposit was paid —</w:t>
      </w:r>
    </w:p>
    <w:p w:rsidR="005558CC" w:rsidRDefault="005743F0">
      <w:pPr>
        <w:pStyle w:val="Indenta"/>
      </w:pPr>
      <w:r>
        <w:tab/>
        <w:t>(a)</w:t>
      </w:r>
      <w:r>
        <w:tab/>
        <w:t>any deposit or other amount paid by the purchaser under the contract; and</w:t>
      </w:r>
    </w:p>
    <w:p w:rsidR="005558CC" w:rsidRDefault="005743F0">
      <w:pPr>
        <w:pStyle w:val="Indenta"/>
      </w:pPr>
      <w:r>
        <w:tab/>
        <w:t>(b)</w:t>
      </w:r>
      <w:r>
        <w:tab/>
        <w:t>if applicable, any interest accrued on the deposit or other amount.</w:t>
      </w:r>
    </w:p>
    <w:p w:rsidR="005558CC" w:rsidRDefault="005743F0">
      <w:pPr>
        <w:pStyle w:val="Footnotesection"/>
      </w:pPr>
      <w:r>
        <w:tab/>
        <w:t xml:space="preserve">[Section 13I inserted: No. 38 of 2016 s. 8.] </w:t>
      </w:r>
    </w:p>
    <w:p w:rsidR="005558CC" w:rsidRDefault="005743F0">
      <w:pPr>
        <w:pStyle w:val="Heading5"/>
        <w:rPr>
          <w:snapToGrid w:val="0"/>
        </w:rPr>
      </w:pPr>
      <w:bookmarkStart w:id="31" w:name="_Toc74735094"/>
      <w:r>
        <w:rPr>
          <w:rStyle w:val="CharSectno"/>
        </w:rPr>
        <w:t>14</w:t>
      </w:r>
      <w:r>
        <w:rPr>
          <w:snapToGrid w:val="0"/>
        </w:rPr>
        <w:t>.</w:t>
      </w:r>
      <w:r>
        <w:rPr>
          <w:snapToGrid w:val="0"/>
        </w:rPr>
        <w:tab/>
        <w:t>Restriction on sale of mortgaged subdivisional land</w:t>
      </w:r>
      <w:bookmarkEnd w:id="31"/>
      <w:r>
        <w:rPr>
          <w:snapToGrid w:val="0"/>
        </w:rPr>
        <w:t xml:space="preserve"> </w:t>
      </w:r>
    </w:p>
    <w:p w:rsidR="005558CC" w:rsidRDefault="005743F0">
      <w:pPr>
        <w:pStyle w:val="Subsection"/>
        <w:rPr>
          <w:snapToGrid w:val="0"/>
        </w:rPr>
      </w:pPr>
      <w:r>
        <w:rPr>
          <w:snapToGrid w:val="0"/>
        </w:rPr>
        <w:tab/>
        <w:t>(1)</w:t>
      </w:r>
      <w:r>
        <w:rPr>
          <w:snapToGrid w:val="0"/>
        </w:rPr>
        <w:tab/>
        <w:t xml:space="preserve">A person who has the right to sell </w:t>
      </w:r>
      <w:r>
        <w:t>one</w:t>
      </w:r>
      <w:r>
        <w:rPr>
          <w:snapToGrid w:val="0"/>
        </w:rPr>
        <w:t xml:space="preserve"> or more lots in a subdivision or proposed subdivision, or </w:t>
      </w:r>
      <w:r>
        <w:t>one</w:t>
      </w:r>
      <w:r>
        <w:rPr>
          <w:snapToGrid w:val="0"/>
        </w:rPr>
        <w:t xml:space="preserve">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rsidR="005558CC" w:rsidRDefault="005743F0">
      <w:pPr>
        <w:pStyle w:val="Penstart"/>
      </w:pPr>
      <w:r>
        <w:tab/>
        <w:t>Penalty for this subsection: a fine of $100 000.</w:t>
      </w:r>
    </w:p>
    <w:p w:rsidR="005558CC" w:rsidRDefault="005743F0">
      <w:pPr>
        <w:pStyle w:val="Subsection"/>
        <w:rPr>
          <w:snapToGrid w:val="0"/>
        </w:rPr>
      </w:pPr>
      <w:r>
        <w:rPr>
          <w:snapToGrid w:val="0"/>
        </w:rPr>
        <w:lastRenderedPageBreak/>
        <w:tab/>
        <w:t>(2)</w:t>
      </w:r>
      <w:r>
        <w:rPr>
          <w:snapToGrid w:val="0"/>
        </w:rPr>
        <w:tab/>
        <w:t>Subsection (1) does not apply to a person who sells the lot — </w:t>
      </w:r>
    </w:p>
    <w:p w:rsidR="005558CC" w:rsidRDefault="005743F0">
      <w:pPr>
        <w:pStyle w:val="Ednotepara"/>
      </w:pPr>
      <w:r>
        <w:tab/>
        <w:t>[(a)</w:t>
      </w:r>
      <w:r>
        <w:tab/>
        <w:t>deleted]</w:t>
      </w:r>
    </w:p>
    <w:p w:rsidR="005558CC" w:rsidRDefault="005743F0">
      <w:pPr>
        <w:pStyle w:val="Indenta"/>
        <w:spacing w:before="120"/>
        <w:rPr>
          <w:snapToGrid w:val="0"/>
        </w:rPr>
      </w:pPr>
      <w:r>
        <w:rPr>
          <w:snapToGrid w:val="0"/>
        </w:rPr>
        <w:tab/>
        <w:t>(b)</w:t>
      </w:r>
      <w:r>
        <w:rPr>
          <w:snapToGrid w:val="0"/>
        </w:rPr>
        <w:tab/>
        <w:t>under a contract which provides that — </w:t>
      </w:r>
    </w:p>
    <w:p w:rsidR="005558CC" w:rsidRDefault="005743F0">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rsidR="005558CC" w:rsidRDefault="005743F0">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w:t>
      </w:r>
      <w:r>
        <w:t xml:space="preserve">an Australian legal practitioner </w:t>
      </w:r>
      <w:r>
        <w:rPr>
          <w:snapToGrid w:val="0"/>
        </w:rPr>
        <w:t xml:space="preserve">or to a licensee, as defined in section 2 of the </w:t>
      </w:r>
      <w:r>
        <w:rPr>
          <w:i/>
          <w:snapToGrid w:val="0"/>
        </w:rPr>
        <w:t>Land Agents Act 1921</w:t>
      </w:r>
      <w:r>
        <w:rPr>
          <w:snapToGrid w:val="0"/>
          <w:vertAlign w:val="superscript"/>
        </w:rPr>
        <w:t> 1</w:t>
      </w:r>
      <w:r>
        <w:rPr>
          <w:snapToGrid w:val="0"/>
        </w:rPr>
        <w:t>, to be applied by him in or towards so discharging the mortgage,</w:t>
      </w:r>
    </w:p>
    <w:p w:rsidR="005558CC" w:rsidRDefault="005743F0">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rsidR="005558CC" w:rsidRDefault="005743F0">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rsidR="005558CC" w:rsidRDefault="005743F0">
      <w:pPr>
        <w:pStyle w:val="Footnotesection"/>
      </w:pPr>
      <w:r>
        <w:tab/>
        <w:t xml:space="preserve">[Section 14 amended: No. 40 of 1985 s. 6; No. 65 of 2003 s. 64(2); No. 21 of 2008 s. 702; No. 38 of 2016 s. 9.] </w:t>
      </w:r>
    </w:p>
    <w:p w:rsidR="005558CC" w:rsidRDefault="005743F0">
      <w:pPr>
        <w:pStyle w:val="Heading5"/>
        <w:rPr>
          <w:snapToGrid w:val="0"/>
        </w:rPr>
      </w:pPr>
      <w:bookmarkStart w:id="32" w:name="_Toc74735095"/>
      <w:r>
        <w:rPr>
          <w:rStyle w:val="CharSectno"/>
        </w:rPr>
        <w:lastRenderedPageBreak/>
        <w:t>15</w:t>
      </w:r>
      <w:r>
        <w:rPr>
          <w:snapToGrid w:val="0"/>
        </w:rPr>
        <w:t>.</w:t>
      </w:r>
      <w:r>
        <w:rPr>
          <w:snapToGrid w:val="0"/>
        </w:rPr>
        <w:tab/>
        <w:t>Exemptions</w:t>
      </w:r>
      <w:bookmarkEnd w:id="32"/>
      <w:r>
        <w:rPr>
          <w:snapToGrid w:val="0"/>
        </w:rPr>
        <w:t xml:space="preserve"> </w:t>
      </w:r>
    </w:p>
    <w:p w:rsidR="005558CC" w:rsidRDefault="005743F0">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rsidR="005558CC" w:rsidRDefault="005743F0">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5558CC" w:rsidRDefault="005743F0">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w:t>
      </w:r>
      <w:r>
        <w:rPr>
          <w:snapToGrid w:val="0"/>
        </w:rPr>
        <w:t>, exempt that person from those restrictions in respect of the sale of that land or any part of it, on such terms and conditions as the Minister thinks fit and are specified in the notice.</w:t>
      </w:r>
    </w:p>
    <w:p w:rsidR="005558CC" w:rsidRDefault="005743F0">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5558CC" w:rsidRDefault="005743F0">
      <w:pPr>
        <w:pStyle w:val="Footnotesection"/>
      </w:pPr>
      <w:r>
        <w:lastRenderedPageBreak/>
        <w:tab/>
        <w:t xml:space="preserve">[Section 15 amended: No. 40 of 1985 s. 7.] </w:t>
      </w:r>
    </w:p>
    <w:p w:rsidR="005558CC" w:rsidRDefault="005743F0">
      <w:pPr>
        <w:pStyle w:val="Heading2"/>
      </w:pPr>
      <w:bookmarkStart w:id="33" w:name="_Toc74658177"/>
      <w:bookmarkStart w:id="34" w:name="_Toc74658224"/>
      <w:bookmarkStart w:id="35" w:name="_Toc74735096"/>
      <w:r>
        <w:rPr>
          <w:rStyle w:val="CharPartNo"/>
        </w:rPr>
        <w:lastRenderedPageBreak/>
        <w:t>Part IV</w:t>
      </w:r>
      <w:r>
        <w:rPr>
          <w:rStyle w:val="CharDivNo"/>
        </w:rPr>
        <w:t> </w:t>
      </w:r>
      <w:r>
        <w:t>—</w:t>
      </w:r>
      <w:r>
        <w:rPr>
          <w:rStyle w:val="CharDivText"/>
        </w:rPr>
        <w:t> </w:t>
      </w:r>
      <w:r>
        <w:rPr>
          <w:rStyle w:val="CharPartText"/>
        </w:rPr>
        <w:t>Offences in relation to sale of land</w:t>
      </w:r>
      <w:bookmarkEnd w:id="33"/>
      <w:bookmarkEnd w:id="34"/>
      <w:bookmarkEnd w:id="35"/>
      <w:r>
        <w:rPr>
          <w:rStyle w:val="CharPartText"/>
        </w:rPr>
        <w:t xml:space="preserve"> </w:t>
      </w:r>
    </w:p>
    <w:p w:rsidR="005558CC" w:rsidRDefault="005743F0">
      <w:pPr>
        <w:pStyle w:val="Heading5"/>
        <w:rPr>
          <w:snapToGrid w:val="0"/>
        </w:rPr>
      </w:pPr>
      <w:bookmarkStart w:id="36" w:name="_Toc74735097"/>
      <w:r>
        <w:rPr>
          <w:rStyle w:val="CharSectno"/>
        </w:rPr>
        <w:t>16</w:t>
      </w:r>
      <w:r>
        <w:rPr>
          <w:snapToGrid w:val="0"/>
        </w:rPr>
        <w:t>.</w:t>
      </w:r>
      <w:r>
        <w:rPr>
          <w:snapToGrid w:val="0"/>
        </w:rPr>
        <w:tab/>
        <w:t>Limitation on advertisement</w:t>
      </w:r>
      <w:bookmarkEnd w:id="36"/>
      <w:r>
        <w:rPr>
          <w:snapToGrid w:val="0"/>
        </w:rPr>
        <w:t xml:space="preserve"> </w:t>
      </w:r>
    </w:p>
    <w:p w:rsidR="005558CC" w:rsidRDefault="005743F0">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improvement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rsidR="005558CC" w:rsidRDefault="005743F0">
      <w:pPr>
        <w:pStyle w:val="Penstart"/>
      </w:pPr>
      <w:r>
        <w:tab/>
        <w:t>Penalty: a fine of $100 000.</w:t>
      </w:r>
    </w:p>
    <w:p w:rsidR="005558CC" w:rsidRDefault="005743F0">
      <w:pPr>
        <w:pStyle w:val="Footnotesection"/>
      </w:pPr>
      <w:r>
        <w:tab/>
        <w:t xml:space="preserve">[Section 16 amended: No. 14 of 1996 s. 4; No. 38 of 2005 s. 15; No. 28 of 2010 s. 36; No. 38 of 2016 s. 10.] </w:t>
      </w:r>
    </w:p>
    <w:p w:rsidR="005558CC" w:rsidRDefault="005743F0">
      <w:pPr>
        <w:pStyle w:val="Heading5"/>
        <w:rPr>
          <w:snapToGrid w:val="0"/>
        </w:rPr>
      </w:pPr>
      <w:bookmarkStart w:id="37" w:name="_Toc74735098"/>
      <w:r>
        <w:rPr>
          <w:rStyle w:val="CharSectno"/>
        </w:rPr>
        <w:t>17</w:t>
      </w:r>
      <w:r>
        <w:rPr>
          <w:snapToGrid w:val="0"/>
        </w:rPr>
        <w:t>.</w:t>
      </w:r>
      <w:r>
        <w:rPr>
          <w:snapToGrid w:val="0"/>
        </w:rPr>
        <w:tab/>
        <w:t>Misrepresentation concerning public amenity</w:t>
      </w:r>
      <w:bookmarkEnd w:id="37"/>
      <w:r>
        <w:rPr>
          <w:snapToGrid w:val="0"/>
        </w:rPr>
        <w:t xml:space="preserve"> </w:t>
      </w:r>
    </w:p>
    <w:p w:rsidR="005558CC" w:rsidRDefault="005743F0">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rsidR="005558CC" w:rsidRDefault="005743F0">
      <w:pPr>
        <w:pStyle w:val="Indenta"/>
        <w:rPr>
          <w:snapToGrid w:val="0"/>
        </w:rPr>
      </w:pPr>
      <w:r>
        <w:rPr>
          <w:snapToGrid w:val="0"/>
        </w:rPr>
        <w:tab/>
        <w:t>(a)</w:t>
      </w:r>
      <w:r>
        <w:rPr>
          <w:snapToGrid w:val="0"/>
        </w:rPr>
        <w:tab/>
        <w:t>all approvals required by law of the siting of the amenity in that position have been given; or</w:t>
      </w:r>
    </w:p>
    <w:p w:rsidR="005558CC" w:rsidRDefault="005743F0">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rsidR="005558CC" w:rsidRDefault="005743F0">
      <w:pPr>
        <w:pStyle w:val="Penstart"/>
      </w:pPr>
      <w:r>
        <w:tab/>
        <w:t>Penalty for this subsection: a fine of $100 000.</w:t>
      </w:r>
    </w:p>
    <w:p w:rsidR="005558CC" w:rsidRDefault="005743F0">
      <w:pPr>
        <w:pStyle w:val="Subsection"/>
        <w:rPr>
          <w:snapToGrid w:val="0"/>
        </w:rPr>
      </w:pPr>
      <w:r>
        <w:rPr>
          <w:snapToGrid w:val="0"/>
        </w:rPr>
        <w:tab/>
        <w:t>(2)</w:t>
      </w:r>
      <w:r>
        <w:rPr>
          <w:snapToGrid w:val="0"/>
        </w:rPr>
        <w:tab/>
        <w:t>In subsection (1) — </w:t>
      </w:r>
    </w:p>
    <w:p w:rsidR="005558CC" w:rsidRDefault="005743F0">
      <w:pPr>
        <w:pStyle w:val="Defstart"/>
      </w:pPr>
      <w:r>
        <w:rPr>
          <w:b/>
        </w:rPr>
        <w:tab/>
      </w:r>
      <w:r>
        <w:rPr>
          <w:rStyle w:val="CharDefText"/>
        </w:rPr>
        <w:t>position</w:t>
      </w:r>
      <w:r>
        <w:t xml:space="preserve"> includes, in relation to railways and other means of transport, the route to be followed by that amenity;</w:t>
      </w:r>
    </w:p>
    <w:p w:rsidR="005558CC" w:rsidRDefault="005743F0">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rsidR="005558CC" w:rsidRDefault="005743F0">
      <w:pPr>
        <w:pStyle w:val="Defstart"/>
      </w:pPr>
      <w:r>
        <w:rPr>
          <w:b/>
        </w:rPr>
        <w:lastRenderedPageBreak/>
        <w:tab/>
      </w:r>
      <w:r>
        <w:rPr>
          <w:rStyle w:val="CharDefText"/>
        </w:rPr>
        <w:t>statement</w:t>
      </w:r>
      <w:r>
        <w:t xml:space="preserve"> includes a marking or indication in a brochure, pamphlet, or advertisement, issued, or in any sign publicly exhibited, before the sale.</w:t>
      </w:r>
    </w:p>
    <w:p w:rsidR="005558CC" w:rsidRDefault="005743F0">
      <w:pPr>
        <w:pStyle w:val="Footnotesection"/>
      </w:pPr>
      <w:r>
        <w:tab/>
        <w:t xml:space="preserve">[Section 17 amended: No. 9 of 1973 s. 2; No. 38 of 2016 s. 11.] </w:t>
      </w:r>
    </w:p>
    <w:p w:rsidR="005558CC" w:rsidRDefault="005743F0">
      <w:pPr>
        <w:pStyle w:val="Heading5"/>
        <w:rPr>
          <w:snapToGrid w:val="0"/>
        </w:rPr>
      </w:pPr>
      <w:bookmarkStart w:id="38" w:name="_Toc74735099"/>
      <w:r>
        <w:rPr>
          <w:rStyle w:val="CharSectno"/>
        </w:rPr>
        <w:t>18</w:t>
      </w:r>
      <w:r>
        <w:rPr>
          <w:snapToGrid w:val="0"/>
        </w:rPr>
        <w:t>.</w:t>
      </w:r>
      <w:r>
        <w:rPr>
          <w:snapToGrid w:val="0"/>
        </w:rPr>
        <w:tab/>
        <w:t>House to house selling prohibited</w:t>
      </w:r>
      <w:bookmarkEnd w:id="38"/>
      <w:r>
        <w:rPr>
          <w:snapToGrid w:val="0"/>
        </w:rPr>
        <w:t xml:space="preserve"> </w:t>
      </w:r>
    </w:p>
    <w:p w:rsidR="005558CC" w:rsidRDefault="005743F0">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rsidR="005558CC" w:rsidRDefault="005743F0">
      <w:pPr>
        <w:pStyle w:val="Penstart"/>
      </w:pPr>
      <w:r>
        <w:tab/>
        <w:t>Penalty: a fine of $100 000.</w:t>
      </w:r>
    </w:p>
    <w:p w:rsidR="005558CC" w:rsidRDefault="005743F0">
      <w:pPr>
        <w:pStyle w:val="Footnotesection"/>
      </w:pPr>
      <w:r>
        <w:tab/>
        <w:t xml:space="preserve">[Section 18 amended: No. 38 of 2016 s. 12.] </w:t>
      </w:r>
    </w:p>
    <w:p w:rsidR="005558CC" w:rsidRDefault="005743F0">
      <w:pPr>
        <w:pStyle w:val="Heading5"/>
        <w:rPr>
          <w:snapToGrid w:val="0"/>
        </w:rPr>
      </w:pPr>
      <w:bookmarkStart w:id="39" w:name="_Toc74735100"/>
      <w:r>
        <w:rPr>
          <w:rStyle w:val="CharSectno"/>
        </w:rPr>
        <w:t>19</w:t>
      </w:r>
      <w:r>
        <w:rPr>
          <w:snapToGrid w:val="0"/>
        </w:rPr>
        <w:t>.</w:t>
      </w:r>
      <w:r>
        <w:rPr>
          <w:snapToGrid w:val="0"/>
        </w:rPr>
        <w:tab/>
        <w:t>Remedy of purchaser on contravention of s. 18</w:t>
      </w:r>
      <w:bookmarkEnd w:id="39"/>
      <w:r>
        <w:rPr>
          <w:snapToGrid w:val="0"/>
        </w:rPr>
        <w:t xml:space="preserve"> </w:t>
      </w:r>
    </w:p>
    <w:p w:rsidR="005558CC" w:rsidRDefault="005743F0">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rsidR="005558CC" w:rsidRDefault="005743F0">
      <w:pPr>
        <w:pStyle w:val="Heading2"/>
      </w:pPr>
      <w:bookmarkStart w:id="40" w:name="_Toc74658182"/>
      <w:bookmarkStart w:id="41" w:name="_Toc74658229"/>
      <w:bookmarkStart w:id="42" w:name="_Toc74735101"/>
      <w:r>
        <w:rPr>
          <w:rStyle w:val="CharPartNo"/>
        </w:rPr>
        <w:lastRenderedPageBreak/>
        <w:t>Part IVA</w:t>
      </w:r>
      <w:r>
        <w:rPr>
          <w:rStyle w:val="CharDivNo"/>
        </w:rPr>
        <w:t> </w:t>
      </w:r>
      <w:r>
        <w:t>—</w:t>
      </w:r>
      <w:r>
        <w:rPr>
          <w:rStyle w:val="CharDivText"/>
        </w:rPr>
        <w:t> </w:t>
      </w:r>
      <w:r>
        <w:rPr>
          <w:rStyle w:val="CharPartText"/>
        </w:rPr>
        <w:t>Dealings in undivided shares in land</w:t>
      </w:r>
      <w:bookmarkEnd w:id="40"/>
      <w:bookmarkEnd w:id="41"/>
      <w:bookmarkEnd w:id="42"/>
      <w:r>
        <w:rPr>
          <w:rStyle w:val="CharPartText"/>
        </w:rPr>
        <w:t xml:space="preserve"> </w:t>
      </w:r>
    </w:p>
    <w:p w:rsidR="005558CC" w:rsidRDefault="005743F0">
      <w:pPr>
        <w:pStyle w:val="Footnotesection"/>
        <w:spacing w:before="80"/>
        <w:ind w:left="890" w:hanging="890"/>
      </w:pPr>
      <w:r>
        <w:tab/>
        <w:t>[Heading inserted: No. 70 of 1974 s. 4.]</w:t>
      </w:r>
    </w:p>
    <w:p w:rsidR="005558CC" w:rsidRDefault="005743F0">
      <w:pPr>
        <w:pStyle w:val="Heading5"/>
        <w:spacing w:before="180"/>
        <w:rPr>
          <w:snapToGrid w:val="0"/>
        </w:rPr>
      </w:pPr>
      <w:bookmarkStart w:id="43" w:name="_Toc74735102"/>
      <w:r>
        <w:rPr>
          <w:rStyle w:val="CharSectno"/>
        </w:rPr>
        <w:t>19A</w:t>
      </w:r>
      <w:r>
        <w:rPr>
          <w:snapToGrid w:val="0"/>
        </w:rPr>
        <w:t>.</w:t>
      </w:r>
      <w:r>
        <w:rPr>
          <w:snapToGrid w:val="0"/>
        </w:rPr>
        <w:tab/>
        <w:t>Interpretation, etc.</w:t>
      </w:r>
      <w:bookmarkEnd w:id="43"/>
      <w:r>
        <w:rPr>
          <w:snapToGrid w:val="0"/>
        </w:rPr>
        <w:t xml:space="preserve"> </w:t>
      </w:r>
    </w:p>
    <w:p w:rsidR="005558CC" w:rsidRDefault="005743F0">
      <w:pPr>
        <w:pStyle w:val="Subsection"/>
        <w:spacing w:before="120"/>
        <w:rPr>
          <w:snapToGrid w:val="0"/>
        </w:rPr>
      </w:pPr>
      <w:r>
        <w:rPr>
          <w:snapToGrid w:val="0"/>
        </w:rPr>
        <w:tab/>
        <w:t>(1)</w:t>
      </w:r>
      <w:r>
        <w:rPr>
          <w:snapToGrid w:val="0"/>
        </w:rPr>
        <w:tab/>
        <w:t>In this Part — </w:t>
      </w:r>
    </w:p>
    <w:p w:rsidR="005558CC" w:rsidRDefault="005743F0">
      <w:pPr>
        <w:pStyle w:val="Defstart"/>
      </w:pPr>
      <w:r>
        <w:rPr>
          <w:b/>
        </w:rPr>
        <w:tab/>
      </w:r>
      <w:r>
        <w:rPr>
          <w:rStyle w:val="CharDefText"/>
        </w:rPr>
        <w:t>offeror</w:t>
      </w:r>
      <w:r>
        <w:t>, includes invitor;</w:t>
      </w:r>
    </w:p>
    <w:p w:rsidR="005558CC" w:rsidRDefault="005743F0">
      <w:pPr>
        <w:pStyle w:val="Defstart"/>
      </w:pPr>
      <w:r>
        <w:rPr>
          <w:b/>
        </w:rPr>
        <w:tab/>
      </w:r>
      <w:r>
        <w:rPr>
          <w:rStyle w:val="CharDefText"/>
        </w:rPr>
        <w:t>option to purchase</w:t>
      </w:r>
      <w:r>
        <w:t xml:space="preserve"> includes a gratuitous option to purchase; and</w:t>
      </w:r>
    </w:p>
    <w:p w:rsidR="005558CC" w:rsidRDefault="005743F0">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rsidR="005558CC" w:rsidRDefault="005743F0">
      <w:pPr>
        <w:pStyle w:val="Subsection"/>
        <w:spacing w:before="120"/>
        <w:rPr>
          <w:snapToGrid w:val="0"/>
        </w:rPr>
      </w:pPr>
      <w:r>
        <w:rPr>
          <w:snapToGrid w:val="0"/>
        </w:rPr>
        <w:tab/>
        <w:t>(2)</w:t>
      </w:r>
      <w:r>
        <w:rPr>
          <w:snapToGrid w:val="0"/>
        </w:rPr>
        <w:tab/>
        <w:t>For the purposes of this Part — </w:t>
      </w:r>
    </w:p>
    <w:p w:rsidR="005558CC" w:rsidRDefault="005743F0">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rsidR="005558CC" w:rsidRDefault="005743F0">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rsidR="005558CC" w:rsidRDefault="005743F0">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rsidR="005558CC" w:rsidRDefault="005743F0">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rsidR="005558CC" w:rsidRDefault="005743F0">
      <w:pPr>
        <w:pStyle w:val="Indenti"/>
      </w:pPr>
      <w:r>
        <w:tab/>
        <w:t>(ii)</w:t>
      </w:r>
      <w:r>
        <w:tab/>
        <w:t xml:space="preserve">going from place to place, whether by appointment or otherwise, offering for purchase to the public or any member of the public, </w:t>
      </w:r>
      <w:r>
        <w:lastRenderedPageBreak/>
        <w:t>offering options to purchase to the public or any member of the public, or inviting the public or any member of the public to purchase, as the case requires; and</w:t>
      </w:r>
    </w:p>
    <w:p w:rsidR="005558CC" w:rsidRDefault="005743F0">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rsidR="005558CC" w:rsidRDefault="005743F0">
      <w:pPr>
        <w:pStyle w:val="Indenta"/>
        <w:spacing w:before="60"/>
        <w:rPr>
          <w:snapToGrid w:val="0"/>
        </w:rPr>
      </w:pPr>
      <w:r>
        <w:rPr>
          <w:snapToGrid w:val="0"/>
        </w:rPr>
        <w:tab/>
      </w:r>
      <w:r>
        <w:rPr>
          <w:snapToGrid w:val="0"/>
        </w:rPr>
        <w:tab/>
      </w:r>
      <w:r>
        <w:t>and</w:t>
      </w:r>
    </w:p>
    <w:p w:rsidR="005558CC" w:rsidRDefault="005743F0">
      <w:pPr>
        <w:pStyle w:val="Indenta"/>
        <w:spacing w:before="60"/>
        <w:rPr>
          <w:snapToGrid w:val="0"/>
        </w:rPr>
      </w:pPr>
      <w:r>
        <w:rPr>
          <w:snapToGrid w:val="0"/>
        </w:rPr>
        <w:tab/>
        <w:t>(d)</w:t>
      </w:r>
      <w:r>
        <w:rPr>
          <w:snapToGrid w:val="0"/>
        </w:rPr>
        <w:tab/>
        <w:t>another person is an associate of an offeror where — </w:t>
      </w:r>
    </w:p>
    <w:p w:rsidR="005558CC" w:rsidRDefault="005743F0">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rsidR="005558CC" w:rsidRDefault="005743F0">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rsidR="005558CC" w:rsidRDefault="005743F0">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rsidR="005558CC" w:rsidRDefault="005743F0">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rsidR="005558CC" w:rsidRDefault="005743F0">
      <w:pPr>
        <w:pStyle w:val="Indenti"/>
      </w:pPr>
      <w:r>
        <w:tab/>
        <w:t>(v)</w:t>
      </w:r>
      <w:r>
        <w:tab/>
        <w:t xml:space="preserve">the offeror is a body corporate that is, or the directors of which are, accustomed or under an obligation, whether formal or informal, to act in accordance with the directions, instructions or </w:t>
      </w:r>
      <w:r>
        <w:lastRenderedPageBreak/>
        <w:t>wishes of that other person in relation to any interest in the land,</w:t>
      </w:r>
    </w:p>
    <w:p w:rsidR="005558CC" w:rsidRDefault="005743F0">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rsidR="005558CC" w:rsidRDefault="005743F0">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rsidR="005558CC" w:rsidRDefault="005743F0">
      <w:pPr>
        <w:pStyle w:val="Footnotesection"/>
      </w:pPr>
      <w:r>
        <w:tab/>
        <w:t xml:space="preserve">[Section 19A inserted: No. 70 of 1974 s. 4; amended: No. 10 of 1982 s. 28; No. 20 of 2003 s. 43.] </w:t>
      </w:r>
    </w:p>
    <w:p w:rsidR="005558CC" w:rsidRDefault="005743F0">
      <w:pPr>
        <w:pStyle w:val="Heading5"/>
        <w:rPr>
          <w:snapToGrid w:val="0"/>
        </w:rPr>
      </w:pPr>
      <w:bookmarkStart w:id="44" w:name="_Toc74735103"/>
      <w:r>
        <w:rPr>
          <w:rStyle w:val="CharSectno"/>
        </w:rPr>
        <w:t>19B</w:t>
      </w:r>
      <w:r>
        <w:rPr>
          <w:snapToGrid w:val="0"/>
        </w:rPr>
        <w:t>.</w:t>
      </w:r>
      <w:r>
        <w:rPr>
          <w:snapToGrid w:val="0"/>
        </w:rPr>
        <w:tab/>
        <w:t>Certain offers to the public prohibited</w:t>
      </w:r>
      <w:bookmarkEnd w:id="44"/>
      <w:r>
        <w:rPr>
          <w:snapToGrid w:val="0"/>
        </w:rPr>
        <w:t xml:space="preserve"> </w:t>
      </w:r>
    </w:p>
    <w:p w:rsidR="005558CC" w:rsidRDefault="005743F0">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rsidR="005558CC" w:rsidRDefault="005743F0">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rsidR="005558CC" w:rsidRDefault="005743F0">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rsidR="005558CC" w:rsidRDefault="005743F0">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rsidR="005558CC" w:rsidRDefault="005743F0">
      <w:pPr>
        <w:pStyle w:val="Indenta"/>
        <w:spacing w:before="60"/>
        <w:rPr>
          <w:snapToGrid w:val="0"/>
        </w:rPr>
      </w:pPr>
      <w:r>
        <w:rPr>
          <w:snapToGrid w:val="0"/>
        </w:rPr>
        <w:lastRenderedPageBreak/>
        <w:tab/>
        <w:t>(d)</w:t>
      </w:r>
      <w:r>
        <w:rPr>
          <w:snapToGrid w:val="0"/>
        </w:rPr>
        <w:tab/>
        <w:t>the Minister has, pursuant to section 19C, exempted the offer or invitation from the provisions of this Part.</w:t>
      </w:r>
    </w:p>
    <w:p w:rsidR="005558CC" w:rsidRDefault="005743F0">
      <w:pPr>
        <w:pStyle w:val="Penstart"/>
      </w:pPr>
      <w:r>
        <w:tab/>
        <w:t>Penalty for this subsection: a fine of $100 000.</w:t>
      </w:r>
    </w:p>
    <w:p w:rsidR="005558CC" w:rsidRDefault="005743F0">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rsidR="005558CC" w:rsidRDefault="005743F0">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rsidR="005558CC" w:rsidRDefault="005743F0">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rsidR="005558CC" w:rsidRDefault="005743F0">
      <w:pPr>
        <w:pStyle w:val="Subsection"/>
        <w:spacing w:before="120"/>
        <w:rPr>
          <w:snapToGrid w:val="0"/>
        </w:rPr>
      </w:pPr>
      <w:r>
        <w:rPr>
          <w:snapToGrid w:val="0"/>
        </w:rPr>
        <w:tab/>
        <w:t>(5)</w:t>
      </w:r>
      <w:r>
        <w:rPr>
          <w:snapToGrid w:val="0"/>
        </w:rPr>
        <w:tab/>
        <w:t>It is a defence to a charge of an offence against this section for the accused to show — </w:t>
      </w:r>
    </w:p>
    <w:p w:rsidR="005558CC" w:rsidRDefault="005743F0">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rsidR="005558CC" w:rsidRDefault="005743F0">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rsidR="005558CC" w:rsidRDefault="005743F0">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rsidR="005558CC" w:rsidRDefault="005743F0">
      <w:pPr>
        <w:pStyle w:val="Footnotesection"/>
      </w:pPr>
      <w:r>
        <w:tab/>
        <w:t xml:space="preserve">[Section 19B inserted: No. 70 of 1974 s. 5; amended: No. 10 of 1982 s. 28; No. 20 of 2003 s. 44; No. 84 of 2004 s. 80 and 82; No. 38 of 2016 s. 13.] </w:t>
      </w:r>
    </w:p>
    <w:p w:rsidR="005558CC" w:rsidRDefault="005743F0">
      <w:pPr>
        <w:pStyle w:val="Heading5"/>
        <w:rPr>
          <w:snapToGrid w:val="0"/>
        </w:rPr>
      </w:pPr>
      <w:bookmarkStart w:id="45" w:name="_Toc74735104"/>
      <w:r>
        <w:rPr>
          <w:rStyle w:val="CharSectno"/>
        </w:rPr>
        <w:lastRenderedPageBreak/>
        <w:t>19C</w:t>
      </w:r>
      <w:r>
        <w:rPr>
          <w:snapToGrid w:val="0"/>
        </w:rPr>
        <w:t>.</w:t>
      </w:r>
      <w:r>
        <w:rPr>
          <w:snapToGrid w:val="0"/>
        </w:rPr>
        <w:tab/>
        <w:t>Transitional provision</w:t>
      </w:r>
      <w:bookmarkEnd w:id="45"/>
      <w:r>
        <w:rPr>
          <w:snapToGrid w:val="0"/>
        </w:rPr>
        <w:t xml:space="preserve"> </w:t>
      </w:r>
    </w:p>
    <w:p w:rsidR="005558CC" w:rsidRDefault="005743F0">
      <w:pPr>
        <w:pStyle w:val="Subsection"/>
        <w:spacing w:before="120"/>
        <w:rPr>
          <w:snapToGrid w:val="0"/>
        </w:rPr>
      </w:pPr>
      <w:r>
        <w:rPr>
          <w:snapToGrid w:val="0"/>
        </w:rPr>
        <w:tab/>
        <w:t>(1)</w:t>
      </w:r>
      <w:r>
        <w:rPr>
          <w:snapToGrid w:val="0"/>
        </w:rPr>
        <w:tab/>
        <w:t>Where — </w:t>
      </w:r>
    </w:p>
    <w:p w:rsidR="005558CC" w:rsidRDefault="005743F0">
      <w:pPr>
        <w:pStyle w:val="Indenta"/>
        <w:rPr>
          <w:snapToGrid w:val="0"/>
        </w:rPr>
      </w:pPr>
      <w:r>
        <w:rPr>
          <w:snapToGrid w:val="0"/>
        </w:rPr>
        <w:tab/>
        <w:t>(a)</w:t>
      </w:r>
      <w:r>
        <w:rPr>
          <w:snapToGrid w:val="0"/>
        </w:rPr>
        <w:tab/>
        <w:t xml:space="preserve">prior to the coming into operation of the </w:t>
      </w:r>
      <w:r>
        <w:rPr>
          <w:i/>
          <w:snapToGrid w:val="0"/>
        </w:rPr>
        <w:t>Sale of Land Act Amendment Act 1974</w:t>
      </w:r>
      <w:r>
        <w:rPr>
          <w:snapToGrid w:val="0"/>
        </w:rPr>
        <w:t xml:space="preserve"> but not later than 10 September 1974, a person had offered to the public for purchase, offered to the public options to purchase, or invited the public to purchase any undivided share or shares in land; and</w:t>
      </w:r>
    </w:p>
    <w:p w:rsidR="005558CC" w:rsidRDefault="005743F0">
      <w:pPr>
        <w:pStyle w:val="Indenta"/>
        <w:rPr>
          <w:snapToGrid w:val="0"/>
        </w:rPr>
      </w:pPr>
      <w:r>
        <w:rPr>
          <w:snapToGrid w:val="0"/>
        </w:rPr>
        <w:tab/>
        <w:t>(b)</w:t>
      </w:r>
      <w:r>
        <w:rPr>
          <w:snapToGrid w:val="0"/>
        </w:rPr>
        <w:tab/>
        <w:t>the Minister is satisfied that — </w:t>
      </w:r>
    </w:p>
    <w:p w:rsidR="005558CC" w:rsidRDefault="005743F0">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rsidR="005558CC" w:rsidRDefault="005743F0">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w:t>
      </w:r>
      <w:r>
        <w:rPr>
          <w:snapToGrid w:val="0"/>
        </w:rPr>
        <w:t xml:space="preserve"> that the provisions of this Part should apply so as to restrict the making of further offers or invitations by the offeror in relation to the land,</w:t>
      </w:r>
    </w:p>
    <w:p w:rsidR="005558CC" w:rsidRDefault="005743F0">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w:t>
      </w:r>
      <w:r>
        <w:rPr>
          <w:snapToGrid w:val="0"/>
        </w:rPr>
        <w:t>, exempt the offeror from the restrictions of this Part and in that event section 19D does not apply to any contract entered into, or any option granted, while that exemption remains in force.</w:t>
      </w:r>
    </w:p>
    <w:p w:rsidR="005558CC" w:rsidRDefault="005743F0">
      <w:pPr>
        <w:pStyle w:val="Subsection"/>
        <w:spacing w:before="120"/>
        <w:rPr>
          <w:snapToGrid w:val="0"/>
        </w:rPr>
      </w:pPr>
      <w:r>
        <w:rPr>
          <w:snapToGrid w:val="0"/>
        </w:rPr>
        <w:tab/>
        <w:t>(2)</w:t>
      </w:r>
      <w:r>
        <w:rPr>
          <w:snapToGrid w:val="0"/>
        </w:rPr>
        <w:tab/>
        <w:t xml:space="preserve">Where a person who was the owner of an undivided share in land on 10 September 1974, satisfies the Minister that it would be unreasonable for the provisions of this Part to apply so as to restrict him from making offers or invitations relating to the </w:t>
      </w:r>
      <w:r>
        <w:rPr>
          <w:snapToGrid w:val="0"/>
        </w:rPr>
        <w:lastRenderedPageBreak/>
        <w:t>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rsidR="005558CC" w:rsidRDefault="005743F0">
      <w:pPr>
        <w:pStyle w:val="Subsection"/>
        <w:spacing w:before="120"/>
        <w:rPr>
          <w:snapToGrid w:val="0"/>
        </w:rPr>
      </w:pPr>
      <w:r>
        <w:rPr>
          <w:snapToGrid w:val="0"/>
        </w:rPr>
        <w:tab/>
        <w:t>(3)</w:t>
      </w:r>
      <w:r>
        <w:rPr>
          <w:snapToGrid w:val="0"/>
        </w:rPr>
        <w:tab/>
        <w:t>Any exemption granted by the Minister pursuant to subsection (1) or subsection (2) — </w:t>
      </w:r>
    </w:p>
    <w:p w:rsidR="005558CC" w:rsidRDefault="005743F0">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rsidR="005558CC" w:rsidRDefault="005743F0">
      <w:pPr>
        <w:pStyle w:val="Indenta"/>
        <w:rPr>
          <w:snapToGrid w:val="0"/>
        </w:rPr>
      </w:pPr>
      <w:r>
        <w:rPr>
          <w:snapToGrid w:val="0"/>
        </w:rPr>
        <w:tab/>
        <w:t>(b)</w:t>
      </w:r>
      <w:r>
        <w:rPr>
          <w:snapToGrid w:val="0"/>
        </w:rPr>
        <w:tab/>
        <w:t>may be revoked by the Minister at any time and shall, in any event, determine forthwith upon any breach of those conditions.</w:t>
      </w:r>
    </w:p>
    <w:p w:rsidR="005558CC" w:rsidRDefault="005743F0">
      <w:pPr>
        <w:pStyle w:val="Footnotesection"/>
      </w:pPr>
      <w:r>
        <w:tab/>
        <w:t xml:space="preserve">[Section 19C inserted: No. 70 of 1974 s. 6.] </w:t>
      </w:r>
    </w:p>
    <w:p w:rsidR="005558CC" w:rsidRDefault="005743F0">
      <w:pPr>
        <w:pStyle w:val="Heading5"/>
        <w:rPr>
          <w:snapToGrid w:val="0"/>
        </w:rPr>
      </w:pPr>
      <w:bookmarkStart w:id="46" w:name="_Toc74735105"/>
      <w:r>
        <w:rPr>
          <w:rStyle w:val="CharSectno"/>
        </w:rPr>
        <w:t>19D</w:t>
      </w:r>
      <w:r>
        <w:rPr>
          <w:snapToGrid w:val="0"/>
        </w:rPr>
        <w:t>.</w:t>
      </w:r>
      <w:r>
        <w:rPr>
          <w:snapToGrid w:val="0"/>
        </w:rPr>
        <w:tab/>
        <w:t>Rescission</w:t>
      </w:r>
      <w:bookmarkEnd w:id="46"/>
      <w:r>
        <w:rPr>
          <w:snapToGrid w:val="0"/>
        </w:rPr>
        <w:t xml:space="preserve"> </w:t>
      </w:r>
    </w:p>
    <w:p w:rsidR="005558CC" w:rsidRDefault="005743F0">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rsidR="005558CC" w:rsidRDefault="005743F0">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rsidR="005558CC" w:rsidRDefault="005743F0">
      <w:pPr>
        <w:pStyle w:val="Indenta"/>
        <w:rPr>
          <w:snapToGrid w:val="0"/>
        </w:rPr>
      </w:pPr>
      <w:r>
        <w:rPr>
          <w:snapToGrid w:val="0"/>
        </w:rPr>
        <w:tab/>
        <w:t>(b)</w:t>
      </w:r>
      <w:r>
        <w:rPr>
          <w:snapToGrid w:val="0"/>
        </w:rPr>
        <w:tab/>
        <w:t>thereupon, may recover in a court of competent jurisdiction all moneys paid under the contract,</w:t>
      </w:r>
    </w:p>
    <w:p w:rsidR="005558CC" w:rsidRDefault="005743F0">
      <w:pPr>
        <w:pStyle w:val="Subsection"/>
        <w:spacing w:before="120"/>
        <w:rPr>
          <w:snapToGrid w:val="0"/>
        </w:rPr>
      </w:pPr>
      <w:r>
        <w:rPr>
          <w:snapToGrid w:val="0"/>
        </w:rPr>
        <w:tab/>
      </w:r>
      <w:r>
        <w:rPr>
          <w:snapToGrid w:val="0"/>
        </w:rPr>
        <w:tab/>
        <w:t>unless the vendor shows to the satisfaction of the court that — </w:t>
      </w:r>
    </w:p>
    <w:p w:rsidR="005558CC" w:rsidRDefault="005743F0">
      <w:pPr>
        <w:pStyle w:val="Indenta"/>
        <w:rPr>
          <w:snapToGrid w:val="0"/>
        </w:rPr>
      </w:pPr>
      <w:r>
        <w:rPr>
          <w:snapToGrid w:val="0"/>
        </w:rPr>
        <w:tab/>
        <w:t>(c)</w:t>
      </w:r>
      <w:r>
        <w:rPr>
          <w:snapToGrid w:val="0"/>
        </w:rPr>
        <w:tab/>
        <w:t>the offer or invitation did not contribute to the making of the contract; or</w:t>
      </w:r>
    </w:p>
    <w:p w:rsidR="005558CC" w:rsidRDefault="005743F0">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rsidR="005558CC" w:rsidRDefault="005743F0">
      <w:pPr>
        <w:pStyle w:val="Footnotesection"/>
      </w:pPr>
      <w:r>
        <w:tab/>
        <w:t xml:space="preserve">[Section 19D inserted: No. 70 of 1974 s. 7.] </w:t>
      </w:r>
    </w:p>
    <w:p w:rsidR="005558CC" w:rsidRDefault="005743F0">
      <w:pPr>
        <w:pStyle w:val="Heading2"/>
      </w:pPr>
      <w:bookmarkStart w:id="47" w:name="_Toc74658187"/>
      <w:bookmarkStart w:id="48" w:name="_Toc74658234"/>
      <w:bookmarkStart w:id="49" w:name="_Toc74735106"/>
      <w:r>
        <w:rPr>
          <w:rStyle w:val="CharPartNo"/>
        </w:rPr>
        <w:lastRenderedPageBreak/>
        <w:t>Part V</w:t>
      </w:r>
      <w:r>
        <w:rPr>
          <w:rStyle w:val="CharDivNo"/>
        </w:rPr>
        <w:t> </w:t>
      </w:r>
      <w:r>
        <w:t>—</w:t>
      </w:r>
      <w:r>
        <w:rPr>
          <w:rStyle w:val="CharDivText"/>
        </w:rPr>
        <w:t> </w:t>
      </w:r>
      <w:r>
        <w:rPr>
          <w:rStyle w:val="CharPartText"/>
        </w:rPr>
        <w:t>Application to the Court by vendor or purchaser</w:t>
      </w:r>
      <w:bookmarkEnd w:id="47"/>
      <w:bookmarkEnd w:id="48"/>
      <w:bookmarkEnd w:id="49"/>
      <w:r>
        <w:rPr>
          <w:rStyle w:val="CharPartText"/>
        </w:rPr>
        <w:t xml:space="preserve"> </w:t>
      </w:r>
    </w:p>
    <w:p w:rsidR="005558CC" w:rsidRDefault="005743F0">
      <w:pPr>
        <w:pStyle w:val="Heading5"/>
        <w:rPr>
          <w:snapToGrid w:val="0"/>
        </w:rPr>
      </w:pPr>
      <w:bookmarkStart w:id="50" w:name="_Toc74735107"/>
      <w:r>
        <w:rPr>
          <w:rStyle w:val="CharSectno"/>
        </w:rPr>
        <w:t>20</w:t>
      </w:r>
      <w:r>
        <w:rPr>
          <w:snapToGrid w:val="0"/>
        </w:rPr>
        <w:t>.</w:t>
      </w:r>
      <w:r>
        <w:rPr>
          <w:snapToGrid w:val="0"/>
        </w:rPr>
        <w:tab/>
        <w:t>Application to Court</w:t>
      </w:r>
      <w:bookmarkEnd w:id="50"/>
      <w:r>
        <w:rPr>
          <w:snapToGrid w:val="0"/>
        </w:rPr>
        <w:t xml:space="preserve"> </w:t>
      </w:r>
    </w:p>
    <w:p w:rsidR="005558CC" w:rsidRDefault="005743F0">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rsidR="005558CC" w:rsidRDefault="005743F0">
      <w:pPr>
        <w:pStyle w:val="Heading2"/>
      </w:pPr>
      <w:bookmarkStart w:id="51" w:name="_Toc74658189"/>
      <w:bookmarkStart w:id="52" w:name="_Toc74658236"/>
      <w:bookmarkStart w:id="53" w:name="_Toc74735108"/>
      <w:r>
        <w:rPr>
          <w:rStyle w:val="CharPartNo"/>
        </w:rPr>
        <w:lastRenderedPageBreak/>
        <w:t>Part VI</w:t>
      </w:r>
      <w:r>
        <w:rPr>
          <w:rStyle w:val="CharDivNo"/>
        </w:rPr>
        <w:t> </w:t>
      </w:r>
      <w:r>
        <w:t>—</w:t>
      </w:r>
      <w:r>
        <w:rPr>
          <w:rStyle w:val="CharDivText"/>
        </w:rPr>
        <w:t> </w:t>
      </w:r>
      <w:r>
        <w:rPr>
          <w:rStyle w:val="CharPartText"/>
        </w:rPr>
        <w:t>Rules relating to title of general law land</w:t>
      </w:r>
      <w:bookmarkEnd w:id="51"/>
      <w:bookmarkEnd w:id="52"/>
      <w:bookmarkEnd w:id="53"/>
      <w:r>
        <w:rPr>
          <w:rStyle w:val="CharPartText"/>
        </w:rPr>
        <w:t xml:space="preserve"> </w:t>
      </w:r>
    </w:p>
    <w:p w:rsidR="005558CC" w:rsidRDefault="005743F0">
      <w:pPr>
        <w:pStyle w:val="Heading5"/>
        <w:rPr>
          <w:snapToGrid w:val="0"/>
        </w:rPr>
      </w:pPr>
      <w:bookmarkStart w:id="54" w:name="_Toc74735109"/>
      <w:r>
        <w:rPr>
          <w:rStyle w:val="CharSectno"/>
        </w:rPr>
        <w:t>21</w:t>
      </w:r>
      <w:r>
        <w:rPr>
          <w:snapToGrid w:val="0"/>
        </w:rPr>
        <w:t>.</w:t>
      </w:r>
      <w:r>
        <w:rPr>
          <w:snapToGrid w:val="0"/>
        </w:rPr>
        <w:tab/>
        <w:t>Application of this Part</w:t>
      </w:r>
      <w:bookmarkEnd w:id="54"/>
      <w:r>
        <w:rPr>
          <w:snapToGrid w:val="0"/>
        </w:rPr>
        <w:t xml:space="preserve"> </w:t>
      </w:r>
    </w:p>
    <w:p w:rsidR="005558CC" w:rsidRDefault="005743F0">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rsidR="005558CC" w:rsidRDefault="005743F0">
      <w:pPr>
        <w:pStyle w:val="Heading5"/>
        <w:rPr>
          <w:snapToGrid w:val="0"/>
        </w:rPr>
      </w:pPr>
      <w:bookmarkStart w:id="55" w:name="_Toc74735110"/>
      <w:r>
        <w:rPr>
          <w:rStyle w:val="CharSectno"/>
        </w:rPr>
        <w:t>22</w:t>
      </w:r>
      <w:r>
        <w:rPr>
          <w:snapToGrid w:val="0"/>
        </w:rPr>
        <w:t>.</w:t>
      </w:r>
      <w:r>
        <w:rPr>
          <w:snapToGrid w:val="0"/>
        </w:rPr>
        <w:tab/>
        <w:t>Thirty years title substituted for 40 years</w:t>
      </w:r>
      <w:bookmarkEnd w:id="55"/>
      <w:r>
        <w:rPr>
          <w:snapToGrid w:val="0"/>
        </w:rPr>
        <w:t xml:space="preserve"> </w:t>
      </w:r>
    </w:p>
    <w:p w:rsidR="005558CC" w:rsidRDefault="005743F0">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rsidR="005558CC" w:rsidRDefault="005743F0">
      <w:pPr>
        <w:pStyle w:val="Heading5"/>
        <w:rPr>
          <w:snapToGrid w:val="0"/>
        </w:rPr>
      </w:pPr>
      <w:bookmarkStart w:id="56" w:name="_Toc74735111"/>
      <w:r>
        <w:rPr>
          <w:rStyle w:val="CharSectno"/>
        </w:rPr>
        <w:t>23</w:t>
      </w:r>
      <w:r>
        <w:rPr>
          <w:snapToGrid w:val="0"/>
        </w:rPr>
        <w:t>.</w:t>
      </w:r>
      <w:r>
        <w:rPr>
          <w:snapToGrid w:val="0"/>
        </w:rPr>
        <w:tab/>
        <w:t>Rights of vendor and purchaser as to title</w:t>
      </w:r>
      <w:bookmarkEnd w:id="56"/>
      <w:r>
        <w:rPr>
          <w:snapToGrid w:val="0"/>
        </w:rPr>
        <w:t xml:space="preserve"> </w:t>
      </w:r>
    </w:p>
    <w:p w:rsidR="005558CC" w:rsidRDefault="005743F0">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rsidR="005558CC" w:rsidRDefault="005743F0">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rsidR="005558CC" w:rsidRDefault="005743F0">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rsidR="005558CC" w:rsidRDefault="005743F0">
      <w:pPr>
        <w:pStyle w:val="Indenta"/>
        <w:rPr>
          <w:snapToGrid w:val="0"/>
        </w:rPr>
      </w:pPr>
      <w:r>
        <w:rPr>
          <w:snapToGrid w:val="0"/>
        </w:rPr>
        <w:tab/>
        <w:t>(c)</w:t>
      </w:r>
      <w:r>
        <w:rPr>
          <w:snapToGrid w:val="0"/>
        </w:rPr>
        <w:tab/>
        <w:t xml:space="preserve">the inability of the vendor to furnish the purchaser with a legal covenant to produce and furnish copies of documents of title is not an objection to title where the </w:t>
      </w:r>
      <w:r>
        <w:rPr>
          <w:snapToGrid w:val="0"/>
        </w:rPr>
        <w:lastRenderedPageBreak/>
        <w:t>purchaser will, on the completion of the contract, have an equitable right to the production of such documents;</w:t>
      </w:r>
    </w:p>
    <w:p w:rsidR="005558CC" w:rsidRDefault="005743F0">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rsidR="005558CC" w:rsidRDefault="005743F0">
      <w:pPr>
        <w:pStyle w:val="Indenta"/>
        <w:rPr>
          <w:snapToGrid w:val="0"/>
        </w:rPr>
      </w:pPr>
      <w:r>
        <w:rPr>
          <w:snapToGrid w:val="0"/>
        </w:rPr>
        <w:tab/>
        <w:t>(e)</w:t>
      </w:r>
      <w:r>
        <w:rPr>
          <w:snapToGrid w:val="0"/>
        </w:rPr>
        <w:tab/>
        <w:t>where the vendor retains any part of an estate, to which any documents of title relate, he may retain such documents.</w:t>
      </w:r>
    </w:p>
    <w:p w:rsidR="005558CC" w:rsidRDefault="005743F0">
      <w:pPr>
        <w:pStyle w:val="Heading2"/>
      </w:pPr>
      <w:bookmarkStart w:id="57" w:name="_Toc74658193"/>
      <w:bookmarkStart w:id="58" w:name="_Toc74658240"/>
      <w:bookmarkStart w:id="59" w:name="_Toc74735112"/>
      <w:r>
        <w:rPr>
          <w:rStyle w:val="CharPartNo"/>
        </w:rPr>
        <w:lastRenderedPageBreak/>
        <w:t>Part VII</w:t>
      </w:r>
      <w:r>
        <w:rPr>
          <w:rStyle w:val="CharDivNo"/>
        </w:rPr>
        <w:t> </w:t>
      </w:r>
      <w:r>
        <w:t>—</w:t>
      </w:r>
      <w:r>
        <w:rPr>
          <w:rStyle w:val="CharDivText"/>
        </w:rPr>
        <w:t> </w:t>
      </w:r>
      <w:r>
        <w:rPr>
          <w:rStyle w:val="CharPartText"/>
        </w:rPr>
        <w:t xml:space="preserve">Transitional provisions for </w:t>
      </w:r>
      <w:r>
        <w:rPr>
          <w:rStyle w:val="CharPartText"/>
          <w:i/>
        </w:rPr>
        <w:t>Sale of Land Amendment Act 2016</w:t>
      </w:r>
      <w:bookmarkEnd w:id="57"/>
      <w:bookmarkEnd w:id="58"/>
      <w:bookmarkEnd w:id="59"/>
    </w:p>
    <w:p w:rsidR="005558CC" w:rsidRDefault="005743F0">
      <w:pPr>
        <w:pStyle w:val="Footnoteheading"/>
      </w:pPr>
      <w:r>
        <w:tab/>
        <w:t xml:space="preserve">[Heading inserted: No. 38 of 2016 s. 14.] </w:t>
      </w:r>
    </w:p>
    <w:p w:rsidR="005558CC" w:rsidRDefault="005743F0">
      <w:pPr>
        <w:pStyle w:val="Heading5"/>
      </w:pPr>
      <w:bookmarkStart w:id="60" w:name="_Toc74735113"/>
      <w:r>
        <w:rPr>
          <w:rStyle w:val="CharSectno"/>
        </w:rPr>
        <w:t>24</w:t>
      </w:r>
      <w:r>
        <w:t>.</w:t>
      </w:r>
      <w:r>
        <w:tab/>
        <w:t xml:space="preserve">Transitional provisions for </w:t>
      </w:r>
      <w:r>
        <w:rPr>
          <w:i/>
        </w:rPr>
        <w:t>Sale of Land Amendment Act 2016</w:t>
      </w:r>
      <w:bookmarkEnd w:id="60"/>
    </w:p>
    <w:p w:rsidR="005558CC" w:rsidRDefault="005743F0">
      <w:pPr>
        <w:pStyle w:val="Subsection"/>
      </w:pPr>
      <w:r>
        <w:tab/>
        <w:t>(1)</w:t>
      </w:r>
      <w:r>
        <w:tab/>
        <w:t xml:space="preserve">In this section — </w:t>
      </w:r>
    </w:p>
    <w:p w:rsidR="005558CC" w:rsidRDefault="005743F0">
      <w:pPr>
        <w:pStyle w:val="Defstart"/>
      </w:pPr>
      <w:r>
        <w:tab/>
      </w:r>
      <w:r>
        <w:rPr>
          <w:rStyle w:val="CharDefText"/>
        </w:rPr>
        <w:t>amendment Act</w:t>
      </w:r>
      <w:r>
        <w:t xml:space="preserve"> means the </w:t>
      </w:r>
      <w:r>
        <w:rPr>
          <w:i/>
        </w:rPr>
        <w:t>Sale of Land Amendment Act 2016</w:t>
      </w:r>
      <w:r>
        <w:t>;</w:t>
      </w:r>
    </w:p>
    <w:p w:rsidR="005558CC" w:rsidRDefault="005743F0">
      <w:pPr>
        <w:pStyle w:val="Defstart"/>
      </w:pPr>
      <w:r>
        <w:tab/>
      </w:r>
      <w:r>
        <w:rPr>
          <w:rStyle w:val="CharDefText"/>
        </w:rPr>
        <w:t>commencement day</w:t>
      </w:r>
      <w:r>
        <w:t xml:space="preserve"> means the day on which sections 6 to 8 of the amendment Act come into operation;</w:t>
      </w:r>
    </w:p>
    <w:p w:rsidR="005558CC" w:rsidRDefault="005743F0">
      <w:pPr>
        <w:pStyle w:val="Defstart"/>
      </w:pPr>
      <w:r>
        <w:tab/>
      </w:r>
      <w:r>
        <w:rPr>
          <w:rStyle w:val="CharDefText"/>
        </w:rPr>
        <w:t>future lot contract</w:t>
      </w:r>
      <w:r>
        <w:t xml:space="preserve"> has the meaning given in section 11 (as amended by the amendment Act);</w:t>
      </w:r>
    </w:p>
    <w:p w:rsidR="005558CC" w:rsidRDefault="005743F0">
      <w:pPr>
        <w:pStyle w:val="Defstart"/>
      </w:pPr>
      <w:r>
        <w:tab/>
      </w:r>
      <w:r>
        <w:rPr>
          <w:rStyle w:val="CharDefText"/>
        </w:rPr>
        <w:t>post</w:t>
      </w:r>
      <w:r>
        <w:rPr>
          <w:rStyle w:val="CharDefText"/>
        </w:rPr>
        <w:noBreakHyphen/>
        <w:t>commencement future lot contract</w:t>
      </w:r>
      <w:r>
        <w:t xml:space="preserve"> means a future lot contract entered into on or after the commencement day;</w:t>
      </w:r>
    </w:p>
    <w:p w:rsidR="005558CC" w:rsidRDefault="005743F0">
      <w:pPr>
        <w:pStyle w:val="Defstart"/>
      </w:pPr>
      <w:r>
        <w:tab/>
      </w:r>
      <w:r>
        <w:rPr>
          <w:rStyle w:val="CharDefText"/>
        </w:rPr>
        <w:t>pre</w:t>
      </w:r>
      <w:r>
        <w:rPr>
          <w:rStyle w:val="CharDefText"/>
        </w:rPr>
        <w:noBreakHyphen/>
        <w:t>commencement future lot contract</w:t>
      </w:r>
      <w:r>
        <w:t xml:space="preserve"> means a future lot contract entered into before the commencement day.</w:t>
      </w:r>
    </w:p>
    <w:p w:rsidR="005558CC" w:rsidRDefault="005743F0">
      <w:pPr>
        <w:pStyle w:val="Subsection"/>
      </w:pPr>
      <w:r>
        <w:tab/>
        <w:t>(2)</w:t>
      </w:r>
      <w:r>
        <w:tab/>
        <w:t>Subject to section 13, a pre</w:t>
      </w:r>
      <w:r>
        <w:noBreakHyphen/>
        <w:t>commencement future lot contract continues in effect as if the amendment Act had not been enacted.</w:t>
      </w:r>
    </w:p>
    <w:p w:rsidR="005558CC" w:rsidRDefault="005743F0">
      <w:pPr>
        <w:pStyle w:val="Subsection"/>
      </w:pPr>
      <w:r>
        <w:tab/>
        <w:t>(3)</w:t>
      </w:r>
      <w:r>
        <w:tab/>
        <w:t>Sections 13A to 13I (as inserted by the amendment Act) apply to every post</w:t>
      </w:r>
      <w:r>
        <w:noBreakHyphen/>
        <w:t>commencement future lot contract.</w:t>
      </w:r>
    </w:p>
    <w:p w:rsidR="005558CC" w:rsidRDefault="005743F0">
      <w:pPr>
        <w:pStyle w:val="Footnotesection"/>
      </w:pPr>
      <w:r>
        <w:tab/>
        <w:t xml:space="preserve">[Section 24 inserted: No. 38 of 2016 s. 14.] </w:t>
      </w:r>
    </w:p>
    <w:p w:rsidR="005558CC" w:rsidRDefault="005743F0">
      <w:pPr>
        <w:pStyle w:val="yEdnoteschedule"/>
      </w:pPr>
      <w:r>
        <w:t>[</w:t>
      </w:r>
      <w:r>
        <w:rPr>
          <w:bCs/>
        </w:rPr>
        <w:t>Schedule o</w:t>
      </w:r>
      <w:r>
        <w:t>mitted under the Reprints Act 1984 s. 7(4)(f).]</w:t>
      </w:r>
    </w:p>
    <w:p w:rsidR="005558CC" w:rsidRDefault="005558CC">
      <w:pPr>
        <w:rPr>
          <w:rStyle w:val="CharDivText"/>
        </w:rPr>
        <w:sectPr w:rsidR="005558CC">
          <w:headerReference w:type="even" r:id="rId20"/>
          <w:headerReference w:type="default" r:id="rId21"/>
          <w:headerReference w:type="first" r:id="rId22"/>
          <w:pgSz w:w="11907" w:h="16840" w:code="9"/>
          <w:pgMar w:top="2381" w:right="2409" w:bottom="3543" w:left="2409" w:header="720" w:footer="3380" w:gutter="0"/>
          <w:pgNumType w:start="1"/>
          <w:cols w:space="720"/>
          <w:noEndnote/>
          <w:titlePg/>
          <w:docGrid w:linePitch="326"/>
        </w:sectPr>
      </w:pPr>
    </w:p>
    <w:p w:rsidR="005558CC" w:rsidRDefault="005743F0">
      <w:pPr>
        <w:pStyle w:val="nHeading2"/>
      </w:pPr>
      <w:bookmarkStart w:id="61" w:name="_Toc74658195"/>
      <w:bookmarkStart w:id="62" w:name="_Toc74658242"/>
      <w:bookmarkStart w:id="63" w:name="_Toc74735114"/>
      <w:r>
        <w:lastRenderedPageBreak/>
        <w:t>Notes</w:t>
      </w:r>
      <w:bookmarkEnd w:id="61"/>
      <w:bookmarkEnd w:id="62"/>
      <w:bookmarkEnd w:id="63"/>
    </w:p>
    <w:p w:rsidR="005558CC" w:rsidRDefault="005743F0">
      <w:pPr>
        <w:pStyle w:val="nStatement"/>
      </w:pPr>
      <w:r>
        <w:t xml:space="preserve">This is a compilation of the </w:t>
      </w:r>
      <w:r>
        <w:rPr>
          <w:i/>
          <w:noProof/>
        </w:rPr>
        <w:t>Sale of Land Act 1970</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rsidR="005558CC" w:rsidRDefault="005743F0">
      <w:pPr>
        <w:pStyle w:val="nHeading3"/>
      </w:pPr>
      <w:bookmarkStart w:id="64" w:name="_Toc74735115"/>
      <w:r>
        <w:t>Compilation table</w:t>
      </w:r>
      <w:bookmarkEnd w:id="6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62"/>
        <w:gridCol w:w="2524"/>
      </w:tblGrid>
      <w:tr w:rsidR="005558CC">
        <w:trPr>
          <w:cantSplit/>
          <w:tblHeader/>
        </w:trPr>
        <w:tc>
          <w:tcPr>
            <w:tcW w:w="2268" w:type="dxa"/>
            <w:tcBorders>
              <w:top w:val="single" w:sz="8" w:space="0" w:color="auto"/>
              <w:bottom w:val="single" w:sz="8" w:space="0" w:color="auto"/>
            </w:tcBorders>
          </w:tcPr>
          <w:p w:rsidR="005558CC" w:rsidRDefault="005743F0">
            <w:pPr>
              <w:pStyle w:val="nTable"/>
              <w:spacing w:after="40"/>
              <w:ind w:right="113"/>
              <w:rPr>
                <w:b/>
              </w:rPr>
            </w:pPr>
            <w:r>
              <w:rPr>
                <w:b/>
              </w:rPr>
              <w:t>Short title</w:t>
            </w:r>
          </w:p>
        </w:tc>
        <w:tc>
          <w:tcPr>
            <w:tcW w:w="1134" w:type="dxa"/>
            <w:tcBorders>
              <w:top w:val="single" w:sz="8" w:space="0" w:color="auto"/>
              <w:bottom w:val="single" w:sz="8" w:space="0" w:color="auto"/>
            </w:tcBorders>
          </w:tcPr>
          <w:p w:rsidR="005558CC" w:rsidRDefault="005743F0">
            <w:pPr>
              <w:pStyle w:val="nTable"/>
              <w:spacing w:after="40"/>
              <w:rPr>
                <w:b/>
              </w:rPr>
            </w:pPr>
            <w:r>
              <w:rPr>
                <w:b/>
              </w:rPr>
              <w:t>Number and year</w:t>
            </w:r>
          </w:p>
        </w:tc>
        <w:tc>
          <w:tcPr>
            <w:tcW w:w="1162" w:type="dxa"/>
            <w:tcBorders>
              <w:top w:val="single" w:sz="8" w:space="0" w:color="auto"/>
              <w:bottom w:val="single" w:sz="8" w:space="0" w:color="auto"/>
            </w:tcBorders>
          </w:tcPr>
          <w:p w:rsidR="005558CC" w:rsidRDefault="005743F0">
            <w:pPr>
              <w:pStyle w:val="nTable"/>
              <w:spacing w:after="40"/>
              <w:rPr>
                <w:b/>
              </w:rPr>
            </w:pPr>
            <w:r>
              <w:rPr>
                <w:b/>
              </w:rPr>
              <w:t>Assent</w:t>
            </w:r>
          </w:p>
        </w:tc>
        <w:tc>
          <w:tcPr>
            <w:tcW w:w="2524" w:type="dxa"/>
            <w:tcBorders>
              <w:top w:val="single" w:sz="8" w:space="0" w:color="auto"/>
              <w:bottom w:val="single" w:sz="8" w:space="0" w:color="auto"/>
            </w:tcBorders>
          </w:tcPr>
          <w:p w:rsidR="005558CC" w:rsidRDefault="005743F0">
            <w:pPr>
              <w:pStyle w:val="nTable"/>
              <w:spacing w:after="40"/>
              <w:rPr>
                <w:b/>
              </w:rPr>
            </w:pPr>
            <w:r>
              <w:rPr>
                <w:b/>
              </w:rPr>
              <w:t>Commencement</w:t>
            </w:r>
          </w:p>
        </w:tc>
      </w:tr>
      <w:tr w:rsidR="005558CC">
        <w:trPr>
          <w:cantSplit/>
        </w:trPr>
        <w:tc>
          <w:tcPr>
            <w:tcW w:w="2268" w:type="dxa"/>
            <w:tcBorders>
              <w:top w:val="single" w:sz="8" w:space="0" w:color="auto"/>
            </w:tcBorders>
          </w:tcPr>
          <w:p w:rsidR="005558CC" w:rsidRDefault="005743F0">
            <w:pPr>
              <w:pStyle w:val="nTable"/>
              <w:spacing w:after="40"/>
              <w:ind w:right="113"/>
            </w:pPr>
            <w:r>
              <w:rPr>
                <w:i/>
              </w:rPr>
              <w:t>Sale of Land Act 1970</w:t>
            </w:r>
          </w:p>
        </w:tc>
        <w:tc>
          <w:tcPr>
            <w:tcW w:w="1134" w:type="dxa"/>
            <w:tcBorders>
              <w:top w:val="single" w:sz="8" w:space="0" w:color="auto"/>
            </w:tcBorders>
          </w:tcPr>
          <w:p w:rsidR="005558CC" w:rsidRDefault="005743F0">
            <w:pPr>
              <w:pStyle w:val="nTable"/>
              <w:spacing w:after="40"/>
            </w:pPr>
            <w:r>
              <w:t>119 of 1970</w:t>
            </w:r>
          </w:p>
        </w:tc>
        <w:tc>
          <w:tcPr>
            <w:tcW w:w="1162" w:type="dxa"/>
            <w:tcBorders>
              <w:top w:val="single" w:sz="8" w:space="0" w:color="auto"/>
            </w:tcBorders>
          </w:tcPr>
          <w:p w:rsidR="005558CC" w:rsidRDefault="005743F0">
            <w:pPr>
              <w:pStyle w:val="nTable"/>
              <w:spacing w:after="40"/>
            </w:pPr>
            <w:r>
              <w:t>10 Dec 1970</w:t>
            </w:r>
          </w:p>
        </w:tc>
        <w:tc>
          <w:tcPr>
            <w:tcW w:w="2524" w:type="dxa"/>
            <w:tcBorders>
              <w:top w:val="single" w:sz="8" w:space="0" w:color="auto"/>
            </w:tcBorders>
          </w:tcPr>
          <w:p w:rsidR="005558CC" w:rsidRDefault="005743F0">
            <w:pPr>
              <w:pStyle w:val="nTable"/>
              <w:spacing w:after="40"/>
            </w:pPr>
            <w:r>
              <w:t xml:space="preserve">1 Feb 1971 (see s. 2 and </w:t>
            </w:r>
            <w:r>
              <w:rPr>
                <w:i/>
              </w:rPr>
              <w:t>Gazette</w:t>
            </w:r>
            <w:r>
              <w:t xml:space="preserve"> 22 Jan 1971 p. 149)</w:t>
            </w:r>
          </w:p>
        </w:tc>
      </w:tr>
      <w:tr w:rsidR="005558CC">
        <w:trPr>
          <w:cantSplit/>
        </w:trPr>
        <w:tc>
          <w:tcPr>
            <w:tcW w:w="2268" w:type="dxa"/>
          </w:tcPr>
          <w:p w:rsidR="005558CC" w:rsidRDefault="005743F0">
            <w:pPr>
              <w:pStyle w:val="nTable"/>
              <w:spacing w:after="40"/>
              <w:ind w:right="113"/>
              <w:rPr>
                <w:i/>
              </w:rPr>
            </w:pPr>
            <w:r>
              <w:rPr>
                <w:i/>
              </w:rPr>
              <w:t>Sale of Land Act Amendment Act 1973</w:t>
            </w:r>
          </w:p>
        </w:tc>
        <w:tc>
          <w:tcPr>
            <w:tcW w:w="1134" w:type="dxa"/>
          </w:tcPr>
          <w:p w:rsidR="005558CC" w:rsidRDefault="005743F0">
            <w:pPr>
              <w:pStyle w:val="nTable"/>
              <w:spacing w:after="40"/>
            </w:pPr>
            <w:r>
              <w:t>9 of 1973</w:t>
            </w:r>
          </w:p>
        </w:tc>
        <w:tc>
          <w:tcPr>
            <w:tcW w:w="1162" w:type="dxa"/>
          </w:tcPr>
          <w:p w:rsidR="005558CC" w:rsidRDefault="005743F0">
            <w:pPr>
              <w:pStyle w:val="nTable"/>
              <w:spacing w:after="40"/>
            </w:pPr>
            <w:r>
              <w:t>25 May 1973</w:t>
            </w:r>
          </w:p>
        </w:tc>
        <w:tc>
          <w:tcPr>
            <w:tcW w:w="2524" w:type="dxa"/>
          </w:tcPr>
          <w:p w:rsidR="005558CC" w:rsidRDefault="005743F0">
            <w:pPr>
              <w:pStyle w:val="nTable"/>
              <w:spacing w:after="40"/>
            </w:pPr>
            <w:r>
              <w:t>25 May 1973</w:t>
            </w:r>
          </w:p>
        </w:tc>
      </w:tr>
      <w:tr w:rsidR="005558CC">
        <w:trPr>
          <w:cantSplit/>
        </w:trPr>
        <w:tc>
          <w:tcPr>
            <w:tcW w:w="2268" w:type="dxa"/>
          </w:tcPr>
          <w:p w:rsidR="005558CC" w:rsidRDefault="005743F0">
            <w:pPr>
              <w:pStyle w:val="nTable"/>
              <w:spacing w:after="40"/>
              <w:ind w:right="113"/>
            </w:pPr>
            <w:r>
              <w:rPr>
                <w:i/>
              </w:rPr>
              <w:t>Sale of Land Act Amendment Act 1974</w:t>
            </w:r>
          </w:p>
        </w:tc>
        <w:tc>
          <w:tcPr>
            <w:tcW w:w="1134" w:type="dxa"/>
          </w:tcPr>
          <w:p w:rsidR="005558CC" w:rsidRDefault="005743F0">
            <w:pPr>
              <w:pStyle w:val="nTable"/>
              <w:spacing w:after="40"/>
            </w:pPr>
            <w:r>
              <w:t>70 of 1974</w:t>
            </w:r>
          </w:p>
        </w:tc>
        <w:tc>
          <w:tcPr>
            <w:tcW w:w="1162" w:type="dxa"/>
          </w:tcPr>
          <w:p w:rsidR="005558CC" w:rsidRDefault="005743F0">
            <w:pPr>
              <w:pStyle w:val="nTable"/>
              <w:spacing w:after="40"/>
            </w:pPr>
            <w:r>
              <w:t>9 Dec 1974</w:t>
            </w:r>
          </w:p>
        </w:tc>
        <w:tc>
          <w:tcPr>
            <w:tcW w:w="2524" w:type="dxa"/>
          </w:tcPr>
          <w:p w:rsidR="005558CC" w:rsidRDefault="005743F0">
            <w:pPr>
              <w:pStyle w:val="nTable"/>
              <w:spacing w:after="40"/>
            </w:pPr>
            <w:r>
              <w:t xml:space="preserve">28 Feb 1975 (see s. 2 and </w:t>
            </w:r>
            <w:r>
              <w:rPr>
                <w:i/>
              </w:rPr>
              <w:t>Gazette</w:t>
            </w:r>
            <w:r>
              <w:t xml:space="preserve"> 28 Feb 1975 p. 719)</w:t>
            </w:r>
          </w:p>
        </w:tc>
      </w:tr>
      <w:tr w:rsidR="005558CC">
        <w:trPr>
          <w:cantSplit/>
        </w:trPr>
        <w:tc>
          <w:tcPr>
            <w:tcW w:w="7088" w:type="dxa"/>
            <w:gridSpan w:val="4"/>
          </w:tcPr>
          <w:p w:rsidR="005558CC" w:rsidRDefault="005743F0">
            <w:pPr>
              <w:pStyle w:val="nTable"/>
              <w:spacing w:after="40"/>
            </w:pPr>
            <w:r>
              <w:rPr>
                <w:b/>
              </w:rPr>
              <w:t xml:space="preserve">Reprint of the </w:t>
            </w:r>
            <w:r>
              <w:rPr>
                <w:b/>
                <w:i/>
              </w:rPr>
              <w:t>Sale of Land Act 1970</w:t>
            </w:r>
            <w:r>
              <w:rPr>
                <w:b/>
              </w:rPr>
              <w:t xml:space="preserve"> approved 8 May 1978 </w:t>
            </w:r>
            <w:r>
              <w:t>(includes amendments listed above)</w:t>
            </w:r>
          </w:p>
        </w:tc>
      </w:tr>
      <w:tr w:rsidR="005558CC">
        <w:trPr>
          <w:cantSplit/>
        </w:trPr>
        <w:tc>
          <w:tcPr>
            <w:tcW w:w="2268" w:type="dxa"/>
          </w:tcPr>
          <w:p w:rsidR="005558CC" w:rsidRDefault="005743F0">
            <w:pPr>
              <w:pStyle w:val="nTable"/>
              <w:spacing w:after="40"/>
              <w:ind w:right="113"/>
              <w:rPr>
                <w:i/>
              </w:rPr>
            </w:pPr>
            <w:r>
              <w:rPr>
                <w:i/>
              </w:rPr>
              <w:t>Companies (Consequential Amendments) Act 1982</w:t>
            </w:r>
            <w:r>
              <w:t xml:space="preserve"> s. 28</w:t>
            </w:r>
          </w:p>
        </w:tc>
        <w:tc>
          <w:tcPr>
            <w:tcW w:w="1134" w:type="dxa"/>
          </w:tcPr>
          <w:p w:rsidR="005558CC" w:rsidRDefault="005743F0">
            <w:pPr>
              <w:pStyle w:val="nTable"/>
              <w:spacing w:after="40"/>
            </w:pPr>
            <w:r>
              <w:t>10 of 1982</w:t>
            </w:r>
          </w:p>
        </w:tc>
        <w:tc>
          <w:tcPr>
            <w:tcW w:w="1162" w:type="dxa"/>
          </w:tcPr>
          <w:p w:rsidR="005558CC" w:rsidRDefault="005743F0">
            <w:pPr>
              <w:pStyle w:val="nTable"/>
              <w:spacing w:after="40"/>
            </w:pPr>
            <w:r>
              <w:t>14 May 1982</w:t>
            </w:r>
          </w:p>
        </w:tc>
        <w:tc>
          <w:tcPr>
            <w:tcW w:w="2524" w:type="dxa"/>
          </w:tcPr>
          <w:p w:rsidR="005558CC" w:rsidRDefault="005743F0">
            <w:pPr>
              <w:pStyle w:val="nTable"/>
              <w:spacing w:after="40"/>
            </w:pPr>
            <w:r>
              <w:t xml:space="preserve">1 Jul 1982 (see s. 2(1) and </w:t>
            </w:r>
            <w:r>
              <w:rPr>
                <w:i/>
              </w:rPr>
              <w:t>Gazette</w:t>
            </w:r>
            <w:r>
              <w:t xml:space="preserve"> 25 Jun 1982 p. 2079)</w:t>
            </w:r>
          </w:p>
        </w:tc>
      </w:tr>
      <w:tr w:rsidR="005558CC">
        <w:trPr>
          <w:cantSplit/>
        </w:trPr>
        <w:tc>
          <w:tcPr>
            <w:tcW w:w="2268" w:type="dxa"/>
          </w:tcPr>
          <w:p w:rsidR="005558CC" w:rsidRDefault="005743F0">
            <w:pPr>
              <w:pStyle w:val="nTable"/>
              <w:spacing w:after="40"/>
              <w:ind w:right="113"/>
            </w:pPr>
            <w:r>
              <w:rPr>
                <w:i/>
              </w:rPr>
              <w:t>Acts Amendment (Strata Titles) Act 1985</w:t>
            </w:r>
            <w:r>
              <w:t xml:space="preserve"> Pt. II</w:t>
            </w:r>
          </w:p>
        </w:tc>
        <w:tc>
          <w:tcPr>
            <w:tcW w:w="1134" w:type="dxa"/>
          </w:tcPr>
          <w:p w:rsidR="005558CC" w:rsidRDefault="005743F0">
            <w:pPr>
              <w:pStyle w:val="nTable"/>
              <w:spacing w:after="40"/>
            </w:pPr>
            <w:r>
              <w:t>40 of 1985</w:t>
            </w:r>
          </w:p>
        </w:tc>
        <w:tc>
          <w:tcPr>
            <w:tcW w:w="1162" w:type="dxa"/>
          </w:tcPr>
          <w:p w:rsidR="005558CC" w:rsidRDefault="005743F0">
            <w:pPr>
              <w:pStyle w:val="nTable"/>
              <w:spacing w:after="40"/>
            </w:pPr>
            <w:r>
              <w:t>13 May 1985</w:t>
            </w:r>
          </w:p>
        </w:tc>
        <w:tc>
          <w:tcPr>
            <w:tcW w:w="2524" w:type="dxa"/>
          </w:tcPr>
          <w:p w:rsidR="005558CC" w:rsidRDefault="005743F0">
            <w:pPr>
              <w:pStyle w:val="nTable"/>
              <w:spacing w:after="40"/>
            </w:pPr>
            <w:r>
              <w:t xml:space="preserve">30 Jun 1985 (see s. 2 and </w:t>
            </w:r>
            <w:r>
              <w:rPr>
                <w:i/>
              </w:rPr>
              <w:t>Gazette</w:t>
            </w:r>
            <w:r>
              <w:t xml:space="preserve"> 21 Jun 1985 p. 2188)</w:t>
            </w:r>
          </w:p>
        </w:tc>
      </w:tr>
      <w:tr w:rsidR="005558CC">
        <w:trPr>
          <w:cantSplit/>
        </w:trPr>
        <w:tc>
          <w:tcPr>
            <w:tcW w:w="2268" w:type="dxa"/>
          </w:tcPr>
          <w:p w:rsidR="005558CC" w:rsidRDefault="005743F0">
            <w:pPr>
              <w:pStyle w:val="nTable"/>
              <w:spacing w:after="40"/>
              <w:ind w:right="113"/>
            </w:pPr>
            <w:r>
              <w:rPr>
                <w:i/>
              </w:rPr>
              <w:t>Local Government (Consequential Amendments) Act 1996</w:t>
            </w:r>
            <w:r>
              <w:t xml:space="preserve"> s. 4</w:t>
            </w:r>
          </w:p>
        </w:tc>
        <w:tc>
          <w:tcPr>
            <w:tcW w:w="1134" w:type="dxa"/>
          </w:tcPr>
          <w:p w:rsidR="005558CC" w:rsidRDefault="005743F0">
            <w:pPr>
              <w:pStyle w:val="nTable"/>
              <w:spacing w:after="40"/>
            </w:pPr>
            <w:r>
              <w:t>14 of 1996</w:t>
            </w:r>
          </w:p>
        </w:tc>
        <w:tc>
          <w:tcPr>
            <w:tcW w:w="1162" w:type="dxa"/>
          </w:tcPr>
          <w:p w:rsidR="005558CC" w:rsidRDefault="005743F0">
            <w:pPr>
              <w:pStyle w:val="nTable"/>
              <w:spacing w:after="40"/>
            </w:pPr>
            <w:r>
              <w:t>28 Jun 1996</w:t>
            </w:r>
          </w:p>
        </w:tc>
        <w:tc>
          <w:tcPr>
            <w:tcW w:w="2524" w:type="dxa"/>
          </w:tcPr>
          <w:p w:rsidR="005558CC" w:rsidRDefault="005743F0">
            <w:pPr>
              <w:pStyle w:val="nTable"/>
              <w:spacing w:after="40"/>
            </w:pPr>
            <w:r>
              <w:t>1 Jul 1996 (see s. 2)</w:t>
            </w:r>
          </w:p>
        </w:tc>
      </w:tr>
      <w:tr w:rsidR="005558CC">
        <w:trPr>
          <w:cantSplit/>
        </w:trPr>
        <w:tc>
          <w:tcPr>
            <w:tcW w:w="2268" w:type="dxa"/>
          </w:tcPr>
          <w:p w:rsidR="005558CC" w:rsidRDefault="005743F0">
            <w:pPr>
              <w:pStyle w:val="nTable"/>
              <w:spacing w:after="40"/>
              <w:ind w:right="113"/>
            </w:pPr>
            <w:r>
              <w:rPr>
                <w:i/>
              </w:rPr>
              <w:t>Transfer of Land Amendment Act 1996</w:t>
            </w:r>
            <w:r>
              <w:t xml:space="preserve"> s. 153(1) and (2)</w:t>
            </w:r>
          </w:p>
        </w:tc>
        <w:tc>
          <w:tcPr>
            <w:tcW w:w="1134" w:type="dxa"/>
          </w:tcPr>
          <w:p w:rsidR="005558CC" w:rsidRDefault="005743F0">
            <w:pPr>
              <w:pStyle w:val="nTable"/>
              <w:spacing w:after="40"/>
            </w:pPr>
            <w:r>
              <w:t>81 of 1996</w:t>
            </w:r>
          </w:p>
        </w:tc>
        <w:tc>
          <w:tcPr>
            <w:tcW w:w="1162" w:type="dxa"/>
          </w:tcPr>
          <w:p w:rsidR="005558CC" w:rsidRDefault="005743F0">
            <w:pPr>
              <w:pStyle w:val="nTable"/>
              <w:spacing w:after="40"/>
            </w:pPr>
            <w:r>
              <w:t>14 Nov 1996</w:t>
            </w:r>
          </w:p>
        </w:tc>
        <w:tc>
          <w:tcPr>
            <w:tcW w:w="2524" w:type="dxa"/>
          </w:tcPr>
          <w:p w:rsidR="005558CC" w:rsidRDefault="005743F0">
            <w:pPr>
              <w:pStyle w:val="nTable"/>
              <w:spacing w:after="40"/>
            </w:pPr>
            <w:r>
              <w:t>14 Nov 1996 (see s. 2(1))</w:t>
            </w:r>
          </w:p>
        </w:tc>
      </w:tr>
      <w:tr w:rsidR="005558CC">
        <w:trPr>
          <w:cantSplit/>
        </w:trPr>
        <w:tc>
          <w:tcPr>
            <w:tcW w:w="2268" w:type="dxa"/>
          </w:tcPr>
          <w:p w:rsidR="005558CC" w:rsidRDefault="005743F0">
            <w:pPr>
              <w:pStyle w:val="nTable"/>
              <w:spacing w:after="40"/>
              <w:ind w:right="113"/>
            </w:pPr>
            <w:r>
              <w:rPr>
                <w:i/>
              </w:rPr>
              <w:t>Statutes (Repeals and Minor Amendments) Act (No. 2) 1998</w:t>
            </w:r>
            <w:r>
              <w:t xml:space="preserve"> s. 76</w:t>
            </w:r>
          </w:p>
        </w:tc>
        <w:tc>
          <w:tcPr>
            <w:tcW w:w="1134" w:type="dxa"/>
          </w:tcPr>
          <w:p w:rsidR="005558CC" w:rsidRDefault="005743F0">
            <w:pPr>
              <w:pStyle w:val="nTable"/>
              <w:spacing w:after="40"/>
            </w:pPr>
            <w:r>
              <w:t>10 of 1998</w:t>
            </w:r>
          </w:p>
        </w:tc>
        <w:tc>
          <w:tcPr>
            <w:tcW w:w="1162" w:type="dxa"/>
          </w:tcPr>
          <w:p w:rsidR="005558CC" w:rsidRDefault="005743F0">
            <w:pPr>
              <w:pStyle w:val="nTable"/>
              <w:spacing w:after="40"/>
            </w:pPr>
            <w:r>
              <w:t>30 Apr 1998</w:t>
            </w:r>
          </w:p>
        </w:tc>
        <w:tc>
          <w:tcPr>
            <w:tcW w:w="2524" w:type="dxa"/>
          </w:tcPr>
          <w:p w:rsidR="005558CC" w:rsidRDefault="005743F0">
            <w:pPr>
              <w:pStyle w:val="nTable"/>
              <w:spacing w:after="40"/>
            </w:pPr>
            <w:r>
              <w:t>30 Apr 1998 (see s. 2(1))</w:t>
            </w:r>
          </w:p>
        </w:tc>
      </w:tr>
      <w:tr w:rsidR="005558CC">
        <w:trPr>
          <w:cantSplit/>
        </w:trPr>
        <w:tc>
          <w:tcPr>
            <w:tcW w:w="7088" w:type="dxa"/>
            <w:gridSpan w:val="4"/>
          </w:tcPr>
          <w:p w:rsidR="005558CC" w:rsidRDefault="005743F0">
            <w:pPr>
              <w:pStyle w:val="nTable"/>
              <w:spacing w:after="40"/>
            </w:pPr>
            <w:r>
              <w:rPr>
                <w:b/>
              </w:rPr>
              <w:t xml:space="preserve">Reprint of the </w:t>
            </w:r>
            <w:r>
              <w:rPr>
                <w:b/>
                <w:i/>
              </w:rPr>
              <w:t>Sale of Land Act 1970</w:t>
            </w:r>
            <w:r>
              <w:rPr>
                <w:b/>
              </w:rPr>
              <w:t xml:space="preserve"> as at 25 Jan 2002 </w:t>
            </w:r>
            <w:r>
              <w:t>(includes amendments listed above)</w:t>
            </w:r>
          </w:p>
        </w:tc>
      </w:tr>
      <w:tr w:rsidR="005558CC">
        <w:trPr>
          <w:cantSplit/>
        </w:trPr>
        <w:tc>
          <w:tcPr>
            <w:tcW w:w="2268" w:type="dxa"/>
          </w:tcPr>
          <w:p w:rsidR="005558CC" w:rsidRDefault="005743F0">
            <w:pPr>
              <w:pStyle w:val="nTable"/>
              <w:spacing w:after="40"/>
              <w:ind w:right="113"/>
            </w:pPr>
            <w:r>
              <w:rPr>
                <w:i/>
              </w:rPr>
              <w:t>Corporations (Consequential Amendments) Act (No. 2) 2003</w:t>
            </w:r>
            <w:r>
              <w:t xml:space="preserve"> Pt. 22</w:t>
            </w:r>
          </w:p>
        </w:tc>
        <w:tc>
          <w:tcPr>
            <w:tcW w:w="1134" w:type="dxa"/>
          </w:tcPr>
          <w:p w:rsidR="005558CC" w:rsidRDefault="005743F0">
            <w:pPr>
              <w:pStyle w:val="nTable"/>
              <w:spacing w:after="40"/>
            </w:pPr>
            <w:r>
              <w:t>20 of 2003</w:t>
            </w:r>
          </w:p>
        </w:tc>
        <w:tc>
          <w:tcPr>
            <w:tcW w:w="1162" w:type="dxa"/>
          </w:tcPr>
          <w:p w:rsidR="005558CC" w:rsidRDefault="005743F0">
            <w:pPr>
              <w:pStyle w:val="nTable"/>
              <w:spacing w:after="40"/>
            </w:pPr>
            <w:r>
              <w:t>23 Apr 2003</w:t>
            </w:r>
          </w:p>
        </w:tc>
        <w:tc>
          <w:tcPr>
            <w:tcW w:w="2524" w:type="dxa"/>
          </w:tcPr>
          <w:p w:rsidR="005558CC" w:rsidRDefault="005743F0">
            <w:pPr>
              <w:pStyle w:val="nTable"/>
              <w:spacing w:after="40"/>
            </w:pPr>
            <w:r>
              <w:t xml:space="preserve">15 Jul 2001 (see s. 2(1) and Cwlth </w:t>
            </w:r>
            <w:r>
              <w:rPr>
                <w:i/>
              </w:rPr>
              <w:t>Gazette</w:t>
            </w:r>
            <w:r>
              <w:t xml:space="preserve"> 13 Jul 2001 No. S285)</w:t>
            </w:r>
          </w:p>
        </w:tc>
      </w:tr>
      <w:tr w:rsidR="005558CC">
        <w:trPr>
          <w:cantSplit/>
        </w:trPr>
        <w:tc>
          <w:tcPr>
            <w:tcW w:w="2268" w:type="dxa"/>
          </w:tcPr>
          <w:p w:rsidR="005558CC" w:rsidRDefault="005743F0">
            <w:pPr>
              <w:pStyle w:val="nTable"/>
              <w:spacing w:after="40"/>
              <w:ind w:right="113"/>
            </w:pPr>
            <w:r>
              <w:rPr>
                <w:i/>
              </w:rPr>
              <w:lastRenderedPageBreak/>
              <w:t>Acts Amendment and Repeal (Courts and Legal Practice) Act 2003</w:t>
            </w:r>
            <w:r>
              <w:t xml:space="preserve"> s. 64</w:t>
            </w:r>
          </w:p>
        </w:tc>
        <w:tc>
          <w:tcPr>
            <w:tcW w:w="1134" w:type="dxa"/>
          </w:tcPr>
          <w:p w:rsidR="005558CC" w:rsidRDefault="005743F0">
            <w:pPr>
              <w:pStyle w:val="nTable"/>
              <w:spacing w:after="40"/>
            </w:pPr>
            <w:r>
              <w:t>65 of 2003</w:t>
            </w:r>
          </w:p>
        </w:tc>
        <w:tc>
          <w:tcPr>
            <w:tcW w:w="1162" w:type="dxa"/>
          </w:tcPr>
          <w:p w:rsidR="005558CC" w:rsidRDefault="005743F0">
            <w:pPr>
              <w:pStyle w:val="nTable"/>
              <w:spacing w:after="40"/>
            </w:pPr>
            <w:r>
              <w:t>4 Dec 2003</w:t>
            </w:r>
          </w:p>
        </w:tc>
        <w:tc>
          <w:tcPr>
            <w:tcW w:w="2524" w:type="dxa"/>
          </w:tcPr>
          <w:p w:rsidR="005558CC" w:rsidRDefault="005743F0">
            <w:pPr>
              <w:pStyle w:val="nTable"/>
              <w:spacing w:after="40"/>
            </w:pPr>
            <w:r>
              <w:t xml:space="preserve">1 Jan 2004 (see s. 2 and </w:t>
            </w:r>
            <w:r>
              <w:rPr>
                <w:i/>
              </w:rPr>
              <w:t>Gazette</w:t>
            </w:r>
            <w:r>
              <w:t xml:space="preserve"> 30 Dec 2003 p. 5722)</w:t>
            </w:r>
          </w:p>
        </w:tc>
      </w:tr>
      <w:tr w:rsidR="005558CC">
        <w:trPr>
          <w:cantSplit/>
        </w:trPr>
        <w:tc>
          <w:tcPr>
            <w:tcW w:w="2268" w:type="dxa"/>
          </w:tcPr>
          <w:p w:rsidR="005558CC" w:rsidRDefault="005743F0">
            <w:pPr>
              <w:pStyle w:val="nTable"/>
              <w:spacing w:after="40"/>
              <w:ind w:right="113"/>
              <w:rPr>
                <w:i/>
              </w:rPr>
            </w:pPr>
            <w:r>
              <w:rPr>
                <w:i/>
                <w:iCs/>
                <w:snapToGrid w:val="0"/>
              </w:rPr>
              <w:t>Courts Legislation Amendment and Repeal Act 2004</w:t>
            </w:r>
            <w:r>
              <w:rPr>
                <w:snapToGrid w:val="0"/>
              </w:rPr>
              <w:t xml:space="preserve"> s. 141</w:t>
            </w:r>
          </w:p>
        </w:tc>
        <w:tc>
          <w:tcPr>
            <w:tcW w:w="1134" w:type="dxa"/>
          </w:tcPr>
          <w:p w:rsidR="005558CC" w:rsidRDefault="005743F0">
            <w:pPr>
              <w:pStyle w:val="nTable"/>
              <w:spacing w:after="40"/>
            </w:pPr>
            <w:r>
              <w:rPr>
                <w:snapToGrid w:val="0"/>
              </w:rPr>
              <w:t>59 of 2004</w:t>
            </w:r>
          </w:p>
        </w:tc>
        <w:tc>
          <w:tcPr>
            <w:tcW w:w="1162" w:type="dxa"/>
          </w:tcPr>
          <w:p w:rsidR="005558CC" w:rsidRDefault="005743F0">
            <w:pPr>
              <w:pStyle w:val="nTable"/>
              <w:spacing w:after="40"/>
            </w:pPr>
            <w:r>
              <w:t>23 Nov 2004</w:t>
            </w:r>
          </w:p>
        </w:tc>
        <w:tc>
          <w:tcPr>
            <w:tcW w:w="2524" w:type="dxa"/>
          </w:tcPr>
          <w:p w:rsidR="005558CC" w:rsidRDefault="005743F0">
            <w:pPr>
              <w:pStyle w:val="nTable"/>
              <w:spacing w:after="40"/>
            </w:pPr>
            <w:r>
              <w:rPr>
                <w:snapToGrid w:val="0"/>
              </w:rPr>
              <w:t xml:space="preserve">1 May 2005 (see s. 2 and </w:t>
            </w:r>
            <w:r>
              <w:rPr>
                <w:i/>
                <w:iCs/>
                <w:snapToGrid w:val="0"/>
              </w:rPr>
              <w:t>Gazette</w:t>
            </w:r>
            <w:r>
              <w:rPr>
                <w:snapToGrid w:val="0"/>
              </w:rPr>
              <w:t xml:space="preserve"> 31 Dec 2004 p. 7128)</w:t>
            </w:r>
          </w:p>
        </w:tc>
      </w:tr>
      <w:tr w:rsidR="005558CC">
        <w:trPr>
          <w:cantSplit/>
        </w:trPr>
        <w:tc>
          <w:tcPr>
            <w:tcW w:w="2268" w:type="dxa"/>
          </w:tcPr>
          <w:p w:rsidR="005558CC" w:rsidRDefault="005743F0">
            <w:pPr>
              <w:pStyle w:val="nTable"/>
              <w:spacing w:after="40"/>
              <w:rPr>
                <w:snapToGrid w:val="0"/>
                <w:vertAlign w:val="superscript"/>
              </w:rPr>
            </w:pPr>
            <w:r>
              <w:rPr>
                <w:i/>
                <w:iCs/>
                <w:snapToGrid w:val="0"/>
              </w:rPr>
              <w:t>Criminal Procedure and Appeals (Consequential and Other Provisions) Act 2004</w:t>
            </w:r>
            <w:r>
              <w:rPr>
                <w:snapToGrid w:val="0"/>
              </w:rPr>
              <w:t xml:space="preserve"> s. 80 and 82</w:t>
            </w:r>
          </w:p>
        </w:tc>
        <w:tc>
          <w:tcPr>
            <w:tcW w:w="1134" w:type="dxa"/>
          </w:tcPr>
          <w:p w:rsidR="005558CC" w:rsidRDefault="005743F0">
            <w:pPr>
              <w:pStyle w:val="nTable"/>
              <w:spacing w:after="40"/>
              <w:rPr>
                <w:snapToGrid w:val="0"/>
              </w:rPr>
            </w:pPr>
            <w:r>
              <w:rPr>
                <w:snapToGrid w:val="0"/>
              </w:rPr>
              <w:t>84 of 2004</w:t>
            </w:r>
          </w:p>
        </w:tc>
        <w:tc>
          <w:tcPr>
            <w:tcW w:w="1162" w:type="dxa"/>
          </w:tcPr>
          <w:p w:rsidR="005558CC" w:rsidRDefault="005743F0">
            <w:pPr>
              <w:pStyle w:val="nTable"/>
              <w:spacing w:after="40"/>
            </w:pPr>
            <w:r>
              <w:t>16 Dec 2004</w:t>
            </w:r>
          </w:p>
        </w:tc>
        <w:tc>
          <w:tcPr>
            <w:tcW w:w="2524" w:type="dxa"/>
          </w:tcPr>
          <w:p w:rsidR="005558CC" w:rsidRDefault="005743F0">
            <w:pPr>
              <w:pStyle w:val="nTable"/>
              <w:spacing w:after="40"/>
              <w:rPr>
                <w:snapToGrid w:val="0"/>
              </w:rPr>
            </w:pPr>
            <w:r>
              <w:rPr>
                <w:snapToGrid w:val="0"/>
              </w:rPr>
              <w:t xml:space="preserve">2 May 2005 (see s. 2 and </w:t>
            </w:r>
            <w:r>
              <w:rPr>
                <w:i/>
                <w:iCs/>
                <w:snapToGrid w:val="0"/>
              </w:rPr>
              <w:t>Gazette</w:t>
            </w:r>
            <w:r>
              <w:rPr>
                <w:snapToGrid w:val="0"/>
              </w:rPr>
              <w:t xml:space="preserve"> 31 Dec 2004 p. 7129 (correction in </w:t>
            </w:r>
            <w:r>
              <w:rPr>
                <w:i/>
                <w:iCs/>
                <w:snapToGrid w:val="0"/>
              </w:rPr>
              <w:t>Gazette</w:t>
            </w:r>
            <w:r>
              <w:rPr>
                <w:snapToGrid w:val="0"/>
              </w:rPr>
              <w:t xml:space="preserve"> 7 Jan 2005 p. 53))</w:t>
            </w:r>
          </w:p>
        </w:tc>
      </w:tr>
      <w:tr w:rsidR="005558CC">
        <w:trPr>
          <w:cantSplit/>
        </w:trPr>
        <w:tc>
          <w:tcPr>
            <w:tcW w:w="2268" w:type="dxa"/>
          </w:tcPr>
          <w:p w:rsidR="005558CC" w:rsidRDefault="005743F0">
            <w:pPr>
              <w:pStyle w:val="nTable"/>
              <w:spacing w:after="40"/>
              <w:rPr>
                <w:i/>
                <w:iCs/>
                <w:snapToGrid w:val="0"/>
              </w:rPr>
            </w:pPr>
            <w:r>
              <w:rPr>
                <w:i/>
                <w:iCs/>
                <w:snapToGrid w:val="0"/>
              </w:rPr>
              <w:t>Planning and Development (Consequential and Transitional Provisions) Act 2005</w:t>
            </w:r>
            <w:r>
              <w:rPr>
                <w:snapToGrid w:val="0"/>
              </w:rPr>
              <w:t xml:space="preserve"> s. 15</w:t>
            </w:r>
          </w:p>
        </w:tc>
        <w:tc>
          <w:tcPr>
            <w:tcW w:w="1134" w:type="dxa"/>
          </w:tcPr>
          <w:p w:rsidR="005558CC" w:rsidRDefault="005743F0">
            <w:pPr>
              <w:pStyle w:val="nTable"/>
              <w:spacing w:after="40"/>
              <w:rPr>
                <w:snapToGrid w:val="0"/>
              </w:rPr>
            </w:pPr>
            <w:r>
              <w:rPr>
                <w:snapToGrid w:val="0"/>
              </w:rPr>
              <w:t>38 of 2005</w:t>
            </w:r>
          </w:p>
        </w:tc>
        <w:tc>
          <w:tcPr>
            <w:tcW w:w="1162" w:type="dxa"/>
          </w:tcPr>
          <w:p w:rsidR="005558CC" w:rsidRDefault="005743F0">
            <w:pPr>
              <w:pStyle w:val="nTable"/>
              <w:spacing w:after="40"/>
            </w:pPr>
            <w:r>
              <w:t>12 Dec 2005</w:t>
            </w:r>
          </w:p>
        </w:tc>
        <w:tc>
          <w:tcPr>
            <w:tcW w:w="2524" w:type="dxa"/>
          </w:tcPr>
          <w:p w:rsidR="005558CC" w:rsidRDefault="005743F0">
            <w:pPr>
              <w:pStyle w:val="nTable"/>
              <w:spacing w:after="40"/>
              <w:rPr>
                <w:snapToGrid w:val="0"/>
              </w:rPr>
            </w:pPr>
            <w:r>
              <w:rPr>
                <w:snapToGrid w:val="0"/>
              </w:rPr>
              <w:t xml:space="preserve">9 Apr 2006 (see s. 2 and </w:t>
            </w:r>
            <w:r>
              <w:rPr>
                <w:i/>
                <w:iCs/>
                <w:snapToGrid w:val="0"/>
              </w:rPr>
              <w:t>Gazette</w:t>
            </w:r>
            <w:r>
              <w:rPr>
                <w:snapToGrid w:val="0"/>
              </w:rPr>
              <w:t xml:space="preserve"> 21 Mar 2006 p. 1078)</w:t>
            </w:r>
          </w:p>
        </w:tc>
      </w:tr>
      <w:tr w:rsidR="005558CC">
        <w:trPr>
          <w:cantSplit/>
        </w:trPr>
        <w:tc>
          <w:tcPr>
            <w:tcW w:w="7088" w:type="dxa"/>
            <w:gridSpan w:val="4"/>
          </w:tcPr>
          <w:p w:rsidR="005558CC" w:rsidRDefault="005743F0">
            <w:pPr>
              <w:pStyle w:val="nTable"/>
              <w:spacing w:after="40"/>
              <w:rPr>
                <w:snapToGrid w:val="0"/>
              </w:rPr>
            </w:pPr>
            <w:r>
              <w:rPr>
                <w:b/>
              </w:rPr>
              <w:t xml:space="preserve">Reprint 3: The </w:t>
            </w:r>
            <w:r>
              <w:rPr>
                <w:b/>
                <w:i/>
              </w:rPr>
              <w:t>Sale of Land Act 1970</w:t>
            </w:r>
            <w:r>
              <w:rPr>
                <w:b/>
              </w:rPr>
              <w:t xml:space="preserve"> as at 19 May 2006 </w:t>
            </w:r>
            <w:r>
              <w:t>(includes amendments listed above)</w:t>
            </w:r>
          </w:p>
        </w:tc>
      </w:tr>
      <w:tr w:rsidR="005558CC">
        <w:trPr>
          <w:cantSplit/>
        </w:trPr>
        <w:tc>
          <w:tcPr>
            <w:tcW w:w="2268" w:type="dxa"/>
          </w:tcPr>
          <w:p w:rsidR="005558CC" w:rsidRDefault="005743F0">
            <w:pPr>
              <w:pStyle w:val="nTable"/>
              <w:spacing w:after="40"/>
              <w:rPr>
                <w:i/>
                <w:iCs/>
                <w:snapToGrid w:val="0"/>
              </w:rPr>
            </w:pPr>
            <w:r>
              <w:rPr>
                <w:i/>
                <w:snapToGrid w:val="0"/>
              </w:rPr>
              <w:t>Land Information Authority Act 2006</w:t>
            </w:r>
            <w:r>
              <w:rPr>
                <w:iCs/>
                <w:snapToGrid w:val="0"/>
              </w:rPr>
              <w:t xml:space="preserve"> s. 157</w:t>
            </w:r>
          </w:p>
        </w:tc>
        <w:tc>
          <w:tcPr>
            <w:tcW w:w="1134" w:type="dxa"/>
          </w:tcPr>
          <w:p w:rsidR="005558CC" w:rsidRDefault="005743F0">
            <w:pPr>
              <w:pStyle w:val="nTable"/>
              <w:spacing w:after="40"/>
              <w:rPr>
                <w:snapToGrid w:val="0"/>
              </w:rPr>
            </w:pPr>
            <w:r>
              <w:rPr>
                <w:snapToGrid w:val="0"/>
              </w:rPr>
              <w:t>60 of 2006</w:t>
            </w:r>
          </w:p>
        </w:tc>
        <w:tc>
          <w:tcPr>
            <w:tcW w:w="1162" w:type="dxa"/>
          </w:tcPr>
          <w:p w:rsidR="005558CC" w:rsidRDefault="005743F0">
            <w:pPr>
              <w:pStyle w:val="nTable"/>
              <w:spacing w:after="40"/>
            </w:pPr>
            <w:r>
              <w:rPr>
                <w:snapToGrid w:val="0"/>
              </w:rPr>
              <w:t>16 Nov 2006</w:t>
            </w:r>
          </w:p>
        </w:tc>
        <w:tc>
          <w:tcPr>
            <w:tcW w:w="2524" w:type="dxa"/>
          </w:tcPr>
          <w:p w:rsidR="005558CC" w:rsidRDefault="005743F0">
            <w:pPr>
              <w:pStyle w:val="nTable"/>
              <w:spacing w:after="40"/>
              <w:rPr>
                <w:snapToGrid w:val="0"/>
              </w:rPr>
            </w:pPr>
            <w:r>
              <w:rPr>
                <w:snapToGrid w:val="0"/>
              </w:rPr>
              <w:t xml:space="preserve">1 Jan 2007 (see s. 2(1) and </w:t>
            </w:r>
            <w:r>
              <w:rPr>
                <w:i/>
                <w:iCs/>
                <w:snapToGrid w:val="0"/>
              </w:rPr>
              <w:t xml:space="preserve">Gazette </w:t>
            </w:r>
            <w:r>
              <w:rPr>
                <w:snapToGrid w:val="0"/>
              </w:rPr>
              <w:t>8 Dec 2006 p. 5369)</w:t>
            </w:r>
          </w:p>
        </w:tc>
      </w:tr>
      <w:tr w:rsidR="005558CC">
        <w:trPr>
          <w:cantSplit/>
        </w:trPr>
        <w:tc>
          <w:tcPr>
            <w:tcW w:w="2268" w:type="dxa"/>
          </w:tcPr>
          <w:p w:rsidR="005558CC" w:rsidRDefault="005743F0">
            <w:pPr>
              <w:pStyle w:val="nTable"/>
              <w:spacing w:after="40"/>
              <w:rPr>
                <w:i/>
                <w:snapToGrid w:val="0"/>
              </w:rPr>
            </w:pPr>
            <w:r>
              <w:rPr>
                <w:i/>
                <w:iCs/>
                <w:snapToGrid w:val="0"/>
              </w:rPr>
              <w:t>Legal Profession Act 2008</w:t>
            </w:r>
            <w:r>
              <w:rPr>
                <w:iCs/>
                <w:snapToGrid w:val="0"/>
              </w:rPr>
              <w:t xml:space="preserve"> s. 702</w:t>
            </w:r>
          </w:p>
        </w:tc>
        <w:tc>
          <w:tcPr>
            <w:tcW w:w="1134" w:type="dxa"/>
          </w:tcPr>
          <w:p w:rsidR="005558CC" w:rsidRDefault="005743F0">
            <w:pPr>
              <w:pStyle w:val="nTable"/>
              <w:spacing w:after="40"/>
              <w:rPr>
                <w:snapToGrid w:val="0"/>
              </w:rPr>
            </w:pPr>
            <w:r>
              <w:rPr>
                <w:snapToGrid w:val="0"/>
              </w:rPr>
              <w:t>21 of 2008</w:t>
            </w:r>
          </w:p>
        </w:tc>
        <w:tc>
          <w:tcPr>
            <w:tcW w:w="1162" w:type="dxa"/>
          </w:tcPr>
          <w:p w:rsidR="005558CC" w:rsidRDefault="005743F0">
            <w:pPr>
              <w:pStyle w:val="nTable"/>
              <w:spacing w:after="40"/>
              <w:rPr>
                <w:snapToGrid w:val="0"/>
              </w:rPr>
            </w:pPr>
            <w:r>
              <w:rPr>
                <w:snapToGrid w:val="0"/>
              </w:rPr>
              <w:t>27 May 2008</w:t>
            </w:r>
          </w:p>
        </w:tc>
        <w:tc>
          <w:tcPr>
            <w:tcW w:w="2524" w:type="dxa"/>
          </w:tcPr>
          <w:p w:rsidR="005558CC" w:rsidRDefault="005743F0">
            <w:pPr>
              <w:pStyle w:val="nTable"/>
              <w:spacing w:after="40"/>
              <w:rPr>
                <w:snapToGrid w:val="0"/>
              </w:rPr>
            </w:pPr>
            <w:r>
              <w:rPr>
                <w:snapToGrid w:val="0"/>
              </w:rPr>
              <w:t xml:space="preserve">1 Mar 2009 (see s. 2(b) and </w:t>
            </w:r>
            <w:r>
              <w:rPr>
                <w:i/>
                <w:iCs/>
                <w:snapToGrid w:val="0"/>
              </w:rPr>
              <w:t>Gazette</w:t>
            </w:r>
            <w:r>
              <w:rPr>
                <w:snapToGrid w:val="0"/>
              </w:rPr>
              <w:t xml:space="preserve"> 27 Feb 2009 p. 511)</w:t>
            </w:r>
          </w:p>
        </w:tc>
      </w:tr>
      <w:tr w:rsidR="005558CC">
        <w:trPr>
          <w:cantSplit/>
        </w:trPr>
        <w:tc>
          <w:tcPr>
            <w:tcW w:w="2268" w:type="dxa"/>
          </w:tcPr>
          <w:p w:rsidR="005558CC" w:rsidRDefault="005743F0">
            <w:pPr>
              <w:pStyle w:val="nTable"/>
              <w:spacing w:after="40"/>
              <w:rPr>
                <w:i/>
                <w:iCs/>
                <w:snapToGrid w:val="0"/>
              </w:rPr>
            </w:pPr>
            <w:r>
              <w:rPr>
                <w:i/>
                <w:snapToGrid w:val="0"/>
              </w:rPr>
              <w:t>Approvals and Related Reforms (No. 4) (Planning) Act 2010</w:t>
            </w:r>
            <w:r>
              <w:t xml:space="preserve"> s. 36</w:t>
            </w:r>
          </w:p>
        </w:tc>
        <w:tc>
          <w:tcPr>
            <w:tcW w:w="1134" w:type="dxa"/>
          </w:tcPr>
          <w:p w:rsidR="005558CC" w:rsidRDefault="005743F0">
            <w:pPr>
              <w:pStyle w:val="nTable"/>
              <w:spacing w:after="40"/>
              <w:rPr>
                <w:snapToGrid w:val="0"/>
              </w:rPr>
            </w:pPr>
            <w:r>
              <w:rPr>
                <w:snapToGrid w:val="0"/>
              </w:rPr>
              <w:t>28 of 2010</w:t>
            </w:r>
          </w:p>
        </w:tc>
        <w:tc>
          <w:tcPr>
            <w:tcW w:w="1162" w:type="dxa"/>
          </w:tcPr>
          <w:p w:rsidR="005558CC" w:rsidRDefault="005743F0">
            <w:pPr>
              <w:pStyle w:val="nTable"/>
              <w:spacing w:after="40"/>
              <w:rPr>
                <w:snapToGrid w:val="0"/>
              </w:rPr>
            </w:pPr>
            <w:r>
              <w:rPr>
                <w:snapToGrid w:val="0"/>
              </w:rPr>
              <w:t>19 Aug 2010</w:t>
            </w:r>
          </w:p>
        </w:tc>
        <w:tc>
          <w:tcPr>
            <w:tcW w:w="2524" w:type="dxa"/>
          </w:tcPr>
          <w:p w:rsidR="005558CC" w:rsidRDefault="005743F0">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rsidR="005558CC">
        <w:tblPrEx>
          <w:tblBorders>
            <w:top w:val="single" w:sz="8" w:space="0" w:color="auto"/>
            <w:bottom w:val="single" w:sz="8" w:space="0" w:color="auto"/>
            <w:insideH w:val="single" w:sz="8" w:space="0" w:color="auto"/>
          </w:tblBorders>
        </w:tblPrEx>
        <w:tc>
          <w:tcPr>
            <w:tcW w:w="2268" w:type="dxa"/>
            <w:tcBorders>
              <w:top w:val="nil"/>
              <w:bottom w:val="nil"/>
            </w:tcBorders>
          </w:tcPr>
          <w:p w:rsidR="005558CC" w:rsidRDefault="005743F0">
            <w:pPr>
              <w:pStyle w:val="nTable"/>
              <w:spacing w:after="40"/>
            </w:pPr>
            <w:r>
              <w:rPr>
                <w:i/>
              </w:rPr>
              <w:t>Sale of Land Amendment Act 2016</w:t>
            </w:r>
          </w:p>
        </w:tc>
        <w:tc>
          <w:tcPr>
            <w:tcW w:w="1134" w:type="dxa"/>
            <w:tcBorders>
              <w:top w:val="nil"/>
              <w:bottom w:val="nil"/>
            </w:tcBorders>
          </w:tcPr>
          <w:p w:rsidR="005558CC" w:rsidRDefault="005743F0">
            <w:pPr>
              <w:pStyle w:val="nTable"/>
              <w:spacing w:after="40"/>
            </w:pPr>
            <w:r>
              <w:t>38 of 2016</w:t>
            </w:r>
          </w:p>
        </w:tc>
        <w:tc>
          <w:tcPr>
            <w:tcW w:w="1162" w:type="dxa"/>
            <w:tcBorders>
              <w:top w:val="nil"/>
              <w:bottom w:val="nil"/>
            </w:tcBorders>
          </w:tcPr>
          <w:p w:rsidR="005558CC" w:rsidRDefault="005743F0">
            <w:pPr>
              <w:pStyle w:val="nTable"/>
              <w:spacing w:after="40"/>
            </w:pPr>
            <w:r>
              <w:t>22 Nov 2016</w:t>
            </w:r>
          </w:p>
        </w:tc>
        <w:tc>
          <w:tcPr>
            <w:tcW w:w="2524" w:type="dxa"/>
            <w:tcBorders>
              <w:top w:val="nil"/>
              <w:bottom w:val="nil"/>
            </w:tcBorders>
          </w:tcPr>
          <w:p w:rsidR="005558CC" w:rsidRDefault="005743F0">
            <w:pPr>
              <w:pStyle w:val="nTable"/>
              <w:spacing w:after="40"/>
            </w:pPr>
            <w:r>
              <w:t>s. 1 and 2: 22 Nov 2016 (see s. 2(a));</w:t>
            </w:r>
            <w:r>
              <w:br/>
              <w:t xml:space="preserve">Act other than s. 1 and 2: 3 Apr 2017 (see s. 2(b) and </w:t>
            </w:r>
            <w:r>
              <w:rPr>
                <w:i/>
              </w:rPr>
              <w:t>Gazette</w:t>
            </w:r>
            <w:r>
              <w:t xml:space="preserve"> 3 Feb 2017 p. 1107-8)</w:t>
            </w:r>
          </w:p>
        </w:tc>
      </w:tr>
      <w:tr w:rsidR="005558CC">
        <w:tblPrEx>
          <w:tblBorders>
            <w:top w:val="single" w:sz="8" w:space="0" w:color="auto"/>
            <w:bottom w:val="single" w:sz="8" w:space="0" w:color="auto"/>
            <w:insideH w:val="single" w:sz="8" w:space="0" w:color="auto"/>
          </w:tblBorders>
        </w:tblPrEx>
        <w:tc>
          <w:tcPr>
            <w:tcW w:w="2268" w:type="dxa"/>
            <w:tcBorders>
              <w:top w:val="nil"/>
            </w:tcBorders>
          </w:tcPr>
          <w:p w:rsidR="005558CC" w:rsidRDefault="005743F0">
            <w:pPr>
              <w:pStyle w:val="nTable"/>
              <w:spacing w:after="40"/>
              <w:rPr>
                <w:i/>
              </w:rPr>
            </w:pPr>
            <w:r>
              <w:rPr>
                <w:i/>
              </w:rPr>
              <w:t>Strata Titles Amendment Act 2018</w:t>
            </w:r>
            <w:r>
              <w:t xml:space="preserve"> Pt. 3 Div. 20</w:t>
            </w:r>
          </w:p>
        </w:tc>
        <w:tc>
          <w:tcPr>
            <w:tcW w:w="1134" w:type="dxa"/>
            <w:tcBorders>
              <w:top w:val="nil"/>
            </w:tcBorders>
          </w:tcPr>
          <w:p w:rsidR="005558CC" w:rsidRDefault="005743F0">
            <w:pPr>
              <w:pStyle w:val="nTable"/>
              <w:spacing w:after="40"/>
            </w:pPr>
            <w:r>
              <w:t>30 of 2018</w:t>
            </w:r>
          </w:p>
        </w:tc>
        <w:tc>
          <w:tcPr>
            <w:tcW w:w="1162" w:type="dxa"/>
            <w:tcBorders>
              <w:top w:val="nil"/>
            </w:tcBorders>
          </w:tcPr>
          <w:p w:rsidR="005558CC" w:rsidRDefault="005743F0">
            <w:pPr>
              <w:pStyle w:val="nTable"/>
              <w:spacing w:after="40"/>
            </w:pPr>
            <w:r>
              <w:t>19 Nov 2018</w:t>
            </w:r>
          </w:p>
        </w:tc>
        <w:tc>
          <w:tcPr>
            <w:tcW w:w="2524" w:type="dxa"/>
            <w:tcBorders>
              <w:top w:val="nil"/>
            </w:tcBorders>
          </w:tcPr>
          <w:p w:rsidR="005558CC" w:rsidRDefault="005743F0">
            <w:pPr>
              <w:pStyle w:val="nTable"/>
              <w:spacing w:after="40"/>
            </w:pPr>
            <w:r>
              <w:rPr>
                <w:snapToGrid w:val="0"/>
              </w:rPr>
              <w:t>1 May 2020 (see s. 2(b) and SL 2020/39 cl. 2)</w:t>
            </w:r>
          </w:p>
        </w:tc>
      </w:tr>
    </w:tbl>
    <w:p w:rsidR="005558CC" w:rsidRDefault="005743F0">
      <w:pPr>
        <w:pStyle w:val="nHeading3"/>
      </w:pPr>
      <w:bookmarkStart w:id="65" w:name="_Toc74735116"/>
      <w:r>
        <w:t>Uncommenced provisions table</w:t>
      </w:r>
      <w:bookmarkEnd w:id="65"/>
    </w:p>
    <w:p w:rsidR="005558CC" w:rsidRDefault="005743F0">
      <w:pPr>
        <w:pStyle w:val="nStatement"/>
        <w:keepNext/>
        <w:spacing w:after="240"/>
      </w:pPr>
      <w:r>
        <w:t xml:space="preserve">To view the text of the uncommenced provisions see </w:t>
      </w:r>
      <w:r>
        <w:rPr>
          <w:i/>
        </w:rPr>
        <w:t>Acts as passed</w:t>
      </w:r>
      <w:r>
        <w:t xml:space="preserve"> on the WA Legislation website.</w:t>
      </w:r>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96"/>
        <w:gridCol w:w="1134"/>
        <w:gridCol w:w="1134"/>
        <w:gridCol w:w="2524"/>
      </w:tblGrid>
      <w:tr w:rsidR="005558CC">
        <w:trPr>
          <w:tblHeader/>
        </w:trPr>
        <w:tc>
          <w:tcPr>
            <w:tcW w:w="2296" w:type="dxa"/>
          </w:tcPr>
          <w:p w:rsidR="005558CC" w:rsidRDefault="005743F0">
            <w:pPr>
              <w:pStyle w:val="nTable"/>
              <w:spacing w:after="40"/>
              <w:rPr>
                <w:b/>
              </w:rPr>
            </w:pPr>
            <w:r>
              <w:rPr>
                <w:b/>
              </w:rPr>
              <w:t>Short title</w:t>
            </w:r>
          </w:p>
        </w:tc>
        <w:tc>
          <w:tcPr>
            <w:tcW w:w="1134" w:type="dxa"/>
          </w:tcPr>
          <w:p w:rsidR="005558CC" w:rsidRDefault="005743F0">
            <w:pPr>
              <w:pStyle w:val="nTable"/>
              <w:spacing w:after="40"/>
              <w:rPr>
                <w:b/>
              </w:rPr>
            </w:pPr>
            <w:r>
              <w:rPr>
                <w:b/>
              </w:rPr>
              <w:t>Number and year</w:t>
            </w:r>
          </w:p>
        </w:tc>
        <w:tc>
          <w:tcPr>
            <w:tcW w:w="1134" w:type="dxa"/>
          </w:tcPr>
          <w:p w:rsidR="005558CC" w:rsidRDefault="005743F0">
            <w:pPr>
              <w:pStyle w:val="nTable"/>
              <w:spacing w:after="40"/>
              <w:rPr>
                <w:b/>
              </w:rPr>
            </w:pPr>
            <w:r>
              <w:rPr>
                <w:b/>
              </w:rPr>
              <w:t>Assent</w:t>
            </w:r>
          </w:p>
        </w:tc>
        <w:tc>
          <w:tcPr>
            <w:tcW w:w="2524" w:type="dxa"/>
          </w:tcPr>
          <w:p w:rsidR="005558CC" w:rsidRDefault="005743F0">
            <w:pPr>
              <w:pStyle w:val="nTable"/>
              <w:spacing w:after="40"/>
              <w:rPr>
                <w:b/>
              </w:rPr>
            </w:pPr>
            <w:r>
              <w:rPr>
                <w:b/>
              </w:rPr>
              <w:t>Commencement</w:t>
            </w:r>
          </w:p>
        </w:tc>
      </w:tr>
      <w:tr w:rsidR="005558CC">
        <w:tblPrEx>
          <w:tblCellMar>
            <w:left w:w="57" w:type="dxa"/>
            <w:right w:w="57" w:type="dxa"/>
          </w:tblCellMar>
        </w:tblPrEx>
        <w:tc>
          <w:tcPr>
            <w:tcW w:w="2296" w:type="dxa"/>
            <w:tcBorders>
              <w:top w:val="nil"/>
              <w:bottom w:val="nil"/>
            </w:tcBorders>
          </w:tcPr>
          <w:p w:rsidR="005558CC" w:rsidRDefault="005743F0">
            <w:pPr>
              <w:pStyle w:val="nTable"/>
              <w:spacing w:after="40"/>
            </w:pPr>
            <w:r>
              <w:rPr>
                <w:i/>
              </w:rPr>
              <w:t>Community Titles Act 2018</w:t>
            </w:r>
            <w:r>
              <w:t xml:space="preserve"> Pt. 14 Div. 20</w:t>
            </w:r>
          </w:p>
        </w:tc>
        <w:tc>
          <w:tcPr>
            <w:tcW w:w="1134" w:type="dxa"/>
            <w:tcBorders>
              <w:top w:val="nil"/>
              <w:bottom w:val="nil"/>
            </w:tcBorders>
          </w:tcPr>
          <w:p w:rsidR="005558CC" w:rsidRDefault="005743F0">
            <w:pPr>
              <w:pStyle w:val="nTable"/>
              <w:spacing w:after="40"/>
            </w:pPr>
            <w:r>
              <w:t>32 of 2018</w:t>
            </w:r>
          </w:p>
        </w:tc>
        <w:tc>
          <w:tcPr>
            <w:tcW w:w="1134" w:type="dxa"/>
            <w:tcBorders>
              <w:top w:val="nil"/>
              <w:bottom w:val="nil"/>
            </w:tcBorders>
          </w:tcPr>
          <w:p w:rsidR="005558CC" w:rsidRDefault="005743F0">
            <w:pPr>
              <w:pStyle w:val="nTable"/>
              <w:spacing w:after="40"/>
            </w:pPr>
            <w:r>
              <w:t>19 Nov 2018</w:t>
            </w:r>
          </w:p>
        </w:tc>
        <w:tc>
          <w:tcPr>
            <w:tcW w:w="2524" w:type="dxa"/>
            <w:tcBorders>
              <w:top w:val="nil"/>
              <w:bottom w:val="nil"/>
            </w:tcBorders>
          </w:tcPr>
          <w:p w:rsidR="005558CC" w:rsidRDefault="008C73B0">
            <w:pPr>
              <w:pStyle w:val="nTable"/>
              <w:spacing w:after="40"/>
            </w:pPr>
            <w:r>
              <w:t xml:space="preserve">30 Jun 2021 </w:t>
            </w:r>
            <w:r w:rsidR="005743F0">
              <w:t>(see s. 2(b)</w:t>
            </w:r>
            <w:r>
              <w:t xml:space="preserve"> and SL 2021/69 cl. 2</w:t>
            </w:r>
            <w:r w:rsidR="005743F0">
              <w:t>)</w:t>
            </w:r>
          </w:p>
        </w:tc>
      </w:tr>
      <w:tr w:rsidR="005558CC">
        <w:tblPrEx>
          <w:tblCellMar>
            <w:left w:w="57" w:type="dxa"/>
            <w:right w:w="57" w:type="dxa"/>
          </w:tblCellMar>
        </w:tblPrEx>
        <w:tc>
          <w:tcPr>
            <w:tcW w:w="2296" w:type="dxa"/>
            <w:tcBorders>
              <w:top w:val="nil"/>
              <w:bottom w:val="single" w:sz="2" w:space="0" w:color="auto"/>
            </w:tcBorders>
          </w:tcPr>
          <w:p w:rsidR="005558CC" w:rsidRDefault="005743F0">
            <w:pPr>
              <w:pStyle w:val="nTable"/>
              <w:spacing w:after="40"/>
              <w:rPr>
                <w:i/>
              </w:rPr>
            </w:pPr>
            <w:r>
              <w:rPr>
                <w:i/>
              </w:rPr>
              <w:lastRenderedPageBreak/>
              <w:t>Swan Valley Planning Act 2020</w:t>
            </w:r>
            <w:r>
              <w:t xml:space="preserve"> Pt. 10 Div. 12</w:t>
            </w:r>
          </w:p>
        </w:tc>
        <w:tc>
          <w:tcPr>
            <w:tcW w:w="1134" w:type="dxa"/>
            <w:tcBorders>
              <w:top w:val="nil"/>
              <w:bottom w:val="single" w:sz="2" w:space="0" w:color="auto"/>
            </w:tcBorders>
          </w:tcPr>
          <w:p w:rsidR="005558CC" w:rsidRDefault="005743F0">
            <w:pPr>
              <w:pStyle w:val="nTable"/>
              <w:spacing w:after="40"/>
            </w:pPr>
            <w:r>
              <w:t>45 of 2020</w:t>
            </w:r>
          </w:p>
        </w:tc>
        <w:tc>
          <w:tcPr>
            <w:tcW w:w="1134" w:type="dxa"/>
            <w:tcBorders>
              <w:top w:val="nil"/>
              <w:bottom w:val="single" w:sz="2" w:space="0" w:color="auto"/>
            </w:tcBorders>
          </w:tcPr>
          <w:p w:rsidR="005558CC" w:rsidRDefault="005743F0">
            <w:pPr>
              <w:pStyle w:val="nTable"/>
              <w:spacing w:after="40"/>
            </w:pPr>
            <w:r>
              <w:t>9 Dec 2020</w:t>
            </w:r>
          </w:p>
        </w:tc>
        <w:tc>
          <w:tcPr>
            <w:tcW w:w="2524" w:type="dxa"/>
            <w:tcBorders>
              <w:top w:val="nil"/>
              <w:bottom w:val="single" w:sz="2" w:space="0" w:color="auto"/>
            </w:tcBorders>
          </w:tcPr>
          <w:p w:rsidR="005558CC" w:rsidRDefault="005743F0">
            <w:pPr>
              <w:pStyle w:val="nTable"/>
              <w:spacing w:after="40"/>
            </w:pPr>
            <w:r>
              <w:t>To be proclaimed (see s. 2(1)(e))</w:t>
            </w:r>
          </w:p>
        </w:tc>
      </w:tr>
    </w:tbl>
    <w:p w:rsidR="005558CC" w:rsidRDefault="005743F0">
      <w:pPr>
        <w:pStyle w:val="nHeading3"/>
      </w:pPr>
      <w:bookmarkStart w:id="66" w:name="_Toc74735117"/>
      <w:r>
        <w:t>Other notes</w:t>
      </w:r>
      <w:bookmarkEnd w:id="66"/>
    </w:p>
    <w:p w:rsidR="005558CC" w:rsidRDefault="005743F0">
      <w:pPr>
        <w:pStyle w:val="nNote"/>
        <w:ind w:left="462" w:hanging="462"/>
        <w:rPr>
          <w:i/>
        </w:rPr>
      </w:pPr>
      <w:r>
        <w:rPr>
          <w:vertAlign w:val="superscript"/>
        </w:rPr>
        <w:t>1</w:t>
      </w:r>
      <w:r>
        <w:tab/>
        <w:t xml:space="preserve">Repealed by the </w:t>
      </w:r>
      <w:r>
        <w:rPr>
          <w:i/>
        </w:rPr>
        <w:t>Real Estate and Business Agents Act 1978.</w:t>
      </w:r>
    </w:p>
    <w:p w:rsidR="005558CC" w:rsidRDefault="005558CC"/>
    <w:p w:rsidR="005558CC" w:rsidRDefault="005558CC">
      <w:pPr>
        <w:sectPr w:rsidR="005558CC">
          <w:headerReference w:type="even" r:id="rId23"/>
          <w:headerReference w:type="default" r:id="rId24"/>
          <w:pgSz w:w="11907" w:h="16840" w:code="9"/>
          <w:pgMar w:top="2376" w:right="2405" w:bottom="3542" w:left="2405" w:header="706" w:footer="3380" w:gutter="0"/>
          <w:cols w:space="720"/>
          <w:noEndnote/>
          <w:docGrid w:linePitch="326"/>
        </w:sectPr>
      </w:pPr>
    </w:p>
    <w:p w:rsidR="005558CC" w:rsidRDefault="005743F0">
      <w:pPr>
        <w:pStyle w:val="nHeading2"/>
        <w:rPr>
          <w:sz w:val="28"/>
        </w:rPr>
      </w:pPr>
      <w:bookmarkStart w:id="68" w:name="_Toc74658199"/>
      <w:bookmarkStart w:id="69" w:name="_Toc74658246"/>
      <w:bookmarkStart w:id="70" w:name="_Toc74735118"/>
      <w:r>
        <w:rPr>
          <w:sz w:val="28"/>
        </w:rPr>
        <w:lastRenderedPageBreak/>
        <w:t>Defined terms</w:t>
      </w:r>
      <w:bookmarkEnd w:id="68"/>
      <w:bookmarkEnd w:id="69"/>
      <w:bookmarkEnd w:id="70"/>
    </w:p>
    <w:p w:rsidR="005558CC" w:rsidRDefault="005558CC">
      <w:pPr>
        <w:ind w:left="850" w:right="850"/>
        <w:jc w:val="center"/>
        <w:rPr>
          <w:i/>
          <w:sz w:val="18"/>
        </w:rPr>
      </w:pPr>
    </w:p>
    <w:p w:rsidR="005558CC" w:rsidRDefault="005743F0">
      <w:pPr>
        <w:ind w:left="850" w:right="850"/>
        <w:jc w:val="center"/>
        <w:rPr>
          <w:i/>
          <w:sz w:val="18"/>
        </w:rPr>
      </w:pPr>
      <w:r>
        <w:rPr>
          <w:i/>
          <w:sz w:val="18"/>
        </w:rPr>
        <w:t>[This is a list of terms defined and the provisions where they are defined.  The list is not part of the law.]</w:t>
      </w:r>
    </w:p>
    <w:p w:rsidR="005558CC" w:rsidRDefault="005743F0">
      <w:pPr>
        <w:pBdr>
          <w:bottom w:val="single" w:sz="4" w:space="1" w:color="auto"/>
        </w:pBdr>
        <w:tabs>
          <w:tab w:val="right" w:pos="7070"/>
        </w:tabs>
        <w:ind w:left="578"/>
        <w:rPr>
          <w:b/>
          <w:sz w:val="20"/>
        </w:rPr>
      </w:pPr>
      <w:r>
        <w:rPr>
          <w:b/>
          <w:sz w:val="20"/>
        </w:rPr>
        <w:t>Defined term</w:t>
      </w:r>
      <w:r>
        <w:rPr>
          <w:b/>
          <w:sz w:val="20"/>
        </w:rPr>
        <w:tab/>
        <w:t>Provision(s)</w:t>
      </w:r>
    </w:p>
    <w:p w:rsidR="005558CC" w:rsidRDefault="005743F0">
      <w:pPr>
        <w:pStyle w:val="DefinedTerms"/>
      </w:pPr>
      <w:r>
        <w:t>ADI</w:t>
      </w:r>
      <w:r>
        <w:tab/>
        <w:t>11</w:t>
      </w:r>
    </w:p>
    <w:p w:rsidR="005558CC" w:rsidRDefault="005743F0">
      <w:pPr>
        <w:pStyle w:val="DefinedTerms"/>
      </w:pPr>
      <w:r>
        <w:t>advertise</w:t>
      </w:r>
      <w:r>
        <w:tab/>
        <w:t>5</w:t>
      </w:r>
    </w:p>
    <w:p w:rsidR="005558CC" w:rsidRDefault="005743F0">
      <w:pPr>
        <w:pStyle w:val="DefinedTerms"/>
      </w:pPr>
      <w:r>
        <w:t>advertisement</w:t>
      </w:r>
      <w:r>
        <w:tab/>
        <w:t>5</w:t>
      </w:r>
    </w:p>
    <w:p w:rsidR="005558CC" w:rsidRDefault="005743F0">
      <w:pPr>
        <w:pStyle w:val="DefinedTerms"/>
      </w:pPr>
      <w:r>
        <w:t>amendment Act</w:t>
      </w:r>
      <w:r>
        <w:tab/>
        <w:t>24(1)</w:t>
      </w:r>
    </w:p>
    <w:p w:rsidR="005558CC" w:rsidRDefault="005743F0">
      <w:pPr>
        <w:pStyle w:val="DefinedTerms"/>
      </w:pPr>
      <w:r>
        <w:t>approved form</w:t>
      </w:r>
      <w:r>
        <w:tab/>
        <w:t>11</w:t>
      </w:r>
    </w:p>
    <w:p w:rsidR="005558CC" w:rsidRDefault="005743F0">
      <w:pPr>
        <w:pStyle w:val="DefinedTerms"/>
      </w:pPr>
      <w:r>
        <w:t>Australian legal practitioner</w:t>
      </w:r>
      <w:r>
        <w:tab/>
        <w:t>11</w:t>
      </w:r>
    </w:p>
    <w:p w:rsidR="005558CC" w:rsidRDefault="005743F0">
      <w:pPr>
        <w:pStyle w:val="DefinedTerms"/>
      </w:pPr>
      <w:r>
        <w:t>charge</w:t>
      </w:r>
      <w:r>
        <w:tab/>
        <w:t>7(2)</w:t>
      </w:r>
    </w:p>
    <w:p w:rsidR="005558CC" w:rsidRDefault="005743F0">
      <w:pPr>
        <w:pStyle w:val="DefinedTerms"/>
      </w:pPr>
      <w:r>
        <w:t>commencement day</w:t>
      </w:r>
      <w:r>
        <w:tab/>
        <w:t>24(1)</w:t>
      </w:r>
    </w:p>
    <w:p w:rsidR="005558CC" w:rsidRDefault="005743F0">
      <w:pPr>
        <w:pStyle w:val="DefinedTerms"/>
      </w:pPr>
      <w:r>
        <w:t>Court</w:t>
      </w:r>
      <w:r>
        <w:tab/>
        <w:t>5</w:t>
      </w:r>
    </w:p>
    <w:p w:rsidR="005558CC" w:rsidRDefault="005743F0">
      <w:pPr>
        <w:pStyle w:val="DefinedTerms"/>
      </w:pPr>
      <w:r>
        <w:t>deposit</w:t>
      </w:r>
      <w:r>
        <w:tab/>
        <w:t>5</w:t>
      </w:r>
    </w:p>
    <w:p w:rsidR="005558CC" w:rsidRDefault="005743F0">
      <w:pPr>
        <w:pStyle w:val="DefinedTerms"/>
      </w:pPr>
      <w:r>
        <w:t xml:space="preserve">deposit holder </w:t>
      </w:r>
      <w:r>
        <w:tab/>
        <w:t>11</w:t>
      </w:r>
    </w:p>
    <w:p w:rsidR="005558CC" w:rsidRDefault="005743F0">
      <w:pPr>
        <w:pStyle w:val="DefinedTerms"/>
      </w:pPr>
      <w:r>
        <w:t>future lot contract</w:t>
      </w:r>
      <w:r>
        <w:tab/>
        <w:t>11, 24(1)</w:t>
      </w:r>
    </w:p>
    <w:p w:rsidR="005558CC" w:rsidRDefault="005743F0">
      <w:pPr>
        <w:pStyle w:val="DefinedTerms"/>
      </w:pPr>
      <w:r>
        <w:t>invite the public to purchase</w:t>
      </w:r>
      <w:r>
        <w:tab/>
        <w:t>19A(2)</w:t>
      </w:r>
    </w:p>
    <w:p w:rsidR="005558CC" w:rsidRDefault="005743F0">
      <w:pPr>
        <w:pStyle w:val="DefinedTerms"/>
      </w:pPr>
      <w:r>
        <w:t>land</w:t>
      </w:r>
      <w:r>
        <w:tab/>
        <w:t>5</w:t>
      </w:r>
    </w:p>
    <w:p w:rsidR="005558CC" w:rsidRDefault="005743F0">
      <w:pPr>
        <w:pStyle w:val="DefinedTerms"/>
      </w:pPr>
      <w:r>
        <w:t>lot</w:t>
      </w:r>
      <w:r>
        <w:tab/>
        <w:t>11</w:t>
      </w:r>
    </w:p>
    <w:p w:rsidR="005558CC" w:rsidRDefault="005743F0">
      <w:pPr>
        <w:pStyle w:val="DefinedTerms"/>
      </w:pPr>
      <w:r>
        <w:t>mortgage</w:t>
      </w:r>
      <w:r>
        <w:tab/>
        <w:t>14(3)</w:t>
      </w:r>
    </w:p>
    <w:p w:rsidR="005558CC" w:rsidRDefault="005743F0">
      <w:pPr>
        <w:pStyle w:val="DefinedTerms"/>
      </w:pPr>
      <w:r>
        <w:t>notice in writing</w:t>
      </w:r>
      <w:r>
        <w:tab/>
        <w:t>7(2)</w:t>
      </w:r>
    </w:p>
    <w:p w:rsidR="005558CC" w:rsidRDefault="005743F0">
      <w:pPr>
        <w:pStyle w:val="DefinedTerms"/>
      </w:pPr>
      <w:r>
        <w:t>offer to the public for purchase</w:t>
      </w:r>
      <w:r>
        <w:tab/>
        <w:t>19A(2)</w:t>
      </w:r>
    </w:p>
    <w:p w:rsidR="005558CC" w:rsidRDefault="005743F0">
      <w:pPr>
        <w:pStyle w:val="DefinedTerms"/>
      </w:pPr>
      <w:r>
        <w:t>offer to the public options to purchase</w:t>
      </w:r>
      <w:r>
        <w:tab/>
        <w:t>19A(2)</w:t>
      </w:r>
    </w:p>
    <w:p w:rsidR="005558CC" w:rsidRDefault="005743F0">
      <w:pPr>
        <w:pStyle w:val="DefinedTerms"/>
      </w:pPr>
      <w:r>
        <w:t>offeror</w:t>
      </w:r>
      <w:r>
        <w:tab/>
        <w:t>19A(1)</w:t>
      </w:r>
    </w:p>
    <w:p w:rsidR="005558CC" w:rsidRDefault="005743F0">
      <w:pPr>
        <w:pStyle w:val="DefinedTerms"/>
      </w:pPr>
      <w:r>
        <w:t>option to purchase</w:t>
      </w:r>
      <w:r>
        <w:tab/>
        <w:t>19A(1)</w:t>
      </w:r>
    </w:p>
    <w:p w:rsidR="005558CC" w:rsidRDefault="005743F0">
      <w:pPr>
        <w:pStyle w:val="DefinedTerms"/>
      </w:pPr>
      <w:r>
        <w:t>position</w:t>
      </w:r>
      <w:r>
        <w:tab/>
        <w:t>17(2)</w:t>
      </w:r>
    </w:p>
    <w:p w:rsidR="005558CC" w:rsidRDefault="005743F0">
      <w:pPr>
        <w:pStyle w:val="DefinedTerms"/>
      </w:pPr>
      <w:r>
        <w:t>post</w:t>
      </w:r>
      <w:r>
        <w:noBreakHyphen/>
        <w:t>commencement future lot contract</w:t>
      </w:r>
      <w:r>
        <w:tab/>
        <w:t>24(1)</w:t>
      </w:r>
    </w:p>
    <w:p w:rsidR="005558CC" w:rsidRDefault="005743F0">
      <w:pPr>
        <w:pStyle w:val="DefinedTerms"/>
      </w:pPr>
      <w:r>
        <w:t>pre</w:t>
      </w:r>
      <w:r>
        <w:noBreakHyphen/>
        <w:t>commencement future lot contract</w:t>
      </w:r>
      <w:r>
        <w:tab/>
        <w:t>24(1)</w:t>
      </w:r>
    </w:p>
    <w:p w:rsidR="005558CC" w:rsidRDefault="005743F0">
      <w:pPr>
        <w:pStyle w:val="DefinedTerms"/>
      </w:pPr>
      <w:r>
        <w:t>proprietor</w:t>
      </w:r>
      <w:r>
        <w:tab/>
        <w:t>11</w:t>
      </w:r>
    </w:p>
    <w:p w:rsidR="005558CC" w:rsidRDefault="005743F0">
      <w:pPr>
        <w:pStyle w:val="DefinedTerms"/>
      </w:pPr>
      <w:r>
        <w:t>public amenity</w:t>
      </w:r>
      <w:r>
        <w:tab/>
        <w:t>17(2)</w:t>
      </w:r>
    </w:p>
    <w:p w:rsidR="005558CC" w:rsidRDefault="005743F0">
      <w:pPr>
        <w:pStyle w:val="DefinedTerms"/>
      </w:pPr>
      <w:r>
        <w:t>real estate agent</w:t>
      </w:r>
      <w:r>
        <w:tab/>
        <w:t>11</w:t>
      </w:r>
    </w:p>
    <w:p w:rsidR="005558CC" w:rsidRDefault="005743F0">
      <w:pPr>
        <w:pStyle w:val="DefinedTerms"/>
      </w:pPr>
      <w:r>
        <w:t>Registrar</w:t>
      </w:r>
      <w:r>
        <w:tab/>
        <w:t>19A(1)</w:t>
      </w:r>
    </w:p>
    <w:p w:rsidR="005558CC" w:rsidRDefault="005743F0">
      <w:pPr>
        <w:pStyle w:val="DefinedTerms"/>
      </w:pPr>
      <w:r>
        <w:t>Registrar of Titles</w:t>
      </w:r>
      <w:r>
        <w:tab/>
        <w:t>11</w:t>
      </w:r>
    </w:p>
    <w:p w:rsidR="005558CC" w:rsidRDefault="005743F0">
      <w:pPr>
        <w:pStyle w:val="DefinedTerms"/>
      </w:pPr>
      <w:r>
        <w:t>section</w:t>
      </w:r>
      <w:r>
        <w:tab/>
        <w:t>5</w:t>
      </w:r>
    </w:p>
    <w:p w:rsidR="005558CC" w:rsidRDefault="005743F0">
      <w:pPr>
        <w:pStyle w:val="DefinedTerms"/>
      </w:pPr>
      <w:r>
        <w:t>sell</w:t>
      </w:r>
      <w:r>
        <w:tab/>
        <w:t>11</w:t>
      </w:r>
    </w:p>
    <w:p w:rsidR="005558CC" w:rsidRDefault="005743F0">
      <w:pPr>
        <w:pStyle w:val="DefinedTerms"/>
      </w:pPr>
      <w:r>
        <w:t>selling</w:t>
      </w:r>
      <w:r>
        <w:tab/>
        <w:t>11</w:t>
      </w:r>
    </w:p>
    <w:p w:rsidR="005558CC" w:rsidRDefault="005743F0">
      <w:pPr>
        <w:pStyle w:val="DefinedTerms"/>
      </w:pPr>
      <w:r>
        <w:t>settlement agent</w:t>
      </w:r>
      <w:r>
        <w:tab/>
        <w:t>11</w:t>
      </w:r>
    </w:p>
    <w:p w:rsidR="005558CC" w:rsidRDefault="005743F0">
      <w:pPr>
        <w:pStyle w:val="DefinedTerms"/>
      </w:pPr>
      <w:r>
        <w:t>sold</w:t>
      </w:r>
      <w:r>
        <w:tab/>
        <w:t>11</w:t>
      </w:r>
    </w:p>
    <w:p w:rsidR="005558CC" w:rsidRDefault="005743F0">
      <w:pPr>
        <w:pStyle w:val="DefinedTerms"/>
      </w:pPr>
      <w:r>
        <w:t>statement</w:t>
      </w:r>
      <w:r>
        <w:tab/>
        <w:t>17(2)</w:t>
      </w:r>
    </w:p>
    <w:p w:rsidR="005558CC" w:rsidRDefault="005743F0">
      <w:pPr>
        <w:pStyle w:val="DefinedTerms"/>
      </w:pPr>
      <w:r>
        <w:t>terms contract</w:t>
      </w:r>
      <w:r>
        <w:tab/>
        <w:t>5</w:t>
      </w:r>
    </w:p>
    <w:p w:rsidR="005558CC" w:rsidRDefault="005743F0">
      <w:pPr>
        <w:pStyle w:val="DefinedTerms"/>
      </w:pPr>
      <w:r>
        <w:t>vendor’s condition</w:t>
      </w:r>
      <w:r>
        <w:tab/>
        <w:t>11, 13B(1)</w:t>
      </w:r>
    </w:p>
    <w:p w:rsidR="005558CC" w:rsidRDefault="005743F0">
      <w:pPr>
        <w:pStyle w:val="DefinedTerms"/>
      </w:pPr>
      <w:r>
        <w:t>working day</w:t>
      </w:r>
      <w:r>
        <w:tab/>
        <w:t>11</w:t>
      </w:r>
    </w:p>
    <w:p w:rsidR="005558CC" w:rsidRDefault="005558CC">
      <w:pPr>
        <w:sectPr w:rsidR="005558CC">
          <w:headerReference w:type="even" r:id="rId25"/>
          <w:headerReference w:type="default" r:id="rId26"/>
          <w:pgSz w:w="11907" w:h="16840" w:code="9"/>
          <w:pgMar w:top="2381" w:right="2409" w:bottom="3543" w:left="2409" w:header="720" w:footer="3380" w:gutter="0"/>
          <w:cols w:space="720"/>
          <w:noEndnote/>
          <w:docGrid w:linePitch="326"/>
        </w:sectPr>
      </w:pPr>
    </w:p>
    <w:p w:rsidR="005558CC" w:rsidRDefault="005558CC"/>
    <w:sectPr w:rsidR="005558CC">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8CC" w:rsidRDefault="005743F0">
      <w:r>
        <w:separator/>
      </w:r>
    </w:p>
  </w:endnote>
  <w:endnote w:type="continuationSeparator" w:id="0">
    <w:p w:rsidR="005558CC" w:rsidRDefault="0057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Bdr>
        <w:bottom w:val="single" w:sz="4" w:space="1" w:color="auto"/>
      </w:pBdr>
      <w:rPr>
        <w:sz w:val="20"/>
      </w:rPr>
    </w:pPr>
  </w:p>
  <w:p w:rsidR="005558CC" w:rsidRDefault="005743F0">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sidR="00B66034">
      <w:rPr>
        <w:sz w:val="20"/>
      </w:rPr>
      <w:t>03-l0-01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B66034">
      <w:rPr>
        <w:sz w:val="20"/>
      </w:rPr>
      <w:t>09 Dec 2020</w:t>
    </w:r>
    <w:r>
      <w:rPr>
        <w:sz w:val="20"/>
      </w:rPr>
      <w:fldChar w:fldCharType="end"/>
    </w:r>
  </w:p>
  <w:p w:rsidR="005558CC" w:rsidRDefault="005743F0">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Bdr>
        <w:bottom w:val="single" w:sz="4" w:space="1" w:color="auto"/>
      </w:pBdr>
      <w:rPr>
        <w:sz w:val="20"/>
      </w:rPr>
    </w:pPr>
  </w:p>
  <w:p w:rsidR="005558CC" w:rsidRDefault="005743F0">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B66034">
      <w:rPr>
        <w:sz w:val="20"/>
      </w:rPr>
      <w:t>09 Dec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B66034">
      <w:rPr>
        <w:sz w:val="20"/>
      </w:rPr>
      <w:t>03-l0-01</w:t>
    </w:r>
    <w:r>
      <w:rPr>
        <w:sz w:val="20"/>
      </w:rPr>
      <w:fldChar w:fldCharType="end"/>
    </w:r>
  </w:p>
  <w:p w:rsidR="005558CC" w:rsidRDefault="005743F0">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Bdr>
        <w:bottom w:val="single" w:sz="4" w:space="1" w:color="auto"/>
      </w:pBdr>
      <w:rPr>
        <w:sz w:val="20"/>
      </w:rPr>
    </w:pPr>
  </w:p>
  <w:p w:rsidR="005558CC" w:rsidRDefault="005743F0">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B66034">
      <w:rPr>
        <w:sz w:val="20"/>
      </w:rPr>
      <w:t>09 Dec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B66034">
      <w:rPr>
        <w:sz w:val="20"/>
      </w:rPr>
      <w:t>03-l0-01</w:t>
    </w:r>
    <w:r>
      <w:rPr>
        <w:sz w:val="20"/>
      </w:rPr>
      <w:fldChar w:fldCharType="end"/>
    </w:r>
  </w:p>
  <w:p w:rsidR="005558CC" w:rsidRDefault="005743F0">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Bdr>
        <w:bottom w:val="single" w:sz="4" w:space="1" w:color="auto"/>
      </w:pBdr>
      <w:rPr>
        <w:sz w:val="20"/>
      </w:rPr>
    </w:pPr>
  </w:p>
  <w:p w:rsidR="005558CC" w:rsidRDefault="005743F0">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B66034">
      <w:rPr>
        <w:sz w:val="20"/>
      </w:rPr>
      <w:t>03-l0-01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B66034">
      <w:rPr>
        <w:sz w:val="20"/>
      </w:rPr>
      <w:t>09 Dec 2020</w:t>
    </w:r>
    <w:r>
      <w:rPr>
        <w:sz w:val="20"/>
      </w:rPr>
      <w:fldChar w:fldCharType="end"/>
    </w:r>
  </w:p>
  <w:p w:rsidR="005558CC" w:rsidRDefault="005743F0">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Bdr>
        <w:bottom w:val="single" w:sz="4" w:space="1" w:color="auto"/>
      </w:pBdr>
      <w:rPr>
        <w:sz w:val="20"/>
      </w:rPr>
    </w:pPr>
  </w:p>
  <w:p w:rsidR="005558CC" w:rsidRDefault="005743F0">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B66034">
      <w:rPr>
        <w:sz w:val="20"/>
      </w:rPr>
      <w:t>09 Dec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B66034">
      <w:rPr>
        <w:sz w:val="20"/>
      </w:rPr>
      <w:t>03-l0-01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13</w:t>
    </w:r>
    <w:r>
      <w:rPr>
        <w:sz w:val="20"/>
      </w:rPr>
      <w:fldChar w:fldCharType="end"/>
    </w:r>
  </w:p>
  <w:p w:rsidR="005558CC" w:rsidRDefault="005743F0">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Bdr>
        <w:bottom w:val="single" w:sz="4" w:space="1" w:color="auto"/>
      </w:pBdr>
      <w:rPr>
        <w:sz w:val="20"/>
      </w:rPr>
    </w:pPr>
  </w:p>
  <w:p w:rsidR="005558CC" w:rsidRDefault="005743F0">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B66034">
      <w:rPr>
        <w:sz w:val="20"/>
      </w:rPr>
      <w:t>09 Dec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sidR="00B66034">
      <w:rPr>
        <w:sz w:val="20"/>
      </w:rPr>
      <w:t>03-l0-01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rsidR="005558CC" w:rsidRDefault="005743F0">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8CC" w:rsidRDefault="005743F0">
      <w:r>
        <w:separator/>
      </w:r>
    </w:p>
  </w:footnote>
  <w:footnote w:type="continuationSeparator" w:id="0">
    <w:p w:rsidR="005558CC" w:rsidRDefault="00574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6034" w:rsidRDefault="00B660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6034" w:rsidRDefault="00B660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5558CC" w:rsidTr="00FB0B4E">
      <w:trPr>
        <w:cantSplit/>
        <w:jc w:val="center"/>
      </w:trPr>
      <w:tc>
        <w:tcPr>
          <w:tcW w:w="7258" w:type="dxa"/>
          <w:gridSpan w:val="2"/>
        </w:tcPr>
        <w:p w:rsidR="005558CC" w:rsidRDefault="005743F0">
          <w:pPr>
            <w:pStyle w:val="Header"/>
          </w:pPr>
          <w:r>
            <w:rPr>
              <w:b/>
              <w:i/>
            </w:rPr>
            <w:fldChar w:fldCharType="begin"/>
          </w:r>
          <w:r>
            <w:rPr>
              <w:b/>
              <w:i/>
            </w:rPr>
            <w:instrText xml:space="preserve"> STYLEREF "Name of Act/Reg" </w:instrText>
          </w:r>
          <w:r>
            <w:rPr>
              <w:b/>
              <w:i/>
            </w:rPr>
            <w:fldChar w:fldCharType="separate"/>
          </w:r>
          <w:r w:rsidR="00B66034">
            <w:rPr>
              <w:b/>
              <w:i/>
            </w:rPr>
            <w:t>Sale of Land Act 1970</w:t>
          </w:r>
          <w:r>
            <w:rPr>
              <w:b/>
              <w:i/>
            </w:rPr>
            <w:fldChar w:fldCharType="end"/>
          </w:r>
        </w:p>
      </w:tc>
    </w:tr>
    <w:tr w:rsidR="005558CC" w:rsidTr="00FB0B4E">
      <w:trPr>
        <w:jc w:val="center"/>
      </w:trPr>
      <w:tc>
        <w:tcPr>
          <w:tcW w:w="1548" w:type="dxa"/>
        </w:tcPr>
        <w:p w:rsidR="005558CC" w:rsidRDefault="005558CC">
          <w:pPr>
            <w:pStyle w:val="Header"/>
            <w:spacing w:before="40"/>
          </w:pPr>
        </w:p>
      </w:tc>
      <w:tc>
        <w:tcPr>
          <w:tcW w:w="5715" w:type="dxa"/>
        </w:tcPr>
        <w:p w:rsidR="005558CC" w:rsidRDefault="005558CC">
          <w:pPr>
            <w:pStyle w:val="Header"/>
            <w:spacing w:before="40"/>
          </w:pPr>
        </w:p>
      </w:tc>
    </w:tr>
    <w:tr w:rsidR="005558CC" w:rsidTr="00FB0B4E">
      <w:trPr>
        <w:jc w:val="center"/>
      </w:trPr>
      <w:tc>
        <w:tcPr>
          <w:tcW w:w="1548" w:type="dxa"/>
        </w:tcPr>
        <w:p w:rsidR="005558CC" w:rsidRDefault="005558CC">
          <w:pPr>
            <w:pStyle w:val="Header"/>
            <w:spacing w:before="40"/>
          </w:pPr>
        </w:p>
      </w:tc>
      <w:tc>
        <w:tcPr>
          <w:tcW w:w="5715" w:type="dxa"/>
        </w:tcPr>
        <w:p w:rsidR="005558CC" w:rsidRDefault="005558CC">
          <w:pPr>
            <w:pStyle w:val="Header"/>
            <w:spacing w:before="40"/>
          </w:pPr>
        </w:p>
      </w:tc>
    </w:tr>
    <w:tr w:rsidR="005558CC" w:rsidTr="00FB0B4E">
      <w:trPr>
        <w:cantSplit/>
        <w:jc w:val="center"/>
      </w:trPr>
      <w:tc>
        <w:tcPr>
          <w:tcW w:w="7258" w:type="dxa"/>
          <w:gridSpan w:val="2"/>
        </w:tcPr>
        <w:p w:rsidR="005558CC" w:rsidRDefault="005743F0">
          <w:pPr>
            <w:pStyle w:val="Header"/>
            <w:spacing w:before="40"/>
          </w:pPr>
          <w:r>
            <w:t>Contents</w:t>
          </w:r>
        </w:p>
      </w:tc>
    </w:tr>
  </w:tbl>
  <w:p w:rsidR="005558CC" w:rsidRDefault="005558CC">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5558CC" w:rsidTr="00FB0B4E">
      <w:trPr>
        <w:cantSplit/>
        <w:jc w:val="center"/>
      </w:trPr>
      <w:tc>
        <w:tcPr>
          <w:tcW w:w="7258" w:type="dxa"/>
          <w:gridSpan w:val="2"/>
        </w:tcPr>
        <w:p w:rsidR="005558CC" w:rsidRDefault="005743F0">
          <w:pPr>
            <w:pStyle w:val="Header"/>
            <w:ind w:right="17"/>
            <w:jc w:val="right"/>
          </w:pPr>
          <w:r>
            <w:rPr>
              <w:b/>
              <w:i/>
            </w:rPr>
            <w:fldChar w:fldCharType="begin"/>
          </w:r>
          <w:r>
            <w:rPr>
              <w:b/>
              <w:i/>
            </w:rPr>
            <w:instrText xml:space="preserve"> STYLEREF "Name of Act/Reg" </w:instrText>
          </w:r>
          <w:r>
            <w:rPr>
              <w:b/>
              <w:i/>
            </w:rPr>
            <w:fldChar w:fldCharType="separate"/>
          </w:r>
          <w:r w:rsidR="00B66034">
            <w:rPr>
              <w:b/>
              <w:i/>
            </w:rPr>
            <w:t>Sale of Land Act 1970</w:t>
          </w:r>
          <w:r>
            <w:rPr>
              <w:b/>
              <w:i/>
            </w:rPr>
            <w:fldChar w:fldCharType="end"/>
          </w:r>
        </w:p>
      </w:tc>
    </w:tr>
    <w:tr w:rsidR="005558CC" w:rsidTr="00FB0B4E">
      <w:trPr>
        <w:jc w:val="center"/>
      </w:trPr>
      <w:tc>
        <w:tcPr>
          <w:tcW w:w="5715" w:type="dxa"/>
        </w:tcPr>
        <w:p w:rsidR="005558CC" w:rsidRDefault="005558CC">
          <w:pPr>
            <w:pStyle w:val="Header"/>
            <w:spacing w:before="40"/>
            <w:jc w:val="right"/>
          </w:pPr>
        </w:p>
      </w:tc>
      <w:tc>
        <w:tcPr>
          <w:tcW w:w="1548" w:type="dxa"/>
        </w:tcPr>
        <w:p w:rsidR="005558CC" w:rsidRDefault="005558CC">
          <w:pPr>
            <w:pStyle w:val="Header"/>
            <w:spacing w:before="40"/>
            <w:ind w:right="17"/>
            <w:jc w:val="right"/>
          </w:pPr>
        </w:p>
      </w:tc>
    </w:tr>
    <w:tr w:rsidR="005558CC" w:rsidTr="00FB0B4E">
      <w:trPr>
        <w:jc w:val="center"/>
      </w:trPr>
      <w:tc>
        <w:tcPr>
          <w:tcW w:w="5715" w:type="dxa"/>
        </w:tcPr>
        <w:p w:rsidR="005558CC" w:rsidRDefault="005558CC">
          <w:pPr>
            <w:pStyle w:val="Header"/>
            <w:spacing w:before="40"/>
            <w:jc w:val="right"/>
          </w:pPr>
        </w:p>
      </w:tc>
      <w:tc>
        <w:tcPr>
          <w:tcW w:w="1548" w:type="dxa"/>
        </w:tcPr>
        <w:p w:rsidR="005558CC" w:rsidRDefault="005558CC">
          <w:pPr>
            <w:pStyle w:val="Header"/>
            <w:spacing w:before="40"/>
            <w:ind w:right="17"/>
            <w:jc w:val="right"/>
          </w:pPr>
        </w:p>
      </w:tc>
    </w:tr>
    <w:tr w:rsidR="005558CC" w:rsidTr="00FB0B4E">
      <w:trPr>
        <w:cantSplit/>
        <w:jc w:val="center"/>
      </w:trPr>
      <w:tc>
        <w:tcPr>
          <w:tcW w:w="7258" w:type="dxa"/>
          <w:gridSpan w:val="2"/>
        </w:tcPr>
        <w:p w:rsidR="005558CC" w:rsidRDefault="005743F0">
          <w:pPr>
            <w:pStyle w:val="Header"/>
            <w:spacing w:before="40"/>
            <w:ind w:right="17"/>
            <w:jc w:val="right"/>
          </w:pPr>
          <w:r>
            <w:t>Contents</w:t>
          </w:r>
        </w:p>
      </w:tc>
    </w:tr>
  </w:tbl>
  <w:p w:rsidR="005558CC" w:rsidRDefault="005558CC">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5558CC" w:rsidTr="00FB0B4E">
      <w:trPr>
        <w:cantSplit/>
        <w:jc w:val="center"/>
      </w:trPr>
      <w:tc>
        <w:tcPr>
          <w:tcW w:w="7263" w:type="dxa"/>
          <w:gridSpan w:val="2"/>
        </w:tcPr>
        <w:p w:rsidR="005558CC" w:rsidRDefault="005743F0">
          <w:pPr>
            <w:pStyle w:val="Header"/>
          </w:pPr>
          <w:r>
            <w:rPr>
              <w:b/>
              <w:i/>
            </w:rPr>
            <w:fldChar w:fldCharType="begin"/>
          </w:r>
          <w:r>
            <w:rPr>
              <w:b/>
              <w:i/>
            </w:rPr>
            <w:instrText>Styleref "Name of Act/Reg"</w:instrText>
          </w:r>
          <w:r>
            <w:rPr>
              <w:b/>
              <w:i/>
            </w:rPr>
            <w:fldChar w:fldCharType="separate"/>
          </w:r>
          <w:r w:rsidR="00B66034">
            <w:rPr>
              <w:b/>
              <w:i/>
            </w:rPr>
            <w:t>Sale of Land Act 1970</w:t>
          </w:r>
          <w:r>
            <w:rPr>
              <w:b/>
              <w:i/>
            </w:rPr>
            <w:fldChar w:fldCharType="end"/>
          </w:r>
        </w:p>
      </w:tc>
    </w:tr>
    <w:tr w:rsidR="005558CC" w:rsidTr="00FB0B4E">
      <w:trPr>
        <w:jc w:val="center"/>
      </w:trPr>
      <w:tc>
        <w:tcPr>
          <w:tcW w:w="1548" w:type="dxa"/>
        </w:tcPr>
        <w:p w:rsidR="005558CC" w:rsidRDefault="005743F0">
          <w:pPr>
            <w:pStyle w:val="Header"/>
            <w:spacing w:before="40"/>
          </w:pPr>
          <w:r>
            <w:rPr>
              <w:b/>
            </w:rPr>
            <w:fldChar w:fldCharType="begin"/>
          </w:r>
          <w:r>
            <w:rPr>
              <w:b/>
            </w:rPr>
            <w:instrText>styleref CharPartNo</w:instrText>
          </w:r>
          <w:r>
            <w:rPr>
              <w:b/>
            </w:rPr>
            <w:fldChar w:fldCharType="end"/>
          </w:r>
        </w:p>
      </w:tc>
      <w:tc>
        <w:tcPr>
          <w:tcW w:w="5715" w:type="dxa"/>
        </w:tcPr>
        <w:p w:rsidR="005558CC" w:rsidRDefault="005743F0">
          <w:pPr>
            <w:pStyle w:val="Header"/>
            <w:spacing w:before="40"/>
          </w:pPr>
          <w:r>
            <w:fldChar w:fldCharType="begin"/>
          </w:r>
          <w:r>
            <w:instrText>styleref CharPartText</w:instrText>
          </w:r>
          <w:r>
            <w:fldChar w:fldCharType="end"/>
          </w:r>
        </w:p>
      </w:tc>
    </w:tr>
    <w:tr w:rsidR="005558CC" w:rsidTr="00FB0B4E">
      <w:trPr>
        <w:jc w:val="center"/>
      </w:trPr>
      <w:tc>
        <w:tcPr>
          <w:tcW w:w="1548" w:type="dxa"/>
        </w:tcPr>
        <w:p w:rsidR="005558CC" w:rsidRDefault="005743F0">
          <w:pPr>
            <w:pStyle w:val="Header"/>
            <w:spacing w:before="40"/>
          </w:pPr>
          <w:r>
            <w:rPr>
              <w:b/>
            </w:rPr>
            <w:fldChar w:fldCharType="begin"/>
          </w:r>
          <w:r>
            <w:rPr>
              <w:b/>
            </w:rPr>
            <w:instrText xml:space="preserve"> styleref CharDivNo </w:instrText>
          </w:r>
          <w:r>
            <w:rPr>
              <w:b/>
            </w:rPr>
            <w:fldChar w:fldCharType="end"/>
          </w:r>
        </w:p>
      </w:tc>
      <w:tc>
        <w:tcPr>
          <w:tcW w:w="5715" w:type="dxa"/>
        </w:tcPr>
        <w:p w:rsidR="005558CC" w:rsidRDefault="005743F0">
          <w:pPr>
            <w:pStyle w:val="Header"/>
            <w:spacing w:before="40"/>
          </w:pPr>
          <w:r>
            <w:fldChar w:fldCharType="begin"/>
          </w:r>
          <w:r>
            <w:instrText xml:space="preserve"> styleref CharDivText </w:instrText>
          </w:r>
          <w:r>
            <w:fldChar w:fldCharType="end"/>
          </w:r>
        </w:p>
      </w:tc>
    </w:tr>
    <w:tr w:rsidR="005558CC" w:rsidTr="00FB0B4E">
      <w:trPr>
        <w:cantSplit/>
        <w:jc w:val="center"/>
      </w:trPr>
      <w:tc>
        <w:tcPr>
          <w:tcW w:w="7263" w:type="dxa"/>
          <w:gridSpan w:val="2"/>
        </w:tcPr>
        <w:p w:rsidR="005558CC" w:rsidRDefault="005743F0">
          <w:pPr>
            <w:pStyle w:val="Header"/>
            <w:spacing w:before="40"/>
          </w:pPr>
          <w:r>
            <w:rPr>
              <w:b/>
            </w:rPr>
            <w:t xml:space="preserve">s. </w:t>
          </w:r>
          <w:r>
            <w:rPr>
              <w:b/>
            </w:rPr>
            <w:fldChar w:fldCharType="begin"/>
          </w:r>
          <w:r>
            <w:rPr>
              <w:b/>
            </w:rPr>
            <w:instrText>styleref CharSectno</w:instrText>
          </w:r>
          <w:r>
            <w:rPr>
              <w:b/>
            </w:rPr>
            <w:fldChar w:fldCharType="separate"/>
          </w:r>
          <w:r w:rsidR="00B66034">
            <w:rPr>
              <w:b/>
            </w:rPr>
            <w:t>1</w:t>
          </w:r>
          <w:r>
            <w:rPr>
              <w:b/>
            </w:rPr>
            <w:fldChar w:fldCharType="end"/>
          </w:r>
        </w:p>
      </w:tc>
    </w:tr>
  </w:tbl>
  <w:p w:rsidR="005558CC" w:rsidRDefault="005558CC">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5558CC" w:rsidTr="00FB0B4E">
      <w:trPr>
        <w:cantSplit/>
        <w:jc w:val="center"/>
      </w:trPr>
      <w:tc>
        <w:tcPr>
          <w:tcW w:w="7263" w:type="dxa"/>
          <w:gridSpan w:val="2"/>
        </w:tcPr>
        <w:p w:rsidR="005558CC" w:rsidRDefault="005743F0">
          <w:pPr>
            <w:pStyle w:val="Header"/>
            <w:ind w:right="17"/>
            <w:jc w:val="right"/>
          </w:pPr>
          <w:r>
            <w:rPr>
              <w:b/>
              <w:i/>
            </w:rPr>
            <w:fldChar w:fldCharType="begin"/>
          </w:r>
          <w:r>
            <w:rPr>
              <w:b/>
              <w:i/>
            </w:rPr>
            <w:instrText>Styleref "Name of Act/Reg"</w:instrText>
          </w:r>
          <w:r>
            <w:rPr>
              <w:b/>
              <w:i/>
            </w:rPr>
            <w:fldChar w:fldCharType="separate"/>
          </w:r>
          <w:r w:rsidR="00B66034">
            <w:rPr>
              <w:b/>
              <w:i/>
            </w:rPr>
            <w:t>Sale of Land Act 1970</w:t>
          </w:r>
          <w:r>
            <w:rPr>
              <w:b/>
              <w:i/>
            </w:rPr>
            <w:fldChar w:fldCharType="end"/>
          </w:r>
        </w:p>
      </w:tc>
    </w:tr>
    <w:tr w:rsidR="005558CC" w:rsidTr="00FB0B4E">
      <w:trPr>
        <w:jc w:val="center"/>
      </w:trPr>
      <w:tc>
        <w:tcPr>
          <w:tcW w:w="5715" w:type="dxa"/>
        </w:tcPr>
        <w:p w:rsidR="005558CC" w:rsidRDefault="005743F0">
          <w:pPr>
            <w:pStyle w:val="Header"/>
            <w:spacing w:before="40"/>
            <w:jc w:val="right"/>
          </w:pPr>
          <w:r>
            <w:fldChar w:fldCharType="begin"/>
          </w:r>
          <w:r>
            <w:instrText>styleref CharPartText</w:instrText>
          </w:r>
          <w:r>
            <w:fldChar w:fldCharType="end"/>
          </w:r>
        </w:p>
      </w:tc>
      <w:tc>
        <w:tcPr>
          <w:tcW w:w="1548" w:type="dxa"/>
        </w:tcPr>
        <w:p w:rsidR="005558CC" w:rsidRDefault="005743F0">
          <w:pPr>
            <w:pStyle w:val="Header"/>
            <w:spacing w:before="40"/>
            <w:ind w:right="17"/>
            <w:jc w:val="right"/>
          </w:pPr>
          <w:r>
            <w:rPr>
              <w:b/>
            </w:rPr>
            <w:fldChar w:fldCharType="begin"/>
          </w:r>
          <w:r>
            <w:rPr>
              <w:b/>
            </w:rPr>
            <w:instrText>styleref CharPartNo</w:instrText>
          </w:r>
          <w:r>
            <w:rPr>
              <w:b/>
            </w:rPr>
            <w:fldChar w:fldCharType="end"/>
          </w:r>
        </w:p>
      </w:tc>
    </w:tr>
    <w:tr w:rsidR="005558CC" w:rsidTr="00FB0B4E">
      <w:trPr>
        <w:jc w:val="center"/>
      </w:trPr>
      <w:tc>
        <w:tcPr>
          <w:tcW w:w="5715" w:type="dxa"/>
        </w:tcPr>
        <w:p w:rsidR="005558CC" w:rsidRDefault="005743F0">
          <w:pPr>
            <w:pStyle w:val="Header"/>
            <w:spacing w:before="40"/>
            <w:jc w:val="right"/>
          </w:pPr>
          <w:r>
            <w:fldChar w:fldCharType="begin"/>
          </w:r>
          <w:r>
            <w:instrText xml:space="preserve"> styleref CharDivText </w:instrText>
          </w:r>
          <w:r>
            <w:fldChar w:fldCharType="end"/>
          </w:r>
        </w:p>
      </w:tc>
      <w:tc>
        <w:tcPr>
          <w:tcW w:w="1548" w:type="dxa"/>
        </w:tcPr>
        <w:p w:rsidR="005558CC" w:rsidRDefault="005743F0">
          <w:pPr>
            <w:pStyle w:val="Header"/>
            <w:spacing w:before="40"/>
            <w:ind w:right="17"/>
            <w:jc w:val="right"/>
          </w:pPr>
          <w:r>
            <w:rPr>
              <w:b/>
            </w:rPr>
            <w:fldChar w:fldCharType="begin"/>
          </w:r>
          <w:r>
            <w:rPr>
              <w:b/>
            </w:rPr>
            <w:instrText xml:space="preserve"> styleref CharDivNo </w:instrText>
          </w:r>
          <w:r>
            <w:rPr>
              <w:b/>
            </w:rPr>
            <w:fldChar w:fldCharType="end"/>
          </w:r>
        </w:p>
      </w:tc>
    </w:tr>
    <w:tr w:rsidR="005558CC" w:rsidTr="00FB0B4E">
      <w:trPr>
        <w:cantSplit/>
        <w:jc w:val="center"/>
      </w:trPr>
      <w:tc>
        <w:tcPr>
          <w:tcW w:w="7263" w:type="dxa"/>
          <w:gridSpan w:val="2"/>
        </w:tcPr>
        <w:p w:rsidR="005558CC" w:rsidRDefault="005743F0">
          <w:pPr>
            <w:pStyle w:val="Header"/>
            <w:spacing w:before="40"/>
            <w:ind w:right="17"/>
            <w:jc w:val="right"/>
          </w:pPr>
          <w:r>
            <w:rPr>
              <w:b/>
            </w:rPr>
            <w:t xml:space="preserve">s. </w:t>
          </w:r>
          <w:r>
            <w:rPr>
              <w:b/>
            </w:rPr>
            <w:fldChar w:fldCharType="begin"/>
          </w:r>
          <w:r>
            <w:rPr>
              <w:b/>
            </w:rPr>
            <w:instrText>styleref CharSectno</w:instrText>
          </w:r>
          <w:r>
            <w:rPr>
              <w:b/>
            </w:rPr>
            <w:fldChar w:fldCharType="separate"/>
          </w:r>
          <w:r w:rsidR="00B66034">
            <w:rPr>
              <w:b/>
            </w:rPr>
            <w:t>1</w:t>
          </w:r>
          <w:r>
            <w:rPr>
              <w:b/>
            </w:rPr>
            <w:fldChar w:fldCharType="end"/>
          </w:r>
        </w:p>
      </w:tc>
    </w:tr>
  </w:tbl>
  <w:p w:rsidR="005558CC" w:rsidRDefault="005558CC">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rsidR="005558CC" w:rsidTr="00FB0B4E">
      <w:trPr>
        <w:cantSplit/>
        <w:jc w:val="center"/>
      </w:trPr>
      <w:tc>
        <w:tcPr>
          <w:tcW w:w="7312" w:type="dxa"/>
          <w:gridSpan w:val="2"/>
        </w:tcPr>
        <w:p w:rsidR="005558CC" w:rsidRDefault="005743F0">
          <w:pPr>
            <w:pStyle w:val="Header"/>
          </w:pPr>
          <w:r>
            <w:rPr>
              <w:b/>
              <w:i/>
            </w:rPr>
            <w:fldChar w:fldCharType="begin"/>
          </w:r>
          <w:r>
            <w:rPr>
              <w:b/>
              <w:i/>
            </w:rPr>
            <w:instrText xml:space="preserve"> STYLEREF "Name of Act/Reg" </w:instrText>
          </w:r>
          <w:r>
            <w:rPr>
              <w:b/>
              <w:i/>
            </w:rPr>
            <w:fldChar w:fldCharType="separate"/>
          </w:r>
          <w:r w:rsidR="00B66034">
            <w:rPr>
              <w:b/>
              <w:i/>
            </w:rPr>
            <w:t>Sale of Land Act 1970</w:t>
          </w:r>
          <w:r>
            <w:rPr>
              <w:b/>
              <w:i/>
            </w:rPr>
            <w:fldChar w:fldCharType="end"/>
          </w:r>
        </w:p>
      </w:tc>
    </w:tr>
    <w:tr w:rsidR="005558CC" w:rsidTr="00FB0B4E">
      <w:trPr>
        <w:jc w:val="center"/>
      </w:trPr>
      <w:tc>
        <w:tcPr>
          <w:tcW w:w="1548" w:type="dxa"/>
        </w:tcPr>
        <w:p w:rsidR="005558CC" w:rsidRDefault="005743F0">
          <w:pPr>
            <w:pStyle w:val="Header"/>
            <w:spacing w:before="40"/>
          </w:pPr>
          <w:r>
            <w:rPr>
              <w:b/>
            </w:rPr>
            <w:fldChar w:fldCharType="begin"/>
          </w:r>
          <w:r>
            <w:rPr>
              <w:b/>
            </w:rPr>
            <w:instrText xml:space="preserve"> STYLEREF "nHeading 2" </w:instrText>
          </w:r>
          <w:r>
            <w:rPr>
              <w:b/>
            </w:rPr>
            <w:fldChar w:fldCharType="separate"/>
          </w:r>
          <w:r w:rsidR="00B66034">
            <w:rPr>
              <w:b/>
            </w:rPr>
            <w:t>Notes</w:t>
          </w:r>
          <w:r>
            <w:rPr>
              <w:b/>
            </w:rPr>
            <w:fldChar w:fldCharType="end"/>
          </w:r>
        </w:p>
      </w:tc>
      <w:tc>
        <w:tcPr>
          <w:tcW w:w="5764" w:type="dxa"/>
        </w:tcPr>
        <w:p w:rsidR="005558CC" w:rsidRDefault="005743F0">
          <w:pPr>
            <w:pStyle w:val="Header"/>
            <w:spacing w:before="40"/>
          </w:pPr>
          <w:r>
            <w:fldChar w:fldCharType="begin"/>
          </w:r>
          <w:r>
            <w:instrText xml:space="preserve"> STYLEREF "nHeading 3" </w:instrText>
          </w:r>
          <w:r>
            <w:fldChar w:fldCharType="separate"/>
          </w:r>
          <w:r w:rsidR="00B66034">
            <w:t>Compilation table</w:t>
          </w:r>
          <w:r>
            <w:fldChar w:fldCharType="end"/>
          </w:r>
        </w:p>
      </w:tc>
    </w:tr>
    <w:tr w:rsidR="005558CC" w:rsidTr="00FB0B4E">
      <w:trPr>
        <w:jc w:val="center"/>
      </w:trPr>
      <w:tc>
        <w:tcPr>
          <w:tcW w:w="1548" w:type="dxa"/>
        </w:tcPr>
        <w:p w:rsidR="005558CC" w:rsidRDefault="005558CC">
          <w:pPr>
            <w:pStyle w:val="Header"/>
            <w:spacing w:before="40"/>
          </w:pPr>
        </w:p>
      </w:tc>
      <w:tc>
        <w:tcPr>
          <w:tcW w:w="5764" w:type="dxa"/>
        </w:tcPr>
        <w:p w:rsidR="005558CC" w:rsidRDefault="005558CC">
          <w:pPr>
            <w:pStyle w:val="Header"/>
            <w:spacing w:before="40"/>
          </w:pPr>
        </w:p>
      </w:tc>
    </w:tr>
    <w:tr w:rsidR="005558CC" w:rsidTr="00FB0B4E">
      <w:trPr>
        <w:cantSplit/>
        <w:jc w:val="center"/>
      </w:trPr>
      <w:tc>
        <w:tcPr>
          <w:tcW w:w="7312" w:type="dxa"/>
          <w:gridSpan w:val="2"/>
        </w:tcPr>
        <w:p w:rsidR="005558CC" w:rsidRDefault="005558CC">
          <w:pPr>
            <w:pStyle w:val="Header"/>
            <w:spacing w:before="40"/>
          </w:pPr>
        </w:p>
      </w:tc>
    </w:tr>
  </w:tbl>
  <w:p w:rsidR="005558CC" w:rsidRDefault="005558CC">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rsidR="005558CC" w:rsidTr="00FB0B4E">
      <w:trPr>
        <w:cantSplit/>
        <w:jc w:val="center"/>
      </w:trPr>
      <w:tc>
        <w:tcPr>
          <w:tcW w:w="7312" w:type="dxa"/>
          <w:gridSpan w:val="2"/>
        </w:tcPr>
        <w:p w:rsidR="005558CC" w:rsidRDefault="005743F0">
          <w:pPr>
            <w:pStyle w:val="Header"/>
            <w:ind w:right="17"/>
            <w:jc w:val="right"/>
          </w:pPr>
          <w:r>
            <w:rPr>
              <w:b/>
              <w:i/>
            </w:rPr>
            <w:fldChar w:fldCharType="begin"/>
          </w:r>
          <w:r>
            <w:rPr>
              <w:b/>
              <w:i/>
            </w:rPr>
            <w:instrText xml:space="preserve"> STYLEREF "Name of Act/Reg" </w:instrText>
          </w:r>
          <w:r>
            <w:rPr>
              <w:b/>
              <w:i/>
            </w:rPr>
            <w:fldChar w:fldCharType="separate"/>
          </w:r>
          <w:r w:rsidR="00B66034">
            <w:rPr>
              <w:b/>
              <w:i/>
            </w:rPr>
            <w:t>Sale of Land Act 1970</w:t>
          </w:r>
          <w:r>
            <w:rPr>
              <w:b/>
              <w:i/>
            </w:rPr>
            <w:fldChar w:fldCharType="end"/>
          </w:r>
        </w:p>
      </w:tc>
    </w:tr>
    <w:tr w:rsidR="005558CC" w:rsidTr="00FB0B4E">
      <w:trPr>
        <w:jc w:val="center"/>
      </w:trPr>
      <w:tc>
        <w:tcPr>
          <w:tcW w:w="5760" w:type="dxa"/>
        </w:tcPr>
        <w:p w:rsidR="005558CC" w:rsidRDefault="005743F0">
          <w:pPr>
            <w:pStyle w:val="Header"/>
            <w:spacing w:before="40"/>
            <w:jc w:val="right"/>
          </w:pPr>
          <w:r>
            <w:fldChar w:fldCharType="begin"/>
          </w:r>
          <w:r>
            <w:instrText xml:space="preserve"> STYLEREF "nHeading 3" </w:instrText>
          </w:r>
          <w:r>
            <w:fldChar w:fldCharType="separate"/>
          </w:r>
          <w:r w:rsidR="00B66034">
            <w:t>Compilation table</w:t>
          </w:r>
          <w:r>
            <w:fldChar w:fldCharType="end"/>
          </w:r>
        </w:p>
      </w:tc>
      <w:tc>
        <w:tcPr>
          <w:tcW w:w="1552" w:type="dxa"/>
        </w:tcPr>
        <w:p w:rsidR="005558CC" w:rsidRDefault="005743F0">
          <w:pPr>
            <w:pStyle w:val="Header"/>
            <w:spacing w:before="40"/>
            <w:ind w:right="17"/>
            <w:jc w:val="right"/>
          </w:pPr>
          <w:r>
            <w:rPr>
              <w:b/>
            </w:rPr>
            <w:fldChar w:fldCharType="begin"/>
          </w:r>
          <w:r>
            <w:rPr>
              <w:b/>
            </w:rPr>
            <w:instrText xml:space="preserve"> STYLEREF "nHeading 2" </w:instrText>
          </w:r>
          <w:r>
            <w:rPr>
              <w:b/>
            </w:rPr>
            <w:fldChar w:fldCharType="separate"/>
          </w:r>
          <w:r w:rsidR="00B66034">
            <w:rPr>
              <w:b/>
            </w:rPr>
            <w:t>Notes</w:t>
          </w:r>
          <w:r>
            <w:rPr>
              <w:b/>
            </w:rPr>
            <w:fldChar w:fldCharType="end"/>
          </w:r>
        </w:p>
      </w:tc>
    </w:tr>
    <w:tr w:rsidR="005558CC" w:rsidTr="00FB0B4E">
      <w:trPr>
        <w:jc w:val="center"/>
      </w:trPr>
      <w:tc>
        <w:tcPr>
          <w:tcW w:w="5760" w:type="dxa"/>
        </w:tcPr>
        <w:p w:rsidR="005558CC" w:rsidRDefault="005558CC">
          <w:pPr>
            <w:pStyle w:val="Header"/>
            <w:spacing w:before="40"/>
            <w:jc w:val="right"/>
          </w:pPr>
        </w:p>
      </w:tc>
      <w:tc>
        <w:tcPr>
          <w:tcW w:w="1552" w:type="dxa"/>
        </w:tcPr>
        <w:p w:rsidR="005558CC" w:rsidRDefault="005558CC">
          <w:pPr>
            <w:pStyle w:val="Header"/>
            <w:spacing w:before="40"/>
            <w:ind w:right="17"/>
            <w:jc w:val="right"/>
          </w:pPr>
        </w:p>
      </w:tc>
    </w:tr>
    <w:tr w:rsidR="005558CC" w:rsidTr="00FB0B4E">
      <w:trPr>
        <w:cantSplit/>
        <w:jc w:val="center"/>
      </w:trPr>
      <w:tc>
        <w:tcPr>
          <w:tcW w:w="7312" w:type="dxa"/>
          <w:gridSpan w:val="2"/>
        </w:tcPr>
        <w:p w:rsidR="005558CC" w:rsidRDefault="005558CC">
          <w:pPr>
            <w:pStyle w:val="Header"/>
            <w:spacing w:before="40"/>
            <w:ind w:right="17"/>
            <w:jc w:val="right"/>
          </w:pPr>
        </w:p>
      </w:tc>
    </w:tr>
  </w:tbl>
  <w:p w:rsidR="005558CC" w:rsidRDefault="005558CC">
    <w:pPr>
      <w:pStyle w:val="Header"/>
      <w:pBdr>
        <w:top w:val="single" w:sz="4" w:space="1" w:color="auto"/>
      </w:pBdr>
    </w:pPr>
    <w:bookmarkStart w:id="67" w:name="Compilation"/>
    <w:bookmarkEnd w:id="6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5558CC" w:rsidTr="00FB0B4E">
      <w:trPr>
        <w:cantSplit/>
        <w:jc w:val="center"/>
      </w:trPr>
      <w:tc>
        <w:tcPr>
          <w:tcW w:w="7263" w:type="dxa"/>
          <w:gridSpan w:val="2"/>
        </w:tcPr>
        <w:p w:rsidR="005558CC" w:rsidRDefault="005743F0">
          <w:pPr>
            <w:pStyle w:val="Header"/>
          </w:pPr>
          <w:r>
            <w:rPr>
              <w:b/>
              <w:i/>
            </w:rPr>
            <w:fldChar w:fldCharType="begin"/>
          </w:r>
          <w:r>
            <w:rPr>
              <w:b/>
              <w:i/>
            </w:rPr>
            <w:instrText xml:space="preserve"> STYLEREF "Name of Act/Reg" </w:instrText>
          </w:r>
          <w:r>
            <w:rPr>
              <w:b/>
              <w:i/>
            </w:rPr>
            <w:fldChar w:fldCharType="separate"/>
          </w:r>
          <w:r w:rsidR="00B66034">
            <w:rPr>
              <w:b/>
              <w:i/>
            </w:rPr>
            <w:t>Sale of Land Act 1970</w:t>
          </w:r>
          <w:r>
            <w:rPr>
              <w:b/>
              <w:i/>
            </w:rPr>
            <w:fldChar w:fldCharType="end"/>
          </w:r>
        </w:p>
      </w:tc>
    </w:tr>
    <w:tr w:rsidR="005558CC" w:rsidTr="00FB0B4E">
      <w:trPr>
        <w:jc w:val="center"/>
      </w:trPr>
      <w:tc>
        <w:tcPr>
          <w:tcW w:w="1348" w:type="dxa"/>
        </w:tcPr>
        <w:p w:rsidR="005558CC" w:rsidRDefault="005558CC">
          <w:pPr>
            <w:pStyle w:val="Header"/>
            <w:spacing w:before="40"/>
          </w:pPr>
        </w:p>
      </w:tc>
      <w:tc>
        <w:tcPr>
          <w:tcW w:w="5915" w:type="dxa"/>
        </w:tcPr>
        <w:p w:rsidR="005558CC" w:rsidRDefault="005558CC">
          <w:pPr>
            <w:pStyle w:val="Header"/>
            <w:spacing w:before="40"/>
          </w:pPr>
        </w:p>
      </w:tc>
    </w:tr>
    <w:tr w:rsidR="005558CC" w:rsidTr="00FB0B4E">
      <w:trPr>
        <w:jc w:val="center"/>
      </w:trPr>
      <w:tc>
        <w:tcPr>
          <w:tcW w:w="1348" w:type="dxa"/>
        </w:tcPr>
        <w:p w:rsidR="005558CC" w:rsidRDefault="005558CC">
          <w:pPr>
            <w:pStyle w:val="Header"/>
            <w:spacing w:before="40"/>
          </w:pPr>
        </w:p>
      </w:tc>
      <w:tc>
        <w:tcPr>
          <w:tcW w:w="5915" w:type="dxa"/>
        </w:tcPr>
        <w:p w:rsidR="005558CC" w:rsidRDefault="005558CC">
          <w:pPr>
            <w:pStyle w:val="Header"/>
            <w:spacing w:before="40"/>
          </w:pPr>
        </w:p>
      </w:tc>
    </w:tr>
    <w:tr w:rsidR="005558CC" w:rsidTr="00FB0B4E">
      <w:trPr>
        <w:cantSplit/>
        <w:jc w:val="center"/>
      </w:trPr>
      <w:tc>
        <w:tcPr>
          <w:tcW w:w="7263" w:type="dxa"/>
          <w:gridSpan w:val="2"/>
        </w:tcPr>
        <w:p w:rsidR="005558CC" w:rsidRDefault="005743F0">
          <w:pPr>
            <w:pStyle w:val="Header"/>
            <w:spacing w:before="40"/>
          </w:pPr>
          <w:r>
            <w:t>Defined terms</w:t>
          </w:r>
        </w:p>
      </w:tc>
    </w:tr>
  </w:tbl>
  <w:p w:rsidR="005558CC" w:rsidRDefault="005558CC">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5558CC" w:rsidTr="00FB0B4E">
      <w:trPr>
        <w:cantSplit/>
        <w:jc w:val="center"/>
      </w:trPr>
      <w:tc>
        <w:tcPr>
          <w:tcW w:w="7263" w:type="dxa"/>
          <w:gridSpan w:val="2"/>
        </w:tcPr>
        <w:p w:rsidR="005558CC" w:rsidRDefault="005743F0">
          <w:pPr>
            <w:pStyle w:val="Header"/>
            <w:spacing w:before="40"/>
            <w:ind w:right="17"/>
            <w:jc w:val="right"/>
          </w:pPr>
          <w:r>
            <w:rPr>
              <w:b/>
              <w:i/>
            </w:rPr>
            <w:fldChar w:fldCharType="begin"/>
          </w:r>
          <w:r>
            <w:rPr>
              <w:b/>
              <w:i/>
            </w:rPr>
            <w:instrText xml:space="preserve"> STYLEREF "Name of Act/Reg" </w:instrText>
          </w:r>
          <w:r>
            <w:rPr>
              <w:b/>
              <w:i/>
            </w:rPr>
            <w:fldChar w:fldCharType="separate"/>
          </w:r>
          <w:r w:rsidR="00B66034">
            <w:rPr>
              <w:b/>
              <w:i/>
            </w:rPr>
            <w:t>Sale of Land Act 1970</w:t>
          </w:r>
          <w:r>
            <w:rPr>
              <w:b/>
              <w:i/>
            </w:rPr>
            <w:fldChar w:fldCharType="end"/>
          </w:r>
        </w:p>
      </w:tc>
    </w:tr>
    <w:tr w:rsidR="005558CC" w:rsidTr="00FB0B4E">
      <w:trPr>
        <w:jc w:val="center"/>
      </w:trPr>
      <w:tc>
        <w:tcPr>
          <w:tcW w:w="5884" w:type="dxa"/>
        </w:tcPr>
        <w:p w:rsidR="005558CC" w:rsidRDefault="005558CC">
          <w:pPr>
            <w:pStyle w:val="Header"/>
            <w:spacing w:before="40"/>
            <w:jc w:val="right"/>
          </w:pPr>
        </w:p>
      </w:tc>
      <w:tc>
        <w:tcPr>
          <w:tcW w:w="1379" w:type="dxa"/>
        </w:tcPr>
        <w:p w:rsidR="005558CC" w:rsidRDefault="005558CC">
          <w:pPr>
            <w:pStyle w:val="Header"/>
            <w:spacing w:before="40"/>
            <w:ind w:right="17"/>
            <w:jc w:val="right"/>
          </w:pPr>
        </w:p>
      </w:tc>
    </w:tr>
    <w:tr w:rsidR="005558CC" w:rsidTr="00FB0B4E">
      <w:trPr>
        <w:jc w:val="center"/>
      </w:trPr>
      <w:tc>
        <w:tcPr>
          <w:tcW w:w="5884" w:type="dxa"/>
        </w:tcPr>
        <w:p w:rsidR="005558CC" w:rsidRDefault="005558CC">
          <w:pPr>
            <w:pStyle w:val="Header"/>
            <w:spacing w:before="40"/>
            <w:jc w:val="right"/>
          </w:pPr>
        </w:p>
      </w:tc>
      <w:tc>
        <w:tcPr>
          <w:tcW w:w="1379" w:type="dxa"/>
        </w:tcPr>
        <w:p w:rsidR="005558CC" w:rsidRDefault="005558CC">
          <w:pPr>
            <w:pStyle w:val="Header"/>
            <w:spacing w:before="40"/>
            <w:ind w:right="17"/>
            <w:jc w:val="right"/>
          </w:pPr>
        </w:p>
      </w:tc>
    </w:tr>
    <w:tr w:rsidR="005558CC" w:rsidTr="00FB0B4E">
      <w:trPr>
        <w:cantSplit/>
        <w:jc w:val="center"/>
      </w:trPr>
      <w:tc>
        <w:tcPr>
          <w:tcW w:w="7263" w:type="dxa"/>
          <w:gridSpan w:val="2"/>
        </w:tcPr>
        <w:p w:rsidR="005558CC" w:rsidRDefault="005743F0">
          <w:pPr>
            <w:pStyle w:val="Header"/>
            <w:spacing w:before="40"/>
            <w:ind w:right="17"/>
            <w:jc w:val="right"/>
          </w:pPr>
          <w:r>
            <w:t>Defined terms</w:t>
          </w:r>
        </w:p>
      </w:tc>
    </w:tr>
  </w:tbl>
  <w:p w:rsidR="005558CC" w:rsidRDefault="005558CC">
    <w:pPr>
      <w:pStyle w:val="Header"/>
      <w:pBdr>
        <w:top w:val="single" w:sz="4" w:space="1" w:color="auto"/>
      </w:pBdr>
    </w:pPr>
    <w:bookmarkStart w:id="71" w:name="DefinedTerms"/>
    <w:bookmarkEnd w:id="71"/>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58CC" w:rsidRDefault="005558CC">
    <w:pPr>
      <w:pStyle w:val="Header"/>
    </w:pPr>
    <w:bookmarkStart w:id="72" w:name="Coversheet"/>
    <w:bookmarkEnd w:id="7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AC28FF8C"/>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8"/>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615132739"/>
    <w:docVar w:name="WAFER_20140131143057" w:val="RemoveTocBookmarks,RemoveUnusedBookmarks,RemoveLanguageTags,UsedStyles,ResetPageSize,UpdateArrangement"/>
    <w:docVar w:name="WAFER_20140131143057_GUID" w:val="004ba396-962f-430e-b107-07139ae09822"/>
    <w:docVar w:name="WAFER_20140131145939" w:val="RemoveTocBookmarks,RunningHeaders"/>
    <w:docVar w:name="WAFER_20140131145939_GUID" w:val="95ad616f-4028-4178-8b5d-ea94fa7dd645"/>
    <w:docVar w:name="WAFER_20150710152918" w:val="ResetPageSize,UpdateArrangement,UpdateNTable"/>
    <w:docVar w:name="WAFER_20150710152918_GUID" w:val="5a17aacc-f18e-48d3-b505-36d201b5a35a"/>
    <w:docVar w:name="WAFER_20151109160131" w:val="UpdateStyles,UsedStyles"/>
    <w:docVar w:name="WAFER_20151109160131_GUID" w:val="0899a16c-05d1-4e58-bda7-2756fdacf8d4"/>
    <w:docVar w:name="WAFER_20170329155712" w:val="RemoveTocBookmarks,RemoveUnusedBookmarks,RemoveLanguageTags,UsedStyles,ResetPageSize"/>
    <w:docVar w:name="WAFER_20170329155712_GUID" w:val="1f827c2c-9ebb-402d-af56-ae5964ef6eed"/>
    <w:docVar w:name="WAFER_20181121111504" w:val="RemoveTocBookmarks,RemoveUnusedBookmarks,RemoveLanguageTags,UsedStyles,ResetPageSize"/>
    <w:docVar w:name="WAFER_20181121111504_GUID" w:val="b17e870c-b5de-44a8-aaa1-b1a7c10f5a90"/>
    <w:docVar w:name="WAFER_20200212145210"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45210_GUID" w:val="8a911fd8-0de7-467e-8a59-d7dedc64639c"/>
    <w:docVar w:name="WAFER_20200220111930" w:val="RemoveTocBookmarks.RemoveBookmarks,RemoveUnusedBookmarks.RemoveBookmarks,RemoveLanguageTags.RemoveTags,RemoveSmartTags.RemoveTags,ResetPageSize.Reset,RunningHeaders.Run,UpdateStyles.ProcessFixes,UpdateStyles.ProcessFixes,RemoveIncorrectStyles.ProcessStyles"/>
    <w:docVar w:name="WAFER_20200220111930_GUID" w:val="7355aa9e-bc5b-4b21-9c8d-0d1c461431cc"/>
    <w:docVar w:name="WAFER_202012100857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10085713_GUID" w:val="084c6b3f-e857-4deb-a8c6-aa523761a92e"/>
    <w:docVar w:name="WAFER_20210615132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32739_GUID" w:val="848246c8-f750-4c94-9c05-9af539f93343"/>
  </w:docVars>
  <w:rsids>
    <w:rsidRoot w:val="005558CC"/>
    <w:rsid w:val="002667C1"/>
    <w:rsid w:val="005558CC"/>
    <w:rsid w:val="005743F0"/>
    <w:rsid w:val="008C73B0"/>
    <w:rsid w:val="00AE5BAD"/>
    <w:rsid w:val="00B66034"/>
    <w:rsid w:val="00C85007"/>
    <w:rsid w:val="00FB0B4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5:docId w15:val="{BB591EFB-3553-4A28-A958-F9D721EA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character" w:customStyle="1" w:styleId="CharSDivNo">
    <w:name w:val="CharSDivNo"/>
    <w:basedOn w:val="DefaultParagraphFont"/>
    <w:rPr>
      <w:sz w:val="24"/>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720"/>
        <w:tab w:val="num" w:pos="360"/>
      </w:tabs>
      <w:ind w:left="0" w:firstLine="0"/>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tabs>
        <w:tab w:val="clear" w:pos="1800"/>
        <w:tab w:val="num" w:pos="360"/>
      </w:tabs>
      <w:ind w:left="0" w:firstLine="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720"/>
        <w:tab w:val="num" w:pos="360"/>
      </w:tabs>
      <w:ind w:left="0" w:firstLine="0"/>
    </w:pPr>
  </w:style>
  <w:style w:type="paragraph" w:styleId="ListNumber3">
    <w:name w:val="List Number 3"/>
    <w:basedOn w:val="Normal"/>
    <w:semiHidden/>
    <w:pPr>
      <w:numPr>
        <w:numId w:val="10"/>
      </w:numPr>
      <w:tabs>
        <w:tab w:val="clear" w:pos="1080"/>
        <w:tab w:val="num" w:pos="360"/>
      </w:tabs>
      <w:ind w:left="0" w:firstLine="0"/>
    </w:pPr>
  </w:style>
  <w:style w:type="paragraph" w:styleId="ListNumber4">
    <w:name w:val="List Number 4"/>
    <w:basedOn w:val="Normal"/>
    <w:semiHidden/>
    <w:pPr>
      <w:numPr>
        <w:numId w:val="11"/>
      </w:numPr>
      <w:tabs>
        <w:tab w:val="clear" w:pos="1440"/>
        <w:tab w:val="num" w:pos="360"/>
      </w:tabs>
      <w:ind w:left="0" w:firstLine="0"/>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2.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1.xm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28" Type="http://schemas.openxmlformats.org/officeDocument/2006/relationships/header" Target="header15.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4.xml"/><Relationship Id="rId30" Type="http://schemas.openxmlformats.org/officeDocument/2006/relationships/footer" Target="footer8.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8814</Words>
  <Characters>40636</Characters>
  <Application>Microsoft Office Word</Application>
  <DocSecurity>0</DocSecurity>
  <Lines>1161</Lines>
  <Paragraphs>642</Paragraphs>
  <ScaleCrop>false</ScaleCrop>
  <HeadingPairs>
    <vt:vector size="2" baseType="variant">
      <vt:variant>
        <vt:lpstr>Title</vt:lpstr>
      </vt:variant>
      <vt:variant>
        <vt:i4>1</vt:i4>
      </vt:variant>
    </vt:vector>
  </HeadingPairs>
  <TitlesOfParts>
    <vt:vector size="1" baseType="lpstr">
      <vt:lpstr>Sale of Land Act 1970</vt:lpstr>
    </vt:vector>
  </TitlesOfParts>
  <Manager/>
  <Company/>
  <LinksUpToDate>false</LinksUpToDate>
  <CharactersWithSpaces>48808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1970 - 03-l0-01</dc:title>
  <dc:subject/>
  <dc:creator/>
  <cp:keywords/>
  <dc:description/>
  <cp:lastModifiedBy>Master Repository Process</cp:lastModifiedBy>
  <cp:revision>4</cp:revision>
  <cp:lastPrinted>2006-05-18T02:51:00Z</cp:lastPrinted>
  <dcterms:created xsi:type="dcterms:W3CDTF">2021-06-18T06:44:00Z</dcterms:created>
  <dcterms:modified xsi:type="dcterms:W3CDTF">2021-06-18T06:44:00Z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DocumentType">
    <vt:lpwstr>Act</vt:lpwstr>
  </property>
  <property fmtid="{D5CDD505-2E9C-101B-9397-08002B2CF9AE}" pid="4" name="OwlsUID">
    <vt:i4>728</vt:i4>
  </property>
  <property fmtid="{D5CDD505-2E9C-101B-9397-08002B2CF9AE}" pid="5" name="ReprintNo">
    <vt:lpwstr>3</vt:lpwstr>
  </property>
  <property fmtid="{D5CDD505-2E9C-101B-9397-08002B2CF9AE}" pid="6" name="AsAtDate">
    <vt:lpwstr>09 Dec 2020</vt:lpwstr>
  </property>
  <property fmtid="{D5CDD505-2E9C-101B-9397-08002B2CF9AE}" pid="7" name="Suffix">
    <vt:lpwstr>03-l0-01</vt:lpwstr>
  </property>
  <property fmtid="{D5CDD505-2E9C-101B-9397-08002B2CF9AE}" pid="8" name="CommencementDate">
    <vt:lpwstr>20201209</vt:lpwstr>
  </property>
</Properties>
</file>