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_Toc77337127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_Toc77337128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_Toc77337129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_Toc77337130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_Toc77337131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_Toc77337132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_Toc77337133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_Toc77337134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_Toc77337136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_Toc77337137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_Toc77337139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_Toc77337140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_Toc77337142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_Toc77337143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_Toc77337144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_Toc77337145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_Toc77337146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_Toc77337147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_Toc77337148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_Toc77337149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_Toc77337151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_Toc77337152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_Toc77337153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_Toc77337154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_Toc77337155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_Toc77337156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_Toc77337157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_Toc77337158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_Toc77337161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_Toc77337162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_Toc77337163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_Toc77337164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_Toc77337166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_Toc77337167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_Toc77337168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_Toc77337169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_Toc77337170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_Toc77337172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_Toc77337173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_Toc77337174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_Toc77337175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_Toc77337176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_Toc77337177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_Toc77337178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_Toc77337179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_Toc77337181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_Toc77337182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_Toc77337183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_Toc77337184 \h </w:instrText>
      </w:r>
      <w:r>
        <w:fldChar w:fldCharType="separate"/>
      </w:r>
      <w:r>
        <w:t>49</w:t>
      </w:r>
      <w:r>
        <w:fldChar w:fldCharType="end"/>
      </w:r>
    </w:p>
    <w:p>
      <w:pPr>
        <w:pStyle w:val="TOC8"/>
        <w:rPr>
          <w:rFonts w:asciiTheme="minorHAnsi" w:eastAsiaTheme="minorEastAsia" w:hAnsiTheme="minorHAnsi" w:cstheme="minorBidi"/>
          <w:szCs w:val="22"/>
        </w:rPr>
      </w:pPr>
      <w:r>
        <w:lastRenderedPageBreak/>
        <w:t>80.</w:t>
      </w:r>
      <w:r>
        <w:tab/>
        <w:t>Annual reports</w:t>
      </w:r>
      <w:r>
        <w:tab/>
      </w:r>
      <w:r>
        <w:fldChar w:fldCharType="begin"/>
      </w:r>
      <w:r>
        <w:instrText xml:space="preserve"> PAGEREF _Toc77337185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_Toc77337186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_Toc77337187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_Toc77337189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_Toc77337190 \h </w:instrText>
      </w:r>
      <w:r>
        <w:fldChar w:fldCharType="separate"/>
      </w:r>
      <w:r>
        <w:t>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_Toc77337191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3" w:name="_Toc77249835"/>
      <w:bookmarkStart w:id="4" w:name="_Toc77249902"/>
      <w:bookmarkStart w:id="5" w:name="_Toc77337126"/>
      <w:r>
        <w:rPr>
          <w:rStyle w:val="CharPartNo"/>
        </w:rPr>
        <w:lastRenderedPageBreak/>
        <w:t>Part 1</w:t>
      </w:r>
      <w:r>
        <w:rPr>
          <w:b w:val="0"/>
        </w:rPr>
        <w:t> </w:t>
      </w:r>
      <w:r>
        <w:t>—</w:t>
      </w:r>
      <w:r>
        <w:rPr>
          <w:b w:val="0"/>
        </w:rPr>
        <w:t> </w:t>
      </w:r>
      <w:r>
        <w:rPr>
          <w:rStyle w:val="CharPartText"/>
        </w:rPr>
        <w:t>Preliminary</w:t>
      </w:r>
      <w:bookmarkEnd w:id="3"/>
      <w:bookmarkEnd w:id="4"/>
      <w:bookmarkEnd w:id="5"/>
    </w:p>
    <w:p>
      <w:pPr>
        <w:pStyle w:val="Footnoteheading"/>
      </w:pPr>
      <w:r>
        <w:tab/>
        <w:t>[Heading inserted: No. 38 of 2007 s. 142.]</w:t>
      </w:r>
    </w:p>
    <w:p>
      <w:pPr>
        <w:pStyle w:val="Heading5"/>
        <w:rPr>
          <w:snapToGrid w:val="0"/>
        </w:rPr>
      </w:pPr>
      <w:bookmarkStart w:id="6" w:name="_Toc77337127"/>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7" w:name="_Toc77337128"/>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8" w:name="_Toc77337129"/>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lastRenderedPageBreak/>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w:t>
      </w:r>
      <w:r>
        <w:lastRenderedPageBreak/>
        <w:t>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9" w:name="_Toc77337130"/>
      <w:r>
        <w:rPr>
          <w:rStyle w:val="CharSectno"/>
        </w:rPr>
        <w:t>4</w:t>
      </w:r>
      <w:r>
        <w:rPr>
          <w:snapToGrid w:val="0"/>
        </w:rPr>
        <w:t>.</w:t>
      </w:r>
      <w:r>
        <w:rPr>
          <w:snapToGrid w:val="0"/>
        </w:rPr>
        <w:tab/>
        <w:t>Repeal and transitional provisions</w:t>
      </w:r>
      <w:bookmarkEnd w:id="9"/>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w:t>
      </w:r>
      <w:r>
        <w:rPr>
          <w:snapToGrid w:val="0"/>
        </w:rPr>
        <w:lastRenderedPageBreak/>
        <w:t xml:space="preserve">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0" w:name="_Toc77337131"/>
      <w:r>
        <w:rPr>
          <w:rStyle w:val="CharSectno"/>
        </w:rPr>
        <w:t>5</w:t>
      </w:r>
      <w:r>
        <w:rPr>
          <w:snapToGrid w:val="0"/>
        </w:rPr>
        <w:t>.</w:t>
      </w:r>
      <w:r>
        <w:rPr>
          <w:snapToGrid w:val="0"/>
        </w:rPr>
        <w:tab/>
        <w:t>Construction of this Act</w:t>
      </w:r>
      <w:bookmarkEnd w:id="10"/>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lastRenderedPageBreak/>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lastRenderedPageBreak/>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1" w:name="_Toc77337132"/>
      <w:r>
        <w:rPr>
          <w:rStyle w:val="CharSectno"/>
        </w:rPr>
        <w:t>6</w:t>
      </w:r>
      <w:r>
        <w:rPr>
          <w:snapToGrid w:val="0"/>
        </w:rPr>
        <w:t>.</w:t>
      </w:r>
      <w:r>
        <w:rPr>
          <w:snapToGrid w:val="0"/>
        </w:rPr>
        <w:tab/>
        <w:t>Crown bound</w:t>
      </w:r>
      <w:bookmarkEnd w:id="11"/>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2" w:name="_Toc77337133"/>
      <w:r>
        <w:rPr>
          <w:rStyle w:val="CharSectno"/>
        </w:rPr>
        <w:t>7</w:t>
      </w:r>
      <w:r>
        <w:rPr>
          <w:snapToGrid w:val="0"/>
        </w:rPr>
        <w:t>.</w:t>
      </w:r>
      <w:r>
        <w:rPr>
          <w:snapToGrid w:val="0"/>
        </w:rPr>
        <w:tab/>
        <w:t>Saving of rights at law</w:t>
      </w:r>
      <w:bookmarkEnd w:id="1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3" w:name="_Toc77337134"/>
      <w:r>
        <w:rPr>
          <w:rStyle w:val="CharSectno"/>
        </w:rPr>
        <w:t>8</w:t>
      </w:r>
      <w:r>
        <w:rPr>
          <w:snapToGrid w:val="0"/>
        </w:rPr>
        <w:t>.</w:t>
      </w:r>
      <w:r>
        <w:rPr>
          <w:snapToGrid w:val="0"/>
        </w:rPr>
        <w:tab/>
        <w:t>Exemptions</w:t>
      </w:r>
      <w:bookmarkEnd w:id="13"/>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lastRenderedPageBreak/>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14" w:name="_Toc77249844"/>
      <w:bookmarkStart w:id="15" w:name="_Toc77249911"/>
      <w:bookmarkStart w:id="16" w:name="_Toc77337135"/>
      <w:r>
        <w:rPr>
          <w:rStyle w:val="CharPartNo"/>
        </w:rPr>
        <w:lastRenderedPageBreak/>
        <w:t>Part 2</w:t>
      </w:r>
      <w:r>
        <w:rPr>
          <w:b w:val="0"/>
        </w:rPr>
        <w:t> </w:t>
      </w:r>
      <w:r>
        <w:t>—</w:t>
      </w:r>
      <w:r>
        <w:rPr>
          <w:b w:val="0"/>
        </w:rPr>
        <w:t> </w:t>
      </w:r>
      <w:r>
        <w:rPr>
          <w:rStyle w:val="CharPartText"/>
        </w:rPr>
        <w:t>Application of the Act</w:t>
      </w:r>
      <w:bookmarkEnd w:id="14"/>
      <w:bookmarkEnd w:id="15"/>
      <w:bookmarkEnd w:id="16"/>
    </w:p>
    <w:p>
      <w:pPr>
        <w:pStyle w:val="Footnoteheading"/>
      </w:pPr>
      <w:r>
        <w:tab/>
        <w:t>[Heading inserted: No. 38 of 2007 s. 146.]</w:t>
      </w:r>
    </w:p>
    <w:p>
      <w:pPr>
        <w:pStyle w:val="Heading5"/>
        <w:rPr>
          <w:snapToGrid w:val="0"/>
        </w:rPr>
      </w:pPr>
      <w:bookmarkStart w:id="17" w:name="_Toc77337136"/>
      <w:r>
        <w:rPr>
          <w:rStyle w:val="CharSectno"/>
        </w:rPr>
        <w:t>9</w:t>
      </w:r>
      <w:r>
        <w:rPr>
          <w:snapToGrid w:val="0"/>
        </w:rPr>
        <w:t>.</w:t>
      </w:r>
      <w:r>
        <w:rPr>
          <w:snapToGrid w:val="0"/>
        </w:rPr>
        <w:tab/>
        <w:t>Application</w:t>
      </w:r>
      <w:bookmarkEnd w:id="17"/>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18" w:name="_Toc77337137"/>
      <w:r>
        <w:rPr>
          <w:rStyle w:val="CharSectno"/>
        </w:rPr>
        <w:t>10</w:t>
      </w:r>
      <w:r>
        <w:rPr>
          <w:snapToGrid w:val="0"/>
        </w:rPr>
        <w:t>.</w:t>
      </w:r>
      <w:r>
        <w:rPr>
          <w:snapToGrid w:val="0"/>
        </w:rPr>
        <w:tab/>
        <w:t>Management areas</w:t>
      </w:r>
      <w:bookmarkEnd w:id="18"/>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lastRenderedPageBreak/>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19" w:name="_Toc77249847"/>
      <w:bookmarkStart w:id="20" w:name="_Toc77249914"/>
      <w:bookmarkStart w:id="21" w:name="_Toc77337138"/>
      <w:r>
        <w:rPr>
          <w:rStyle w:val="CharPartNo"/>
        </w:rPr>
        <w:lastRenderedPageBreak/>
        <w:t>Part 3</w:t>
      </w:r>
      <w:r>
        <w:rPr>
          <w:b w:val="0"/>
        </w:rPr>
        <w:t> </w:t>
      </w:r>
      <w:r>
        <w:t>—</w:t>
      </w:r>
      <w:r>
        <w:rPr>
          <w:b w:val="0"/>
        </w:rPr>
        <w:t> </w:t>
      </w:r>
      <w:r>
        <w:rPr>
          <w:rStyle w:val="CharPartText"/>
        </w:rPr>
        <w:t>Functions of the Minister</w:t>
      </w:r>
      <w:bookmarkEnd w:id="19"/>
      <w:bookmarkEnd w:id="20"/>
      <w:bookmarkEnd w:id="21"/>
    </w:p>
    <w:p>
      <w:pPr>
        <w:pStyle w:val="Footnoteheading"/>
      </w:pPr>
      <w:r>
        <w:tab/>
        <w:t>[Heading inserted: No. 38 of 2007 s. 149.]</w:t>
      </w:r>
    </w:p>
    <w:p>
      <w:pPr>
        <w:pStyle w:val="Heading5"/>
      </w:pPr>
      <w:bookmarkStart w:id="22" w:name="_Toc77337139"/>
      <w:r>
        <w:rPr>
          <w:rStyle w:val="CharSectno"/>
        </w:rPr>
        <w:t>11</w:t>
      </w:r>
      <w:r>
        <w:t>.</w:t>
      </w:r>
      <w:r>
        <w:tab/>
        <w:t>Functions of Minister</w:t>
      </w:r>
      <w:bookmarkEnd w:id="22"/>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lastRenderedPageBreak/>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23" w:name="_Toc77337140"/>
      <w:r>
        <w:rPr>
          <w:rStyle w:val="CharSectno"/>
        </w:rPr>
        <w:t>12</w:t>
      </w:r>
      <w:r>
        <w:t>.</w:t>
      </w:r>
      <w:r>
        <w:tab/>
        <w:t xml:space="preserve">Performance of functions of </w:t>
      </w:r>
      <w:r>
        <w:rPr>
          <w:snapToGrid w:val="0"/>
        </w:rPr>
        <w:t>Minister</w:t>
      </w:r>
      <w:bookmarkEnd w:id="23"/>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lastRenderedPageBreak/>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24" w:name="_Toc77249850"/>
      <w:bookmarkStart w:id="25" w:name="_Toc77249917"/>
      <w:bookmarkStart w:id="26" w:name="_Toc77337141"/>
      <w:r>
        <w:rPr>
          <w:rStyle w:val="CharPartNo"/>
        </w:rPr>
        <w:lastRenderedPageBreak/>
        <w:t>Part 4</w:t>
      </w:r>
      <w:r>
        <w:rPr>
          <w:b w:val="0"/>
        </w:rPr>
        <w:t> </w:t>
      </w:r>
      <w:r>
        <w:t>—</w:t>
      </w:r>
      <w:r>
        <w:rPr>
          <w:b w:val="0"/>
        </w:rPr>
        <w:t> </w:t>
      </w:r>
      <w:r>
        <w:rPr>
          <w:rStyle w:val="CharPartText"/>
        </w:rPr>
        <w:t>Agreements, management programmes and consultation</w:t>
      </w:r>
      <w:bookmarkEnd w:id="24"/>
      <w:bookmarkEnd w:id="25"/>
      <w:bookmarkEnd w:id="26"/>
    </w:p>
    <w:p>
      <w:pPr>
        <w:pStyle w:val="Footnoteheading"/>
      </w:pPr>
      <w:r>
        <w:tab/>
        <w:t>[Heading inserted: No. 38 of 2007 s. 151.]</w:t>
      </w:r>
    </w:p>
    <w:p>
      <w:pPr>
        <w:pStyle w:val="Heading5"/>
        <w:spacing w:before="240"/>
      </w:pPr>
      <w:bookmarkStart w:id="27" w:name="_Toc77337142"/>
      <w:r>
        <w:rPr>
          <w:rStyle w:val="CharSectno"/>
        </w:rPr>
        <w:t>30</w:t>
      </w:r>
      <w:r>
        <w:t>.</w:t>
      </w:r>
      <w:r>
        <w:tab/>
        <w:t>Covenants</w:t>
      </w:r>
      <w:bookmarkEnd w:id="27"/>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28" w:name="_Toc77337143"/>
      <w:r>
        <w:rPr>
          <w:rStyle w:val="CharSectno"/>
        </w:rPr>
        <w:t>31</w:t>
      </w:r>
      <w:r>
        <w:rPr>
          <w:snapToGrid w:val="0"/>
        </w:rPr>
        <w:t>.</w:t>
      </w:r>
      <w:r>
        <w:rPr>
          <w:snapToGrid w:val="0"/>
        </w:rPr>
        <w:tab/>
        <w:t>Agreements as to private land</w:t>
      </w:r>
      <w:bookmarkEnd w:id="28"/>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29" w:name="_Toc77337144"/>
      <w:r>
        <w:rPr>
          <w:rStyle w:val="CharSectno"/>
        </w:rPr>
        <w:t>32</w:t>
      </w:r>
      <w:r>
        <w:rPr>
          <w:snapToGrid w:val="0"/>
        </w:rPr>
        <w:t>.</w:t>
      </w:r>
      <w:r>
        <w:rPr>
          <w:snapToGrid w:val="0"/>
        </w:rPr>
        <w:tab/>
        <w:t>Reserves may be placed under control of Minister</w:t>
      </w:r>
      <w:bookmarkEnd w:id="29"/>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lastRenderedPageBreak/>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30" w:name="_Toc77337145"/>
      <w:r>
        <w:rPr>
          <w:rStyle w:val="CharSectno"/>
        </w:rPr>
        <w:t>33</w:t>
      </w:r>
      <w:r>
        <w:rPr>
          <w:snapToGrid w:val="0"/>
        </w:rPr>
        <w:t>.</w:t>
      </w:r>
      <w:r>
        <w:rPr>
          <w:snapToGrid w:val="0"/>
        </w:rPr>
        <w:tab/>
        <w:t>Local government consultations, and initiatives</w:t>
      </w:r>
      <w:bookmarkEnd w:id="30"/>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lastRenderedPageBreak/>
        <w:t>[</w:t>
      </w:r>
      <w:r>
        <w:rPr>
          <w:b/>
          <w:bCs/>
        </w:rPr>
        <w:t>34.</w:t>
      </w:r>
      <w:r>
        <w:tab/>
        <w:t>Deleted: No. 38 of 2007 s. 155.]</w:t>
      </w:r>
    </w:p>
    <w:p>
      <w:pPr>
        <w:pStyle w:val="Heading5"/>
        <w:spacing w:before="180"/>
        <w:rPr>
          <w:snapToGrid w:val="0"/>
        </w:rPr>
      </w:pPr>
      <w:bookmarkStart w:id="31" w:name="_Toc77337146"/>
      <w:r>
        <w:rPr>
          <w:rStyle w:val="CharSectno"/>
        </w:rPr>
        <w:t>35</w:t>
      </w:r>
      <w:r>
        <w:rPr>
          <w:snapToGrid w:val="0"/>
        </w:rPr>
        <w:t>.</w:t>
      </w:r>
      <w:r>
        <w:rPr>
          <w:snapToGrid w:val="0"/>
        </w:rPr>
        <w:tab/>
        <w:t>Management programmes</w:t>
      </w:r>
      <w:bookmarkEnd w:id="31"/>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lastRenderedPageBreak/>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32" w:name="_Toc77337147"/>
      <w:r>
        <w:rPr>
          <w:rStyle w:val="CharSectno"/>
        </w:rPr>
        <w:t>36</w:t>
      </w:r>
      <w:r>
        <w:rPr>
          <w:snapToGrid w:val="0"/>
        </w:rPr>
        <w:t>.</w:t>
      </w:r>
      <w:r>
        <w:rPr>
          <w:snapToGrid w:val="0"/>
        </w:rPr>
        <w:tab/>
        <w:t>Town planning referrals</w:t>
      </w:r>
      <w:bookmarkEnd w:id="32"/>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lastRenderedPageBreak/>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lastRenderedPageBreak/>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w:t>
      </w:r>
    </w:p>
    <w:p>
      <w:pPr>
        <w:pStyle w:val="Heading5"/>
        <w:rPr>
          <w:snapToGrid w:val="0"/>
        </w:rPr>
      </w:pPr>
      <w:bookmarkStart w:id="33" w:name="_Toc77337148"/>
      <w:r>
        <w:rPr>
          <w:rStyle w:val="CharSectno"/>
        </w:rPr>
        <w:t>37</w:t>
      </w:r>
      <w:r>
        <w:rPr>
          <w:snapToGrid w:val="0"/>
        </w:rPr>
        <w:t>.</w:t>
      </w:r>
      <w:r>
        <w:rPr>
          <w:snapToGrid w:val="0"/>
        </w:rPr>
        <w:tab/>
        <w:t>Ministerial referrals</w:t>
      </w:r>
      <w:bookmarkEnd w:id="33"/>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34" w:name="_Toc77337149"/>
      <w:r>
        <w:rPr>
          <w:rStyle w:val="CharSectno"/>
        </w:rPr>
        <w:lastRenderedPageBreak/>
        <w:t>38</w:t>
      </w:r>
      <w:r>
        <w:rPr>
          <w:snapToGrid w:val="0"/>
        </w:rPr>
        <w:t>.</w:t>
      </w:r>
      <w:r>
        <w:rPr>
          <w:snapToGrid w:val="0"/>
        </w:rPr>
        <w:tab/>
        <w:t>Public referrals</w:t>
      </w:r>
      <w:bookmarkEnd w:id="34"/>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35" w:name="_Toc77249859"/>
      <w:bookmarkStart w:id="36" w:name="_Toc77249926"/>
      <w:bookmarkStart w:id="37" w:name="_Toc77337150"/>
      <w:r>
        <w:rPr>
          <w:rStyle w:val="CharPartNo"/>
        </w:rPr>
        <w:lastRenderedPageBreak/>
        <w:t>Part 5</w:t>
      </w:r>
      <w:r>
        <w:rPr>
          <w:b w:val="0"/>
        </w:rPr>
        <w:t> </w:t>
      </w:r>
      <w:r>
        <w:t>—</w:t>
      </w:r>
      <w:r>
        <w:rPr>
          <w:b w:val="0"/>
        </w:rPr>
        <w:t> </w:t>
      </w:r>
      <w:r>
        <w:rPr>
          <w:rStyle w:val="CharPartText"/>
        </w:rPr>
        <w:t>Protection of waters and land</w:t>
      </w:r>
      <w:bookmarkEnd w:id="35"/>
      <w:bookmarkEnd w:id="36"/>
      <w:bookmarkEnd w:id="37"/>
    </w:p>
    <w:p>
      <w:pPr>
        <w:pStyle w:val="Footnoteheading"/>
      </w:pPr>
      <w:r>
        <w:tab/>
        <w:t>[Heading inserted: No. 38 of 2007 s. 161.]</w:t>
      </w:r>
    </w:p>
    <w:p>
      <w:pPr>
        <w:pStyle w:val="Heading5"/>
        <w:rPr>
          <w:snapToGrid w:val="0"/>
        </w:rPr>
      </w:pPr>
      <w:bookmarkStart w:id="38" w:name="_Toc77337151"/>
      <w:r>
        <w:rPr>
          <w:rStyle w:val="CharSectno"/>
        </w:rPr>
        <w:t>46</w:t>
      </w:r>
      <w:r>
        <w:rPr>
          <w:snapToGrid w:val="0"/>
        </w:rPr>
        <w:t>.</w:t>
      </w:r>
      <w:r>
        <w:rPr>
          <w:snapToGrid w:val="0"/>
        </w:rPr>
        <w:tab/>
        <w:t>Licences</w:t>
      </w:r>
      <w:bookmarkEnd w:id="38"/>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lastRenderedPageBreak/>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lastRenderedPageBreak/>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39" w:name="_Toc77337152"/>
      <w:r>
        <w:rPr>
          <w:rStyle w:val="CharSectno"/>
        </w:rPr>
        <w:t>47</w:t>
      </w:r>
      <w:r>
        <w:rPr>
          <w:snapToGrid w:val="0"/>
        </w:rPr>
        <w:t>.</w:t>
      </w:r>
      <w:r>
        <w:rPr>
          <w:snapToGrid w:val="0"/>
        </w:rPr>
        <w:tab/>
        <w:t>Disposal licences</w:t>
      </w:r>
      <w:bookmarkEnd w:id="39"/>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lastRenderedPageBreak/>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lastRenderedPageBreak/>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lastRenderedPageBreak/>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40" w:name="_Toc77337153"/>
      <w:r>
        <w:rPr>
          <w:rStyle w:val="CharSectno"/>
        </w:rPr>
        <w:lastRenderedPageBreak/>
        <w:t>48</w:t>
      </w:r>
      <w:r>
        <w:rPr>
          <w:snapToGrid w:val="0"/>
        </w:rPr>
        <w:t>.</w:t>
      </w:r>
      <w:r>
        <w:rPr>
          <w:snapToGrid w:val="0"/>
        </w:rPr>
        <w:tab/>
        <w:t>Control of pollution, and use of waters</w:t>
      </w:r>
      <w:bookmarkEnd w:id="40"/>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lastRenderedPageBreak/>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lastRenderedPageBreak/>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41" w:name="_Toc77337154"/>
      <w:r>
        <w:rPr>
          <w:rStyle w:val="CharSectno"/>
        </w:rPr>
        <w:t>49</w:t>
      </w:r>
      <w:r>
        <w:rPr>
          <w:snapToGrid w:val="0"/>
        </w:rPr>
        <w:t>.</w:t>
      </w:r>
      <w:r>
        <w:rPr>
          <w:snapToGrid w:val="0"/>
        </w:rPr>
        <w:tab/>
        <w:t>Injunctions</w:t>
      </w:r>
      <w:bookmarkEnd w:id="41"/>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42" w:name="_Toc77337155"/>
      <w:r>
        <w:rPr>
          <w:rStyle w:val="CharSectno"/>
        </w:rPr>
        <w:lastRenderedPageBreak/>
        <w:t>50</w:t>
      </w:r>
      <w:r>
        <w:rPr>
          <w:snapToGrid w:val="0"/>
        </w:rPr>
        <w:t>.</w:t>
      </w:r>
      <w:r>
        <w:rPr>
          <w:snapToGrid w:val="0"/>
        </w:rPr>
        <w:tab/>
        <w:t>Orders</w:t>
      </w:r>
      <w:bookmarkEnd w:id="42"/>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43" w:name="_Toc77337156"/>
      <w:r>
        <w:rPr>
          <w:rStyle w:val="CharSectno"/>
        </w:rPr>
        <w:t>51</w:t>
      </w:r>
      <w:r>
        <w:rPr>
          <w:snapToGrid w:val="0"/>
        </w:rPr>
        <w:t>.</w:t>
      </w:r>
      <w:r>
        <w:rPr>
          <w:snapToGrid w:val="0"/>
        </w:rPr>
        <w:tab/>
        <w:t>Removal of structures</w:t>
      </w:r>
      <w:bookmarkEnd w:id="43"/>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44" w:name="_Toc77337157"/>
      <w:r>
        <w:rPr>
          <w:rStyle w:val="CharSectno"/>
        </w:rPr>
        <w:lastRenderedPageBreak/>
        <w:t>52</w:t>
      </w:r>
      <w:r>
        <w:rPr>
          <w:snapToGrid w:val="0"/>
        </w:rPr>
        <w:t>.</w:t>
      </w:r>
      <w:r>
        <w:rPr>
          <w:snapToGrid w:val="0"/>
        </w:rPr>
        <w:tab/>
        <w:t>Remedial works</w:t>
      </w:r>
      <w:bookmarkEnd w:id="44"/>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45" w:name="_Toc77337158"/>
      <w:r>
        <w:rPr>
          <w:rStyle w:val="CharSectno"/>
        </w:rPr>
        <w:t>53</w:t>
      </w:r>
      <w:r>
        <w:rPr>
          <w:snapToGrid w:val="0"/>
        </w:rPr>
        <w:t>.</w:t>
      </w:r>
      <w:r>
        <w:rPr>
          <w:snapToGrid w:val="0"/>
        </w:rPr>
        <w:tab/>
        <w:t>Recovery of expenses</w:t>
      </w:r>
      <w:bookmarkEnd w:id="45"/>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46" w:name="_Toc77249868"/>
      <w:bookmarkStart w:id="47" w:name="_Toc77249935"/>
      <w:bookmarkStart w:id="48" w:name="_Toc77337159"/>
      <w:r>
        <w:rPr>
          <w:rStyle w:val="CharPartNo"/>
        </w:rPr>
        <w:lastRenderedPageBreak/>
        <w:t>Part 6</w:t>
      </w:r>
      <w:r>
        <w:rPr>
          <w:b w:val="0"/>
        </w:rPr>
        <w:t> </w:t>
      </w:r>
      <w:r>
        <w:t>—</w:t>
      </w:r>
      <w:r>
        <w:rPr>
          <w:b w:val="0"/>
        </w:rPr>
        <w:t> </w:t>
      </w:r>
      <w:r>
        <w:rPr>
          <w:rStyle w:val="CharPartText"/>
        </w:rPr>
        <w:t>General provisions</w:t>
      </w:r>
      <w:bookmarkEnd w:id="46"/>
      <w:bookmarkEnd w:id="47"/>
      <w:bookmarkEnd w:id="48"/>
    </w:p>
    <w:p>
      <w:pPr>
        <w:pStyle w:val="Footnoteheading"/>
      </w:pPr>
      <w:r>
        <w:tab/>
        <w:t>[Heading inserted: No. 38 of 2007 s. 169.]</w:t>
      </w:r>
    </w:p>
    <w:p>
      <w:pPr>
        <w:pStyle w:val="Heading3"/>
      </w:pPr>
      <w:bookmarkStart w:id="49" w:name="_Toc77249869"/>
      <w:bookmarkStart w:id="50" w:name="_Toc77249936"/>
      <w:bookmarkStart w:id="51" w:name="_Toc77337160"/>
      <w:r>
        <w:rPr>
          <w:rStyle w:val="CharDivNo"/>
        </w:rPr>
        <w:t>Division 1</w:t>
      </w:r>
      <w:r>
        <w:t> — </w:t>
      </w:r>
      <w:r>
        <w:rPr>
          <w:rStyle w:val="CharDivText"/>
        </w:rPr>
        <w:t>By</w:t>
      </w:r>
      <w:r>
        <w:rPr>
          <w:rStyle w:val="CharDivText"/>
        </w:rPr>
        <w:noBreakHyphen/>
        <w:t>laws</w:t>
      </w:r>
      <w:bookmarkEnd w:id="49"/>
      <w:bookmarkEnd w:id="50"/>
      <w:bookmarkEnd w:id="51"/>
    </w:p>
    <w:p>
      <w:pPr>
        <w:pStyle w:val="Footnoteheading"/>
      </w:pPr>
      <w:r>
        <w:tab/>
        <w:t>[Heading inserted: No. 38 of 2007 s. 169.]</w:t>
      </w:r>
    </w:p>
    <w:p>
      <w:pPr>
        <w:pStyle w:val="Heading5"/>
      </w:pPr>
      <w:bookmarkStart w:id="52" w:name="_Toc77337161"/>
      <w:r>
        <w:rPr>
          <w:rStyle w:val="CharSectno"/>
        </w:rPr>
        <w:t>54</w:t>
      </w:r>
      <w:r>
        <w:t>.</w:t>
      </w:r>
      <w:r>
        <w:tab/>
        <w:t>By</w:t>
      </w:r>
      <w:r>
        <w:noBreakHyphen/>
        <w:t>laws</w:t>
      </w:r>
      <w:bookmarkEnd w:id="52"/>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53" w:name="_Toc77337162"/>
      <w:r>
        <w:rPr>
          <w:rStyle w:val="CharSectno"/>
        </w:rPr>
        <w:t>55</w:t>
      </w:r>
      <w:r>
        <w:rPr>
          <w:snapToGrid w:val="0"/>
        </w:rPr>
        <w:t>.</w:t>
      </w:r>
      <w:r>
        <w:rPr>
          <w:snapToGrid w:val="0"/>
        </w:rPr>
        <w:tab/>
        <w:t>General provisions relating to by</w:t>
      </w:r>
      <w:r>
        <w:rPr>
          <w:snapToGrid w:val="0"/>
        </w:rPr>
        <w:noBreakHyphen/>
        <w:t>laws</w:t>
      </w:r>
      <w:bookmarkEnd w:id="53"/>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lastRenderedPageBreak/>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54" w:name="_Toc77337163"/>
      <w:r>
        <w:rPr>
          <w:rStyle w:val="CharSectno"/>
        </w:rPr>
        <w:t>56</w:t>
      </w:r>
      <w:r>
        <w:rPr>
          <w:snapToGrid w:val="0"/>
        </w:rPr>
        <w:t>.</w:t>
      </w:r>
      <w:r>
        <w:rPr>
          <w:snapToGrid w:val="0"/>
        </w:rPr>
        <w:tab/>
        <w:t>Local laws</w:t>
      </w:r>
      <w:bookmarkEnd w:id="54"/>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 xml:space="preserve">law made under this Act and the provisions of a local law </w:t>
      </w:r>
      <w:r>
        <w:rPr>
          <w:snapToGrid w:val="0"/>
        </w:rPr>
        <w:lastRenderedPageBreak/>
        <w:t>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55" w:name="_Toc77337164"/>
      <w:r>
        <w:rPr>
          <w:rStyle w:val="CharSectno"/>
        </w:rPr>
        <w:t>57</w:t>
      </w:r>
      <w:r>
        <w:rPr>
          <w:snapToGrid w:val="0"/>
        </w:rPr>
        <w:t>.</w:t>
      </w:r>
      <w:r>
        <w:rPr>
          <w:snapToGrid w:val="0"/>
        </w:rPr>
        <w:tab/>
        <w:t>Inconsistency of by</w:t>
      </w:r>
      <w:r>
        <w:rPr>
          <w:snapToGrid w:val="0"/>
        </w:rPr>
        <w:noBreakHyphen/>
        <w:t>laws with regulations</w:t>
      </w:r>
      <w:bookmarkEnd w:id="55"/>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56" w:name="_Toc77249874"/>
      <w:bookmarkStart w:id="57" w:name="_Toc77249941"/>
      <w:bookmarkStart w:id="58" w:name="_Toc77337165"/>
      <w:r>
        <w:rPr>
          <w:rStyle w:val="CharDivNo"/>
        </w:rPr>
        <w:t>Division 2</w:t>
      </w:r>
      <w:r>
        <w:t> — </w:t>
      </w:r>
      <w:r>
        <w:rPr>
          <w:rStyle w:val="CharDivText"/>
        </w:rPr>
        <w:t>Enforcement provisions</w:t>
      </w:r>
      <w:bookmarkEnd w:id="56"/>
      <w:bookmarkEnd w:id="57"/>
      <w:bookmarkEnd w:id="58"/>
    </w:p>
    <w:p>
      <w:pPr>
        <w:pStyle w:val="Footnoteheading"/>
      </w:pPr>
      <w:r>
        <w:rPr>
          <w:rStyle w:val="CharSectno"/>
        </w:rPr>
        <w:tab/>
        <w:t>[Heading inserted: No. 38 of 2007 s. 174.]</w:t>
      </w:r>
    </w:p>
    <w:p>
      <w:pPr>
        <w:pStyle w:val="Heading5"/>
        <w:rPr>
          <w:snapToGrid w:val="0"/>
        </w:rPr>
      </w:pPr>
      <w:bookmarkStart w:id="59" w:name="_Toc77337166"/>
      <w:r>
        <w:rPr>
          <w:rStyle w:val="CharSectno"/>
        </w:rPr>
        <w:t>61</w:t>
      </w:r>
      <w:r>
        <w:rPr>
          <w:snapToGrid w:val="0"/>
        </w:rPr>
        <w:t>.</w:t>
      </w:r>
      <w:r>
        <w:rPr>
          <w:snapToGrid w:val="0"/>
        </w:rPr>
        <w:tab/>
        <w:t>Inspectors</w:t>
      </w:r>
      <w:bookmarkEnd w:id="59"/>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lastRenderedPageBreak/>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60" w:name="_Toc77337167"/>
      <w:r>
        <w:rPr>
          <w:rStyle w:val="CharSectno"/>
        </w:rPr>
        <w:lastRenderedPageBreak/>
        <w:t>62</w:t>
      </w:r>
      <w:r>
        <w:rPr>
          <w:snapToGrid w:val="0"/>
        </w:rPr>
        <w:t>.</w:t>
      </w:r>
      <w:r>
        <w:rPr>
          <w:snapToGrid w:val="0"/>
        </w:rPr>
        <w:tab/>
        <w:t>Honorary wardens</w:t>
      </w:r>
      <w:bookmarkEnd w:id="60"/>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61" w:name="_Toc77337168"/>
      <w:r>
        <w:rPr>
          <w:rStyle w:val="CharSectno"/>
        </w:rPr>
        <w:t>63</w:t>
      </w:r>
      <w:r>
        <w:rPr>
          <w:snapToGrid w:val="0"/>
        </w:rPr>
        <w:t>.</w:t>
      </w:r>
      <w:r>
        <w:rPr>
          <w:snapToGrid w:val="0"/>
        </w:rPr>
        <w:tab/>
        <w:t>Powers of inspectors etc.</w:t>
      </w:r>
      <w:bookmarkEnd w:id="61"/>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 xml:space="preserve">Any inspector in addition to such other powers and duties as may from time to time devolve upon him under this Act, or as </w:t>
      </w:r>
      <w:r>
        <w:rPr>
          <w:snapToGrid w:val="0"/>
        </w:rPr>
        <w:lastRenderedPageBreak/>
        <w:t>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 xml:space="preserve">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w:t>
      </w:r>
      <w:r>
        <w:rPr>
          <w:snapToGrid w:val="0"/>
        </w:rPr>
        <w:lastRenderedPageBreak/>
        <w:t>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pageBreakBefore/>
        <w:spacing w:before="120"/>
        <w:rPr>
          <w:snapToGrid w:val="0"/>
        </w:rPr>
      </w:pPr>
      <w:bookmarkStart w:id="62" w:name="_Toc77337169"/>
      <w:r>
        <w:rPr>
          <w:rStyle w:val="CharSectno"/>
        </w:rPr>
        <w:lastRenderedPageBreak/>
        <w:t>64</w:t>
      </w:r>
      <w:r>
        <w:rPr>
          <w:snapToGrid w:val="0"/>
        </w:rPr>
        <w:t>.</w:t>
      </w:r>
      <w:r>
        <w:rPr>
          <w:snapToGrid w:val="0"/>
        </w:rPr>
        <w:tab/>
        <w:t>Duty of police officers etc.</w:t>
      </w:r>
      <w:bookmarkEnd w:id="62"/>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63" w:name="_Toc77337170"/>
      <w:r>
        <w:rPr>
          <w:rStyle w:val="CharSectno"/>
        </w:rPr>
        <w:t>65</w:t>
      </w:r>
      <w:r>
        <w:rPr>
          <w:snapToGrid w:val="0"/>
        </w:rPr>
        <w:t>.</w:t>
      </w:r>
      <w:r>
        <w:rPr>
          <w:snapToGrid w:val="0"/>
        </w:rPr>
        <w:tab/>
        <w:t>Persons obstructing execution of this Act</w:t>
      </w:r>
      <w:bookmarkEnd w:id="63"/>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64" w:name="_Toc77249880"/>
      <w:bookmarkStart w:id="65" w:name="_Toc77249947"/>
      <w:bookmarkStart w:id="66" w:name="_Toc77337171"/>
      <w:r>
        <w:rPr>
          <w:rStyle w:val="CharDivNo"/>
        </w:rPr>
        <w:t>Division 3</w:t>
      </w:r>
      <w:r>
        <w:t> — </w:t>
      </w:r>
      <w:r>
        <w:rPr>
          <w:rStyle w:val="CharDivText"/>
        </w:rPr>
        <w:t>General offence and procedural provisions</w:t>
      </w:r>
      <w:bookmarkEnd w:id="64"/>
      <w:bookmarkEnd w:id="65"/>
      <w:bookmarkEnd w:id="66"/>
    </w:p>
    <w:p>
      <w:pPr>
        <w:pStyle w:val="Footnoteheading"/>
      </w:pPr>
      <w:r>
        <w:tab/>
        <w:t>[Heading inserted: No. 38 of 2007 s. 180.]</w:t>
      </w:r>
    </w:p>
    <w:p>
      <w:pPr>
        <w:pStyle w:val="Heading5"/>
        <w:rPr>
          <w:snapToGrid w:val="0"/>
        </w:rPr>
      </w:pPr>
      <w:bookmarkStart w:id="67" w:name="_Toc77337172"/>
      <w:r>
        <w:rPr>
          <w:rStyle w:val="CharSectno"/>
        </w:rPr>
        <w:t>68</w:t>
      </w:r>
      <w:r>
        <w:rPr>
          <w:snapToGrid w:val="0"/>
        </w:rPr>
        <w:t>.</w:t>
      </w:r>
      <w:r>
        <w:rPr>
          <w:snapToGrid w:val="0"/>
        </w:rPr>
        <w:tab/>
        <w:t>Prosecution expenses</w:t>
      </w:r>
      <w:bookmarkEnd w:id="67"/>
      <w:r>
        <w:rPr>
          <w:snapToGrid w:val="0"/>
        </w:rPr>
        <w:t xml:space="preserve"> </w:t>
      </w:r>
    </w:p>
    <w:p>
      <w:pPr>
        <w:pStyle w:val="Subsection"/>
        <w:rPr>
          <w:snapToGrid w:val="0"/>
        </w:rPr>
      </w:pPr>
      <w:r>
        <w:rPr>
          <w:snapToGrid w:val="0"/>
        </w:rPr>
        <w:tab/>
      </w:r>
      <w:r>
        <w:rPr>
          <w:snapToGrid w:val="0"/>
        </w:rPr>
        <w:tab/>
        <w:t xml:space="preserve">The court by or before which a person is convicted of an offence against this Act may, whether or not it imposes any other punishment, order that the person convicted pay the reasonable costs of and incidental to any measurement, analysis, or other </w:t>
      </w:r>
      <w:r>
        <w:rPr>
          <w:snapToGrid w:val="0"/>
        </w:rPr>
        <w:lastRenderedPageBreak/>
        <w:t>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68" w:name="_Toc77337173"/>
      <w:r>
        <w:rPr>
          <w:rStyle w:val="CharSectno"/>
        </w:rPr>
        <w:t>69</w:t>
      </w:r>
      <w:r>
        <w:rPr>
          <w:snapToGrid w:val="0"/>
        </w:rPr>
        <w:t>.</w:t>
      </w:r>
      <w:r>
        <w:rPr>
          <w:snapToGrid w:val="0"/>
        </w:rPr>
        <w:tab/>
        <w:t>Offences generally</w:t>
      </w:r>
      <w:bookmarkEnd w:id="68"/>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69" w:name="_Toc77337174"/>
      <w:r>
        <w:rPr>
          <w:rStyle w:val="CharSectno"/>
        </w:rPr>
        <w:t>70</w:t>
      </w:r>
      <w:r>
        <w:rPr>
          <w:snapToGrid w:val="0"/>
        </w:rPr>
        <w:t>.</w:t>
      </w:r>
      <w:r>
        <w:rPr>
          <w:snapToGrid w:val="0"/>
        </w:rPr>
        <w:tab/>
        <w:t>General penalty</w:t>
      </w:r>
      <w:bookmarkEnd w:id="6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 xml:space="preserve">where the offence is a continuing offence, to a fine not exceeding $200 and an additional fine not exceeding </w:t>
      </w:r>
      <w:r>
        <w:rPr>
          <w:snapToGrid w:val="0"/>
        </w:rPr>
        <w:lastRenderedPageBreak/>
        <w:t>$25 for each day in which the offence continues after service on the offender of written notice of the offence.</w:t>
      </w:r>
    </w:p>
    <w:p>
      <w:pPr>
        <w:pStyle w:val="Heading5"/>
        <w:rPr>
          <w:snapToGrid w:val="0"/>
        </w:rPr>
      </w:pPr>
      <w:bookmarkStart w:id="70" w:name="_Toc77337175"/>
      <w:r>
        <w:rPr>
          <w:rStyle w:val="CharSectno"/>
        </w:rPr>
        <w:t>71</w:t>
      </w:r>
      <w:r>
        <w:rPr>
          <w:snapToGrid w:val="0"/>
        </w:rPr>
        <w:t>.</w:t>
      </w:r>
      <w:r>
        <w:rPr>
          <w:snapToGrid w:val="0"/>
        </w:rPr>
        <w:tab/>
        <w:t>Proceedings</w:t>
      </w:r>
      <w:bookmarkEnd w:id="70"/>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71" w:name="_Toc77337176"/>
      <w:r>
        <w:rPr>
          <w:rStyle w:val="CharSectno"/>
        </w:rPr>
        <w:t>72</w:t>
      </w:r>
      <w:r>
        <w:rPr>
          <w:snapToGrid w:val="0"/>
        </w:rPr>
        <w:t>.</w:t>
      </w:r>
      <w:r>
        <w:rPr>
          <w:snapToGrid w:val="0"/>
        </w:rPr>
        <w:tab/>
        <w:t>Liability for the acts of others etc.</w:t>
      </w:r>
      <w:bookmarkEnd w:id="71"/>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 xml:space="preserve">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w:t>
      </w:r>
      <w:r>
        <w:rPr>
          <w:snapToGrid w:val="0"/>
        </w:rPr>
        <w:lastRenderedPageBreak/>
        <w:t>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72" w:name="_Toc77337177"/>
      <w:r>
        <w:rPr>
          <w:rStyle w:val="CharSectno"/>
        </w:rPr>
        <w:t>73</w:t>
      </w:r>
      <w:r>
        <w:rPr>
          <w:snapToGrid w:val="0"/>
        </w:rPr>
        <w:t>.</w:t>
      </w:r>
      <w:r>
        <w:rPr>
          <w:snapToGrid w:val="0"/>
        </w:rPr>
        <w:tab/>
        <w:t>Offences by bodies corporate</w:t>
      </w:r>
      <w:bookmarkEnd w:id="7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73" w:name="_Toc77337178"/>
      <w:r>
        <w:rPr>
          <w:rStyle w:val="CharSectno"/>
        </w:rPr>
        <w:lastRenderedPageBreak/>
        <w:t>74</w:t>
      </w:r>
      <w:r>
        <w:rPr>
          <w:snapToGrid w:val="0"/>
        </w:rPr>
        <w:t>.</w:t>
      </w:r>
      <w:r>
        <w:rPr>
          <w:snapToGrid w:val="0"/>
        </w:rPr>
        <w:tab/>
        <w:t>Recovery of penalty and costs paid</w:t>
      </w:r>
      <w:bookmarkEnd w:id="73"/>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74" w:name="_Toc77337179"/>
      <w:r>
        <w:rPr>
          <w:rStyle w:val="CharSectno"/>
        </w:rPr>
        <w:t>75</w:t>
      </w:r>
      <w:r>
        <w:rPr>
          <w:snapToGrid w:val="0"/>
        </w:rPr>
        <w:t>.</w:t>
      </w:r>
      <w:r>
        <w:rPr>
          <w:snapToGrid w:val="0"/>
        </w:rPr>
        <w:tab/>
        <w:t>Evidentiary provisions</w:t>
      </w:r>
      <w:bookmarkEnd w:id="74"/>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lastRenderedPageBreak/>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lastRenderedPageBreak/>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75" w:name="_Toc77249889"/>
      <w:bookmarkStart w:id="76" w:name="_Toc77249956"/>
      <w:bookmarkStart w:id="77" w:name="_Toc77337180"/>
      <w:r>
        <w:rPr>
          <w:rStyle w:val="CharDivNo"/>
        </w:rPr>
        <w:lastRenderedPageBreak/>
        <w:t>Division 4</w:t>
      </w:r>
      <w:r>
        <w:t> — </w:t>
      </w:r>
      <w:r>
        <w:rPr>
          <w:rStyle w:val="CharDivText"/>
        </w:rPr>
        <w:t>Administrative provisions</w:t>
      </w:r>
      <w:bookmarkEnd w:id="75"/>
      <w:bookmarkEnd w:id="76"/>
      <w:bookmarkEnd w:id="77"/>
    </w:p>
    <w:p>
      <w:pPr>
        <w:pStyle w:val="Footnoteheading"/>
      </w:pPr>
      <w:r>
        <w:tab/>
        <w:t>[Heading inserted: No. 38 of 2007 s. 184.]</w:t>
      </w:r>
    </w:p>
    <w:p>
      <w:pPr>
        <w:pStyle w:val="Heading5"/>
      </w:pPr>
      <w:bookmarkStart w:id="78" w:name="_Toc77337181"/>
      <w:r>
        <w:rPr>
          <w:rStyle w:val="CharSectno"/>
        </w:rPr>
        <w:t>76</w:t>
      </w:r>
      <w:r>
        <w:t>.</w:t>
      </w:r>
      <w:r>
        <w:tab/>
        <w:t>Delegation by Minister</w:t>
      </w:r>
      <w:bookmarkEnd w:id="78"/>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lastRenderedPageBreak/>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79" w:name="_Toc77337182"/>
      <w:r>
        <w:rPr>
          <w:rStyle w:val="CharSectno"/>
        </w:rPr>
        <w:t>77</w:t>
      </w:r>
      <w:r>
        <w:t>.</w:t>
      </w:r>
      <w:r>
        <w:tab/>
        <w:t>Delegation by CEO</w:t>
      </w:r>
      <w:bookmarkEnd w:id="79"/>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lastRenderedPageBreak/>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80" w:name="_Toc77337183"/>
      <w:r>
        <w:rPr>
          <w:rStyle w:val="CharSectno"/>
        </w:rPr>
        <w:t>78</w:t>
      </w:r>
      <w:r>
        <w:t>.</w:t>
      </w:r>
      <w:r>
        <w:tab/>
        <w:t>Public consultation</w:t>
      </w:r>
      <w:bookmarkEnd w:id="8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lastRenderedPageBreak/>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81" w:name="_Toc77337184"/>
      <w:r>
        <w:rPr>
          <w:rStyle w:val="CharSectno"/>
        </w:rPr>
        <w:t>79</w:t>
      </w:r>
      <w:r>
        <w:t>.</w:t>
      </w:r>
      <w:r>
        <w:tab/>
        <w:t>Information officially obtained to be confidential</w:t>
      </w:r>
      <w:bookmarkEnd w:id="81"/>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lastRenderedPageBreak/>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No. 38 of 2007 s. 184.]</w:t>
      </w:r>
    </w:p>
    <w:p>
      <w:pPr>
        <w:pStyle w:val="Heading5"/>
      </w:pPr>
      <w:bookmarkStart w:id="82" w:name="_Toc77337185"/>
      <w:r>
        <w:rPr>
          <w:rStyle w:val="CharSectno"/>
        </w:rPr>
        <w:t>80</w:t>
      </w:r>
      <w:r>
        <w:t>.</w:t>
      </w:r>
      <w:r>
        <w:tab/>
        <w:t>Annual reports</w:t>
      </w:r>
      <w:bookmarkEnd w:id="82"/>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lastRenderedPageBreak/>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83" w:name="_Toc77337186"/>
      <w:r>
        <w:rPr>
          <w:rStyle w:val="CharSectno"/>
        </w:rPr>
        <w:t>81</w:t>
      </w:r>
      <w:r>
        <w:t>.</w:t>
      </w:r>
      <w:r>
        <w:tab/>
        <w:t>Protection from liability for wrongdoing</w:t>
      </w:r>
      <w:bookmarkEnd w:id="83"/>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84" w:name="_Toc77337187"/>
      <w:r>
        <w:rPr>
          <w:rStyle w:val="CharSectno"/>
        </w:rPr>
        <w:t>82</w:t>
      </w:r>
      <w:r>
        <w:rPr>
          <w:snapToGrid w:val="0"/>
        </w:rPr>
        <w:t>.</w:t>
      </w:r>
      <w:r>
        <w:rPr>
          <w:snapToGrid w:val="0"/>
        </w:rPr>
        <w:tab/>
        <w:t>Regulations</w:t>
      </w:r>
      <w:bookmarkEnd w:id="8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lastRenderedPageBreak/>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85" w:name="_Toc77249897"/>
      <w:bookmarkStart w:id="86" w:name="_Toc77249964"/>
      <w:bookmarkStart w:id="87" w:name="_Toc77337188"/>
      <w:r>
        <w:lastRenderedPageBreak/>
        <w:t>Notes</w:t>
      </w:r>
      <w:bookmarkEnd w:id="85"/>
      <w:bookmarkEnd w:id="86"/>
      <w:bookmarkEnd w:id="87"/>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88" w:name="_Toc77337189"/>
      <w:r>
        <w:t>Compilation table</w:t>
      </w:r>
      <w:bookmarkEnd w:id="88"/>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lastRenderedPageBreak/>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lastRenderedPageBreak/>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noProof/>
                <w:snapToGrid w:val="0"/>
              </w:rPr>
            </w:pPr>
            <w:r>
              <w:rPr>
                <w:i/>
              </w:rPr>
              <w:t>Public Health (Consequential Provisions) Act 2016</w:t>
            </w:r>
            <w:r>
              <w:t xml:space="preserve"> s. 101 and Pt. 5 Div. 28 (other than s. 343(2))</w:t>
            </w:r>
          </w:p>
        </w:tc>
        <w:tc>
          <w:tcPr>
            <w:tcW w:w="1093" w:type="dxa"/>
            <w:tcBorders>
              <w:top w:val="nil"/>
              <w:bottom w:val="single" w:sz="4" w:space="0" w:color="auto"/>
            </w:tcBorders>
          </w:tcPr>
          <w:p>
            <w:pPr>
              <w:pStyle w:val="nTable"/>
              <w:keepNext/>
              <w:spacing w:after="40"/>
            </w:pPr>
            <w:r>
              <w:t>19 of 2016</w:t>
            </w:r>
          </w:p>
        </w:tc>
        <w:tc>
          <w:tcPr>
            <w:tcW w:w="1123" w:type="dxa"/>
            <w:gridSpan w:val="2"/>
            <w:tcBorders>
              <w:top w:val="nil"/>
              <w:bottom w:val="single" w:sz="4" w:space="0" w:color="auto"/>
            </w:tcBorders>
          </w:tcPr>
          <w:p>
            <w:pPr>
              <w:pStyle w:val="nTable"/>
              <w:keepNext/>
              <w:spacing w:after="40"/>
            </w:pPr>
            <w:r>
              <w:t>25 Jul 2016</w:t>
            </w:r>
          </w:p>
        </w:tc>
        <w:tc>
          <w:tcPr>
            <w:tcW w:w="2605" w:type="dxa"/>
            <w:gridSpan w:val="2"/>
            <w:tcBorders>
              <w:top w:val="nil"/>
              <w:bottom w:val="single" w:sz="4" w:space="0" w:color="auto"/>
            </w:tcBorders>
          </w:tcPr>
          <w:p>
            <w:pPr>
              <w:pStyle w:val="nTable"/>
              <w:keepNext/>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keepNext/>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bl>
    <w:p>
      <w:pPr>
        <w:pStyle w:val="nHeading3"/>
        <w:pageBreakBefore/>
        <w:spacing w:before="0"/>
      </w:pPr>
      <w:bookmarkStart w:id="89" w:name="_Toc77337190"/>
      <w:r>
        <w:lastRenderedPageBreak/>
        <w:t>Uncommenced provisions table</w:t>
      </w:r>
      <w:bookmarkEnd w:id="89"/>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nil"/>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pPr>
              <w:pStyle w:val="nTable"/>
              <w:keepNext/>
              <w:spacing w:after="40"/>
            </w:pPr>
            <w:r>
              <w:t>53 of 2016</w:t>
            </w:r>
          </w:p>
        </w:tc>
        <w:tc>
          <w:tcPr>
            <w:tcW w:w="1123" w:type="dxa"/>
            <w:tcBorders>
              <w:top w:val="nil"/>
              <w:bottom w:val="nil"/>
            </w:tcBorders>
          </w:tcPr>
          <w:p>
            <w:pPr>
              <w:pStyle w:val="nTable"/>
              <w:keepNext/>
              <w:spacing w:after="40"/>
            </w:pPr>
            <w:r>
              <w:t>29 Nov 2016</w:t>
            </w:r>
          </w:p>
        </w:tc>
        <w:tc>
          <w:tcPr>
            <w:tcW w:w="2605" w:type="dxa"/>
            <w:gridSpan w:val="2"/>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snapToGrid w:val="0"/>
              </w:rPr>
            </w:pPr>
            <w:r>
              <w:rPr>
                <w:i/>
                <w:snapToGrid w:val="0"/>
              </w:rPr>
              <w:t>Swan Valley Planning Act 2020</w:t>
            </w:r>
            <w:r>
              <w:rPr>
                <w:snapToGrid w:val="0"/>
              </w:rPr>
              <w:t xml:space="preserve"> Pt. 10 Div. 18</w:t>
            </w:r>
          </w:p>
        </w:tc>
        <w:tc>
          <w:tcPr>
            <w:tcW w:w="1093" w:type="dxa"/>
            <w:tcBorders>
              <w:top w:val="nil"/>
              <w:bottom w:val="single" w:sz="4" w:space="0" w:color="auto"/>
            </w:tcBorders>
          </w:tcPr>
          <w:p>
            <w:pPr>
              <w:pStyle w:val="nTable"/>
              <w:keepNext/>
              <w:spacing w:after="40"/>
            </w:pPr>
            <w:r>
              <w:t>45 of 2020</w:t>
            </w:r>
          </w:p>
        </w:tc>
        <w:tc>
          <w:tcPr>
            <w:tcW w:w="1123" w:type="dxa"/>
            <w:tcBorders>
              <w:top w:val="nil"/>
              <w:bottom w:val="single" w:sz="4" w:space="0" w:color="auto"/>
            </w:tcBorders>
          </w:tcPr>
          <w:p>
            <w:pPr>
              <w:pStyle w:val="nTable"/>
              <w:keepNext/>
              <w:spacing w:after="40"/>
            </w:pPr>
            <w:r>
              <w:t>9 Dec 2020</w:t>
            </w:r>
          </w:p>
        </w:tc>
        <w:tc>
          <w:tcPr>
            <w:tcW w:w="2605" w:type="dxa"/>
            <w:gridSpan w:val="2"/>
            <w:tcBorders>
              <w:top w:val="nil"/>
              <w:bottom w:val="single" w:sz="4" w:space="0" w:color="auto"/>
            </w:tcBorders>
          </w:tcPr>
          <w:p>
            <w:pPr>
              <w:pStyle w:val="nTable"/>
              <w:keepNext/>
              <w:spacing w:after="40"/>
              <w:rPr>
                <w:snapToGrid w:val="0"/>
              </w:rPr>
            </w:pPr>
            <w:r>
              <w:rPr>
                <w:snapToGrid w:val="0"/>
              </w:rPr>
              <w:t>1 Aug 2021 (see s. 2(1)(e) and SL 2021/124 cl. 2)</w:t>
            </w:r>
          </w:p>
        </w:tc>
      </w:tr>
    </w:tbl>
    <w:p>
      <w:pPr>
        <w:pStyle w:val="nHeading3"/>
      </w:pPr>
      <w:bookmarkStart w:id="90" w:name="_Toc77337191"/>
      <w:r>
        <w:t>Other notes</w:t>
      </w:r>
      <w:bookmarkEnd w:id="90"/>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lastRenderedPageBreak/>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lastRenderedPageBreak/>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lastRenderedPageBreak/>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xml:space="preserve">, of a former body is to report in respect of that body as required by section 66 of that Act, but </w:t>
      </w:r>
      <w:r>
        <w:rPr>
          <w:snapToGrid w:val="0"/>
        </w:rPr>
        <w:lastRenderedPageBreak/>
        <w:t>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lastRenderedPageBreak/>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lastRenderedPageBreak/>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lastRenderedPageBreak/>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92" w:name="_Toc77249901"/>
      <w:bookmarkStart w:id="93" w:name="_Toc77249968"/>
      <w:bookmarkStart w:id="94" w:name="_Toc77337192"/>
      <w:r>
        <w:rPr>
          <w:sz w:val="28"/>
        </w:rPr>
        <w:lastRenderedPageBreak/>
        <w:t>Defined terms</w:t>
      </w:r>
      <w:bookmarkEnd w:id="92"/>
      <w:bookmarkEnd w:id="93"/>
      <w:bookmarkEnd w:id="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5" w:name="DefinedTerms"/>
    <w:bookmarkEnd w:id="9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6" w:name="Coversheet"/>
    <w:bookmarkEnd w:id="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71512154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67900-426C-44DA-BB21-1CFE6C08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17919</Words>
  <Characters>84757</Characters>
  <Application>Microsoft Office Word</Application>
  <DocSecurity>0</DocSecurity>
  <Lines>2290</Lines>
  <Paragraphs>1180</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1976 - 04-f0-01</dc:title>
  <dc:subject/>
  <dc:creator/>
  <cp:keywords/>
  <dc:description/>
  <cp:lastModifiedBy>Master Repository Process</cp:lastModifiedBy>
  <cp:revision>4</cp:revision>
  <cp:lastPrinted>2017-09-20T06:59:00Z</cp:lastPrinted>
  <dcterms:created xsi:type="dcterms:W3CDTF">2021-07-16T06:51:00Z</dcterms:created>
  <dcterms:modified xsi:type="dcterms:W3CDTF">2021-07-16T06:51:00Z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09 Dec 2020</vt:lpwstr>
  </property>
  <property fmtid="{D5CDD505-2E9C-101B-9397-08002B2CF9AE}" pid="8" name="Suffix">
    <vt:lpwstr>04-f0-01</vt:lpwstr>
  </property>
  <property fmtid="{D5CDD505-2E9C-101B-9397-08002B2CF9AE}" pid="9" name="CommencementDate">
    <vt:lpwstr>20201209</vt:lpwstr>
  </property>
</Properties>
</file>