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7C52" w:rsidRDefault="00AE0E2D">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A7C52" w:rsidRDefault="00AE0E2D">
      <w:pPr>
        <w:pStyle w:val="PrincipalActRegPage1"/>
      </w:pPr>
      <w:r>
        <w:fldChar w:fldCharType="begin"/>
      </w:r>
      <w:r>
        <w:instrText xml:space="preserve"> STYLEREF "PrincipalAct_Reg"</w:instrText>
      </w:r>
      <w:r>
        <w:fldChar w:fldCharType="separate"/>
      </w:r>
      <w:r>
        <w:rPr>
          <w:noProof/>
        </w:rPr>
        <w:t>Fisheries Adjustment Schemes Act 1987</w:t>
      </w:r>
      <w:r>
        <w:fldChar w:fldCharType="end"/>
      </w:r>
    </w:p>
    <w:p w:rsidR="00FA7C52" w:rsidRDefault="00AE0E2D">
      <w:pPr>
        <w:pStyle w:val="NameofActRegPage1"/>
        <w:spacing w:before="1800" w:after="4200"/>
        <w:outlineLvl w:val="0"/>
      </w:pPr>
      <w:r>
        <w:fldChar w:fldCharType="begin"/>
      </w:r>
      <w:r>
        <w:instrText xml:space="preserve"> STYLEREF "Name Of Act/Reg"</w:instrText>
      </w:r>
      <w:r>
        <w:fldChar w:fldCharType="separate"/>
      </w:r>
      <w:r>
        <w:rPr>
          <w:noProof/>
        </w:rPr>
        <w:t>Fisheries Adjustment Schemes Regulations 2009</w:t>
      </w:r>
      <w:r>
        <w:fldChar w:fldCharType="end"/>
      </w:r>
    </w:p>
    <w:p w:rsidR="00FA7C52" w:rsidRDefault="00FA7C52">
      <w:pPr>
        <w:jc w:val="center"/>
        <w:sectPr w:rsidR="00FA7C5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A7C52" w:rsidRDefault="00AE0E2D">
      <w:pPr>
        <w:pStyle w:val="WA"/>
      </w:pPr>
      <w:r>
        <w:lastRenderedPageBreak/>
        <w:t>Western Australia</w:t>
      </w:r>
    </w:p>
    <w:p w:rsidR="00FA7C52" w:rsidRDefault="00AE0E2D">
      <w:pPr>
        <w:pStyle w:val="NameofActRegPage1"/>
      </w:pPr>
      <w:r>
        <w:fldChar w:fldCharType="begin"/>
      </w:r>
      <w:r>
        <w:instrText xml:space="preserve"> STYLEREF "Name Of Act/Reg"</w:instrText>
      </w:r>
      <w:r>
        <w:fldChar w:fldCharType="separate"/>
      </w:r>
      <w:r>
        <w:rPr>
          <w:noProof/>
        </w:rPr>
        <w:t>Fisheries Adjustment Schemes Regulations 2009</w:t>
      </w:r>
      <w:r>
        <w:fldChar w:fldCharType="end"/>
      </w:r>
    </w:p>
    <w:p w:rsidR="00FA7C52" w:rsidRDefault="00AE0E2D">
      <w:pPr>
        <w:pStyle w:val="Arrangement"/>
      </w:pPr>
      <w:r>
        <w:t>Contents</w:t>
      </w:r>
    </w:p>
    <w:p w:rsidR="00FA7C52" w:rsidRDefault="00AE0E2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w:t>
      </w:r>
      <w:r>
        <w:rPr>
          <w:b w:val="0"/>
        </w:rPr>
        <w:t> </w:t>
      </w:r>
      <w:r>
        <w:t>—</w:t>
      </w:r>
      <w:r>
        <w:rPr>
          <w:b w:val="0"/>
        </w:rPr>
        <w:t> </w:t>
      </w:r>
      <w:r>
        <w:t>Preliminary</w:t>
      </w:r>
    </w:p>
    <w:p w:rsidR="00FA7C52" w:rsidRDefault="00AE0E2D">
      <w:pPr>
        <w:pStyle w:val="TOC8"/>
        <w:rPr>
          <w:rFonts w:asciiTheme="minorHAnsi" w:eastAsiaTheme="minorEastAsia" w:hAnsiTheme="minorHAnsi" w:cstheme="minorBidi"/>
          <w:szCs w:val="22"/>
        </w:rPr>
      </w:pPr>
      <w:r>
        <w:t>1.</w:t>
      </w:r>
      <w:r>
        <w:tab/>
        <w:t>Citation</w:t>
      </w:r>
      <w:r>
        <w:tab/>
      </w:r>
      <w:r>
        <w:fldChar w:fldCharType="begin"/>
      </w:r>
      <w:r>
        <w:instrText xml:space="preserve"> PAGEREF _Toc67477235 \h </w:instrText>
      </w:r>
      <w:r>
        <w:fldChar w:fldCharType="separate"/>
      </w:r>
      <w:r>
        <w:t>1</w:t>
      </w:r>
      <w:r>
        <w:fldChar w:fldCharType="end"/>
      </w:r>
    </w:p>
    <w:p w:rsidR="00FA7C52" w:rsidRDefault="00AE0E2D">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_Toc67477236 \h </w:instrText>
      </w:r>
      <w:r>
        <w:fldChar w:fldCharType="separate"/>
      </w:r>
      <w:r>
        <w:t>1</w:t>
      </w:r>
      <w:r>
        <w:fldChar w:fldCharType="end"/>
      </w:r>
    </w:p>
    <w:p w:rsidR="00FA7C52" w:rsidRDefault="00AE0E2D">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Abrolhos Islands Fishery</w:t>
      </w:r>
    </w:p>
    <w:p w:rsidR="00FA7C52" w:rsidRDefault="00AE0E2D">
      <w:pPr>
        <w:pStyle w:val="TOC8"/>
        <w:rPr>
          <w:rFonts w:asciiTheme="minorHAnsi" w:eastAsiaTheme="minorEastAsia" w:hAnsiTheme="minorHAnsi" w:cstheme="minorBidi"/>
          <w:szCs w:val="22"/>
        </w:rPr>
      </w:pPr>
      <w:r>
        <w:t>3.</w:t>
      </w:r>
      <w:r>
        <w:tab/>
        <w:t>Terms used</w:t>
      </w:r>
      <w:r>
        <w:tab/>
      </w:r>
      <w:r>
        <w:fldChar w:fldCharType="begin"/>
      </w:r>
      <w:r>
        <w:instrText xml:space="preserve"> PAGEREF _Toc67477238 \h </w:instrText>
      </w:r>
      <w:r>
        <w:fldChar w:fldCharType="separate"/>
      </w:r>
      <w:r>
        <w:t>2</w:t>
      </w:r>
      <w:r>
        <w:fldChar w:fldCharType="end"/>
      </w:r>
    </w:p>
    <w:p w:rsidR="00FA7C52" w:rsidRDefault="00AE0E2D">
      <w:pPr>
        <w:pStyle w:val="TOC8"/>
        <w:rPr>
          <w:rFonts w:asciiTheme="minorHAnsi" w:eastAsiaTheme="minorEastAsia" w:hAnsiTheme="minorHAnsi" w:cstheme="minorBidi"/>
          <w:szCs w:val="22"/>
        </w:rPr>
      </w:pPr>
      <w:r>
        <w:t>4.</w:t>
      </w:r>
      <w:r>
        <w:tab/>
        <w:t>Fee under s. 8 imposed</w:t>
      </w:r>
      <w:r>
        <w:tab/>
      </w:r>
      <w:r>
        <w:fldChar w:fldCharType="begin"/>
      </w:r>
      <w:r>
        <w:instrText xml:space="preserve"> PAGEREF _Toc67477239 \h </w:instrText>
      </w:r>
      <w:r>
        <w:fldChar w:fldCharType="separate"/>
      </w:r>
      <w:r>
        <w:t>2</w:t>
      </w:r>
      <w:r>
        <w:fldChar w:fldCharType="end"/>
      </w:r>
    </w:p>
    <w:p w:rsidR="00FA7C52" w:rsidRDefault="00AE0E2D">
      <w:pPr>
        <w:pStyle w:val="TOC8"/>
        <w:rPr>
          <w:rFonts w:asciiTheme="minorHAnsi" w:eastAsiaTheme="minorEastAsia" w:hAnsiTheme="minorHAnsi" w:cstheme="minorBidi"/>
          <w:szCs w:val="22"/>
        </w:rPr>
      </w:pPr>
      <w:r>
        <w:t>5.</w:t>
      </w:r>
      <w:r>
        <w:tab/>
        <w:t>Waiver of fee to be paid on 1 March 2021</w:t>
      </w:r>
      <w:r>
        <w:tab/>
      </w:r>
      <w:r>
        <w:fldChar w:fldCharType="begin"/>
      </w:r>
      <w:r>
        <w:instrText xml:space="preserve"> PAGEREF _Toc67477240 \h </w:instrText>
      </w:r>
      <w:r>
        <w:fldChar w:fldCharType="separate"/>
      </w:r>
      <w:r>
        <w:t>3</w:t>
      </w:r>
      <w:r>
        <w:fldChar w:fldCharType="end"/>
      </w:r>
    </w:p>
    <w:p w:rsidR="00FA7C52" w:rsidRDefault="00AE0E2D">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Shark Bay Prawn Managed Fishery</w:t>
      </w:r>
    </w:p>
    <w:p w:rsidR="00FA7C52" w:rsidRDefault="00AE0E2D">
      <w:pPr>
        <w:pStyle w:val="TOC8"/>
        <w:rPr>
          <w:rFonts w:asciiTheme="minorHAnsi" w:eastAsiaTheme="minorEastAsia" w:hAnsiTheme="minorHAnsi" w:cstheme="minorBidi"/>
          <w:szCs w:val="22"/>
        </w:rPr>
      </w:pPr>
      <w:r>
        <w:t>10.</w:t>
      </w:r>
      <w:r>
        <w:tab/>
        <w:t>Terms used</w:t>
      </w:r>
      <w:r>
        <w:tab/>
      </w:r>
      <w:r>
        <w:fldChar w:fldCharType="begin"/>
      </w:r>
      <w:r>
        <w:instrText xml:space="preserve"> PAGEREF _Toc67477242 \h </w:instrText>
      </w:r>
      <w:r>
        <w:fldChar w:fldCharType="separate"/>
      </w:r>
      <w:r>
        <w:t>4</w:t>
      </w:r>
      <w:r>
        <w:fldChar w:fldCharType="end"/>
      </w:r>
    </w:p>
    <w:p w:rsidR="00FA7C52" w:rsidRDefault="00AE0E2D">
      <w:pPr>
        <w:pStyle w:val="TOC8"/>
        <w:rPr>
          <w:rFonts w:asciiTheme="minorHAnsi" w:eastAsiaTheme="minorEastAsia" w:hAnsiTheme="minorHAnsi" w:cstheme="minorBidi"/>
          <w:szCs w:val="22"/>
        </w:rPr>
      </w:pPr>
      <w:r>
        <w:t>11.</w:t>
      </w:r>
      <w:r>
        <w:tab/>
        <w:t>Fee for 2021 — Act s. 8</w:t>
      </w:r>
      <w:r>
        <w:tab/>
      </w:r>
      <w:r>
        <w:fldChar w:fldCharType="begin"/>
      </w:r>
      <w:r>
        <w:instrText xml:space="preserve"> PAGEREF _To</w:instrText>
      </w:r>
      <w:r>
        <w:instrText xml:space="preserve">c67477243 \h </w:instrText>
      </w:r>
      <w:r>
        <w:fldChar w:fldCharType="separate"/>
      </w:r>
      <w:r>
        <w:t>4</w:t>
      </w:r>
      <w:r>
        <w:fldChar w:fldCharType="end"/>
      </w:r>
    </w:p>
    <w:p w:rsidR="00FA7C52" w:rsidRDefault="00AE0E2D">
      <w:pPr>
        <w:pStyle w:val="TOC8"/>
        <w:rPr>
          <w:rFonts w:asciiTheme="minorHAnsi" w:eastAsiaTheme="minorEastAsia" w:hAnsiTheme="minorHAnsi" w:cstheme="minorBidi"/>
          <w:szCs w:val="22"/>
        </w:rPr>
      </w:pPr>
      <w:r>
        <w:t>12.</w:t>
      </w:r>
      <w:r>
        <w:tab/>
        <w:t>Waiver of fee to be paid on 1 March 2021</w:t>
      </w:r>
      <w:r>
        <w:tab/>
      </w:r>
      <w:r>
        <w:fldChar w:fldCharType="begin"/>
      </w:r>
      <w:r>
        <w:instrText xml:space="preserve"> PAGEREF _Toc67477244 \h </w:instrText>
      </w:r>
      <w:r>
        <w:fldChar w:fldCharType="separate"/>
      </w:r>
      <w:r>
        <w:t>5</w:t>
      </w:r>
      <w:r>
        <w:fldChar w:fldCharType="end"/>
      </w:r>
    </w:p>
    <w:p w:rsidR="00FA7C52" w:rsidRDefault="00AE0E2D">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Shark Bay Scallop Managed F</w:t>
      </w:r>
      <w:r>
        <w:t>ishery</w:t>
      </w:r>
    </w:p>
    <w:p w:rsidR="00FA7C52" w:rsidRDefault="00AE0E2D">
      <w:pPr>
        <w:pStyle w:val="TOC8"/>
        <w:rPr>
          <w:rFonts w:asciiTheme="minorHAnsi" w:eastAsiaTheme="minorEastAsia" w:hAnsiTheme="minorHAnsi" w:cstheme="minorBidi"/>
          <w:szCs w:val="22"/>
        </w:rPr>
      </w:pPr>
      <w:r>
        <w:t>13.</w:t>
      </w:r>
      <w:r>
        <w:tab/>
        <w:t>Terms used</w:t>
      </w:r>
      <w:r>
        <w:tab/>
      </w:r>
      <w:r>
        <w:fldChar w:fldCharType="begin"/>
      </w:r>
      <w:r>
        <w:instrText xml:space="preserve"> PAGEREF _Toc67477246 \h </w:instrText>
      </w:r>
      <w:r>
        <w:fldChar w:fldCharType="separate"/>
      </w:r>
      <w:r>
        <w:t>6</w:t>
      </w:r>
      <w:r>
        <w:fldChar w:fldCharType="end"/>
      </w:r>
    </w:p>
    <w:p w:rsidR="00FA7C52" w:rsidRDefault="00AE0E2D">
      <w:pPr>
        <w:pStyle w:val="TOC8"/>
        <w:rPr>
          <w:rFonts w:asciiTheme="minorHAnsi" w:eastAsiaTheme="minorEastAsia" w:hAnsiTheme="minorHAnsi" w:cstheme="minorBidi"/>
          <w:szCs w:val="22"/>
        </w:rPr>
      </w:pPr>
      <w:r>
        <w:t>14.</w:t>
      </w:r>
      <w:r>
        <w:tab/>
        <w:t>Fee under s. 8 imposed — generally</w:t>
      </w:r>
      <w:r>
        <w:tab/>
      </w:r>
      <w:r>
        <w:fldChar w:fldCharType="begin"/>
      </w:r>
      <w:r>
        <w:instrText xml:space="preserve"> PAGEREF _Toc67477247 \h </w:instrText>
      </w:r>
      <w:r>
        <w:fldChar w:fldCharType="separate"/>
      </w:r>
      <w:r>
        <w:t>6</w:t>
      </w:r>
      <w:r>
        <w:fldChar w:fldCharType="end"/>
      </w:r>
    </w:p>
    <w:p w:rsidR="00FA7C52" w:rsidRDefault="00AE0E2D">
      <w:pPr>
        <w:pStyle w:val="TOC8"/>
        <w:rPr>
          <w:rFonts w:asciiTheme="minorHAnsi" w:eastAsiaTheme="minorEastAsia" w:hAnsiTheme="minorHAnsi" w:cstheme="minorBidi"/>
          <w:szCs w:val="22"/>
        </w:rPr>
      </w:pPr>
      <w:r>
        <w:t>15.</w:t>
      </w:r>
      <w:r>
        <w:tab/>
        <w:t xml:space="preserve">Fee </w:t>
      </w:r>
      <w:r>
        <w:t>under s. 8 imposed — Managed Fishery Licence No. SBSC2094</w:t>
      </w:r>
      <w:r>
        <w:tab/>
      </w:r>
      <w:r>
        <w:fldChar w:fldCharType="begin"/>
      </w:r>
      <w:r>
        <w:instrText xml:space="preserve"> PAGEREF _Toc67477248 \h </w:instrText>
      </w:r>
      <w:r>
        <w:fldChar w:fldCharType="separate"/>
      </w:r>
      <w:r>
        <w:t>7</w:t>
      </w:r>
      <w:r>
        <w:fldChar w:fldCharType="end"/>
      </w:r>
    </w:p>
    <w:p w:rsidR="00FA7C52" w:rsidRDefault="00AE0E2D">
      <w:pPr>
        <w:pStyle w:val="TOC2"/>
        <w:tabs>
          <w:tab w:val="right" w:leader="dot" w:pos="7077"/>
        </w:tabs>
        <w:rPr>
          <w:rFonts w:asciiTheme="minorHAnsi" w:eastAsiaTheme="minorEastAsia" w:hAnsiTheme="minorHAnsi" w:cstheme="minorBidi"/>
          <w:b w:val="0"/>
          <w:sz w:val="22"/>
          <w:szCs w:val="22"/>
        </w:rPr>
      </w:pPr>
      <w:r>
        <w:t>Notes</w:t>
      </w:r>
    </w:p>
    <w:p w:rsidR="00FA7C52" w:rsidRDefault="00AE0E2D">
      <w:pPr>
        <w:pStyle w:val="TOC8"/>
        <w:rPr>
          <w:rFonts w:asciiTheme="minorHAnsi" w:eastAsiaTheme="minorEastAsia" w:hAnsiTheme="minorHAnsi" w:cstheme="minorBidi"/>
          <w:szCs w:val="22"/>
        </w:rPr>
      </w:pPr>
      <w:r>
        <w:tab/>
        <w:t>Compilation table</w:t>
      </w:r>
      <w:r>
        <w:tab/>
      </w:r>
      <w:r>
        <w:fldChar w:fldCharType="begin"/>
      </w:r>
      <w:r>
        <w:instrText xml:space="preserve"> PAGEREF _Toc67477250 \h </w:instrText>
      </w:r>
      <w:r>
        <w:fldChar w:fldCharType="separate"/>
      </w:r>
      <w:r>
        <w:t>8</w:t>
      </w:r>
      <w:r>
        <w:fldChar w:fldCharType="end"/>
      </w:r>
    </w:p>
    <w:p w:rsidR="00FA7C52" w:rsidRDefault="00AE0E2D">
      <w:pPr>
        <w:pStyle w:val="TOC2"/>
        <w:tabs>
          <w:tab w:val="right" w:leader="dot" w:pos="7077"/>
        </w:tabs>
        <w:rPr>
          <w:rFonts w:asciiTheme="minorHAnsi" w:eastAsiaTheme="minorEastAsia" w:hAnsiTheme="minorHAnsi" w:cstheme="minorBidi"/>
          <w:b w:val="0"/>
          <w:sz w:val="22"/>
          <w:szCs w:val="22"/>
        </w:rPr>
      </w:pPr>
      <w:r>
        <w:t>Defined terms</w:t>
      </w:r>
    </w:p>
    <w:p w:rsidR="00FA7C52" w:rsidRDefault="00AE0E2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A7C52" w:rsidRDefault="00FA7C52">
      <w:pPr>
        <w:pStyle w:val="NoteHeading"/>
        <w:sectPr w:rsidR="00FA7C5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FA7C52" w:rsidRDefault="00AE0E2D">
      <w:pPr>
        <w:pStyle w:val="PrincipalActReg"/>
      </w:pPr>
      <w:r>
        <w:lastRenderedPageBreak/>
        <w:t xml:space="preserve">Fisheries Adjustment Schemes </w:t>
      </w:r>
      <w:r>
        <w:t>Act 1987</w:t>
      </w:r>
    </w:p>
    <w:p w:rsidR="00FA7C52" w:rsidRDefault="00AE0E2D">
      <w:pPr>
        <w:pStyle w:val="NameofActReg"/>
      </w:pPr>
      <w:r>
        <w:t>Fisheries Adjustment Schemes Regulations 2009</w:t>
      </w:r>
    </w:p>
    <w:p w:rsidR="00FA7C52" w:rsidRDefault="00AE0E2D">
      <w:pPr>
        <w:pStyle w:val="Heading2"/>
        <w:pageBreakBefore w:val="0"/>
        <w:spacing w:before="240"/>
      </w:pPr>
      <w:bookmarkStart w:id="3" w:name="_Toc67397288"/>
      <w:bookmarkStart w:id="4" w:name="_Toc67399773"/>
      <w:bookmarkStart w:id="5" w:name="_Toc67400000"/>
      <w:bookmarkStart w:id="6" w:name="_Toc67477234"/>
      <w:r>
        <w:rPr>
          <w:rStyle w:val="CharPartNo"/>
        </w:rPr>
        <w:t>Part 1</w:t>
      </w:r>
      <w:r>
        <w:rPr>
          <w:b w:val="0"/>
        </w:rPr>
        <w:t> </w:t>
      </w:r>
      <w:r>
        <w:t>—</w:t>
      </w:r>
      <w:r>
        <w:rPr>
          <w:b w:val="0"/>
        </w:rPr>
        <w:t> </w:t>
      </w:r>
      <w:r>
        <w:rPr>
          <w:rStyle w:val="CharPartText"/>
        </w:rPr>
        <w:t>Preliminary</w:t>
      </w:r>
      <w:bookmarkEnd w:id="3"/>
      <w:bookmarkEnd w:id="4"/>
      <w:bookmarkEnd w:id="5"/>
      <w:bookmarkEnd w:id="6"/>
    </w:p>
    <w:p w:rsidR="00FA7C52" w:rsidRDefault="00AE0E2D">
      <w:pPr>
        <w:pStyle w:val="Footnoteheading"/>
      </w:pPr>
      <w:r>
        <w:tab/>
        <w:t>[Heading inserted: Gazette 12 Feb 2010 p. 589.]</w:t>
      </w:r>
    </w:p>
    <w:p w:rsidR="00FA7C52" w:rsidRDefault="00AE0E2D">
      <w:pPr>
        <w:pStyle w:val="Heading5"/>
      </w:pPr>
      <w:bookmarkStart w:id="7" w:name="_Toc67477235"/>
      <w:r>
        <w:rPr>
          <w:rStyle w:val="CharSectno"/>
        </w:rPr>
        <w:t>1</w:t>
      </w:r>
      <w:r>
        <w:t>.</w:t>
      </w:r>
      <w:r>
        <w:tab/>
        <w:t>Citation</w:t>
      </w:r>
      <w:bookmarkEnd w:id="7"/>
    </w:p>
    <w:p w:rsidR="00FA7C52" w:rsidRDefault="00AE0E2D">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Fisheries Adjustment Schemes Regulations 2009</w:t>
      </w:r>
      <w:r>
        <w:t>.</w:t>
      </w:r>
    </w:p>
    <w:p w:rsidR="00FA7C52" w:rsidRDefault="00AE0E2D">
      <w:pPr>
        <w:pStyle w:val="Heading5"/>
        <w:rPr>
          <w:spacing w:val="-2"/>
        </w:rPr>
      </w:pPr>
      <w:bookmarkStart w:id="9" w:name="_Toc67477236"/>
      <w:r>
        <w:rPr>
          <w:rStyle w:val="CharSectno"/>
        </w:rPr>
        <w:t>2</w:t>
      </w:r>
      <w:r>
        <w:rPr>
          <w:spacing w:val="-2"/>
        </w:rPr>
        <w:t>.</w:t>
      </w:r>
      <w:r>
        <w:rPr>
          <w:spacing w:val="-2"/>
        </w:rPr>
        <w:tab/>
        <w:t>Commencement</w:t>
      </w:r>
      <w:bookmarkEnd w:id="9"/>
    </w:p>
    <w:p w:rsidR="00FA7C52" w:rsidRDefault="00AE0E2D">
      <w:pPr>
        <w:pStyle w:val="Subsection"/>
        <w:rPr>
          <w:spacing w:val="-2"/>
        </w:rPr>
      </w:pPr>
      <w:r>
        <w:rPr>
          <w:spacing w:val="-2"/>
        </w:rPr>
        <w:tab/>
      </w:r>
      <w:r>
        <w:rPr>
          <w:spacing w:val="-2"/>
        </w:rPr>
        <w:tab/>
        <w:t>These regulations come int</w:t>
      </w:r>
      <w:r>
        <w:rPr>
          <w:spacing w:val="-2"/>
        </w:rPr>
        <w:t>o operation as follows</w:t>
      </w:r>
      <w:r>
        <w:t> —</w:t>
      </w:r>
    </w:p>
    <w:p w:rsidR="00FA7C52" w:rsidRDefault="00AE0E2D">
      <w:pPr>
        <w:pStyle w:val="Indenta"/>
      </w:pPr>
      <w:r>
        <w:tab/>
        <w:t>(a)</w:t>
      </w:r>
      <w:r>
        <w:tab/>
        <w:t xml:space="preserve">regulations 1 and 2 — on the day on which these regulations are published in the </w:t>
      </w:r>
      <w:r>
        <w:rPr>
          <w:i/>
          <w:iCs/>
        </w:rPr>
        <w:t>Gazette</w:t>
      </w:r>
      <w:r>
        <w:t>;</w:t>
      </w:r>
    </w:p>
    <w:p w:rsidR="00FA7C52" w:rsidRDefault="00AE0E2D">
      <w:pPr>
        <w:pStyle w:val="Indenta"/>
      </w:pPr>
      <w:r>
        <w:tab/>
        <w:t>(b)</w:t>
      </w:r>
      <w:r>
        <w:tab/>
        <w:t>the rest of the regulations — on the day after that day.</w:t>
      </w:r>
    </w:p>
    <w:p w:rsidR="00FA7C52" w:rsidRDefault="00AE0E2D">
      <w:pPr>
        <w:pStyle w:val="Heading2"/>
        <w:rPr>
          <w:snapToGrid/>
        </w:rPr>
      </w:pPr>
      <w:bookmarkStart w:id="10" w:name="_Toc67397291"/>
      <w:bookmarkStart w:id="11" w:name="_Toc67399776"/>
      <w:bookmarkStart w:id="12" w:name="_Toc67400003"/>
      <w:bookmarkStart w:id="13" w:name="_Toc67477237"/>
      <w:r>
        <w:rPr>
          <w:rStyle w:val="CharPartNo"/>
        </w:rPr>
        <w:lastRenderedPageBreak/>
        <w:t>Part 2</w:t>
      </w:r>
      <w:r>
        <w:rPr>
          <w:b w:val="0"/>
        </w:rPr>
        <w:t> </w:t>
      </w:r>
      <w:r>
        <w:t>—</w:t>
      </w:r>
      <w:r>
        <w:rPr>
          <w:b w:val="0"/>
        </w:rPr>
        <w:t> </w:t>
      </w:r>
      <w:r>
        <w:rPr>
          <w:rStyle w:val="CharPartText"/>
        </w:rPr>
        <w:t>Abrolhos Islands Fishery</w:t>
      </w:r>
      <w:bookmarkEnd w:id="10"/>
      <w:bookmarkEnd w:id="11"/>
      <w:bookmarkEnd w:id="12"/>
      <w:bookmarkEnd w:id="13"/>
    </w:p>
    <w:p w:rsidR="00FA7C52" w:rsidRDefault="00AE0E2D">
      <w:pPr>
        <w:pStyle w:val="Footnoteheading"/>
      </w:pPr>
      <w:r>
        <w:tab/>
        <w:t xml:space="preserve">[Heading inserted: Gazette 12 Feb 2010 </w:t>
      </w:r>
      <w:r>
        <w:t>p. 589.]</w:t>
      </w:r>
    </w:p>
    <w:p w:rsidR="00FA7C52" w:rsidRDefault="00AE0E2D">
      <w:pPr>
        <w:pStyle w:val="Heading5"/>
      </w:pPr>
      <w:bookmarkStart w:id="14" w:name="_Toc67477238"/>
      <w:r>
        <w:rPr>
          <w:rStyle w:val="CharSectno"/>
        </w:rPr>
        <w:t>3</w:t>
      </w:r>
      <w:r>
        <w:t>.</w:t>
      </w:r>
      <w:r>
        <w:tab/>
        <w:t>Terms used</w:t>
      </w:r>
      <w:bookmarkEnd w:id="14"/>
    </w:p>
    <w:p w:rsidR="00FA7C52" w:rsidRDefault="00AE0E2D">
      <w:pPr>
        <w:pStyle w:val="Subsection"/>
        <w:rPr>
          <w:szCs w:val="24"/>
        </w:rPr>
      </w:pPr>
      <w:r>
        <w:tab/>
      </w:r>
      <w:r>
        <w:tab/>
        <w:t xml:space="preserve">In this Part — </w:t>
      </w:r>
    </w:p>
    <w:p w:rsidR="00FA7C52" w:rsidRDefault="00AE0E2D">
      <w:pPr>
        <w:pStyle w:val="Defstart"/>
      </w:pPr>
      <w:r>
        <w:tab/>
      </w:r>
      <w:r>
        <w:rPr>
          <w:rStyle w:val="CharDefText"/>
        </w:rPr>
        <w:t>Abrolhos Islands Fishery</w:t>
      </w:r>
      <w:r>
        <w:t xml:space="preserve"> means the Fishery as defined in the Abrolhos Islands Notice clause 2;</w:t>
      </w:r>
    </w:p>
    <w:p w:rsidR="00FA7C52" w:rsidRDefault="00AE0E2D">
      <w:pPr>
        <w:pStyle w:val="Defstart"/>
      </w:pPr>
      <w:r>
        <w:tab/>
      </w:r>
      <w:r>
        <w:rPr>
          <w:rStyle w:val="CharDefText"/>
        </w:rPr>
        <w:t>Abrolhos Islands Notice</w:t>
      </w:r>
      <w:r>
        <w:t xml:space="preserve"> means the </w:t>
      </w:r>
      <w:r>
        <w:rPr>
          <w:i/>
          <w:iCs/>
        </w:rPr>
        <w:t>Abrolhos Islands and Mid West Trawl Managed Fishery Voluntary Fisheries Adjustment S</w:t>
      </w:r>
      <w:r>
        <w:rPr>
          <w:i/>
          <w:iCs/>
        </w:rPr>
        <w:t xml:space="preserve">cheme Notice </w:t>
      </w:r>
      <w:r>
        <w:rPr>
          <w:i/>
        </w:rPr>
        <w:t>2009</w:t>
      </w:r>
      <w:r>
        <w:t xml:space="preserve"> as amended by the </w:t>
      </w:r>
      <w:r>
        <w:rPr>
          <w:i/>
        </w:rPr>
        <w:t>Abrolhos Islands and Mid West Trawl Managed Fishery Voluntary Fisheries Adjustment Scheme Amendment Notice 2010</w:t>
      </w:r>
      <w:r>
        <w:t xml:space="preserve"> and the </w:t>
      </w:r>
      <w:r>
        <w:rPr>
          <w:i/>
        </w:rPr>
        <w:t xml:space="preserve">Abrolhos Islands and Mid West Trawl Managed Fishery Voluntary Fisheries Adjustment Scheme Amendment </w:t>
      </w:r>
      <w:r>
        <w:rPr>
          <w:i/>
        </w:rPr>
        <w:t>Notice 2015</w:t>
      </w:r>
      <w:r>
        <w:t>;</w:t>
      </w:r>
    </w:p>
    <w:p w:rsidR="00FA7C52" w:rsidRDefault="00AE0E2D">
      <w:pPr>
        <w:pStyle w:val="Defstart"/>
      </w:pPr>
      <w:r>
        <w:tab/>
      </w:r>
      <w:r>
        <w:rPr>
          <w:rStyle w:val="CharDefText"/>
        </w:rPr>
        <w:t>Abrolhos Islands Voluntary Scheme</w:t>
      </w:r>
      <w:r>
        <w:t xml:space="preserve"> means the voluntary fisheries adjustment scheme established by the Abrolhos Islands Notice clause 3;</w:t>
      </w:r>
    </w:p>
    <w:p w:rsidR="00FA7C52" w:rsidRDefault="00AE0E2D">
      <w:pPr>
        <w:pStyle w:val="Defstart"/>
      </w:pPr>
      <w:r>
        <w:tab/>
      </w:r>
      <w:r>
        <w:rPr>
          <w:rStyle w:val="CharDefText"/>
        </w:rPr>
        <w:t>authorisation</w:t>
      </w:r>
      <w:r>
        <w:t xml:space="preserve"> means an authorisation that authorises fishing in the Abrolhos Islands Fishery.</w:t>
      </w:r>
    </w:p>
    <w:p w:rsidR="00FA7C52" w:rsidRDefault="00AE0E2D">
      <w:pPr>
        <w:pStyle w:val="Footnotesection"/>
      </w:pPr>
      <w:r>
        <w:tab/>
        <w:t>[Regulation</w:t>
      </w:r>
      <w:r>
        <w:t xml:space="preserve"> 3 amended: Gazette 12 Feb 2010 p. 589; 5 Jul 2011 p. 2823; 22 Jan 2016 p. 197.]</w:t>
      </w:r>
    </w:p>
    <w:p w:rsidR="00FA7C52" w:rsidRDefault="00AE0E2D">
      <w:pPr>
        <w:pStyle w:val="Heading5"/>
      </w:pPr>
      <w:bookmarkStart w:id="15" w:name="_Toc67477239"/>
      <w:r>
        <w:rPr>
          <w:rStyle w:val="CharSectno"/>
        </w:rPr>
        <w:t>4</w:t>
      </w:r>
      <w:r>
        <w:t>.</w:t>
      </w:r>
      <w:r>
        <w:tab/>
        <w:t>Fee under s. 8 imposed</w:t>
      </w:r>
      <w:bookmarkEnd w:id="15"/>
    </w:p>
    <w:p w:rsidR="00FA7C52" w:rsidRDefault="00AE0E2D">
      <w:pPr>
        <w:pStyle w:val="Subsection"/>
      </w:pPr>
      <w:r>
        <w:tab/>
        <w:t>(1)</w:t>
      </w:r>
      <w:r>
        <w:tab/>
        <w:t>For the purposes of the Abrolhos Islands Voluntary Scheme the fees specified in the Table are imposed in respect of each authorisation.</w:t>
      </w:r>
    </w:p>
    <w:p w:rsidR="00FA7C52" w:rsidRDefault="00AE0E2D">
      <w:pPr>
        <w:pStyle w:val="Subsection"/>
      </w:pPr>
      <w:r>
        <w:tab/>
        <w:t>(2)</w:t>
      </w:r>
      <w:r>
        <w:tab/>
        <w:t>The</w:t>
      </w:r>
      <w:r>
        <w:t xml:space="preserve"> date by which each fee specified in the Table must be paid is the date specified in the Table that corresponds to that fee.</w:t>
      </w:r>
    </w:p>
    <w:p w:rsidR="00FA7C52" w:rsidRDefault="00AE0E2D">
      <w:pPr>
        <w:pStyle w:val="Subsection"/>
      </w:pPr>
      <w:r>
        <w:tab/>
        <w:t>(3)</w:t>
      </w:r>
      <w:r>
        <w:tab/>
        <w:t>The fees specified in the Table are payable to the CEO at the head office of the Department.</w:t>
      </w:r>
    </w:p>
    <w:p w:rsidR="00FA7C52" w:rsidRDefault="00AE0E2D">
      <w:pPr>
        <w:pStyle w:val="THeadingNAm"/>
      </w:pPr>
      <w:r>
        <w:lastRenderedPageBreak/>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rsidR="00FA7C52">
        <w:trPr>
          <w:trHeight w:val="677"/>
          <w:tblHeader/>
        </w:trPr>
        <w:tc>
          <w:tcPr>
            <w:tcW w:w="850" w:type="dxa"/>
            <w:noWrap/>
          </w:tcPr>
          <w:p w:rsidR="00FA7C52" w:rsidRDefault="00AE0E2D">
            <w:pPr>
              <w:pStyle w:val="TableNAm"/>
              <w:jc w:val="center"/>
              <w:rPr>
                <w:b/>
                <w:bCs/>
              </w:rPr>
            </w:pPr>
            <w:r>
              <w:rPr>
                <w:b/>
              </w:rPr>
              <w:t>Item</w:t>
            </w:r>
          </w:p>
        </w:tc>
        <w:tc>
          <w:tcPr>
            <w:tcW w:w="2552" w:type="dxa"/>
            <w:noWrap/>
          </w:tcPr>
          <w:p w:rsidR="00FA7C52" w:rsidRDefault="00AE0E2D">
            <w:pPr>
              <w:pStyle w:val="TableNAm"/>
              <w:jc w:val="center"/>
              <w:rPr>
                <w:b/>
              </w:rPr>
            </w:pPr>
            <w:r>
              <w:rPr>
                <w:b/>
              </w:rPr>
              <w:t>Fee imposed</w:t>
            </w:r>
          </w:p>
        </w:tc>
        <w:tc>
          <w:tcPr>
            <w:tcW w:w="2693" w:type="dxa"/>
            <w:noWrap/>
          </w:tcPr>
          <w:p w:rsidR="00FA7C52" w:rsidRDefault="00AE0E2D">
            <w:pPr>
              <w:pStyle w:val="TableNAm"/>
              <w:jc w:val="center"/>
              <w:rPr>
                <w:b/>
              </w:rPr>
            </w:pPr>
            <w:r>
              <w:rPr>
                <w:b/>
              </w:rPr>
              <w:t>Date by wh</w:t>
            </w:r>
            <w:r>
              <w:rPr>
                <w:b/>
              </w:rPr>
              <w:t>ich fee must be paid</w:t>
            </w:r>
          </w:p>
        </w:tc>
      </w:tr>
      <w:tr w:rsidR="00FA7C52">
        <w:trPr>
          <w:trHeight w:val="394"/>
        </w:trPr>
        <w:tc>
          <w:tcPr>
            <w:tcW w:w="850" w:type="dxa"/>
            <w:noWrap/>
          </w:tcPr>
          <w:p w:rsidR="00FA7C52" w:rsidRDefault="00AE0E2D">
            <w:pPr>
              <w:pStyle w:val="TableNAm"/>
            </w:pPr>
            <w:r>
              <w:t>1.</w:t>
            </w:r>
          </w:p>
        </w:tc>
        <w:tc>
          <w:tcPr>
            <w:tcW w:w="2552" w:type="dxa"/>
            <w:noWrap/>
          </w:tcPr>
          <w:p w:rsidR="00FA7C52" w:rsidRDefault="00AE0E2D">
            <w:pPr>
              <w:pStyle w:val="TableNAm"/>
            </w:pPr>
            <w:r>
              <w:t>$84 858</w:t>
            </w:r>
          </w:p>
        </w:tc>
        <w:tc>
          <w:tcPr>
            <w:tcW w:w="2693" w:type="dxa"/>
            <w:noWrap/>
          </w:tcPr>
          <w:p w:rsidR="00FA7C52" w:rsidRDefault="00AE0E2D">
            <w:pPr>
              <w:pStyle w:val="TableNAm"/>
            </w:pPr>
            <w:r>
              <w:t>31 March </w:t>
            </w:r>
            <w:r>
              <w:rPr>
                <w:szCs w:val="24"/>
              </w:rPr>
              <w:t>2021</w:t>
            </w:r>
          </w:p>
        </w:tc>
      </w:tr>
      <w:tr w:rsidR="00FA7C52">
        <w:trPr>
          <w:trHeight w:val="406"/>
        </w:trPr>
        <w:tc>
          <w:tcPr>
            <w:tcW w:w="850" w:type="dxa"/>
            <w:noWrap/>
          </w:tcPr>
          <w:p w:rsidR="00FA7C52" w:rsidRDefault="00AE0E2D">
            <w:pPr>
              <w:pStyle w:val="TableNAm"/>
            </w:pPr>
            <w:r>
              <w:t>2.</w:t>
            </w:r>
          </w:p>
        </w:tc>
        <w:tc>
          <w:tcPr>
            <w:tcW w:w="2552" w:type="dxa"/>
            <w:noWrap/>
          </w:tcPr>
          <w:p w:rsidR="00FA7C52" w:rsidRDefault="00AE0E2D">
            <w:pPr>
              <w:pStyle w:val="TableNAm"/>
            </w:pPr>
            <w:r>
              <w:t>$112 921</w:t>
            </w:r>
          </w:p>
        </w:tc>
        <w:tc>
          <w:tcPr>
            <w:tcW w:w="2693" w:type="dxa"/>
            <w:noWrap/>
          </w:tcPr>
          <w:p w:rsidR="00FA7C52" w:rsidRDefault="00AE0E2D">
            <w:pPr>
              <w:pStyle w:val="TableNAm"/>
            </w:pPr>
            <w:r>
              <w:t>1 March </w:t>
            </w:r>
            <w:r>
              <w:rPr>
                <w:szCs w:val="24"/>
              </w:rPr>
              <w:t>2022</w:t>
            </w:r>
          </w:p>
        </w:tc>
      </w:tr>
      <w:tr w:rsidR="00FA7C52">
        <w:trPr>
          <w:trHeight w:val="394"/>
        </w:trPr>
        <w:tc>
          <w:tcPr>
            <w:tcW w:w="850" w:type="dxa"/>
            <w:noWrap/>
          </w:tcPr>
          <w:p w:rsidR="00FA7C52" w:rsidRDefault="00AE0E2D">
            <w:pPr>
              <w:pStyle w:val="TableNAm"/>
            </w:pPr>
            <w:r>
              <w:t>3.</w:t>
            </w:r>
          </w:p>
        </w:tc>
        <w:tc>
          <w:tcPr>
            <w:tcW w:w="2552" w:type="dxa"/>
            <w:noWrap/>
          </w:tcPr>
          <w:p w:rsidR="00FA7C52" w:rsidRDefault="00AE0E2D">
            <w:pPr>
              <w:pStyle w:val="TableNAm"/>
            </w:pPr>
            <w:r>
              <w:t>$107 461</w:t>
            </w:r>
          </w:p>
        </w:tc>
        <w:tc>
          <w:tcPr>
            <w:tcW w:w="2693" w:type="dxa"/>
            <w:noWrap/>
          </w:tcPr>
          <w:p w:rsidR="00FA7C52" w:rsidRDefault="00AE0E2D">
            <w:pPr>
              <w:pStyle w:val="TableNAm"/>
            </w:pPr>
            <w:r>
              <w:t>1 March </w:t>
            </w:r>
            <w:r>
              <w:rPr>
                <w:szCs w:val="24"/>
              </w:rPr>
              <w:t>2023</w:t>
            </w:r>
          </w:p>
        </w:tc>
      </w:tr>
      <w:tr w:rsidR="00FA7C52">
        <w:trPr>
          <w:trHeight w:val="406"/>
        </w:trPr>
        <w:tc>
          <w:tcPr>
            <w:tcW w:w="850" w:type="dxa"/>
            <w:noWrap/>
          </w:tcPr>
          <w:p w:rsidR="00FA7C52" w:rsidRDefault="00AE0E2D">
            <w:pPr>
              <w:pStyle w:val="TableNAm"/>
            </w:pPr>
            <w:r>
              <w:t>4.</w:t>
            </w:r>
          </w:p>
        </w:tc>
        <w:tc>
          <w:tcPr>
            <w:tcW w:w="2552" w:type="dxa"/>
            <w:noWrap/>
          </w:tcPr>
          <w:p w:rsidR="00FA7C52" w:rsidRDefault="00AE0E2D">
            <w:pPr>
              <w:pStyle w:val="TableNAm"/>
            </w:pPr>
            <w:r>
              <w:t>$108 015</w:t>
            </w:r>
          </w:p>
        </w:tc>
        <w:tc>
          <w:tcPr>
            <w:tcW w:w="2693" w:type="dxa"/>
            <w:noWrap/>
          </w:tcPr>
          <w:p w:rsidR="00FA7C52" w:rsidRDefault="00AE0E2D">
            <w:pPr>
              <w:pStyle w:val="TableNAm"/>
            </w:pPr>
            <w:r>
              <w:t>1 </w:t>
            </w:r>
            <w:r>
              <w:rPr>
                <w:szCs w:val="24"/>
              </w:rPr>
              <w:t>March</w:t>
            </w:r>
            <w:r>
              <w:t> 2024</w:t>
            </w:r>
          </w:p>
        </w:tc>
      </w:tr>
      <w:tr w:rsidR="00FA7C52">
        <w:trPr>
          <w:trHeight w:val="406"/>
        </w:trPr>
        <w:tc>
          <w:tcPr>
            <w:tcW w:w="850" w:type="dxa"/>
            <w:noWrap/>
          </w:tcPr>
          <w:p w:rsidR="00FA7C52" w:rsidRDefault="00AE0E2D">
            <w:pPr>
              <w:pStyle w:val="TableNAm"/>
            </w:pPr>
            <w:r>
              <w:t>5.</w:t>
            </w:r>
          </w:p>
        </w:tc>
        <w:tc>
          <w:tcPr>
            <w:tcW w:w="2552" w:type="dxa"/>
            <w:noWrap/>
          </w:tcPr>
          <w:p w:rsidR="00FA7C52" w:rsidRDefault="00AE0E2D">
            <w:pPr>
              <w:pStyle w:val="TableNAm"/>
            </w:pPr>
            <w:r>
              <w:t>$105 273</w:t>
            </w:r>
          </w:p>
        </w:tc>
        <w:tc>
          <w:tcPr>
            <w:tcW w:w="2693" w:type="dxa"/>
            <w:noWrap/>
          </w:tcPr>
          <w:p w:rsidR="00FA7C52" w:rsidRDefault="00AE0E2D">
            <w:pPr>
              <w:pStyle w:val="TableNAm"/>
            </w:pPr>
            <w:r>
              <w:t>1 March 2025</w:t>
            </w:r>
          </w:p>
        </w:tc>
      </w:tr>
      <w:tr w:rsidR="00FA7C52">
        <w:trPr>
          <w:trHeight w:val="406"/>
        </w:trPr>
        <w:tc>
          <w:tcPr>
            <w:tcW w:w="850" w:type="dxa"/>
            <w:noWrap/>
          </w:tcPr>
          <w:p w:rsidR="00FA7C52" w:rsidRDefault="00AE0E2D">
            <w:pPr>
              <w:pStyle w:val="TableNAm"/>
            </w:pPr>
            <w:r>
              <w:t>6.</w:t>
            </w:r>
          </w:p>
        </w:tc>
        <w:tc>
          <w:tcPr>
            <w:tcW w:w="2552" w:type="dxa"/>
            <w:noWrap/>
          </w:tcPr>
          <w:p w:rsidR="00FA7C52" w:rsidRDefault="00AE0E2D">
            <w:pPr>
              <w:pStyle w:val="TableNAm"/>
            </w:pPr>
            <w:r>
              <w:t>$102 531</w:t>
            </w:r>
          </w:p>
        </w:tc>
        <w:tc>
          <w:tcPr>
            <w:tcW w:w="2693" w:type="dxa"/>
            <w:noWrap/>
          </w:tcPr>
          <w:p w:rsidR="00FA7C52" w:rsidRDefault="00AE0E2D">
            <w:pPr>
              <w:pStyle w:val="TableNAm"/>
            </w:pPr>
            <w:r>
              <w:t>1 March 2026</w:t>
            </w:r>
          </w:p>
        </w:tc>
      </w:tr>
      <w:tr w:rsidR="00FA7C52">
        <w:trPr>
          <w:trHeight w:val="406"/>
        </w:trPr>
        <w:tc>
          <w:tcPr>
            <w:tcW w:w="850" w:type="dxa"/>
            <w:noWrap/>
          </w:tcPr>
          <w:p w:rsidR="00FA7C52" w:rsidRDefault="00AE0E2D">
            <w:pPr>
              <w:pStyle w:val="TableNAm"/>
            </w:pPr>
            <w:r>
              <w:t>7.</w:t>
            </w:r>
          </w:p>
        </w:tc>
        <w:tc>
          <w:tcPr>
            <w:tcW w:w="2552" w:type="dxa"/>
            <w:noWrap/>
          </w:tcPr>
          <w:p w:rsidR="00FA7C52" w:rsidRDefault="00AE0E2D">
            <w:pPr>
              <w:pStyle w:val="TableNAm"/>
            </w:pPr>
            <w:r>
              <w:t>$101 115</w:t>
            </w:r>
          </w:p>
        </w:tc>
        <w:tc>
          <w:tcPr>
            <w:tcW w:w="2693" w:type="dxa"/>
            <w:noWrap/>
          </w:tcPr>
          <w:p w:rsidR="00FA7C52" w:rsidRDefault="00AE0E2D">
            <w:pPr>
              <w:pStyle w:val="TableNAm"/>
            </w:pPr>
            <w:r>
              <w:t>1 March 2027</w:t>
            </w:r>
          </w:p>
        </w:tc>
      </w:tr>
    </w:tbl>
    <w:p w:rsidR="00FA7C52" w:rsidRDefault="00AE0E2D">
      <w:pPr>
        <w:pStyle w:val="Footnotesection"/>
      </w:pPr>
      <w:r>
        <w:tab/>
        <w:t>[Regulation 4 inserted: Gazette 5 Jan 2018 p. 3</w:t>
      </w:r>
      <w:r>
        <w:noBreakHyphen/>
        <w:t xml:space="preserve">4; </w:t>
      </w:r>
      <w:r>
        <w:t>amended: Gazette 20 Sep 2019 p. 3386; SL 2021/29 r. 4.]</w:t>
      </w:r>
    </w:p>
    <w:p w:rsidR="00FA7C52" w:rsidRDefault="00AE0E2D">
      <w:pPr>
        <w:pStyle w:val="Heading5"/>
      </w:pPr>
      <w:bookmarkStart w:id="16" w:name="_Toc67477240"/>
      <w:r>
        <w:rPr>
          <w:rStyle w:val="CharSectno"/>
        </w:rPr>
        <w:t>5</w:t>
      </w:r>
      <w:r>
        <w:t>.</w:t>
      </w:r>
      <w:r>
        <w:tab/>
        <w:t>Waiver of fee to be paid on 1 March 2021</w:t>
      </w:r>
      <w:bookmarkEnd w:id="16"/>
    </w:p>
    <w:p w:rsidR="00FA7C52" w:rsidRDefault="00AE0E2D">
      <w:pPr>
        <w:pStyle w:val="Subsection"/>
      </w:pPr>
      <w:r>
        <w:tab/>
      </w:r>
      <w:r>
        <w:tab/>
        <w:t xml:space="preserve">The fee payable on 1 March 2021 under regulation 4, as in force immediately before the commencement of the </w:t>
      </w:r>
      <w:r>
        <w:rPr>
          <w:i/>
        </w:rPr>
        <w:t>Fisheries Adjustment Schemes Amendment Regulati</w:t>
      </w:r>
      <w:r>
        <w:rPr>
          <w:i/>
        </w:rPr>
        <w:t>ons 2021</w:t>
      </w:r>
      <w:r>
        <w:t xml:space="preserve"> regulation 4, is waived.</w:t>
      </w:r>
    </w:p>
    <w:p w:rsidR="00FA7C52" w:rsidRDefault="00AE0E2D">
      <w:pPr>
        <w:pStyle w:val="Footnotesection"/>
      </w:pPr>
      <w:r>
        <w:tab/>
        <w:t>[Regulation 5 inserted: SL 2021/29 r. 5.]</w:t>
      </w:r>
    </w:p>
    <w:p w:rsidR="00FA7C52" w:rsidRDefault="00AE0E2D">
      <w:pPr>
        <w:pStyle w:val="Ednotesection"/>
      </w:pPr>
      <w:r>
        <w:t xml:space="preserve"> [</w:t>
      </w:r>
      <w:r>
        <w:rPr>
          <w:b/>
        </w:rPr>
        <w:t>6.</w:t>
      </w:r>
      <w:r>
        <w:tab/>
        <w:t>Deleted: Gazette 5 Jul 2011 p. 2824.]</w:t>
      </w:r>
    </w:p>
    <w:p w:rsidR="00FA7C52" w:rsidRDefault="00AE0E2D">
      <w:pPr>
        <w:pStyle w:val="Ednotepart"/>
      </w:pPr>
      <w:r>
        <w:t>[Part 3 (r. 7</w:t>
      </w:r>
      <w:r>
        <w:noBreakHyphen/>
        <w:t>9) deleted: Gazette 20 Sep 2019 p. 3387.]</w:t>
      </w:r>
    </w:p>
    <w:p w:rsidR="00FA7C52" w:rsidRDefault="00AE0E2D">
      <w:pPr>
        <w:pStyle w:val="Heading2"/>
      </w:pPr>
      <w:bookmarkStart w:id="17" w:name="_Toc67397295"/>
      <w:bookmarkStart w:id="18" w:name="_Toc67399780"/>
      <w:bookmarkStart w:id="19" w:name="_Toc67400007"/>
      <w:bookmarkStart w:id="20" w:name="_Toc67477241"/>
      <w:r>
        <w:rPr>
          <w:rStyle w:val="CharPartNo"/>
        </w:rPr>
        <w:lastRenderedPageBreak/>
        <w:t>Part 4</w:t>
      </w:r>
      <w:r>
        <w:rPr>
          <w:b w:val="0"/>
        </w:rPr>
        <w:t> </w:t>
      </w:r>
      <w:r>
        <w:t>—</w:t>
      </w:r>
      <w:r>
        <w:rPr>
          <w:b w:val="0"/>
        </w:rPr>
        <w:t> </w:t>
      </w:r>
      <w:r>
        <w:rPr>
          <w:rStyle w:val="CharPartText"/>
        </w:rPr>
        <w:t>Shark Bay Prawn Managed Fishery</w:t>
      </w:r>
      <w:bookmarkEnd w:id="17"/>
      <w:bookmarkEnd w:id="18"/>
      <w:bookmarkEnd w:id="19"/>
      <w:bookmarkEnd w:id="20"/>
    </w:p>
    <w:p w:rsidR="00FA7C52" w:rsidRDefault="00AE0E2D">
      <w:pPr>
        <w:pStyle w:val="Footnoteheading"/>
      </w:pPr>
      <w:r>
        <w:tab/>
        <w:t xml:space="preserve">[Heading inserted: Gazette 5 Jul 2011 </w:t>
      </w:r>
      <w:r>
        <w:t>p. 2824.]</w:t>
      </w:r>
    </w:p>
    <w:p w:rsidR="00FA7C52" w:rsidRDefault="00AE0E2D">
      <w:pPr>
        <w:pStyle w:val="Heading5"/>
      </w:pPr>
      <w:bookmarkStart w:id="21" w:name="_Toc67477242"/>
      <w:r>
        <w:rPr>
          <w:rStyle w:val="CharSectno"/>
        </w:rPr>
        <w:t>10</w:t>
      </w:r>
      <w:r>
        <w:t>.</w:t>
      </w:r>
      <w:r>
        <w:tab/>
        <w:t>Terms used</w:t>
      </w:r>
      <w:bookmarkEnd w:id="21"/>
    </w:p>
    <w:p w:rsidR="00FA7C52" w:rsidRDefault="00AE0E2D">
      <w:pPr>
        <w:pStyle w:val="Subsection"/>
      </w:pPr>
      <w:r>
        <w:tab/>
      </w:r>
      <w:r>
        <w:tab/>
        <w:t xml:space="preserve">In this Part — </w:t>
      </w:r>
    </w:p>
    <w:p w:rsidR="00FA7C52" w:rsidRDefault="00AE0E2D">
      <w:pPr>
        <w:pStyle w:val="Defstart"/>
      </w:pPr>
      <w:r>
        <w:tab/>
      </w:r>
      <w:r>
        <w:rPr>
          <w:rStyle w:val="CharDefText"/>
        </w:rPr>
        <w:t>authorisation</w:t>
      </w:r>
      <w:r>
        <w:t xml:space="preserve"> means an authorisation that authorises fishing in the Shark Bay Prawn Managed Fishery;</w:t>
      </w:r>
    </w:p>
    <w:p w:rsidR="00FA7C52" w:rsidRDefault="00AE0E2D">
      <w:pPr>
        <w:pStyle w:val="Defstart"/>
      </w:pPr>
      <w:r>
        <w:tab/>
      </w:r>
      <w:r>
        <w:rPr>
          <w:rStyle w:val="CharDefText"/>
        </w:rPr>
        <w:t>Shark Bay Prawn Managed Fishery</w:t>
      </w:r>
      <w:r>
        <w:t xml:space="preserve"> means the Fishery as defined in the Shark Bay Prawn Managed Fishery Notice clause 2;</w:t>
      </w:r>
    </w:p>
    <w:p w:rsidR="00FA7C52" w:rsidRDefault="00AE0E2D">
      <w:pPr>
        <w:pStyle w:val="Defstart"/>
      </w:pPr>
      <w:r>
        <w:tab/>
      </w:r>
      <w:r>
        <w:rPr>
          <w:rStyle w:val="CharDefText"/>
        </w:rPr>
        <w:t>Shark Bay Prawn Managed Fishery Notice</w:t>
      </w:r>
      <w:r>
        <w:t xml:space="preserve"> means the </w:t>
      </w:r>
      <w:r>
        <w:rPr>
          <w:i/>
        </w:rPr>
        <w:t>Shark Bay Prawn Managed Fishery Voluntary Fisheries Adjustment Scheme Notice 2010</w:t>
      </w:r>
      <w:r>
        <w:t>;</w:t>
      </w:r>
    </w:p>
    <w:p w:rsidR="00FA7C52" w:rsidRDefault="00AE0E2D">
      <w:pPr>
        <w:pStyle w:val="Defstart"/>
      </w:pPr>
      <w:r>
        <w:tab/>
      </w:r>
      <w:r>
        <w:rPr>
          <w:rStyle w:val="CharDefText"/>
        </w:rPr>
        <w:t>Shark Bay Prawn Managed Fishery Volu</w:t>
      </w:r>
      <w:r>
        <w:rPr>
          <w:rStyle w:val="CharDefText"/>
        </w:rPr>
        <w:t>ntary Scheme</w:t>
      </w:r>
      <w:r>
        <w:t xml:space="preserve"> means the voluntary fisheries adjustment scheme established by the Shark Bay Prawn Managed Fishery Notice clause 3.</w:t>
      </w:r>
    </w:p>
    <w:p w:rsidR="00FA7C52" w:rsidRDefault="00AE0E2D">
      <w:pPr>
        <w:pStyle w:val="Footnotesection"/>
      </w:pPr>
      <w:r>
        <w:tab/>
        <w:t>[Regulation 10 inserted: Gazette 5 Jul 2011 p. 2824.]</w:t>
      </w:r>
    </w:p>
    <w:p w:rsidR="00FA7C52" w:rsidRDefault="00AE0E2D">
      <w:pPr>
        <w:pStyle w:val="Heading5"/>
      </w:pPr>
      <w:bookmarkStart w:id="22" w:name="_Toc67477243"/>
      <w:r>
        <w:rPr>
          <w:rStyle w:val="CharSectno"/>
        </w:rPr>
        <w:t>11</w:t>
      </w:r>
      <w:r>
        <w:t>.</w:t>
      </w:r>
      <w:r>
        <w:tab/>
        <w:t>Fee for 2021 — Act s. 8</w:t>
      </w:r>
      <w:bookmarkEnd w:id="22"/>
    </w:p>
    <w:p w:rsidR="00FA7C52" w:rsidRDefault="00AE0E2D">
      <w:pPr>
        <w:pStyle w:val="Subsection"/>
      </w:pPr>
      <w:r>
        <w:tab/>
        <w:t>(1)</w:t>
      </w:r>
      <w:r>
        <w:tab/>
        <w:t>For the purposes of the Shark Bay Prawn</w:t>
      </w:r>
      <w:r>
        <w:t xml:space="preserve"> Managed Fishery Voluntary Scheme, the fees specified in the Table are imposed in respect of each authorisation and must be paid by the date set out opposite the fee in the Table.</w:t>
      </w:r>
    </w:p>
    <w:p w:rsidR="00FA7C52" w:rsidRDefault="00AE0E2D">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2623"/>
      </w:tblGrid>
      <w:tr w:rsidR="00FA7C52">
        <w:trPr>
          <w:tblHeader/>
        </w:trPr>
        <w:tc>
          <w:tcPr>
            <w:tcW w:w="850" w:type="dxa"/>
            <w:noWrap/>
          </w:tcPr>
          <w:p w:rsidR="00FA7C52" w:rsidRDefault="00AE0E2D">
            <w:pPr>
              <w:pStyle w:val="TableNAm"/>
              <w:jc w:val="center"/>
              <w:rPr>
                <w:b/>
              </w:rPr>
            </w:pPr>
            <w:r>
              <w:rPr>
                <w:b/>
              </w:rPr>
              <w:t>Item</w:t>
            </w:r>
          </w:p>
        </w:tc>
        <w:tc>
          <w:tcPr>
            <w:tcW w:w="2622" w:type="dxa"/>
            <w:noWrap/>
          </w:tcPr>
          <w:p w:rsidR="00FA7C52" w:rsidRDefault="00AE0E2D">
            <w:pPr>
              <w:pStyle w:val="TableNAm"/>
              <w:jc w:val="center"/>
              <w:rPr>
                <w:b/>
              </w:rPr>
            </w:pPr>
            <w:r>
              <w:rPr>
                <w:b/>
              </w:rPr>
              <w:t>Fee imposed</w:t>
            </w:r>
          </w:p>
        </w:tc>
        <w:tc>
          <w:tcPr>
            <w:tcW w:w="2623" w:type="dxa"/>
            <w:noWrap/>
          </w:tcPr>
          <w:p w:rsidR="00FA7C52" w:rsidRDefault="00AE0E2D">
            <w:pPr>
              <w:pStyle w:val="TableNAm"/>
              <w:jc w:val="center"/>
              <w:rPr>
                <w:b/>
              </w:rPr>
            </w:pPr>
            <w:r>
              <w:rPr>
                <w:b/>
              </w:rPr>
              <w:t>Date by which fee must be paid</w:t>
            </w:r>
          </w:p>
        </w:tc>
      </w:tr>
      <w:tr w:rsidR="00FA7C52">
        <w:tc>
          <w:tcPr>
            <w:tcW w:w="850" w:type="dxa"/>
            <w:noWrap/>
          </w:tcPr>
          <w:p w:rsidR="00FA7C52" w:rsidRDefault="00AE0E2D">
            <w:pPr>
              <w:pStyle w:val="TableNAm"/>
            </w:pPr>
            <w:r>
              <w:t>1.</w:t>
            </w:r>
          </w:p>
        </w:tc>
        <w:tc>
          <w:tcPr>
            <w:tcW w:w="2622" w:type="dxa"/>
            <w:noWrap/>
          </w:tcPr>
          <w:p w:rsidR="00FA7C52" w:rsidRDefault="00AE0E2D">
            <w:pPr>
              <w:pStyle w:val="TableNAm"/>
            </w:pPr>
            <w:r>
              <w:t>$56 354</w:t>
            </w:r>
          </w:p>
        </w:tc>
        <w:tc>
          <w:tcPr>
            <w:tcW w:w="2623" w:type="dxa"/>
            <w:noWrap/>
          </w:tcPr>
          <w:p w:rsidR="00FA7C52" w:rsidRDefault="00AE0E2D">
            <w:pPr>
              <w:pStyle w:val="TableNAm"/>
            </w:pPr>
            <w:r>
              <w:t>31 March </w:t>
            </w:r>
            <w:r>
              <w:rPr>
                <w:szCs w:val="24"/>
              </w:rPr>
              <w:t>2021</w:t>
            </w:r>
          </w:p>
        </w:tc>
      </w:tr>
      <w:tr w:rsidR="00FA7C52">
        <w:tc>
          <w:tcPr>
            <w:tcW w:w="850" w:type="dxa"/>
            <w:noWrap/>
          </w:tcPr>
          <w:p w:rsidR="00FA7C52" w:rsidRDefault="00AE0E2D">
            <w:pPr>
              <w:pStyle w:val="TableNAm"/>
            </w:pPr>
            <w:r>
              <w:t>2.</w:t>
            </w:r>
          </w:p>
        </w:tc>
        <w:tc>
          <w:tcPr>
            <w:tcW w:w="2622" w:type="dxa"/>
            <w:noWrap/>
          </w:tcPr>
          <w:p w:rsidR="00FA7C52" w:rsidRDefault="00AE0E2D">
            <w:pPr>
              <w:pStyle w:val="TableNAm"/>
            </w:pPr>
            <w:r>
              <w:t>$52 790</w:t>
            </w:r>
          </w:p>
        </w:tc>
        <w:tc>
          <w:tcPr>
            <w:tcW w:w="2623" w:type="dxa"/>
            <w:noWrap/>
          </w:tcPr>
          <w:p w:rsidR="00FA7C52" w:rsidRDefault="00AE0E2D">
            <w:pPr>
              <w:pStyle w:val="TableNAm"/>
            </w:pPr>
            <w:r>
              <w:t>1 June 2021</w:t>
            </w:r>
          </w:p>
        </w:tc>
      </w:tr>
      <w:tr w:rsidR="00FA7C52">
        <w:tc>
          <w:tcPr>
            <w:tcW w:w="850" w:type="dxa"/>
            <w:noWrap/>
          </w:tcPr>
          <w:p w:rsidR="00FA7C52" w:rsidRDefault="00AE0E2D">
            <w:pPr>
              <w:pStyle w:val="TableNAm"/>
            </w:pPr>
            <w:r>
              <w:t>3.</w:t>
            </w:r>
          </w:p>
        </w:tc>
        <w:tc>
          <w:tcPr>
            <w:tcW w:w="2622" w:type="dxa"/>
            <w:noWrap/>
          </w:tcPr>
          <w:p w:rsidR="00FA7C52" w:rsidRDefault="00AE0E2D">
            <w:pPr>
              <w:pStyle w:val="TableNAm"/>
            </w:pPr>
            <w:r>
              <w:t>$52 887</w:t>
            </w:r>
          </w:p>
        </w:tc>
        <w:tc>
          <w:tcPr>
            <w:tcW w:w="2623" w:type="dxa"/>
            <w:noWrap/>
          </w:tcPr>
          <w:p w:rsidR="00FA7C52" w:rsidRDefault="00AE0E2D">
            <w:pPr>
              <w:pStyle w:val="TableNAm"/>
            </w:pPr>
            <w:r>
              <w:t>1 September 2021</w:t>
            </w:r>
          </w:p>
        </w:tc>
      </w:tr>
      <w:tr w:rsidR="00FA7C52">
        <w:tc>
          <w:tcPr>
            <w:tcW w:w="850" w:type="dxa"/>
            <w:noWrap/>
          </w:tcPr>
          <w:p w:rsidR="00FA7C52" w:rsidRDefault="00AE0E2D">
            <w:pPr>
              <w:pStyle w:val="TableNAm"/>
            </w:pPr>
            <w:r>
              <w:lastRenderedPageBreak/>
              <w:t>4.</w:t>
            </w:r>
          </w:p>
        </w:tc>
        <w:tc>
          <w:tcPr>
            <w:tcW w:w="2622" w:type="dxa"/>
            <w:noWrap/>
          </w:tcPr>
          <w:p w:rsidR="00FA7C52" w:rsidRDefault="00AE0E2D">
            <w:pPr>
              <w:pStyle w:val="TableNAm"/>
            </w:pPr>
            <w:r>
              <w:t>$53 000</w:t>
            </w:r>
          </w:p>
        </w:tc>
        <w:tc>
          <w:tcPr>
            <w:tcW w:w="2623" w:type="dxa"/>
            <w:noWrap/>
          </w:tcPr>
          <w:p w:rsidR="00FA7C52" w:rsidRDefault="00AE0E2D">
            <w:pPr>
              <w:pStyle w:val="TableNAm"/>
            </w:pPr>
            <w:r>
              <w:t>1 December 2021</w:t>
            </w:r>
          </w:p>
        </w:tc>
      </w:tr>
    </w:tbl>
    <w:p w:rsidR="00FA7C52" w:rsidRDefault="00AE0E2D">
      <w:pPr>
        <w:pStyle w:val="Subsection"/>
      </w:pPr>
      <w:r>
        <w:tab/>
        <w:t>(2)</w:t>
      </w:r>
      <w:r>
        <w:tab/>
        <w:t>The fees specified in the Table to subregulation (1) are payable to the CEO at the head office of the Department.</w:t>
      </w:r>
    </w:p>
    <w:p w:rsidR="00FA7C52" w:rsidRDefault="00AE0E2D">
      <w:pPr>
        <w:pStyle w:val="Footnotesection"/>
      </w:pPr>
      <w:r>
        <w:tab/>
        <w:t>[Regulation 11 inserted: SL 2021/29 r. 6.]</w:t>
      </w:r>
    </w:p>
    <w:p w:rsidR="00FA7C52" w:rsidRDefault="00AE0E2D">
      <w:pPr>
        <w:pStyle w:val="Heading5"/>
      </w:pPr>
      <w:bookmarkStart w:id="23" w:name="_Toc67477244"/>
      <w:r>
        <w:rPr>
          <w:rStyle w:val="CharSectno"/>
        </w:rPr>
        <w:t>12</w:t>
      </w:r>
      <w:r>
        <w:t>.</w:t>
      </w:r>
      <w:r>
        <w:tab/>
      </w:r>
      <w:r>
        <w:t>Waiver of fee to be paid on 1 March 2021</w:t>
      </w:r>
      <w:bookmarkEnd w:id="23"/>
    </w:p>
    <w:p w:rsidR="00FA7C52" w:rsidRDefault="00AE0E2D">
      <w:pPr>
        <w:pStyle w:val="Subsection"/>
      </w:pPr>
      <w:r>
        <w:tab/>
      </w:r>
      <w:r>
        <w:tab/>
        <w:t xml:space="preserve">The fee payable on 1 March 2021 under this Part, as in force immediately before the commencement of the </w:t>
      </w:r>
      <w:r>
        <w:rPr>
          <w:i/>
        </w:rPr>
        <w:t>Fisheries Adjustment Schemes Amendment Regulations 2021</w:t>
      </w:r>
      <w:r>
        <w:t xml:space="preserve"> regulation 6, is waived.</w:t>
      </w:r>
    </w:p>
    <w:p w:rsidR="00FA7C52" w:rsidRDefault="00AE0E2D">
      <w:pPr>
        <w:pStyle w:val="Footnotesection"/>
      </w:pPr>
      <w:r>
        <w:tab/>
        <w:t>[Regulation 12 inserted: SL</w:t>
      </w:r>
      <w:r>
        <w:t> 2021/29 r. 6.]</w:t>
      </w:r>
    </w:p>
    <w:p w:rsidR="00FA7C52" w:rsidRDefault="00AE0E2D">
      <w:pPr>
        <w:pStyle w:val="Ednotesection"/>
      </w:pPr>
      <w:r>
        <w:t>[</w:t>
      </w:r>
      <w:r>
        <w:rPr>
          <w:b/>
        </w:rPr>
        <w:t>12A.</w:t>
      </w:r>
      <w:r>
        <w:tab/>
        <w:t>Deleted: SL 2021/29 r. 6.]</w:t>
      </w:r>
    </w:p>
    <w:p w:rsidR="00FA7C52" w:rsidRDefault="00AE0E2D">
      <w:pPr>
        <w:pStyle w:val="Heading2"/>
      </w:pPr>
      <w:bookmarkStart w:id="24" w:name="_Toc67397300"/>
      <w:bookmarkStart w:id="25" w:name="_Toc67399784"/>
      <w:bookmarkStart w:id="26" w:name="_Toc67400011"/>
      <w:bookmarkStart w:id="27" w:name="_Toc67477245"/>
      <w:r>
        <w:rPr>
          <w:rStyle w:val="CharPartNo"/>
        </w:rPr>
        <w:lastRenderedPageBreak/>
        <w:t>Part 5</w:t>
      </w:r>
      <w:r>
        <w:rPr>
          <w:b w:val="0"/>
        </w:rPr>
        <w:t> </w:t>
      </w:r>
      <w:r>
        <w:t>—</w:t>
      </w:r>
      <w:r>
        <w:rPr>
          <w:b w:val="0"/>
        </w:rPr>
        <w:t> </w:t>
      </w:r>
      <w:r>
        <w:rPr>
          <w:rStyle w:val="CharPartText"/>
        </w:rPr>
        <w:t>Shark Bay Scallop Managed Fishery</w:t>
      </w:r>
      <w:bookmarkEnd w:id="24"/>
      <w:bookmarkEnd w:id="25"/>
      <w:bookmarkEnd w:id="26"/>
      <w:bookmarkEnd w:id="27"/>
    </w:p>
    <w:p w:rsidR="00FA7C52" w:rsidRDefault="00AE0E2D">
      <w:pPr>
        <w:pStyle w:val="Footnoteheading"/>
      </w:pPr>
      <w:r>
        <w:tab/>
        <w:t>[Heading inserted: Gazette 5 Jul 2011 p. 2825.]</w:t>
      </w:r>
    </w:p>
    <w:p w:rsidR="00FA7C52" w:rsidRDefault="00AE0E2D">
      <w:pPr>
        <w:pStyle w:val="Heading5"/>
      </w:pPr>
      <w:bookmarkStart w:id="28" w:name="_Toc67477246"/>
      <w:r>
        <w:rPr>
          <w:rStyle w:val="CharSectno"/>
        </w:rPr>
        <w:t>13</w:t>
      </w:r>
      <w:r>
        <w:t>.</w:t>
      </w:r>
      <w:r>
        <w:tab/>
        <w:t>Terms used</w:t>
      </w:r>
      <w:bookmarkEnd w:id="28"/>
    </w:p>
    <w:p w:rsidR="00FA7C52" w:rsidRDefault="00AE0E2D">
      <w:pPr>
        <w:pStyle w:val="Subsection"/>
      </w:pPr>
      <w:r>
        <w:tab/>
      </w:r>
      <w:r>
        <w:tab/>
        <w:t xml:space="preserve">In this Part — </w:t>
      </w:r>
    </w:p>
    <w:p w:rsidR="00FA7C52" w:rsidRDefault="00AE0E2D">
      <w:pPr>
        <w:pStyle w:val="Defstart"/>
      </w:pPr>
      <w:r>
        <w:tab/>
      </w:r>
      <w:r>
        <w:rPr>
          <w:rStyle w:val="CharDefText"/>
        </w:rPr>
        <w:t>managed fishery licence</w:t>
      </w:r>
      <w:r>
        <w:t xml:space="preserve"> has the meaning given in the Shark Bay Scallop Managed Fishery Notice clause 2;</w:t>
      </w:r>
    </w:p>
    <w:p w:rsidR="00FA7C52" w:rsidRDefault="00AE0E2D">
      <w:pPr>
        <w:pStyle w:val="Defstart"/>
      </w:pPr>
      <w:r>
        <w:tab/>
      </w:r>
      <w:r>
        <w:rPr>
          <w:rStyle w:val="CharDefText"/>
        </w:rPr>
        <w:t>Shark Bay Scallop Managed Fishery Notice</w:t>
      </w:r>
      <w:r>
        <w:t xml:space="preserve"> means the </w:t>
      </w:r>
      <w:r>
        <w:rPr>
          <w:i/>
        </w:rPr>
        <w:t>Shark Bay Scallop Managed Fishery Voluntary Fisheries Adjustment Scheme Notice 2010</w:t>
      </w:r>
      <w:r>
        <w:t>;</w:t>
      </w:r>
    </w:p>
    <w:p w:rsidR="00FA7C52" w:rsidRDefault="00AE0E2D">
      <w:pPr>
        <w:pStyle w:val="Defstart"/>
      </w:pPr>
      <w:r>
        <w:tab/>
      </w:r>
      <w:r>
        <w:rPr>
          <w:rStyle w:val="CharDefText"/>
        </w:rPr>
        <w:t>Shark Bay Scallop Managed Fishery Vol</w:t>
      </w:r>
      <w:r>
        <w:rPr>
          <w:rStyle w:val="CharDefText"/>
        </w:rPr>
        <w:t>untary Scheme</w:t>
      </w:r>
      <w:r>
        <w:t xml:space="preserve"> means the voluntary fisheries adjustment scheme established by the Shark Bay Scallop Managed Fishery Notice clause 3.</w:t>
      </w:r>
    </w:p>
    <w:p w:rsidR="00FA7C52" w:rsidRDefault="00AE0E2D">
      <w:pPr>
        <w:pStyle w:val="Footnotesection"/>
      </w:pPr>
      <w:r>
        <w:tab/>
        <w:t>[Regulation 13 inserted: Gazette 5 Jul 2011 p. 2825; amended: Gazette 20 Sep 2019 p. 3387.]</w:t>
      </w:r>
    </w:p>
    <w:p w:rsidR="00FA7C52" w:rsidRDefault="00AE0E2D">
      <w:pPr>
        <w:pStyle w:val="Heading5"/>
      </w:pPr>
      <w:bookmarkStart w:id="29" w:name="_Toc67477247"/>
      <w:r>
        <w:rPr>
          <w:rStyle w:val="CharSectno"/>
        </w:rPr>
        <w:t>14</w:t>
      </w:r>
      <w:r>
        <w:t>.</w:t>
      </w:r>
      <w:r>
        <w:tab/>
        <w:t>Fee under s. 8 imposed — ge</w:t>
      </w:r>
      <w:r>
        <w:t>nerally</w:t>
      </w:r>
      <w:bookmarkEnd w:id="29"/>
    </w:p>
    <w:p w:rsidR="00FA7C52" w:rsidRDefault="00AE0E2D">
      <w:pPr>
        <w:pStyle w:val="Subsection"/>
      </w:pPr>
      <w:r>
        <w:tab/>
        <w:t>(1)</w:t>
      </w:r>
      <w:r>
        <w:tab/>
        <w:t>For the purposes of the Shark Bay Scallop Managed Fishery Voluntary Scheme, the fees specified in the Table are imposed in respect of each managed fishery licence, other than Managed Fishery Licence No. SBSC2094.</w:t>
      </w:r>
    </w:p>
    <w:p w:rsidR="00FA7C52" w:rsidRDefault="00AE0E2D">
      <w:pPr>
        <w:pStyle w:val="Subsection"/>
      </w:pPr>
      <w:r>
        <w:tab/>
        <w:t>(2)</w:t>
      </w:r>
      <w:r>
        <w:tab/>
        <w:t>The date by which each fe</w:t>
      </w:r>
      <w:r>
        <w:t>e specified in the Table must be paid is the date specified in the Table that corresponds to that fee.</w:t>
      </w:r>
    </w:p>
    <w:p w:rsidR="00FA7C52" w:rsidRDefault="00AE0E2D">
      <w:pPr>
        <w:pStyle w:val="Subsection"/>
      </w:pPr>
      <w:r>
        <w:tab/>
        <w:t>(3)</w:t>
      </w:r>
      <w:r>
        <w:tab/>
        <w:t>The fees specified in the Table are payable to the CEO at the head office of the Department.</w:t>
      </w:r>
    </w:p>
    <w:p w:rsidR="00FA7C52" w:rsidRDefault="00AE0E2D">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rsidR="00FA7C52">
        <w:trPr>
          <w:tblHeader/>
        </w:trPr>
        <w:tc>
          <w:tcPr>
            <w:tcW w:w="2693" w:type="dxa"/>
          </w:tcPr>
          <w:p w:rsidR="00FA7C52" w:rsidRDefault="00AE0E2D">
            <w:pPr>
              <w:pStyle w:val="TableNAm"/>
              <w:keepNext/>
              <w:jc w:val="center"/>
              <w:rPr>
                <w:b/>
                <w:bCs/>
              </w:rPr>
            </w:pPr>
            <w:r>
              <w:rPr>
                <w:b/>
              </w:rPr>
              <w:t>Fee imposed</w:t>
            </w:r>
          </w:p>
        </w:tc>
        <w:tc>
          <w:tcPr>
            <w:tcW w:w="2693" w:type="dxa"/>
          </w:tcPr>
          <w:p w:rsidR="00FA7C52" w:rsidRDefault="00AE0E2D">
            <w:pPr>
              <w:pStyle w:val="TableNAm"/>
              <w:jc w:val="center"/>
              <w:rPr>
                <w:b/>
                <w:bCs/>
              </w:rPr>
            </w:pPr>
            <w:r>
              <w:rPr>
                <w:b/>
                <w:bCs/>
              </w:rPr>
              <w:t>Date by which fee must be paid</w:t>
            </w:r>
          </w:p>
        </w:tc>
      </w:tr>
      <w:tr w:rsidR="00FA7C52">
        <w:tc>
          <w:tcPr>
            <w:tcW w:w="2693" w:type="dxa"/>
          </w:tcPr>
          <w:p w:rsidR="00FA7C52" w:rsidRDefault="00AE0E2D">
            <w:pPr>
              <w:pStyle w:val="TableNAm"/>
            </w:pPr>
            <w:r>
              <w:t>$110 </w:t>
            </w:r>
            <w:r>
              <w:t>097</w:t>
            </w:r>
          </w:p>
        </w:tc>
        <w:tc>
          <w:tcPr>
            <w:tcW w:w="2693" w:type="dxa"/>
          </w:tcPr>
          <w:p w:rsidR="00FA7C52" w:rsidRDefault="00AE0E2D">
            <w:pPr>
              <w:pStyle w:val="TableNAm"/>
            </w:pPr>
            <w:r>
              <w:t>1 March 2020</w:t>
            </w:r>
          </w:p>
        </w:tc>
      </w:tr>
      <w:tr w:rsidR="00FA7C52">
        <w:tc>
          <w:tcPr>
            <w:tcW w:w="2693" w:type="dxa"/>
          </w:tcPr>
          <w:p w:rsidR="00FA7C52" w:rsidRDefault="00AE0E2D">
            <w:pPr>
              <w:pStyle w:val="TableNAm"/>
            </w:pPr>
            <w:r>
              <w:t>$109 521</w:t>
            </w:r>
          </w:p>
        </w:tc>
        <w:tc>
          <w:tcPr>
            <w:tcW w:w="2693" w:type="dxa"/>
          </w:tcPr>
          <w:p w:rsidR="00FA7C52" w:rsidRDefault="00AE0E2D">
            <w:pPr>
              <w:pStyle w:val="TableNAm"/>
            </w:pPr>
            <w:r>
              <w:t>1 March 2021</w:t>
            </w:r>
          </w:p>
        </w:tc>
      </w:tr>
      <w:tr w:rsidR="00FA7C52">
        <w:tc>
          <w:tcPr>
            <w:tcW w:w="2693" w:type="dxa"/>
          </w:tcPr>
          <w:p w:rsidR="00FA7C52" w:rsidRDefault="00AE0E2D">
            <w:pPr>
              <w:pStyle w:val="TableNAm"/>
            </w:pPr>
            <w:r>
              <w:lastRenderedPageBreak/>
              <w:t>$52 496</w:t>
            </w:r>
          </w:p>
        </w:tc>
        <w:tc>
          <w:tcPr>
            <w:tcW w:w="2693" w:type="dxa"/>
          </w:tcPr>
          <w:p w:rsidR="00FA7C52" w:rsidRDefault="00AE0E2D">
            <w:pPr>
              <w:pStyle w:val="TableNAm"/>
            </w:pPr>
            <w:r>
              <w:t>1 March 2022</w:t>
            </w:r>
          </w:p>
        </w:tc>
      </w:tr>
      <w:tr w:rsidR="00FA7C52">
        <w:tc>
          <w:tcPr>
            <w:tcW w:w="2693" w:type="dxa"/>
          </w:tcPr>
          <w:p w:rsidR="00FA7C52" w:rsidRDefault="00AE0E2D">
            <w:pPr>
              <w:pStyle w:val="TableNAm"/>
            </w:pPr>
            <w:r>
              <w:t>$51 526</w:t>
            </w:r>
          </w:p>
        </w:tc>
        <w:tc>
          <w:tcPr>
            <w:tcW w:w="2693" w:type="dxa"/>
          </w:tcPr>
          <w:p w:rsidR="00FA7C52" w:rsidRDefault="00AE0E2D">
            <w:pPr>
              <w:pStyle w:val="TableNAm"/>
            </w:pPr>
            <w:r>
              <w:t>1 March 2023</w:t>
            </w:r>
          </w:p>
        </w:tc>
      </w:tr>
    </w:tbl>
    <w:p w:rsidR="00FA7C52" w:rsidRDefault="00AE0E2D">
      <w:pPr>
        <w:pStyle w:val="Footnotesection"/>
      </w:pPr>
      <w:r>
        <w:tab/>
        <w:t>[Regulation 14 inserted: Gazette 20 Sep 2019 p. 3387.]</w:t>
      </w:r>
    </w:p>
    <w:p w:rsidR="00FA7C52" w:rsidRDefault="00AE0E2D">
      <w:pPr>
        <w:pStyle w:val="Heading5"/>
      </w:pPr>
      <w:bookmarkStart w:id="30" w:name="_Toc67477248"/>
      <w:r>
        <w:rPr>
          <w:rStyle w:val="CharSectno"/>
        </w:rPr>
        <w:t>15</w:t>
      </w:r>
      <w:r>
        <w:t>.</w:t>
      </w:r>
      <w:r>
        <w:tab/>
        <w:t>Fee under s. 8 imposed — Managed Fishery Licence No. SBSC2094</w:t>
      </w:r>
      <w:bookmarkEnd w:id="30"/>
    </w:p>
    <w:p w:rsidR="00FA7C52" w:rsidRDefault="00AE0E2D">
      <w:pPr>
        <w:pStyle w:val="Subsection"/>
      </w:pPr>
      <w:r>
        <w:tab/>
        <w:t>(1)</w:t>
      </w:r>
      <w:r>
        <w:tab/>
        <w:t xml:space="preserve">For the purposes of the Shark Bay Scallop </w:t>
      </w:r>
      <w:r>
        <w:t>Managed Fishery Voluntary Scheme, the fees specified in the Table are imposed in respect of Managed Fishery Licence No. SBSC2094.</w:t>
      </w:r>
    </w:p>
    <w:p w:rsidR="00FA7C52" w:rsidRDefault="00AE0E2D">
      <w:pPr>
        <w:pStyle w:val="Subsection"/>
      </w:pPr>
      <w:r>
        <w:tab/>
        <w:t>(2)</w:t>
      </w:r>
      <w:r>
        <w:tab/>
        <w:t>The date by which each fee specified in the Table must be paid is the date specified in the Table that corresponds to tha</w:t>
      </w:r>
      <w:r>
        <w:t>t fee.</w:t>
      </w:r>
    </w:p>
    <w:p w:rsidR="00FA7C52" w:rsidRDefault="00AE0E2D">
      <w:pPr>
        <w:pStyle w:val="Subsection"/>
      </w:pPr>
      <w:r>
        <w:tab/>
        <w:t>(3)</w:t>
      </w:r>
      <w:r>
        <w:tab/>
        <w:t>The fees specified in the Table are payable to the CEO at the head office of the Department.</w:t>
      </w:r>
    </w:p>
    <w:p w:rsidR="00FA7C52" w:rsidRDefault="00AE0E2D">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rsidR="00FA7C52">
        <w:trPr>
          <w:tblHeader/>
        </w:trPr>
        <w:tc>
          <w:tcPr>
            <w:tcW w:w="2693" w:type="dxa"/>
          </w:tcPr>
          <w:p w:rsidR="00FA7C52" w:rsidRDefault="00AE0E2D">
            <w:pPr>
              <w:pStyle w:val="TableNAm"/>
              <w:keepNext/>
              <w:jc w:val="center"/>
              <w:rPr>
                <w:b/>
                <w:bCs/>
              </w:rPr>
            </w:pPr>
            <w:r>
              <w:rPr>
                <w:b/>
              </w:rPr>
              <w:t>Fee imposed</w:t>
            </w:r>
          </w:p>
        </w:tc>
        <w:tc>
          <w:tcPr>
            <w:tcW w:w="2693" w:type="dxa"/>
          </w:tcPr>
          <w:p w:rsidR="00FA7C52" w:rsidRDefault="00AE0E2D">
            <w:pPr>
              <w:pStyle w:val="TableNAm"/>
              <w:keepNext/>
              <w:jc w:val="center"/>
              <w:rPr>
                <w:b/>
                <w:bCs/>
              </w:rPr>
            </w:pPr>
            <w:r>
              <w:rPr>
                <w:b/>
                <w:bCs/>
              </w:rPr>
              <w:t>Date by which fee must be paid</w:t>
            </w:r>
          </w:p>
        </w:tc>
      </w:tr>
      <w:tr w:rsidR="00FA7C52">
        <w:tc>
          <w:tcPr>
            <w:tcW w:w="2693" w:type="dxa"/>
          </w:tcPr>
          <w:p w:rsidR="00FA7C52" w:rsidRDefault="00AE0E2D">
            <w:pPr>
              <w:pStyle w:val="TableNAm"/>
            </w:pPr>
            <w:r>
              <w:t>$107 526</w:t>
            </w:r>
          </w:p>
        </w:tc>
        <w:tc>
          <w:tcPr>
            <w:tcW w:w="2693" w:type="dxa"/>
          </w:tcPr>
          <w:p w:rsidR="00FA7C52" w:rsidRDefault="00AE0E2D">
            <w:pPr>
              <w:pStyle w:val="TableNAm"/>
            </w:pPr>
            <w:r>
              <w:t>1 March 2020</w:t>
            </w:r>
          </w:p>
        </w:tc>
      </w:tr>
      <w:tr w:rsidR="00FA7C52">
        <w:tc>
          <w:tcPr>
            <w:tcW w:w="2693" w:type="dxa"/>
          </w:tcPr>
          <w:p w:rsidR="00FA7C52" w:rsidRDefault="00AE0E2D">
            <w:pPr>
              <w:pStyle w:val="TableNAm"/>
            </w:pPr>
            <w:r>
              <w:t>$106 951</w:t>
            </w:r>
          </w:p>
        </w:tc>
        <w:tc>
          <w:tcPr>
            <w:tcW w:w="2693" w:type="dxa"/>
          </w:tcPr>
          <w:p w:rsidR="00FA7C52" w:rsidRDefault="00AE0E2D">
            <w:pPr>
              <w:pStyle w:val="TableNAm"/>
            </w:pPr>
            <w:r>
              <w:t>1 March 2021</w:t>
            </w:r>
          </w:p>
        </w:tc>
      </w:tr>
    </w:tbl>
    <w:p w:rsidR="00FA7C52" w:rsidRDefault="00AE0E2D">
      <w:pPr>
        <w:pStyle w:val="Footnotesection"/>
      </w:pPr>
      <w:r>
        <w:tab/>
        <w:t>[Regulation 15 inserted: Gazette 20 Sep 2019 p. 3387</w:t>
      </w:r>
      <w:r>
        <w:noBreakHyphen/>
      </w:r>
      <w:r>
        <w:t>8.]</w:t>
      </w:r>
    </w:p>
    <w:p w:rsidR="00FA7C52" w:rsidRDefault="00AE0E2D">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A7C52" w:rsidRDefault="00FA7C52">
      <w:pPr>
        <w:sectPr w:rsidR="00FA7C52">
          <w:headerReference w:type="even" r:id="rId21"/>
          <w:headerReference w:type="default" r:id="rId22"/>
          <w:headerReference w:type="first" r:id="rId23"/>
          <w:endnotePr>
            <w:numFmt w:val="decimal"/>
          </w:endnotePr>
          <w:pgSz w:w="11907" w:h="16840" w:code="9"/>
          <w:pgMar w:top="2381" w:right="2409" w:bottom="3543" w:left="2409" w:header="720" w:footer="3380" w:gutter="0"/>
          <w:pgNumType w:start="1"/>
          <w:cols w:space="720"/>
          <w:noEndnote/>
          <w:titlePg/>
          <w:docGrid w:linePitch="326"/>
        </w:sectPr>
      </w:pPr>
    </w:p>
    <w:p w:rsidR="00FA7C52" w:rsidRDefault="00AE0E2D">
      <w:pPr>
        <w:pStyle w:val="nHeading2"/>
      </w:pPr>
      <w:bookmarkStart w:id="31" w:name="_Toc67397304"/>
      <w:bookmarkStart w:id="32" w:name="_Toc67399788"/>
      <w:bookmarkStart w:id="33" w:name="_Toc67400015"/>
      <w:bookmarkStart w:id="34" w:name="_Toc67477249"/>
      <w:r>
        <w:lastRenderedPageBreak/>
        <w:t>Notes</w:t>
      </w:r>
      <w:bookmarkEnd w:id="31"/>
      <w:bookmarkEnd w:id="32"/>
      <w:bookmarkEnd w:id="33"/>
      <w:bookmarkEnd w:id="34"/>
    </w:p>
    <w:p w:rsidR="00FA7C52" w:rsidRDefault="00AE0E2D">
      <w:pPr>
        <w:pStyle w:val="nStatement"/>
      </w:pPr>
      <w:r>
        <w:t xml:space="preserve">This is a compilation of the </w:t>
      </w:r>
      <w:r>
        <w:rPr>
          <w:i/>
          <w:noProof/>
        </w:rPr>
        <w:t>Fisheries Adjustment Schemes Regulations 2009</w:t>
      </w:r>
      <w:r>
        <w:t xml:space="preserve"> and includes amendments made by other written laws. For provisions that have come into operation, and for information about any reprints, see </w:t>
      </w:r>
      <w:r>
        <w:t>the compilation table.</w:t>
      </w:r>
    </w:p>
    <w:p w:rsidR="00FA7C52" w:rsidRDefault="00AE0E2D">
      <w:pPr>
        <w:pStyle w:val="nHeading3"/>
      </w:pPr>
      <w:bookmarkStart w:id="35" w:name="_Toc67477250"/>
      <w:r>
        <w:t>Compilation table</w:t>
      </w:r>
      <w:bookmarkEnd w:id="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A7C52">
        <w:trPr>
          <w:tblHeader/>
        </w:trPr>
        <w:tc>
          <w:tcPr>
            <w:tcW w:w="3118" w:type="dxa"/>
          </w:tcPr>
          <w:p w:rsidR="00FA7C52" w:rsidRDefault="00AE0E2D">
            <w:pPr>
              <w:pStyle w:val="nTable"/>
              <w:spacing w:after="40"/>
              <w:rPr>
                <w:b/>
              </w:rPr>
            </w:pPr>
            <w:r>
              <w:rPr>
                <w:b/>
              </w:rPr>
              <w:t>Citation</w:t>
            </w:r>
          </w:p>
        </w:tc>
        <w:tc>
          <w:tcPr>
            <w:tcW w:w="1276" w:type="dxa"/>
          </w:tcPr>
          <w:p w:rsidR="00FA7C52" w:rsidRDefault="00AE0E2D">
            <w:pPr>
              <w:pStyle w:val="nTable"/>
              <w:spacing w:after="40"/>
              <w:rPr>
                <w:b/>
              </w:rPr>
            </w:pPr>
            <w:r>
              <w:rPr>
                <w:b/>
              </w:rPr>
              <w:t>Published</w:t>
            </w:r>
          </w:p>
        </w:tc>
        <w:tc>
          <w:tcPr>
            <w:tcW w:w="2693" w:type="dxa"/>
          </w:tcPr>
          <w:p w:rsidR="00FA7C52" w:rsidRDefault="00AE0E2D">
            <w:pPr>
              <w:pStyle w:val="nTable"/>
              <w:spacing w:after="40"/>
              <w:rPr>
                <w:b/>
              </w:rPr>
            </w:pPr>
            <w:r>
              <w:rPr>
                <w:b/>
              </w:rPr>
              <w:t>Commencement</w:t>
            </w:r>
          </w:p>
        </w:tc>
      </w:tr>
      <w:tr w:rsidR="00FA7C52">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rsidR="00FA7C52" w:rsidRDefault="00AE0E2D">
            <w:pPr>
              <w:pStyle w:val="nTable"/>
              <w:spacing w:after="40"/>
              <w:ind w:right="113"/>
            </w:pPr>
            <w:r>
              <w:rPr>
                <w:i/>
              </w:rPr>
              <w:t>Fisheries Adjustment Schemes Regulations 2009</w:t>
            </w:r>
          </w:p>
        </w:tc>
        <w:tc>
          <w:tcPr>
            <w:tcW w:w="1276" w:type="dxa"/>
            <w:tcBorders>
              <w:top w:val="single" w:sz="8" w:space="0" w:color="auto"/>
            </w:tcBorders>
          </w:tcPr>
          <w:p w:rsidR="00FA7C52" w:rsidRDefault="00AE0E2D">
            <w:pPr>
              <w:pStyle w:val="nTable"/>
              <w:spacing w:after="40"/>
            </w:pPr>
            <w:r>
              <w:t>8 Dec 2009 p. 4992-3</w:t>
            </w:r>
          </w:p>
        </w:tc>
        <w:tc>
          <w:tcPr>
            <w:tcW w:w="2693" w:type="dxa"/>
            <w:tcBorders>
              <w:top w:val="single" w:sz="8" w:space="0" w:color="auto"/>
            </w:tcBorders>
          </w:tcPr>
          <w:p w:rsidR="00FA7C52" w:rsidRDefault="00AE0E2D">
            <w:pPr>
              <w:pStyle w:val="nTable"/>
              <w:spacing w:after="40"/>
            </w:pPr>
            <w:r>
              <w:t>r. 1 and 2: 8 Dec 2009 (see r. 2(a));</w:t>
            </w:r>
          </w:p>
          <w:p w:rsidR="00FA7C52" w:rsidRDefault="00AE0E2D">
            <w:pPr>
              <w:pStyle w:val="nTable"/>
              <w:spacing w:after="40"/>
            </w:pPr>
            <w:r>
              <w:t>Regulations other than r. 1 and 2: 9 Dec 2009 (see r. 2(b))</w:t>
            </w:r>
          </w:p>
        </w:tc>
      </w:tr>
      <w:tr w:rsidR="00FA7C52">
        <w:tblPrEx>
          <w:tblBorders>
            <w:top w:val="none" w:sz="0" w:space="0" w:color="auto"/>
            <w:bottom w:val="none" w:sz="0" w:space="0" w:color="auto"/>
            <w:insideH w:val="none" w:sz="0" w:space="0" w:color="auto"/>
          </w:tblBorders>
        </w:tblPrEx>
        <w:trPr>
          <w:cantSplit/>
        </w:trPr>
        <w:tc>
          <w:tcPr>
            <w:tcW w:w="3118" w:type="dxa"/>
          </w:tcPr>
          <w:p w:rsidR="00FA7C52" w:rsidRDefault="00AE0E2D">
            <w:pPr>
              <w:pStyle w:val="nTable"/>
              <w:spacing w:after="40"/>
              <w:ind w:right="113"/>
              <w:rPr>
                <w:i/>
              </w:rPr>
            </w:pPr>
            <w:r>
              <w:rPr>
                <w:i/>
              </w:rPr>
              <w:t xml:space="preserve">Fisheries </w:t>
            </w:r>
            <w:r>
              <w:rPr>
                <w:i/>
              </w:rPr>
              <w:t>Adjustment Schemes Amendment Regulations 2010</w:t>
            </w:r>
          </w:p>
        </w:tc>
        <w:tc>
          <w:tcPr>
            <w:tcW w:w="1276" w:type="dxa"/>
          </w:tcPr>
          <w:p w:rsidR="00FA7C52" w:rsidRDefault="00AE0E2D">
            <w:pPr>
              <w:pStyle w:val="nTable"/>
              <w:spacing w:after="40"/>
            </w:pPr>
            <w:r>
              <w:t>12 Feb 2010 p. 589-90</w:t>
            </w:r>
          </w:p>
        </w:tc>
        <w:tc>
          <w:tcPr>
            <w:tcW w:w="2693" w:type="dxa"/>
          </w:tcPr>
          <w:p w:rsidR="00FA7C52" w:rsidRDefault="00AE0E2D">
            <w:pPr>
              <w:pStyle w:val="nTable"/>
              <w:spacing w:after="40"/>
            </w:pPr>
            <w:r>
              <w:t>r. 1 and 2: 12 Feb 2010 (see r. 2(a));</w:t>
            </w:r>
            <w:r>
              <w:br/>
              <w:t>Regulations other than r. 1 and 2: 13 Feb 2010 (see r. 2(b))</w:t>
            </w:r>
          </w:p>
        </w:tc>
      </w:tr>
      <w:tr w:rsidR="00FA7C52">
        <w:tblPrEx>
          <w:tblBorders>
            <w:top w:val="none" w:sz="0" w:space="0" w:color="auto"/>
            <w:bottom w:val="none" w:sz="0" w:space="0" w:color="auto"/>
            <w:insideH w:val="none" w:sz="0" w:space="0" w:color="auto"/>
          </w:tblBorders>
        </w:tblPrEx>
        <w:trPr>
          <w:cantSplit/>
        </w:trPr>
        <w:tc>
          <w:tcPr>
            <w:tcW w:w="3118" w:type="dxa"/>
          </w:tcPr>
          <w:p w:rsidR="00FA7C52" w:rsidRDefault="00AE0E2D">
            <w:pPr>
              <w:pStyle w:val="nTable"/>
              <w:spacing w:after="40"/>
              <w:ind w:right="113"/>
              <w:rPr>
                <w:i/>
              </w:rPr>
            </w:pPr>
            <w:r>
              <w:rPr>
                <w:i/>
              </w:rPr>
              <w:t>Fisheries Adjustment Schemes Amendment Regulations 2011</w:t>
            </w:r>
          </w:p>
        </w:tc>
        <w:tc>
          <w:tcPr>
            <w:tcW w:w="1276" w:type="dxa"/>
          </w:tcPr>
          <w:p w:rsidR="00FA7C52" w:rsidRDefault="00AE0E2D">
            <w:pPr>
              <w:pStyle w:val="nTable"/>
              <w:spacing w:after="40"/>
            </w:pPr>
            <w:r>
              <w:t>5 Jul 2011 p. 2823</w:t>
            </w:r>
            <w:r>
              <w:noBreakHyphen/>
              <w:t>5</w:t>
            </w:r>
          </w:p>
        </w:tc>
        <w:tc>
          <w:tcPr>
            <w:tcW w:w="2693" w:type="dxa"/>
          </w:tcPr>
          <w:p w:rsidR="00FA7C52" w:rsidRDefault="00AE0E2D">
            <w:pPr>
              <w:pStyle w:val="nTable"/>
              <w:spacing w:after="40"/>
            </w:pPr>
            <w:r>
              <w:rPr>
                <w:snapToGrid w:val="0"/>
                <w:spacing w:val="-2"/>
              </w:rPr>
              <w:t xml:space="preserve">r. 1 and </w:t>
            </w:r>
            <w:r>
              <w:rPr>
                <w:snapToGrid w:val="0"/>
                <w:spacing w:val="-2"/>
              </w:rPr>
              <w:t>2: 5 Jul 2011 (see r. 2(a));</w:t>
            </w:r>
            <w:r>
              <w:rPr>
                <w:snapToGrid w:val="0"/>
                <w:spacing w:val="-2"/>
              </w:rPr>
              <w:br/>
              <w:t>Regulations other than r. 1 and 2: 6 Jul 2011 (see r. 2(b))</w:t>
            </w:r>
          </w:p>
        </w:tc>
      </w:tr>
      <w:tr w:rsidR="00FA7C52">
        <w:tblPrEx>
          <w:tblBorders>
            <w:top w:val="none" w:sz="0" w:space="0" w:color="auto"/>
            <w:bottom w:val="none" w:sz="0" w:space="0" w:color="auto"/>
            <w:insideH w:val="none" w:sz="0" w:space="0" w:color="auto"/>
          </w:tblBorders>
        </w:tblPrEx>
        <w:trPr>
          <w:cantSplit/>
        </w:trPr>
        <w:tc>
          <w:tcPr>
            <w:tcW w:w="3118" w:type="dxa"/>
          </w:tcPr>
          <w:p w:rsidR="00FA7C52" w:rsidRDefault="00AE0E2D">
            <w:pPr>
              <w:pStyle w:val="nTable"/>
              <w:spacing w:after="40"/>
              <w:ind w:right="113"/>
            </w:pPr>
            <w:r>
              <w:rPr>
                <w:i/>
              </w:rPr>
              <w:t>Fisheries Adjustment Schemes Amendment Regulations 2015</w:t>
            </w:r>
          </w:p>
        </w:tc>
        <w:tc>
          <w:tcPr>
            <w:tcW w:w="1276" w:type="dxa"/>
          </w:tcPr>
          <w:p w:rsidR="00FA7C52" w:rsidRDefault="00AE0E2D">
            <w:pPr>
              <w:pStyle w:val="nTable"/>
              <w:spacing w:after="40"/>
            </w:pPr>
            <w:r>
              <w:t>13 Jan 2015 p. 247</w:t>
            </w:r>
            <w:r>
              <w:noBreakHyphen/>
              <w:t>9</w:t>
            </w:r>
          </w:p>
        </w:tc>
        <w:tc>
          <w:tcPr>
            <w:tcW w:w="2693" w:type="dxa"/>
          </w:tcPr>
          <w:p w:rsidR="00FA7C52" w:rsidRDefault="00AE0E2D">
            <w:pPr>
              <w:pStyle w:val="nTable"/>
              <w:spacing w:after="40"/>
              <w:rPr>
                <w:snapToGrid w:val="0"/>
                <w:spacing w:val="-2"/>
              </w:rPr>
            </w:pPr>
            <w:r>
              <w:rPr>
                <w:snapToGrid w:val="0"/>
                <w:spacing w:val="-2"/>
              </w:rPr>
              <w:t>r. 1 and 2: 13 Jan 2015 (see r. 2(a));</w:t>
            </w:r>
            <w:r>
              <w:rPr>
                <w:snapToGrid w:val="0"/>
                <w:spacing w:val="-2"/>
              </w:rPr>
              <w:br/>
              <w:t>Regulations other than r. 1 and 2: 14 Jan 2015 (se</w:t>
            </w:r>
            <w:r>
              <w:rPr>
                <w:snapToGrid w:val="0"/>
                <w:spacing w:val="-2"/>
              </w:rPr>
              <w:t>e r. 2(b))</w:t>
            </w:r>
          </w:p>
        </w:tc>
      </w:tr>
      <w:tr w:rsidR="00FA7C52">
        <w:tblPrEx>
          <w:tblBorders>
            <w:top w:val="none" w:sz="0" w:space="0" w:color="auto"/>
            <w:bottom w:val="none" w:sz="0" w:space="0" w:color="auto"/>
            <w:insideH w:val="none" w:sz="0" w:space="0" w:color="auto"/>
          </w:tblBorders>
        </w:tblPrEx>
        <w:trPr>
          <w:cantSplit/>
        </w:trPr>
        <w:tc>
          <w:tcPr>
            <w:tcW w:w="3118" w:type="dxa"/>
          </w:tcPr>
          <w:p w:rsidR="00FA7C52" w:rsidRDefault="00AE0E2D">
            <w:pPr>
              <w:pStyle w:val="nTable"/>
              <w:spacing w:after="40"/>
              <w:ind w:right="113"/>
              <w:rPr>
                <w:i/>
              </w:rPr>
            </w:pPr>
            <w:r>
              <w:rPr>
                <w:i/>
              </w:rPr>
              <w:t>Fisheries Adjustment Schemes Amendment Regulations 2016</w:t>
            </w:r>
          </w:p>
        </w:tc>
        <w:tc>
          <w:tcPr>
            <w:tcW w:w="1276" w:type="dxa"/>
          </w:tcPr>
          <w:p w:rsidR="00FA7C52" w:rsidRDefault="00AE0E2D">
            <w:pPr>
              <w:pStyle w:val="nTable"/>
              <w:spacing w:after="40"/>
            </w:pPr>
            <w:r>
              <w:t>22 Jan 2016 p. 197-8</w:t>
            </w:r>
          </w:p>
        </w:tc>
        <w:tc>
          <w:tcPr>
            <w:tcW w:w="2693" w:type="dxa"/>
          </w:tcPr>
          <w:p w:rsidR="00FA7C52" w:rsidRDefault="00AE0E2D">
            <w:pPr>
              <w:pStyle w:val="nTable"/>
              <w:spacing w:after="40"/>
              <w:rPr>
                <w:snapToGrid w:val="0"/>
                <w:spacing w:val="-2"/>
              </w:rPr>
            </w:pPr>
            <w:r>
              <w:rPr>
                <w:noProof/>
                <w:snapToGrid w:val="0"/>
                <w:spacing w:val="-2"/>
              </w:rPr>
              <w:t xml:space="preserve">r. 1 and 2: </w:t>
            </w:r>
            <w:r>
              <w:rPr>
                <w:snapToGrid w:val="0"/>
                <w:spacing w:val="-2"/>
              </w:rPr>
              <w:t>22 Jan 2016 (see r. 2(a));</w:t>
            </w:r>
            <w:r>
              <w:rPr>
                <w:snapToGrid w:val="0"/>
                <w:spacing w:val="-2"/>
              </w:rPr>
              <w:br/>
              <w:t xml:space="preserve">Regulations other than r. 1 and 2: </w:t>
            </w:r>
            <w:r>
              <w:rPr>
                <w:bCs/>
                <w:snapToGrid w:val="0"/>
                <w:spacing w:val="-2"/>
              </w:rPr>
              <w:t>23 Jan 2016 (see r. 2(b))</w:t>
            </w:r>
          </w:p>
        </w:tc>
      </w:tr>
      <w:tr w:rsidR="00FA7C52">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FA7C52" w:rsidRDefault="00AE0E2D">
            <w:pPr>
              <w:pStyle w:val="nTable"/>
              <w:spacing w:after="40"/>
              <w:rPr>
                <w:noProof/>
                <w:snapToGrid w:val="0"/>
                <w:spacing w:val="-2"/>
              </w:rPr>
            </w:pPr>
            <w:r>
              <w:rPr>
                <w:b/>
                <w:noProof/>
                <w:snapToGrid w:val="0"/>
                <w:spacing w:val="-2"/>
              </w:rPr>
              <w:t xml:space="preserve">Reprint 1: The </w:t>
            </w:r>
            <w:r>
              <w:rPr>
                <w:b/>
                <w:i/>
                <w:noProof/>
                <w:snapToGrid w:val="0"/>
                <w:spacing w:val="-2"/>
              </w:rPr>
              <w:t>Fisheries Adjustment Schemes Regulations 2009</w:t>
            </w:r>
            <w:r>
              <w:rPr>
                <w:b/>
                <w:noProof/>
                <w:snapToGrid w:val="0"/>
                <w:spacing w:val="-2"/>
              </w:rPr>
              <w:t xml:space="preserve"> as at 10 Mar 2017</w:t>
            </w:r>
            <w:r>
              <w:rPr>
                <w:noProof/>
                <w:snapToGrid w:val="0"/>
                <w:spacing w:val="-2"/>
              </w:rPr>
              <w:t xml:space="preserve"> (includes amendments listed above)</w:t>
            </w:r>
          </w:p>
        </w:tc>
      </w:tr>
      <w:tr w:rsidR="00FA7C52">
        <w:tblPrEx>
          <w:tblBorders>
            <w:top w:val="none" w:sz="0" w:space="0" w:color="auto"/>
            <w:bottom w:val="none" w:sz="0" w:space="0" w:color="auto"/>
            <w:insideH w:val="none" w:sz="0" w:space="0" w:color="auto"/>
          </w:tblBorders>
        </w:tblPrEx>
        <w:trPr>
          <w:cantSplit/>
        </w:trPr>
        <w:tc>
          <w:tcPr>
            <w:tcW w:w="3118" w:type="dxa"/>
          </w:tcPr>
          <w:p w:rsidR="00FA7C52" w:rsidRDefault="00AE0E2D">
            <w:pPr>
              <w:pStyle w:val="nTable"/>
              <w:spacing w:after="40"/>
              <w:ind w:right="113"/>
              <w:rPr>
                <w:i/>
              </w:rPr>
            </w:pPr>
            <w:r>
              <w:rPr>
                <w:i/>
              </w:rPr>
              <w:t>Fisheries Adjustment Schemes Amendment Regulations 2017</w:t>
            </w:r>
          </w:p>
        </w:tc>
        <w:tc>
          <w:tcPr>
            <w:tcW w:w="1276" w:type="dxa"/>
          </w:tcPr>
          <w:p w:rsidR="00FA7C52" w:rsidRDefault="00AE0E2D">
            <w:pPr>
              <w:pStyle w:val="nTable"/>
              <w:spacing w:after="40"/>
            </w:pPr>
            <w:r>
              <w:t>5 Jan 2018 p. 3</w:t>
            </w:r>
            <w:r>
              <w:noBreakHyphen/>
              <w:t>4</w:t>
            </w:r>
          </w:p>
        </w:tc>
        <w:tc>
          <w:tcPr>
            <w:tcW w:w="2693" w:type="dxa"/>
          </w:tcPr>
          <w:p w:rsidR="00FA7C52" w:rsidRDefault="00AE0E2D">
            <w:pPr>
              <w:pStyle w:val="nTable"/>
              <w:spacing w:after="40"/>
              <w:rPr>
                <w:snapToGrid w:val="0"/>
                <w:spacing w:val="-2"/>
              </w:rPr>
            </w:pPr>
            <w:r>
              <w:rPr>
                <w:noProof/>
                <w:snapToGrid w:val="0"/>
                <w:spacing w:val="-2"/>
              </w:rPr>
              <w:t xml:space="preserve">r. 1 and 2: </w:t>
            </w:r>
            <w:r>
              <w:rPr>
                <w:snapToGrid w:val="0"/>
                <w:spacing w:val="-2"/>
              </w:rPr>
              <w:t>5 Jan 2018 (see r. 2(a));</w:t>
            </w:r>
            <w:r>
              <w:rPr>
                <w:snapToGrid w:val="0"/>
                <w:spacing w:val="-2"/>
              </w:rPr>
              <w:br/>
              <w:t xml:space="preserve">Regulations other than r. 1 and 2: </w:t>
            </w:r>
            <w:r>
              <w:rPr>
                <w:bCs/>
                <w:snapToGrid w:val="0"/>
                <w:spacing w:val="-2"/>
              </w:rPr>
              <w:t>6 Jan 2018 (see r. 2(b))</w:t>
            </w:r>
          </w:p>
        </w:tc>
      </w:tr>
      <w:tr w:rsidR="00FA7C52">
        <w:tblPrEx>
          <w:tblBorders>
            <w:top w:val="none" w:sz="0" w:space="0" w:color="auto"/>
            <w:bottom w:val="none" w:sz="0" w:space="0" w:color="auto"/>
            <w:insideH w:val="none" w:sz="0" w:space="0" w:color="auto"/>
          </w:tblBorders>
        </w:tblPrEx>
        <w:trPr>
          <w:cantSplit/>
        </w:trPr>
        <w:tc>
          <w:tcPr>
            <w:tcW w:w="3118" w:type="dxa"/>
          </w:tcPr>
          <w:p w:rsidR="00FA7C52" w:rsidRDefault="00AE0E2D">
            <w:pPr>
              <w:pStyle w:val="nTable"/>
              <w:spacing w:after="40"/>
              <w:ind w:right="113"/>
              <w:rPr>
                <w:i/>
              </w:rPr>
            </w:pPr>
            <w:r>
              <w:rPr>
                <w:i/>
              </w:rPr>
              <w:t>Fisheries Adjustment Schemes</w:t>
            </w:r>
            <w:r>
              <w:rPr>
                <w:i/>
              </w:rPr>
              <w:t xml:space="preserve"> Amendment Regulations 2019</w:t>
            </w:r>
          </w:p>
        </w:tc>
        <w:tc>
          <w:tcPr>
            <w:tcW w:w="1276" w:type="dxa"/>
          </w:tcPr>
          <w:p w:rsidR="00FA7C52" w:rsidRDefault="00AE0E2D">
            <w:pPr>
              <w:pStyle w:val="nTable"/>
              <w:spacing w:after="40"/>
            </w:pPr>
            <w:r>
              <w:t>20 Sep 2019 p. 3386</w:t>
            </w:r>
            <w:r>
              <w:noBreakHyphen/>
              <w:t>8</w:t>
            </w:r>
          </w:p>
        </w:tc>
        <w:tc>
          <w:tcPr>
            <w:tcW w:w="2693" w:type="dxa"/>
          </w:tcPr>
          <w:p w:rsidR="00FA7C52" w:rsidRDefault="00AE0E2D">
            <w:pPr>
              <w:pStyle w:val="nTable"/>
              <w:spacing w:after="40"/>
              <w:rPr>
                <w:noProof/>
                <w:snapToGrid w:val="0"/>
                <w:spacing w:val="-2"/>
              </w:rPr>
            </w:pPr>
            <w:r>
              <w:rPr>
                <w:snapToGrid w:val="0"/>
              </w:rPr>
              <w:t>r. 1 and 2: 20 Sep 2019 (see r. 2(a));</w:t>
            </w:r>
            <w:r>
              <w:rPr>
                <w:snapToGrid w:val="0"/>
              </w:rPr>
              <w:br/>
              <w:t>Regulations other than r. 1 and 2: 21 Sep 2019 (see r. 2(b))</w:t>
            </w:r>
          </w:p>
        </w:tc>
      </w:tr>
      <w:tr w:rsidR="00FA7C52">
        <w:trPr>
          <w:cantSplit/>
        </w:trPr>
        <w:tc>
          <w:tcPr>
            <w:tcW w:w="3118" w:type="dxa"/>
            <w:tcBorders>
              <w:top w:val="nil"/>
              <w:bottom w:val="nil"/>
            </w:tcBorders>
          </w:tcPr>
          <w:p w:rsidR="00FA7C52" w:rsidRDefault="00AE0E2D">
            <w:pPr>
              <w:pStyle w:val="nTable"/>
              <w:spacing w:after="40"/>
              <w:ind w:right="113"/>
              <w:rPr>
                <w:i/>
              </w:rPr>
            </w:pPr>
            <w:r>
              <w:rPr>
                <w:i/>
              </w:rPr>
              <w:t>Fisheries Adjustment Schemes Amendment Regulations 2020</w:t>
            </w:r>
          </w:p>
        </w:tc>
        <w:tc>
          <w:tcPr>
            <w:tcW w:w="1276" w:type="dxa"/>
            <w:tcBorders>
              <w:top w:val="nil"/>
              <w:bottom w:val="nil"/>
            </w:tcBorders>
          </w:tcPr>
          <w:p w:rsidR="00FA7C52" w:rsidRDefault="00AE0E2D">
            <w:pPr>
              <w:pStyle w:val="nTable"/>
              <w:spacing w:after="40"/>
            </w:pPr>
            <w:r>
              <w:t>SL 2020/226 20 Nov 2020</w:t>
            </w:r>
          </w:p>
        </w:tc>
        <w:tc>
          <w:tcPr>
            <w:tcW w:w="2693" w:type="dxa"/>
            <w:tcBorders>
              <w:top w:val="nil"/>
              <w:bottom w:val="nil"/>
            </w:tcBorders>
          </w:tcPr>
          <w:p w:rsidR="00FA7C52" w:rsidRDefault="00AE0E2D">
            <w:pPr>
              <w:pStyle w:val="nTable"/>
              <w:spacing w:after="40"/>
              <w:rPr>
                <w:snapToGrid w:val="0"/>
              </w:rPr>
            </w:pPr>
            <w:r>
              <w:rPr>
                <w:snapToGrid w:val="0"/>
              </w:rPr>
              <w:t xml:space="preserve">r. 1 and 2: </w:t>
            </w:r>
            <w:r>
              <w:t>20 Nov 2020</w:t>
            </w:r>
            <w:r>
              <w:rPr>
                <w:snapToGrid w:val="0"/>
              </w:rPr>
              <w:t xml:space="preserve"> (</w:t>
            </w:r>
            <w:r>
              <w:rPr>
                <w:snapToGrid w:val="0"/>
              </w:rPr>
              <w:t>see r. 2(a));</w:t>
            </w:r>
            <w:r>
              <w:rPr>
                <w:snapToGrid w:val="0"/>
              </w:rPr>
              <w:br/>
              <w:t xml:space="preserve">Regulations other than r. 1 and 2: </w:t>
            </w:r>
            <w:r>
              <w:t>21 Nov 2020</w:t>
            </w:r>
            <w:r>
              <w:rPr>
                <w:snapToGrid w:val="0"/>
              </w:rPr>
              <w:t xml:space="preserve"> (see r. 2(b))</w:t>
            </w:r>
          </w:p>
        </w:tc>
      </w:tr>
      <w:tr w:rsidR="00FA7C52">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FA7C52" w:rsidRDefault="00AE0E2D">
            <w:pPr>
              <w:pStyle w:val="nTable"/>
              <w:spacing w:after="40"/>
              <w:ind w:right="113"/>
              <w:rPr>
                <w:i/>
              </w:rPr>
            </w:pPr>
            <w:r>
              <w:rPr>
                <w:i/>
              </w:rPr>
              <w:lastRenderedPageBreak/>
              <w:t>Fisheries Adjustment Schemes Amendment Regulations 2021</w:t>
            </w:r>
          </w:p>
        </w:tc>
        <w:tc>
          <w:tcPr>
            <w:tcW w:w="1276" w:type="dxa"/>
            <w:tcBorders>
              <w:bottom w:val="single" w:sz="4" w:space="0" w:color="auto"/>
            </w:tcBorders>
          </w:tcPr>
          <w:p w:rsidR="00FA7C52" w:rsidRDefault="00AE0E2D">
            <w:pPr>
              <w:pStyle w:val="nTable"/>
              <w:spacing w:after="40"/>
            </w:pPr>
            <w:r>
              <w:t>SL 2021/29 26 Mar 2021</w:t>
            </w:r>
          </w:p>
        </w:tc>
        <w:tc>
          <w:tcPr>
            <w:tcW w:w="2693" w:type="dxa"/>
            <w:tcBorders>
              <w:bottom w:val="single" w:sz="4" w:space="0" w:color="auto"/>
            </w:tcBorders>
          </w:tcPr>
          <w:p w:rsidR="00FA7C52" w:rsidRDefault="00AE0E2D">
            <w:pPr>
              <w:pStyle w:val="nTable"/>
              <w:spacing w:after="40"/>
              <w:rPr>
                <w:snapToGrid w:val="0"/>
              </w:rPr>
            </w:pPr>
            <w:r>
              <w:rPr>
                <w:snapToGrid w:val="0"/>
              </w:rPr>
              <w:t xml:space="preserve">r. 1 and 2: </w:t>
            </w:r>
            <w:r>
              <w:t>26 Mar 2021</w:t>
            </w:r>
            <w:r>
              <w:rPr>
                <w:snapToGrid w:val="0"/>
              </w:rPr>
              <w:t xml:space="preserve"> (see r. 2(a));</w:t>
            </w:r>
            <w:r>
              <w:rPr>
                <w:snapToGrid w:val="0"/>
              </w:rPr>
              <w:br/>
              <w:t xml:space="preserve">Regulations other than r. 1 and 2: </w:t>
            </w:r>
            <w:r>
              <w:t>27 Mar 2021</w:t>
            </w:r>
            <w:r>
              <w:rPr>
                <w:snapToGrid w:val="0"/>
              </w:rPr>
              <w:t xml:space="preserve"> (see r. 2(b))</w:t>
            </w:r>
          </w:p>
        </w:tc>
      </w:tr>
    </w:tbl>
    <w:p w:rsidR="00FA7C52" w:rsidRDefault="00FA7C52"/>
    <w:p w:rsidR="00FA7C52" w:rsidRDefault="00FA7C52">
      <w:pPr>
        <w:sectPr w:rsidR="00FA7C52">
          <w:headerReference w:type="even" r:id="rId24"/>
          <w:headerReference w:type="default" r:id="rId25"/>
          <w:pgSz w:w="11907" w:h="16840" w:code="9"/>
          <w:pgMar w:top="2376" w:right="2404" w:bottom="3544" w:left="2404" w:header="720" w:footer="3380" w:gutter="0"/>
          <w:cols w:space="720"/>
          <w:noEndnote/>
          <w:docGrid w:linePitch="326"/>
        </w:sectPr>
      </w:pPr>
    </w:p>
    <w:p w:rsidR="00FA7C52" w:rsidRDefault="00AE0E2D">
      <w:pPr>
        <w:pStyle w:val="nHeading2"/>
        <w:rPr>
          <w:sz w:val="28"/>
        </w:rPr>
      </w:pPr>
      <w:bookmarkStart w:id="37" w:name="_Toc67397306"/>
      <w:bookmarkStart w:id="38" w:name="_Toc67399790"/>
      <w:bookmarkStart w:id="39" w:name="_Toc67400017"/>
      <w:bookmarkStart w:id="40" w:name="_Toc67477251"/>
      <w:r>
        <w:rPr>
          <w:sz w:val="28"/>
        </w:rPr>
        <w:lastRenderedPageBreak/>
        <w:t>Defined terms</w:t>
      </w:r>
      <w:bookmarkEnd w:id="37"/>
      <w:bookmarkEnd w:id="38"/>
      <w:bookmarkEnd w:id="39"/>
      <w:bookmarkEnd w:id="40"/>
    </w:p>
    <w:p w:rsidR="00FA7C52" w:rsidRDefault="00FA7C52">
      <w:pPr>
        <w:ind w:left="850" w:right="850"/>
        <w:jc w:val="center"/>
        <w:rPr>
          <w:i/>
          <w:sz w:val="18"/>
        </w:rPr>
      </w:pPr>
    </w:p>
    <w:p w:rsidR="00FA7C52" w:rsidRDefault="00AE0E2D">
      <w:pPr>
        <w:ind w:left="850" w:right="850"/>
        <w:jc w:val="center"/>
        <w:rPr>
          <w:i/>
          <w:sz w:val="18"/>
        </w:rPr>
      </w:pPr>
      <w:r>
        <w:rPr>
          <w:i/>
          <w:sz w:val="18"/>
        </w:rPr>
        <w:t>[This is a list of terms defined and the provisions where they are defined.  The list is not part of the law.]</w:t>
      </w:r>
    </w:p>
    <w:p w:rsidR="00FA7C52" w:rsidRDefault="00AE0E2D">
      <w:pPr>
        <w:pBdr>
          <w:bottom w:val="single" w:sz="4" w:space="1" w:color="auto"/>
        </w:pBdr>
        <w:tabs>
          <w:tab w:val="right" w:pos="7070"/>
        </w:tabs>
        <w:ind w:left="578"/>
        <w:rPr>
          <w:b/>
          <w:sz w:val="20"/>
        </w:rPr>
      </w:pPr>
      <w:r>
        <w:rPr>
          <w:b/>
          <w:sz w:val="20"/>
        </w:rPr>
        <w:t>Defined term</w:t>
      </w:r>
      <w:r>
        <w:rPr>
          <w:b/>
          <w:sz w:val="20"/>
        </w:rPr>
        <w:tab/>
        <w:t>Provision(s)</w:t>
      </w:r>
    </w:p>
    <w:p w:rsidR="00FA7C52" w:rsidRDefault="00AE0E2D">
      <w:pPr>
        <w:pStyle w:val="DefinedTerms"/>
      </w:pPr>
      <w:r>
        <w:t>Abrolhos Islands Fishery</w:t>
      </w:r>
      <w:r>
        <w:tab/>
        <w:t>3</w:t>
      </w:r>
    </w:p>
    <w:p w:rsidR="00FA7C52" w:rsidRDefault="00AE0E2D">
      <w:pPr>
        <w:pStyle w:val="DefinedTerms"/>
      </w:pPr>
      <w:r>
        <w:t>Abrolhos Islands Notice</w:t>
      </w:r>
      <w:r>
        <w:tab/>
        <w:t>3</w:t>
      </w:r>
    </w:p>
    <w:p w:rsidR="00FA7C52" w:rsidRDefault="00AE0E2D">
      <w:pPr>
        <w:pStyle w:val="DefinedTerms"/>
      </w:pPr>
      <w:r>
        <w:t>Abrolhos Islands Voluntary Scheme</w:t>
      </w:r>
      <w:r>
        <w:tab/>
        <w:t>3</w:t>
      </w:r>
    </w:p>
    <w:p w:rsidR="00FA7C52" w:rsidRDefault="00AE0E2D">
      <w:pPr>
        <w:pStyle w:val="DefinedTerms"/>
      </w:pPr>
      <w:r>
        <w:t>authorisation</w:t>
      </w:r>
      <w:r>
        <w:tab/>
        <w:t>3, 10</w:t>
      </w:r>
    </w:p>
    <w:p w:rsidR="00FA7C52" w:rsidRDefault="00AE0E2D">
      <w:pPr>
        <w:pStyle w:val="DefinedTerms"/>
      </w:pPr>
      <w:r>
        <w:t>managed fishery licence</w:t>
      </w:r>
      <w:r>
        <w:tab/>
        <w:t>13</w:t>
      </w:r>
    </w:p>
    <w:p w:rsidR="00FA7C52" w:rsidRDefault="00AE0E2D">
      <w:pPr>
        <w:pStyle w:val="DefinedTerms"/>
      </w:pPr>
      <w:r>
        <w:t>Shark Bay Prawn Managed Fishery</w:t>
      </w:r>
      <w:r>
        <w:tab/>
        <w:t>10</w:t>
      </w:r>
    </w:p>
    <w:p w:rsidR="00FA7C52" w:rsidRDefault="00AE0E2D">
      <w:pPr>
        <w:pStyle w:val="DefinedTerms"/>
      </w:pPr>
      <w:r>
        <w:t>Shark Bay Prawn Managed Fishery Notice</w:t>
      </w:r>
      <w:r>
        <w:tab/>
        <w:t>10</w:t>
      </w:r>
    </w:p>
    <w:p w:rsidR="00FA7C52" w:rsidRDefault="00AE0E2D">
      <w:pPr>
        <w:pStyle w:val="DefinedTerms"/>
      </w:pPr>
      <w:r>
        <w:t xml:space="preserve">Shark Bay Prawn Managed Fishery Voluntary </w:t>
      </w:r>
      <w:r>
        <w:t>Scheme</w:t>
      </w:r>
      <w:r>
        <w:tab/>
        <w:t>10</w:t>
      </w:r>
    </w:p>
    <w:p w:rsidR="00FA7C52" w:rsidRDefault="00AE0E2D">
      <w:pPr>
        <w:pStyle w:val="DefinedTerms"/>
      </w:pPr>
      <w:r>
        <w:t>Shark Bay Scallop Managed Fishery Notice</w:t>
      </w:r>
      <w:r>
        <w:tab/>
        <w:t>13</w:t>
      </w:r>
    </w:p>
    <w:p w:rsidR="00FA7C52" w:rsidRDefault="00AE0E2D">
      <w:pPr>
        <w:pStyle w:val="DefinedTerms"/>
      </w:pPr>
      <w:r>
        <w:t>Shark Bay Scallop Managed Fishery Voluntary Scheme</w:t>
      </w:r>
      <w:r>
        <w:tab/>
        <w:t>13</w:t>
      </w:r>
    </w:p>
    <w:p w:rsidR="00FA7C52" w:rsidRDefault="00FA7C52"/>
    <w:p w:rsidR="00FA7C52" w:rsidRDefault="00FA7C52">
      <w:pPr>
        <w:sectPr w:rsidR="00FA7C52">
          <w:headerReference w:type="even" r:id="rId26"/>
          <w:headerReference w:type="default" r:id="rId27"/>
          <w:pgSz w:w="11907" w:h="16840" w:code="9"/>
          <w:pgMar w:top="2381" w:right="2409" w:bottom="3543" w:left="2409" w:header="720" w:footer="3380" w:gutter="0"/>
          <w:cols w:space="720"/>
          <w:noEndnote/>
          <w:docGrid w:linePitch="326"/>
        </w:sectPr>
      </w:pPr>
    </w:p>
    <w:p w:rsidR="00FA7C52" w:rsidRDefault="00FA7C52"/>
    <w:sectPr w:rsidR="00FA7C52">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7C52" w:rsidRDefault="00AE0E2D">
      <w:pPr>
        <w:rPr>
          <w:b/>
          <w:sz w:val="28"/>
        </w:rPr>
      </w:pPr>
      <w:r>
        <w:rPr>
          <w:b/>
          <w:sz w:val="28"/>
        </w:rPr>
        <w:t>Endnotes</w:t>
      </w:r>
    </w:p>
    <w:p w:rsidR="00FA7C52" w:rsidRDefault="00AE0E2D">
      <w:pPr>
        <w:spacing w:after="240"/>
        <w:rPr>
          <w:rFonts w:ascii="Times" w:hAnsi="Times"/>
          <w:sz w:val="18"/>
        </w:rPr>
      </w:pPr>
      <w:r>
        <w:rPr>
          <w:sz w:val="20"/>
        </w:rPr>
        <w:t>[For ease of reference detach these notes and read them alongside the draft.]</w:t>
      </w:r>
    </w:p>
    <w:p w:rsidR="00FA7C52" w:rsidRDefault="00FA7C52"/>
  </w:endnote>
  <w:endnote w:type="continuationSeparator" w:id="0">
    <w:p w:rsidR="00FA7C52" w:rsidRDefault="00FA7C52">
      <w:pPr>
        <w:pStyle w:val="Footer"/>
      </w:pPr>
    </w:p>
    <w:p w:rsidR="00FA7C52" w:rsidRDefault="00FA7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Bdr>
        <w:bottom w:val="single" w:sz="4" w:space="1" w:color="auto"/>
      </w:pBdr>
      <w:rPr>
        <w:sz w:val="20"/>
      </w:rPr>
    </w:pPr>
  </w:p>
  <w:p w:rsidR="00FA7C52" w:rsidRDefault="00AE0E2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2021</w:t>
    </w:r>
    <w:r>
      <w:rPr>
        <w:sz w:val="20"/>
      </w:rPr>
      <w:fldChar w:fldCharType="end"/>
    </w:r>
  </w:p>
  <w:p w:rsidR="00FA7C52" w:rsidRDefault="00AE0E2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Bdr>
        <w:bottom w:val="single" w:sz="4" w:space="1" w:color="auto"/>
      </w:pBdr>
      <w:rPr>
        <w:sz w:val="20"/>
      </w:rPr>
    </w:pPr>
  </w:p>
  <w:p w:rsidR="00FA7C52" w:rsidRDefault="00AE0E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rsidR="00FA7C52" w:rsidRDefault="00AE0E2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Bdr>
        <w:bottom w:val="single" w:sz="4" w:space="1" w:color="auto"/>
      </w:pBdr>
      <w:rPr>
        <w:sz w:val="20"/>
      </w:rPr>
    </w:pPr>
  </w:p>
  <w:p w:rsidR="00FA7C52" w:rsidRDefault="00AE0E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w:instrText>
    </w:r>
    <w:r>
      <w:rPr>
        <w:sz w:val="20"/>
      </w:rPr>
      <w:instrText xml:space="preserve">Y "AsAtDate" </w:instrText>
    </w:r>
    <w:r>
      <w:rPr>
        <w:sz w:val="20"/>
      </w:rPr>
      <w:fldChar w:fldCharType="separate"/>
    </w:r>
    <w:r>
      <w:rPr>
        <w:sz w:val="20"/>
      </w:rPr>
      <w:t>27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rsidR="00FA7C52" w:rsidRDefault="00AE0E2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Bdr>
        <w:bottom w:val="single" w:sz="4" w:space="1" w:color="auto"/>
      </w:pBdr>
      <w:rPr>
        <w:sz w:val="20"/>
      </w:rPr>
    </w:pPr>
  </w:p>
  <w:p w:rsidR="00FA7C52" w:rsidRDefault="00AE0E2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2021</w:t>
    </w:r>
    <w:r>
      <w:rPr>
        <w:sz w:val="20"/>
      </w:rPr>
      <w:fldChar w:fldCharType="end"/>
    </w:r>
  </w:p>
  <w:p w:rsidR="00FA7C52" w:rsidRDefault="00AE0E2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Bdr>
        <w:bottom w:val="single" w:sz="4" w:space="1" w:color="auto"/>
      </w:pBdr>
      <w:rPr>
        <w:sz w:val="20"/>
      </w:rPr>
    </w:pPr>
  </w:p>
  <w:p w:rsidR="00FA7C52" w:rsidRDefault="00AE0E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rsidR="00FA7C52" w:rsidRDefault="00AE0E2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Bdr>
        <w:bottom w:val="single" w:sz="4" w:space="1" w:color="auto"/>
      </w:pBdr>
      <w:rPr>
        <w:sz w:val="20"/>
      </w:rPr>
    </w:pPr>
  </w:p>
  <w:p w:rsidR="00FA7C52" w:rsidRDefault="00AE0E2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A7C52" w:rsidRDefault="00AE0E2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7C52" w:rsidRDefault="00AE0E2D">
      <w:r>
        <w:separator/>
      </w:r>
    </w:p>
  </w:footnote>
  <w:footnote w:type="continuationSeparator" w:id="0">
    <w:p w:rsidR="00FA7C52" w:rsidRDefault="00AE0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0E2D" w:rsidRDefault="00AE0E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0E2D" w:rsidRDefault="00AE0E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A7C52">
      <w:trPr>
        <w:cantSplit/>
        <w:jc w:val="center"/>
      </w:trPr>
      <w:tc>
        <w:tcPr>
          <w:tcW w:w="7258" w:type="dxa"/>
          <w:gridSpan w:val="2"/>
        </w:tcPr>
        <w:p w:rsidR="00FA7C52" w:rsidRDefault="00AE0E2D">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rsidR="00FA7C52">
      <w:trPr>
        <w:jc w:val="center"/>
      </w:trPr>
      <w:tc>
        <w:tcPr>
          <w:tcW w:w="1548" w:type="dxa"/>
        </w:tcPr>
        <w:p w:rsidR="00FA7C52" w:rsidRDefault="00FA7C52">
          <w:pPr>
            <w:pStyle w:val="Header"/>
            <w:spacing w:before="40"/>
          </w:pPr>
        </w:p>
      </w:tc>
      <w:tc>
        <w:tcPr>
          <w:tcW w:w="5715" w:type="dxa"/>
        </w:tcPr>
        <w:p w:rsidR="00FA7C52" w:rsidRDefault="00FA7C52">
          <w:pPr>
            <w:pStyle w:val="Header"/>
            <w:spacing w:before="40"/>
          </w:pPr>
        </w:p>
      </w:tc>
    </w:tr>
    <w:tr w:rsidR="00FA7C52">
      <w:trPr>
        <w:jc w:val="center"/>
      </w:trPr>
      <w:tc>
        <w:tcPr>
          <w:tcW w:w="1548" w:type="dxa"/>
        </w:tcPr>
        <w:p w:rsidR="00FA7C52" w:rsidRDefault="00FA7C52">
          <w:pPr>
            <w:pStyle w:val="Header"/>
            <w:spacing w:before="40"/>
          </w:pPr>
        </w:p>
      </w:tc>
      <w:tc>
        <w:tcPr>
          <w:tcW w:w="5715" w:type="dxa"/>
        </w:tcPr>
        <w:p w:rsidR="00FA7C52" w:rsidRDefault="00FA7C52">
          <w:pPr>
            <w:pStyle w:val="Header"/>
            <w:spacing w:before="40"/>
          </w:pPr>
        </w:p>
      </w:tc>
    </w:tr>
    <w:tr w:rsidR="00FA7C52">
      <w:trPr>
        <w:cantSplit/>
        <w:jc w:val="center"/>
      </w:trPr>
      <w:tc>
        <w:tcPr>
          <w:tcW w:w="7258" w:type="dxa"/>
          <w:gridSpan w:val="2"/>
        </w:tcPr>
        <w:p w:rsidR="00FA7C52" w:rsidRDefault="00AE0E2D">
          <w:pPr>
            <w:pStyle w:val="Header"/>
            <w:spacing w:before="40"/>
          </w:pPr>
          <w:r>
            <w:t>Contents</w:t>
          </w:r>
        </w:p>
      </w:tc>
    </w:tr>
  </w:tbl>
  <w:p w:rsidR="00FA7C52" w:rsidRDefault="00FA7C5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A7C52">
      <w:trPr>
        <w:cantSplit/>
        <w:jc w:val="center"/>
      </w:trPr>
      <w:tc>
        <w:tcPr>
          <w:tcW w:w="7258" w:type="dxa"/>
          <w:gridSpan w:val="2"/>
        </w:tcPr>
        <w:p w:rsidR="00FA7C52" w:rsidRDefault="00AE0E2D">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rsidR="00FA7C52">
      <w:trPr>
        <w:jc w:val="center"/>
      </w:trPr>
      <w:tc>
        <w:tcPr>
          <w:tcW w:w="5715" w:type="dxa"/>
        </w:tcPr>
        <w:p w:rsidR="00FA7C52" w:rsidRDefault="00FA7C52">
          <w:pPr>
            <w:pStyle w:val="Header"/>
            <w:spacing w:before="40"/>
            <w:jc w:val="right"/>
          </w:pPr>
        </w:p>
      </w:tc>
      <w:tc>
        <w:tcPr>
          <w:tcW w:w="1548" w:type="dxa"/>
        </w:tcPr>
        <w:p w:rsidR="00FA7C52" w:rsidRDefault="00FA7C52">
          <w:pPr>
            <w:pStyle w:val="Header"/>
            <w:spacing w:before="40"/>
            <w:ind w:right="17"/>
            <w:jc w:val="right"/>
          </w:pPr>
        </w:p>
      </w:tc>
    </w:tr>
    <w:tr w:rsidR="00FA7C52">
      <w:trPr>
        <w:jc w:val="center"/>
      </w:trPr>
      <w:tc>
        <w:tcPr>
          <w:tcW w:w="5715" w:type="dxa"/>
        </w:tcPr>
        <w:p w:rsidR="00FA7C52" w:rsidRDefault="00FA7C52">
          <w:pPr>
            <w:pStyle w:val="Header"/>
            <w:spacing w:before="40"/>
            <w:jc w:val="right"/>
          </w:pPr>
        </w:p>
      </w:tc>
      <w:tc>
        <w:tcPr>
          <w:tcW w:w="1548" w:type="dxa"/>
        </w:tcPr>
        <w:p w:rsidR="00FA7C52" w:rsidRDefault="00FA7C52">
          <w:pPr>
            <w:pStyle w:val="Header"/>
            <w:spacing w:before="40"/>
            <w:ind w:right="17"/>
            <w:jc w:val="right"/>
          </w:pPr>
        </w:p>
      </w:tc>
    </w:tr>
    <w:tr w:rsidR="00FA7C52">
      <w:trPr>
        <w:cantSplit/>
        <w:jc w:val="center"/>
      </w:trPr>
      <w:tc>
        <w:tcPr>
          <w:tcW w:w="7258" w:type="dxa"/>
          <w:gridSpan w:val="2"/>
        </w:tcPr>
        <w:p w:rsidR="00FA7C52" w:rsidRDefault="00AE0E2D">
          <w:pPr>
            <w:pStyle w:val="Header"/>
            <w:spacing w:before="40"/>
            <w:ind w:right="17"/>
            <w:jc w:val="right"/>
          </w:pPr>
          <w:r>
            <w:t>Contents</w:t>
          </w:r>
        </w:p>
      </w:tc>
    </w:tr>
  </w:tbl>
  <w:p w:rsidR="00FA7C52" w:rsidRDefault="00FA7C5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A7C52">
      <w:trPr>
        <w:cantSplit/>
        <w:jc w:val="center"/>
      </w:trPr>
      <w:tc>
        <w:tcPr>
          <w:tcW w:w="7312" w:type="dxa"/>
          <w:gridSpan w:val="2"/>
        </w:tcPr>
        <w:p w:rsidR="00FA7C52" w:rsidRDefault="00AE0E2D">
          <w:pPr>
            <w:pStyle w:val="Header"/>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rsidR="00FA7C52">
      <w:trPr>
        <w:jc w:val="center"/>
      </w:trPr>
      <w:tc>
        <w:tcPr>
          <w:tcW w:w="1305" w:type="dxa"/>
        </w:tcPr>
        <w:p w:rsidR="00FA7C52" w:rsidRDefault="00AE0E2D">
          <w:pPr>
            <w:pStyle w:val="Header"/>
            <w:spacing w:before="40"/>
          </w:pPr>
          <w:r>
            <w:rPr>
              <w:b/>
            </w:rPr>
            <w:fldChar w:fldCharType="begin"/>
          </w:r>
          <w:r>
            <w:rPr>
              <w:b/>
            </w:rPr>
            <w:instrText>styleref CharPartNo</w:instrText>
          </w:r>
          <w:r>
            <w:rPr>
              <w:b/>
            </w:rPr>
            <w:fldChar w:fldCharType="end"/>
          </w:r>
        </w:p>
      </w:tc>
      <w:tc>
        <w:tcPr>
          <w:tcW w:w="6007" w:type="dxa"/>
          <w:vAlign w:val="bottom"/>
        </w:tcPr>
        <w:p w:rsidR="00FA7C52" w:rsidRDefault="00AE0E2D">
          <w:pPr>
            <w:pStyle w:val="Header"/>
            <w:spacing w:before="40"/>
          </w:pPr>
          <w:r>
            <w:fldChar w:fldCharType="begin"/>
          </w:r>
          <w:r>
            <w:instrText>styleref CharPartText</w:instrText>
          </w:r>
          <w:r>
            <w:fldChar w:fldCharType="end"/>
          </w:r>
        </w:p>
      </w:tc>
    </w:tr>
    <w:tr w:rsidR="00FA7C52">
      <w:trPr>
        <w:jc w:val="center"/>
      </w:trPr>
      <w:tc>
        <w:tcPr>
          <w:tcW w:w="1305" w:type="dxa"/>
        </w:tcPr>
        <w:p w:rsidR="00FA7C52" w:rsidRDefault="00AE0E2D">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rsidR="00FA7C52" w:rsidRDefault="00AE0E2D">
          <w:pPr>
            <w:pStyle w:val="Header"/>
            <w:spacing w:before="40"/>
          </w:pPr>
          <w:r>
            <w:fldChar w:fldCharType="begin"/>
          </w:r>
          <w:r>
            <w:instrText xml:space="preserve"> styleref CharDivText </w:instrText>
          </w:r>
          <w:r>
            <w:fldChar w:fldCharType="end"/>
          </w:r>
        </w:p>
      </w:tc>
    </w:tr>
    <w:tr w:rsidR="00FA7C52">
      <w:trPr>
        <w:cantSplit/>
        <w:jc w:val="center"/>
      </w:trPr>
      <w:tc>
        <w:tcPr>
          <w:tcW w:w="7312" w:type="dxa"/>
          <w:gridSpan w:val="2"/>
        </w:tcPr>
        <w:p w:rsidR="00FA7C52" w:rsidRDefault="00AE0E2D">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FA7C52" w:rsidRDefault="00FA7C5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A7C52">
      <w:trPr>
        <w:cantSplit/>
        <w:jc w:val="center"/>
      </w:trPr>
      <w:tc>
        <w:tcPr>
          <w:tcW w:w="7312" w:type="dxa"/>
          <w:gridSpan w:val="2"/>
        </w:tcPr>
        <w:p w:rsidR="00FA7C52" w:rsidRDefault="00AE0E2D">
          <w:pPr>
            <w:pStyle w:val="Header"/>
            <w:ind w:right="17"/>
            <w:jc w:val="right"/>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rsidR="00FA7C52">
      <w:trPr>
        <w:jc w:val="center"/>
      </w:trPr>
      <w:tc>
        <w:tcPr>
          <w:tcW w:w="5985" w:type="dxa"/>
          <w:vAlign w:val="bottom"/>
        </w:tcPr>
        <w:p w:rsidR="00FA7C52" w:rsidRDefault="00AE0E2D">
          <w:pPr>
            <w:pStyle w:val="Header"/>
            <w:spacing w:before="40"/>
            <w:jc w:val="right"/>
          </w:pPr>
          <w:r>
            <w:fldChar w:fldCharType="begin"/>
          </w:r>
          <w:r>
            <w:instrText>styleref CharPartText</w:instrText>
          </w:r>
          <w:r>
            <w:fldChar w:fldCharType="end"/>
          </w:r>
        </w:p>
      </w:tc>
      <w:tc>
        <w:tcPr>
          <w:tcW w:w="1327" w:type="dxa"/>
        </w:tcPr>
        <w:p w:rsidR="00FA7C52" w:rsidRDefault="00AE0E2D">
          <w:pPr>
            <w:pStyle w:val="Header"/>
            <w:spacing w:before="40"/>
            <w:ind w:right="17"/>
            <w:jc w:val="right"/>
          </w:pPr>
          <w:r>
            <w:rPr>
              <w:b/>
            </w:rPr>
            <w:fldChar w:fldCharType="begin"/>
          </w:r>
          <w:r>
            <w:rPr>
              <w:b/>
            </w:rPr>
            <w:instrText>styleref CharPartNo</w:instrText>
          </w:r>
          <w:r>
            <w:rPr>
              <w:b/>
            </w:rPr>
            <w:fldChar w:fldCharType="end"/>
          </w:r>
        </w:p>
      </w:tc>
    </w:tr>
    <w:tr w:rsidR="00FA7C52">
      <w:trPr>
        <w:jc w:val="center"/>
      </w:trPr>
      <w:tc>
        <w:tcPr>
          <w:tcW w:w="5985" w:type="dxa"/>
          <w:vAlign w:val="bottom"/>
        </w:tcPr>
        <w:p w:rsidR="00FA7C52" w:rsidRDefault="00AE0E2D">
          <w:pPr>
            <w:pStyle w:val="Header"/>
            <w:spacing w:before="40"/>
            <w:jc w:val="right"/>
          </w:pPr>
          <w:r>
            <w:fldChar w:fldCharType="begin"/>
          </w:r>
          <w:r>
            <w:instrText xml:space="preserve"> styleref CharDivText </w:instrText>
          </w:r>
          <w:r>
            <w:fldChar w:fldCharType="end"/>
          </w:r>
        </w:p>
      </w:tc>
      <w:tc>
        <w:tcPr>
          <w:tcW w:w="1327" w:type="dxa"/>
        </w:tcPr>
        <w:p w:rsidR="00FA7C52" w:rsidRDefault="00AE0E2D">
          <w:pPr>
            <w:pStyle w:val="Header"/>
            <w:spacing w:before="40"/>
            <w:ind w:right="17"/>
            <w:jc w:val="right"/>
          </w:pPr>
          <w:r>
            <w:rPr>
              <w:b/>
            </w:rPr>
            <w:fldChar w:fldCharType="begin"/>
          </w:r>
          <w:r>
            <w:rPr>
              <w:b/>
            </w:rPr>
            <w:instrText xml:space="preserve"> styleref CharDivNo </w:instrText>
          </w:r>
          <w:r>
            <w:rPr>
              <w:b/>
            </w:rPr>
            <w:fldChar w:fldCharType="end"/>
          </w:r>
        </w:p>
      </w:tc>
    </w:tr>
    <w:tr w:rsidR="00FA7C52">
      <w:trPr>
        <w:cantSplit/>
        <w:jc w:val="center"/>
      </w:trPr>
      <w:tc>
        <w:tcPr>
          <w:tcW w:w="7312" w:type="dxa"/>
          <w:gridSpan w:val="2"/>
        </w:tcPr>
        <w:p w:rsidR="00FA7C52" w:rsidRDefault="00AE0E2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FA7C52" w:rsidRDefault="00FA7C5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A7C52">
      <w:trPr>
        <w:cantSplit/>
        <w:jc w:val="center"/>
      </w:trPr>
      <w:tc>
        <w:tcPr>
          <w:tcW w:w="7258" w:type="dxa"/>
          <w:gridSpan w:val="2"/>
        </w:tcPr>
        <w:p w:rsidR="00FA7C52" w:rsidRDefault="00AE0E2D">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rsidR="00FA7C52">
      <w:trPr>
        <w:jc w:val="center"/>
      </w:trPr>
      <w:tc>
        <w:tcPr>
          <w:tcW w:w="1548" w:type="dxa"/>
        </w:tcPr>
        <w:p w:rsidR="00FA7C52" w:rsidRDefault="00AE0E2D">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FA7C52" w:rsidRDefault="00AE0E2D">
          <w:pPr>
            <w:pStyle w:val="Header"/>
            <w:spacing w:before="40"/>
          </w:pPr>
          <w:r>
            <w:fldChar w:fldCharType="begin"/>
          </w:r>
          <w:r>
            <w:instrText xml:space="preserve"> STYLEREF "nHeading 3" </w:instrText>
          </w:r>
          <w:r>
            <w:fldChar w:fldCharType="separate"/>
          </w:r>
          <w:r>
            <w:t>Compilation table</w:t>
          </w:r>
          <w:r>
            <w:fldChar w:fldCharType="end"/>
          </w:r>
        </w:p>
      </w:tc>
    </w:tr>
    <w:tr w:rsidR="00FA7C52">
      <w:trPr>
        <w:jc w:val="center"/>
      </w:trPr>
      <w:tc>
        <w:tcPr>
          <w:tcW w:w="1548" w:type="dxa"/>
        </w:tcPr>
        <w:p w:rsidR="00FA7C52" w:rsidRDefault="00FA7C52">
          <w:pPr>
            <w:pStyle w:val="Header"/>
            <w:spacing w:before="40"/>
          </w:pPr>
        </w:p>
      </w:tc>
      <w:tc>
        <w:tcPr>
          <w:tcW w:w="5715" w:type="dxa"/>
        </w:tcPr>
        <w:p w:rsidR="00FA7C52" w:rsidRDefault="00FA7C52">
          <w:pPr>
            <w:pStyle w:val="Header"/>
            <w:spacing w:before="40"/>
          </w:pPr>
        </w:p>
      </w:tc>
    </w:tr>
    <w:tr w:rsidR="00FA7C52">
      <w:trPr>
        <w:cantSplit/>
        <w:jc w:val="center"/>
      </w:trPr>
      <w:tc>
        <w:tcPr>
          <w:tcW w:w="7258" w:type="dxa"/>
          <w:gridSpan w:val="2"/>
        </w:tcPr>
        <w:p w:rsidR="00FA7C52" w:rsidRDefault="00FA7C52">
          <w:pPr>
            <w:pStyle w:val="Header"/>
            <w:spacing w:before="40"/>
          </w:pPr>
        </w:p>
      </w:tc>
    </w:tr>
  </w:tbl>
  <w:p w:rsidR="00FA7C52" w:rsidRDefault="00FA7C5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A7C52">
      <w:trPr>
        <w:cantSplit/>
        <w:jc w:val="center"/>
      </w:trPr>
      <w:tc>
        <w:tcPr>
          <w:tcW w:w="7258" w:type="dxa"/>
          <w:gridSpan w:val="2"/>
        </w:tcPr>
        <w:p w:rsidR="00FA7C52" w:rsidRDefault="00AE0E2D">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rsidR="00FA7C52">
      <w:trPr>
        <w:jc w:val="center"/>
      </w:trPr>
      <w:tc>
        <w:tcPr>
          <w:tcW w:w="5715" w:type="dxa"/>
        </w:tcPr>
        <w:p w:rsidR="00FA7C52" w:rsidRDefault="00AE0E2D">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FA7C52" w:rsidRDefault="00AE0E2D">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FA7C52">
      <w:trPr>
        <w:jc w:val="center"/>
      </w:trPr>
      <w:tc>
        <w:tcPr>
          <w:tcW w:w="5715" w:type="dxa"/>
        </w:tcPr>
        <w:p w:rsidR="00FA7C52" w:rsidRDefault="00FA7C52">
          <w:pPr>
            <w:pStyle w:val="Header"/>
            <w:spacing w:before="40"/>
            <w:jc w:val="right"/>
          </w:pPr>
        </w:p>
      </w:tc>
      <w:tc>
        <w:tcPr>
          <w:tcW w:w="1548" w:type="dxa"/>
        </w:tcPr>
        <w:p w:rsidR="00FA7C52" w:rsidRDefault="00FA7C52">
          <w:pPr>
            <w:pStyle w:val="Header"/>
            <w:spacing w:before="40"/>
            <w:ind w:right="17"/>
            <w:jc w:val="right"/>
          </w:pPr>
        </w:p>
      </w:tc>
    </w:tr>
    <w:tr w:rsidR="00FA7C52">
      <w:trPr>
        <w:cantSplit/>
        <w:jc w:val="center"/>
      </w:trPr>
      <w:tc>
        <w:tcPr>
          <w:tcW w:w="7258" w:type="dxa"/>
          <w:gridSpan w:val="2"/>
        </w:tcPr>
        <w:p w:rsidR="00FA7C52" w:rsidRDefault="00FA7C52">
          <w:pPr>
            <w:pStyle w:val="Header"/>
            <w:spacing w:before="40"/>
            <w:ind w:right="17"/>
            <w:jc w:val="right"/>
          </w:pPr>
        </w:p>
      </w:tc>
    </w:tr>
  </w:tbl>
  <w:p w:rsidR="00FA7C52" w:rsidRDefault="00FA7C52">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A7C52">
      <w:trPr>
        <w:cantSplit/>
        <w:jc w:val="center"/>
      </w:trPr>
      <w:tc>
        <w:tcPr>
          <w:tcW w:w="7263" w:type="dxa"/>
          <w:gridSpan w:val="2"/>
        </w:tcPr>
        <w:p w:rsidR="00FA7C52" w:rsidRDefault="00AE0E2D">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rsidR="00FA7C52">
      <w:trPr>
        <w:jc w:val="center"/>
      </w:trPr>
      <w:tc>
        <w:tcPr>
          <w:tcW w:w="1348" w:type="dxa"/>
        </w:tcPr>
        <w:p w:rsidR="00FA7C52" w:rsidRDefault="00FA7C52">
          <w:pPr>
            <w:pStyle w:val="Header"/>
            <w:spacing w:before="40"/>
          </w:pPr>
        </w:p>
      </w:tc>
      <w:tc>
        <w:tcPr>
          <w:tcW w:w="5915" w:type="dxa"/>
        </w:tcPr>
        <w:p w:rsidR="00FA7C52" w:rsidRDefault="00FA7C52">
          <w:pPr>
            <w:pStyle w:val="Header"/>
            <w:spacing w:before="40"/>
          </w:pPr>
        </w:p>
      </w:tc>
    </w:tr>
    <w:tr w:rsidR="00FA7C52">
      <w:trPr>
        <w:jc w:val="center"/>
      </w:trPr>
      <w:tc>
        <w:tcPr>
          <w:tcW w:w="1348" w:type="dxa"/>
        </w:tcPr>
        <w:p w:rsidR="00FA7C52" w:rsidRDefault="00FA7C52">
          <w:pPr>
            <w:pStyle w:val="Header"/>
            <w:spacing w:before="40"/>
          </w:pPr>
        </w:p>
      </w:tc>
      <w:tc>
        <w:tcPr>
          <w:tcW w:w="5915" w:type="dxa"/>
        </w:tcPr>
        <w:p w:rsidR="00FA7C52" w:rsidRDefault="00FA7C52">
          <w:pPr>
            <w:pStyle w:val="Header"/>
            <w:spacing w:before="40"/>
          </w:pPr>
        </w:p>
      </w:tc>
    </w:tr>
    <w:tr w:rsidR="00FA7C52">
      <w:trPr>
        <w:cantSplit/>
        <w:jc w:val="center"/>
      </w:trPr>
      <w:tc>
        <w:tcPr>
          <w:tcW w:w="7263" w:type="dxa"/>
          <w:gridSpan w:val="2"/>
        </w:tcPr>
        <w:p w:rsidR="00FA7C52" w:rsidRDefault="00AE0E2D">
          <w:pPr>
            <w:pStyle w:val="Header"/>
            <w:spacing w:before="40"/>
          </w:pPr>
          <w:r>
            <w:t>Defined terms</w:t>
          </w:r>
        </w:p>
      </w:tc>
    </w:tr>
  </w:tbl>
  <w:p w:rsidR="00FA7C52" w:rsidRDefault="00FA7C5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A7C52">
      <w:trPr>
        <w:cantSplit/>
        <w:jc w:val="center"/>
      </w:trPr>
      <w:tc>
        <w:tcPr>
          <w:tcW w:w="7263" w:type="dxa"/>
          <w:gridSpan w:val="2"/>
        </w:tcPr>
        <w:p w:rsidR="00FA7C52" w:rsidRDefault="00AE0E2D">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rsidR="00FA7C52">
      <w:trPr>
        <w:jc w:val="center"/>
      </w:trPr>
      <w:tc>
        <w:tcPr>
          <w:tcW w:w="5884" w:type="dxa"/>
        </w:tcPr>
        <w:p w:rsidR="00FA7C52" w:rsidRDefault="00FA7C52">
          <w:pPr>
            <w:pStyle w:val="Header"/>
            <w:spacing w:before="40"/>
            <w:jc w:val="right"/>
          </w:pPr>
        </w:p>
      </w:tc>
      <w:tc>
        <w:tcPr>
          <w:tcW w:w="1379" w:type="dxa"/>
        </w:tcPr>
        <w:p w:rsidR="00FA7C52" w:rsidRDefault="00FA7C52">
          <w:pPr>
            <w:pStyle w:val="Header"/>
            <w:spacing w:before="40"/>
            <w:ind w:right="17"/>
            <w:jc w:val="right"/>
          </w:pPr>
        </w:p>
      </w:tc>
    </w:tr>
    <w:tr w:rsidR="00FA7C52">
      <w:trPr>
        <w:jc w:val="center"/>
      </w:trPr>
      <w:tc>
        <w:tcPr>
          <w:tcW w:w="5884" w:type="dxa"/>
        </w:tcPr>
        <w:p w:rsidR="00FA7C52" w:rsidRDefault="00FA7C52">
          <w:pPr>
            <w:pStyle w:val="Header"/>
            <w:spacing w:before="40"/>
            <w:jc w:val="right"/>
          </w:pPr>
        </w:p>
      </w:tc>
      <w:tc>
        <w:tcPr>
          <w:tcW w:w="1379" w:type="dxa"/>
        </w:tcPr>
        <w:p w:rsidR="00FA7C52" w:rsidRDefault="00FA7C52">
          <w:pPr>
            <w:pStyle w:val="Header"/>
            <w:spacing w:before="40"/>
            <w:ind w:right="17"/>
            <w:jc w:val="right"/>
          </w:pPr>
        </w:p>
      </w:tc>
    </w:tr>
    <w:tr w:rsidR="00FA7C52">
      <w:trPr>
        <w:cantSplit/>
        <w:jc w:val="center"/>
      </w:trPr>
      <w:tc>
        <w:tcPr>
          <w:tcW w:w="7263" w:type="dxa"/>
          <w:gridSpan w:val="2"/>
        </w:tcPr>
        <w:p w:rsidR="00FA7C52" w:rsidRDefault="00AE0E2D">
          <w:pPr>
            <w:pStyle w:val="Header"/>
            <w:spacing w:before="40"/>
            <w:ind w:right="17"/>
            <w:jc w:val="right"/>
          </w:pPr>
          <w:r>
            <w:t>Defined terms</w:t>
          </w:r>
        </w:p>
      </w:tc>
    </w:tr>
  </w:tbl>
  <w:p w:rsidR="00FA7C52" w:rsidRDefault="00FA7C52">
    <w:pPr>
      <w:pStyle w:val="Header"/>
      <w:pBdr>
        <w:top w:val="single" w:sz="4" w:space="1" w:color="auto"/>
      </w:pBdr>
    </w:pPr>
    <w:bookmarkStart w:id="41" w:name="DefinedTerms"/>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52" w:rsidRDefault="00FA7C52">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26C6C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2C4A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9CA1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540D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C6DA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FE1F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AE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055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4210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2607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60848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3130641"/>
    <w:docVar w:name="WAFER_20140123141751" w:val="RemoveTocBookmarks,RemoveUnusedBookmarks,RemoveLanguageTags,UsedStyles,ResetPageSize,UpdateArrangement"/>
    <w:docVar w:name="WAFER_20140123141751_GUID" w:val="ef44624b-8c60-4dab-983e-4ad400e06b9c"/>
    <w:docVar w:name="WAFER_20140123143436" w:val="RemoveTocBookmarks,RunningHeaders"/>
    <w:docVar w:name="WAFER_20140123143436_GUID" w:val="f047cd37-9465-4248-a190-38067a09de3c"/>
    <w:docVar w:name="WAFER_20150112105101" w:val="RemoveTocBookmarks,RunningHeaders"/>
    <w:docVar w:name="WAFER_20150112105101_GUID" w:val="3ceedae6-059e-4edf-9152-71f80dfa0c56"/>
    <w:docVar w:name="WAFER_20150508110830" w:val="ResetPageSize,UpdateArrangement,UpdateNTable"/>
    <w:docVar w:name="WAFER_20150508110830_GUID" w:val="0181e259-802c-4fb6-9cc3-ccb951de38b3"/>
    <w:docVar w:name="WAFER_20151105104555" w:val="UpdateStyles,UsedStyles"/>
    <w:docVar w:name="WAFER_20151105104555_GUID" w:val="39d4d8d9-dd17-40e5-be45-ad25323c8f2c"/>
    <w:docVar w:name="WAFER_20151201120907" w:val="RemoveTrackChanges"/>
    <w:docVar w:name="WAFER_20151201120907_GUID" w:val="94c3e374-ecba-45d6-9658-bd0005d8abdd"/>
    <w:docVar w:name="WAFER_20160121104739" w:val="RemoveTocBookmarks,RemoveUnusedBookmarks,RemoveLanguageTags,UsedStyles,ResetPageSize"/>
    <w:docVar w:name="WAFER_20160121104739_GUID" w:val="73bec432-418b-41de-a6ae-891fedaa0f71"/>
    <w:docVar w:name="WAFER_20161118145541" w:val="RemoveTocBookmarks,RemoveUnusedBookmarks,RemoveLanguageTags,UsedStyles,ResetPageSize,RemoveCustomizations"/>
    <w:docVar w:name="WAFER_20161118145541_GUID" w:val="d247f602-02f1-4536-b1bf-ddadf61fed11"/>
    <w:docVar w:name="WAFER_20170209154626" w:val="RemoveTocBookmarks,RemoveUnusedBookmarks,RemoveLanguageTags,UsedStyles,RemoveTrackChanges"/>
    <w:docVar w:name="WAFER_20170209154626_GUID" w:val="a0586001-18af-43ad-9e94-9992ea5afede"/>
    <w:docVar w:name="WAFER_20170209154639" w:val="RemoveTocBookmarks,RemoveLanguageTags,RemoveTrackChanges,RunningHeaders"/>
    <w:docVar w:name="WAFER_20170209154639_GUID" w:val="0797716d-3b41-422b-ba16-b28b042aa009"/>
    <w:docVar w:name="WAFER_20170209161951" w:val="RemoveTocBookmarks,RemoveUnusedBookmarks,RemoveLanguageTags,UsedStyles,RemoveTrackChanges"/>
    <w:docVar w:name="WAFER_20170209161951_GUID" w:val="ce77026e-d428-414d-921f-6cff22044a9c"/>
    <w:docVar w:name="WAFER_20170209162006" w:val="RemoveTocBookmarks,RemoveLanguageTags,RemoveTrackChanges,RunningHeaders"/>
    <w:docVar w:name="WAFER_20170209162006_GUID" w:val="fe4ee3cb-868d-4773-98be-2a7d7270c8ad"/>
    <w:docVar w:name="WAFER_20170209163352" w:val="RemoveTocBookmarks,RemoveUnusedBookmarks,RemoveLanguageTags,UsedStyles,RemoveTrackChanges"/>
    <w:docVar w:name="WAFER_20170209163352_GUID" w:val="b580c2cc-4ea8-47d2-872a-ad075f2292cf"/>
    <w:docVar w:name="WAFER_20170209163405" w:val="RemoveTocBookmarks,RemoveLanguageTags,RemoveTrackChanges,RunningHeaders"/>
    <w:docVar w:name="WAFER_20170209163405_GUID" w:val="1e4dff1c-701d-4ff7-9432-85c6f4a30217"/>
    <w:docVar w:name="WAFER_20180104141607" w:val="RemoveTocBookmarks,RemoveUnusedBookmarks,RemoveLanguageTags,UsedStyles,ResetPageSize"/>
    <w:docVar w:name="WAFER_20180104141607_GUID" w:val="a55a9dc8-cffd-403c-87a0-0f42daafc095"/>
    <w:docVar w:name="WAFER_20190919135508" w:val="RemoveTocBookmarks,RemoveUnusedBookmarks,RemoveLanguageTags,ResetPageSize,RunningHeaders,UpdateStyles,UsedStyles"/>
    <w:docVar w:name="WAFER_20190919135508_GUID" w:val="bf1c619f-6290-4484-bb2c-101e6065ec4c"/>
    <w:docVar w:name="WAFER_20201118084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084016_GUID" w:val="99787849-2f36-42ca-be2b-c36e04300df9"/>
    <w:docVar w:name="WAFER_20210323130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30641_GUID" w:val="8c44e04f-f707-437b-8beb-576d9ab723de"/>
  </w:docVars>
  <w:rsids>
    <w:rsidRoot w:val="00FA7C52"/>
    <w:rsid w:val="002F08AA"/>
    <w:rsid w:val="00AE0E2D"/>
    <w:rsid w:val="00C07284"/>
    <w:rsid w:val="00FA7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80C7610E-512E-46FE-A5DE-43F6B241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1758</Words>
  <Characters>8268</Characters>
  <Application>Microsoft Office Word</Application>
  <DocSecurity>0</DocSecurity>
  <Lines>344</Lines>
  <Paragraphs>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Regulations 2009 - 01-e0-01</dc:title>
  <dc:subject/>
  <dc:creator/>
  <cp:keywords/>
  <dc:description/>
  <cp:lastModifiedBy>Master Repository Process</cp:lastModifiedBy>
  <cp:revision>4</cp:revision>
  <cp:lastPrinted>2017-03-21T01:19:00Z</cp:lastPrinted>
  <dcterms:created xsi:type="dcterms:W3CDTF">2021-04-08T09:34:00Z</dcterms:created>
  <dcterms:modified xsi:type="dcterms:W3CDTF">2021-04-08T09:34:00Z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2009 p 4992-3</vt:lpwstr>
  </property>
  <property fmtid="{D5CDD505-2E9C-101B-9397-08002B2CF9AE}" pid="3" name="OwlsUID">
    <vt:i4>42222</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27 Mar 2021</vt:lpwstr>
  </property>
  <property fmtid="{D5CDD505-2E9C-101B-9397-08002B2CF9AE}" pid="8" name="Suffix">
    <vt:lpwstr>01-e0-01</vt:lpwstr>
  </property>
  <property fmtid="{D5CDD505-2E9C-101B-9397-08002B2CF9AE}" pid="9" name="CommencementDate">
    <vt:lpwstr>20210327</vt:lpwstr>
  </property>
</Properties>
</file>