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240"/>
        <w:outlineLvl w:val="0"/>
      </w:pPr>
      <w:r>
        <w:fldChar w:fldCharType="begin"/>
      </w:r>
      <w:r>
        <w:instrText xml:space="preserve"> STYLEREF "Name Of Act/Reg"</w:instrText>
      </w:r>
      <w:r>
        <w:fldChar w:fldCharType="separate"/>
      </w:r>
      <w:r>
        <w:rPr>
          <w:noProof/>
        </w:rPr>
        <w:t>Land Tax Assessment Act 2002</w:t>
      </w:r>
      <w:r>
        <w:fldChar w:fldCharType="end"/>
      </w:r>
    </w:p>
    <w:p>
      <w:pPr>
        <w:rPr>
          <w:color w:val="FF0000"/>
        </w:rPr>
      </w:pPr>
      <w:r>
        <w:rPr>
          <w:b/>
          <w:color w:val="FF0000"/>
        </w:rPr>
        <w:t xml:space="preserve">This version does not include amendments made by the </w:t>
      </w:r>
      <w:r>
        <w:rPr>
          <w:b/>
          <w:i/>
          <w:color w:val="FF0000"/>
        </w:rPr>
        <w:t>Land Tax Assessment Amendment Act 2022</w:t>
      </w:r>
      <w:r>
        <w:rPr>
          <w:b/>
          <w:color w:val="FF0000"/>
        </w:rPr>
        <w:t xml:space="preserve"> that are deemed to have come into operation on 1 Jul 2020 (see </w:t>
      </w:r>
      <w:r>
        <w:rPr>
          <w:b/>
          <w:i/>
          <w:color w:val="FF0000"/>
        </w:rPr>
        <w:t>Land Tax Assessment Amendment Act 2022</w:t>
      </w:r>
      <w:r>
        <w:rPr>
          <w:b/>
          <w:color w:val="FF0000"/>
        </w:rPr>
        <w:t xml:space="preserve"> s. 2(b) and Pt. 2). For the Act as amended by those amendments see the version of 22 Nov 2022.</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t>2</w:t>
      </w:r>
    </w:p>
    <w:p>
      <w:pPr>
        <w:pStyle w:val="TOC8"/>
        <w:rPr>
          <w:rFonts w:asciiTheme="minorHAnsi" w:eastAsiaTheme="minorEastAsia" w:hAnsiTheme="minorHAnsi" w:cstheme="minorBidi"/>
          <w:szCs w:val="22"/>
        </w:rPr>
      </w:pPr>
      <w:r>
        <w:t>2</w:t>
      </w:r>
      <w:r>
        <w:rPr>
          <w:snapToGrid w:val="0"/>
        </w:rPr>
        <w:t>.</w:t>
      </w:r>
      <w:r>
        <w:rPr>
          <w:snapToGrid w:val="0"/>
        </w:rPr>
        <w:tab/>
        <w:t>Commencement</w:t>
      </w:r>
      <w:r>
        <w:tab/>
        <w:t>2</w:t>
      </w:r>
    </w:p>
    <w:p>
      <w:pPr>
        <w:pStyle w:val="TOC8"/>
        <w:rPr>
          <w:rFonts w:asciiTheme="minorHAnsi" w:eastAsiaTheme="minorEastAsia" w:hAnsiTheme="minorHAnsi" w:cstheme="minorBidi"/>
          <w:szCs w:val="22"/>
        </w:rPr>
      </w:pPr>
      <w:r>
        <w:t>3.</w:t>
      </w:r>
      <w:r>
        <w:tab/>
        <w:t>Relationship with other Acts</w:t>
      </w:r>
      <w:r>
        <w:tab/>
        <w:t>2</w:t>
      </w:r>
    </w:p>
    <w:p>
      <w:pPr>
        <w:pStyle w:val="TOC8"/>
        <w:rPr>
          <w:rFonts w:asciiTheme="minorHAnsi" w:eastAsiaTheme="minorEastAsia" w:hAnsiTheme="minorHAnsi" w:cstheme="minorBidi"/>
          <w:szCs w:val="22"/>
        </w:rPr>
      </w:pPr>
      <w:r>
        <w:t>4.</w:t>
      </w:r>
      <w:r>
        <w:tab/>
        <w:t>Terms used</w:t>
      </w:r>
      <w:r>
        <w:tab/>
        <w:t>2</w:t>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M, MC</w:t>
      </w:r>
      <w:r>
        <w:tab/>
        <w:t>Taxable land</w:t>
      </w:r>
      <w:r>
        <w:tab/>
        <w:t>3</w:t>
      </w:r>
    </w:p>
    <w:p>
      <w:pPr>
        <w:pStyle w:val="TOC8"/>
        <w:rPr>
          <w:rFonts w:asciiTheme="minorHAnsi" w:eastAsiaTheme="minorEastAsia" w:hAnsiTheme="minorHAnsi" w:cstheme="minorBidi"/>
          <w:szCs w:val="22"/>
        </w:rPr>
      </w:pPr>
      <w:r>
        <w:t>6.</w:t>
      </w:r>
      <w:r>
        <w:tab/>
        <w:t>Time for payment of land tax</w:t>
      </w:r>
      <w:r>
        <w:tab/>
        <w:t>3</w:t>
      </w:r>
    </w:p>
    <w:p>
      <w:pPr>
        <w:pStyle w:val="TOC8"/>
        <w:rPr>
          <w:rFonts w:asciiTheme="minorHAnsi" w:eastAsiaTheme="minorEastAsia" w:hAnsiTheme="minorHAnsi" w:cstheme="minorBidi"/>
          <w:szCs w:val="22"/>
        </w:rPr>
      </w:pPr>
      <w:r>
        <w:t>7.</w:t>
      </w:r>
      <w:r>
        <w:tab/>
        <w:t>Liability to pay land tax</w:t>
      </w:r>
      <w:r>
        <w:tab/>
        <w:t>3</w:t>
      </w:r>
    </w:p>
    <w:p>
      <w:pPr>
        <w:pStyle w:val="TOC8"/>
        <w:rPr>
          <w:rFonts w:asciiTheme="minorHAnsi" w:eastAsiaTheme="minorEastAsia" w:hAnsiTheme="minorHAnsi" w:cstheme="minorBidi"/>
          <w:szCs w:val="22"/>
        </w:rPr>
      </w:pPr>
      <w:r>
        <w:t>8.</w:t>
      </w:r>
      <w:r>
        <w:tab/>
        <w:t>Certain persons and bodies taken to be owners of land</w:t>
      </w:r>
      <w:r>
        <w:tab/>
        <w:t>4</w:t>
      </w:r>
    </w:p>
    <w:p>
      <w:pPr>
        <w:pStyle w:val="TOC8"/>
        <w:rPr>
          <w:rFonts w:asciiTheme="minorHAnsi" w:eastAsiaTheme="minorEastAsia" w:hAnsiTheme="minorHAnsi" w:cstheme="minorBidi"/>
          <w:szCs w:val="22"/>
        </w:rPr>
      </w:pPr>
      <w:r>
        <w:t>9.</w:t>
      </w:r>
      <w:r>
        <w:tab/>
        <w:t>Liability of agents or trustees</w:t>
      </w:r>
      <w:r>
        <w:tab/>
        <w:t>5</w:t>
      </w:r>
    </w:p>
    <w:p>
      <w:pPr>
        <w:pStyle w:val="TOC8"/>
        <w:rPr>
          <w:rFonts w:asciiTheme="minorHAnsi" w:eastAsiaTheme="minorEastAsia" w:hAnsiTheme="minorHAnsi" w:cstheme="minorBidi"/>
          <w:szCs w:val="22"/>
        </w:rPr>
      </w:pPr>
      <w:r>
        <w:t>9A.</w:t>
      </w:r>
      <w:r>
        <w:tab/>
        <w:t>Owners to notify Commissioner of errors or omissions in assessment notices</w:t>
      </w:r>
      <w:r>
        <w:tab/>
        <w:t>6</w:t>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t>7</w:t>
      </w:r>
    </w:p>
    <w:p>
      <w:pPr>
        <w:pStyle w:val="TOC8"/>
        <w:rPr>
          <w:rFonts w:asciiTheme="minorHAnsi" w:eastAsiaTheme="minorEastAsia" w:hAnsiTheme="minorHAnsi" w:cstheme="minorBidi"/>
          <w:szCs w:val="22"/>
        </w:rPr>
      </w:pPr>
      <w:r>
        <w:t>11.</w:t>
      </w:r>
      <w:r>
        <w:tab/>
        <w:t>Two or more lots owned by one person, tax payable on</w:t>
      </w:r>
      <w:r>
        <w:tab/>
        <w:t>7</w:t>
      </w:r>
    </w:p>
    <w:p>
      <w:pPr>
        <w:pStyle w:val="TOC8"/>
        <w:rPr>
          <w:rFonts w:asciiTheme="minorHAnsi" w:eastAsiaTheme="minorEastAsia" w:hAnsiTheme="minorHAnsi" w:cstheme="minorBidi"/>
          <w:szCs w:val="22"/>
        </w:rPr>
      </w:pPr>
      <w:r>
        <w:t>12.</w:t>
      </w:r>
      <w:r>
        <w:tab/>
        <w:t>Land owned jointly, tax payable on</w:t>
      </w:r>
      <w:r>
        <w:tab/>
        <w:t>7</w:t>
      </w:r>
    </w:p>
    <w:p>
      <w:pPr>
        <w:pStyle w:val="TOC8"/>
        <w:rPr>
          <w:rFonts w:asciiTheme="minorHAnsi" w:eastAsiaTheme="minorEastAsia" w:hAnsiTheme="minorHAnsi" w:cstheme="minorBidi"/>
          <w:szCs w:val="22"/>
        </w:rPr>
      </w:pPr>
      <w:r>
        <w:t>13.</w:t>
      </w:r>
      <w:r>
        <w:tab/>
        <w:t>Calculating taxable value of part of a lot</w:t>
      </w:r>
      <w:r>
        <w:tab/>
        <w:t>8</w:t>
      </w:r>
    </w:p>
    <w:p>
      <w:pPr>
        <w:pStyle w:val="TOC8"/>
        <w:rPr>
          <w:rFonts w:asciiTheme="minorHAnsi" w:eastAsiaTheme="minorEastAsia" w:hAnsiTheme="minorHAnsi" w:cstheme="minorBidi"/>
          <w:szCs w:val="22"/>
        </w:rPr>
      </w:pPr>
      <w:r>
        <w:t>14.</w:t>
      </w:r>
      <w:r>
        <w:tab/>
        <w:t>Newly subdivided private residential property, tax payable on</w:t>
      </w:r>
      <w:r>
        <w:tab/>
        <w:t>9</w:t>
      </w:r>
    </w:p>
    <w:p>
      <w:pPr>
        <w:pStyle w:val="TOC8"/>
        <w:rPr>
          <w:rFonts w:asciiTheme="minorHAnsi" w:eastAsiaTheme="minorEastAsia" w:hAnsiTheme="minorHAnsi" w:cstheme="minorBidi"/>
          <w:szCs w:val="22"/>
        </w:rPr>
      </w:pPr>
      <w:r>
        <w:t>15.</w:t>
      </w:r>
      <w:r>
        <w:tab/>
        <w:t>Newly subdivided primary production business land, tax payable on</w:t>
      </w:r>
      <w:r>
        <w:tab/>
        <w:t>11</w:t>
      </w:r>
    </w:p>
    <w:p>
      <w:pPr>
        <w:pStyle w:val="TOC8"/>
        <w:rPr>
          <w:rFonts w:asciiTheme="minorHAnsi" w:eastAsiaTheme="minorEastAsia" w:hAnsiTheme="minorHAnsi" w:cstheme="minorBidi"/>
          <w:szCs w:val="22"/>
        </w:rPr>
      </w:pPr>
      <w:r>
        <w:t>15A.</w:t>
      </w:r>
      <w:r>
        <w:tab/>
        <w:t>Newly subdivided dwelling park land, tax payable on</w:t>
      </w:r>
      <w:r>
        <w:tab/>
        <w:t>12</w:t>
      </w:r>
    </w:p>
    <w:p>
      <w:pPr>
        <w:pStyle w:val="TOC8"/>
        <w:rPr>
          <w:rFonts w:asciiTheme="minorHAnsi" w:eastAsiaTheme="minorEastAsia" w:hAnsiTheme="minorHAnsi" w:cstheme="minorBidi"/>
          <w:szCs w:val="22"/>
        </w:rPr>
      </w:pPr>
      <w:r>
        <w:t>16.</w:t>
      </w:r>
      <w:r>
        <w:tab/>
        <w:t>Non</w:t>
      </w:r>
      <w:r>
        <w:noBreakHyphen/>
        <w:t>strata home units, assessing tax on</w:t>
      </w:r>
      <w:r>
        <w:tab/>
        <w:t>14</w:t>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t>17</w:t>
      </w:r>
    </w:p>
    <w:p>
      <w:pPr>
        <w:pStyle w:val="TOC8"/>
        <w:rPr>
          <w:rFonts w:asciiTheme="minorHAnsi" w:eastAsiaTheme="minorEastAsia" w:hAnsiTheme="minorHAnsi" w:cstheme="minorBidi"/>
          <w:szCs w:val="22"/>
        </w:rPr>
      </w:pPr>
      <w:r>
        <w:t>18.</w:t>
      </w:r>
      <w:r>
        <w:tab/>
        <w:t>Whole and partial exemptions</w:t>
      </w:r>
      <w:r>
        <w:tab/>
        <w:t>17</w:t>
      </w:r>
    </w:p>
    <w:p>
      <w:pPr>
        <w:pStyle w:val="TOC8"/>
        <w:rPr>
          <w:rFonts w:asciiTheme="minorHAnsi" w:eastAsiaTheme="minorEastAsia" w:hAnsiTheme="minorHAnsi" w:cstheme="minorBidi"/>
          <w:szCs w:val="22"/>
        </w:rPr>
      </w:pPr>
      <w:r>
        <w:t>18A.</w:t>
      </w:r>
      <w:r>
        <w:tab/>
        <w:t>Taxable value of land subject to partial exemption</w:t>
      </w:r>
      <w:r>
        <w:tab/>
        <w:t>18</w:t>
      </w:r>
    </w:p>
    <w:p>
      <w:pPr>
        <w:pStyle w:val="TOC8"/>
        <w:rPr>
          <w:rFonts w:asciiTheme="minorHAnsi" w:eastAsiaTheme="minorEastAsia" w:hAnsiTheme="minorHAnsi" w:cstheme="minorBidi"/>
          <w:szCs w:val="22"/>
        </w:rPr>
      </w:pPr>
      <w:r>
        <w:t>19.</w:t>
      </w:r>
      <w:r>
        <w:tab/>
        <w:t>Applying for exemption or concession</w:t>
      </w:r>
      <w:r>
        <w:tab/>
        <w:t>19</w:t>
      </w:r>
    </w:p>
    <w:p>
      <w:pPr>
        <w:pStyle w:val="TOC8"/>
        <w:rPr>
          <w:rFonts w:asciiTheme="minorHAnsi" w:eastAsiaTheme="minorEastAsia" w:hAnsiTheme="minorHAnsi" w:cstheme="minorBidi"/>
          <w:szCs w:val="22"/>
        </w:rPr>
      </w:pPr>
      <w:r>
        <w:t>20.</w:t>
      </w:r>
      <w:r>
        <w:tab/>
        <w:t>Commissioner’s power to exempt land</w:t>
      </w:r>
      <w:r>
        <w:tab/>
        <w:t>20</w:t>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t>21</w:t>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t>22</w:t>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t>23</w:t>
      </w:r>
    </w:p>
    <w:p>
      <w:pPr>
        <w:pStyle w:val="TOC8"/>
        <w:rPr>
          <w:rFonts w:asciiTheme="minorHAnsi" w:eastAsiaTheme="minorEastAsia" w:hAnsiTheme="minorHAnsi" w:cstheme="minorBidi"/>
          <w:szCs w:val="22"/>
        </w:rPr>
      </w:pPr>
      <w:r>
        <w:t>23.</w:t>
      </w:r>
      <w:r>
        <w:tab/>
        <w:t>Continued exemption after death of resident</w:t>
      </w:r>
      <w:r>
        <w:tab/>
        <w:t>23</w:t>
      </w:r>
    </w:p>
    <w:p>
      <w:pPr>
        <w:pStyle w:val="TOC8"/>
        <w:rPr>
          <w:rFonts w:asciiTheme="minorHAnsi" w:eastAsiaTheme="minorEastAsia" w:hAnsiTheme="minorHAnsi" w:cstheme="minorBidi"/>
          <w:szCs w:val="22"/>
        </w:rPr>
      </w:pPr>
      <w:r>
        <w:t>24.</w:t>
      </w:r>
      <w:r>
        <w:tab/>
        <w:t>Construction of private residence, one year exemption for</w:t>
      </w:r>
      <w:r>
        <w:tab/>
        <w:t>25</w:t>
      </w:r>
    </w:p>
    <w:p>
      <w:pPr>
        <w:pStyle w:val="TOC8"/>
        <w:rPr>
          <w:rFonts w:asciiTheme="minorHAnsi" w:eastAsiaTheme="minorEastAsia" w:hAnsiTheme="minorHAnsi" w:cstheme="minorBidi"/>
          <w:szCs w:val="22"/>
        </w:rPr>
      </w:pPr>
      <w:r>
        <w:t>24A.</w:t>
      </w:r>
      <w:r>
        <w:tab/>
        <w:t>Construction of private residence, 2 year exemption for</w:t>
      </w:r>
      <w:r>
        <w:tab/>
        <w:t>26</w:t>
      </w:r>
    </w:p>
    <w:p>
      <w:pPr>
        <w:pStyle w:val="TOC8"/>
        <w:rPr>
          <w:rFonts w:asciiTheme="minorHAnsi" w:eastAsiaTheme="minorEastAsia" w:hAnsiTheme="minorHAnsi" w:cstheme="minorBidi"/>
          <w:szCs w:val="22"/>
        </w:rPr>
      </w:pPr>
      <w:r>
        <w:t>25.</w:t>
      </w:r>
      <w:r>
        <w:tab/>
        <w:t>Refurbishment of private residence, one year exemption for</w:t>
      </w:r>
      <w:r>
        <w:tab/>
        <w:t>27</w:t>
      </w:r>
    </w:p>
    <w:p>
      <w:pPr>
        <w:pStyle w:val="TOC8"/>
        <w:rPr>
          <w:rFonts w:asciiTheme="minorHAnsi" w:eastAsiaTheme="minorEastAsia" w:hAnsiTheme="minorHAnsi" w:cstheme="minorBidi"/>
          <w:szCs w:val="22"/>
        </w:rPr>
      </w:pPr>
      <w:r>
        <w:t>25A.</w:t>
      </w:r>
      <w:r>
        <w:tab/>
        <w:t>Refurbishment of private residence, 2 year exemption for</w:t>
      </w:r>
      <w:r>
        <w:tab/>
        <w:t>28</w:t>
      </w:r>
    </w:p>
    <w:p>
      <w:pPr>
        <w:pStyle w:val="TOC8"/>
        <w:rPr>
          <w:rFonts w:asciiTheme="minorHAnsi" w:eastAsiaTheme="minorEastAsia" w:hAnsiTheme="minorHAnsi" w:cstheme="minorBidi"/>
          <w:szCs w:val="22"/>
        </w:rPr>
      </w:pPr>
      <w:r>
        <w:t>26.</w:t>
      </w:r>
      <w:r>
        <w:tab/>
        <w:t>Residence of disabled person held in trust, exemption for</w:t>
      </w:r>
      <w:r>
        <w:tab/>
        <w:t>29</w:t>
      </w:r>
    </w:p>
    <w:p>
      <w:pPr>
        <w:pStyle w:val="TOC8"/>
        <w:rPr>
          <w:rFonts w:asciiTheme="minorHAnsi" w:eastAsiaTheme="minorEastAsia" w:hAnsiTheme="minorHAnsi" w:cstheme="minorBidi"/>
          <w:szCs w:val="22"/>
        </w:rPr>
      </w:pPr>
      <w:r>
        <w:t>26A.</w:t>
      </w:r>
      <w:r>
        <w:tab/>
        <w:t>Residence of disabled person owned by relative, exemption for</w:t>
      </w:r>
      <w:r>
        <w:tab/>
        <w:t>30</w:t>
      </w:r>
    </w:p>
    <w:p>
      <w:pPr>
        <w:pStyle w:val="TOC8"/>
        <w:rPr>
          <w:rFonts w:asciiTheme="minorHAnsi" w:eastAsiaTheme="minorEastAsia" w:hAnsiTheme="minorHAnsi" w:cstheme="minorBidi"/>
          <w:szCs w:val="22"/>
        </w:rPr>
      </w:pPr>
      <w:r>
        <w:t>27.</w:t>
      </w:r>
      <w:r>
        <w:tab/>
        <w:t>Moving between 2 private residences, application of exemption</w:t>
      </w:r>
      <w:r>
        <w:tab/>
        <w:t>31</w:t>
      </w:r>
    </w:p>
    <w:p>
      <w:pPr>
        <w:pStyle w:val="TOC8"/>
        <w:rPr>
          <w:rFonts w:asciiTheme="minorHAnsi" w:eastAsiaTheme="minorEastAsia" w:hAnsiTheme="minorHAnsi" w:cstheme="minorBidi"/>
          <w:szCs w:val="22"/>
        </w:rPr>
      </w:pPr>
      <w:r>
        <w:t>27A.</w:t>
      </w:r>
      <w:r>
        <w:tab/>
        <w:t>Construction or refurbishment of second private residence, 2 year exemption for</w:t>
      </w:r>
      <w:r>
        <w:tab/>
        <w:t>33</w:t>
      </w:r>
    </w:p>
    <w:p>
      <w:pPr>
        <w:pStyle w:val="TOC8"/>
        <w:rPr>
          <w:rFonts w:asciiTheme="minorHAnsi" w:eastAsiaTheme="minorEastAsia" w:hAnsiTheme="minorHAnsi" w:cstheme="minorBidi"/>
          <w:szCs w:val="22"/>
        </w:rPr>
      </w:pPr>
      <w:r>
        <w:t>28.</w:t>
      </w:r>
      <w:r>
        <w:tab/>
        <w:t>Inner city residential property, rebate for</w:t>
      </w:r>
      <w:r>
        <w:tab/>
        <w:t>35</w:t>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t>37</w:t>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t>37</w:t>
      </w:r>
    </w:p>
    <w:p>
      <w:pPr>
        <w:pStyle w:val="TOC8"/>
        <w:rPr>
          <w:rFonts w:asciiTheme="minorHAnsi" w:eastAsiaTheme="minorEastAsia" w:hAnsiTheme="minorHAnsi" w:cstheme="minorBidi"/>
          <w:szCs w:val="22"/>
        </w:rPr>
      </w:pPr>
      <w:r>
        <w:t>28C.</w:t>
      </w:r>
      <w:r>
        <w:tab/>
        <w:t>Application of requirements relating to sale or disposal of subdivided property</w:t>
      </w:r>
      <w:r>
        <w:tab/>
        <w:t>39</w:t>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t>40</w:t>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t>40</w:t>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t>41</w:t>
      </w:r>
    </w:p>
    <w:p>
      <w:pPr>
        <w:pStyle w:val="TOC8"/>
        <w:rPr>
          <w:rFonts w:asciiTheme="minorHAnsi" w:eastAsiaTheme="minorEastAsia" w:hAnsiTheme="minorHAnsi" w:cstheme="minorBidi"/>
          <w:szCs w:val="22"/>
        </w:rPr>
      </w:pPr>
      <w:r>
        <w:t>30A.</w:t>
      </w:r>
      <w:r>
        <w:tab/>
        <w:t>What is primary production</w:t>
      </w:r>
      <w:r>
        <w:tab/>
        <w:t>42</w:t>
      </w:r>
    </w:p>
    <w:p>
      <w:pPr>
        <w:pStyle w:val="TOC8"/>
        <w:rPr>
          <w:rFonts w:asciiTheme="minorHAnsi" w:eastAsiaTheme="minorEastAsia" w:hAnsiTheme="minorHAnsi" w:cstheme="minorBidi"/>
          <w:szCs w:val="22"/>
        </w:rPr>
      </w:pPr>
      <w:r>
        <w:t>30B.</w:t>
      </w:r>
      <w:r>
        <w:tab/>
        <w:t>When land is used for primary production business</w:t>
      </w:r>
      <w:r>
        <w:tab/>
        <w:t>43</w:t>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t>44</w:t>
      </w:r>
    </w:p>
    <w:p>
      <w:pPr>
        <w:pStyle w:val="TOC8"/>
        <w:rPr>
          <w:rFonts w:asciiTheme="minorHAnsi" w:eastAsiaTheme="minorEastAsia" w:hAnsiTheme="minorHAnsi" w:cstheme="minorBidi"/>
          <w:szCs w:val="22"/>
        </w:rPr>
      </w:pPr>
      <w:r>
        <w:t>30D.</w:t>
      </w:r>
      <w:r>
        <w:tab/>
        <w:t>Exemption for non</w:t>
      </w:r>
      <w:r>
        <w:noBreakHyphen/>
        <w:t>rural land</w:t>
      </w:r>
      <w:r>
        <w:tab/>
        <w:t>44</w:t>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t>45</w:t>
      </w:r>
    </w:p>
    <w:p>
      <w:pPr>
        <w:pStyle w:val="TOC8"/>
        <w:rPr>
          <w:rFonts w:asciiTheme="minorHAnsi" w:eastAsiaTheme="minorEastAsia" w:hAnsiTheme="minorHAnsi" w:cstheme="minorBidi"/>
          <w:szCs w:val="22"/>
        </w:rPr>
      </w:pPr>
      <w:r>
        <w:t>30F.</w:t>
      </w:r>
      <w:r>
        <w:tab/>
        <w:t>Notice to Commissioner about changes to exempt land</w:t>
      </w:r>
      <w:r>
        <w:tab/>
        <w:t>45</w:t>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t>46</w:t>
      </w:r>
    </w:p>
    <w:p>
      <w:pPr>
        <w:pStyle w:val="TOC8"/>
        <w:rPr>
          <w:rFonts w:asciiTheme="minorHAnsi" w:eastAsiaTheme="minorEastAsia" w:hAnsiTheme="minorHAnsi" w:cstheme="minorBidi"/>
          <w:szCs w:val="22"/>
        </w:rPr>
      </w:pPr>
      <w:r>
        <w:t>30H.</w:t>
      </w:r>
      <w:r>
        <w:tab/>
        <w:t>Family owner of land</w:t>
      </w:r>
      <w:r>
        <w:tab/>
        <w:t>47</w:t>
      </w:r>
    </w:p>
    <w:p>
      <w:pPr>
        <w:pStyle w:val="TOC8"/>
        <w:rPr>
          <w:rFonts w:asciiTheme="minorHAnsi" w:eastAsiaTheme="minorEastAsia" w:hAnsiTheme="minorHAnsi" w:cstheme="minorBidi"/>
          <w:szCs w:val="22"/>
        </w:rPr>
      </w:pPr>
      <w:r>
        <w:t>30I.</w:t>
      </w:r>
      <w:r>
        <w:tab/>
        <w:t>Persons related to family owner who is an individual</w:t>
      </w:r>
      <w:r>
        <w:tab/>
        <w:t>47</w:t>
      </w:r>
    </w:p>
    <w:p>
      <w:pPr>
        <w:pStyle w:val="TOC8"/>
        <w:rPr>
          <w:rFonts w:asciiTheme="minorHAnsi" w:eastAsiaTheme="minorEastAsia" w:hAnsiTheme="minorHAnsi" w:cstheme="minorBidi"/>
          <w:szCs w:val="22"/>
        </w:rPr>
      </w:pPr>
      <w:r>
        <w:t>30J.</w:t>
      </w:r>
      <w:r>
        <w:tab/>
        <w:t>Persons related to family corporation</w:t>
      </w:r>
      <w:r>
        <w:tab/>
        <w:t>48</w:t>
      </w:r>
    </w:p>
    <w:p>
      <w:pPr>
        <w:pStyle w:val="TOC8"/>
        <w:rPr>
          <w:rFonts w:asciiTheme="minorHAnsi" w:eastAsiaTheme="minorEastAsia" w:hAnsiTheme="minorHAnsi" w:cstheme="minorBidi"/>
          <w:szCs w:val="22"/>
        </w:rPr>
      </w:pPr>
      <w:r>
        <w:t>30K.</w:t>
      </w:r>
      <w:r>
        <w:tab/>
        <w:t>Persons related to trustee of family trust</w:t>
      </w:r>
      <w:r>
        <w:tab/>
        <w:t>49</w:t>
      </w:r>
    </w:p>
    <w:p>
      <w:pPr>
        <w:pStyle w:val="TOC8"/>
        <w:rPr>
          <w:rFonts w:asciiTheme="minorHAnsi" w:eastAsiaTheme="minorEastAsia" w:hAnsiTheme="minorHAnsi" w:cstheme="minorBidi"/>
          <w:szCs w:val="22"/>
        </w:rPr>
      </w:pPr>
      <w:r>
        <w:t>30.</w:t>
      </w:r>
      <w:r>
        <w:tab/>
        <w:t>Persons related to trustee of a family unit trust scheme</w:t>
      </w:r>
      <w:r>
        <w:tab/>
        <w:t>49</w:t>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t>50</w:t>
      </w:r>
    </w:p>
    <w:p>
      <w:pPr>
        <w:pStyle w:val="TOC8"/>
        <w:rPr>
          <w:rFonts w:asciiTheme="minorHAnsi" w:eastAsiaTheme="minorEastAsia" w:hAnsiTheme="minorHAnsi" w:cstheme="minorBidi"/>
          <w:szCs w:val="22"/>
        </w:rPr>
      </w:pPr>
      <w:r>
        <w:t>32.</w:t>
      </w:r>
      <w:r>
        <w:tab/>
        <w:t>Land owned by religious bodies, exemption for</w:t>
      </w:r>
      <w:r>
        <w:tab/>
        <w:t>51</w:t>
      </w:r>
    </w:p>
    <w:p>
      <w:pPr>
        <w:pStyle w:val="TOC8"/>
        <w:rPr>
          <w:rFonts w:asciiTheme="minorHAnsi" w:eastAsiaTheme="minorEastAsia" w:hAnsiTheme="minorHAnsi" w:cstheme="minorBidi"/>
          <w:szCs w:val="22"/>
        </w:rPr>
      </w:pPr>
      <w:r>
        <w:t>33.</w:t>
      </w:r>
      <w:r>
        <w:tab/>
        <w:t>Land owned by educational institutions, exemption for</w:t>
      </w:r>
      <w:r>
        <w:tab/>
        <w:t>52</w:t>
      </w:r>
    </w:p>
    <w:p>
      <w:pPr>
        <w:pStyle w:val="TOC8"/>
        <w:rPr>
          <w:rFonts w:asciiTheme="minorHAnsi" w:eastAsiaTheme="minorEastAsia" w:hAnsiTheme="minorHAnsi" w:cstheme="minorBidi"/>
          <w:szCs w:val="22"/>
        </w:rPr>
      </w:pPr>
      <w:r>
        <w:t>34.</w:t>
      </w:r>
      <w:r>
        <w:tab/>
        <w:t>Land used for public or religious hospitals, exemption for</w:t>
      </w:r>
      <w:r>
        <w:tab/>
        <w:t>54</w:t>
      </w:r>
    </w:p>
    <w:p>
      <w:pPr>
        <w:pStyle w:val="TOC8"/>
        <w:rPr>
          <w:rFonts w:asciiTheme="minorHAnsi" w:eastAsiaTheme="minorEastAsia" w:hAnsiTheme="minorHAnsi" w:cstheme="minorBidi"/>
          <w:szCs w:val="22"/>
        </w:rPr>
      </w:pPr>
      <w:r>
        <w:t>35.</w:t>
      </w:r>
      <w:r>
        <w:tab/>
        <w:t>Mining tenements, exemption for</w:t>
      </w:r>
      <w:r>
        <w:tab/>
        <w:t>54</w:t>
      </w:r>
    </w:p>
    <w:p>
      <w:pPr>
        <w:pStyle w:val="TOC8"/>
        <w:rPr>
          <w:rFonts w:asciiTheme="minorHAnsi" w:eastAsiaTheme="minorEastAsia" w:hAnsiTheme="minorHAnsi" w:cstheme="minorBidi"/>
          <w:szCs w:val="22"/>
        </w:rPr>
      </w:pPr>
      <w:r>
        <w:t>36.</w:t>
      </w:r>
      <w:r>
        <w:tab/>
        <w:t>Land used for various public purposes, exemption for</w:t>
      </w:r>
      <w:r>
        <w:tab/>
        <w:t>54</w:t>
      </w:r>
    </w:p>
    <w:p>
      <w:pPr>
        <w:pStyle w:val="TOC8"/>
        <w:rPr>
          <w:rFonts w:asciiTheme="minorHAnsi" w:eastAsiaTheme="minorEastAsia" w:hAnsiTheme="minorHAnsi" w:cstheme="minorBidi"/>
          <w:szCs w:val="22"/>
        </w:rPr>
      </w:pPr>
      <w:r>
        <w:t>37.</w:t>
      </w:r>
      <w:r>
        <w:tab/>
        <w:t>Land owned by public charitable or benevolent institutions, exemption for</w:t>
      </w:r>
      <w:r>
        <w:tab/>
        <w:t>54</w:t>
      </w:r>
    </w:p>
    <w:p>
      <w:pPr>
        <w:pStyle w:val="TOC8"/>
        <w:rPr>
          <w:rFonts w:asciiTheme="minorHAnsi" w:eastAsiaTheme="minorEastAsia" w:hAnsiTheme="minorHAnsi" w:cstheme="minorBidi"/>
          <w:szCs w:val="22"/>
        </w:rPr>
      </w:pPr>
      <w:r>
        <w:t>38AA.</w:t>
      </w:r>
      <w:r>
        <w:tab/>
        <w:t>What is a relevant body</w:t>
      </w:r>
      <w:r>
        <w:tab/>
        <w:t>55</w:t>
      </w:r>
    </w:p>
    <w:p>
      <w:pPr>
        <w:pStyle w:val="TOC8"/>
        <w:rPr>
          <w:rFonts w:asciiTheme="minorHAnsi" w:eastAsiaTheme="minorEastAsia" w:hAnsiTheme="minorHAnsi" w:cstheme="minorBidi"/>
          <w:szCs w:val="22"/>
        </w:rPr>
      </w:pPr>
      <w:r>
        <w:t>38AB.</w:t>
      </w:r>
      <w:r>
        <w:tab/>
        <w:t>Application for a beneficial body determination</w:t>
      </w:r>
      <w:r>
        <w:tab/>
        <w:t>56</w:t>
      </w:r>
    </w:p>
    <w:p>
      <w:pPr>
        <w:pStyle w:val="TOC8"/>
        <w:rPr>
          <w:rFonts w:asciiTheme="minorHAnsi" w:eastAsiaTheme="minorEastAsia" w:hAnsiTheme="minorHAnsi" w:cstheme="minorBidi"/>
          <w:szCs w:val="22"/>
        </w:rPr>
      </w:pPr>
      <w:r>
        <w:t>38AC.</w:t>
      </w:r>
      <w:r>
        <w:tab/>
        <w:t>Beneficial body determination</w:t>
      </w:r>
      <w:r>
        <w:tab/>
        <w:t>57</w:t>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t>59</w:t>
      </w:r>
    </w:p>
    <w:p>
      <w:pPr>
        <w:pStyle w:val="TOC8"/>
        <w:rPr>
          <w:rFonts w:asciiTheme="minorHAnsi" w:eastAsiaTheme="minorEastAsia" w:hAnsiTheme="minorHAnsi" w:cstheme="minorBidi"/>
          <w:szCs w:val="22"/>
        </w:rPr>
      </w:pPr>
      <w:r>
        <w:t>38A.</w:t>
      </w:r>
      <w:r>
        <w:tab/>
        <w:t>Land used as aged care facility, exemption for</w:t>
      </w:r>
      <w:r>
        <w:tab/>
        <w:t>59</w:t>
      </w:r>
    </w:p>
    <w:p>
      <w:pPr>
        <w:pStyle w:val="TOC8"/>
        <w:rPr>
          <w:rFonts w:asciiTheme="minorHAnsi" w:eastAsiaTheme="minorEastAsia" w:hAnsiTheme="minorHAnsi" w:cstheme="minorBidi"/>
          <w:szCs w:val="22"/>
        </w:rPr>
      </w:pPr>
      <w:r>
        <w:t>39.</w:t>
      </w:r>
      <w:r>
        <w:tab/>
        <w:t>Land used for retirement villages: exemption for</w:t>
      </w:r>
      <w:r>
        <w:tab/>
        <w:t>60</w:t>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t>61</w:t>
      </w:r>
    </w:p>
    <w:p>
      <w:pPr>
        <w:pStyle w:val="TOC8"/>
        <w:rPr>
          <w:rFonts w:asciiTheme="minorHAnsi" w:eastAsiaTheme="minorEastAsia" w:hAnsiTheme="minorHAnsi" w:cstheme="minorBidi"/>
          <w:szCs w:val="22"/>
        </w:rPr>
      </w:pPr>
      <w:r>
        <w:t>39B.</w:t>
      </w:r>
      <w:r>
        <w:tab/>
        <w:t>Dwelling park land: concession and exemption for</w:t>
      </w:r>
      <w:r>
        <w:tab/>
        <w:t>63</w:t>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t>64</w:t>
      </w:r>
    </w:p>
    <w:p>
      <w:pPr>
        <w:pStyle w:val="TOC8"/>
        <w:rPr>
          <w:rFonts w:asciiTheme="minorHAnsi" w:eastAsiaTheme="minorEastAsia" w:hAnsiTheme="minorHAnsi" w:cstheme="minorBidi"/>
          <w:szCs w:val="22"/>
        </w:rPr>
      </w:pPr>
      <w:r>
        <w:t>41.</w:t>
      </w:r>
      <w:r>
        <w:tab/>
        <w:t>Land under conservation covenant, exemption for</w:t>
      </w:r>
      <w:r>
        <w:tab/>
        <w:t>64</w:t>
      </w:r>
    </w:p>
    <w:p>
      <w:pPr>
        <w:pStyle w:val="TOC8"/>
        <w:rPr>
          <w:rFonts w:asciiTheme="minorHAnsi" w:eastAsiaTheme="minorEastAsia" w:hAnsiTheme="minorHAnsi" w:cstheme="minorBidi"/>
          <w:szCs w:val="22"/>
        </w:rPr>
      </w:pPr>
      <w:r>
        <w:t>42A.</w:t>
      </w:r>
      <w:r>
        <w:tab/>
        <w:t>Land under biodiversity conservation covenant, exemption for</w:t>
      </w:r>
      <w:r>
        <w:tab/>
        <w:t>64</w:t>
      </w:r>
    </w:p>
    <w:p>
      <w:pPr>
        <w:pStyle w:val="TOC8"/>
        <w:rPr>
          <w:rFonts w:asciiTheme="minorHAnsi" w:eastAsiaTheme="minorEastAsia" w:hAnsiTheme="minorHAnsi" w:cstheme="minorBidi"/>
          <w:szCs w:val="22"/>
        </w:rPr>
      </w:pPr>
      <w:r>
        <w:t>42.</w:t>
      </w:r>
      <w:r>
        <w:tab/>
        <w:t>Land vacated for sale by mortgagee, one year exemption for</w:t>
      </w:r>
      <w:r>
        <w:tab/>
        <w:t>65</w:t>
      </w:r>
    </w:p>
    <w:p>
      <w:pPr>
        <w:pStyle w:val="TOC8"/>
        <w:rPr>
          <w:rFonts w:asciiTheme="minorHAnsi" w:eastAsiaTheme="minorEastAsia" w:hAnsiTheme="minorHAnsi" w:cstheme="minorBidi"/>
          <w:szCs w:val="22"/>
        </w:rPr>
      </w:pPr>
      <w:r>
        <w:t>43A.</w:t>
      </w:r>
      <w:r>
        <w:tab/>
        <w:t>Newly subdivided land, concession for</w:t>
      </w:r>
      <w:r>
        <w:tab/>
        <w:t>65</w:t>
      </w:r>
    </w:p>
    <w:p>
      <w:pPr>
        <w:pStyle w:val="TOC8"/>
        <w:rPr>
          <w:rFonts w:asciiTheme="minorHAnsi" w:eastAsiaTheme="minorEastAsia" w:hAnsiTheme="minorHAnsi" w:cstheme="minorBidi"/>
          <w:szCs w:val="22"/>
        </w:rPr>
      </w:pPr>
      <w:r>
        <w:t>43B.</w:t>
      </w:r>
      <w:r>
        <w:tab/>
        <w:t>Freehold reversion in parcel subdivided by leasehold scheme, exemption for</w:t>
      </w:r>
      <w:r>
        <w:tab/>
        <w:t>67</w:t>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keepNext/>
        <w:rPr>
          <w:rFonts w:asciiTheme="minorHAnsi" w:eastAsiaTheme="minorEastAsia" w:hAnsiTheme="minorHAnsi" w:cstheme="minorBidi"/>
          <w:szCs w:val="22"/>
        </w:rPr>
      </w:pPr>
      <w:r>
        <w:t>43.</w:t>
      </w:r>
      <w:r>
        <w:tab/>
        <w:t>Occupier etc. of land to give information</w:t>
      </w:r>
      <w:r>
        <w:tab/>
        <w:t>69</w:t>
      </w:r>
    </w:p>
    <w:p>
      <w:pPr>
        <w:pStyle w:val="TOC8"/>
        <w:rPr>
          <w:rFonts w:asciiTheme="minorHAnsi" w:eastAsiaTheme="minorEastAsia" w:hAnsiTheme="minorHAnsi" w:cstheme="minorBidi"/>
          <w:szCs w:val="22"/>
        </w:rPr>
      </w:pPr>
      <w:r>
        <w:t>45.</w:t>
      </w:r>
      <w:r>
        <w:tab/>
        <w:t>Contracts ineffective to alter incidence of land tax</w:t>
      </w:r>
      <w:r>
        <w:tab/>
        <w:t>69</w:t>
      </w:r>
    </w:p>
    <w:p>
      <w:pPr>
        <w:pStyle w:val="TOC8"/>
        <w:rPr>
          <w:rFonts w:asciiTheme="minorHAnsi" w:eastAsiaTheme="minorEastAsia" w:hAnsiTheme="minorHAnsi" w:cstheme="minorBidi"/>
          <w:szCs w:val="22"/>
        </w:rPr>
      </w:pPr>
      <w:r>
        <w:t>45A.</w:t>
      </w:r>
      <w:r>
        <w:tab/>
        <w:t>Minor interests of joint owners, Commissioner may disregard</w:t>
      </w:r>
      <w:r>
        <w:tab/>
        <w:t>70</w:t>
      </w:r>
    </w:p>
    <w:p>
      <w:pPr>
        <w:pStyle w:val="TOC8"/>
        <w:rPr>
          <w:rFonts w:asciiTheme="minorHAnsi" w:eastAsiaTheme="minorEastAsia" w:hAnsiTheme="minorHAnsi" w:cstheme="minorBidi"/>
          <w:szCs w:val="22"/>
        </w:rPr>
      </w:pPr>
      <w:r>
        <w:t>45B.</w:t>
      </w:r>
      <w:r>
        <w:tab/>
        <w:t>Effect of determination under s. 45A</w:t>
      </w:r>
      <w:r>
        <w:tab/>
        <w:t>71</w:t>
      </w:r>
    </w:p>
    <w:p>
      <w:pPr>
        <w:pStyle w:val="TOC8"/>
        <w:rPr>
          <w:rFonts w:asciiTheme="minorHAnsi" w:eastAsiaTheme="minorEastAsia" w:hAnsiTheme="minorHAnsi" w:cstheme="minorBidi"/>
          <w:szCs w:val="22"/>
        </w:rPr>
      </w:pPr>
      <w:r>
        <w:t>46.</w:t>
      </w:r>
      <w:r>
        <w:tab/>
        <w:t>Regulations</w:t>
      </w:r>
      <w:r>
        <w:tab/>
        <w:t>72</w:t>
      </w:r>
    </w:p>
    <w:p>
      <w:pPr>
        <w:pStyle w:val="TOC8"/>
        <w:rPr>
          <w:rFonts w:asciiTheme="minorHAnsi" w:eastAsiaTheme="minorEastAsia" w:hAnsiTheme="minorHAnsi" w:cstheme="minorBidi"/>
          <w:szCs w:val="22"/>
        </w:rPr>
      </w:pPr>
      <w:r>
        <w:t>47.</w:t>
      </w:r>
      <w:r>
        <w:tab/>
        <w:t>Transitional provisions</w:t>
      </w:r>
      <w:r>
        <w:tab/>
        <w:t>73</w:t>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t>74</w:t>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t>74</w:t>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t>74</w:t>
      </w:r>
    </w:p>
    <w:p>
      <w:pPr>
        <w:pStyle w:val="TOC8"/>
        <w:rPr>
          <w:rFonts w:asciiTheme="minorHAnsi" w:eastAsiaTheme="minorEastAsia" w:hAnsiTheme="minorHAnsi" w:cstheme="minorBidi"/>
          <w:szCs w:val="22"/>
        </w:rPr>
      </w:pPr>
      <w:r>
        <w:t>4.</w:t>
      </w:r>
      <w:r>
        <w:tab/>
        <w:t>Previously exempt land: section 37</w:t>
      </w:r>
      <w:r>
        <w:tab/>
        <w:t>75</w:t>
      </w:r>
    </w:p>
    <w:p>
      <w:pPr>
        <w:pStyle w:val="TOC8"/>
        <w:rPr>
          <w:rFonts w:asciiTheme="minorHAnsi" w:eastAsiaTheme="minorEastAsia" w:hAnsiTheme="minorHAnsi" w:cstheme="minorBidi"/>
          <w:szCs w:val="22"/>
        </w:rPr>
      </w:pPr>
      <w:r>
        <w:t>5.</w:t>
      </w:r>
      <w:r>
        <w:tab/>
        <w:t>Beneficial body determination: application may be made</w:t>
      </w:r>
      <w:r>
        <w:tab/>
        <w:t>76</w:t>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t>76</w:t>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t>76</w:t>
      </w:r>
    </w:p>
    <w:p>
      <w:pPr>
        <w:pStyle w:val="TOC8"/>
        <w:rPr>
          <w:rFonts w:asciiTheme="minorHAnsi" w:eastAsiaTheme="minorEastAsia" w:hAnsiTheme="minorHAnsi" w:cstheme="minorBidi"/>
          <w:szCs w:val="22"/>
        </w:rPr>
      </w:pPr>
      <w:r>
        <w:t>8.</w:t>
      </w:r>
      <w:r>
        <w:tab/>
        <w:t>Application of section 20 to previous assessment years</w:t>
      </w:r>
      <w:r>
        <w:tab/>
        <w:t>77</w:t>
      </w:r>
    </w:p>
    <w:p>
      <w:pPr>
        <w:pStyle w:val="TOC8"/>
        <w:rPr>
          <w:rFonts w:asciiTheme="minorHAnsi" w:eastAsiaTheme="minorEastAsia" w:hAnsiTheme="minorHAnsi" w:cstheme="minorBidi"/>
          <w:szCs w:val="22"/>
        </w:rPr>
      </w:pPr>
      <w:r>
        <w:t>9.</w:t>
      </w:r>
      <w:r>
        <w:tab/>
        <w:t>Application of section 30D to land held in trust for assessment year 2014/15</w:t>
      </w:r>
      <w:r>
        <w:tab/>
        <w:t>77</w:t>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keepNext/>
        <w:rPr>
          <w:rFonts w:asciiTheme="minorHAnsi" w:eastAsiaTheme="minorEastAsia" w:hAnsiTheme="minorHAnsi" w:cstheme="minorBidi"/>
          <w:szCs w:val="22"/>
        </w:rPr>
      </w:pPr>
      <w:r>
        <w:t>10.</w:t>
      </w:r>
      <w:r>
        <w:tab/>
        <w:t>Terms used</w:t>
      </w:r>
      <w:r>
        <w:tab/>
        <w:t>78</w:t>
      </w:r>
    </w:p>
    <w:p>
      <w:pPr>
        <w:pStyle w:val="TOC8"/>
        <w:keepNext/>
        <w:rPr>
          <w:rFonts w:asciiTheme="minorHAnsi" w:eastAsiaTheme="minorEastAsia" w:hAnsiTheme="minorHAnsi" w:cstheme="minorBidi"/>
          <w:szCs w:val="22"/>
        </w:rPr>
      </w:pPr>
      <w:r>
        <w:t>11.</w:t>
      </w:r>
      <w:r>
        <w:tab/>
        <w:t>Validation of previous assessments</w:t>
      </w:r>
      <w:r>
        <w:tab/>
        <w:t>79</w:t>
      </w:r>
    </w:p>
    <w:p>
      <w:pPr>
        <w:pStyle w:val="TOC8"/>
        <w:rPr>
          <w:rFonts w:asciiTheme="minorHAnsi" w:eastAsiaTheme="minorEastAsia" w:hAnsiTheme="minorHAnsi" w:cstheme="minorBidi"/>
          <w:szCs w:val="22"/>
        </w:rPr>
      </w:pPr>
      <w:r>
        <w:t>12.</w:t>
      </w:r>
      <w:r>
        <w:tab/>
        <w:t>Land tax decisions made or pending</w:t>
      </w:r>
      <w:r>
        <w:tab/>
        <w:t>80</w:t>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t>80</w:t>
      </w:r>
    </w:p>
    <w:p>
      <w:pPr>
        <w:pStyle w:val="TOC8"/>
        <w:rPr>
          <w:rFonts w:asciiTheme="minorHAnsi" w:eastAsiaTheme="minorEastAsia" w:hAnsiTheme="minorHAnsi" w:cstheme="minorBidi"/>
          <w:szCs w:val="22"/>
        </w:rPr>
      </w:pPr>
      <w:r>
        <w:t>14.</w:t>
      </w:r>
      <w:r>
        <w:tab/>
        <w:t>Validation of rural business land assessments</w:t>
      </w:r>
      <w:r>
        <w:tab/>
        <w:t>80</w:t>
      </w:r>
    </w:p>
    <w:p>
      <w:pPr>
        <w:pStyle w:val="TOC8"/>
        <w:rPr>
          <w:rFonts w:asciiTheme="minorHAnsi" w:eastAsiaTheme="minorEastAsia" w:hAnsiTheme="minorHAnsi" w:cstheme="minorBidi"/>
          <w:szCs w:val="22"/>
        </w:rPr>
      </w:pPr>
      <w:r>
        <w:t>15.</w:t>
      </w:r>
      <w:r>
        <w:tab/>
        <w:t>Reassessment</w:t>
      </w:r>
      <w:r>
        <w:tab/>
        <w:t>81</w:t>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t>81</w:t>
      </w:r>
    </w:p>
    <w:p>
      <w:pPr>
        <w:pStyle w:val="TOC8"/>
        <w:rPr>
          <w:rFonts w:asciiTheme="minorHAnsi" w:eastAsiaTheme="minorEastAsia" w:hAnsiTheme="minorHAnsi" w:cstheme="minorBidi"/>
          <w:szCs w:val="22"/>
        </w:rPr>
      </w:pPr>
      <w:r>
        <w:t>17.</w:t>
      </w:r>
      <w:r>
        <w:tab/>
        <w:t>Validation of previous assessments</w:t>
      </w:r>
      <w:r>
        <w:tab/>
        <w:t>82</w:t>
      </w:r>
    </w:p>
    <w:p>
      <w:pPr>
        <w:pStyle w:val="TOC8"/>
        <w:rPr>
          <w:rFonts w:asciiTheme="minorHAnsi" w:eastAsiaTheme="minorEastAsia" w:hAnsiTheme="minorHAnsi" w:cstheme="minorBidi"/>
          <w:szCs w:val="22"/>
        </w:rPr>
      </w:pPr>
      <w:r>
        <w:t>18.</w:t>
      </w:r>
      <w:r>
        <w:tab/>
        <w:t>Land tax decisions made or pending</w:t>
      </w:r>
      <w:r>
        <w:tab/>
        <w:t>83</w:t>
      </w:r>
    </w:p>
    <w:p>
      <w:pPr>
        <w:pStyle w:val="TOC8"/>
        <w:rPr>
          <w:rFonts w:asciiTheme="minorHAnsi" w:eastAsiaTheme="minorEastAsia" w:hAnsiTheme="minorHAnsi" w:cstheme="minorBidi"/>
          <w:szCs w:val="22"/>
        </w:rPr>
      </w:pPr>
      <w:r>
        <w:t>19.</w:t>
      </w:r>
      <w:r>
        <w:tab/>
        <w:t>Reassessment</w:t>
      </w:r>
      <w:r>
        <w:tab/>
        <w:t>83</w:t>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t>84</w:t>
      </w:r>
    </w:p>
    <w:p>
      <w:pPr>
        <w:pStyle w:val="TOC8"/>
        <w:rPr>
          <w:rFonts w:asciiTheme="minorHAnsi" w:eastAsiaTheme="minorEastAsia" w:hAnsiTheme="minorHAnsi" w:cstheme="minorBidi"/>
          <w:szCs w:val="22"/>
        </w:rPr>
      </w:pPr>
      <w:r>
        <w:t>21.</w:t>
      </w:r>
      <w:r>
        <w:tab/>
        <w:t>Application of amendments relating to subdivision of land</w:t>
      </w:r>
      <w:r>
        <w:tab/>
        <w:t>84</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 MC</w:t>
      </w:r>
      <w:r>
        <w:tab/>
        <w:t>Terms used</w:t>
      </w:r>
      <w:r>
        <w:tab/>
        <w:t>86</w:t>
      </w:r>
    </w:p>
    <w:p>
      <w:pPr>
        <w:pStyle w:val="TOC8"/>
        <w:rPr>
          <w:rFonts w:asciiTheme="minorHAnsi" w:eastAsiaTheme="minorEastAsia" w:hAnsiTheme="minorHAnsi" w:cstheme="minorBidi"/>
          <w:szCs w:val="22"/>
        </w:rPr>
      </w:pPr>
      <w:r>
        <w:t>2.</w:t>
      </w:r>
      <w:r>
        <w:tab/>
        <w:t>Lots and parcels of land</w:t>
      </w:r>
      <w:r>
        <w:tab/>
        <w:t>93</w:t>
      </w:r>
    </w:p>
    <w:p>
      <w:pPr>
        <w:pStyle w:val="TOC8"/>
        <w:rPr>
          <w:rFonts w:asciiTheme="minorHAnsi" w:eastAsiaTheme="minorEastAsia" w:hAnsiTheme="minorHAnsi" w:cstheme="minorBidi"/>
          <w:szCs w:val="22"/>
        </w:rPr>
      </w:pPr>
      <w:r>
        <w:t>3.</w:t>
      </w:r>
      <w:r>
        <w:tab/>
        <w:t>Subdivided land</w:t>
      </w:r>
      <w:r>
        <w:tab/>
        <w:t>96</w:t>
      </w:r>
    </w:p>
    <w:p>
      <w:pPr>
        <w:pStyle w:val="TOC8"/>
        <w:rPr>
          <w:rFonts w:asciiTheme="minorHAnsi" w:eastAsiaTheme="minorEastAsia" w:hAnsiTheme="minorHAnsi" w:cstheme="minorBidi"/>
          <w:szCs w:val="22"/>
        </w:rPr>
      </w:pPr>
      <w:r>
        <w:t>6.</w:t>
      </w:r>
      <w:r>
        <w:tab/>
        <w:t>Taxable value</w:t>
      </w:r>
      <w:r>
        <w:tab/>
        <w:t>97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t>99</w:t>
      </w:r>
    </w:p>
    <w:p>
      <w:pPr>
        <w:pStyle w:val="TOC8"/>
        <w:rPr>
          <w:rFonts w:asciiTheme="minorHAnsi" w:eastAsiaTheme="minorEastAsia" w:hAnsiTheme="minorHAnsi" w:cstheme="minorBidi"/>
          <w:szCs w:val="22"/>
        </w:rPr>
      </w:pPr>
      <w:r>
        <w:tab/>
        <w:t>Uncommenced provisions table</w:t>
      </w:r>
      <w:r>
        <w:tab/>
        <w:t>102</w:t>
      </w:r>
    </w:p>
    <w:p>
      <w:pPr>
        <w:pStyle w:val="TOC8"/>
        <w:rPr>
          <w:rFonts w:asciiTheme="minorHAnsi" w:eastAsiaTheme="minorEastAsia" w:hAnsiTheme="minorHAnsi" w:cstheme="minorBidi"/>
          <w:szCs w:val="22"/>
        </w:rPr>
      </w:pPr>
      <w:r>
        <w:tab/>
        <w:t>Other notes</w:t>
      </w:r>
      <w:r>
        <w:tab/>
        <w:t>102</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96507054"/>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9650705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5" w:name="_Toc96507056"/>
      <w:r>
        <w:rPr>
          <w:rStyle w:val="CharSectno"/>
        </w:rPr>
        <w:t>2</w:t>
      </w:r>
      <w:r>
        <w:rPr>
          <w:snapToGrid w:val="0"/>
        </w:rPr>
        <w:t>.</w:t>
      </w:r>
      <w:r>
        <w:rPr>
          <w:snapToGrid w:val="0"/>
        </w:rPr>
        <w:tab/>
        <w:t>Commencement</w:t>
      </w:r>
      <w:bookmarkEnd w:id="5"/>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6" w:name="_Toc96507057"/>
      <w:r>
        <w:rPr>
          <w:rStyle w:val="CharSectno"/>
        </w:rPr>
        <w:t>3</w:t>
      </w:r>
      <w:r>
        <w:t>.</w:t>
      </w:r>
      <w:r>
        <w:tab/>
        <w:t>Relationship with other Acts</w:t>
      </w:r>
      <w:bookmarkEnd w:id="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 w:name="_Toc96507058"/>
      <w:r>
        <w:rPr>
          <w:rStyle w:val="CharSectno"/>
        </w:rPr>
        <w:t>4</w:t>
      </w:r>
      <w:r>
        <w:t>.</w:t>
      </w:r>
      <w:r>
        <w:tab/>
        <w:t>Terms used</w:t>
      </w:r>
      <w:bookmarkEnd w:id="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Subsection"/>
      </w:pPr>
    </w:p>
    <w:p>
      <w:pPr>
        <w:pStyle w:val="Heading2"/>
      </w:pPr>
      <w:bookmarkStart w:id="8" w:name="_Toc96507059"/>
      <w:r>
        <w:rPr>
          <w:rStyle w:val="CharPartNo"/>
        </w:rPr>
        <w:t>Part 2</w:t>
      </w:r>
      <w:r>
        <w:t xml:space="preserve"> — </w:t>
      </w:r>
      <w:r>
        <w:rPr>
          <w:rStyle w:val="CharPartText"/>
        </w:rPr>
        <w:t>Land tax liability and assessment</w:t>
      </w:r>
      <w:bookmarkEnd w:id="8"/>
    </w:p>
    <w:p>
      <w:pPr>
        <w:pStyle w:val="Heading3"/>
      </w:pPr>
      <w:bookmarkStart w:id="9" w:name="_Toc96507060"/>
      <w:r>
        <w:rPr>
          <w:rStyle w:val="CharDivNo"/>
        </w:rPr>
        <w:t>Division 1</w:t>
      </w:r>
      <w:r>
        <w:t xml:space="preserve"> — </w:t>
      </w:r>
      <w:r>
        <w:rPr>
          <w:rStyle w:val="CharDivText"/>
        </w:rPr>
        <w:t>Liability to land tax</w:t>
      </w:r>
      <w:bookmarkEnd w:id="9"/>
    </w:p>
    <w:p>
      <w:pPr>
        <w:pStyle w:val="Heading5"/>
      </w:pPr>
      <w:bookmarkStart w:id="10" w:name="_Toc96507061"/>
      <w:r>
        <w:rPr>
          <w:rStyle w:val="CharSectno"/>
        </w:rPr>
        <w:t>5</w:t>
      </w:r>
      <w:r>
        <w:t>.</w:t>
      </w:r>
      <w:r>
        <w:rPr>
          <w:vertAlign w:val="superscript"/>
        </w:rPr>
        <w:t>1M, 1MC</w:t>
      </w:r>
      <w:r>
        <w:tab/>
        <w:t>Taxable land</w:t>
      </w:r>
      <w:bookmarkEnd w:id="10"/>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11" w:name="_Toc96507062"/>
      <w:r>
        <w:rPr>
          <w:rStyle w:val="CharSectno"/>
        </w:rPr>
        <w:t>6</w:t>
      </w:r>
      <w:r>
        <w:t>.</w:t>
      </w:r>
      <w:r>
        <w:tab/>
        <w:t>Time for payment of land tax</w:t>
      </w:r>
      <w:bookmarkEnd w:id="1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2" w:name="_Toc96507063"/>
      <w:r>
        <w:rPr>
          <w:rStyle w:val="CharSectno"/>
        </w:rPr>
        <w:t>7</w:t>
      </w:r>
      <w:r>
        <w:t>.</w:t>
      </w:r>
      <w:r>
        <w:tab/>
        <w:t>Liability to pay land tax</w:t>
      </w:r>
      <w:bookmarkEnd w:id="1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3" w:name="_Toc96507064"/>
      <w:r>
        <w:rPr>
          <w:rStyle w:val="CharSectno"/>
        </w:rPr>
        <w:t>8</w:t>
      </w:r>
      <w:r>
        <w:t>.</w:t>
      </w:r>
      <w:r>
        <w:tab/>
        <w:t>Certain persons and bodies taken to be owners of land</w:t>
      </w:r>
      <w:bookmarkEnd w:id="13"/>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14" w:name="_Toc96507065"/>
      <w:r>
        <w:rPr>
          <w:rStyle w:val="CharSectno"/>
        </w:rPr>
        <w:t>9</w:t>
      </w:r>
      <w:r>
        <w:t>.</w:t>
      </w:r>
      <w:r>
        <w:tab/>
        <w:t>Liability of agents or trustees</w:t>
      </w:r>
      <w:bookmarkEnd w:id="1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5" w:name="_Toc96507066"/>
      <w:r>
        <w:rPr>
          <w:rStyle w:val="CharSectno"/>
        </w:rPr>
        <w:t>9A</w:t>
      </w:r>
      <w:r>
        <w:t>.</w:t>
      </w:r>
      <w:r>
        <w:tab/>
        <w:t>Owners to notify Commissioner of errors or omissions in assessment notices</w:t>
      </w:r>
      <w:bookmarkEnd w:id="1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16" w:name="_Toc96507067"/>
      <w:r>
        <w:rPr>
          <w:rStyle w:val="CharDivNo"/>
        </w:rPr>
        <w:t>Division 2</w:t>
      </w:r>
      <w:r>
        <w:t xml:space="preserve"> — </w:t>
      </w:r>
      <w:r>
        <w:rPr>
          <w:rStyle w:val="CharDivText"/>
        </w:rPr>
        <w:t>Assessment of land tax</w:t>
      </w:r>
      <w:bookmarkEnd w:id="16"/>
    </w:p>
    <w:p>
      <w:pPr>
        <w:pStyle w:val="Heading5"/>
      </w:pPr>
      <w:bookmarkStart w:id="17" w:name="_Toc96507068"/>
      <w:r>
        <w:rPr>
          <w:rStyle w:val="CharSectno"/>
        </w:rPr>
        <w:t>10</w:t>
      </w:r>
      <w:r>
        <w:t>.</w:t>
      </w:r>
      <w:r>
        <w:tab/>
        <w:t>Assessing land tax</w:t>
      </w:r>
      <w:bookmarkEnd w:id="1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18" w:name="_Toc96507069"/>
      <w:r>
        <w:rPr>
          <w:rStyle w:val="CharSectno"/>
        </w:rPr>
        <w:t>11</w:t>
      </w:r>
      <w:r>
        <w:t>.</w:t>
      </w:r>
      <w:r>
        <w:tab/>
        <w:t>Two or more lots owned by one person, tax payable on</w:t>
      </w:r>
      <w:bookmarkEnd w:id="1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19" w:name="_Toc96507070"/>
      <w:r>
        <w:rPr>
          <w:rStyle w:val="CharSectno"/>
        </w:rPr>
        <w:t>12</w:t>
      </w:r>
      <w:r>
        <w:t>.</w:t>
      </w:r>
      <w:r>
        <w:tab/>
        <w:t>Land owned jointly, tax payable on</w:t>
      </w:r>
      <w:bookmarkEnd w:id="1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0" w:name="_Toc96507071"/>
      <w:r>
        <w:rPr>
          <w:rStyle w:val="CharSectno"/>
        </w:rPr>
        <w:t>13</w:t>
      </w:r>
      <w:r>
        <w:t>.</w:t>
      </w:r>
      <w:r>
        <w:tab/>
        <w:t>Calculating taxable value of part of a lot</w:t>
      </w:r>
      <w:bookmarkEnd w:id="2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1" w:name="_Toc96507072"/>
      <w:r>
        <w:rPr>
          <w:rStyle w:val="CharSectno"/>
        </w:rPr>
        <w:t>14</w:t>
      </w:r>
      <w:r>
        <w:t>.</w:t>
      </w:r>
      <w:r>
        <w:tab/>
        <w:t>Newly subdivided private residential property, tax payable on</w:t>
      </w:r>
      <w:bookmarkEnd w:id="2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22" w:name="_Toc96507073"/>
      <w:r>
        <w:rPr>
          <w:rStyle w:val="CharSectno"/>
        </w:rPr>
        <w:t>15</w:t>
      </w:r>
      <w:r>
        <w:t>.</w:t>
      </w:r>
      <w:r>
        <w:tab/>
        <w:t>Newly subdivided primary production business land, tax payable on</w:t>
      </w:r>
      <w:bookmarkEnd w:id="22"/>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23" w:name="_Toc96507074"/>
      <w:r>
        <w:rPr>
          <w:rStyle w:val="CharSectno"/>
        </w:rPr>
        <w:t>15A</w:t>
      </w:r>
      <w:r>
        <w:t>.</w:t>
      </w:r>
      <w:r>
        <w:tab/>
        <w:t>Newly subdivided dwelling park land, tax payable on</w:t>
      </w:r>
      <w:bookmarkEnd w:id="2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24" w:name="_Toc96507075"/>
      <w:r>
        <w:rPr>
          <w:rStyle w:val="CharSectno"/>
        </w:rPr>
        <w:t>16</w:t>
      </w:r>
      <w:r>
        <w:t>.</w:t>
      </w:r>
      <w:r>
        <w:tab/>
        <w:t>Non</w:t>
      </w:r>
      <w:r>
        <w:noBreakHyphen/>
        <w:t>strata home units, assessing tax on</w:t>
      </w:r>
      <w:bookmarkEnd w:id="2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25" w:name="_Toc96507076"/>
      <w:r>
        <w:rPr>
          <w:rStyle w:val="CharPartNo"/>
        </w:rPr>
        <w:t>Part 3</w:t>
      </w:r>
      <w:r>
        <w:t xml:space="preserve"> — </w:t>
      </w:r>
      <w:r>
        <w:rPr>
          <w:rStyle w:val="CharPartText"/>
        </w:rPr>
        <w:t>Exemptions, concessions and rebates</w:t>
      </w:r>
      <w:bookmarkEnd w:id="25"/>
    </w:p>
    <w:p>
      <w:pPr>
        <w:pStyle w:val="Heading3"/>
      </w:pPr>
      <w:bookmarkStart w:id="26" w:name="_Toc96507077"/>
      <w:r>
        <w:rPr>
          <w:rStyle w:val="CharDivNo"/>
        </w:rPr>
        <w:t>Division 1</w:t>
      </w:r>
      <w:r>
        <w:t xml:space="preserve"> — </w:t>
      </w:r>
      <w:r>
        <w:rPr>
          <w:rStyle w:val="CharDivText"/>
        </w:rPr>
        <w:t>General provisions</w:t>
      </w:r>
      <w:bookmarkEnd w:id="26"/>
    </w:p>
    <w:p>
      <w:pPr>
        <w:pStyle w:val="Heading5"/>
      </w:pPr>
      <w:bookmarkStart w:id="27" w:name="_Toc96507078"/>
      <w:r>
        <w:rPr>
          <w:rStyle w:val="CharSectno"/>
        </w:rPr>
        <w:t>17</w:t>
      </w:r>
      <w:r>
        <w:t>.</w:t>
      </w:r>
      <w:r>
        <w:tab/>
        <w:t>Exempt land</w:t>
      </w:r>
      <w:bookmarkEnd w:id="27"/>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28" w:name="_Toc96507079"/>
      <w:r>
        <w:rPr>
          <w:rStyle w:val="CharSectno"/>
        </w:rPr>
        <w:t>18</w:t>
      </w:r>
      <w:r>
        <w:t>.</w:t>
      </w:r>
      <w:r>
        <w:tab/>
        <w:t>Whole and partial exemptions</w:t>
      </w:r>
      <w:bookmarkEnd w:id="2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29" w:name="_Toc96507080"/>
      <w:r>
        <w:rPr>
          <w:rStyle w:val="CharSectno"/>
        </w:rPr>
        <w:t>18A</w:t>
      </w:r>
      <w:r>
        <w:t>.</w:t>
      </w:r>
      <w:r>
        <w:tab/>
        <w:t>Taxable value of land subject to partial exemption</w:t>
      </w:r>
      <w:bookmarkEnd w:id="2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30" w:name="_Toc96507081"/>
      <w:r>
        <w:rPr>
          <w:rStyle w:val="CharSectno"/>
        </w:rPr>
        <w:t>19</w:t>
      </w:r>
      <w:r>
        <w:t>.</w:t>
      </w:r>
      <w:r>
        <w:tab/>
        <w:t>Applying for exemption or concession</w:t>
      </w:r>
      <w:bookmarkEnd w:id="3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1" w:name="_Toc96507082"/>
      <w:r>
        <w:rPr>
          <w:rStyle w:val="CharSectno"/>
        </w:rPr>
        <w:t>20</w:t>
      </w:r>
      <w:r>
        <w:t>.</w:t>
      </w:r>
      <w:r>
        <w:tab/>
        <w:t>Commissioner’s power to exempt land</w:t>
      </w:r>
      <w:bookmarkEnd w:id="31"/>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32" w:name="_Toc96507083"/>
      <w:r>
        <w:rPr>
          <w:rStyle w:val="CharDivNo"/>
        </w:rPr>
        <w:t>Division 2</w:t>
      </w:r>
      <w:r>
        <w:t xml:space="preserve"> — </w:t>
      </w:r>
      <w:r>
        <w:rPr>
          <w:rStyle w:val="CharDivText"/>
        </w:rPr>
        <w:t>Private residential property</w:t>
      </w:r>
      <w:bookmarkEnd w:id="32"/>
    </w:p>
    <w:p>
      <w:pPr>
        <w:pStyle w:val="Heading4"/>
      </w:pPr>
      <w:bookmarkStart w:id="33" w:name="_Toc96507084"/>
      <w:r>
        <w:t>Subdivision 1 — Exemptions and rebates for private residential property</w:t>
      </w:r>
      <w:bookmarkEnd w:id="33"/>
    </w:p>
    <w:p>
      <w:pPr>
        <w:pStyle w:val="Footnoteheading"/>
      </w:pPr>
      <w:r>
        <w:tab/>
        <w:t>[Heading inserted: No. 12 of 2019 s. 139.]</w:t>
      </w:r>
    </w:p>
    <w:p>
      <w:pPr>
        <w:pStyle w:val="Heading5"/>
        <w:spacing w:before="180"/>
      </w:pPr>
      <w:bookmarkStart w:id="34" w:name="_Toc96507085"/>
      <w:r>
        <w:rPr>
          <w:rStyle w:val="CharSectno"/>
        </w:rPr>
        <w:t>21</w:t>
      </w:r>
      <w:r>
        <w:t>.</w:t>
      </w:r>
      <w:r>
        <w:tab/>
        <w:t>Residences owned by individuals, exemptions for</w:t>
      </w:r>
      <w:bookmarkEnd w:id="34"/>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35" w:name="_Toc96507086"/>
      <w:r>
        <w:rPr>
          <w:rStyle w:val="CharSectno"/>
        </w:rPr>
        <w:t>22</w:t>
      </w:r>
      <w:r>
        <w:t>.</w:t>
      </w:r>
      <w:r>
        <w:tab/>
        <w:t>Residence owned by executor etc., exemption for if beneficiary in will exercising right to reside</w:t>
      </w:r>
      <w:bookmarkEnd w:id="35"/>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36" w:name="_Toc96507087"/>
      <w:r>
        <w:rPr>
          <w:rStyle w:val="CharSectno"/>
        </w:rPr>
        <w:t>23A</w:t>
      </w:r>
      <w:r>
        <w:t>.</w:t>
      </w:r>
      <w:r>
        <w:tab/>
        <w:t>Residence owned by executor etc., exemption for if beneficiary in will has right to future ownership and is resident</w:t>
      </w:r>
      <w:bookmarkEnd w:id="36"/>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37" w:name="_Toc96507088"/>
      <w:r>
        <w:rPr>
          <w:rStyle w:val="CharSectno"/>
        </w:rPr>
        <w:t>23</w:t>
      </w:r>
      <w:r>
        <w:t>.</w:t>
      </w:r>
      <w:r>
        <w:tab/>
        <w:t>Continued exemption after death of resident</w:t>
      </w:r>
      <w:bookmarkEnd w:id="37"/>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8" w:name="_Toc96507089"/>
      <w:r>
        <w:rPr>
          <w:rStyle w:val="CharSectno"/>
        </w:rPr>
        <w:t>24</w:t>
      </w:r>
      <w:r>
        <w:t>.</w:t>
      </w:r>
      <w:r>
        <w:tab/>
        <w:t>Construction of private residence, one year exemption for</w:t>
      </w:r>
      <w:bookmarkEnd w:id="38"/>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39" w:name="_Toc96507090"/>
      <w:r>
        <w:rPr>
          <w:rStyle w:val="CharSectno"/>
        </w:rPr>
        <w:t>24A</w:t>
      </w:r>
      <w:r>
        <w:t>.</w:t>
      </w:r>
      <w:r>
        <w:tab/>
        <w:t>Construction of private residence, 2 year exemption for</w:t>
      </w:r>
      <w:bookmarkEnd w:id="39"/>
    </w:p>
    <w:p>
      <w:pPr>
        <w:pStyle w:val="Subsection"/>
        <w:keepNext/>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40" w:name="_Toc96507091"/>
      <w:r>
        <w:rPr>
          <w:rStyle w:val="CharSectno"/>
        </w:rPr>
        <w:t>25</w:t>
      </w:r>
      <w:r>
        <w:t>.</w:t>
      </w:r>
      <w:r>
        <w:tab/>
        <w:t>Refurbishment of private residence, one year exemption for</w:t>
      </w:r>
      <w:bookmarkEnd w:id="4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41" w:name="_Toc96507092"/>
      <w:r>
        <w:rPr>
          <w:rStyle w:val="CharSectno"/>
        </w:rPr>
        <w:t>25A</w:t>
      </w:r>
      <w:r>
        <w:t>.</w:t>
      </w:r>
      <w:r>
        <w:tab/>
        <w:t>Refurbishment of private residence, 2 year exemption for</w:t>
      </w:r>
      <w:bookmarkEnd w:id="4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42" w:name="_Toc96507093"/>
      <w:r>
        <w:rPr>
          <w:rStyle w:val="CharSectno"/>
        </w:rPr>
        <w:t>26</w:t>
      </w:r>
      <w:r>
        <w:t>.</w:t>
      </w:r>
      <w:r>
        <w:tab/>
        <w:t>Residence of disabled person held in trust, exemption for</w:t>
      </w:r>
      <w:bookmarkEnd w:id="42"/>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43" w:name="_Toc96507094"/>
      <w:r>
        <w:rPr>
          <w:rStyle w:val="CharSectno"/>
        </w:rPr>
        <w:t>26A</w:t>
      </w:r>
      <w:r>
        <w:t>.</w:t>
      </w:r>
      <w:r>
        <w:tab/>
        <w:t>Residence of disabled person owned by relative, exemption for</w:t>
      </w:r>
      <w:bookmarkEnd w:id="4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44" w:name="_Toc96507095"/>
      <w:r>
        <w:rPr>
          <w:rStyle w:val="CharSectno"/>
        </w:rPr>
        <w:t>27</w:t>
      </w:r>
      <w:r>
        <w:t>.</w:t>
      </w:r>
      <w:r>
        <w:tab/>
        <w:t>Moving between 2 private residences, application of exemption</w:t>
      </w:r>
      <w:bookmarkEnd w:id="44"/>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45" w:name="_Toc96507096"/>
      <w:r>
        <w:rPr>
          <w:rStyle w:val="CharSectno"/>
        </w:rPr>
        <w:t>27A</w:t>
      </w:r>
      <w:r>
        <w:t>.</w:t>
      </w:r>
      <w:r>
        <w:tab/>
        <w:t>Construction or refurbishment of second private residence, 2 year exemption for</w:t>
      </w:r>
      <w:bookmarkEnd w:id="45"/>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46" w:name="_Toc96507097"/>
      <w:r>
        <w:rPr>
          <w:rStyle w:val="CharSectno"/>
        </w:rPr>
        <w:t>28</w:t>
      </w:r>
      <w:r>
        <w:t>.</w:t>
      </w:r>
      <w:r>
        <w:tab/>
        <w:t>Inner city residential property, rebate for</w:t>
      </w:r>
      <w:bookmarkEnd w:id="4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05pt;height:15.35pt" o:ole="" fillcolor="window">
            <v:imagedata r:id="rId21" o:title=""/>
          </v:shape>
          <o:OLEObject Type="Embed" ProgID="Equation.3" ShapeID="_x0000_i1025" DrawAspect="Content" ObjectID="_1730636108"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47" w:name="_Toc96507098"/>
      <w:r>
        <w:t>Subdivision 2 — Application of private residential exemptions to subdivided land</w:t>
      </w:r>
      <w:bookmarkEnd w:id="47"/>
    </w:p>
    <w:p>
      <w:pPr>
        <w:pStyle w:val="Footnoteheading"/>
      </w:pPr>
      <w:r>
        <w:tab/>
        <w:t>[Heading inserted: No. 12 of 2019 s. 140.]</w:t>
      </w:r>
    </w:p>
    <w:p>
      <w:pPr>
        <w:pStyle w:val="Heading5"/>
      </w:pPr>
      <w:bookmarkStart w:id="48" w:name="_Toc96507099"/>
      <w:r>
        <w:rPr>
          <w:rStyle w:val="CharSectno"/>
        </w:rPr>
        <w:t>28A</w:t>
      </w:r>
      <w:r>
        <w:t>.</w:t>
      </w:r>
      <w:r>
        <w:tab/>
        <w:t>Terms used</w:t>
      </w:r>
      <w:bookmarkEnd w:id="48"/>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49" w:name="_Toc96507100"/>
      <w:r>
        <w:rPr>
          <w:rStyle w:val="CharSectno"/>
        </w:rPr>
        <w:t>28B</w:t>
      </w:r>
      <w:r>
        <w:t>.</w:t>
      </w:r>
      <w:r>
        <w:tab/>
        <w:t>Application of certain private residential exemptions to property subdivided during exemption period</w:t>
      </w:r>
      <w:bookmarkEnd w:id="49"/>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50" w:name="_Toc96507101"/>
      <w:r>
        <w:rPr>
          <w:rStyle w:val="CharSectno"/>
        </w:rPr>
        <w:t>28C</w:t>
      </w:r>
      <w:r>
        <w:t>.</w:t>
      </w:r>
      <w:r>
        <w:tab/>
        <w:t>Application of requirements relating to sale or disposal of subdivided property</w:t>
      </w:r>
      <w:bookmarkEnd w:id="50"/>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51" w:name="_Toc96507102"/>
      <w:r>
        <w:rPr>
          <w:rStyle w:val="CharSectno"/>
        </w:rPr>
        <w:t>28D</w:t>
      </w:r>
      <w:r>
        <w:t>.</w:t>
      </w:r>
      <w:r>
        <w:tab/>
        <w:t>Application of 2</w:t>
      </w:r>
      <w:r>
        <w:noBreakHyphen/>
        <w:t>year private residential exemptions if property subdivided during first year</w:t>
      </w:r>
      <w:bookmarkEnd w:id="51"/>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52" w:name="_Toc96507103"/>
      <w:r>
        <w:rPr>
          <w:rStyle w:val="CharSectno"/>
        </w:rPr>
        <w:t>28E</w:t>
      </w:r>
      <w:r>
        <w:t>.</w:t>
      </w:r>
      <w:r>
        <w:tab/>
        <w:t>Ownership of land during period when land subdivided but certificates of title not issued</w:t>
      </w:r>
      <w:bookmarkEnd w:id="52"/>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53" w:name="_Toc96507104"/>
      <w:r>
        <w:rPr>
          <w:rStyle w:val="CharDivNo"/>
        </w:rPr>
        <w:t>Division 3</w:t>
      </w:r>
      <w:r>
        <w:t xml:space="preserve"> — </w:t>
      </w:r>
      <w:r>
        <w:rPr>
          <w:rStyle w:val="CharDivText"/>
        </w:rPr>
        <w:t>Land used for primary production business</w:t>
      </w:r>
      <w:bookmarkEnd w:id="53"/>
      <w:r>
        <w:t xml:space="preserve"> </w:t>
      </w:r>
    </w:p>
    <w:p>
      <w:pPr>
        <w:pStyle w:val="Footnoteheading"/>
        <w:keepNext/>
        <w:keepLines/>
      </w:pPr>
      <w:r>
        <w:tab/>
        <w:t>[Heading inserted: No. 1 of 2015 s. 6.]</w:t>
      </w:r>
    </w:p>
    <w:p>
      <w:pPr>
        <w:pStyle w:val="Heading4"/>
        <w:keepLines/>
      </w:pPr>
      <w:bookmarkStart w:id="54" w:name="_Toc96507105"/>
      <w:r>
        <w:t>Subdivision 1 — Terms used</w:t>
      </w:r>
      <w:bookmarkEnd w:id="54"/>
    </w:p>
    <w:p>
      <w:pPr>
        <w:pStyle w:val="Footnoteheading"/>
        <w:keepNext/>
        <w:keepLines/>
      </w:pPr>
      <w:r>
        <w:tab/>
        <w:t>[Heading inserted: No. 1 of 2015 s. 6.]</w:t>
      </w:r>
    </w:p>
    <w:p>
      <w:pPr>
        <w:pStyle w:val="Heading5"/>
      </w:pPr>
      <w:bookmarkStart w:id="55" w:name="_Toc96507106"/>
      <w:r>
        <w:rPr>
          <w:rStyle w:val="CharSectno"/>
        </w:rPr>
        <w:t>29</w:t>
      </w:r>
      <w:r>
        <w:t>.</w:t>
      </w:r>
      <w:r>
        <w:tab/>
        <w:t>Terms used</w:t>
      </w:r>
      <w:bookmarkEnd w:id="55"/>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56" w:name="_Toc96507107"/>
      <w:r>
        <w:rPr>
          <w:rStyle w:val="CharSectno"/>
        </w:rPr>
        <w:t>30A</w:t>
      </w:r>
      <w:r>
        <w:t>.</w:t>
      </w:r>
      <w:r>
        <w:tab/>
        <w:t>What is primary production</w:t>
      </w:r>
      <w:bookmarkEnd w:id="56"/>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57" w:name="_Toc96507108"/>
      <w:r>
        <w:rPr>
          <w:rStyle w:val="CharSectno"/>
        </w:rPr>
        <w:t>30B</w:t>
      </w:r>
      <w:r>
        <w:t>.</w:t>
      </w:r>
      <w:r>
        <w:tab/>
        <w:t>When land is used for primary production business</w:t>
      </w:r>
      <w:bookmarkEnd w:id="57"/>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58" w:name="_Toc96507109"/>
      <w:r>
        <w:t>Subdivision 2 — Primary production business exemption</w:t>
      </w:r>
      <w:bookmarkEnd w:id="58"/>
    </w:p>
    <w:p>
      <w:pPr>
        <w:pStyle w:val="Footnoteheading"/>
        <w:keepNext/>
      </w:pPr>
      <w:r>
        <w:tab/>
        <w:t>[Heading inserted: No. 1 of 2015 s. 6.]</w:t>
      </w:r>
    </w:p>
    <w:p>
      <w:pPr>
        <w:pStyle w:val="Heading5"/>
      </w:pPr>
      <w:bookmarkStart w:id="59" w:name="_Toc96507110"/>
      <w:r>
        <w:rPr>
          <w:rStyle w:val="CharSectno"/>
        </w:rPr>
        <w:t>30C</w:t>
      </w:r>
      <w:r>
        <w:t>.</w:t>
      </w:r>
      <w:r>
        <w:tab/>
        <w:t>Exemption for rural land</w:t>
      </w:r>
      <w:bookmarkEnd w:id="59"/>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60" w:name="_Toc96507111"/>
      <w:r>
        <w:rPr>
          <w:rStyle w:val="CharSectno"/>
        </w:rPr>
        <w:t>30D</w:t>
      </w:r>
      <w:r>
        <w:t>.</w:t>
      </w:r>
      <w:r>
        <w:tab/>
        <w:t>Exemption for non</w:t>
      </w:r>
      <w:r>
        <w:noBreakHyphen/>
        <w:t>rural land</w:t>
      </w:r>
      <w:bookmarkEnd w:id="60"/>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61" w:name="_Toc96507112"/>
      <w:r>
        <w:rPr>
          <w:rStyle w:val="CharSectno"/>
        </w:rPr>
        <w:t>30E</w:t>
      </w:r>
      <w:r>
        <w:t>.</w:t>
      </w:r>
      <w:r>
        <w:tab/>
        <w:t>Exemption under section 30D after death of family owner or person related to family owner</w:t>
      </w:r>
      <w:bookmarkEnd w:id="61"/>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62" w:name="_Toc96507113"/>
      <w:r>
        <w:rPr>
          <w:rStyle w:val="CharSectno"/>
        </w:rPr>
        <w:t>30F</w:t>
      </w:r>
      <w:r>
        <w:t>.</w:t>
      </w:r>
      <w:r>
        <w:tab/>
        <w:t>Notice to Commissioner about changes to exempt land</w:t>
      </w:r>
      <w:bookmarkEnd w:id="62"/>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63" w:name="_Toc96507114"/>
      <w:r>
        <w:t>Subdivision 3 — Family owners of land and persons related to family owners of land</w:t>
      </w:r>
      <w:bookmarkEnd w:id="63"/>
    </w:p>
    <w:p>
      <w:pPr>
        <w:pStyle w:val="Footnoteheading"/>
      </w:pPr>
      <w:r>
        <w:tab/>
        <w:t>[Heading inserted: No. 1 of 2015 s. 6.]</w:t>
      </w:r>
    </w:p>
    <w:p>
      <w:pPr>
        <w:pStyle w:val="Heading5"/>
      </w:pPr>
      <w:bookmarkStart w:id="64" w:name="_Toc96507115"/>
      <w:r>
        <w:rPr>
          <w:rStyle w:val="CharSectno"/>
        </w:rPr>
        <w:t>30G</w:t>
      </w:r>
      <w:r>
        <w:t>.</w:t>
      </w:r>
      <w:r>
        <w:tab/>
        <w:t>References to individuals, family members and nominated individuals</w:t>
      </w:r>
      <w:bookmarkEnd w:id="64"/>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65" w:name="_Toc96507116"/>
      <w:r>
        <w:rPr>
          <w:rStyle w:val="CharSectno"/>
        </w:rPr>
        <w:t>30H</w:t>
      </w:r>
      <w:r>
        <w:t>.</w:t>
      </w:r>
      <w:r>
        <w:tab/>
        <w:t>Family owner of land</w:t>
      </w:r>
      <w:bookmarkEnd w:id="65"/>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66" w:name="_Toc96507117"/>
      <w:r>
        <w:rPr>
          <w:rStyle w:val="CharSectno"/>
        </w:rPr>
        <w:t>30I</w:t>
      </w:r>
      <w:r>
        <w:t>.</w:t>
      </w:r>
      <w:r>
        <w:tab/>
        <w:t>Persons related to family owner who is an individual</w:t>
      </w:r>
      <w:bookmarkEnd w:id="66"/>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67" w:name="_Toc96507118"/>
      <w:r>
        <w:rPr>
          <w:rStyle w:val="CharSectno"/>
        </w:rPr>
        <w:t>30J</w:t>
      </w:r>
      <w:r>
        <w:t>.</w:t>
      </w:r>
      <w:r>
        <w:tab/>
        <w:t>Persons related to family corporation</w:t>
      </w:r>
      <w:bookmarkEnd w:id="67"/>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68" w:name="_Toc96507119"/>
      <w:r>
        <w:rPr>
          <w:rStyle w:val="CharSectno"/>
        </w:rPr>
        <w:t>30K</w:t>
      </w:r>
      <w:r>
        <w:t>.</w:t>
      </w:r>
      <w:r>
        <w:tab/>
        <w:t>Persons related to trustee of family trust</w:t>
      </w:r>
      <w:bookmarkEnd w:id="68"/>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69" w:name="_Toc96507120"/>
      <w:r>
        <w:rPr>
          <w:rStyle w:val="CharSectno"/>
        </w:rPr>
        <w:t>30</w:t>
      </w:r>
      <w:r>
        <w:t>.</w:t>
      </w:r>
      <w:r>
        <w:tab/>
        <w:t>Persons related to trustee of a family unit trust scheme</w:t>
      </w:r>
      <w:bookmarkEnd w:id="69"/>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70" w:name="_Toc96507121"/>
      <w:r>
        <w:rPr>
          <w:rStyle w:val="CharDivNo"/>
        </w:rPr>
        <w:t>Division 4</w:t>
      </w:r>
      <w:r>
        <w:t xml:space="preserve"> — </w:t>
      </w:r>
      <w:r>
        <w:rPr>
          <w:rStyle w:val="CharDivText"/>
        </w:rPr>
        <w:t>Crown land and other land used for public purposes</w:t>
      </w:r>
      <w:bookmarkEnd w:id="70"/>
    </w:p>
    <w:p>
      <w:pPr>
        <w:pStyle w:val="Heading5"/>
        <w:spacing w:before="200"/>
      </w:pPr>
      <w:bookmarkStart w:id="71" w:name="_Toc96507122"/>
      <w:r>
        <w:rPr>
          <w:rStyle w:val="CharSectno"/>
        </w:rPr>
        <w:t>31</w:t>
      </w:r>
      <w:r>
        <w:t>.</w:t>
      </w:r>
      <w:r>
        <w:tab/>
        <w:t>Land owned by Crown, public authority etc., exemption for</w:t>
      </w:r>
      <w:bookmarkEnd w:id="71"/>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1pt;height:15.35pt" o:ole="">
            <v:imagedata r:id="rId23" o:title=""/>
          </v:shape>
          <o:OLEObject Type="Embed" ProgID="Equation.3" ShapeID="_x0000_i1026" DrawAspect="Content" ObjectID="_1730636109"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72" w:name="_Toc96507123"/>
      <w:r>
        <w:rPr>
          <w:rStyle w:val="CharSectno"/>
        </w:rPr>
        <w:t>32</w:t>
      </w:r>
      <w:r>
        <w:t>.</w:t>
      </w:r>
      <w:r>
        <w:tab/>
        <w:t>Land owned by religious bodies, exemption for</w:t>
      </w:r>
      <w:bookmarkEnd w:id="72"/>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3" w:name="_Toc96507124"/>
      <w:r>
        <w:rPr>
          <w:rStyle w:val="CharSectno"/>
        </w:rPr>
        <w:t>33</w:t>
      </w:r>
      <w:r>
        <w:t>.</w:t>
      </w:r>
      <w:r>
        <w:tab/>
        <w:t>Land owned by educational institutions, exemption for</w:t>
      </w:r>
      <w:bookmarkEnd w:id="7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74" w:name="_Toc96507125"/>
      <w:r>
        <w:rPr>
          <w:rStyle w:val="CharSectno"/>
        </w:rPr>
        <w:t>34</w:t>
      </w:r>
      <w:r>
        <w:t>.</w:t>
      </w:r>
      <w:r>
        <w:tab/>
        <w:t>Land used for public or religious hospitals, exemption for</w:t>
      </w:r>
      <w:bookmarkEnd w:id="7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5" w:name="_Toc96507126"/>
      <w:r>
        <w:rPr>
          <w:rStyle w:val="CharSectno"/>
        </w:rPr>
        <w:t>35</w:t>
      </w:r>
      <w:r>
        <w:t>.</w:t>
      </w:r>
      <w:r>
        <w:tab/>
        <w:t>Mining tenements, exemption for</w:t>
      </w:r>
      <w:bookmarkEnd w:id="75"/>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6" w:name="_Toc96507127"/>
      <w:r>
        <w:rPr>
          <w:rStyle w:val="CharSectno"/>
        </w:rPr>
        <w:t>36</w:t>
      </w:r>
      <w:r>
        <w:t>.</w:t>
      </w:r>
      <w:r>
        <w:tab/>
        <w:t>Land used for various public purposes, exemption for</w:t>
      </w:r>
      <w:bookmarkEnd w:id="7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77" w:name="_Toc96507128"/>
      <w:r>
        <w:rPr>
          <w:rStyle w:val="CharSectno"/>
        </w:rPr>
        <w:t>37</w:t>
      </w:r>
      <w:r>
        <w:t>.</w:t>
      </w:r>
      <w:r>
        <w:tab/>
        <w:t>Land owned by public charitable or benevolent institutions, exemption for</w:t>
      </w:r>
      <w:bookmarkEnd w:id="77"/>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78" w:name="_Toc96507129"/>
      <w:r>
        <w:rPr>
          <w:rStyle w:val="CharSectno"/>
        </w:rPr>
        <w:t>38AA</w:t>
      </w:r>
      <w:r>
        <w:t>.</w:t>
      </w:r>
      <w:r>
        <w:tab/>
        <w:t>What is a relevant body</w:t>
      </w:r>
      <w:bookmarkEnd w:id="7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79" w:name="_Toc96507130"/>
      <w:r>
        <w:rPr>
          <w:rStyle w:val="CharSectno"/>
        </w:rPr>
        <w:t>38AB</w:t>
      </w:r>
      <w:r>
        <w:t>.</w:t>
      </w:r>
      <w:r>
        <w:tab/>
        <w:t>Application for a beneficial body determination</w:t>
      </w:r>
      <w:bookmarkEnd w:id="79"/>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80" w:name="_Toc96507131"/>
      <w:r>
        <w:rPr>
          <w:rStyle w:val="CharSectno"/>
        </w:rPr>
        <w:t>38AC</w:t>
      </w:r>
      <w:r>
        <w:t>.</w:t>
      </w:r>
      <w:r>
        <w:tab/>
        <w:t>Beneficial body determination</w:t>
      </w:r>
      <w:bookmarkEnd w:id="80"/>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81" w:name="_Toc96507132"/>
      <w:r>
        <w:rPr>
          <w:rStyle w:val="CharSectno"/>
        </w:rPr>
        <w:t>38</w:t>
      </w:r>
      <w:r>
        <w:t>.</w:t>
      </w:r>
      <w:r>
        <w:tab/>
        <w:t>Land owned by non</w:t>
      </w:r>
      <w:r>
        <w:noBreakHyphen/>
        <w:t>profit associations, exemption or concession for</w:t>
      </w:r>
      <w:bookmarkEnd w:id="81"/>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82" w:name="_Toc96507133"/>
      <w:r>
        <w:rPr>
          <w:rStyle w:val="CharSectno"/>
        </w:rPr>
        <w:t>38A</w:t>
      </w:r>
      <w:r>
        <w:t>.</w:t>
      </w:r>
      <w:r>
        <w:tab/>
        <w:t>Land used as aged care facility, exemption for</w:t>
      </w:r>
      <w:bookmarkEnd w:id="8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83" w:name="_Toc96507134"/>
      <w:r>
        <w:rPr>
          <w:rStyle w:val="CharSectno"/>
        </w:rPr>
        <w:t>39</w:t>
      </w:r>
      <w:r>
        <w:t>.</w:t>
      </w:r>
      <w:r>
        <w:tab/>
        <w:t>Land used for retirement villages: exemption for</w:t>
      </w:r>
      <w:bookmarkEnd w:id="8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84" w:name="_Toc96507135"/>
      <w:r>
        <w:rPr>
          <w:rStyle w:val="CharDivNo"/>
        </w:rPr>
        <w:t>Division 4A</w:t>
      </w:r>
      <w:r>
        <w:t> — </w:t>
      </w:r>
      <w:r>
        <w:rPr>
          <w:rStyle w:val="CharDivText"/>
        </w:rPr>
        <w:t>Land used for non</w:t>
      </w:r>
      <w:r>
        <w:rPr>
          <w:rStyle w:val="CharDivText"/>
        </w:rPr>
        <w:noBreakHyphen/>
        <w:t>permanent residences</w:t>
      </w:r>
      <w:bookmarkEnd w:id="84"/>
    </w:p>
    <w:p>
      <w:pPr>
        <w:pStyle w:val="Footnoteheading"/>
        <w:spacing w:before="80"/>
      </w:pPr>
      <w:r>
        <w:tab/>
        <w:t>[Heading inserted: No. 10 of 2005 s. 7.]</w:t>
      </w:r>
    </w:p>
    <w:p>
      <w:pPr>
        <w:pStyle w:val="Heading5"/>
        <w:keepNext w:val="0"/>
        <w:keepLines w:val="0"/>
        <w:spacing w:before="200"/>
      </w:pPr>
      <w:bookmarkStart w:id="85" w:name="_Toc96507136"/>
      <w:r>
        <w:rPr>
          <w:rStyle w:val="CharSectno"/>
        </w:rPr>
        <w:t>39A</w:t>
      </w:r>
      <w:r>
        <w:t>.</w:t>
      </w:r>
      <w:r>
        <w:tab/>
        <w:t>Land to which s. 39B applies</w:t>
      </w:r>
      <w:bookmarkEnd w:id="85"/>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86" w:name="_Toc96507137"/>
      <w:r>
        <w:rPr>
          <w:rStyle w:val="CharSectno"/>
        </w:rPr>
        <w:t>39B</w:t>
      </w:r>
      <w:r>
        <w:t>.</w:t>
      </w:r>
      <w:r>
        <w:tab/>
        <w:t>Dwelling park land: concession and exemption for</w:t>
      </w:r>
      <w:bookmarkEnd w:id="86"/>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87" w:name="_Toc96507138"/>
      <w:r>
        <w:rPr>
          <w:rStyle w:val="CharDivNo"/>
        </w:rPr>
        <w:t>Division 5</w:t>
      </w:r>
      <w:r>
        <w:t xml:space="preserve"> — </w:t>
      </w:r>
      <w:r>
        <w:rPr>
          <w:rStyle w:val="CharDivText"/>
        </w:rPr>
        <w:t>Other exemptions and concessions</w:t>
      </w:r>
      <w:bookmarkEnd w:id="87"/>
    </w:p>
    <w:p>
      <w:pPr>
        <w:pStyle w:val="Heading5"/>
      </w:pPr>
      <w:bookmarkStart w:id="88" w:name="_Toc96507139"/>
      <w:r>
        <w:rPr>
          <w:rStyle w:val="CharSectno"/>
        </w:rPr>
        <w:t>40</w:t>
      </w:r>
      <w:r>
        <w:t>.</w:t>
      </w:r>
      <w:r>
        <w:tab/>
        <w:t>Land owned by veteran’s surviving partner or mother, exemption for</w:t>
      </w:r>
      <w:bookmarkEnd w:id="8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89" w:name="_Toc96507140"/>
      <w:r>
        <w:rPr>
          <w:rStyle w:val="CharSectno"/>
        </w:rPr>
        <w:t>41</w:t>
      </w:r>
      <w:r>
        <w:t>.</w:t>
      </w:r>
      <w:r>
        <w:tab/>
        <w:t>Land under conservation covenant, exemption for</w:t>
      </w:r>
      <w:bookmarkEnd w:id="8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90" w:name="_Toc96507141"/>
      <w:r>
        <w:rPr>
          <w:rStyle w:val="CharSectno"/>
        </w:rPr>
        <w:t>42A</w:t>
      </w:r>
      <w:r>
        <w:t>.</w:t>
      </w:r>
      <w:r>
        <w:tab/>
        <w:t>Land under biodiversity conservation covenant, exemption for</w:t>
      </w:r>
      <w:bookmarkEnd w:id="90"/>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91" w:name="_Toc96507142"/>
      <w:r>
        <w:rPr>
          <w:rStyle w:val="CharSectno"/>
        </w:rPr>
        <w:t>42</w:t>
      </w:r>
      <w:r>
        <w:t>.</w:t>
      </w:r>
      <w:r>
        <w:tab/>
        <w:t>Land vacated for sale by mortgagee, one year exemption for</w:t>
      </w:r>
      <w:bookmarkEnd w:id="9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92" w:name="_Toc96507143"/>
      <w:r>
        <w:rPr>
          <w:rStyle w:val="CharSectno"/>
        </w:rPr>
        <w:t>43A</w:t>
      </w:r>
      <w:r>
        <w:t>.</w:t>
      </w:r>
      <w:r>
        <w:tab/>
        <w:t>Newly subdivided land, concession for</w:t>
      </w:r>
      <w:bookmarkEnd w:id="9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93" w:name="_Toc96507144"/>
      <w:r>
        <w:rPr>
          <w:rStyle w:val="CharSectno"/>
        </w:rPr>
        <w:t>43B</w:t>
      </w:r>
      <w:r>
        <w:t>.</w:t>
      </w:r>
      <w:r>
        <w:tab/>
        <w:t>Freehold reversion in parcel subdivided by leasehold scheme, exemption for</w:t>
      </w:r>
      <w:bookmarkEnd w:id="93"/>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94" w:name="_Toc96507145"/>
      <w:r>
        <w:rPr>
          <w:rStyle w:val="CharPartNo"/>
        </w:rPr>
        <w:t>Part 4</w:t>
      </w:r>
      <w:r>
        <w:rPr>
          <w:rStyle w:val="CharDivNo"/>
        </w:rPr>
        <w:t xml:space="preserve"> </w:t>
      </w:r>
      <w:r>
        <w:t>—</w:t>
      </w:r>
      <w:r>
        <w:rPr>
          <w:rStyle w:val="CharDivText"/>
        </w:rPr>
        <w:t xml:space="preserve"> </w:t>
      </w:r>
      <w:r>
        <w:rPr>
          <w:rStyle w:val="CharPartText"/>
        </w:rPr>
        <w:t>Miscellaneous</w:t>
      </w:r>
      <w:bookmarkEnd w:id="94"/>
    </w:p>
    <w:p>
      <w:pPr>
        <w:pStyle w:val="Heading5"/>
      </w:pPr>
      <w:bookmarkStart w:id="95" w:name="_Toc96507146"/>
      <w:r>
        <w:rPr>
          <w:rStyle w:val="CharSectno"/>
        </w:rPr>
        <w:t>43</w:t>
      </w:r>
      <w:r>
        <w:t>.</w:t>
      </w:r>
      <w:r>
        <w:tab/>
        <w:t>Occupier etc. of land to give information</w:t>
      </w:r>
      <w:bookmarkEnd w:id="9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96" w:name="_Toc96507147"/>
      <w:r>
        <w:rPr>
          <w:rStyle w:val="CharSectno"/>
        </w:rPr>
        <w:t>45</w:t>
      </w:r>
      <w:r>
        <w:t>.</w:t>
      </w:r>
      <w:r>
        <w:tab/>
        <w:t>Contracts ineffective to alter incidence of land tax</w:t>
      </w:r>
      <w:bookmarkEnd w:id="9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97" w:name="_Toc96507148"/>
      <w:r>
        <w:rPr>
          <w:rStyle w:val="CharSectno"/>
        </w:rPr>
        <w:t>45A</w:t>
      </w:r>
      <w:r>
        <w:t>.</w:t>
      </w:r>
      <w:r>
        <w:tab/>
        <w:t>Minor interests of joint owners, Commissioner may disregard</w:t>
      </w:r>
      <w:bookmarkEnd w:id="97"/>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98" w:name="_Toc96507149"/>
      <w:r>
        <w:rPr>
          <w:rStyle w:val="CharSectno"/>
        </w:rPr>
        <w:t>45B</w:t>
      </w:r>
      <w:r>
        <w:t>.</w:t>
      </w:r>
      <w:r>
        <w:tab/>
        <w:t>Effect of determination under s. 45A</w:t>
      </w:r>
      <w:bookmarkEnd w:id="98"/>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99" w:name="_Toc96507150"/>
      <w:r>
        <w:rPr>
          <w:rStyle w:val="CharSectno"/>
        </w:rPr>
        <w:t>46</w:t>
      </w:r>
      <w:r>
        <w:t>.</w:t>
      </w:r>
      <w:r>
        <w:tab/>
        <w:t>Regulations</w:t>
      </w:r>
      <w:bookmarkEnd w:id="9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00" w:name="_Toc96507151"/>
      <w:r>
        <w:t>47.</w:t>
      </w:r>
      <w:r>
        <w:tab/>
        <w:t>Transitional provisions</w:t>
      </w:r>
      <w:bookmarkEnd w:id="10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01" w:name="_Toc96507152"/>
      <w:r>
        <w:rPr>
          <w:rStyle w:val="CharSchNo"/>
        </w:rPr>
        <w:t>Schedule 1</w:t>
      </w:r>
      <w:r>
        <w:t> — </w:t>
      </w:r>
      <w:r>
        <w:rPr>
          <w:rStyle w:val="CharSchText"/>
        </w:rPr>
        <w:t>Transitional and validation provisions</w:t>
      </w:r>
      <w:bookmarkEnd w:id="101"/>
    </w:p>
    <w:p>
      <w:pPr>
        <w:pStyle w:val="yShoulderClause"/>
      </w:pPr>
      <w:r>
        <w:t>[s. 47]</w:t>
      </w:r>
    </w:p>
    <w:p>
      <w:pPr>
        <w:pStyle w:val="yFootnoteheading"/>
      </w:pPr>
      <w:r>
        <w:tab/>
        <w:t>[Heading inserted: No. 31 of 2006 s. 26; amended: No. 1 of 2015 s. 19.]</w:t>
      </w:r>
    </w:p>
    <w:p>
      <w:pPr>
        <w:pStyle w:val="yHeading3"/>
      </w:pPr>
      <w:bookmarkStart w:id="102" w:name="_Toc96507153"/>
      <w:r>
        <w:rPr>
          <w:rStyle w:val="CharSDivNo"/>
        </w:rPr>
        <w:t>Division 1</w:t>
      </w:r>
      <w:r>
        <w:rPr>
          <w:b w:val="0"/>
        </w:rPr>
        <w:t> — </w:t>
      </w:r>
      <w:r>
        <w:rPr>
          <w:rStyle w:val="CharSDivText"/>
        </w:rPr>
        <w:t xml:space="preserve">Provision for </w:t>
      </w:r>
      <w:r>
        <w:rPr>
          <w:rStyle w:val="CharSDivText"/>
          <w:i/>
        </w:rPr>
        <w:t>Revenue Laws Amendment Act 2006</w:t>
      </w:r>
      <w:bookmarkEnd w:id="102"/>
    </w:p>
    <w:p>
      <w:pPr>
        <w:pStyle w:val="yFootnoteheading"/>
      </w:pPr>
      <w:r>
        <w:tab/>
        <w:t>[Heading inserted: No. 31 of 2006 s. 26.]</w:t>
      </w:r>
    </w:p>
    <w:p>
      <w:pPr>
        <w:pStyle w:val="yHeading5"/>
        <w:outlineLvl w:val="9"/>
      </w:pPr>
      <w:bookmarkStart w:id="103" w:name="_Toc96507154"/>
      <w:r>
        <w:rPr>
          <w:rStyle w:val="CharSClsNo"/>
        </w:rPr>
        <w:t>1</w:t>
      </w:r>
      <w:r>
        <w:t>.</w:t>
      </w:r>
      <w:r>
        <w:rPr>
          <w:b w:val="0"/>
        </w:rPr>
        <w:tab/>
      </w:r>
      <w:r>
        <w:t>Application of s. 24A, 25A and 27A</w:t>
      </w:r>
      <w:bookmarkEnd w:id="10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04" w:name="_Toc96507155"/>
      <w:r>
        <w:rPr>
          <w:rStyle w:val="CharSDivNo"/>
        </w:rPr>
        <w:t>Division 2</w:t>
      </w:r>
      <w:r>
        <w:rPr>
          <w:b w:val="0"/>
        </w:rPr>
        <w:t> — </w:t>
      </w:r>
      <w:r>
        <w:rPr>
          <w:rStyle w:val="CharSDivText"/>
        </w:rPr>
        <w:t xml:space="preserve">Provision for </w:t>
      </w:r>
      <w:r>
        <w:rPr>
          <w:rStyle w:val="CharSDivText"/>
          <w:i/>
          <w:iCs/>
        </w:rPr>
        <w:t>Revenue Laws Amendment (Taxation) Act 2009</w:t>
      </w:r>
      <w:bookmarkEnd w:id="104"/>
    </w:p>
    <w:p>
      <w:pPr>
        <w:pStyle w:val="Footnoteheading"/>
        <w:rPr>
          <w:i w:val="0"/>
        </w:rPr>
      </w:pPr>
      <w:r>
        <w:tab/>
        <w:t>[Heading inserted: No. 19 of 2009 s. 11.]</w:t>
      </w:r>
    </w:p>
    <w:p>
      <w:pPr>
        <w:pStyle w:val="yHeading5"/>
      </w:pPr>
      <w:bookmarkStart w:id="105" w:name="_Toc96507156"/>
      <w:r>
        <w:rPr>
          <w:rStyle w:val="CharSClsNo"/>
        </w:rPr>
        <w:t>2</w:t>
      </w:r>
      <w:r>
        <w:t>.</w:t>
      </w:r>
      <w:r>
        <w:rPr>
          <w:b w:val="0"/>
        </w:rPr>
        <w:tab/>
      </w:r>
      <w:r>
        <w:t>Regulations for cl. 6</w:t>
      </w:r>
      <w:bookmarkEnd w:id="10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06" w:name="_Toc96507157"/>
      <w:r>
        <w:rPr>
          <w:rStyle w:val="CharSDivNo"/>
        </w:rPr>
        <w:t>Division 3</w:t>
      </w:r>
      <w:r>
        <w:rPr>
          <w:b w:val="0"/>
        </w:rPr>
        <w:t> — </w:t>
      </w:r>
      <w:r>
        <w:rPr>
          <w:rStyle w:val="CharSDivText"/>
        </w:rPr>
        <w:t xml:space="preserve">Provisions for the </w:t>
      </w:r>
      <w:r>
        <w:rPr>
          <w:rStyle w:val="CharSDivText"/>
          <w:i/>
        </w:rPr>
        <w:t>Taxation Legislation Amendment Act (No. 2) 2015</w:t>
      </w:r>
      <w:bookmarkEnd w:id="106"/>
    </w:p>
    <w:p>
      <w:pPr>
        <w:pStyle w:val="yFootnoteheading"/>
      </w:pPr>
      <w:r>
        <w:tab/>
        <w:t>[Heading inserted: No. 8 of 2015 s. 10.]</w:t>
      </w:r>
    </w:p>
    <w:p>
      <w:pPr>
        <w:pStyle w:val="yHeading5"/>
      </w:pPr>
      <w:bookmarkStart w:id="107" w:name="_Toc96507158"/>
      <w:r>
        <w:rPr>
          <w:rStyle w:val="CharSClsNo"/>
        </w:rPr>
        <w:t>3</w:t>
      </w:r>
      <w:r>
        <w:t>.</w:t>
      </w:r>
      <w:r>
        <w:tab/>
        <w:t>Terms used</w:t>
      </w:r>
      <w:bookmarkEnd w:id="107"/>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08" w:name="_Toc96507159"/>
      <w:r>
        <w:rPr>
          <w:rStyle w:val="CharSClsNo"/>
        </w:rPr>
        <w:t>4</w:t>
      </w:r>
      <w:r>
        <w:t>.</w:t>
      </w:r>
      <w:r>
        <w:tab/>
        <w:t>Previously exempt land: section 37</w:t>
      </w:r>
      <w:bookmarkEnd w:id="108"/>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09" w:name="_Toc96507160"/>
      <w:r>
        <w:rPr>
          <w:rStyle w:val="CharSClsNo"/>
        </w:rPr>
        <w:t>5</w:t>
      </w:r>
      <w:r>
        <w:t>.</w:t>
      </w:r>
      <w:r>
        <w:tab/>
        <w:t>Beneficial body determination: application may be made</w:t>
      </w:r>
      <w:bookmarkEnd w:id="10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10" w:name="_Toc96507161"/>
      <w:r>
        <w:rPr>
          <w:rStyle w:val="CharSDivNo"/>
        </w:rPr>
        <w:t>Division 4</w:t>
      </w:r>
      <w:r>
        <w:t> — </w:t>
      </w:r>
      <w:r>
        <w:rPr>
          <w:rStyle w:val="CharSDivText"/>
        </w:rPr>
        <w:t xml:space="preserve">Provisions for </w:t>
      </w:r>
      <w:r>
        <w:rPr>
          <w:rStyle w:val="CharSDivText"/>
          <w:i/>
        </w:rPr>
        <w:t>Taxation Legislation Amendment Act 2015</w:t>
      </w:r>
      <w:bookmarkEnd w:id="110"/>
    </w:p>
    <w:p>
      <w:pPr>
        <w:pStyle w:val="yFootnoteheading"/>
      </w:pPr>
      <w:r>
        <w:tab/>
        <w:t>[Heading inserted: No. 1 of 2015 s. 7.]</w:t>
      </w:r>
    </w:p>
    <w:p>
      <w:pPr>
        <w:pStyle w:val="yHeading4"/>
      </w:pPr>
      <w:bookmarkStart w:id="111" w:name="_Toc96507162"/>
      <w:r>
        <w:t>Subdivision 1 — Preliminary</w:t>
      </w:r>
      <w:bookmarkEnd w:id="111"/>
    </w:p>
    <w:p>
      <w:pPr>
        <w:pStyle w:val="yFootnoteheading"/>
      </w:pPr>
      <w:r>
        <w:tab/>
        <w:t>[Heading inserted: No. 1 of 2015 s. 20.]</w:t>
      </w:r>
    </w:p>
    <w:p>
      <w:pPr>
        <w:pStyle w:val="yHeading5"/>
      </w:pPr>
      <w:bookmarkStart w:id="112" w:name="_Toc96507163"/>
      <w:r>
        <w:rPr>
          <w:rStyle w:val="CharSClsNo"/>
        </w:rPr>
        <w:t>6</w:t>
      </w:r>
      <w:r>
        <w:t>.</w:t>
      </w:r>
      <w:r>
        <w:tab/>
        <w:t>Term used: amending Act</w:t>
      </w:r>
      <w:bookmarkEnd w:id="112"/>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13" w:name="_Toc96507164"/>
      <w:r>
        <w:t>Subdivision 2 — Provisions about primary production</w:t>
      </w:r>
      <w:bookmarkEnd w:id="113"/>
    </w:p>
    <w:p>
      <w:pPr>
        <w:pStyle w:val="yFootnoteheading"/>
      </w:pPr>
      <w:r>
        <w:tab/>
        <w:t>[Heading inserted: No. 1 of 2015 s. 21.]</w:t>
      </w:r>
    </w:p>
    <w:p>
      <w:pPr>
        <w:pStyle w:val="yHeading5"/>
      </w:pPr>
      <w:bookmarkStart w:id="114" w:name="_Toc96507165"/>
      <w:r>
        <w:rPr>
          <w:rStyle w:val="CharSClsNo"/>
        </w:rPr>
        <w:t>7</w:t>
      </w:r>
      <w:r>
        <w:t>.</w:t>
      </w:r>
      <w:r>
        <w:tab/>
        <w:t>Application of section 15 during transitional period</w:t>
      </w:r>
      <w:bookmarkEnd w:id="114"/>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15" w:name="_Toc96507166"/>
      <w:r>
        <w:rPr>
          <w:rStyle w:val="CharSClsNo"/>
        </w:rPr>
        <w:t>8</w:t>
      </w:r>
      <w:r>
        <w:t>.</w:t>
      </w:r>
      <w:r>
        <w:tab/>
        <w:t>Application of section 20 to previous assessment years</w:t>
      </w:r>
      <w:bookmarkEnd w:id="115"/>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16" w:name="_Toc96507167"/>
      <w:r>
        <w:rPr>
          <w:rStyle w:val="CharSClsNo"/>
        </w:rPr>
        <w:t>9</w:t>
      </w:r>
      <w:r>
        <w:t>.</w:t>
      </w:r>
      <w:r>
        <w:tab/>
        <w:t>Application of section 30D to land held in trust for assessment year 2014/15</w:t>
      </w:r>
      <w:bookmarkEnd w:id="11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17" w:name="_Toc96507168"/>
      <w:r>
        <w:t>Subdivision 3 — Provisions about exemptions and rural business land</w:t>
      </w:r>
      <w:bookmarkEnd w:id="117"/>
    </w:p>
    <w:p>
      <w:pPr>
        <w:pStyle w:val="yFootnoteheading"/>
      </w:pPr>
      <w:r>
        <w:tab/>
        <w:t>[Heading inserted: No. 1 of 2015 s. 22.]</w:t>
      </w:r>
    </w:p>
    <w:p>
      <w:pPr>
        <w:pStyle w:val="yHeading5"/>
      </w:pPr>
      <w:bookmarkStart w:id="118" w:name="_Toc96507169"/>
      <w:r>
        <w:rPr>
          <w:rStyle w:val="CharSClsNo"/>
        </w:rPr>
        <w:t>10</w:t>
      </w:r>
      <w:r>
        <w:t>.</w:t>
      </w:r>
      <w:r>
        <w:tab/>
        <w:t>Terms used</w:t>
      </w:r>
      <w:bookmarkEnd w:id="118"/>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19" w:name="_Toc96507170"/>
      <w:r>
        <w:rPr>
          <w:rStyle w:val="CharSClsNo"/>
        </w:rPr>
        <w:t>11</w:t>
      </w:r>
      <w:r>
        <w:t>.</w:t>
      </w:r>
      <w:r>
        <w:tab/>
        <w:t>Validation of previous assessments</w:t>
      </w:r>
      <w:bookmarkEnd w:id="119"/>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20" w:name="_Toc96507171"/>
      <w:r>
        <w:rPr>
          <w:rStyle w:val="CharSClsNo"/>
        </w:rPr>
        <w:t>12</w:t>
      </w:r>
      <w:r>
        <w:t>.</w:t>
      </w:r>
      <w:r>
        <w:tab/>
        <w:t>Land tax decisions made or pending</w:t>
      </w:r>
      <w:bookmarkEnd w:id="12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21" w:name="_Toc96507172"/>
      <w:r>
        <w:rPr>
          <w:rStyle w:val="CharSClsNo"/>
        </w:rPr>
        <w:t>13</w:t>
      </w:r>
      <w:r>
        <w:t>.</w:t>
      </w:r>
      <w:r>
        <w:tab/>
        <w:t>Application of modified rural business land provisions during the 2012 to 2014 assessment period</w:t>
      </w:r>
      <w:bookmarkEnd w:id="121"/>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22" w:name="_Toc96507173"/>
      <w:r>
        <w:rPr>
          <w:rStyle w:val="CharSClsNo"/>
        </w:rPr>
        <w:t>14</w:t>
      </w:r>
      <w:r>
        <w:t>.</w:t>
      </w:r>
      <w:r>
        <w:tab/>
        <w:t>Validation of rural business land assessments</w:t>
      </w:r>
      <w:bookmarkEnd w:id="122"/>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23" w:name="_Toc96507174"/>
      <w:r>
        <w:rPr>
          <w:rStyle w:val="CharSClsNo"/>
        </w:rPr>
        <w:t>15</w:t>
      </w:r>
      <w:r>
        <w:t>.</w:t>
      </w:r>
      <w:r>
        <w:tab/>
        <w:t>Reassessment</w:t>
      </w:r>
      <w:bookmarkEnd w:id="123"/>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24" w:name="_Toc96507175"/>
      <w:r>
        <w:rPr>
          <w:rStyle w:val="CharSDivNo"/>
        </w:rPr>
        <w:t>Division 5</w:t>
      </w:r>
      <w:r>
        <w:rPr>
          <w:b w:val="0"/>
        </w:rPr>
        <w:t> — </w:t>
      </w:r>
      <w:r>
        <w:rPr>
          <w:rStyle w:val="CharSDivText"/>
        </w:rPr>
        <w:t xml:space="preserve">Provisions for </w:t>
      </w:r>
      <w:r>
        <w:rPr>
          <w:rStyle w:val="CharSDivText"/>
          <w:i/>
        </w:rPr>
        <w:t>Land Tax Assessment Amendment Act 2018</w:t>
      </w:r>
      <w:bookmarkEnd w:id="124"/>
    </w:p>
    <w:p>
      <w:pPr>
        <w:pStyle w:val="yFootnoteheading"/>
      </w:pPr>
      <w:r>
        <w:tab/>
        <w:t>[Heading inserted: No. 5 of 2018 s. 8.]</w:t>
      </w:r>
    </w:p>
    <w:p>
      <w:pPr>
        <w:pStyle w:val="yHeading5"/>
      </w:pPr>
      <w:bookmarkStart w:id="125" w:name="_Toc96507176"/>
      <w:r>
        <w:rPr>
          <w:rStyle w:val="CharSClsNo"/>
        </w:rPr>
        <w:t>16</w:t>
      </w:r>
      <w:r>
        <w:t>.</w:t>
      </w:r>
      <w:r>
        <w:tab/>
        <w:t>Terms used</w:t>
      </w:r>
      <w:bookmarkEnd w:id="125"/>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26" w:name="_Toc96507177"/>
      <w:r>
        <w:rPr>
          <w:rStyle w:val="CharSClsNo"/>
        </w:rPr>
        <w:t>17</w:t>
      </w:r>
      <w:r>
        <w:t>.</w:t>
      </w:r>
      <w:r>
        <w:tab/>
        <w:t>Validation of previous assessments</w:t>
      </w:r>
      <w:bookmarkEnd w:id="126"/>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27" w:name="_Toc96507178"/>
      <w:r>
        <w:rPr>
          <w:rStyle w:val="CharSClsNo"/>
        </w:rPr>
        <w:t>18</w:t>
      </w:r>
      <w:r>
        <w:t>.</w:t>
      </w:r>
      <w:r>
        <w:tab/>
        <w:t>Land tax decisions made or pending</w:t>
      </w:r>
      <w:bookmarkEnd w:id="127"/>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28" w:name="_Toc96507179"/>
      <w:r>
        <w:rPr>
          <w:rStyle w:val="CharSClsNo"/>
        </w:rPr>
        <w:t>19</w:t>
      </w:r>
      <w:r>
        <w:t>.</w:t>
      </w:r>
      <w:r>
        <w:tab/>
        <w:t>Reassessment</w:t>
      </w:r>
      <w:bookmarkEnd w:id="128"/>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29" w:name="_Toc96507180"/>
      <w:r>
        <w:rPr>
          <w:rStyle w:val="CharSDivNo"/>
        </w:rPr>
        <w:t>Division 6</w:t>
      </w:r>
      <w:r>
        <w:rPr>
          <w:b w:val="0"/>
        </w:rPr>
        <w:t> — </w:t>
      </w:r>
      <w:r>
        <w:rPr>
          <w:rStyle w:val="CharSDivText"/>
        </w:rPr>
        <w:t>Provisions for Revenue Laws Amendment Act 2019</w:t>
      </w:r>
      <w:bookmarkEnd w:id="129"/>
    </w:p>
    <w:p>
      <w:pPr>
        <w:pStyle w:val="yFootnoteheading"/>
      </w:pPr>
      <w:r>
        <w:tab/>
        <w:t>[Heading inserted: No. 12 of 2019 s. 138.]</w:t>
      </w:r>
    </w:p>
    <w:p>
      <w:pPr>
        <w:pStyle w:val="yHeading5"/>
      </w:pPr>
      <w:bookmarkStart w:id="130" w:name="_Toc96507181"/>
      <w:r>
        <w:rPr>
          <w:rStyle w:val="CharSClsNo"/>
        </w:rPr>
        <w:t>20</w:t>
      </w:r>
      <w:r>
        <w:t>.</w:t>
      </w:r>
      <w:r>
        <w:tab/>
        <w:t>Application of section 30D to land held in trust for assessment year 2019/20</w:t>
      </w:r>
      <w:bookmarkEnd w:id="13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31" w:name="_Toc96507182"/>
      <w:r>
        <w:rPr>
          <w:rStyle w:val="CharSClsNo"/>
        </w:rPr>
        <w:t>21</w:t>
      </w:r>
      <w:r>
        <w:t>.</w:t>
      </w:r>
      <w:r>
        <w:tab/>
        <w:t>Application of amendments relating to subdivision of land</w:t>
      </w:r>
      <w:bookmarkEnd w:id="131"/>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33" w:name="_Toc96507183"/>
      <w:r>
        <w:rPr>
          <w:rStyle w:val="CharSchNo"/>
        </w:rPr>
        <w:t>Glossary</w:t>
      </w:r>
      <w:bookmarkEnd w:id="133"/>
      <w:r>
        <w:rPr>
          <w:rStyle w:val="CharSchText"/>
        </w:rPr>
        <w:t xml:space="preserve"> </w:t>
      </w:r>
    </w:p>
    <w:p>
      <w:pPr>
        <w:pStyle w:val="yShoulderClause"/>
        <w:spacing w:before="40"/>
      </w:pPr>
      <w:r>
        <w:t>[s. 4]</w:t>
      </w:r>
    </w:p>
    <w:p>
      <w:pPr>
        <w:pStyle w:val="yHeading5"/>
      </w:pPr>
      <w:bookmarkStart w:id="134" w:name="_Toc96507184"/>
      <w:r>
        <w:rPr>
          <w:rStyle w:val="CharSClsNo"/>
        </w:rPr>
        <w:t>1</w:t>
      </w:r>
      <w:r>
        <w:t>.</w:t>
      </w:r>
      <w:r>
        <w:rPr>
          <w:vertAlign w:val="superscript"/>
        </w:rPr>
        <w:t>  1M, 1MC</w:t>
      </w:r>
      <w:r>
        <w:tab/>
        <w:t>Terms used</w:t>
      </w:r>
      <w:bookmarkEnd w:id="134"/>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135" w:name="_Toc96507185"/>
      <w:r>
        <w:rPr>
          <w:rStyle w:val="CharSClsNo"/>
        </w:rPr>
        <w:t>2</w:t>
      </w:r>
      <w:r>
        <w:t>.</w:t>
      </w:r>
      <w:r>
        <w:tab/>
        <w:t>Lots and parcels of land</w:t>
      </w:r>
      <w:bookmarkEnd w:id="13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136" w:name="_Toc96507186"/>
      <w:r>
        <w:rPr>
          <w:rStyle w:val="CharSClsNo"/>
        </w:rPr>
        <w:t>3</w:t>
      </w:r>
      <w:r>
        <w:t>.</w:t>
      </w:r>
      <w:r>
        <w:tab/>
        <w:t>Subdivided land</w:t>
      </w:r>
      <w:bookmarkEnd w:id="136"/>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137" w:name="_Toc96507187"/>
      <w:r>
        <w:rPr>
          <w:rStyle w:val="CharSClsNo"/>
        </w:rPr>
        <w:t>6</w:t>
      </w:r>
      <w:r>
        <w:t>.</w:t>
      </w:r>
      <w:r>
        <w:rPr>
          <w:b w:val="0"/>
        </w:rPr>
        <w:tab/>
      </w:r>
      <w:r>
        <w:t>Taxable value</w:t>
      </w:r>
      <w:bookmarkEnd w:id="13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38" w:name="_Toc96507188"/>
      <w:r>
        <w:t>Notes</w:t>
      </w:r>
      <w:bookmarkEnd w:id="138"/>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139" w:name="_Toc96507189"/>
      <w:r>
        <w:t>Compilation table</w:t>
      </w:r>
      <w:bookmarkEnd w:id="139"/>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tcBorders>
              <w:bottom w:val="single" w:sz="4" w:space="0" w:color="auto"/>
            </w:tcBorders>
            <w:shd w:val="clear" w:color="auto" w:fill="auto"/>
          </w:tcPr>
          <w:p>
            <w:pPr>
              <w:pStyle w:val="nTable"/>
              <w:spacing w:after="40"/>
              <w:rPr>
                <w:i/>
              </w:rPr>
            </w:pPr>
            <w:r>
              <w:rPr>
                <w:i/>
              </w:rPr>
              <w:t>Community Titles Act 2018</w:t>
            </w:r>
            <w:r>
              <w:t xml:space="preserve"> Pt. 14 Div. 12</w:t>
            </w:r>
          </w:p>
        </w:tc>
        <w:tc>
          <w:tcPr>
            <w:tcW w:w="1134" w:type="dxa"/>
            <w:gridSpan w:val="2"/>
            <w:tcBorders>
              <w:bottom w:val="single" w:sz="4" w:space="0" w:color="auto"/>
            </w:tcBorders>
            <w:shd w:val="clear" w:color="auto" w:fill="auto"/>
          </w:tcPr>
          <w:p>
            <w:pPr>
              <w:pStyle w:val="nTable"/>
              <w:spacing w:after="40"/>
            </w:pPr>
            <w:r>
              <w:t>32 of 2018</w:t>
            </w:r>
          </w:p>
        </w:tc>
        <w:tc>
          <w:tcPr>
            <w:tcW w:w="1134" w:type="dxa"/>
            <w:gridSpan w:val="2"/>
            <w:tcBorders>
              <w:bottom w:val="single" w:sz="4" w:space="0" w:color="auto"/>
            </w:tcBorders>
            <w:shd w:val="clear" w:color="auto" w:fill="auto"/>
          </w:tcPr>
          <w:p>
            <w:pPr>
              <w:pStyle w:val="nTable"/>
              <w:spacing w:after="40"/>
            </w:pPr>
            <w:r>
              <w:t>19 Nov 2018</w:t>
            </w:r>
          </w:p>
        </w:tc>
        <w:tc>
          <w:tcPr>
            <w:tcW w:w="2593" w:type="dxa"/>
            <w:gridSpan w:val="3"/>
            <w:tcBorders>
              <w:bottom w:val="single" w:sz="4" w:space="0" w:color="auto"/>
            </w:tcBorders>
            <w:shd w:val="clear" w:color="auto" w:fill="auto"/>
          </w:tcPr>
          <w:p>
            <w:pPr>
              <w:pStyle w:val="nTable"/>
              <w:spacing w:after="40"/>
              <w:rPr>
                <w:snapToGrid w:val="0"/>
              </w:rPr>
            </w:pPr>
            <w:r>
              <w:t>30 Jun 2021 (see s. 2(b) and SL 2021/69 cl. 2)</w:t>
            </w:r>
          </w:p>
        </w:tc>
      </w:tr>
    </w:tbl>
    <w:p>
      <w:pPr>
        <w:pStyle w:val="nHeading3"/>
      </w:pPr>
      <w:bookmarkStart w:id="140" w:name="_Toc96507190"/>
      <w:r>
        <w:t>Uncommenced provisions table</w:t>
      </w:r>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tcBorders>
          </w:tcPr>
          <w:p>
            <w:pPr>
              <w:pStyle w:val="nTable"/>
              <w:spacing w:after="40"/>
              <w:rPr>
                <w:i/>
              </w:rPr>
            </w:pPr>
            <w:r>
              <w:rPr>
                <w:i/>
                <w:snapToGrid w:val="0"/>
              </w:rPr>
              <w:t>Swan Valley Planning Act 2020</w:t>
            </w:r>
            <w:r>
              <w:rPr>
                <w:snapToGrid w:val="0"/>
              </w:rPr>
              <w:t xml:space="preserve"> Pt. 10 Div. 6</w:t>
            </w:r>
          </w:p>
        </w:tc>
        <w:tc>
          <w:tcPr>
            <w:tcW w:w="1134" w:type="dxa"/>
            <w:tcBorders>
              <w:top w:val="nil"/>
            </w:tcBorders>
          </w:tcPr>
          <w:p>
            <w:pPr>
              <w:pStyle w:val="nTable"/>
              <w:spacing w:after="40"/>
            </w:pPr>
            <w:r>
              <w:t>45 of 2020</w:t>
            </w:r>
          </w:p>
        </w:tc>
        <w:tc>
          <w:tcPr>
            <w:tcW w:w="1134" w:type="dxa"/>
            <w:tcBorders>
              <w:top w:val="nil"/>
            </w:tcBorders>
          </w:tcPr>
          <w:p>
            <w:pPr>
              <w:pStyle w:val="nTable"/>
              <w:spacing w:after="40"/>
            </w:pPr>
            <w:r>
              <w:t>9 Dec 2020</w:t>
            </w:r>
          </w:p>
        </w:tc>
        <w:tc>
          <w:tcPr>
            <w:tcW w:w="2552" w:type="dxa"/>
            <w:tcBorders>
              <w:top w:val="nil"/>
            </w:tcBorders>
          </w:tcPr>
          <w:p>
            <w:pPr>
              <w:pStyle w:val="nTable"/>
              <w:spacing w:after="40"/>
            </w:pPr>
            <w:r>
              <w:rPr>
                <w:snapToGrid w:val="0"/>
              </w:rPr>
              <w:t>1 Aug 2021 (see s. 2(1)(e) and SL 2021/124 cl. 2)</w:t>
            </w:r>
          </w:p>
        </w:tc>
      </w:tr>
    </w:tbl>
    <w:p>
      <w:pPr>
        <w:pStyle w:val="nHeading3"/>
      </w:pPr>
      <w:bookmarkStart w:id="141" w:name="_Toc96507191"/>
      <w:r>
        <w:t>Other notes</w:t>
      </w:r>
      <w:bookmarkEnd w:id="14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143" w:name="_Toc96507192"/>
      <w:r>
        <w:rPr>
          <w:sz w:val="28"/>
        </w:rPr>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 and 16</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 Sch. 1 cl. 20(2)</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commencement</w:t>
      </w:r>
      <w:r>
        <w:tab/>
        <w:t>Sch. 1 cl. 10 and 16</w:t>
      </w:r>
    </w:p>
    <w:p>
      <w:pPr>
        <w:pStyle w:val="DefinedTerms"/>
      </w:pPr>
      <w:r>
        <w:t>commencement date</w:t>
      </w:r>
      <w:r>
        <w:tab/>
        <w:t>Gl.</w:t>
      </w:r>
    </w:p>
    <w:p>
      <w:pPr>
        <w:pStyle w:val="DefinedTerms"/>
      </w:pPr>
      <w:r>
        <w:t>completion date</w:t>
      </w:r>
      <w:r>
        <w:tab/>
        <w:t>Gl.</w:t>
      </w:r>
    </w:p>
    <w:p>
      <w:pPr>
        <w:pStyle w:val="DefinedTerms"/>
      </w:pPr>
      <w:r>
        <w:t>compliant trustee</w:t>
      </w:r>
      <w:r>
        <w:tab/>
        <w:t>Sch. 1 cl. 9(1), Sch. 1 cl. 20(1)</w:t>
      </w:r>
    </w:p>
    <w:p>
      <w:pPr>
        <w:pStyle w:val="DefinedTerms"/>
      </w:pPr>
      <w:r>
        <w:t>conservation covenant</w:t>
      </w:r>
      <w:r>
        <w:tab/>
        <w:t>Gl.</w:t>
      </w:r>
    </w:p>
    <w:p>
      <w:pPr>
        <w:pStyle w:val="DefinedTerms"/>
      </w:pPr>
      <w:r>
        <w:t>deceased</w:t>
      </w:r>
      <w:r>
        <w:tab/>
        <w:t>30E</w:t>
      </w:r>
    </w:p>
    <w:p>
      <w:pPr>
        <w:pStyle w:val="DefinedTerms"/>
      </w:pPr>
      <w:r>
        <w:t>decision</w:t>
      </w:r>
      <w:r>
        <w:tab/>
        <w:t>Sch. 1 cl. 12(1) and 18(1)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area</w:t>
      </w:r>
      <w:r>
        <w:tab/>
        <w:t>18A(2)</w:t>
      </w:r>
    </w:p>
    <w:p>
      <w:pPr>
        <w:pStyle w:val="DefinedTerms"/>
      </w:pPr>
      <w:r>
        <w:t>exempt purpose</w:t>
      </w:r>
      <w:r>
        <w:tab/>
        <w:t>Gl.</w:t>
      </w:r>
    </w:p>
    <w:p>
      <w:pPr>
        <w:pStyle w:val="DefinedTerms"/>
      </w:pPr>
      <w:r>
        <w:t>exemption period</w:t>
      </w:r>
      <w:r>
        <w:tab/>
        <w:t>28A</w:t>
      </w:r>
    </w:p>
    <w:p>
      <w:pPr>
        <w:pStyle w:val="DefinedTerms"/>
      </w:pPr>
      <w:r>
        <w:t>exemption provision</w:t>
      </w:r>
      <w:r>
        <w:tab/>
        <w:t>18(1), 18A(1), 28A</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28E(1), 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w:t>
      </w:r>
      <w:r>
        <w:noBreakHyphen/>
        <w:t>profit association</w:t>
      </w:r>
      <w:r>
        <w:tab/>
        <w:t>Gl.</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43B(1), Gl.</w:t>
      </w:r>
    </w:p>
    <w:p>
      <w:pPr>
        <w:pStyle w:val="DefinedTerms"/>
      </w:pPr>
      <w:r>
        <w:t>parent lot</w:t>
      </w:r>
      <w:r>
        <w:tab/>
        <w:t>28A, Gl.</w:t>
      </w:r>
    </w:p>
    <w:p>
      <w:pPr>
        <w:pStyle w:val="DefinedTerms"/>
      </w:pPr>
      <w:r>
        <w:t>parent lots</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2</w:t>
      </w:r>
      <w:r>
        <w:noBreakHyphen/>
        <w:t>year exemption provision</w:t>
      </w:r>
      <w:r>
        <w:tab/>
        <w:t>28D</w:t>
      </w:r>
    </w:p>
    <w:p>
      <w:pPr>
        <w:pStyle w:val="DefinedTerms"/>
      </w:pPr>
      <w:r>
        <w:t>relevant body</w:t>
      </w:r>
      <w:r>
        <w:tab/>
        <w:t>Gl.</w:t>
      </w:r>
    </w:p>
    <w:p>
      <w:pPr>
        <w:pStyle w:val="DefinedTerms"/>
      </w:pPr>
      <w:r>
        <w:t>relevant exemption provision</w:t>
      </w:r>
      <w:r>
        <w:tab/>
        <w:t>Sch. 1 cl. 21(3)</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subdivided</w:t>
      </w:r>
      <w:r>
        <w:tab/>
        <w:t>Gl.</w:t>
      </w:r>
    </w:p>
    <w:p>
      <w:pPr>
        <w:pStyle w:val="DefinedTerms"/>
      </w:pPr>
      <w:r>
        <w:t>subdividing owner</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year A</w:t>
      </w:r>
      <w:r>
        <w:tab/>
        <w:t>39A(5A)</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3110045"/>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20223110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10045_GUID" w:val="e5085e63-ac4f-4a05-b97b-d4175ec67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CCE57-865C-4A2B-B194-0C53F706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28949</Words>
  <Characters>134618</Characters>
  <Application>Microsoft Office Word</Application>
  <DocSecurity>0</DocSecurity>
  <Lines>3638</Lines>
  <Paragraphs>2097</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161470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2002 - 05-g0-04</dc:title>
  <dc:subject/>
  <dc:creator/>
  <cp:keywords/>
  <dc:description/>
  <cp:lastModifiedBy>Master Repository Process</cp:lastModifiedBy>
  <cp:revision>4</cp:revision>
  <cp:lastPrinted>2019-06-17T02:26:00Z</cp:lastPrinted>
  <dcterms:created xsi:type="dcterms:W3CDTF">2022-11-22T07:29:00Z</dcterms:created>
  <dcterms:modified xsi:type="dcterms:W3CDTF">2022-11-22T07:29:00Z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30 Jun 2021</vt:lpwstr>
  </property>
  <property fmtid="{D5CDD505-2E9C-101B-9397-08002B2CF9AE}" pid="8" name="Suffix">
    <vt:lpwstr>05-g0-04</vt:lpwstr>
  </property>
  <property fmtid="{D5CDD505-2E9C-101B-9397-08002B2CF9AE}" pid="9" name="CommencementDate">
    <vt:lpwstr>20210630</vt:lpwstr>
  </property>
</Properties>
</file>