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Sale of Land Act 1970</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_Toc77332242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_Toc77332243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_Toc77332244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Sale of land under terms contract</w:t>
      </w:r>
    </w:p>
    <w:p>
      <w:pPr>
        <w:pStyle w:val="TOC8"/>
        <w:rPr>
          <w:rFonts w:asciiTheme="minorHAnsi" w:eastAsiaTheme="minorEastAsia" w:hAnsiTheme="minorHAnsi" w:cstheme="minorBidi"/>
          <w:szCs w:val="22"/>
        </w:rPr>
      </w:pPr>
      <w:r>
        <w:t>6</w:t>
      </w:r>
      <w:r>
        <w:rPr>
          <w:snapToGrid w:val="0"/>
        </w:rPr>
        <w:t>.</w:t>
      </w:r>
      <w:r>
        <w:rPr>
          <w:snapToGrid w:val="0"/>
        </w:rPr>
        <w:tab/>
        <w:t>Restriction on rescission</w:t>
      </w:r>
      <w:r>
        <w:tab/>
      </w:r>
      <w:r>
        <w:fldChar w:fldCharType="begin"/>
      </w:r>
      <w:r>
        <w:instrText xml:space="preserve"> PAGEREF _Toc77332246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Notification of condition of title</w:t>
      </w:r>
      <w:r>
        <w:tab/>
      </w:r>
      <w:r>
        <w:fldChar w:fldCharType="begin"/>
      </w:r>
      <w:r>
        <w:instrText xml:space="preserve"> PAGEREF _Toc77332247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Limitation on encumbrances</w:t>
      </w:r>
      <w:r>
        <w:tab/>
      </w:r>
      <w:r>
        <w:fldChar w:fldCharType="begin"/>
      </w:r>
      <w:r>
        <w:instrText xml:space="preserve"> PAGEREF _Toc77332248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 of Court on application for leave to encumber the land</w:t>
      </w:r>
      <w:r>
        <w:tab/>
      </w:r>
      <w:r>
        <w:fldChar w:fldCharType="begin"/>
      </w:r>
      <w:r>
        <w:instrText xml:space="preserve"> PAGEREF _Toc77332249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Remedy of purchaser on contravention by vendor</w:t>
      </w:r>
      <w:r>
        <w:tab/>
      </w:r>
      <w:r>
        <w:fldChar w:fldCharType="begin"/>
      </w:r>
      <w:r>
        <w:instrText xml:space="preserve"> PAGEREF _Toc77332250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III — Restrictions on sale of subdivisional land</w:t>
      </w:r>
    </w:p>
    <w:p>
      <w:pPr>
        <w:pStyle w:val="TOC8"/>
        <w:rPr>
          <w:rFonts w:asciiTheme="minorHAnsi" w:eastAsiaTheme="minorEastAsia" w:hAnsiTheme="minorHAnsi" w:cstheme="minorBidi"/>
          <w:szCs w:val="22"/>
        </w:rPr>
      </w:pPr>
      <w:r>
        <w:t>11</w:t>
      </w:r>
      <w:r>
        <w:rPr>
          <w:snapToGrid w:val="0"/>
        </w:rPr>
        <w:t>.</w:t>
      </w:r>
      <w:r>
        <w:rPr>
          <w:snapToGrid w:val="0"/>
        </w:rPr>
        <w:tab/>
        <w:t>Interpretation</w:t>
      </w:r>
      <w:r>
        <w:tab/>
      </w:r>
      <w:r>
        <w:fldChar w:fldCharType="begin"/>
      </w:r>
      <w:r>
        <w:instrText xml:space="preserve"> PAGEREF _Toc77332252 \h </w:instrText>
      </w:r>
      <w:r>
        <w:fldChar w:fldCharType="separate"/>
      </w:r>
      <w:r>
        <w:t>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sale of subdivisional land</w:t>
      </w:r>
      <w:r>
        <w:tab/>
      </w:r>
      <w:r>
        <w:fldChar w:fldCharType="begin"/>
      </w:r>
      <w:r>
        <w:instrText xml:space="preserve"> PAGEREF _Toc77332253 \h </w:instrText>
      </w:r>
      <w:r>
        <w:fldChar w:fldCharType="separate"/>
      </w:r>
      <w:r>
        <w:t>9</w:t>
      </w:r>
      <w:r>
        <w:fldChar w:fldCharType="end"/>
      </w:r>
    </w:p>
    <w:p>
      <w:pPr>
        <w:pStyle w:val="TOC8"/>
        <w:rPr>
          <w:rFonts w:asciiTheme="minorHAnsi" w:eastAsiaTheme="minorEastAsia" w:hAnsiTheme="minorHAnsi" w:cstheme="minorBidi"/>
          <w:szCs w:val="22"/>
        </w:rPr>
      </w:pPr>
      <w:r>
        <w:t>13A.</w:t>
      </w:r>
      <w:r>
        <w:tab/>
        <w:t>Relationship between section 13 and sections 13B to 13D</w:t>
      </w:r>
      <w:r>
        <w:tab/>
      </w:r>
      <w:r>
        <w:fldChar w:fldCharType="begin"/>
      </w:r>
      <w:r>
        <w:instrText xml:space="preserve"> PAGEREF _Toc77332254 \h </w:instrText>
      </w:r>
      <w:r>
        <w:fldChar w:fldCharType="separate"/>
      </w:r>
      <w:r>
        <w:t>10</w:t>
      </w:r>
      <w:r>
        <w:fldChar w:fldCharType="end"/>
      </w:r>
    </w:p>
    <w:p>
      <w:pPr>
        <w:pStyle w:val="TOC8"/>
        <w:rPr>
          <w:rFonts w:asciiTheme="minorHAnsi" w:eastAsiaTheme="minorEastAsia" w:hAnsiTheme="minorHAnsi" w:cstheme="minorBidi"/>
          <w:szCs w:val="22"/>
        </w:rPr>
      </w:pPr>
      <w:r>
        <w:t>13B.</w:t>
      </w:r>
      <w:r>
        <w:tab/>
        <w:t>Requirement for future lot contract to include vendor’s condition</w:t>
      </w:r>
      <w:r>
        <w:tab/>
      </w:r>
      <w:r>
        <w:fldChar w:fldCharType="begin"/>
      </w:r>
      <w:r>
        <w:instrText xml:space="preserve"> PAGEREF _Toc77332255 \h </w:instrText>
      </w:r>
      <w:r>
        <w:fldChar w:fldCharType="separate"/>
      </w:r>
      <w:r>
        <w:t>10</w:t>
      </w:r>
      <w:r>
        <w:fldChar w:fldCharType="end"/>
      </w:r>
    </w:p>
    <w:p>
      <w:pPr>
        <w:pStyle w:val="TOC8"/>
        <w:rPr>
          <w:rFonts w:asciiTheme="minorHAnsi" w:eastAsiaTheme="minorEastAsia" w:hAnsiTheme="minorHAnsi" w:cstheme="minorBidi"/>
          <w:szCs w:val="22"/>
        </w:rPr>
      </w:pPr>
      <w:r>
        <w:t>13C.</w:t>
      </w:r>
      <w:r>
        <w:tab/>
        <w:t>Requirement for future lot contract to include warning</w:t>
      </w:r>
      <w:r>
        <w:tab/>
      </w:r>
      <w:r>
        <w:fldChar w:fldCharType="begin"/>
      </w:r>
      <w:r>
        <w:instrText xml:space="preserve"> PAGEREF _Toc77332256 \h </w:instrText>
      </w:r>
      <w:r>
        <w:fldChar w:fldCharType="separate"/>
      </w:r>
      <w:r>
        <w:t>11</w:t>
      </w:r>
      <w:r>
        <w:fldChar w:fldCharType="end"/>
      </w:r>
    </w:p>
    <w:p>
      <w:pPr>
        <w:pStyle w:val="TOC8"/>
        <w:rPr>
          <w:rFonts w:asciiTheme="minorHAnsi" w:eastAsiaTheme="minorEastAsia" w:hAnsiTheme="minorHAnsi" w:cstheme="minorBidi"/>
          <w:szCs w:val="22"/>
        </w:rPr>
      </w:pPr>
      <w:r>
        <w:t>13D.</w:t>
      </w:r>
      <w:r>
        <w:tab/>
        <w:t>Requirement for future lot contract to provide that deposit or other amount payable by purchaser must be paid to deposit holder</w:t>
      </w:r>
      <w:r>
        <w:tab/>
      </w:r>
      <w:r>
        <w:fldChar w:fldCharType="begin"/>
      </w:r>
      <w:r>
        <w:instrText xml:space="preserve"> PAGEREF _Toc77332257 \h </w:instrText>
      </w:r>
      <w:r>
        <w:fldChar w:fldCharType="separate"/>
      </w:r>
      <w:r>
        <w:t>12</w:t>
      </w:r>
      <w:r>
        <w:fldChar w:fldCharType="end"/>
      </w:r>
    </w:p>
    <w:p>
      <w:pPr>
        <w:pStyle w:val="TOC8"/>
        <w:rPr>
          <w:rFonts w:asciiTheme="minorHAnsi" w:eastAsiaTheme="minorEastAsia" w:hAnsiTheme="minorHAnsi" w:cstheme="minorBidi"/>
          <w:szCs w:val="22"/>
        </w:rPr>
      </w:pPr>
      <w:r>
        <w:lastRenderedPageBreak/>
        <w:t>13E.</w:t>
      </w:r>
      <w:r>
        <w:tab/>
        <w:t>Obligations relating to deposit or other amount payable under future lot contract</w:t>
      </w:r>
      <w:r>
        <w:tab/>
      </w:r>
      <w:r>
        <w:fldChar w:fldCharType="begin"/>
      </w:r>
      <w:r>
        <w:instrText xml:space="preserve"> PAGEREF _Toc77332258 \h </w:instrText>
      </w:r>
      <w:r>
        <w:fldChar w:fldCharType="separate"/>
      </w:r>
      <w:r>
        <w:t>13</w:t>
      </w:r>
      <w:r>
        <w:fldChar w:fldCharType="end"/>
      </w:r>
    </w:p>
    <w:p>
      <w:pPr>
        <w:pStyle w:val="TOC8"/>
        <w:rPr>
          <w:rFonts w:asciiTheme="minorHAnsi" w:eastAsiaTheme="minorEastAsia" w:hAnsiTheme="minorHAnsi" w:cstheme="minorBidi"/>
          <w:szCs w:val="22"/>
        </w:rPr>
      </w:pPr>
      <w:r>
        <w:t>13F.</w:t>
      </w:r>
      <w:r>
        <w:tab/>
        <w:t>Registrar of Titles may require audit of trust accounts</w:t>
      </w:r>
      <w:r>
        <w:tab/>
      </w:r>
      <w:r>
        <w:fldChar w:fldCharType="begin"/>
      </w:r>
      <w:r>
        <w:instrText xml:space="preserve"> PAGEREF _Toc77332259 \h </w:instrText>
      </w:r>
      <w:r>
        <w:fldChar w:fldCharType="separate"/>
      </w:r>
      <w:r>
        <w:t>15</w:t>
      </w:r>
      <w:r>
        <w:fldChar w:fldCharType="end"/>
      </w:r>
    </w:p>
    <w:p>
      <w:pPr>
        <w:pStyle w:val="TOC8"/>
        <w:rPr>
          <w:rFonts w:asciiTheme="minorHAnsi" w:eastAsiaTheme="minorEastAsia" w:hAnsiTheme="minorHAnsi" w:cstheme="minorBidi"/>
          <w:szCs w:val="22"/>
        </w:rPr>
      </w:pPr>
      <w:r>
        <w:t>13G.</w:t>
      </w:r>
      <w:r>
        <w:tab/>
        <w:t>All reasonable endeavours must be made to satisfy vendor’s condition</w:t>
      </w:r>
      <w:r>
        <w:tab/>
      </w:r>
      <w:r>
        <w:fldChar w:fldCharType="begin"/>
      </w:r>
      <w:r>
        <w:instrText xml:space="preserve"> PAGEREF _Toc77332260 \h </w:instrText>
      </w:r>
      <w:r>
        <w:fldChar w:fldCharType="separate"/>
      </w:r>
      <w:r>
        <w:t>15</w:t>
      </w:r>
      <w:r>
        <w:fldChar w:fldCharType="end"/>
      </w:r>
    </w:p>
    <w:p>
      <w:pPr>
        <w:pStyle w:val="TOC8"/>
        <w:rPr>
          <w:rFonts w:asciiTheme="minorHAnsi" w:eastAsiaTheme="minorEastAsia" w:hAnsiTheme="minorHAnsi" w:cstheme="minorBidi"/>
          <w:szCs w:val="22"/>
        </w:rPr>
      </w:pPr>
      <w:r>
        <w:t>13H.</w:t>
      </w:r>
      <w:r>
        <w:tab/>
        <w:t>Consequences if vendor’s condition is satisfied</w:t>
      </w:r>
      <w:r>
        <w:tab/>
      </w:r>
      <w:r>
        <w:fldChar w:fldCharType="begin"/>
      </w:r>
      <w:r>
        <w:instrText xml:space="preserve"> PAGEREF _Toc77332261 \h </w:instrText>
      </w:r>
      <w:r>
        <w:fldChar w:fldCharType="separate"/>
      </w:r>
      <w:r>
        <w:t>16</w:t>
      </w:r>
      <w:r>
        <w:fldChar w:fldCharType="end"/>
      </w:r>
    </w:p>
    <w:p>
      <w:pPr>
        <w:pStyle w:val="TOC8"/>
        <w:rPr>
          <w:rFonts w:asciiTheme="minorHAnsi" w:eastAsiaTheme="minorEastAsia" w:hAnsiTheme="minorHAnsi" w:cstheme="minorBidi"/>
          <w:szCs w:val="22"/>
        </w:rPr>
      </w:pPr>
      <w:r>
        <w:t>13I.</w:t>
      </w:r>
      <w:r>
        <w:tab/>
        <w:t>Consequences if vendor’s condition is not satisfied or is taken not to have been satisfied</w:t>
      </w:r>
      <w:r>
        <w:tab/>
      </w:r>
      <w:r>
        <w:fldChar w:fldCharType="begin"/>
      </w:r>
      <w:r>
        <w:instrText xml:space="preserve"> PAGEREF _Toc77332262 \h </w:instrText>
      </w:r>
      <w:r>
        <w:fldChar w:fldCharType="separate"/>
      </w:r>
      <w:r>
        <w:t>17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Restriction on sale of mortgaged subdivisional land</w:t>
      </w:r>
      <w:r>
        <w:tab/>
      </w:r>
      <w:r>
        <w:fldChar w:fldCharType="begin"/>
      </w:r>
      <w:r>
        <w:instrText xml:space="preserve"> PAGEREF _Toc77332263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Exemptions</w:t>
      </w:r>
      <w:r>
        <w:tab/>
      </w:r>
      <w:r>
        <w:fldChar w:fldCharType="begin"/>
      </w:r>
      <w:r>
        <w:instrText xml:space="preserve"> PAGEREF _Toc77332264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IV — Offences in relation to sale of land</w:t>
      </w:r>
    </w:p>
    <w:p>
      <w:pPr>
        <w:pStyle w:val="TOC8"/>
        <w:rPr>
          <w:rFonts w:asciiTheme="minorHAnsi" w:eastAsiaTheme="minorEastAsia" w:hAnsiTheme="minorHAnsi" w:cstheme="minorBidi"/>
          <w:szCs w:val="22"/>
        </w:rPr>
      </w:pPr>
      <w:r>
        <w:t>16</w:t>
      </w:r>
      <w:r>
        <w:rPr>
          <w:snapToGrid w:val="0"/>
        </w:rPr>
        <w:t>.</w:t>
      </w:r>
      <w:r>
        <w:rPr>
          <w:snapToGrid w:val="0"/>
        </w:rPr>
        <w:tab/>
        <w:t>Limitation on advertisement</w:t>
      </w:r>
      <w:r>
        <w:tab/>
      </w:r>
      <w:r>
        <w:fldChar w:fldCharType="begin"/>
      </w:r>
      <w:r>
        <w:instrText xml:space="preserve"> PAGEREF _Toc77332266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Misrepresentation concerning public amenity</w:t>
      </w:r>
      <w:r>
        <w:tab/>
      </w:r>
      <w:r>
        <w:fldChar w:fldCharType="begin"/>
      </w:r>
      <w:r>
        <w:instrText xml:space="preserve"> PAGEREF _Toc77332267 \h </w:instrText>
      </w:r>
      <w:r>
        <w:fldChar w:fldCharType="separate"/>
      </w:r>
      <w:r>
        <w:t>21</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House to house selling prohibited</w:t>
      </w:r>
      <w:r>
        <w:tab/>
      </w:r>
      <w:r>
        <w:fldChar w:fldCharType="begin"/>
      </w:r>
      <w:r>
        <w:instrText xml:space="preserve"> PAGEREF _Toc77332268 \h </w:instrText>
      </w:r>
      <w:r>
        <w:fldChar w:fldCharType="separate"/>
      </w:r>
      <w:r>
        <w:t>22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Remedy of purchaser on contravention of s. 18</w:t>
      </w:r>
      <w:r>
        <w:tab/>
      </w:r>
      <w:r>
        <w:fldChar w:fldCharType="begin"/>
      </w:r>
      <w:r>
        <w:instrText xml:space="preserve"> PAGEREF _Toc77332269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IVA — Dealings in undivided shares in land</w:t>
      </w:r>
    </w:p>
    <w:p>
      <w:pPr>
        <w:pStyle w:val="TOC8"/>
        <w:rPr>
          <w:rFonts w:asciiTheme="minorHAnsi" w:eastAsiaTheme="minorEastAsia" w:hAnsiTheme="minorHAnsi" w:cstheme="minorBidi"/>
          <w:szCs w:val="22"/>
        </w:rPr>
      </w:pPr>
      <w:r>
        <w:t>19A</w:t>
      </w:r>
      <w:r>
        <w:rPr>
          <w:snapToGrid w:val="0"/>
        </w:rPr>
        <w:t>.</w:t>
      </w:r>
      <w:r>
        <w:rPr>
          <w:snapToGrid w:val="0"/>
        </w:rPr>
        <w:tab/>
        <w:t>Interpretation, etc.</w:t>
      </w:r>
      <w:r>
        <w:tab/>
      </w:r>
      <w:r>
        <w:fldChar w:fldCharType="begin"/>
      </w:r>
      <w:r>
        <w:instrText xml:space="preserve"> PAGEREF _Toc77332271 \h </w:instrText>
      </w:r>
      <w:r>
        <w:fldChar w:fldCharType="separate"/>
      </w:r>
      <w:r>
        <w:t>23</w:t>
      </w:r>
      <w:r>
        <w:fldChar w:fldCharType="end"/>
      </w:r>
    </w:p>
    <w:p>
      <w:pPr>
        <w:pStyle w:val="TOC8"/>
        <w:rPr>
          <w:rFonts w:asciiTheme="minorHAnsi" w:eastAsiaTheme="minorEastAsia" w:hAnsiTheme="minorHAnsi" w:cstheme="minorBidi"/>
          <w:szCs w:val="22"/>
        </w:rPr>
      </w:pPr>
      <w:r>
        <w:t>19B</w:t>
      </w:r>
      <w:r>
        <w:rPr>
          <w:snapToGrid w:val="0"/>
        </w:rPr>
        <w:t>.</w:t>
      </w:r>
      <w:r>
        <w:rPr>
          <w:snapToGrid w:val="0"/>
        </w:rPr>
        <w:tab/>
        <w:t>Certain offers to the public prohibited</w:t>
      </w:r>
      <w:r>
        <w:tab/>
      </w:r>
      <w:r>
        <w:fldChar w:fldCharType="begin"/>
      </w:r>
      <w:r>
        <w:instrText xml:space="preserve"> PAGEREF _Toc77332272 \h </w:instrText>
      </w:r>
      <w:r>
        <w:fldChar w:fldCharType="separate"/>
      </w:r>
      <w:r>
        <w:t>25</w:t>
      </w:r>
      <w:r>
        <w:fldChar w:fldCharType="end"/>
      </w:r>
    </w:p>
    <w:p>
      <w:pPr>
        <w:pStyle w:val="TOC8"/>
        <w:rPr>
          <w:rFonts w:asciiTheme="minorHAnsi" w:eastAsiaTheme="minorEastAsia" w:hAnsiTheme="minorHAnsi" w:cstheme="minorBidi"/>
          <w:szCs w:val="22"/>
        </w:rPr>
      </w:pPr>
      <w:r>
        <w:t>19C</w:t>
      </w:r>
      <w:r>
        <w:rPr>
          <w:snapToGrid w:val="0"/>
        </w:rPr>
        <w:t>.</w:t>
      </w:r>
      <w:r>
        <w:rPr>
          <w:snapToGrid w:val="0"/>
        </w:rPr>
        <w:tab/>
        <w:t>Transitional provision</w:t>
      </w:r>
      <w:r>
        <w:tab/>
      </w:r>
      <w:r>
        <w:fldChar w:fldCharType="begin"/>
      </w:r>
      <w:r>
        <w:instrText xml:space="preserve"> PAGEREF _Toc77332273 \h </w:instrText>
      </w:r>
      <w:r>
        <w:fldChar w:fldCharType="separate"/>
      </w:r>
      <w:r>
        <w:t>27</w:t>
      </w:r>
      <w:r>
        <w:fldChar w:fldCharType="end"/>
      </w:r>
    </w:p>
    <w:p>
      <w:pPr>
        <w:pStyle w:val="TOC8"/>
        <w:rPr>
          <w:rFonts w:asciiTheme="minorHAnsi" w:eastAsiaTheme="minorEastAsia" w:hAnsiTheme="minorHAnsi" w:cstheme="minorBidi"/>
          <w:szCs w:val="22"/>
        </w:rPr>
      </w:pPr>
      <w:r>
        <w:t>19D</w:t>
      </w:r>
      <w:r>
        <w:rPr>
          <w:snapToGrid w:val="0"/>
        </w:rPr>
        <w:t>.</w:t>
      </w:r>
      <w:r>
        <w:rPr>
          <w:snapToGrid w:val="0"/>
        </w:rPr>
        <w:tab/>
        <w:t>Rescission</w:t>
      </w:r>
      <w:r>
        <w:tab/>
      </w:r>
      <w:r>
        <w:fldChar w:fldCharType="begin"/>
      </w:r>
      <w:r>
        <w:instrText xml:space="preserve"> PAGEREF _Toc77332274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Part V — Application to the Court by vendor or purchaser</w:t>
      </w:r>
    </w:p>
    <w:p>
      <w:pPr>
        <w:pStyle w:val="TOC8"/>
        <w:rPr>
          <w:rFonts w:asciiTheme="minorHAnsi" w:eastAsiaTheme="minorEastAsia" w:hAnsiTheme="minorHAnsi" w:cstheme="minorBidi"/>
          <w:szCs w:val="22"/>
        </w:rPr>
      </w:pPr>
      <w:r>
        <w:t>20</w:t>
      </w:r>
      <w:r>
        <w:rPr>
          <w:snapToGrid w:val="0"/>
        </w:rPr>
        <w:t>.</w:t>
      </w:r>
      <w:r>
        <w:rPr>
          <w:snapToGrid w:val="0"/>
        </w:rPr>
        <w:tab/>
        <w:t>Application to Court</w:t>
      </w:r>
      <w:r>
        <w:tab/>
      </w:r>
      <w:r>
        <w:fldChar w:fldCharType="begin"/>
      </w:r>
      <w:r>
        <w:instrText xml:space="preserve"> PAGEREF _Toc77332276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Part VI — Rules relating to title of general law land</w:t>
      </w:r>
    </w:p>
    <w:p>
      <w:pPr>
        <w:pStyle w:val="TOC8"/>
        <w:rPr>
          <w:rFonts w:asciiTheme="minorHAnsi" w:eastAsiaTheme="minorEastAsia" w:hAnsiTheme="minorHAnsi" w:cstheme="minorBidi"/>
          <w:szCs w:val="22"/>
        </w:rPr>
      </w:pPr>
      <w:r>
        <w:t>21</w:t>
      </w:r>
      <w:r>
        <w:rPr>
          <w:snapToGrid w:val="0"/>
        </w:rPr>
        <w:t>.</w:t>
      </w:r>
      <w:r>
        <w:rPr>
          <w:snapToGrid w:val="0"/>
        </w:rPr>
        <w:tab/>
        <w:t>Application of this Part</w:t>
      </w:r>
      <w:r>
        <w:tab/>
      </w:r>
      <w:r>
        <w:fldChar w:fldCharType="begin"/>
      </w:r>
      <w:r>
        <w:instrText xml:space="preserve"> PAGEREF _Toc77332278 \h </w:instrText>
      </w:r>
      <w:r>
        <w:fldChar w:fldCharType="separate"/>
      </w:r>
      <w:r>
        <w:t>30</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Thirty years title substituted for 40 years</w:t>
      </w:r>
      <w:r>
        <w:tab/>
      </w:r>
      <w:r>
        <w:fldChar w:fldCharType="begin"/>
      </w:r>
      <w:r>
        <w:instrText xml:space="preserve"> PAGEREF _Toc77332279 \h </w:instrText>
      </w:r>
      <w:r>
        <w:fldChar w:fldCharType="separate"/>
      </w:r>
      <w:r>
        <w:t>30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Rights of vendor and purchaser as to title</w:t>
      </w:r>
      <w:r>
        <w:tab/>
      </w:r>
      <w:r>
        <w:fldChar w:fldCharType="begin"/>
      </w:r>
      <w:r>
        <w:instrText xml:space="preserve"> PAGEREF _Toc77332280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 xml:space="preserve">Part VII — Transitional provisions for </w:t>
      </w:r>
      <w:r>
        <w:rPr>
          <w:i/>
        </w:rPr>
        <w:t>Sale of Land Amendment Act 2016</w:t>
      </w:r>
    </w:p>
    <w:p>
      <w:pPr>
        <w:pStyle w:val="TOC8"/>
        <w:rPr>
          <w:rFonts w:asciiTheme="minorHAnsi" w:eastAsiaTheme="minorEastAsia" w:hAnsiTheme="minorHAnsi" w:cstheme="minorBidi"/>
          <w:szCs w:val="22"/>
        </w:rPr>
      </w:pPr>
      <w:r>
        <w:t>24.</w:t>
      </w:r>
      <w:r>
        <w:tab/>
        <w:t xml:space="preserve">Transitional provisions for </w:t>
      </w:r>
      <w:r>
        <w:rPr>
          <w:i/>
        </w:rPr>
        <w:t>Sale of Land Amendment Act 2016</w:t>
      </w:r>
      <w:r>
        <w:tab/>
      </w:r>
      <w:r>
        <w:fldChar w:fldCharType="begin"/>
      </w:r>
      <w:r>
        <w:instrText xml:space="preserve"> PAGEREF _Toc77332282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_Toc77332284 \h </w:instrText>
      </w:r>
      <w:r>
        <w:fldChar w:fldCharType="separate"/>
      </w:r>
      <w:r>
        <w:t>33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_Toc77332285 \h </w:instrText>
      </w:r>
      <w:r>
        <w:fldChar w:fldCharType="separate"/>
      </w:r>
      <w:r>
        <w:t>35</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_Toc77332286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3" w:name="_Toc77248102"/>
      <w:bookmarkStart w:id="4" w:name="_Toc77248238"/>
      <w:bookmarkStart w:id="5" w:name="_Toc77332241"/>
      <w:r>
        <w:rPr>
          <w:rStyle w:val="CharPartNo"/>
        </w:rPr>
        <w:lastRenderedPageBreak/>
        <w:t>Part I</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pPr>
        <w:pStyle w:val="Heading5"/>
        <w:rPr>
          <w:snapToGrid w:val="0"/>
        </w:rPr>
      </w:pPr>
      <w:bookmarkStart w:id="6" w:name="_Toc77332242"/>
      <w:r>
        <w:rPr>
          <w:rStyle w:val="CharSectno"/>
        </w:rPr>
        <w:t>1</w:t>
      </w:r>
      <w:r>
        <w:rPr>
          <w:snapToGrid w:val="0"/>
        </w:rPr>
        <w:t>.</w:t>
      </w:r>
      <w:r>
        <w:rPr>
          <w:snapToGrid w:val="0"/>
        </w:rPr>
        <w:tab/>
        <w:t>Short title</w:t>
      </w:r>
      <w:bookmarkEnd w:id="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pPr>
        <w:pStyle w:val="Heading5"/>
        <w:rPr>
          <w:snapToGrid w:val="0"/>
        </w:rPr>
      </w:pPr>
      <w:bookmarkStart w:id="7" w:name="_Toc77332243"/>
      <w:r>
        <w:rPr>
          <w:rStyle w:val="CharSectno"/>
        </w:rPr>
        <w:t>2</w:t>
      </w:r>
      <w:r>
        <w:rPr>
          <w:snapToGrid w:val="0"/>
        </w:rPr>
        <w:t>.</w:t>
      </w:r>
      <w:r>
        <w:rPr>
          <w:snapToGrid w:val="0"/>
        </w:rPr>
        <w:tab/>
        <w:t>Commencement</w:t>
      </w:r>
      <w:bookmarkEnd w:id="7"/>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Ednotesection"/>
      </w:pPr>
      <w:r>
        <w:t>[</w:t>
      </w:r>
      <w:r>
        <w:rPr>
          <w:b/>
        </w:rPr>
        <w:t>4.</w:t>
      </w:r>
      <w:r>
        <w:tab/>
        <w:t>Omitted under the Reprints Act 1984 s. 7(4)(f).]</w:t>
      </w:r>
    </w:p>
    <w:p>
      <w:pPr>
        <w:pStyle w:val="Heading5"/>
        <w:rPr>
          <w:snapToGrid w:val="0"/>
        </w:rPr>
      </w:pPr>
      <w:bookmarkStart w:id="8" w:name="_Toc77332244"/>
      <w:r>
        <w:rPr>
          <w:rStyle w:val="CharSectno"/>
        </w:rPr>
        <w:t>5</w:t>
      </w:r>
      <w:r>
        <w:rPr>
          <w:snapToGrid w:val="0"/>
        </w:rPr>
        <w:t>.</w:t>
      </w:r>
      <w:r>
        <w:rPr>
          <w:snapToGrid w:val="0"/>
        </w:rPr>
        <w:tab/>
        <w:t>Interpretation</w:t>
      </w:r>
      <w:bookmarkEnd w:id="8"/>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lastRenderedPageBreak/>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9" w:name="_Toc77248106"/>
      <w:bookmarkStart w:id="10" w:name="_Toc77248242"/>
      <w:bookmarkStart w:id="11" w:name="_Toc77332245"/>
      <w:r>
        <w:rPr>
          <w:rStyle w:val="CharPartNo"/>
        </w:rPr>
        <w:lastRenderedPageBreak/>
        <w:t>Part II</w:t>
      </w:r>
      <w:r>
        <w:rPr>
          <w:rStyle w:val="CharDivNo"/>
        </w:rPr>
        <w:t> </w:t>
      </w:r>
      <w:r>
        <w:t>—</w:t>
      </w:r>
      <w:r>
        <w:rPr>
          <w:rStyle w:val="CharDivText"/>
        </w:rPr>
        <w:t> </w:t>
      </w:r>
      <w:r>
        <w:rPr>
          <w:rStyle w:val="CharPartText"/>
        </w:rPr>
        <w:t>Sale of land under terms contract</w:t>
      </w:r>
      <w:bookmarkEnd w:id="9"/>
      <w:bookmarkEnd w:id="10"/>
      <w:bookmarkEnd w:id="11"/>
      <w:r>
        <w:rPr>
          <w:rStyle w:val="CharPartText"/>
        </w:rPr>
        <w:t xml:space="preserve"> </w:t>
      </w:r>
    </w:p>
    <w:p>
      <w:pPr>
        <w:pStyle w:val="Heading5"/>
        <w:rPr>
          <w:snapToGrid w:val="0"/>
        </w:rPr>
      </w:pPr>
      <w:bookmarkStart w:id="12" w:name="_Toc77332246"/>
      <w:r>
        <w:rPr>
          <w:rStyle w:val="CharSectno"/>
        </w:rPr>
        <w:t>6</w:t>
      </w:r>
      <w:r>
        <w:rPr>
          <w:snapToGrid w:val="0"/>
        </w:rPr>
        <w:t>.</w:t>
      </w:r>
      <w:r>
        <w:rPr>
          <w:snapToGrid w:val="0"/>
        </w:rPr>
        <w:tab/>
        <w:t>Restriction on rescission</w:t>
      </w:r>
      <w:bookmarkEnd w:id="12"/>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13" w:name="_Toc77332247"/>
      <w:r>
        <w:rPr>
          <w:rStyle w:val="CharSectno"/>
        </w:rPr>
        <w:t>7</w:t>
      </w:r>
      <w:r>
        <w:rPr>
          <w:snapToGrid w:val="0"/>
        </w:rPr>
        <w:t>.</w:t>
      </w:r>
      <w:r>
        <w:rPr>
          <w:snapToGrid w:val="0"/>
        </w:rPr>
        <w:tab/>
        <w:t>Notification of condition of title</w:t>
      </w:r>
      <w:bookmarkEnd w:id="13"/>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lastRenderedPageBreak/>
        <w:tab/>
      </w:r>
      <w:r>
        <w:rPr>
          <w:rStyle w:val="CharDefText"/>
        </w:rPr>
        <w:t>notice in writing</w:t>
      </w:r>
      <w:r>
        <w:t xml:space="preserve"> includes a statement that is clearly contained in the contract.</w:t>
      </w:r>
    </w:p>
    <w:p>
      <w:pPr>
        <w:pStyle w:val="Footnotesection"/>
      </w:pPr>
      <w:r>
        <w:tab/>
        <w:t xml:space="preserve">[Section 7 amended: No. 81 of 1996 s. 153(1); No. 59 of 2004 s. 141; No. 38 of 2016 s. 4.] </w:t>
      </w:r>
    </w:p>
    <w:p>
      <w:pPr>
        <w:pStyle w:val="Heading5"/>
        <w:rPr>
          <w:snapToGrid w:val="0"/>
        </w:rPr>
      </w:pPr>
      <w:bookmarkStart w:id="14" w:name="_Toc77332248"/>
      <w:r>
        <w:rPr>
          <w:rStyle w:val="CharSectno"/>
        </w:rPr>
        <w:t>8</w:t>
      </w:r>
      <w:r>
        <w:rPr>
          <w:snapToGrid w:val="0"/>
        </w:rPr>
        <w:t>.</w:t>
      </w:r>
      <w:r>
        <w:rPr>
          <w:snapToGrid w:val="0"/>
        </w:rPr>
        <w:tab/>
        <w:t>Limitation on encumbrances</w:t>
      </w:r>
      <w:bookmarkEnd w:id="14"/>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 xml:space="preserve">[Section 8 amended: No. 38 of 2016 s. 5.] </w:t>
      </w:r>
    </w:p>
    <w:p>
      <w:pPr>
        <w:pStyle w:val="Heading5"/>
        <w:rPr>
          <w:snapToGrid w:val="0"/>
        </w:rPr>
      </w:pPr>
      <w:bookmarkStart w:id="15" w:name="_Toc77332249"/>
      <w:r>
        <w:rPr>
          <w:rStyle w:val="CharSectno"/>
        </w:rPr>
        <w:t>9</w:t>
      </w:r>
      <w:r>
        <w:rPr>
          <w:snapToGrid w:val="0"/>
        </w:rPr>
        <w:t>.</w:t>
      </w:r>
      <w:r>
        <w:rPr>
          <w:snapToGrid w:val="0"/>
        </w:rPr>
        <w:tab/>
        <w:t>Power of Court on application for leave to encumber the land</w:t>
      </w:r>
      <w:bookmarkEnd w:id="15"/>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16" w:name="_Toc77332250"/>
      <w:r>
        <w:rPr>
          <w:rStyle w:val="CharSectno"/>
        </w:rPr>
        <w:t>10</w:t>
      </w:r>
      <w:r>
        <w:rPr>
          <w:snapToGrid w:val="0"/>
        </w:rPr>
        <w:t>.</w:t>
      </w:r>
      <w:r>
        <w:rPr>
          <w:snapToGrid w:val="0"/>
        </w:rPr>
        <w:tab/>
        <w:t>Remedy of purchaser on contravention by vendor</w:t>
      </w:r>
      <w:bookmarkEnd w:id="16"/>
      <w:r>
        <w:rPr>
          <w:snapToGrid w:val="0"/>
        </w:rPr>
        <w:t xml:space="preserve"> </w:t>
      </w:r>
    </w:p>
    <w:p>
      <w:pPr>
        <w:pStyle w:val="Subsection"/>
        <w:rPr>
          <w:snapToGrid w:val="0"/>
        </w:rPr>
      </w:pPr>
      <w:r>
        <w:rPr>
          <w:snapToGrid w:val="0"/>
        </w:rPr>
        <w:tab/>
      </w:r>
      <w:r>
        <w:rPr>
          <w:snapToGrid w:val="0"/>
        </w:rPr>
        <w:tab/>
        <w:t xml:space="preserve">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w:t>
      </w:r>
      <w:r>
        <w:rPr>
          <w:snapToGrid w:val="0"/>
        </w:rPr>
        <w:lastRenderedPageBreak/>
        <w:t>exercised or made had it been alleged and established that the contract had been induced by fraudulent misrepresentation.</w:t>
      </w:r>
    </w:p>
    <w:p>
      <w:pPr>
        <w:pStyle w:val="Heading2"/>
      </w:pPr>
      <w:bookmarkStart w:id="17" w:name="_Toc77248112"/>
      <w:bookmarkStart w:id="18" w:name="_Toc77248248"/>
      <w:bookmarkStart w:id="19" w:name="_Toc77332251"/>
      <w:r>
        <w:rPr>
          <w:rStyle w:val="CharPartNo"/>
        </w:rPr>
        <w:lastRenderedPageBreak/>
        <w:t>Part III</w:t>
      </w:r>
      <w:r>
        <w:rPr>
          <w:rStyle w:val="CharDivNo"/>
        </w:rPr>
        <w:t> </w:t>
      </w:r>
      <w:r>
        <w:t>—</w:t>
      </w:r>
      <w:r>
        <w:rPr>
          <w:rStyle w:val="CharDivText"/>
        </w:rPr>
        <w:t> </w:t>
      </w:r>
      <w:r>
        <w:rPr>
          <w:rStyle w:val="CharPartText"/>
        </w:rPr>
        <w:t>Restrictions on sale of subdivisional land</w:t>
      </w:r>
      <w:bookmarkEnd w:id="17"/>
      <w:bookmarkEnd w:id="18"/>
      <w:bookmarkEnd w:id="19"/>
      <w:r>
        <w:rPr>
          <w:rStyle w:val="CharPartText"/>
        </w:rPr>
        <w:t xml:space="preserve"> </w:t>
      </w:r>
    </w:p>
    <w:p>
      <w:pPr>
        <w:pStyle w:val="Heading5"/>
        <w:spacing w:before="180"/>
        <w:rPr>
          <w:snapToGrid w:val="0"/>
        </w:rPr>
      </w:pPr>
      <w:bookmarkStart w:id="20" w:name="_Toc77332252"/>
      <w:r>
        <w:rPr>
          <w:rStyle w:val="CharSectno"/>
        </w:rPr>
        <w:t>11</w:t>
      </w:r>
      <w:r>
        <w:rPr>
          <w:snapToGrid w:val="0"/>
        </w:rPr>
        <w:t>.</w:t>
      </w:r>
      <w:r>
        <w:rPr>
          <w:snapToGrid w:val="0"/>
        </w:rPr>
        <w:tab/>
        <w:t>Interpretation</w:t>
      </w:r>
      <w:bookmarkEnd w:id="20"/>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means —</w:t>
      </w:r>
    </w:p>
    <w:p>
      <w:pPr>
        <w:pStyle w:val="Defpara"/>
      </w:pPr>
      <w:r>
        <w:tab/>
        <w:t>(a)</w:t>
      </w:r>
      <w:r>
        <w:tab/>
        <w:t>a lot within the meaning of —</w:t>
      </w:r>
    </w:p>
    <w:p>
      <w:pPr>
        <w:pStyle w:val="Defsubpara"/>
      </w:pPr>
      <w:r>
        <w:tab/>
        <w:t>(i)</w:t>
      </w:r>
      <w:r>
        <w:tab/>
        <w:t xml:space="preserve">the </w:t>
      </w:r>
      <w:r>
        <w:rPr>
          <w:i/>
        </w:rPr>
        <w:t>Planning and Development Act 2005</w:t>
      </w:r>
      <w:r>
        <w:t>; or</w:t>
      </w:r>
    </w:p>
    <w:p>
      <w:pPr>
        <w:pStyle w:val="Defsubpara"/>
      </w:pPr>
      <w:r>
        <w:tab/>
        <w:t>(ii)</w:t>
      </w:r>
      <w:r>
        <w:tab/>
        <w:t xml:space="preserve">the </w:t>
      </w:r>
      <w:r>
        <w:rPr>
          <w:i/>
        </w:rPr>
        <w:t>Community Titles Act 2018</w:t>
      </w:r>
      <w:r>
        <w:t>; or</w:t>
      </w:r>
    </w:p>
    <w:p>
      <w:pPr>
        <w:pStyle w:val="Defsubpara"/>
      </w:pPr>
      <w:r>
        <w:tab/>
        <w:t>(iii)</w:t>
      </w:r>
      <w:r>
        <w:tab/>
        <w:t xml:space="preserve">the </w:t>
      </w:r>
      <w:r>
        <w:rPr>
          <w:i/>
        </w:rPr>
        <w:t>Strata Titles Act 1985</w:t>
      </w:r>
      <w:r>
        <w:t xml:space="preserve">; </w:t>
      </w:r>
    </w:p>
    <w:p>
      <w:pPr>
        <w:pStyle w:val="Defpara"/>
      </w:pPr>
      <w:r>
        <w:tab/>
      </w:r>
      <w:r>
        <w:tab/>
        <w:t>or</w:t>
      </w:r>
    </w:p>
    <w:p>
      <w:pPr>
        <w:pStyle w:val="Defpara"/>
      </w:pPr>
      <w:r>
        <w:lastRenderedPageBreak/>
        <w:tab/>
        <w:t>(b)</w:t>
      </w:r>
      <w:r>
        <w:tab/>
        <w:t>an area of land represented, by or on behalf of a person attempting to promote the sale of the area of land, to be an area of land that will constitute a lot in a subdivision or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subdivision</w:t>
      </w:r>
      <w:r>
        <w:t xml:space="preserve"> means an area of land subdivided into lots;</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 No. 38 of 2005 s. 15; No. 38 of 2016 s. 6; No. 30 of 2018 s. 186; No. 32 of 2018 s. 244.]</w:t>
      </w:r>
    </w:p>
    <w:p>
      <w:pPr>
        <w:pStyle w:val="Ednotesection"/>
        <w:spacing w:before="180"/>
        <w:ind w:left="890" w:hanging="890"/>
      </w:pPr>
      <w:r>
        <w:t>[</w:t>
      </w:r>
      <w:r>
        <w:rPr>
          <w:b/>
        </w:rPr>
        <w:t>12.</w:t>
      </w:r>
      <w:r>
        <w:tab/>
        <w:t xml:space="preserve">Deleted: No. 40 of 1985 s. 4.] </w:t>
      </w:r>
    </w:p>
    <w:p>
      <w:pPr>
        <w:pStyle w:val="Heading5"/>
        <w:spacing w:before="180"/>
        <w:rPr>
          <w:snapToGrid w:val="0"/>
        </w:rPr>
      </w:pPr>
      <w:bookmarkStart w:id="21" w:name="_Toc77332253"/>
      <w:r>
        <w:rPr>
          <w:rStyle w:val="CharSectno"/>
        </w:rPr>
        <w:lastRenderedPageBreak/>
        <w:t>13</w:t>
      </w:r>
      <w:r>
        <w:rPr>
          <w:snapToGrid w:val="0"/>
        </w:rPr>
        <w:t>.</w:t>
      </w:r>
      <w:r>
        <w:rPr>
          <w:snapToGrid w:val="0"/>
        </w:rPr>
        <w:tab/>
        <w:t>Restriction on sale of subdivisional land</w:t>
      </w:r>
      <w:bookmarkEnd w:id="21"/>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w:t>
      </w:r>
      <w:r>
        <w:t>subdivision</w:t>
      </w:r>
      <w:r>
        <w:rPr>
          <w:snapToGrid w:val="0"/>
        </w:rPr>
        <w:t xml:space="preserve">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lastRenderedPageBreak/>
        <w:tab/>
        <w:t xml:space="preserve">[Section 13 amended: No. 40 of 1985 s. 5; No. 81 of 1996 s. 153(1) and (2); No. 60 of 2006 s. 157; No. 38 of 2016 s. 7; No. 32 of 2018 s. 245.] </w:t>
      </w:r>
    </w:p>
    <w:p>
      <w:pPr>
        <w:pStyle w:val="Heading5"/>
      </w:pPr>
      <w:bookmarkStart w:id="22" w:name="_Toc77332254"/>
      <w:r>
        <w:rPr>
          <w:rStyle w:val="CharSectno"/>
        </w:rPr>
        <w:t>13A</w:t>
      </w:r>
      <w:r>
        <w:t>.</w:t>
      </w:r>
      <w:r>
        <w:tab/>
        <w:t>Relationship between section 13 and sections 13B to 13D</w:t>
      </w:r>
      <w:bookmarkEnd w:id="22"/>
    </w:p>
    <w:p>
      <w:pPr>
        <w:pStyle w:val="Subsection"/>
      </w:pPr>
      <w:r>
        <w:tab/>
      </w:r>
      <w:r>
        <w:tab/>
        <w:t>Despite section 13, a person may sell one or more lots under a future lot contract as long as sections 13B to 13D are complied with.</w:t>
      </w:r>
    </w:p>
    <w:p>
      <w:pPr>
        <w:pStyle w:val="Footnotesection"/>
      </w:pPr>
      <w:r>
        <w:tab/>
        <w:t xml:space="preserve">[Section 13A inserted: No. 38 of 2016 s. 8.] </w:t>
      </w:r>
    </w:p>
    <w:p>
      <w:pPr>
        <w:pStyle w:val="Heading5"/>
      </w:pPr>
      <w:bookmarkStart w:id="23" w:name="_Toc77332255"/>
      <w:r>
        <w:rPr>
          <w:rStyle w:val="CharSectno"/>
        </w:rPr>
        <w:t>13B</w:t>
      </w:r>
      <w:r>
        <w:t>.</w:t>
      </w:r>
      <w:r>
        <w:tab/>
        <w:t>Requirement for future lot contract to include vendor’s condition</w:t>
      </w:r>
      <w:bookmarkEnd w:id="23"/>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lastRenderedPageBreak/>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r>
        <w:tab/>
        <w:t xml:space="preserve">[Section 13B inserted: No. 38 of 2016 s. 8.] </w:t>
      </w:r>
    </w:p>
    <w:p>
      <w:pPr>
        <w:pStyle w:val="Heading5"/>
      </w:pPr>
      <w:bookmarkStart w:id="24" w:name="_Toc77332256"/>
      <w:r>
        <w:rPr>
          <w:rStyle w:val="CharSectno"/>
        </w:rPr>
        <w:t>13C</w:t>
      </w:r>
      <w:r>
        <w:t>.</w:t>
      </w:r>
      <w:r>
        <w:tab/>
        <w:t>Requirement for future lot contract to include warning</w:t>
      </w:r>
      <w:bookmarkEnd w:id="24"/>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lastRenderedPageBreak/>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r>
        <w:tab/>
        <w:t xml:space="preserve">[Section 13C inserted: No. 38 of 2016 s. 8.] </w:t>
      </w:r>
    </w:p>
    <w:p>
      <w:pPr>
        <w:pStyle w:val="Heading5"/>
      </w:pPr>
      <w:bookmarkStart w:id="25" w:name="_Toc77332257"/>
      <w:r>
        <w:rPr>
          <w:rStyle w:val="CharSectno"/>
        </w:rPr>
        <w:t>13D</w:t>
      </w:r>
      <w:r>
        <w:t>.</w:t>
      </w:r>
      <w:r>
        <w:tab/>
        <w:t>Requirement for future lot contract to provide that deposit or other amount payable by purchaser must be paid to deposit holder</w:t>
      </w:r>
      <w:bookmarkEnd w:id="25"/>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keepNext/>
      </w:pPr>
      <w:r>
        <w:lastRenderedPageBreak/>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r>
        <w:tab/>
        <w:t xml:space="preserve">[Section 13D inserted: No. 38 of 2016 s. 8.] </w:t>
      </w:r>
    </w:p>
    <w:p>
      <w:pPr>
        <w:pStyle w:val="Heading5"/>
      </w:pPr>
      <w:bookmarkStart w:id="26" w:name="_Toc77332258"/>
      <w:r>
        <w:rPr>
          <w:rStyle w:val="CharSectno"/>
        </w:rPr>
        <w:t>13E</w:t>
      </w:r>
      <w:r>
        <w:t>.</w:t>
      </w:r>
      <w:r>
        <w:tab/>
        <w:t>Obligations relating to deposit or other amount payable under future lot contract</w:t>
      </w:r>
      <w:bookmarkEnd w:id="26"/>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lastRenderedPageBreak/>
        <w:tab/>
        <w:t>(b)</w:t>
      </w:r>
      <w:r>
        <w:tab/>
        <w:t>arrange for the trust account to be audited when required under section 13F(1); and</w:t>
      </w:r>
    </w:p>
    <w:p>
      <w:pPr>
        <w:pStyle w:val="Indenta"/>
        <w:keepNext/>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r>
        <w:tab/>
        <w:t xml:space="preserve">[Section 13E inserted: No. 38 of 2016 s. 8.] </w:t>
      </w:r>
    </w:p>
    <w:p>
      <w:pPr>
        <w:pStyle w:val="Heading5"/>
      </w:pPr>
      <w:bookmarkStart w:id="27" w:name="_Toc77332259"/>
      <w:r>
        <w:rPr>
          <w:rStyle w:val="CharSectno"/>
        </w:rPr>
        <w:lastRenderedPageBreak/>
        <w:t>13F</w:t>
      </w:r>
      <w:r>
        <w:t>.</w:t>
      </w:r>
      <w:r>
        <w:tab/>
        <w:t>Registrar of Titles may require audit of trust accounts</w:t>
      </w:r>
      <w:bookmarkEnd w:id="27"/>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r>
        <w:tab/>
        <w:t xml:space="preserve">[Section 13F inserted: No. 38 of 2016 s. 8.] </w:t>
      </w:r>
    </w:p>
    <w:p>
      <w:pPr>
        <w:pStyle w:val="Heading5"/>
      </w:pPr>
      <w:bookmarkStart w:id="28" w:name="_Toc77332260"/>
      <w:r>
        <w:rPr>
          <w:rStyle w:val="CharSectno"/>
        </w:rPr>
        <w:t>13G</w:t>
      </w:r>
      <w:r>
        <w:t>.</w:t>
      </w:r>
      <w:r>
        <w:tab/>
        <w:t>All reasonable endeavours must be made to satisfy vendor’s condition</w:t>
      </w:r>
      <w:bookmarkEnd w:id="28"/>
    </w:p>
    <w:p>
      <w:pPr>
        <w:pStyle w:val="Subsection"/>
      </w:pPr>
      <w:r>
        <w:tab/>
        <w:t>(1)</w:t>
      </w:r>
      <w:r>
        <w:tab/>
        <w:t>A vendor and, if applicable, a purchaser must make all reasonable endeavours to ensure that the vendor can satisfy the vendor’s condition in a future lot contract.</w:t>
      </w:r>
    </w:p>
    <w:p>
      <w:pPr>
        <w:pStyle w:val="Subsection"/>
        <w:keepNext/>
      </w:pPr>
      <w:r>
        <w:lastRenderedPageBreak/>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r>
        <w:tab/>
        <w:t xml:space="preserve">[Section 13G inserted: No. 38 of 2016 s. 8.] </w:t>
      </w:r>
    </w:p>
    <w:p>
      <w:pPr>
        <w:pStyle w:val="Heading5"/>
      </w:pPr>
      <w:bookmarkStart w:id="29" w:name="_Toc77332261"/>
      <w:r>
        <w:rPr>
          <w:rStyle w:val="CharSectno"/>
        </w:rPr>
        <w:t>13H</w:t>
      </w:r>
      <w:r>
        <w:t>.</w:t>
      </w:r>
      <w:r>
        <w:tab/>
        <w:t>Consequences if vendor’s condition is satisfied</w:t>
      </w:r>
      <w:bookmarkEnd w:id="29"/>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r>
        <w:tab/>
        <w:t xml:space="preserve">[Section 13H inserted: No. 38 of 2016 s. 8.] </w:t>
      </w:r>
    </w:p>
    <w:p>
      <w:pPr>
        <w:pStyle w:val="Heading5"/>
      </w:pPr>
      <w:bookmarkStart w:id="30" w:name="_Toc77332262"/>
      <w:r>
        <w:rPr>
          <w:rStyle w:val="CharSectno"/>
        </w:rPr>
        <w:lastRenderedPageBreak/>
        <w:t>13I</w:t>
      </w:r>
      <w:r>
        <w:t>.</w:t>
      </w:r>
      <w:r>
        <w:tab/>
        <w:t>Consequences if vendor’s condition is not satisfied or is taken not to have been satisfied</w:t>
      </w:r>
      <w:bookmarkEnd w:id="30"/>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 xml:space="preserve">[Section 13I inserted: No. 38 of 2016 s. 8.] </w:t>
      </w:r>
    </w:p>
    <w:p>
      <w:pPr>
        <w:pStyle w:val="Heading5"/>
        <w:rPr>
          <w:snapToGrid w:val="0"/>
        </w:rPr>
      </w:pPr>
      <w:bookmarkStart w:id="31" w:name="_Toc77332263"/>
      <w:r>
        <w:rPr>
          <w:rStyle w:val="CharSectno"/>
        </w:rPr>
        <w:t>14</w:t>
      </w:r>
      <w:r>
        <w:rPr>
          <w:snapToGrid w:val="0"/>
        </w:rPr>
        <w:t>.</w:t>
      </w:r>
      <w:r>
        <w:rPr>
          <w:snapToGrid w:val="0"/>
        </w:rPr>
        <w:tab/>
        <w:t>Restriction on sale of mortgaged subdivisional land</w:t>
      </w:r>
      <w:bookmarkEnd w:id="31"/>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w:t>
      </w:r>
      <w:r>
        <w:t>subdivision</w:t>
      </w:r>
      <w:r>
        <w:rPr>
          <w:snapToGrid w:val="0"/>
        </w:rPr>
        <w:t xml:space="preserve">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w:t>
      </w:r>
      <w:r>
        <w:rPr>
          <w:snapToGrid w:val="0"/>
        </w:rPr>
        <w:lastRenderedPageBreak/>
        <w:t>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keepNext/>
        <w:rPr>
          <w:snapToGrid w:val="0"/>
        </w:rPr>
      </w:pPr>
      <w:r>
        <w:rPr>
          <w:snapToGrid w:val="0"/>
        </w:rPr>
        <w:lastRenderedPageBreak/>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No. 40 of 1985 s. 6; No. 65 of 2003 s. 64(2); No. 21 of 2008 s. 702; No. 38 of 2016 s. 9; No. 32 of 2018 s. 246.] </w:t>
      </w:r>
    </w:p>
    <w:p>
      <w:pPr>
        <w:pStyle w:val="Heading5"/>
        <w:rPr>
          <w:snapToGrid w:val="0"/>
        </w:rPr>
      </w:pPr>
      <w:bookmarkStart w:id="32" w:name="_Toc77332264"/>
      <w:r>
        <w:rPr>
          <w:rStyle w:val="CharSectno"/>
        </w:rPr>
        <w:t>15</w:t>
      </w:r>
      <w:r>
        <w:rPr>
          <w:snapToGrid w:val="0"/>
        </w:rPr>
        <w:t>.</w:t>
      </w:r>
      <w:r>
        <w:rPr>
          <w:snapToGrid w:val="0"/>
        </w:rPr>
        <w:tab/>
        <w:t>Exemptions</w:t>
      </w:r>
      <w:bookmarkEnd w:id="32"/>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xml:space="preserve">, exempt that person from those restrictions in respect of the sale </w:t>
      </w:r>
      <w:r>
        <w:rPr>
          <w:snapToGrid w:val="0"/>
        </w:rPr>
        <w:lastRenderedPageBreak/>
        <w:t>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No. 40 of 1985 s. 7.] </w:t>
      </w:r>
    </w:p>
    <w:p>
      <w:pPr>
        <w:pStyle w:val="Heading2"/>
      </w:pPr>
      <w:bookmarkStart w:id="33" w:name="_Toc77248126"/>
      <w:bookmarkStart w:id="34" w:name="_Toc77248262"/>
      <w:bookmarkStart w:id="35" w:name="_Toc77332265"/>
      <w:r>
        <w:rPr>
          <w:rStyle w:val="CharPartNo"/>
        </w:rPr>
        <w:lastRenderedPageBreak/>
        <w:t>Part IV</w:t>
      </w:r>
      <w:r>
        <w:rPr>
          <w:rStyle w:val="CharDivNo"/>
        </w:rPr>
        <w:t> </w:t>
      </w:r>
      <w:r>
        <w:t>—</w:t>
      </w:r>
      <w:r>
        <w:rPr>
          <w:rStyle w:val="CharDivText"/>
        </w:rPr>
        <w:t> </w:t>
      </w:r>
      <w:r>
        <w:rPr>
          <w:rStyle w:val="CharPartText"/>
        </w:rPr>
        <w:t>Offences in relation to sale of land</w:t>
      </w:r>
      <w:bookmarkEnd w:id="33"/>
      <w:bookmarkEnd w:id="34"/>
      <w:bookmarkEnd w:id="35"/>
      <w:r>
        <w:rPr>
          <w:rStyle w:val="CharPartText"/>
        </w:rPr>
        <w:t xml:space="preserve"> </w:t>
      </w:r>
    </w:p>
    <w:p>
      <w:pPr>
        <w:pStyle w:val="Heading5"/>
        <w:rPr>
          <w:snapToGrid w:val="0"/>
        </w:rPr>
      </w:pPr>
      <w:bookmarkStart w:id="36" w:name="_Toc77332266"/>
      <w:r>
        <w:rPr>
          <w:rStyle w:val="CharSectno"/>
        </w:rPr>
        <w:t>16</w:t>
      </w:r>
      <w:r>
        <w:rPr>
          <w:snapToGrid w:val="0"/>
        </w:rPr>
        <w:t>.</w:t>
      </w:r>
      <w:r>
        <w:rPr>
          <w:snapToGrid w:val="0"/>
        </w:rPr>
        <w:tab/>
        <w:t>Limitation on advertisement</w:t>
      </w:r>
      <w:bookmarkEnd w:id="36"/>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 xml:space="preserve">[Section 16 amended: No. 14 of 1996 s. 4; No. 38 of 2005 s. 15; No. 28 of 2010 s. 36; No. 38 of 2016 s. 10.] </w:t>
      </w:r>
    </w:p>
    <w:p>
      <w:pPr>
        <w:pStyle w:val="Heading5"/>
        <w:rPr>
          <w:snapToGrid w:val="0"/>
        </w:rPr>
      </w:pPr>
      <w:bookmarkStart w:id="37" w:name="_Toc77332267"/>
      <w:r>
        <w:rPr>
          <w:rStyle w:val="CharSectno"/>
        </w:rPr>
        <w:t>17</w:t>
      </w:r>
      <w:r>
        <w:rPr>
          <w:snapToGrid w:val="0"/>
        </w:rPr>
        <w:t>.</w:t>
      </w:r>
      <w:r>
        <w:rPr>
          <w:snapToGrid w:val="0"/>
        </w:rPr>
        <w:tab/>
        <w:t>Misrepresentation concerning public amenity</w:t>
      </w:r>
      <w:bookmarkEnd w:id="37"/>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lastRenderedPageBreak/>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No. 9 of 1973 s. 2; No. 38 of 2016 s. 11.] </w:t>
      </w:r>
    </w:p>
    <w:p>
      <w:pPr>
        <w:pStyle w:val="Heading5"/>
        <w:rPr>
          <w:snapToGrid w:val="0"/>
        </w:rPr>
      </w:pPr>
      <w:bookmarkStart w:id="38" w:name="_Toc77332268"/>
      <w:r>
        <w:rPr>
          <w:rStyle w:val="CharSectno"/>
        </w:rPr>
        <w:t>18</w:t>
      </w:r>
      <w:r>
        <w:rPr>
          <w:snapToGrid w:val="0"/>
        </w:rPr>
        <w:t>.</w:t>
      </w:r>
      <w:r>
        <w:rPr>
          <w:snapToGrid w:val="0"/>
        </w:rPr>
        <w:tab/>
        <w:t>House to house selling prohibited</w:t>
      </w:r>
      <w:bookmarkEnd w:id="38"/>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 xml:space="preserve">[Section 18 amended: No. 38 of 2016 s. 12.] </w:t>
      </w:r>
    </w:p>
    <w:p>
      <w:pPr>
        <w:pStyle w:val="Heading5"/>
        <w:rPr>
          <w:snapToGrid w:val="0"/>
        </w:rPr>
      </w:pPr>
      <w:bookmarkStart w:id="39" w:name="_Toc77332269"/>
      <w:r>
        <w:rPr>
          <w:rStyle w:val="CharSectno"/>
        </w:rPr>
        <w:t>19</w:t>
      </w:r>
      <w:r>
        <w:rPr>
          <w:snapToGrid w:val="0"/>
        </w:rPr>
        <w:t>.</w:t>
      </w:r>
      <w:r>
        <w:rPr>
          <w:snapToGrid w:val="0"/>
        </w:rPr>
        <w:tab/>
        <w:t>Remedy of purchaser on contravention of s. 18</w:t>
      </w:r>
      <w:bookmarkEnd w:id="39"/>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40" w:name="_Toc77248131"/>
      <w:bookmarkStart w:id="41" w:name="_Toc77248267"/>
      <w:bookmarkStart w:id="42" w:name="_Toc77332270"/>
      <w:r>
        <w:rPr>
          <w:rStyle w:val="CharPartNo"/>
        </w:rPr>
        <w:lastRenderedPageBreak/>
        <w:t>Part IVA</w:t>
      </w:r>
      <w:r>
        <w:rPr>
          <w:rStyle w:val="CharDivNo"/>
        </w:rPr>
        <w:t> </w:t>
      </w:r>
      <w:r>
        <w:t>—</w:t>
      </w:r>
      <w:r>
        <w:rPr>
          <w:rStyle w:val="CharDivText"/>
        </w:rPr>
        <w:t> </w:t>
      </w:r>
      <w:r>
        <w:rPr>
          <w:rStyle w:val="CharPartText"/>
        </w:rPr>
        <w:t>Dealings in undivided shares in land</w:t>
      </w:r>
      <w:bookmarkEnd w:id="40"/>
      <w:bookmarkEnd w:id="41"/>
      <w:bookmarkEnd w:id="42"/>
      <w:r>
        <w:rPr>
          <w:rStyle w:val="CharPartText"/>
        </w:rPr>
        <w:t xml:space="preserve"> </w:t>
      </w:r>
    </w:p>
    <w:p>
      <w:pPr>
        <w:pStyle w:val="Footnotesection"/>
        <w:spacing w:before="80"/>
        <w:ind w:left="890" w:hanging="890"/>
      </w:pPr>
      <w:r>
        <w:tab/>
        <w:t>[Heading inserted: No. 70 of 1974 s. 4.]</w:t>
      </w:r>
    </w:p>
    <w:p>
      <w:pPr>
        <w:pStyle w:val="Heading5"/>
        <w:spacing w:before="180"/>
        <w:rPr>
          <w:snapToGrid w:val="0"/>
        </w:rPr>
      </w:pPr>
      <w:bookmarkStart w:id="43" w:name="_Toc77332271"/>
      <w:r>
        <w:rPr>
          <w:rStyle w:val="CharSectno"/>
        </w:rPr>
        <w:t>19A</w:t>
      </w:r>
      <w:r>
        <w:rPr>
          <w:snapToGrid w:val="0"/>
        </w:rPr>
        <w:t>.</w:t>
      </w:r>
      <w:r>
        <w:rPr>
          <w:snapToGrid w:val="0"/>
        </w:rPr>
        <w:tab/>
        <w:t>Interpretation, etc.</w:t>
      </w:r>
      <w:bookmarkEnd w:id="43"/>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 xml:space="preserve">going from place to place, whether by appointment or otherwise, offering for purchase to the public or any member of the public, </w:t>
      </w:r>
      <w:r>
        <w:lastRenderedPageBreak/>
        <w:t>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 xml:space="preserve">the offeror is a body corporate that is, or the directors of which are, accustomed or under an obligation, whether formal or informal, to act in accordance with the directions, instructions or </w:t>
      </w:r>
      <w:r>
        <w:lastRenderedPageBreak/>
        <w:t>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No. 70 of 1974 s. 4; amended: No. 10 of 1982 s. 28; No. 20 of 2003 s. 43.] </w:t>
      </w:r>
    </w:p>
    <w:p>
      <w:pPr>
        <w:pStyle w:val="Heading5"/>
        <w:rPr>
          <w:snapToGrid w:val="0"/>
        </w:rPr>
      </w:pPr>
      <w:bookmarkStart w:id="44" w:name="_Toc77332272"/>
      <w:r>
        <w:rPr>
          <w:rStyle w:val="CharSectno"/>
        </w:rPr>
        <w:t>19B</w:t>
      </w:r>
      <w:r>
        <w:rPr>
          <w:snapToGrid w:val="0"/>
        </w:rPr>
        <w:t>.</w:t>
      </w:r>
      <w:r>
        <w:rPr>
          <w:snapToGrid w:val="0"/>
        </w:rPr>
        <w:tab/>
        <w:t>Certain offers to the public prohibited</w:t>
      </w:r>
      <w:bookmarkEnd w:id="44"/>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lastRenderedPageBreak/>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No. 70 of 1974 s. 5; amended: No. 10 of 1982 s. 28; No. 20 of 2003 s. 44; No. 84 of 2004 s. 80 and 82; No. 38 of 2016 s. 13.] </w:t>
      </w:r>
    </w:p>
    <w:p>
      <w:pPr>
        <w:pStyle w:val="Heading5"/>
        <w:rPr>
          <w:snapToGrid w:val="0"/>
        </w:rPr>
      </w:pPr>
      <w:bookmarkStart w:id="45" w:name="_Toc77332273"/>
      <w:r>
        <w:rPr>
          <w:rStyle w:val="CharSectno"/>
        </w:rPr>
        <w:lastRenderedPageBreak/>
        <w:t>19C</w:t>
      </w:r>
      <w:r>
        <w:rPr>
          <w:snapToGrid w:val="0"/>
        </w:rPr>
        <w:t>.</w:t>
      </w:r>
      <w:r>
        <w:rPr>
          <w:snapToGrid w:val="0"/>
        </w:rPr>
        <w:tab/>
        <w:t>Transitional provision</w:t>
      </w:r>
      <w:bookmarkEnd w:id="45"/>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 xml:space="preserve">Where a person who was the owner of an undivided share in land on 10 September 1974, satisfies the Minister that it would be unreasonable for the provisions of this Part to apply so as to restrict him from making offers or invitations relating to the </w:t>
      </w:r>
      <w:r>
        <w:rPr>
          <w:snapToGrid w:val="0"/>
        </w:rPr>
        <w:lastRenderedPageBreak/>
        <w:t>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No. 70 of 1974 s. 6.] </w:t>
      </w:r>
    </w:p>
    <w:p>
      <w:pPr>
        <w:pStyle w:val="Heading5"/>
        <w:rPr>
          <w:snapToGrid w:val="0"/>
        </w:rPr>
      </w:pPr>
      <w:bookmarkStart w:id="46" w:name="_Toc77332274"/>
      <w:r>
        <w:rPr>
          <w:rStyle w:val="CharSectno"/>
        </w:rPr>
        <w:t>19D</w:t>
      </w:r>
      <w:r>
        <w:rPr>
          <w:snapToGrid w:val="0"/>
        </w:rPr>
        <w:t>.</w:t>
      </w:r>
      <w:r>
        <w:rPr>
          <w:snapToGrid w:val="0"/>
        </w:rPr>
        <w:tab/>
        <w:t>Rescission</w:t>
      </w:r>
      <w:bookmarkEnd w:id="46"/>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No. 70 of 1974 s. 7.] </w:t>
      </w:r>
    </w:p>
    <w:p>
      <w:pPr>
        <w:pStyle w:val="Heading2"/>
      </w:pPr>
      <w:bookmarkStart w:id="47" w:name="_Toc77248136"/>
      <w:bookmarkStart w:id="48" w:name="_Toc77248272"/>
      <w:bookmarkStart w:id="49" w:name="_Toc77332275"/>
      <w:r>
        <w:rPr>
          <w:rStyle w:val="CharPartNo"/>
        </w:rPr>
        <w:lastRenderedPageBreak/>
        <w:t>Part V</w:t>
      </w:r>
      <w:r>
        <w:rPr>
          <w:rStyle w:val="CharDivNo"/>
        </w:rPr>
        <w:t> </w:t>
      </w:r>
      <w:r>
        <w:t>—</w:t>
      </w:r>
      <w:r>
        <w:rPr>
          <w:rStyle w:val="CharDivText"/>
        </w:rPr>
        <w:t> </w:t>
      </w:r>
      <w:r>
        <w:rPr>
          <w:rStyle w:val="CharPartText"/>
        </w:rPr>
        <w:t>Application to the Court by vendor or purchaser</w:t>
      </w:r>
      <w:bookmarkEnd w:id="47"/>
      <w:bookmarkEnd w:id="48"/>
      <w:bookmarkEnd w:id="49"/>
      <w:r>
        <w:rPr>
          <w:rStyle w:val="CharPartText"/>
        </w:rPr>
        <w:t xml:space="preserve"> </w:t>
      </w:r>
    </w:p>
    <w:p>
      <w:pPr>
        <w:pStyle w:val="Heading5"/>
        <w:rPr>
          <w:snapToGrid w:val="0"/>
        </w:rPr>
      </w:pPr>
      <w:bookmarkStart w:id="50" w:name="_Toc77332276"/>
      <w:r>
        <w:rPr>
          <w:rStyle w:val="CharSectno"/>
        </w:rPr>
        <w:t>20</w:t>
      </w:r>
      <w:r>
        <w:rPr>
          <w:snapToGrid w:val="0"/>
        </w:rPr>
        <w:t>.</w:t>
      </w:r>
      <w:r>
        <w:rPr>
          <w:snapToGrid w:val="0"/>
        </w:rPr>
        <w:tab/>
        <w:t>Application to Court</w:t>
      </w:r>
      <w:bookmarkEnd w:id="50"/>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51" w:name="_Toc77248138"/>
      <w:bookmarkStart w:id="52" w:name="_Toc77248274"/>
      <w:bookmarkStart w:id="53" w:name="_Toc77332277"/>
      <w:r>
        <w:rPr>
          <w:rStyle w:val="CharPartNo"/>
        </w:rPr>
        <w:lastRenderedPageBreak/>
        <w:t>Part VI</w:t>
      </w:r>
      <w:r>
        <w:rPr>
          <w:rStyle w:val="CharDivNo"/>
        </w:rPr>
        <w:t> </w:t>
      </w:r>
      <w:r>
        <w:t>—</w:t>
      </w:r>
      <w:r>
        <w:rPr>
          <w:rStyle w:val="CharDivText"/>
        </w:rPr>
        <w:t> </w:t>
      </w:r>
      <w:r>
        <w:rPr>
          <w:rStyle w:val="CharPartText"/>
        </w:rPr>
        <w:t>Rules relating to title of general law land</w:t>
      </w:r>
      <w:bookmarkEnd w:id="51"/>
      <w:bookmarkEnd w:id="52"/>
      <w:bookmarkEnd w:id="53"/>
      <w:r>
        <w:rPr>
          <w:rStyle w:val="CharPartText"/>
        </w:rPr>
        <w:t xml:space="preserve"> </w:t>
      </w:r>
    </w:p>
    <w:p>
      <w:pPr>
        <w:pStyle w:val="Heading5"/>
        <w:rPr>
          <w:snapToGrid w:val="0"/>
        </w:rPr>
      </w:pPr>
      <w:bookmarkStart w:id="54" w:name="_Toc77332278"/>
      <w:r>
        <w:rPr>
          <w:rStyle w:val="CharSectno"/>
        </w:rPr>
        <w:t>21</w:t>
      </w:r>
      <w:r>
        <w:rPr>
          <w:snapToGrid w:val="0"/>
        </w:rPr>
        <w:t>.</w:t>
      </w:r>
      <w:r>
        <w:rPr>
          <w:snapToGrid w:val="0"/>
        </w:rPr>
        <w:tab/>
        <w:t>Application of this Part</w:t>
      </w:r>
      <w:bookmarkEnd w:id="54"/>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55" w:name="_Toc77332279"/>
      <w:r>
        <w:rPr>
          <w:rStyle w:val="CharSectno"/>
        </w:rPr>
        <w:t>22</w:t>
      </w:r>
      <w:r>
        <w:rPr>
          <w:snapToGrid w:val="0"/>
        </w:rPr>
        <w:t>.</w:t>
      </w:r>
      <w:r>
        <w:rPr>
          <w:snapToGrid w:val="0"/>
        </w:rPr>
        <w:tab/>
        <w:t>Thirty years title substituted for 40 years</w:t>
      </w:r>
      <w:bookmarkEnd w:id="55"/>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56" w:name="_Toc77332280"/>
      <w:r>
        <w:rPr>
          <w:rStyle w:val="CharSectno"/>
        </w:rPr>
        <w:t>23</w:t>
      </w:r>
      <w:r>
        <w:rPr>
          <w:snapToGrid w:val="0"/>
        </w:rPr>
        <w:t>.</w:t>
      </w:r>
      <w:r>
        <w:rPr>
          <w:snapToGrid w:val="0"/>
        </w:rPr>
        <w:tab/>
        <w:t>Rights of vendor and purchaser as to title</w:t>
      </w:r>
      <w:bookmarkEnd w:id="56"/>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 xml:space="preserve">the inability of the vendor to furnish the purchaser with a legal covenant to produce and furnish copies of documents of title is not an objection to title where the </w:t>
      </w:r>
      <w:r>
        <w:rPr>
          <w:snapToGrid w:val="0"/>
        </w:rPr>
        <w:lastRenderedPageBreak/>
        <w:t>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57" w:name="_Toc77248142"/>
      <w:bookmarkStart w:id="58" w:name="_Toc77248278"/>
      <w:bookmarkStart w:id="59" w:name="_Toc77332281"/>
      <w:r>
        <w:rPr>
          <w:rStyle w:val="CharPartNo"/>
        </w:rPr>
        <w:lastRenderedPageBreak/>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57"/>
      <w:bookmarkEnd w:id="58"/>
      <w:bookmarkEnd w:id="59"/>
    </w:p>
    <w:p>
      <w:pPr>
        <w:pStyle w:val="Footnoteheading"/>
      </w:pPr>
      <w:r>
        <w:tab/>
        <w:t xml:space="preserve">[Heading inserted: No. 38 of 2016 s. 14.] </w:t>
      </w:r>
    </w:p>
    <w:p>
      <w:pPr>
        <w:pStyle w:val="Heading5"/>
      </w:pPr>
      <w:bookmarkStart w:id="60" w:name="_Toc77332282"/>
      <w:r>
        <w:rPr>
          <w:rStyle w:val="CharSectno"/>
        </w:rPr>
        <w:t>24</w:t>
      </w:r>
      <w:r>
        <w:t>.</w:t>
      </w:r>
      <w:r>
        <w:tab/>
        <w:t xml:space="preserve">Transitional provisions for </w:t>
      </w:r>
      <w:r>
        <w:rPr>
          <w:i/>
        </w:rPr>
        <w:t>Sale of Land Amendment Act 2016</w:t>
      </w:r>
      <w:bookmarkEnd w:id="60"/>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 xml:space="preserve">[Section 24 inserted: No. 38 of 2016 s. 14.] </w:t>
      </w:r>
    </w:p>
    <w:p>
      <w:pPr>
        <w:pStyle w:val="yEdnoteschedule"/>
      </w:pPr>
      <w:r>
        <w:t>[</w:t>
      </w:r>
      <w:r>
        <w:rPr>
          <w:bCs/>
        </w:rPr>
        <w:t>Schedule o</w:t>
      </w:r>
      <w:r>
        <w:t>mitted under the Reprints Act 1984 s. 7(4)(f).]</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rPr>
          <w:rStyle w:val="CharDivText"/>
        </w:rPr>
        <w:sectPr>
          <w:headerReference w:type="even" r:id="rId21"/>
          <w:headerReference w:type="default" r:id="rId22"/>
          <w:headerReference w:type="first" r:id="rId23"/>
          <w:pgSz w:w="11907" w:h="16840" w:code="9"/>
          <w:pgMar w:top="2381" w:right="2409" w:bottom="3543" w:left="2409" w:header="720" w:footer="3380" w:gutter="0"/>
          <w:pgNumType w:start="1"/>
          <w:cols w:space="720"/>
          <w:noEndnote/>
          <w:titlePg/>
          <w:docGrid w:linePitch="326"/>
        </w:sectPr>
      </w:pPr>
    </w:p>
    <w:p>
      <w:pPr>
        <w:pStyle w:val="nHeading2"/>
      </w:pPr>
      <w:bookmarkStart w:id="61" w:name="_Toc77248144"/>
      <w:bookmarkStart w:id="62" w:name="_Toc77248280"/>
      <w:bookmarkStart w:id="63" w:name="_Toc77332283"/>
      <w:r>
        <w:lastRenderedPageBreak/>
        <w:t>Notes</w:t>
      </w:r>
      <w:bookmarkEnd w:id="61"/>
      <w:bookmarkEnd w:id="62"/>
      <w:bookmarkEnd w:id="63"/>
    </w:p>
    <w:p>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64" w:name="_Toc77332284"/>
      <w:r>
        <w:t>Compilation table</w:t>
      </w:r>
      <w:bookmarkEnd w:id="6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lastRenderedPageBreak/>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rPr>
              <w:t>Sale of Land Amendment Act 2016</w:t>
            </w:r>
          </w:p>
        </w:tc>
        <w:tc>
          <w:tcPr>
            <w:tcW w:w="1134" w:type="dxa"/>
            <w:tcBorders>
              <w:top w:val="nil"/>
              <w:bottom w:val="nil"/>
            </w:tcBorders>
          </w:tcPr>
          <w:p>
            <w:pPr>
              <w:pStyle w:val="nTable"/>
              <w:spacing w:after="40"/>
            </w:pPr>
            <w:r>
              <w:t>38 of 2016</w:t>
            </w:r>
          </w:p>
        </w:tc>
        <w:tc>
          <w:tcPr>
            <w:tcW w:w="1162" w:type="dxa"/>
            <w:tcBorders>
              <w:top w:val="nil"/>
              <w:bottom w:val="nil"/>
            </w:tcBorders>
          </w:tcPr>
          <w:p>
            <w:pPr>
              <w:pStyle w:val="nTable"/>
              <w:spacing w:after="40"/>
            </w:pPr>
            <w:r>
              <w:t>22 Nov 2016</w:t>
            </w:r>
          </w:p>
        </w:tc>
        <w:tc>
          <w:tcPr>
            <w:tcW w:w="2524" w:type="dxa"/>
            <w:tcBorders>
              <w:top w:val="nil"/>
              <w:bottom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rPr>
            </w:pPr>
            <w:r>
              <w:rPr>
                <w:i/>
              </w:rPr>
              <w:t>Strata Titles Amendment Act 2018</w:t>
            </w:r>
            <w:r>
              <w:t xml:space="preserve"> Pt. 3 Div. 20</w:t>
            </w:r>
          </w:p>
        </w:tc>
        <w:tc>
          <w:tcPr>
            <w:tcW w:w="1134" w:type="dxa"/>
            <w:tcBorders>
              <w:top w:val="nil"/>
              <w:bottom w:val="nil"/>
            </w:tcBorders>
          </w:tcPr>
          <w:p>
            <w:pPr>
              <w:pStyle w:val="nTable"/>
              <w:spacing w:after="40"/>
            </w:pPr>
            <w:r>
              <w:t>30 of 2018</w:t>
            </w:r>
          </w:p>
        </w:tc>
        <w:tc>
          <w:tcPr>
            <w:tcW w:w="1162" w:type="dxa"/>
            <w:tcBorders>
              <w:top w:val="nil"/>
              <w:bottom w:val="nil"/>
            </w:tcBorders>
          </w:tcPr>
          <w:p>
            <w:pPr>
              <w:pStyle w:val="nTable"/>
              <w:spacing w:after="40"/>
            </w:pPr>
            <w:r>
              <w:t>19 Nov 2018</w:t>
            </w:r>
          </w:p>
        </w:tc>
        <w:tc>
          <w:tcPr>
            <w:tcW w:w="2524" w:type="dxa"/>
            <w:tcBorders>
              <w:top w:val="nil"/>
              <w:bottom w:val="nil"/>
            </w:tcBorders>
          </w:tcPr>
          <w:p>
            <w:pPr>
              <w:pStyle w:val="nTable"/>
              <w:spacing w:after="40"/>
            </w:pPr>
            <w:r>
              <w:rPr>
                <w:snapToGrid w:val="0"/>
              </w:rPr>
              <w:t>1 May 2020 (see s. 2(b) and SL 2020/39 cl. 2)</w:t>
            </w:r>
          </w:p>
        </w:tc>
      </w:tr>
      <w:tr>
        <w:tblPrEx>
          <w:tblBorders>
            <w:top w:val="single" w:sz="8" w:space="0" w:color="auto"/>
            <w:bottom w:val="single" w:sz="8" w:space="0" w:color="auto"/>
            <w:insideH w:val="single" w:sz="8" w:space="0" w:color="auto"/>
          </w:tblBorders>
        </w:tblPrEx>
        <w:tc>
          <w:tcPr>
            <w:tcW w:w="2268" w:type="dxa"/>
            <w:tcBorders>
              <w:top w:val="nil"/>
            </w:tcBorders>
          </w:tcPr>
          <w:p>
            <w:pPr>
              <w:pStyle w:val="nTable"/>
              <w:spacing w:after="40"/>
              <w:rPr>
                <w:i/>
              </w:rPr>
            </w:pPr>
            <w:r>
              <w:rPr>
                <w:i/>
              </w:rPr>
              <w:t>Community Titles Act 2018</w:t>
            </w:r>
            <w:r>
              <w:t xml:space="preserve"> Pt. 14 Div. 20</w:t>
            </w:r>
          </w:p>
        </w:tc>
        <w:tc>
          <w:tcPr>
            <w:tcW w:w="1134" w:type="dxa"/>
            <w:tcBorders>
              <w:top w:val="nil"/>
            </w:tcBorders>
          </w:tcPr>
          <w:p>
            <w:pPr>
              <w:pStyle w:val="nTable"/>
              <w:spacing w:after="40"/>
            </w:pPr>
            <w:r>
              <w:t>32 of 2018</w:t>
            </w:r>
          </w:p>
        </w:tc>
        <w:tc>
          <w:tcPr>
            <w:tcW w:w="1162" w:type="dxa"/>
            <w:tcBorders>
              <w:top w:val="nil"/>
            </w:tcBorders>
          </w:tcPr>
          <w:p>
            <w:pPr>
              <w:pStyle w:val="nTable"/>
              <w:spacing w:after="40"/>
            </w:pPr>
            <w:r>
              <w:t>19 Nov 2018</w:t>
            </w:r>
          </w:p>
        </w:tc>
        <w:tc>
          <w:tcPr>
            <w:tcW w:w="2524" w:type="dxa"/>
            <w:tcBorders>
              <w:top w:val="nil"/>
            </w:tcBorders>
          </w:tcPr>
          <w:p>
            <w:pPr>
              <w:pStyle w:val="nTable"/>
              <w:spacing w:after="40"/>
              <w:rPr>
                <w:snapToGrid w:val="0"/>
              </w:rPr>
            </w:pPr>
            <w:r>
              <w:t>30 Jun 2021 (see s. 2(b) and SL 2021/69 cl. 2)</w:t>
            </w:r>
          </w:p>
        </w:tc>
      </w:tr>
    </w:tbl>
    <w:p>
      <w:pPr>
        <w:pStyle w:val="nHeading3"/>
      </w:pPr>
      <w:bookmarkStart w:id="65" w:name="_Toc77332285"/>
      <w:r>
        <w:lastRenderedPageBreak/>
        <w:t>Uncommenced provisions table</w:t>
      </w:r>
      <w:bookmarkEnd w:id="65"/>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96"/>
        <w:gridCol w:w="1134"/>
        <w:gridCol w:w="1134"/>
        <w:gridCol w:w="2524"/>
      </w:tblGrid>
      <w:tr>
        <w:trPr>
          <w:tblHeader/>
        </w:trPr>
        <w:tc>
          <w:tcPr>
            <w:tcW w:w="2296"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24" w:type="dxa"/>
          </w:tcPr>
          <w:p>
            <w:pPr>
              <w:pStyle w:val="nTable"/>
              <w:spacing w:after="40"/>
              <w:rPr>
                <w:b/>
              </w:rPr>
            </w:pPr>
            <w:r>
              <w:rPr>
                <w:b/>
              </w:rPr>
              <w:t>Commencement</w:t>
            </w:r>
          </w:p>
        </w:tc>
      </w:tr>
      <w:tr>
        <w:tblPrEx>
          <w:tblCellMar>
            <w:left w:w="57" w:type="dxa"/>
            <w:right w:w="57" w:type="dxa"/>
          </w:tblCellMar>
        </w:tblPrEx>
        <w:tc>
          <w:tcPr>
            <w:tcW w:w="2296" w:type="dxa"/>
            <w:tcBorders>
              <w:top w:val="nil"/>
              <w:bottom w:val="single" w:sz="2" w:space="0" w:color="auto"/>
            </w:tcBorders>
          </w:tcPr>
          <w:p>
            <w:pPr>
              <w:pStyle w:val="nTable"/>
              <w:spacing w:after="40"/>
              <w:rPr>
                <w:i/>
              </w:rPr>
            </w:pPr>
            <w:r>
              <w:rPr>
                <w:i/>
              </w:rPr>
              <w:t>Swan Valley Planning Act 2020</w:t>
            </w:r>
            <w:r>
              <w:t xml:space="preserve"> Pt. 10 Div. 12</w:t>
            </w:r>
          </w:p>
        </w:tc>
        <w:tc>
          <w:tcPr>
            <w:tcW w:w="1134" w:type="dxa"/>
            <w:tcBorders>
              <w:top w:val="nil"/>
              <w:bottom w:val="single" w:sz="2" w:space="0" w:color="auto"/>
            </w:tcBorders>
          </w:tcPr>
          <w:p>
            <w:pPr>
              <w:pStyle w:val="nTable"/>
              <w:spacing w:after="40"/>
            </w:pPr>
            <w:r>
              <w:t>45 of 2020</w:t>
            </w:r>
          </w:p>
        </w:tc>
        <w:tc>
          <w:tcPr>
            <w:tcW w:w="1134" w:type="dxa"/>
            <w:tcBorders>
              <w:top w:val="nil"/>
              <w:bottom w:val="single" w:sz="2" w:space="0" w:color="auto"/>
            </w:tcBorders>
          </w:tcPr>
          <w:p>
            <w:pPr>
              <w:pStyle w:val="nTable"/>
              <w:spacing w:after="40"/>
            </w:pPr>
            <w:r>
              <w:t>9 Dec 2020</w:t>
            </w:r>
          </w:p>
        </w:tc>
        <w:tc>
          <w:tcPr>
            <w:tcW w:w="2524" w:type="dxa"/>
            <w:tcBorders>
              <w:top w:val="nil"/>
              <w:bottom w:val="single" w:sz="2" w:space="0" w:color="auto"/>
            </w:tcBorders>
          </w:tcPr>
          <w:p>
            <w:pPr>
              <w:pStyle w:val="nTable"/>
              <w:spacing w:after="40"/>
            </w:pPr>
            <w:r>
              <w:t>1 Aug 2021 (see s. 2(1)(e) and SL 2021/124 cl. 2)</w:t>
            </w:r>
          </w:p>
        </w:tc>
      </w:tr>
    </w:tbl>
    <w:p>
      <w:pPr>
        <w:pStyle w:val="nHeading3"/>
      </w:pPr>
      <w:bookmarkStart w:id="66" w:name="_Toc77332286"/>
      <w:r>
        <w:t>Other notes</w:t>
      </w:r>
      <w:bookmarkEnd w:id="66"/>
    </w:p>
    <w:p>
      <w:pPr>
        <w:pStyle w:val="nNote"/>
        <w:ind w:left="462" w:hanging="462"/>
        <w:rPr>
          <w:i/>
        </w:rPr>
      </w:pPr>
      <w:r>
        <w:rPr>
          <w:vertAlign w:val="superscript"/>
        </w:rPr>
        <w:t>1</w:t>
      </w:r>
      <w:r>
        <w:tab/>
        <w:t xml:space="preserve">Repealed by the </w:t>
      </w:r>
      <w:r>
        <w:rPr>
          <w:i/>
        </w:rPr>
        <w:t>Real Estate and Business Agents Act 1978.</w:t>
      </w:r>
    </w:p>
    <w:p/>
    <w:p>
      <w:pPr>
        <w:sectPr>
          <w:headerReference w:type="even" r:id="rId24"/>
          <w:headerReference w:type="default" r:id="rId25"/>
          <w:pgSz w:w="11907" w:h="16840" w:code="9"/>
          <w:pgMar w:top="2376" w:right="2405" w:bottom="3542" w:left="2405" w:header="706" w:footer="3380" w:gutter="0"/>
          <w:cols w:space="720"/>
          <w:noEndnote/>
          <w:docGrid w:linePitch="326"/>
        </w:sectPr>
      </w:pPr>
    </w:p>
    <w:p>
      <w:pPr>
        <w:pStyle w:val="nHeading2"/>
        <w:rPr>
          <w:sz w:val="28"/>
        </w:rPr>
      </w:pPr>
      <w:bookmarkStart w:id="68" w:name="_Toc77248148"/>
      <w:bookmarkStart w:id="69" w:name="_Toc77248284"/>
      <w:bookmarkStart w:id="70" w:name="_Toc77332287"/>
      <w:r>
        <w:rPr>
          <w:sz w:val="28"/>
        </w:rPr>
        <w:lastRenderedPageBreak/>
        <w:t>Defined terms</w:t>
      </w:r>
      <w:bookmarkEnd w:id="68"/>
      <w:bookmarkEnd w:id="69"/>
      <w:bookmarkEnd w:id="7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11</w:t>
      </w:r>
    </w:p>
    <w:p>
      <w:pPr>
        <w:pStyle w:val="DefinedTerms"/>
      </w:pPr>
      <w:r>
        <w:t>advertise</w:t>
      </w:r>
      <w:r>
        <w:tab/>
        <w:t>5</w:t>
      </w:r>
    </w:p>
    <w:p>
      <w:pPr>
        <w:pStyle w:val="DefinedTerms"/>
      </w:pPr>
      <w:r>
        <w:t>advertisement</w:t>
      </w:r>
      <w:r>
        <w:tab/>
        <w:t>5</w:t>
      </w:r>
    </w:p>
    <w:p>
      <w:pPr>
        <w:pStyle w:val="DefinedTerms"/>
      </w:pPr>
      <w:r>
        <w:t>amendment Act</w:t>
      </w:r>
      <w:r>
        <w:tab/>
        <w:t>24(1)</w:t>
      </w:r>
    </w:p>
    <w:p>
      <w:pPr>
        <w:pStyle w:val="DefinedTerms"/>
      </w:pPr>
      <w:r>
        <w:t>approved form</w:t>
      </w:r>
      <w:r>
        <w:tab/>
        <w:t>11</w:t>
      </w:r>
    </w:p>
    <w:p>
      <w:pPr>
        <w:pStyle w:val="DefinedTerms"/>
      </w:pPr>
      <w:r>
        <w:t>Australian legal practitioner</w:t>
      </w:r>
      <w:r>
        <w:tab/>
        <w:t>11</w:t>
      </w:r>
    </w:p>
    <w:p>
      <w:pPr>
        <w:pStyle w:val="DefinedTerms"/>
      </w:pPr>
      <w:r>
        <w:t>charge</w:t>
      </w:r>
      <w:r>
        <w:tab/>
        <w:t>7(2)</w:t>
      </w:r>
    </w:p>
    <w:p>
      <w:pPr>
        <w:pStyle w:val="DefinedTerms"/>
      </w:pPr>
      <w:r>
        <w:t>commencement day</w:t>
      </w:r>
      <w:r>
        <w:tab/>
        <w:t>24(1)</w:t>
      </w:r>
    </w:p>
    <w:p>
      <w:pPr>
        <w:pStyle w:val="DefinedTerms"/>
      </w:pPr>
      <w:r>
        <w:t>Court</w:t>
      </w:r>
      <w:r>
        <w:tab/>
        <w:t>5</w:t>
      </w:r>
    </w:p>
    <w:p>
      <w:pPr>
        <w:pStyle w:val="DefinedTerms"/>
      </w:pPr>
      <w:r>
        <w:t>deposit</w:t>
      </w:r>
      <w:r>
        <w:tab/>
        <w:t>5</w:t>
      </w:r>
    </w:p>
    <w:p>
      <w:pPr>
        <w:pStyle w:val="DefinedTerms"/>
      </w:pPr>
      <w:r>
        <w:t xml:space="preserve">deposit holder </w:t>
      </w:r>
      <w:r>
        <w:tab/>
        <w:t>11</w:t>
      </w:r>
    </w:p>
    <w:p>
      <w:pPr>
        <w:pStyle w:val="DefinedTerms"/>
      </w:pPr>
      <w:r>
        <w:t>future lot contract</w:t>
      </w:r>
      <w:r>
        <w:tab/>
        <w:t>11, 24(1)</w:t>
      </w:r>
    </w:p>
    <w:p>
      <w:pPr>
        <w:pStyle w:val="DefinedTerms"/>
      </w:pPr>
      <w:r>
        <w:t>invite the public to purchase</w:t>
      </w:r>
      <w:r>
        <w:tab/>
        <w:t>19A(2)</w:t>
      </w:r>
    </w:p>
    <w:p>
      <w:pPr>
        <w:pStyle w:val="DefinedTerms"/>
      </w:pPr>
      <w:r>
        <w:t>land</w:t>
      </w:r>
      <w:r>
        <w:tab/>
        <w:t>5</w:t>
      </w:r>
    </w:p>
    <w:p>
      <w:pPr>
        <w:pStyle w:val="DefinedTerms"/>
      </w:pPr>
      <w:r>
        <w:t>lot</w:t>
      </w:r>
      <w:r>
        <w:tab/>
        <w:t>11</w:t>
      </w:r>
    </w:p>
    <w:p>
      <w:pPr>
        <w:pStyle w:val="DefinedTerms"/>
      </w:pPr>
      <w:r>
        <w:t>mortgage</w:t>
      </w:r>
      <w:r>
        <w:tab/>
        <w:t>14(3)</w:t>
      </w:r>
    </w:p>
    <w:p>
      <w:pPr>
        <w:pStyle w:val="DefinedTerms"/>
      </w:pPr>
      <w:r>
        <w:t>notice in writing</w:t>
      </w:r>
      <w:r>
        <w:tab/>
        <w:t>7(2)</w:t>
      </w:r>
    </w:p>
    <w:p>
      <w:pPr>
        <w:pStyle w:val="DefinedTerms"/>
      </w:pPr>
      <w:r>
        <w:t>offeror</w:t>
      </w:r>
      <w:r>
        <w:tab/>
        <w:t>19A(1)</w:t>
      </w:r>
    </w:p>
    <w:p>
      <w:pPr>
        <w:pStyle w:val="DefinedTerms"/>
      </w:pPr>
      <w:r>
        <w:t>offer to the public for purchase</w:t>
      </w:r>
      <w:r>
        <w:tab/>
        <w:t>19A(2)</w:t>
      </w:r>
    </w:p>
    <w:p>
      <w:pPr>
        <w:pStyle w:val="DefinedTerms"/>
      </w:pPr>
      <w:r>
        <w:t>offer to the public options to purchase</w:t>
      </w:r>
      <w:r>
        <w:tab/>
        <w:t>19A(2)</w:t>
      </w:r>
    </w:p>
    <w:p>
      <w:pPr>
        <w:pStyle w:val="DefinedTerms"/>
      </w:pPr>
      <w:r>
        <w:t>option to purchase</w:t>
      </w:r>
      <w:r>
        <w:tab/>
        <w:t>19A(1)</w:t>
      </w:r>
    </w:p>
    <w:p>
      <w:pPr>
        <w:pStyle w:val="DefinedTerms"/>
      </w:pPr>
      <w:r>
        <w:t>position</w:t>
      </w:r>
      <w:r>
        <w:tab/>
        <w:t>17(2)</w:t>
      </w:r>
    </w:p>
    <w:p>
      <w:pPr>
        <w:pStyle w:val="DefinedTerms"/>
      </w:pPr>
      <w:r>
        <w:t>post-commencement future lot contract</w:t>
      </w:r>
      <w:r>
        <w:tab/>
        <w:t>24(1)</w:t>
      </w:r>
    </w:p>
    <w:p>
      <w:pPr>
        <w:pStyle w:val="DefinedTerms"/>
      </w:pPr>
      <w:r>
        <w:t>pre-commencement future lot contract</w:t>
      </w:r>
      <w:r>
        <w:tab/>
        <w:t>24(1)</w:t>
      </w:r>
    </w:p>
    <w:p>
      <w:pPr>
        <w:pStyle w:val="DefinedTerms"/>
      </w:pPr>
      <w:r>
        <w:t>proprietor</w:t>
      </w:r>
      <w:r>
        <w:tab/>
        <w:t>11</w:t>
      </w:r>
    </w:p>
    <w:p>
      <w:pPr>
        <w:pStyle w:val="DefinedTerms"/>
      </w:pPr>
      <w:r>
        <w:t>public amenity</w:t>
      </w:r>
      <w:r>
        <w:tab/>
        <w:t>17(2)</w:t>
      </w:r>
    </w:p>
    <w:p>
      <w:pPr>
        <w:pStyle w:val="DefinedTerms"/>
      </w:pPr>
      <w:r>
        <w:t>real estate agent</w:t>
      </w:r>
      <w:r>
        <w:tab/>
        <w:t>11</w:t>
      </w:r>
    </w:p>
    <w:p>
      <w:pPr>
        <w:pStyle w:val="DefinedTerms"/>
      </w:pPr>
      <w:r>
        <w:t>Registrar</w:t>
      </w:r>
      <w:r>
        <w:tab/>
        <w:t>19A(1)</w:t>
      </w:r>
    </w:p>
    <w:p>
      <w:pPr>
        <w:pStyle w:val="DefinedTerms"/>
      </w:pPr>
      <w:r>
        <w:t>Registrar of Titles</w:t>
      </w:r>
      <w:r>
        <w:tab/>
        <w:t>11</w:t>
      </w:r>
    </w:p>
    <w:p>
      <w:pPr>
        <w:pStyle w:val="DefinedTerms"/>
      </w:pPr>
      <w:r>
        <w:t>section</w:t>
      </w:r>
      <w:r>
        <w:tab/>
        <w:t>5</w:t>
      </w:r>
    </w:p>
    <w:p>
      <w:pPr>
        <w:pStyle w:val="DefinedTerms"/>
      </w:pPr>
      <w:r>
        <w:t>sell</w:t>
      </w:r>
      <w:r>
        <w:tab/>
        <w:t>11</w:t>
      </w:r>
    </w:p>
    <w:p>
      <w:pPr>
        <w:pStyle w:val="DefinedTerms"/>
      </w:pPr>
      <w:r>
        <w:t>selling</w:t>
      </w:r>
      <w:r>
        <w:tab/>
        <w:t>11</w:t>
      </w:r>
    </w:p>
    <w:p>
      <w:pPr>
        <w:pStyle w:val="DefinedTerms"/>
      </w:pPr>
      <w:r>
        <w:t>settlement agent</w:t>
      </w:r>
      <w:r>
        <w:tab/>
        <w:t>11</w:t>
      </w:r>
    </w:p>
    <w:p>
      <w:pPr>
        <w:pStyle w:val="DefinedTerms"/>
      </w:pPr>
      <w:r>
        <w:t>sold</w:t>
      </w:r>
      <w:r>
        <w:tab/>
        <w:t>11</w:t>
      </w:r>
    </w:p>
    <w:p>
      <w:pPr>
        <w:pStyle w:val="DefinedTerms"/>
      </w:pPr>
      <w:r>
        <w:t>statement</w:t>
      </w:r>
      <w:r>
        <w:tab/>
        <w:t>17(2)</w:t>
      </w:r>
    </w:p>
    <w:p>
      <w:pPr>
        <w:pStyle w:val="DefinedTerms"/>
      </w:pPr>
      <w:r>
        <w:t>subdivision</w:t>
      </w:r>
      <w:r>
        <w:tab/>
        <w:t>11</w:t>
      </w:r>
    </w:p>
    <w:p>
      <w:pPr>
        <w:pStyle w:val="DefinedTerms"/>
      </w:pPr>
      <w:r>
        <w:t>terms contract</w:t>
      </w:r>
      <w:r>
        <w:tab/>
        <w:t>5</w:t>
      </w:r>
    </w:p>
    <w:p>
      <w:pPr>
        <w:pStyle w:val="DefinedTerms"/>
        <w:keepNext/>
      </w:pPr>
      <w:r>
        <w:lastRenderedPageBreak/>
        <w:t>vendor’s condition</w:t>
      </w:r>
      <w:r>
        <w:tab/>
        <w:t>11, 13B(1)</w:t>
      </w:r>
    </w:p>
    <w:p>
      <w:pPr>
        <w:pStyle w:val="DefinedTerms"/>
        <w:keepNext/>
      </w:pPr>
      <w:r>
        <w:t>working day</w:t>
      </w:r>
      <w:r>
        <w:tab/>
        <w:t>11</w:t>
      </w:r>
    </w:p>
    <w:p/>
    <w:p>
      <w:pPr>
        <w:sectPr>
          <w:headerReference w:type="even" r:id="rId26"/>
          <w:headerReference w:type="default" r:id="rId27"/>
          <w:pgSz w:w="11907" w:h="16840" w:code="9"/>
          <w:pgMar w:top="2381" w:right="2409" w:bottom="3543" w:left="2409"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Jun 2021</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Jun 2021</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03-m0-01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67" w:name="Compilation"/>
    <w:bookmarkEnd w:id="6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71" w:name="DefinedTerms"/>
    <w:bookmarkEnd w:id="7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2" w:name="Coversheet"/>
    <w:bookmarkEnd w:id="7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715121332"/>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 w:name="WAFER_202012100857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10085713_GUID" w:val="084c6b3f-e857-4deb-a8c6-aa523761a92e"/>
    <w:docVar w:name="WAFER_20210615132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32739_GUID" w:val="848246c8-f750-4c94-9c05-9af539f93343"/>
    <w:docVar w:name="WAFER_2021062311210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3112109_GUID" w:val="c849ea88-2d3c-481a-b8f8-ff29348a9e7b"/>
    <w:docVar w:name="WAFER_202107151213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332_GUID" w:val="9136f933-b617-434f-a9d3-4e95437d2b2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5:docId w15:val="{BB591EFB-3553-4A28-A958-F9D721EA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jpeg"/><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8806</Words>
  <Characters>40510</Characters>
  <Application>Microsoft Office Word</Application>
  <DocSecurity>0</DocSecurity>
  <Lines>1191</Lines>
  <Paragraphs>648</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1970 - 03-m0-01</dc:title>
  <dc:subject/>
  <dc:creator/>
  <cp:keywords/>
  <dc:description/>
  <cp:lastModifiedBy>Master Repository Process</cp:lastModifiedBy>
  <cp:revision>4</cp:revision>
  <cp:lastPrinted>2006-05-18T02:51:00Z</cp:lastPrinted>
  <dcterms:created xsi:type="dcterms:W3CDTF">2021-07-16T06:36:00Z</dcterms:created>
  <dcterms:modified xsi:type="dcterms:W3CDTF">2021-07-16T06:36:00Z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AsAtDate">
    <vt:lpwstr>30 Jun 2021</vt:lpwstr>
  </property>
  <property fmtid="{D5CDD505-2E9C-101B-9397-08002B2CF9AE}" pid="7" name="Suffix">
    <vt:lpwstr>03-m0-01</vt:lpwstr>
  </property>
  <property fmtid="{D5CDD505-2E9C-101B-9397-08002B2CF9AE}" pid="8" name="CommencementDate">
    <vt:lpwstr>20210630</vt:lpwstr>
  </property>
</Properties>
</file>