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04A" w:rsidRDefault="00EB104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B104A" w:rsidRDefault="00EB104A">
      <w:pPr>
        <w:pStyle w:val="PrincipalActRegPage1"/>
      </w:pPr>
      <w:r>
        <w:fldChar w:fldCharType="begin"/>
      </w:r>
      <w:r>
        <w:instrText xml:space="preserve"> STYLEREF "PrincipalAct_Reg"</w:instrText>
      </w:r>
      <w:r>
        <w:fldChar w:fldCharType="separate"/>
      </w:r>
      <w:r w:rsidR="007D7ACB">
        <w:rPr>
          <w:noProof/>
        </w:rPr>
        <w:t>Fair Trading Act 2010</w:t>
      </w:r>
      <w:r>
        <w:fldChar w:fldCharType="end"/>
      </w:r>
    </w:p>
    <w:p w:rsidR="00EB104A" w:rsidRDefault="00EB104A">
      <w:pPr>
        <w:pStyle w:val="NameofActRegPage1"/>
        <w:spacing w:before="1800" w:after="4200"/>
        <w:outlineLvl w:val="0"/>
      </w:pPr>
      <w:r>
        <w:fldChar w:fldCharType="begin"/>
      </w:r>
      <w:r>
        <w:instrText xml:space="preserve"> STYLEREF "Name Of Act/Reg"</w:instrText>
      </w:r>
      <w:r>
        <w:fldChar w:fldCharType="separate"/>
      </w:r>
      <w:r w:rsidR="007D7ACB">
        <w:rPr>
          <w:noProof/>
        </w:rPr>
        <w:t>Fair Trading (Retirement Villages Interim Code) Regulations 2021</w:t>
      </w:r>
      <w:r>
        <w:fldChar w:fldCharType="end"/>
      </w:r>
    </w:p>
    <w:p w:rsidR="00EB104A" w:rsidRDefault="00EB104A">
      <w:pPr>
        <w:jc w:val="center"/>
        <w:sectPr w:rsidR="00EB10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E2354" w:rsidRDefault="006E2354">
      <w:pPr>
        <w:pStyle w:val="WA"/>
      </w:pPr>
      <w:r>
        <w:lastRenderedPageBreak/>
        <w:t>Western Australia</w:t>
      </w:r>
    </w:p>
    <w:p w:rsidR="00EB104A" w:rsidRDefault="00EB104A">
      <w:pPr>
        <w:pStyle w:val="NameofActRegPage1"/>
      </w:pPr>
      <w:r>
        <w:fldChar w:fldCharType="begin"/>
      </w:r>
      <w:r>
        <w:instrText xml:space="preserve"> STYLEREF "Name Of Act/Reg"</w:instrText>
      </w:r>
      <w:r>
        <w:fldChar w:fldCharType="separate"/>
      </w:r>
      <w:r w:rsidR="007D7ACB">
        <w:rPr>
          <w:noProof/>
        </w:rPr>
        <w:t>Fair Trading (Retirement Villages Interim Code) Regulations 2021</w:t>
      </w:r>
      <w:r>
        <w:fldChar w:fldCharType="end"/>
      </w:r>
    </w:p>
    <w:p w:rsidR="00EB104A" w:rsidRDefault="00EB104A">
      <w:pPr>
        <w:pStyle w:val="Arrangement"/>
      </w:pPr>
      <w:r>
        <w:t>Contents</w:t>
      </w:r>
    </w:p>
    <w:p w:rsidR="004821E8" w:rsidRDefault="00EB104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821E8">
        <w:t>1.</w:t>
      </w:r>
      <w:r w:rsidR="004821E8">
        <w:tab/>
        <w:t>Citation</w:t>
      </w:r>
      <w:r w:rsidR="004821E8">
        <w:tab/>
      </w:r>
      <w:r w:rsidR="004821E8">
        <w:fldChar w:fldCharType="begin"/>
      </w:r>
      <w:r w:rsidR="004821E8">
        <w:instrText xml:space="preserve"> PAGEREF _Toc75339721 \h </w:instrText>
      </w:r>
      <w:r w:rsidR="004821E8">
        <w:fldChar w:fldCharType="separate"/>
      </w:r>
      <w:r w:rsidR="007D7ACB">
        <w:t>1</w:t>
      </w:r>
      <w:r w:rsidR="004821E8">
        <w:fldChar w:fldCharType="end"/>
      </w:r>
    </w:p>
    <w:p w:rsidR="004821E8" w:rsidRDefault="004821E8">
      <w:pPr>
        <w:pStyle w:val="TOC8"/>
        <w:rPr>
          <w:rFonts w:asciiTheme="minorHAnsi" w:eastAsiaTheme="minorEastAsia" w:hAnsiTheme="minorHAnsi" w:cstheme="minorBidi"/>
          <w:szCs w:val="22"/>
        </w:rPr>
      </w:pPr>
      <w:r>
        <w:t>2</w:t>
      </w:r>
      <w:r w:rsidRPr="001B13FF">
        <w:rPr>
          <w:spacing w:val="-2"/>
        </w:rPr>
        <w:t>.</w:t>
      </w:r>
      <w:r w:rsidRPr="001B13FF">
        <w:rPr>
          <w:spacing w:val="-2"/>
        </w:rPr>
        <w:tab/>
        <w:t>Commencement</w:t>
      </w:r>
      <w:r>
        <w:tab/>
      </w:r>
      <w:r>
        <w:fldChar w:fldCharType="begin"/>
      </w:r>
      <w:r>
        <w:instrText xml:space="preserve"> PAGEREF _Toc75339722 \h </w:instrText>
      </w:r>
      <w:r>
        <w:fldChar w:fldCharType="separate"/>
      </w:r>
      <w:r w:rsidR="007D7ACB">
        <w:t>1</w:t>
      </w:r>
      <w:r>
        <w:fldChar w:fldCharType="end"/>
      </w:r>
    </w:p>
    <w:p w:rsidR="004821E8" w:rsidRDefault="004821E8">
      <w:pPr>
        <w:pStyle w:val="TOC8"/>
        <w:rPr>
          <w:rFonts w:asciiTheme="minorHAnsi" w:eastAsiaTheme="minorEastAsia" w:hAnsiTheme="minorHAnsi" w:cstheme="minorBidi"/>
          <w:szCs w:val="22"/>
        </w:rPr>
      </w:pPr>
      <w:r>
        <w:t>3</w:t>
      </w:r>
      <w:r w:rsidRPr="001B13FF">
        <w:rPr>
          <w:snapToGrid w:val="0"/>
        </w:rPr>
        <w:t>.</w:t>
      </w:r>
      <w:r w:rsidRPr="001B13FF">
        <w:rPr>
          <w:snapToGrid w:val="0"/>
        </w:rPr>
        <w:tab/>
        <w:t>Code of practice prescribed</w:t>
      </w:r>
      <w:r>
        <w:tab/>
      </w:r>
      <w:r>
        <w:fldChar w:fldCharType="begin"/>
      </w:r>
      <w:r>
        <w:instrText xml:space="preserve"> PAGEREF _Toc75339723 \h </w:instrText>
      </w:r>
      <w:r>
        <w:fldChar w:fldCharType="separate"/>
      </w:r>
      <w:r w:rsidR="007D7ACB">
        <w:t>1</w:t>
      </w:r>
      <w:r>
        <w:fldChar w:fldCharType="end"/>
      </w:r>
    </w:p>
    <w:p w:rsidR="004821E8" w:rsidRDefault="004821E8">
      <w:pPr>
        <w:pStyle w:val="TOC8"/>
        <w:rPr>
          <w:rFonts w:asciiTheme="minorHAnsi" w:eastAsiaTheme="minorEastAsia" w:hAnsiTheme="minorHAnsi" w:cstheme="minorBidi"/>
          <w:szCs w:val="22"/>
        </w:rPr>
      </w:pPr>
      <w:r>
        <w:t>4.</w:t>
      </w:r>
      <w:r>
        <w:tab/>
        <w:t>Expiry</w:t>
      </w:r>
      <w:r>
        <w:tab/>
      </w:r>
      <w:r>
        <w:fldChar w:fldCharType="begin"/>
      </w:r>
      <w:r>
        <w:instrText xml:space="preserve"> PAGEREF _Toc75339724 \h </w:instrText>
      </w:r>
      <w:r>
        <w:fldChar w:fldCharType="separate"/>
      </w:r>
      <w:r w:rsidR="007D7ACB">
        <w:t>1</w:t>
      </w:r>
      <w:r>
        <w:fldChar w:fldCharType="end"/>
      </w:r>
    </w:p>
    <w:p w:rsidR="004821E8" w:rsidRDefault="004821E8">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_Toc75339725 \h </w:instrText>
      </w:r>
      <w:r>
        <w:fldChar w:fldCharType="separate"/>
      </w:r>
      <w:r w:rsidR="007D7ACB">
        <w:t>1</w:t>
      </w:r>
      <w:r>
        <w:fldChar w:fldCharType="end"/>
      </w:r>
    </w:p>
    <w:p w:rsidR="004821E8" w:rsidRDefault="004821E8">
      <w:pPr>
        <w:pStyle w:val="TOC2"/>
        <w:tabs>
          <w:tab w:val="right" w:leader="dot" w:pos="7077"/>
        </w:tabs>
        <w:rPr>
          <w:rFonts w:asciiTheme="minorHAnsi" w:eastAsiaTheme="minorEastAsia" w:hAnsiTheme="minorHAnsi" w:cstheme="minorBidi"/>
          <w:b w:val="0"/>
          <w:sz w:val="22"/>
          <w:szCs w:val="22"/>
        </w:rPr>
      </w:pPr>
      <w:r>
        <w:t>Schedule 1 — </w:t>
      </w:r>
      <w:r w:rsidRPr="001B13FF">
        <w:rPr>
          <w:i/>
        </w:rPr>
        <w:t>Interim Code of Practice for Retirement Villages 2021</w:t>
      </w:r>
    </w:p>
    <w:p w:rsidR="004821E8" w:rsidRDefault="004821E8">
      <w:pPr>
        <w:pStyle w:val="TOC4"/>
        <w:tabs>
          <w:tab w:val="right" w:leader="dot" w:pos="7077"/>
        </w:tabs>
        <w:rPr>
          <w:rFonts w:asciiTheme="minorHAnsi" w:eastAsiaTheme="minorEastAsia" w:hAnsiTheme="minorHAnsi" w:cstheme="minorBidi"/>
          <w:b w:val="0"/>
          <w:szCs w:val="22"/>
        </w:rPr>
      </w:pPr>
      <w:r>
        <w:t>Division 1 — Preliminary</w:t>
      </w:r>
    </w:p>
    <w:p w:rsidR="004821E8" w:rsidRDefault="004821E8">
      <w:pPr>
        <w:pStyle w:val="TOC8"/>
        <w:rPr>
          <w:rFonts w:asciiTheme="minorHAnsi" w:eastAsiaTheme="minorEastAsia" w:hAnsiTheme="minorHAnsi" w:cstheme="minorBidi"/>
          <w:szCs w:val="22"/>
        </w:rPr>
      </w:pPr>
      <w:r>
        <w:t>1.</w:t>
      </w:r>
      <w:r>
        <w:tab/>
        <w:t>Citation</w:t>
      </w:r>
      <w:r>
        <w:tab/>
      </w:r>
      <w:r>
        <w:fldChar w:fldCharType="begin"/>
      </w:r>
      <w:r>
        <w:instrText xml:space="preserve"> PAGEREF _Toc75339728 \h </w:instrText>
      </w:r>
      <w:r>
        <w:fldChar w:fldCharType="separate"/>
      </w:r>
      <w:r w:rsidR="007D7ACB">
        <w:t>5</w:t>
      </w:r>
      <w:r>
        <w:fldChar w:fldCharType="end"/>
      </w:r>
    </w:p>
    <w:p w:rsidR="004821E8" w:rsidRDefault="004821E8">
      <w:pPr>
        <w:pStyle w:val="TOC8"/>
        <w:rPr>
          <w:rFonts w:asciiTheme="minorHAnsi" w:eastAsiaTheme="minorEastAsia" w:hAnsiTheme="minorHAnsi" w:cstheme="minorBidi"/>
          <w:szCs w:val="22"/>
        </w:rPr>
      </w:pPr>
      <w:r>
        <w:t>2.</w:t>
      </w:r>
      <w:r>
        <w:tab/>
        <w:t>Application</w:t>
      </w:r>
      <w:r>
        <w:tab/>
      </w:r>
      <w:r>
        <w:fldChar w:fldCharType="begin"/>
      </w:r>
      <w:r>
        <w:instrText xml:space="preserve"> PAGEREF _Toc75339729 \h </w:instrText>
      </w:r>
      <w:r>
        <w:fldChar w:fldCharType="separate"/>
      </w:r>
      <w:r w:rsidR="007D7ACB">
        <w:t>8</w:t>
      </w:r>
      <w:r>
        <w:fldChar w:fldCharType="end"/>
      </w:r>
    </w:p>
    <w:p w:rsidR="004821E8" w:rsidRDefault="004821E8">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_Toc75339730 \h </w:instrText>
      </w:r>
      <w:r>
        <w:fldChar w:fldCharType="separate"/>
      </w:r>
      <w:r w:rsidR="007D7ACB">
        <w:t>9</w:t>
      </w:r>
      <w:r>
        <w:fldChar w:fldCharType="end"/>
      </w:r>
    </w:p>
    <w:p w:rsidR="004821E8" w:rsidRDefault="004821E8">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_Toc75339731 \h </w:instrText>
      </w:r>
      <w:r>
        <w:fldChar w:fldCharType="separate"/>
      </w:r>
      <w:r w:rsidR="007D7ACB">
        <w:t>9</w:t>
      </w:r>
      <w:r>
        <w:fldChar w:fldCharType="end"/>
      </w:r>
    </w:p>
    <w:p w:rsidR="004821E8" w:rsidRDefault="004821E8">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_Toc75339732 \h </w:instrText>
      </w:r>
      <w:r>
        <w:fldChar w:fldCharType="separate"/>
      </w:r>
      <w:r w:rsidR="007D7ACB">
        <w:t>11</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rsidR="004821E8" w:rsidRDefault="004821E8">
      <w:pPr>
        <w:pStyle w:val="TOC8"/>
        <w:rPr>
          <w:rFonts w:asciiTheme="minorHAnsi" w:eastAsiaTheme="minorEastAsia" w:hAnsiTheme="minorHAnsi" w:cstheme="minorBidi"/>
          <w:szCs w:val="22"/>
        </w:rPr>
      </w:pPr>
      <w:r>
        <w:t>6.</w:t>
      </w:r>
      <w:r>
        <w:tab/>
        <w:t>General</w:t>
      </w:r>
      <w:r>
        <w:tab/>
      </w:r>
      <w:r>
        <w:fldChar w:fldCharType="begin"/>
      </w:r>
      <w:r>
        <w:instrText xml:space="preserve"> PAGEREF _Toc75339734 \h </w:instrText>
      </w:r>
      <w:r>
        <w:fldChar w:fldCharType="separate"/>
      </w:r>
      <w:r w:rsidR="007D7ACB">
        <w:t>12</w:t>
      </w:r>
      <w:r>
        <w:fldChar w:fldCharType="end"/>
      </w:r>
    </w:p>
    <w:p w:rsidR="004821E8" w:rsidRDefault="004821E8">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_Toc75339735 \h </w:instrText>
      </w:r>
      <w:r>
        <w:fldChar w:fldCharType="separate"/>
      </w:r>
      <w:r w:rsidR="007D7ACB">
        <w:t>12</w:t>
      </w:r>
      <w:r>
        <w:fldChar w:fldCharType="end"/>
      </w:r>
    </w:p>
    <w:p w:rsidR="004821E8" w:rsidRDefault="004821E8">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_Toc75339736 \h </w:instrText>
      </w:r>
      <w:r>
        <w:fldChar w:fldCharType="separate"/>
      </w:r>
      <w:r w:rsidR="007D7ACB">
        <w:t>12</w:t>
      </w:r>
      <w:r>
        <w:fldChar w:fldCharType="end"/>
      </w:r>
    </w:p>
    <w:p w:rsidR="004821E8" w:rsidRDefault="004821E8">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_Toc75339737 \h </w:instrText>
      </w:r>
      <w:r>
        <w:fldChar w:fldCharType="separate"/>
      </w:r>
      <w:r w:rsidR="007D7ACB">
        <w:t>13</w:t>
      </w:r>
      <w:r>
        <w:fldChar w:fldCharType="end"/>
      </w:r>
    </w:p>
    <w:p w:rsidR="004821E8" w:rsidRDefault="004821E8">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_Toc75339738 \h </w:instrText>
      </w:r>
      <w:r>
        <w:fldChar w:fldCharType="separate"/>
      </w:r>
      <w:r w:rsidR="007D7ACB">
        <w:t>13</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rsidR="004821E8" w:rsidRDefault="004821E8">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_Toc75339740 \h </w:instrText>
      </w:r>
      <w:r>
        <w:fldChar w:fldCharType="separate"/>
      </w:r>
      <w:r w:rsidR="007D7ACB">
        <w:t>13</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4 — Service contract</w:t>
      </w:r>
    </w:p>
    <w:p w:rsidR="004821E8" w:rsidRDefault="004821E8">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_Toc75339742 \h </w:instrText>
      </w:r>
      <w:r>
        <w:fldChar w:fldCharType="separate"/>
      </w:r>
      <w:r w:rsidR="007D7ACB">
        <w:t>14</w:t>
      </w:r>
      <w:r>
        <w:fldChar w:fldCharType="end"/>
      </w:r>
    </w:p>
    <w:p w:rsidR="004821E8" w:rsidRDefault="004821E8">
      <w:pPr>
        <w:pStyle w:val="TOC8"/>
        <w:rPr>
          <w:rFonts w:asciiTheme="minorHAnsi" w:eastAsiaTheme="minorEastAsia" w:hAnsiTheme="minorHAnsi" w:cstheme="minorBidi"/>
          <w:szCs w:val="22"/>
        </w:rPr>
      </w:pPr>
      <w:r>
        <w:t>13.</w:t>
      </w:r>
      <w:r>
        <w:tab/>
        <w:t>Services</w:t>
      </w:r>
      <w:r>
        <w:tab/>
      </w:r>
      <w:r>
        <w:fldChar w:fldCharType="begin"/>
      </w:r>
      <w:r>
        <w:instrText xml:space="preserve"> PAGEREF _Toc75339743 \h </w:instrText>
      </w:r>
      <w:r>
        <w:fldChar w:fldCharType="separate"/>
      </w:r>
      <w:r w:rsidR="007D7ACB">
        <w:t>15</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5 — Village management</w:t>
      </w:r>
    </w:p>
    <w:p w:rsidR="004821E8" w:rsidRDefault="004821E8">
      <w:pPr>
        <w:pStyle w:val="TOC8"/>
        <w:rPr>
          <w:rFonts w:asciiTheme="minorHAnsi" w:eastAsiaTheme="minorEastAsia" w:hAnsiTheme="minorHAnsi" w:cstheme="minorBidi"/>
          <w:szCs w:val="22"/>
        </w:rPr>
      </w:pPr>
      <w:r>
        <w:t>14.</w:t>
      </w:r>
      <w:r>
        <w:tab/>
        <w:t>Terms used</w:t>
      </w:r>
      <w:r>
        <w:tab/>
      </w:r>
      <w:r>
        <w:fldChar w:fldCharType="begin"/>
      </w:r>
      <w:r>
        <w:instrText xml:space="preserve"> PAGEREF _Toc75339745 \h </w:instrText>
      </w:r>
      <w:r>
        <w:fldChar w:fldCharType="separate"/>
      </w:r>
      <w:r w:rsidR="007D7ACB">
        <w:t>16</w:t>
      </w:r>
      <w:r>
        <w:fldChar w:fldCharType="end"/>
      </w:r>
    </w:p>
    <w:p w:rsidR="004821E8" w:rsidRDefault="004821E8">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_Toc75339746 \h </w:instrText>
      </w:r>
      <w:r>
        <w:fldChar w:fldCharType="separate"/>
      </w:r>
      <w:r w:rsidR="007D7ACB">
        <w:t>17</w:t>
      </w:r>
      <w:r>
        <w:fldChar w:fldCharType="end"/>
      </w:r>
    </w:p>
    <w:p w:rsidR="004821E8" w:rsidRDefault="004821E8">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_Toc75339747 \h </w:instrText>
      </w:r>
      <w:r>
        <w:fldChar w:fldCharType="separate"/>
      </w:r>
      <w:r w:rsidR="007D7ACB">
        <w:t>19</w:t>
      </w:r>
      <w:r>
        <w:fldChar w:fldCharType="end"/>
      </w:r>
    </w:p>
    <w:p w:rsidR="004821E8" w:rsidRDefault="004821E8">
      <w:pPr>
        <w:pStyle w:val="TOC8"/>
        <w:rPr>
          <w:rFonts w:asciiTheme="minorHAnsi" w:eastAsiaTheme="minorEastAsia" w:hAnsiTheme="minorHAnsi" w:cstheme="minorBidi"/>
          <w:szCs w:val="22"/>
        </w:rPr>
      </w:pPr>
      <w:r>
        <w:t>17.</w:t>
      </w:r>
      <w:r>
        <w:tab/>
        <w:t>Village budget</w:t>
      </w:r>
      <w:r>
        <w:tab/>
      </w:r>
      <w:r>
        <w:fldChar w:fldCharType="begin"/>
      </w:r>
      <w:r>
        <w:instrText xml:space="preserve"> PAGEREF _Toc75339748 \h </w:instrText>
      </w:r>
      <w:r>
        <w:fldChar w:fldCharType="separate"/>
      </w:r>
      <w:r w:rsidR="007D7ACB">
        <w:t>21</w:t>
      </w:r>
      <w:r>
        <w:fldChar w:fldCharType="end"/>
      </w:r>
    </w:p>
    <w:p w:rsidR="004821E8" w:rsidRDefault="004821E8">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_Toc75339749 \h </w:instrText>
      </w:r>
      <w:r>
        <w:fldChar w:fldCharType="separate"/>
      </w:r>
      <w:r w:rsidR="007D7ACB">
        <w:t>25</w:t>
      </w:r>
      <w:r>
        <w:fldChar w:fldCharType="end"/>
      </w:r>
    </w:p>
    <w:p w:rsidR="004821E8" w:rsidRDefault="004821E8">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_Toc75339750 \h </w:instrText>
      </w:r>
      <w:r>
        <w:fldChar w:fldCharType="separate"/>
      </w:r>
      <w:r w:rsidR="007D7ACB">
        <w:t>26</w:t>
      </w:r>
      <w:r>
        <w:fldChar w:fldCharType="end"/>
      </w:r>
    </w:p>
    <w:p w:rsidR="004821E8" w:rsidRDefault="004821E8">
      <w:pPr>
        <w:pStyle w:val="TOC8"/>
        <w:rPr>
          <w:rFonts w:asciiTheme="minorHAnsi" w:eastAsiaTheme="minorEastAsia" w:hAnsiTheme="minorHAnsi" w:cstheme="minorBidi"/>
          <w:szCs w:val="22"/>
        </w:rPr>
      </w:pPr>
      <w:r>
        <w:t>20.</w:t>
      </w:r>
      <w:r>
        <w:tab/>
        <w:t>Budget surplus</w:t>
      </w:r>
      <w:r>
        <w:tab/>
      </w:r>
      <w:r>
        <w:fldChar w:fldCharType="begin"/>
      </w:r>
      <w:r>
        <w:instrText xml:space="preserve"> PAGEREF _Toc75339751 \h </w:instrText>
      </w:r>
      <w:r>
        <w:fldChar w:fldCharType="separate"/>
      </w:r>
      <w:r w:rsidR="007D7ACB">
        <w:t>28</w:t>
      </w:r>
      <w:r>
        <w:fldChar w:fldCharType="end"/>
      </w:r>
    </w:p>
    <w:p w:rsidR="004821E8" w:rsidRDefault="004821E8">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_Toc75339752 \h </w:instrText>
      </w:r>
      <w:r>
        <w:fldChar w:fldCharType="separate"/>
      </w:r>
      <w:r w:rsidR="007D7ACB">
        <w:t>28</w:t>
      </w:r>
      <w:r>
        <w:fldChar w:fldCharType="end"/>
      </w:r>
    </w:p>
    <w:p w:rsidR="004821E8" w:rsidRDefault="004821E8">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_Toc75339753 \h </w:instrText>
      </w:r>
      <w:r>
        <w:fldChar w:fldCharType="separate"/>
      </w:r>
      <w:r w:rsidR="007D7ACB">
        <w:t>28</w:t>
      </w:r>
      <w:r>
        <w:fldChar w:fldCharType="end"/>
      </w:r>
    </w:p>
    <w:p w:rsidR="004821E8" w:rsidRDefault="004821E8">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_Toc75339754 \h </w:instrText>
      </w:r>
      <w:r>
        <w:fldChar w:fldCharType="separate"/>
      </w:r>
      <w:r w:rsidR="007D7ACB">
        <w:t>30</w:t>
      </w:r>
      <w:r>
        <w:fldChar w:fldCharType="end"/>
      </w:r>
    </w:p>
    <w:p w:rsidR="004821E8" w:rsidRDefault="004821E8">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_Toc75339755 \h </w:instrText>
      </w:r>
      <w:r>
        <w:fldChar w:fldCharType="separate"/>
      </w:r>
      <w:r w:rsidR="007D7ACB">
        <w:t>31</w:t>
      </w:r>
      <w:r>
        <w:fldChar w:fldCharType="end"/>
      </w:r>
    </w:p>
    <w:p w:rsidR="004821E8" w:rsidRDefault="004821E8">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_Toc75339756 \h </w:instrText>
      </w:r>
      <w:r>
        <w:fldChar w:fldCharType="separate"/>
      </w:r>
      <w:r w:rsidR="007D7ACB">
        <w:t>32</w:t>
      </w:r>
      <w:r>
        <w:fldChar w:fldCharType="end"/>
      </w:r>
    </w:p>
    <w:p w:rsidR="004821E8" w:rsidRDefault="004821E8">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_Toc75339757 \h </w:instrText>
      </w:r>
      <w:r>
        <w:fldChar w:fldCharType="separate"/>
      </w:r>
      <w:r w:rsidR="007D7ACB">
        <w:t>34</w:t>
      </w:r>
      <w:r>
        <w:fldChar w:fldCharType="end"/>
      </w:r>
    </w:p>
    <w:p w:rsidR="004821E8" w:rsidRDefault="004821E8">
      <w:pPr>
        <w:pStyle w:val="TOC8"/>
        <w:rPr>
          <w:rFonts w:asciiTheme="minorHAnsi" w:eastAsiaTheme="minorEastAsia" w:hAnsiTheme="minorHAnsi" w:cstheme="minorBidi"/>
          <w:szCs w:val="22"/>
        </w:rPr>
      </w:pPr>
      <w:r>
        <w:t>27.</w:t>
      </w:r>
      <w:r>
        <w:tab/>
        <w:t>Proxy voting</w:t>
      </w:r>
      <w:r>
        <w:tab/>
      </w:r>
      <w:r>
        <w:fldChar w:fldCharType="begin"/>
      </w:r>
      <w:r>
        <w:instrText xml:space="preserve"> PAGEREF _Toc75339758 \h </w:instrText>
      </w:r>
      <w:r>
        <w:fldChar w:fldCharType="separate"/>
      </w:r>
      <w:r w:rsidR="007D7ACB">
        <w:t>37</w:t>
      </w:r>
      <w:r>
        <w:fldChar w:fldCharType="end"/>
      </w:r>
    </w:p>
    <w:p w:rsidR="004821E8" w:rsidRDefault="004821E8">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_Toc75339759 \h </w:instrText>
      </w:r>
      <w:r>
        <w:fldChar w:fldCharType="separate"/>
      </w:r>
      <w:r w:rsidR="007D7ACB">
        <w:t>39</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6 — Dispute resolution</w:t>
      </w:r>
    </w:p>
    <w:p w:rsidR="004821E8" w:rsidRDefault="004821E8">
      <w:pPr>
        <w:pStyle w:val="TOC8"/>
        <w:rPr>
          <w:rFonts w:asciiTheme="minorHAnsi" w:eastAsiaTheme="minorEastAsia" w:hAnsiTheme="minorHAnsi" w:cstheme="minorBidi"/>
          <w:szCs w:val="22"/>
        </w:rPr>
      </w:pPr>
      <w:r>
        <w:t>29.</w:t>
      </w:r>
      <w:r>
        <w:tab/>
        <w:t>Terms used</w:t>
      </w:r>
      <w:r>
        <w:tab/>
      </w:r>
      <w:r>
        <w:fldChar w:fldCharType="begin"/>
      </w:r>
      <w:r>
        <w:instrText xml:space="preserve"> PAGEREF _Toc75339761 \h </w:instrText>
      </w:r>
      <w:r>
        <w:fldChar w:fldCharType="separate"/>
      </w:r>
      <w:r w:rsidR="007D7ACB">
        <w:t>41</w:t>
      </w:r>
      <w:r>
        <w:fldChar w:fldCharType="end"/>
      </w:r>
    </w:p>
    <w:p w:rsidR="004821E8" w:rsidRDefault="004821E8">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_Toc75339762 \h </w:instrText>
      </w:r>
      <w:r>
        <w:fldChar w:fldCharType="separate"/>
      </w:r>
      <w:r w:rsidR="007D7ACB">
        <w:t>41</w:t>
      </w:r>
      <w:r>
        <w:fldChar w:fldCharType="end"/>
      </w:r>
    </w:p>
    <w:p w:rsidR="004821E8" w:rsidRDefault="004821E8">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_Toc75339763 \h </w:instrText>
      </w:r>
      <w:r>
        <w:fldChar w:fldCharType="separate"/>
      </w:r>
      <w:r w:rsidR="007D7ACB">
        <w:t>43</w:t>
      </w:r>
      <w:r>
        <w:fldChar w:fldCharType="end"/>
      </w:r>
    </w:p>
    <w:p w:rsidR="004821E8" w:rsidRDefault="004821E8">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_Toc75339764 \h </w:instrText>
      </w:r>
      <w:r>
        <w:fldChar w:fldCharType="separate"/>
      </w:r>
      <w:r w:rsidR="007D7ACB">
        <w:t>46</w:t>
      </w:r>
      <w:r>
        <w:fldChar w:fldCharType="end"/>
      </w:r>
    </w:p>
    <w:p w:rsidR="004821E8" w:rsidRDefault="004821E8">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_Toc75339765 \h </w:instrText>
      </w:r>
      <w:r>
        <w:fldChar w:fldCharType="separate"/>
      </w:r>
      <w:r w:rsidR="007D7ACB">
        <w:t>46</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7 — Termination of residence contracts</w:t>
      </w:r>
    </w:p>
    <w:p w:rsidR="004821E8" w:rsidRDefault="004821E8">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_Toc75339767 \h </w:instrText>
      </w:r>
      <w:r>
        <w:fldChar w:fldCharType="separate"/>
      </w:r>
      <w:r w:rsidR="007D7ACB">
        <w:t>47</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t>Division 8 — Service of documents</w:t>
      </w:r>
    </w:p>
    <w:p w:rsidR="004821E8" w:rsidRDefault="004821E8">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_Toc75339769 \h </w:instrText>
      </w:r>
      <w:r>
        <w:fldChar w:fldCharType="separate"/>
      </w:r>
      <w:r w:rsidR="007D7ACB">
        <w:t>50</w:t>
      </w:r>
      <w:r>
        <w:fldChar w:fldCharType="end"/>
      </w:r>
    </w:p>
    <w:p w:rsidR="004821E8" w:rsidRDefault="004821E8">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rsidR="004821E8" w:rsidRDefault="004821E8">
      <w:pPr>
        <w:pStyle w:val="TOC4"/>
        <w:tabs>
          <w:tab w:val="right" w:leader="dot" w:pos="7077"/>
        </w:tabs>
        <w:rPr>
          <w:rFonts w:asciiTheme="minorHAnsi" w:eastAsiaTheme="minorEastAsia" w:hAnsiTheme="minorHAnsi" w:cstheme="minorBidi"/>
          <w:b w:val="0"/>
          <w:szCs w:val="22"/>
        </w:rPr>
      </w:pPr>
      <w:r>
        <w:t>Appendix 2 — Form of appointment of proxy</w:t>
      </w:r>
    </w:p>
    <w:p w:rsidR="004821E8" w:rsidRDefault="004821E8">
      <w:pPr>
        <w:pStyle w:val="TOC2"/>
        <w:tabs>
          <w:tab w:val="right" w:leader="dot" w:pos="7077"/>
        </w:tabs>
        <w:rPr>
          <w:rFonts w:asciiTheme="minorHAnsi" w:eastAsiaTheme="minorEastAsia" w:hAnsiTheme="minorHAnsi" w:cstheme="minorBidi"/>
          <w:b w:val="0"/>
          <w:sz w:val="22"/>
          <w:szCs w:val="22"/>
        </w:rPr>
      </w:pPr>
      <w:r>
        <w:t>Notes</w:t>
      </w:r>
    </w:p>
    <w:p w:rsidR="004821E8" w:rsidRDefault="004821E8" w:rsidP="004821E8">
      <w:pPr>
        <w:pStyle w:val="TOC8"/>
        <w:rPr>
          <w:rFonts w:asciiTheme="minorHAnsi" w:eastAsiaTheme="minorEastAsia" w:hAnsiTheme="minorHAnsi" w:cstheme="minorBidi"/>
          <w:szCs w:val="22"/>
        </w:rPr>
      </w:pPr>
      <w:r>
        <w:tab/>
        <w:t>Compilation table</w:t>
      </w:r>
      <w:r>
        <w:tab/>
      </w:r>
      <w:r>
        <w:fldChar w:fldCharType="begin"/>
      </w:r>
      <w:r>
        <w:instrText xml:space="preserve"> PAGEREF _Toc75339773 \h </w:instrText>
      </w:r>
      <w:r>
        <w:fldChar w:fldCharType="separate"/>
      </w:r>
      <w:r w:rsidR="007D7ACB">
        <w:t>55</w:t>
      </w:r>
      <w:r>
        <w:fldChar w:fldCharType="end"/>
      </w:r>
    </w:p>
    <w:p w:rsidR="004821E8" w:rsidRDefault="004821E8" w:rsidP="004821E8">
      <w:pPr>
        <w:pStyle w:val="TOC8"/>
        <w:rPr>
          <w:rFonts w:asciiTheme="minorHAnsi" w:eastAsiaTheme="minorEastAsia" w:hAnsiTheme="minorHAnsi" w:cstheme="minorBidi"/>
          <w:szCs w:val="22"/>
        </w:rPr>
      </w:pPr>
      <w:r>
        <w:tab/>
        <w:t>Other notes</w:t>
      </w:r>
      <w:r>
        <w:tab/>
      </w:r>
      <w:r>
        <w:fldChar w:fldCharType="begin"/>
      </w:r>
      <w:r>
        <w:instrText xml:space="preserve"> PAGEREF _Toc75339774 \h </w:instrText>
      </w:r>
      <w:r>
        <w:fldChar w:fldCharType="separate"/>
      </w:r>
      <w:r w:rsidR="007D7ACB">
        <w:t>55</w:t>
      </w:r>
      <w:r>
        <w:fldChar w:fldCharType="end"/>
      </w:r>
    </w:p>
    <w:p w:rsidR="004821E8" w:rsidRDefault="004821E8">
      <w:pPr>
        <w:pStyle w:val="TOC2"/>
        <w:tabs>
          <w:tab w:val="right" w:leader="dot" w:pos="7077"/>
        </w:tabs>
        <w:rPr>
          <w:rFonts w:asciiTheme="minorHAnsi" w:eastAsiaTheme="minorEastAsia" w:hAnsiTheme="minorHAnsi" w:cstheme="minorBidi"/>
          <w:b w:val="0"/>
          <w:sz w:val="22"/>
          <w:szCs w:val="22"/>
        </w:rPr>
      </w:pPr>
      <w:r>
        <w:t>Defined terms</w:t>
      </w:r>
    </w:p>
    <w:p w:rsidR="00EB104A" w:rsidRDefault="00EB10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B104A" w:rsidRDefault="00EB104A">
      <w:pPr>
        <w:pStyle w:val="NoteHeading"/>
        <w:sectPr w:rsidR="00EB10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B104A" w:rsidRDefault="00EB104A">
      <w:pPr>
        <w:pStyle w:val="PrincipalActReg"/>
      </w:pPr>
      <w:r>
        <w:lastRenderedPageBreak/>
        <w:t>Fair Trading Act 2010</w:t>
      </w:r>
    </w:p>
    <w:p w:rsidR="00EB104A" w:rsidRDefault="00EB104A">
      <w:pPr>
        <w:pStyle w:val="NameofActReg"/>
      </w:pPr>
      <w:r>
        <w:t>Fair Trading (Retirement Villages Interim Code) Regulations 2021</w:t>
      </w:r>
    </w:p>
    <w:p w:rsidR="00EB104A" w:rsidRDefault="00EB104A">
      <w:pPr>
        <w:pStyle w:val="Heading5"/>
      </w:pPr>
      <w:bookmarkStart w:id="3" w:name="_Toc75339721"/>
      <w:r>
        <w:rPr>
          <w:rStyle w:val="CharSectno"/>
        </w:rPr>
        <w:t>1</w:t>
      </w:r>
      <w:r>
        <w:t>.</w:t>
      </w:r>
      <w:r>
        <w:tab/>
        <w:t>Citation</w:t>
      </w:r>
      <w:bookmarkEnd w:id="3"/>
    </w:p>
    <w:p w:rsidR="00EB104A" w:rsidRDefault="00EB104A">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2021</w:t>
      </w:r>
      <w:r>
        <w:t>.</w:t>
      </w:r>
    </w:p>
    <w:p w:rsidR="00EB104A" w:rsidRDefault="00EB104A">
      <w:pPr>
        <w:pStyle w:val="Heading5"/>
        <w:rPr>
          <w:spacing w:val="-2"/>
        </w:rPr>
      </w:pPr>
      <w:bookmarkStart w:id="5" w:name="_Toc75339722"/>
      <w:r>
        <w:rPr>
          <w:rStyle w:val="CharSectno"/>
        </w:rPr>
        <w:t>2</w:t>
      </w:r>
      <w:r>
        <w:rPr>
          <w:spacing w:val="-2"/>
        </w:rPr>
        <w:t>.</w:t>
      </w:r>
      <w:r>
        <w:rPr>
          <w:spacing w:val="-2"/>
        </w:rPr>
        <w:tab/>
        <w:t>Commencement</w:t>
      </w:r>
      <w:bookmarkEnd w:id="5"/>
    </w:p>
    <w:p w:rsidR="00EB104A" w:rsidRDefault="00EB104A">
      <w:pPr>
        <w:pStyle w:val="Subsection"/>
        <w:rPr>
          <w:spacing w:val="-2"/>
        </w:rPr>
      </w:pPr>
      <w:r>
        <w:rPr>
          <w:spacing w:val="-2"/>
        </w:rPr>
        <w:tab/>
      </w:r>
      <w:r>
        <w:rPr>
          <w:spacing w:val="-2"/>
        </w:rPr>
        <w:tab/>
      </w:r>
      <w:r>
        <w:t xml:space="preserve">These </w:t>
      </w:r>
      <w:r>
        <w:rPr>
          <w:spacing w:val="-2"/>
        </w:rPr>
        <w:t>regulations come into operation as follows</w:t>
      </w:r>
      <w:r>
        <w:t> —</w:t>
      </w:r>
    </w:p>
    <w:p w:rsidR="00EB104A" w:rsidRDefault="00EB104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EB104A" w:rsidRDefault="00EB104A">
      <w:pPr>
        <w:pStyle w:val="Indenta"/>
      </w:pPr>
      <w:r>
        <w:tab/>
        <w:t>(b)</w:t>
      </w:r>
      <w:r>
        <w:tab/>
        <w:t xml:space="preserve">the rest of the </w:t>
      </w:r>
      <w:r>
        <w:rPr>
          <w:spacing w:val="-2"/>
        </w:rPr>
        <w:t>regulations</w:t>
      </w:r>
      <w:r>
        <w:t> — on 1 April 2021.</w:t>
      </w:r>
    </w:p>
    <w:p w:rsidR="00EB104A" w:rsidRDefault="00EB104A">
      <w:pPr>
        <w:pStyle w:val="Heading5"/>
        <w:rPr>
          <w:snapToGrid w:val="0"/>
        </w:rPr>
      </w:pPr>
      <w:bookmarkStart w:id="6" w:name="_Toc75339723"/>
      <w:r>
        <w:rPr>
          <w:rStyle w:val="CharSectno"/>
        </w:rPr>
        <w:t>3</w:t>
      </w:r>
      <w:r>
        <w:rPr>
          <w:snapToGrid w:val="0"/>
        </w:rPr>
        <w:t>.</w:t>
      </w:r>
      <w:r>
        <w:rPr>
          <w:snapToGrid w:val="0"/>
        </w:rPr>
        <w:tab/>
        <w:t>Code of practice prescribed</w:t>
      </w:r>
      <w:bookmarkEnd w:id="6"/>
    </w:p>
    <w:p w:rsidR="00EB104A" w:rsidRDefault="00EB104A">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rsidR="00EB104A" w:rsidRDefault="00EB104A">
      <w:pPr>
        <w:pStyle w:val="Subsection"/>
      </w:pPr>
      <w:r>
        <w:tab/>
        <w:t>(2)</w:t>
      </w:r>
      <w:r>
        <w:tab/>
        <w:t xml:space="preserve">The </w:t>
      </w:r>
      <w:r>
        <w:rPr>
          <w:i/>
        </w:rPr>
        <w:t xml:space="preserve">Interim Code of Practice for Retirement Villages 2021 </w:t>
      </w:r>
      <w:r>
        <w:t>has effect for the period of 6 months beginning on 1 April 2021.</w:t>
      </w:r>
    </w:p>
    <w:p w:rsidR="00EB104A" w:rsidRDefault="00EB104A">
      <w:pPr>
        <w:pStyle w:val="Heading5"/>
      </w:pPr>
      <w:bookmarkStart w:id="7" w:name="_Toc75339724"/>
      <w:r>
        <w:rPr>
          <w:rStyle w:val="CharSectno"/>
        </w:rPr>
        <w:t>4</w:t>
      </w:r>
      <w:r>
        <w:t>.</w:t>
      </w:r>
      <w:r>
        <w:tab/>
        <w:t>Expiry</w:t>
      </w:r>
      <w:bookmarkEnd w:id="7"/>
    </w:p>
    <w:p w:rsidR="00EB104A" w:rsidRDefault="00EB104A">
      <w:pPr>
        <w:pStyle w:val="Subsection"/>
        <w:rPr>
          <w:spacing w:val="-2"/>
        </w:rPr>
      </w:pPr>
      <w:r>
        <w:tab/>
      </w:r>
      <w:r>
        <w:tab/>
        <w:t xml:space="preserve">These </w:t>
      </w:r>
      <w:r>
        <w:rPr>
          <w:spacing w:val="-2"/>
        </w:rPr>
        <w:t>regulations expire at the end of 30 September 2021</w:t>
      </w:r>
      <w:r>
        <w:rPr>
          <w:spacing w:val="-2"/>
          <w:vertAlign w:val="superscript"/>
        </w:rPr>
        <w:t> 1</w:t>
      </w:r>
      <w:r>
        <w:rPr>
          <w:spacing w:val="-2"/>
        </w:rPr>
        <w:t>.</w:t>
      </w:r>
    </w:p>
    <w:p w:rsidR="00EB104A" w:rsidRDefault="00EB104A">
      <w:pPr>
        <w:pStyle w:val="Heading5"/>
      </w:pPr>
      <w:bookmarkStart w:id="8" w:name="_Toc75339725"/>
      <w:r>
        <w:rPr>
          <w:rStyle w:val="CharSectno"/>
        </w:rPr>
        <w:t>5</w:t>
      </w:r>
      <w:r>
        <w:t>.</w:t>
      </w:r>
      <w:r>
        <w:tab/>
        <w:t>Terms used and boxed and shaded paragraphs in code of practice</w:t>
      </w:r>
      <w:bookmarkEnd w:id="8"/>
    </w:p>
    <w:p w:rsidR="00EB104A" w:rsidRDefault="00EB104A">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rsidR="00EB104A" w:rsidRDefault="00EB104A">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rsidR="00EB104A" w:rsidRDefault="00EB104A">
      <w:pPr>
        <w:sectPr w:rsidR="00EB104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EB104A" w:rsidRDefault="00EB104A">
      <w:pPr>
        <w:pStyle w:val="yScheduleHeading"/>
        <w:rPr>
          <w:sz w:val="24"/>
        </w:rPr>
      </w:pPr>
      <w:bookmarkStart w:id="9" w:name="_Toc75168500"/>
      <w:bookmarkStart w:id="10" w:name="_Toc75181330"/>
      <w:bookmarkStart w:id="11" w:name="_Toc75339726"/>
      <w:r>
        <w:rPr>
          <w:rStyle w:val="CharSchNo"/>
        </w:rPr>
        <w:lastRenderedPageBreak/>
        <w:t>Schedule 1</w:t>
      </w:r>
      <w:r>
        <w:rPr>
          <w:rStyle w:val="CharSDivNo"/>
        </w:rPr>
        <w:t> </w:t>
      </w:r>
      <w:r>
        <w:t>—</w:t>
      </w:r>
      <w:r>
        <w:rPr>
          <w:rStyle w:val="CharSDivText"/>
        </w:rPr>
        <w:t> </w:t>
      </w:r>
      <w:r>
        <w:rPr>
          <w:rStyle w:val="CharSchText"/>
          <w:i/>
        </w:rPr>
        <w:t>Interim Code of Practice for Retirement Villages 2021</w:t>
      </w:r>
      <w:bookmarkEnd w:id="9"/>
      <w:bookmarkEnd w:id="10"/>
      <w:bookmarkEnd w:id="11"/>
    </w:p>
    <w:p w:rsidR="00EB104A" w:rsidRDefault="00EB104A">
      <w:pPr>
        <w:pStyle w:val="yShoulderClause"/>
      </w:pPr>
      <w:r>
        <w:t>[r. 3(1)]</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r w:rsidR="00FA794B">
        <w:rPr>
          <w:b/>
          <w:szCs w:val="22"/>
        </w:rPr>
        <w:t> </w:t>
      </w:r>
      <w:r w:rsidR="00FA794B">
        <w:rPr>
          <w:szCs w:val="22"/>
          <w:vertAlign w:val="superscript"/>
        </w:rPr>
        <w:t>2</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rsidR="004E744D">
        <w:t>strata title, community title or</w:t>
      </w:r>
      <w:r>
        <w:rPr>
          <w:szCs w:val="22"/>
        </w:rPr>
        <w:t xml:space="preserve"> freehold title. Retirement villages also differ widely with regard to the nature of care and other amenities and services that may be available.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rsidR="00EB104A" w:rsidRDefault="00EB104A">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rsidR="00EB104A" w:rsidRDefault="00EB104A">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rsidR="00EB104A" w:rsidRDefault="00EB104A">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rsidR="00EB104A" w:rsidRDefault="00EB104A">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rsidR="00EB104A" w:rsidRDefault="00EB104A">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rsidR="00EB104A" w:rsidRDefault="00EB104A">
      <w:pPr>
        <w:sectPr w:rsidR="00EB104A">
          <w:headerReference w:type="even" r:id="rId24"/>
          <w:headerReference w:type="default" r:id="rId25"/>
          <w:pgSz w:w="11907" w:h="16840" w:code="9"/>
          <w:pgMar w:top="2381" w:right="2410" w:bottom="3544" w:left="2410" w:header="720" w:footer="3544" w:gutter="0"/>
          <w:cols w:space="720"/>
        </w:sectPr>
      </w:pPr>
    </w:p>
    <w:p w:rsidR="00EB104A" w:rsidRDefault="00EB104A">
      <w:pPr>
        <w:pStyle w:val="yHeading3"/>
      </w:pPr>
      <w:bookmarkStart w:id="12" w:name="_Toc75168501"/>
      <w:bookmarkStart w:id="13" w:name="_Toc75181331"/>
      <w:bookmarkStart w:id="14" w:name="_Toc75339727"/>
      <w:r>
        <w:rPr>
          <w:rStyle w:val="CharSDivNo"/>
        </w:rPr>
        <w:lastRenderedPageBreak/>
        <w:t>Division 1</w:t>
      </w:r>
      <w:r>
        <w:t> — </w:t>
      </w:r>
      <w:r>
        <w:rPr>
          <w:rStyle w:val="CharSDivText"/>
        </w:rPr>
        <w:t>Preliminary</w:t>
      </w:r>
      <w:bookmarkEnd w:id="12"/>
      <w:bookmarkEnd w:id="13"/>
      <w:bookmarkEnd w:id="14"/>
    </w:p>
    <w:p w:rsidR="00EB104A" w:rsidRDefault="00EB104A">
      <w:pPr>
        <w:pStyle w:val="yHeading5"/>
      </w:pPr>
      <w:bookmarkStart w:id="15" w:name="_Toc75339728"/>
      <w:r>
        <w:rPr>
          <w:rStyle w:val="CharSClsNo"/>
        </w:rPr>
        <w:t>1</w:t>
      </w:r>
      <w:r>
        <w:t>.</w:t>
      </w:r>
      <w:r>
        <w:tab/>
        <w:t>Citation</w:t>
      </w:r>
      <w:bookmarkEnd w:id="15"/>
    </w:p>
    <w:p w:rsidR="00EB104A" w:rsidRDefault="00EB104A">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rsidR="00EB104A" w:rsidRDefault="00EB104A">
      <w:pPr>
        <w:pStyle w:val="yHeading5"/>
      </w:pPr>
      <w:bookmarkStart w:id="16" w:name="_Toc75339729"/>
      <w:r>
        <w:rPr>
          <w:rStyle w:val="CharSClsNo"/>
        </w:rPr>
        <w:t>2</w:t>
      </w:r>
      <w:r>
        <w:t>.</w:t>
      </w:r>
      <w:r>
        <w:tab/>
        <w:t>Application</w:t>
      </w:r>
      <w:bookmarkEnd w:id="16"/>
    </w:p>
    <w:p w:rsidR="00EB104A" w:rsidRDefault="00EB104A">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rsidR="00EB104A" w:rsidRDefault="00EB104A">
      <w:pPr>
        <w:pStyle w:val="ySubsection"/>
      </w:pPr>
      <w:r>
        <w:tab/>
        <w:t>(2)</w:t>
      </w:r>
      <w:r>
        <w:tab/>
        <w:t xml:space="preserve">This Code does not apply to a resident, a former resident or a prospective resident of a retirement village or to the administering body of a retirement village if — </w:t>
      </w:r>
    </w:p>
    <w:p w:rsidR="00EB104A" w:rsidRDefault="00EB104A">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rsidR="00EB104A" w:rsidRDefault="00EB104A">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rsidR="00EB104A" w:rsidRDefault="00EB104A">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rsidR="00EB104A" w:rsidRDefault="00EB104A">
      <w:pPr>
        <w:pStyle w:val="ySubsection"/>
      </w:pPr>
      <w:r>
        <w:tab/>
        <w:t>(3)</w:t>
      </w:r>
      <w:r>
        <w:tab/>
        <w:t>Except as provided in subclause (4), Division 2 does not apply to any contract, agreement or arrangement made or entered into before the commencement of this Code.</w:t>
      </w:r>
    </w:p>
    <w:p w:rsidR="00EB104A" w:rsidRDefault="00EB104A">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rsidR="00EB104A" w:rsidRDefault="00EB104A">
      <w:pPr>
        <w:pStyle w:val="yHeading5"/>
      </w:pPr>
      <w:bookmarkStart w:id="17" w:name="_Toc75339730"/>
      <w:r>
        <w:rPr>
          <w:rStyle w:val="CharSClsNo"/>
        </w:rPr>
        <w:t>3</w:t>
      </w:r>
      <w:r>
        <w:t>.</w:t>
      </w:r>
      <w:r>
        <w:tab/>
        <w:t>General principles</w:t>
      </w:r>
      <w:bookmarkEnd w:id="17"/>
    </w:p>
    <w:p w:rsidR="00EB104A" w:rsidRDefault="00EB104A">
      <w:pPr>
        <w:pStyle w:val="ySubsection"/>
        <w:rPr>
          <w:szCs w:val="22"/>
        </w:rPr>
      </w:pPr>
      <w:r>
        <w:rPr>
          <w:szCs w:val="22"/>
        </w:rPr>
        <w:tab/>
      </w:r>
      <w:r>
        <w:rPr>
          <w:szCs w:val="22"/>
        </w:rPr>
        <w:tab/>
        <w:t>The general principles guiding all those involved in the provision of retirement villages and related services are that —</w:t>
      </w:r>
    </w:p>
    <w:p w:rsidR="00EB104A" w:rsidRDefault="00EB104A">
      <w:pPr>
        <w:pStyle w:val="yIndenta"/>
      </w:pPr>
      <w:r>
        <w:tab/>
        <w:t>(a)</w:t>
      </w:r>
      <w:r>
        <w:tab/>
        <w:t>the well</w:t>
      </w:r>
      <w:r>
        <w:noBreakHyphen/>
        <w:t>being and interests of residents, together with the rights of administering bodies, must be given due consideration; and</w:t>
      </w:r>
    </w:p>
    <w:p w:rsidR="00EB104A" w:rsidRDefault="00EB104A">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rsidR="00EB104A" w:rsidRDefault="00EB104A">
      <w:pPr>
        <w:pStyle w:val="yIndenta"/>
      </w:pPr>
      <w:r>
        <w:tab/>
        <w:t>(c)</w:t>
      </w:r>
      <w:r>
        <w:tab/>
        <w:t>the relationship of residents with their family and past and present communities is important and must be recognised, taking into account the cultural, religious and linguistic background of each resident; and</w:t>
      </w:r>
    </w:p>
    <w:p w:rsidR="00EB104A" w:rsidRDefault="00EB104A">
      <w:pPr>
        <w:pStyle w:val="yIndenta"/>
      </w:pPr>
      <w:r>
        <w:tab/>
        <w:t>(d)</w:t>
      </w:r>
      <w:r>
        <w:tab/>
        <w:t>residents must be treated fairly and not be subject to abuse or exploitation.</w:t>
      </w:r>
    </w:p>
    <w:p w:rsidR="00EB104A" w:rsidRDefault="00EB104A">
      <w:pPr>
        <w:pStyle w:val="yHeading5"/>
      </w:pPr>
      <w:bookmarkStart w:id="18" w:name="_Toc75339731"/>
      <w:r>
        <w:rPr>
          <w:rStyle w:val="CharSClsNo"/>
        </w:rPr>
        <w:t>4</w:t>
      </w:r>
      <w:r>
        <w:t>.</w:t>
      </w:r>
      <w:r>
        <w:tab/>
        <w:t>Objectives of Code</w:t>
      </w:r>
      <w:bookmarkEnd w:id="18"/>
    </w:p>
    <w:p w:rsidR="00EB104A" w:rsidRDefault="00EB104A">
      <w:pPr>
        <w:pStyle w:val="ySubsection"/>
        <w:rPr>
          <w:szCs w:val="22"/>
        </w:rPr>
      </w:pPr>
      <w:r>
        <w:rPr>
          <w:szCs w:val="22"/>
        </w:rPr>
        <w:tab/>
      </w:r>
      <w:r>
        <w:rPr>
          <w:szCs w:val="22"/>
        </w:rPr>
        <w:tab/>
        <w:t>The objectives of this Code are to —</w:t>
      </w:r>
    </w:p>
    <w:p w:rsidR="00EB104A" w:rsidRDefault="00EB104A">
      <w:pPr>
        <w:pStyle w:val="yIndenta"/>
      </w:pPr>
      <w:r>
        <w:tab/>
        <w:t>(a)</w:t>
      </w:r>
      <w:r>
        <w:tab/>
        <w:t>promote fair trading practices in the provision of retirement villages and related services by setting out the rights and obligations of residents and administering bodies in retirement villages; and</w:t>
      </w:r>
    </w:p>
    <w:p w:rsidR="00EB104A" w:rsidRDefault="00EB104A">
      <w:pPr>
        <w:pStyle w:val="yIndenta"/>
      </w:pPr>
      <w:r>
        <w:tab/>
        <w:t>(b)</w:t>
      </w:r>
      <w:r>
        <w:tab/>
        <w:t>encourage fairness in the promotion, sale or grant of rights in, and operation of, retirement villages; and</w:t>
      </w:r>
    </w:p>
    <w:p w:rsidR="00EB104A" w:rsidRDefault="00EB104A">
      <w:pPr>
        <w:pStyle w:val="yIndenta"/>
      </w:pPr>
      <w:r>
        <w:tab/>
        <w:t>(c)</w:t>
      </w:r>
      <w:r>
        <w:tab/>
        <w:t>require the disclosure of all relevant information to a person who is considering becoming a resident of a retirement village; and</w:t>
      </w:r>
    </w:p>
    <w:p w:rsidR="00EB104A" w:rsidRDefault="00EB104A">
      <w:pPr>
        <w:pStyle w:val="yIndenta"/>
        <w:keepNext/>
        <w:keepLines/>
      </w:pPr>
      <w:r>
        <w:lastRenderedPageBreak/>
        <w:tab/>
        <w:t>(d)</w:t>
      </w:r>
      <w:r>
        <w:tab/>
        <w:t>require contracts for the provision of amenities and services in a retirement village to contain full details of the obligations and entitlements of the resident and the administering body; and</w:t>
      </w:r>
    </w:p>
    <w:p w:rsidR="00EB104A" w:rsidRDefault="00EB104A">
      <w:pPr>
        <w:pStyle w:val="yIndenta"/>
      </w:pPr>
      <w:r>
        <w:tab/>
        <w:t>(e)</w:t>
      </w:r>
      <w:r>
        <w:tab/>
        <w:t>facilitate an effective means of consultation between the administering body and the residents on the management of a retirement village; and</w:t>
      </w:r>
    </w:p>
    <w:p w:rsidR="00EB104A" w:rsidRDefault="00EB104A">
      <w:pPr>
        <w:pStyle w:val="yIndenta"/>
      </w:pPr>
      <w:r>
        <w:tab/>
        <w:t>(f)</w:t>
      </w:r>
      <w:r>
        <w:tab/>
        <w:t>establish appropriate mechanisms for the resolution of any dispute in a retirement village between the residents and the administering body or between residents.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rsidR="00EB104A" w:rsidRDefault="00EB104A">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(g)</w:t>
      </w:r>
      <w:r>
        <w:rPr>
          <w:szCs w:val="22"/>
        </w:rPr>
        <w:tab/>
        <w:t>the administering body establishing processes for regular communication with residents about village matters.</w:t>
      </w:r>
    </w:p>
    <w:p w:rsidR="00EB104A" w:rsidRDefault="00EB104A">
      <w:pPr>
        <w:pStyle w:val="yHeading5"/>
      </w:pPr>
      <w:bookmarkStart w:id="19" w:name="_Toc75339732"/>
      <w:r>
        <w:rPr>
          <w:rStyle w:val="CharSClsNo"/>
        </w:rPr>
        <w:t>5</w:t>
      </w:r>
      <w:r>
        <w:t>.</w:t>
      </w:r>
      <w:r>
        <w:tab/>
        <w:t>Resident’s rights</w:t>
      </w:r>
      <w:bookmarkEnd w:id="19"/>
    </w:p>
    <w:p w:rsidR="00EB104A" w:rsidRDefault="00EB104A">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rsidR="00EB104A" w:rsidRDefault="00EB104A">
      <w:pPr>
        <w:pStyle w:val="ySubsection"/>
        <w:keepNext/>
        <w:keepLines/>
      </w:pPr>
      <w:r>
        <w:tab/>
        <w:t>(2)</w:t>
      </w:r>
      <w:r>
        <w:tab/>
        <w:t>The administering body of a retirement village must respect a resident’s right to quiet enjoyment of the resident’s residential premises and any communal amenities.</w:t>
      </w:r>
    </w:p>
    <w:p w:rsidR="00EB104A" w:rsidRDefault="00EB104A">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r w:rsidR="00FA794B">
        <w:rPr>
          <w:b/>
          <w:szCs w:val="22"/>
        </w:rPr>
        <w:t> </w:t>
      </w:r>
      <w:r w:rsidR="00FA794B">
        <w:rPr>
          <w:szCs w:val="22"/>
          <w:vertAlign w:val="superscript"/>
        </w:rPr>
        <w:t>2</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rsidR="00B271F8">
        <w:t xml:space="preserve">apply. If residential premises in a retirement village are community titles under the </w:t>
      </w:r>
      <w:r w:rsidR="00B271F8">
        <w:rPr>
          <w:i/>
        </w:rPr>
        <w:t>Community Titles Act 2018</w:t>
      </w:r>
      <w:r w:rsidR="00B271F8">
        <w:t xml:space="preserve"> then the provisions of that Act and any relevant by</w:t>
      </w:r>
      <w:r w:rsidR="00B271F8">
        <w:noBreakHyphen/>
        <w:t>laws apply.</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rsidR="00EB104A" w:rsidRDefault="00EB104A">
      <w:pPr>
        <w:pStyle w:val="yHeading3"/>
        <w:keepLines/>
      </w:pPr>
      <w:bookmarkStart w:id="20" w:name="_Toc75168507"/>
      <w:bookmarkStart w:id="21" w:name="_Toc75181337"/>
      <w:bookmarkStart w:id="22" w:name="_Toc75339733"/>
      <w:r>
        <w:rPr>
          <w:rStyle w:val="CharSDivNo"/>
        </w:rPr>
        <w:lastRenderedPageBreak/>
        <w:t>Division 2</w:t>
      </w:r>
      <w:r>
        <w:t> — </w:t>
      </w:r>
      <w:r>
        <w:rPr>
          <w:rStyle w:val="CharSDivText"/>
        </w:rPr>
        <w:t>Advertising and promotion of retirement villages</w:t>
      </w:r>
      <w:bookmarkEnd w:id="20"/>
      <w:bookmarkEnd w:id="21"/>
      <w:bookmarkEnd w:id="22"/>
    </w:p>
    <w:p w:rsidR="00EB104A" w:rsidRDefault="00EB104A">
      <w:pPr>
        <w:pStyle w:val="yHeading5"/>
      </w:pPr>
      <w:bookmarkStart w:id="23" w:name="_Toc75339734"/>
      <w:r>
        <w:rPr>
          <w:rStyle w:val="CharSClsNo"/>
        </w:rPr>
        <w:t>6</w:t>
      </w:r>
      <w:r>
        <w:t>.</w:t>
      </w:r>
      <w:r>
        <w:tab/>
        <w:t>General</w:t>
      </w:r>
      <w:bookmarkEnd w:id="23"/>
    </w:p>
    <w:p w:rsidR="00EB104A" w:rsidRDefault="00EB104A">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rsidR="00EB104A" w:rsidRDefault="00EB104A">
      <w:pPr>
        <w:pStyle w:val="yIndenta"/>
        <w:keepNext/>
        <w:keepLines/>
      </w:pPr>
      <w:r>
        <w:tab/>
        <w:t>(a)</w:t>
      </w:r>
      <w:r>
        <w:tab/>
        <w:t>truthful, accurate and unambiguous; and</w:t>
      </w:r>
    </w:p>
    <w:p w:rsidR="00EB104A" w:rsidRDefault="00EB104A">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rsidR="00EB104A" w:rsidRDefault="00EB104A">
      <w:pPr>
        <w:pStyle w:val="yHeading5"/>
      </w:pPr>
      <w:bookmarkStart w:id="24" w:name="_Toc75339735"/>
      <w:r>
        <w:rPr>
          <w:rStyle w:val="CharSClsNo"/>
        </w:rPr>
        <w:t>7</w:t>
      </w:r>
      <w:r>
        <w:t>.</w:t>
      </w:r>
      <w:r>
        <w:tab/>
        <w:t>Retirement village developments</w:t>
      </w:r>
      <w:bookmarkEnd w:id="24"/>
    </w:p>
    <w:p w:rsidR="00EB104A" w:rsidRDefault="00EB104A">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rsidR="00EB104A" w:rsidRDefault="00EB104A">
      <w:pPr>
        <w:pStyle w:val="ySubsection"/>
        <w:keepNext/>
        <w:keepLines/>
      </w:pPr>
      <w:r>
        <w:tab/>
        <w:t>(2)</w:t>
      </w:r>
      <w:r>
        <w:tab/>
        <w:t>Subclause (1) does not preclude the owner from carrying out a market survey or inviting expressions of interest in the proposed retirement village before any sales promotion.</w:t>
      </w:r>
    </w:p>
    <w:p w:rsidR="00EB104A" w:rsidRDefault="00EB104A">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rsidR="00EB104A" w:rsidRDefault="00EB104A">
      <w:pPr>
        <w:pStyle w:val="yHeading5"/>
      </w:pPr>
      <w:bookmarkStart w:id="25" w:name="_Toc75339736"/>
      <w:r>
        <w:rPr>
          <w:rStyle w:val="CharSClsNo"/>
        </w:rPr>
        <w:t>8</w:t>
      </w:r>
      <w:r>
        <w:t>.</w:t>
      </w:r>
      <w:r>
        <w:tab/>
        <w:t>Proposed amenities and services</w:t>
      </w:r>
      <w:bookmarkEnd w:id="25"/>
    </w:p>
    <w:p w:rsidR="00EB104A" w:rsidRDefault="00EB104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rsidR="00EB104A" w:rsidRDefault="00EB104A">
      <w:pPr>
        <w:pStyle w:val="yIndenta"/>
      </w:pPr>
      <w:r>
        <w:tab/>
        <w:t>(a)</w:t>
      </w:r>
      <w:r>
        <w:tab/>
        <w:t xml:space="preserve">state — </w:t>
      </w:r>
    </w:p>
    <w:p w:rsidR="00EB104A" w:rsidRDefault="00EB104A">
      <w:pPr>
        <w:pStyle w:val="yIndenti0"/>
      </w:pPr>
      <w:r>
        <w:tab/>
        <w:t>(i)</w:t>
      </w:r>
      <w:r>
        <w:tab/>
        <w:t>the latest date by which those amenities and services will be provided or made available to the residents of the village; or</w:t>
      </w:r>
    </w:p>
    <w:p w:rsidR="00EB104A" w:rsidRDefault="00EB104A">
      <w:pPr>
        <w:pStyle w:val="yIndenti0"/>
      </w:pPr>
      <w:r>
        <w:tab/>
        <w:t>(ii)</w:t>
      </w:r>
      <w:r>
        <w:tab/>
        <w:t xml:space="preserve">the happening of an event on which the commencement of the provision or availability of those amenities and services depends; </w:t>
      </w:r>
    </w:p>
    <w:p w:rsidR="00EB104A" w:rsidRDefault="00EB104A">
      <w:pPr>
        <w:pStyle w:val="yIndenta"/>
      </w:pPr>
      <w:r>
        <w:lastRenderedPageBreak/>
        <w:tab/>
      </w:r>
      <w:r>
        <w:tab/>
        <w:t>and</w:t>
      </w:r>
    </w:p>
    <w:p w:rsidR="00EB104A" w:rsidRDefault="00EB104A">
      <w:pPr>
        <w:pStyle w:val="yIndenta"/>
      </w:pPr>
      <w:r>
        <w:tab/>
        <w:t>(b)</w:t>
      </w:r>
      <w:r>
        <w:tab/>
        <w:t>state any charges or conditions that apply to the residents’ access to, or use of, those amenities or services.</w:t>
      </w:r>
    </w:p>
    <w:p w:rsidR="00EB104A" w:rsidRDefault="00EB104A">
      <w:pPr>
        <w:pStyle w:val="yHeading5"/>
      </w:pPr>
      <w:bookmarkStart w:id="26" w:name="_Toc75339737"/>
      <w:r>
        <w:rPr>
          <w:rStyle w:val="CharSClsNo"/>
        </w:rPr>
        <w:t>9</w:t>
      </w:r>
      <w:r>
        <w:t>.</w:t>
      </w:r>
      <w:r>
        <w:tab/>
        <w:t>Approvals for facilities that provide residential aged care services</w:t>
      </w:r>
      <w:bookmarkEnd w:id="26"/>
    </w:p>
    <w:p w:rsidR="00EB104A" w:rsidRDefault="00EB104A">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rsidR="00EB104A" w:rsidRDefault="00EB104A">
      <w:pPr>
        <w:pStyle w:val="yHeading5"/>
      </w:pPr>
      <w:bookmarkStart w:id="27" w:name="_Toc75339738"/>
      <w:r>
        <w:rPr>
          <w:rStyle w:val="CharSClsNo"/>
        </w:rPr>
        <w:t>10</w:t>
      </w:r>
      <w:r>
        <w:t>.</w:t>
      </w:r>
      <w:r>
        <w:tab/>
        <w:t>Access to residential aged care services</w:t>
      </w:r>
      <w:bookmarkEnd w:id="27"/>
    </w:p>
    <w:p w:rsidR="00EB104A" w:rsidRDefault="00EB104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rsidR="00EB104A" w:rsidRDefault="00EB104A">
      <w:pPr>
        <w:pStyle w:val="yHeading3"/>
      </w:pPr>
      <w:bookmarkStart w:id="28" w:name="_Toc75168513"/>
      <w:bookmarkStart w:id="29" w:name="_Toc75181343"/>
      <w:bookmarkStart w:id="30" w:name="_Toc75339739"/>
      <w:r>
        <w:rPr>
          <w:rStyle w:val="CharSDivNo"/>
        </w:rPr>
        <w:t>Division 3</w:t>
      </w:r>
      <w:r>
        <w:t> — </w:t>
      </w:r>
      <w:r>
        <w:rPr>
          <w:rStyle w:val="CharSDivText"/>
        </w:rPr>
        <w:t>Prospective resident’s right to information before entering into service contract</w:t>
      </w:r>
      <w:bookmarkEnd w:id="28"/>
      <w:bookmarkEnd w:id="29"/>
      <w:bookmarkEnd w:id="30"/>
    </w:p>
    <w:p w:rsidR="00EB104A" w:rsidRDefault="00EB104A">
      <w:pPr>
        <w:pStyle w:val="yHeading5"/>
      </w:pPr>
      <w:bookmarkStart w:id="31" w:name="_Toc75339740"/>
      <w:r>
        <w:rPr>
          <w:rStyle w:val="CharSClsNo"/>
        </w:rPr>
        <w:t>11</w:t>
      </w:r>
      <w:r>
        <w:t>.</w:t>
      </w:r>
      <w:r>
        <w:tab/>
        <w:t>Before entering into service contract</w:t>
      </w:r>
      <w:bookmarkEnd w:id="31"/>
    </w:p>
    <w:p w:rsidR="00EB104A" w:rsidRDefault="00EB104A">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rsidR="00EB104A" w:rsidRDefault="00EB104A">
      <w:pPr>
        <w:pStyle w:val="yIndenta"/>
      </w:pPr>
      <w:r>
        <w:tab/>
        <w:t>(a)</w:t>
      </w:r>
      <w:r>
        <w:tab/>
        <w:t>the costs payable under the service contract, including all ongoing village operating costs or charges under the service contract;</w:t>
      </w:r>
    </w:p>
    <w:p w:rsidR="00EB104A" w:rsidRDefault="00EB104A">
      <w:pPr>
        <w:pStyle w:val="yIndenta"/>
      </w:pPr>
      <w:r>
        <w:tab/>
        <w:t>(b)</w:t>
      </w:r>
      <w:r>
        <w:tab/>
        <w:t>details of the services to be provided under the service contract;</w:t>
      </w:r>
    </w:p>
    <w:p w:rsidR="00EB104A" w:rsidRDefault="00EB104A">
      <w:pPr>
        <w:pStyle w:val="yIndenta"/>
      </w:pPr>
      <w:r>
        <w:tab/>
        <w:t>(c)</w:t>
      </w:r>
      <w:r>
        <w:tab/>
        <w:t>details of the notice to be given to, and the costs payable by, the resident to terminate the provision of the services;</w:t>
      </w:r>
    </w:p>
    <w:p w:rsidR="00EB104A" w:rsidRDefault="00EB104A">
      <w:pPr>
        <w:pStyle w:val="yIndenta"/>
      </w:pPr>
      <w:r>
        <w:tab/>
        <w:t>(d)</w:t>
      </w:r>
      <w:r>
        <w:tab/>
        <w:t>a copy of the proposed service contract.</w:t>
      </w:r>
    </w:p>
    <w:p w:rsidR="00EB104A" w:rsidRDefault="00EB104A">
      <w:pPr>
        <w:pStyle w:val="ySubsection"/>
      </w:pPr>
      <w:r>
        <w:lastRenderedPageBreak/>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rsidR="00EB104A" w:rsidRDefault="00EB104A">
      <w:pPr>
        <w:pStyle w:val="ySubsection"/>
      </w:pPr>
      <w:r>
        <w:tab/>
        <w:t>(3)</w:t>
      </w:r>
      <w:r>
        <w:tab/>
        <w:t>The administering body of a retirement village must not demand or receive a payment for the information or documents provided under subclause (1).</w:t>
      </w:r>
    </w:p>
    <w:p w:rsidR="00EB104A" w:rsidRDefault="00EB104A">
      <w:pPr>
        <w:pStyle w:val="yHeading3"/>
      </w:pPr>
      <w:bookmarkStart w:id="32" w:name="_Toc75168515"/>
      <w:bookmarkStart w:id="33" w:name="_Toc75181345"/>
      <w:bookmarkStart w:id="34" w:name="_Toc75339741"/>
      <w:r>
        <w:rPr>
          <w:rStyle w:val="CharSDivNo"/>
        </w:rPr>
        <w:t>Division 4</w:t>
      </w:r>
      <w:r>
        <w:t> — </w:t>
      </w:r>
      <w:r>
        <w:rPr>
          <w:rStyle w:val="CharSDivText"/>
        </w:rPr>
        <w:t>Service contract</w:t>
      </w:r>
      <w:bookmarkEnd w:id="32"/>
      <w:bookmarkEnd w:id="33"/>
      <w:bookmarkEnd w:id="34"/>
    </w:p>
    <w:p w:rsidR="00EB104A" w:rsidRDefault="00EB104A">
      <w:pPr>
        <w:pStyle w:val="yHeading5"/>
      </w:pPr>
      <w:bookmarkStart w:id="35" w:name="_Toc75339742"/>
      <w:r>
        <w:rPr>
          <w:rStyle w:val="CharSClsNo"/>
        </w:rPr>
        <w:t>12</w:t>
      </w:r>
      <w:r>
        <w:t>.</w:t>
      </w:r>
      <w:r>
        <w:tab/>
        <w:t>Legibility and presentation requirements</w:t>
      </w:r>
      <w:bookmarkEnd w:id="35"/>
    </w:p>
    <w:p w:rsidR="00EB104A" w:rsidRDefault="00EB104A">
      <w:pPr>
        <w:pStyle w:val="ySubsection"/>
        <w:keepNext/>
      </w:pPr>
      <w:r>
        <w:tab/>
        <w:t>(1)</w:t>
      </w:r>
      <w:r>
        <w:tab/>
        <w:t>A service contract must —</w:t>
      </w:r>
    </w:p>
    <w:p w:rsidR="00EB104A" w:rsidRDefault="00EB104A">
      <w:pPr>
        <w:pStyle w:val="yIndenta"/>
      </w:pPr>
      <w:r>
        <w:tab/>
        <w:t>(a)</w:t>
      </w:r>
      <w:r>
        <w:tab/>
        <w:t>be written in plain English; and</w:t>
      </w:r>
    </w:p>
    <w:p w:rsidR="00EB104A" w:rsidRDefault="00EB104A">
      <w:pPr>
        <w:pStyle w:val="yIndenta"/>
      </w:pPr>
      <w:r>
        <w:tab/>
        <w:t>(b)</w:t>
      </w:r>
      <w:r>
        <w:tab/>
        <w:t>be printed in a size not less than 12 point type; and</w:t>
      </w:r>
    </w:p>
    <w:p w:rsidR="00EB104A" w:rsidRDefault="00EB104A">
      <w:pPr>
        <w:pStyle w:val="yIndenta"/>
      </w:pPr>
      <w:r>
        <w:tab/>
        <w:t>(c)</w:t>
      </w:r>
      <w:r>
        <w:tab/>
        <w:t xml:space="preserve">be set out clearly using — </w:t>
      </w:r>
    </w:p>
    <w:p w:rsidR="00EB104A" w:rsidRDefault="00EB104A">
      <w:pPr>
        <w:pStyle w:val="yIndenti0"/>
      </w:pPr>
      <w:r>
        <w:tab/>
        <w:t>(i)</w:t>
      </w:r>
      <w:r>
        <w:tab/>
        <w:t>appropriate headings and subheadings; and</w:t>
      </w:r>
    </w:p>
    <w:p w:rsidR="00EB104A" w:rsidRDefault="00EB104A">
      <w:pPr>
        <w:pStyle w:val="yIndenti0"/>
      </w:pPr>
      <w:r>
        <w:tab/>
        <w:t>(ii)</w:t>
      </w:r>
      <w:r>
        <w:tab/>
        <w:t xml:space="preserve">numbered provisions; </w:t>
      </w:r>
    </w:p>
    <w:p w:rsidR="00EB104A" w:rsidRDefault="00EB104A">
      <w:pPr>
        <w:pStyle w:val="yIndenta"/>
        <w:rPr>
          <w:szCs w:val="22"/>
        </w:rPr>
      </w:pPr>
      <w:r>
        <w:rPr>
          <w:szCs w:val="22"/>
        </w:rPr>
        <w:tab/>
      </w:r>
      <w:r>
        <w:rPr>
          <w:szCs w:val="22"/>
        </w:rPr>
        <w:tab/>
        <w:t>and</w:t>
      </w:r>
    </w:p>
    <w:p w:rsidR="00EB104A" w:rsidRDefault="00EB104A">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rsidR="00EB104A" w:rsidRDefault="00EB104A">
      <w:pPr>
        <w:pStyle w:val="ySubsection"/>
      </w:pPr>
      <w:r>
        <w:tab/>
        <w:t>(2)</w:t>
      </w:r>
      <w:r>
        <w:tab/>
        <w:t xml:space="preserve">The following statement must be included in a service contract in 16 point type — </w:t>
      </w:r>
    </w:p>
    <w:p w:rsidR="00EB104A" w:rsidRDefault="00EB104A">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rsidR="00EB104A" w:rsidRDefault="00EB104A">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rsidR="00EB104A" w:rsidRDefault="00EB104A">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rsidR="00EB104A" w:rsidRDefault="00EB104A">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rsidR="00EB104A" w:rsidRDefault="00EB104A">
      <w:pPr>
        <w:pStyle w:val="yHeading5"/>
        <w:rPr>
          <w:szCs w:val="22"/>
        </w:rPr>
      </w:pPr>
      <w:bookmarkStart w:id="36" w:name="_Toc75339743"/>
      <w:r>
        <w:rPr>
          <w:rStyle w:val="CharSClsNo"/>
        </w:rPr>
        <w:t>13</w:t>
      </w:r>
      <w:r>
        <w:t>.</w:t>
      </w:r>
      <w:r>
        <w:tab/>
      </w:r>
      <w:r>
        <w:rPr>
          <w:szCs w:val="22"/>
        </w:rPr>
        <w:t>Services</w:t>
      </w:r>
      <w:bookmarkEnd w:id="36"/>
    </w:p>
    <w:p w:rsidR="00EB104A" w:rsidRDefault="00EB104A">
      <w:pPr>
        <w:pStyle w:val="ySubsection"/>
        <w:rPr>
          <w:szCs w:val="22"/>
        </w:rPr>
      </w:pPr>
      <w:r>
        <w:tab/>
        <w:t>(1)</w:t>
      </w:r>
      <w:r>
        <w:tab/>
      </w:r>
      <w:r>
        <w:rPr>
          <w:szCs w:val="22"/>
        </w:rPr>
        <w:t xml:space="preserve">A service contract must state — </w:t>
      </w:r>
    </w:p>
    <w:p w:rsidR="00EB104A" w:rsidRDefault="00EB104A">
      <w:pPr>
        <w:pStyle w:val="yIndenta"/>
      </w:pPr>
      <w:r>
        <w:tab/>
        <w:t>(a)</w:t>
      </w:r>
      <w:r>
        <w:tab/>
        <w:t>the nature of the services that are, or are to be, provided or made available under the contract to the resident by the administering body; and</w:t>
      </w:r>
    </w:p>
    <w:p w:rsidR="00EB104A" w:rsidRDefault="00EB104A">
      <w:pPr>
        <w:pStyle w:val="yIndenta"/>
        <w:rPr>
          <w:szCs w:val="22"/>
        </w:rPr>
      </w:pPr>
      <w:r>
        <w:tab/>
        <w:t>(b)</w:t>
      </w:r>
      <w:r>
        <w:tab/>
      </w:r>
      <w:r>
        <w:rPr>
          <w:szCs w:val="22"/>
        </w:rPr>
        <w:t>any charges or conditions that apply to the resident’s access to, or use of, those services; and</w:t>
      </w:r>
    </w:p>
    <w:p w:rsidR="00EB104A" w:rsidRDefault="00EB104A">
      <w:pPr>
        <w:pStyle w:val="yIndenta"/>
        <w:rPr>
          <w:szCs w:val="22"/>
        </w:rPr>
      </w:pPr>
      <w:r>
        <w:tab/>
        <w:t>(c)</w:t>
      </w:r>
      <w:r>
        <w:tab/>
      </w:r>
      <w:r>
        <w:rPr>
          <w:szCs w:val="22"/>
        </w:rPr>
        <w:t>the basis for the future determination of the costs of providing those services or making those services available.</w:t>
      </w:r>
    </w:p>
    <w:p w:rsidR="00EB104A" w:rsidRDefault="00EB104A">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rsidR="00EB104A" w:rsidRDefault="00EB104A">
      <w:pPr>
        <w:pStyle w:val="yIndenta"/>
        <w:rPr>
          <w:szCs w:val="22"/>
        </w:rPr>
      </w:pPr>
      <w:r>
        <w:tab/>
        <w:t>(a)</w:t>
      </w:r>
      <w:r>
        <w:tab/>
      </w:r>
      <w:r>
        <w:rPr>
          <w:szCs w:val="22"/>
        </w:rPr>
        <w:t>for the period after the residence contract has been terminated; or</w:t>
      </w:r>
    </w:p>
    <w:p w:rsidR="00EB104A" w:rsidRDefault="00EB104A">
      <w:pPr>
        <w:pStyle w:val="yIndenta"/>
        <w:rPr>
          <w:szCs w:val="22"/>
        </w:rPr>
      </w:pPr>
      <w:r>
        <w:tab/>
        <w:t>(b)</w:t>
      </w:r>
      <w:r>
        <w:tab/>
      </w:r>
      <w:r>
        <w:rPr>
          <w:szCs w:val="22"/>
        </w:rPr>
        <w:t>for the period after the service contract has been terminated; or</w:t>
      </w:r>
    </w:p>
    <w:p w:rsidR="00EB104A" w:rsidRDefault="00EB104A">
      <w:pPr>
        <w:pStyle w:val="yIndenta"/>
        <w:rPr>
          <w:szCs w:val="22"/>
        </w:rPr>
      </w:pPr>
      <w:r>
        <w:tab/>
        <w:t>(c)</w:t>
      </w:r>
      <w:r>
        <w:tab/>
      </w:r>
      <w:r>
        <w:rPr>
          <w:szCs w:val="22"/>
        </w:rPr>
        <w:t>for the period after the resident has permanently vacated the residential premises; or</w:t>
      </w:r>
    </w:p>
    <w:p w:rsidR="00EB104A" w:rsidRDefault="00EB104A">
      <w:pPr>
        <w:pStyle w:val="yIndenta"/>
        <w:rPr>
          <w:szCs w:val="22"/>
        </w:rPr>
      </w:pPr>
      <w:r>
        <w:tab/>
        <w:t>(d)</w:t>
      </w:r>
      <w:r>
        <w:tab/>
      </w:r>
      <w:r>
        <w:rPr>
          <w:szCs w:val="22"/>
        </w:rPr>
        <w:t>for the period during which the resident temporarily ceased to reside in the residential premises.</w:t>
      </w:r>
    </w:p>
    <w:p w:rsidR="00EB104A" w:rsidRDefault="00EB104A">
      <w:pPr>
        <w:pStyle w:val="ySubsection"/>
        <w:keepNext/>
        <w:rPr>
          <w:szCs w:val="22"/>
        </w:rPr>
      </w:pPr>
      <w:r>
        <w:lastRenderedPageBreak/>
        <w:tab/>
        <w:t>(3)</w:t>
      </w:r>
      <w:r>
        <w:tab/>
      </w:r>
      <w:r>
        <w:rPr>
          <w:szCs w:val="22"/>
        </w:rPr>
        <w:t xml:space="preserve">In subclause (2) — </w:t>
      </w:r>
    </w:p>
    <w:p w:rsidR="00EB104A" w:rsidRDefault="00EB104A">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rsidR="00EB104A" w:rsidRDefault="00EB104A">
      <w:pPr>
        <w:pStyle w:val="yDefpara"/>
      </w:pPr>
      <w:r>
        <w:tab/>
        <w:t>(a)</w:t>
      </w:r>
      <w:r>
        <w:tab/>
        <w:t>communal amenities in the retirement village; or</w:t>
      </w:r>
    </w:p>
    <w:p w:rsidR="00EB104A" w:rsidRDefault="00EB104A">
      <w:pPr>
        <w:pStyle w:val="yDefpara"/>
        <w:rPr>
          <w:szCs w:val="22"/>
        </w:rPr>
      </w:pPr>
      <w:r>
        <w:tab/>
        <w:t>(b)</w:t>
      </w:r>
      <w:r>
        <w:tab/>
      </w:r>
      <w:r>
        <w:rPr>
          <w:szCs w:val="22"/>
        </w:rPr>
        <w:t>village administrative and management services.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rsidR="00EB104A" w:rsidRDefault="00EB104A">
      <w:pPr>
        <w:pStyle w:val="yHeading3"/>
      </w:pPr>
      <w:bookmarkStart w:id="37" w:name="_Toc75168518"/>
      <w:bookmarkStart w:id="38" w:name="_Toc75181348"/>
      <w:bookmarkStart w:id="39" w:name="_Toc75339744"/>
      <w:r>
        <w:rPr>
          <w:rStyle w:val="CharSDivNo"/>
        </w:rPr>
        <w:t>Division 5</w:t>
      </w:r>
      <w:r>
        <w:t> — </w:t>
      </w:r>
      <w:r>
        <w:rPr>
          <w:rStyle w:val="CharSDivText"/>
        </w:rPr>
        <w:t>Village management</w:t>
      </w:r>
      <w:bookmarkEnd w:id="37"/>
      <w:bookmarkEnd w:id="38"/>
      <w:bookmarkEnd w:id="39"/>
    </w:p>
    <w:p w:rsidR="00EB104A" w:rsidRDefault="00EB104A">
      <w:pPr>
        <w:pStyle w:val="yHeading5"/>
      </w:pPr>
      <w:bookmarkStart w:id="40" w:name="_Toc75339745"/>
      <w:r>
        <w:rPr>
          <w:rStyle w:val="CharSClsNo"/>
        </w:rPr>
        <w:t>14</w:t>
      </w:r>
      <w:r>
        <w:t>.</w:t>
      </w:r>
      <w:r>
        <w:tab/>
        <w:t>Terms used</w:t>
      </w:r>
      <w:bookmarkEnd w:id="40"/>
    </w:p>
    <w:p w:rsidR="00EB104A" w:rsidRDefault="00EB104A">
      <w:pPr>
        <w:pStyle w:val="ySubsection"/>
        <w:keepNext/>
        <w:keepLines/>
        <w:rPr>
          <w:szCs w:val="22"/>
        </w:rPr>
      </w:pPr>
      <w:r>
        <w:tab/>
        <w:t>(1)</w:t>
      </w:r>
      <w:r>
        <w:tab/>
      </w:r>
      <w:r>
        <w:rPr>
          <w:szCs w:val="22"/>
        </w:rPr>
        <w:t xml:space="preserve">In this Division — </w:t>
      </w:r>
    </w:p>
    <w:p w:rsidR="00EB104A" w:rsidRDefault="00EB104A">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rsidR="00EB104A" w:rsidRDefault="00EB104A">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rsidR="00EB104A" w:rsidRDefault="00EB104A">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rsidR="00EB104A" w:rsidRDefault="00EB104A">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rsidR="00EB104A" w:rsidRDefault="00EB104A">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rsidR="00EB104A" w:rsidRDefault="00EB104A">
      <w:pPr>
        <w:pStyle w:val="yDefstart"/>
        <w:rPr>
          <w:szCs w:val="22"/>
        </w:rPr>
      </w:pPr>
      <w:r>
        <w:rPr>
          <w:szCs w:val="22"/>
        </w:rPr>
        <w:tab/>
      </w:r>
      <w:r>
        <w:rPr>
          <w:rStyle w:val="CharDefText"/>
          <w:szCs w:val="22"/>
        </w:rPr>
        <w:t>reserve fund</w:t>
      </w:r>
      <w:r>
        <w:rPr>
          <w:szCs w:val="22"/>
        </w:rPr>
        <w:t xml:space="preserve"> means a fund that — </w:t>
      </w:r>
    </w:p>
    <w:p w:rsidR="00EB104A" w:rsidRDefault="00EB104A">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rsidR="00EB104A" w:rsidRDefault="00EB104A">
      <w:pPr>
        <w:pStyle w:val="yDefpara"/>
      </w:pPr>
      <w:r>
        <w:lastRenderedPageBreak/>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w:t>
      </w:r>
      <w:r w:rsidR="006E2354" w:rsidRPr="00724C12">
        <w:t>section</w:t>
      </w:r>
      <w:r w:rsidR="006E2354">
        <w:t> 100(2)(a) of that Act; and</w:t>
      </w:r>
    </w:p>
    <w:p w:rsidR="006E2354" w:rsidRDefault="006E2354" w:rsidP="0068797B">
      <w:pPr>
        <w:pStyle w:val="yDefpara"/>
      </w:pPr>
      <w:r>
        <w:tab/>
        <w:t>(c)</w:t>
      </w:r>
      <w:r>
        <w:tab/>
        <w:t xml:space="preserve">if the village is comprised in a scheme plan for a community titles scheme registered under the </w:t>
      </w:r>
      <w:r>
        <w:rPr>
          <w:i/>
        </w:rPr>
        <w:t>Community Titles Act 2018</w:t>
      </w:r>
      <w:r>
        <w:t xml:space="preserve">, includes the reserve fund established by the community corporation for the community titles scheme under </w:t>
      </w:r>
      <w:r w:rsidRPr="00724C12">
        <w:t>section</w:t>
      </w:r>
      <w:r>
        <w:t> 85(1)(b) of that Act;</w:t>
      </w:r>
    </w:p>
    <w:p w:rsidR="00EB104A" w:rsidRDefault="00EB104A">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rsidR="00EB104A" w:rsidRDefault="00EB104A">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rsidR="00EB104A" w:rsidRDefault="00EB104A">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rsidR="00C85F3F" w:rsidRPr="00233A17" w:rsidRDefault="00C85F3F" w:rsidP="00C85F3F">
      <w:pPr>
        <w:pStyle w:val="yFootnotesection"/>
      </w:pPr>
      <w:r>
        <w:tab/>
        <w:t>[Clause 14 amended: SL 2021/71 r. 6.]</w:t>
      </w:r>
    </w:p>
    <w:p w:rsidR="00EB104A" w:rsidRDefault="00EB104A">
      <w:pPr>
        <w:pStyle w:val="yHeading5"/>
        <w:rPr>
          <w:szCs w:val="22"/>
        </w:rPr>
      </w:pPr>
      <w:bookmarkStart w:id="41" w:name="_Toc75339746"/>
      <w:r>
        <w:rPr>
          <w:rStyle w:val="CharSClsNo"/>
        </w:rPr>
        <w:t>15</w:t>
      </w:r>
      <w:r>
        <w:t>.</w:t>
      </w:r>
      <w:r>
        <w:tab/>
      </w:r>
      <w:r>
        <w:rPr>
          <w:szCs w:val="22"/>
        </w:rPr>
        <w:t>Special resolutions</w:t>
      </w:r>
      <w:bookmarkEnd w:id="41"/>
    </w:p>
    <w:p w:rsidR="00EB104A" w:rsidRDefault="00EB104A">
      <w:pPr>
        <w:pStyle w:val="ySubsection"/>
        <w:rPr>
          <w:szCs w:val="22"/>
        </w:rPr>
      </w:pPr>
      <w:r>
        <w:tab/>
        <w:t>(1)</w:t>
      </w:r>
      <w:r>
        <w:tab/>
      </w:r>
      <w:r>
        <w:rPr>
          <w:szCs w:val="22"/>
        </w:rPr>
        <w:t xml:space="preserve">To pass a special resolution at a meeting of the residents of a retirement village — </w:t>
      </w:r>
    </w:p>
    <w:p w:rsidR="00EB104A" w:rsidRDefault="00EB104A">
      <w:pPr>
        <w:pStyle w:val="yIndenta"/>
      </w:pPr>
      <w:r>
        <w:tab/>
        <w:t>(a)</w:t>
      </w:r>
      <w:r>
        <w:tab/>
        <w:t>the residents must have been given written notice of the meeting under clause 26; and</w:t>
      </w:r>
    </w:p>
    <w:p w:rsidR="00EB104A" w:rsidRDefault="00EB104A">
      <w:pPr>
        <w:pStyle w:val="yIndenta"/>
        <w:rPr>
          <w:szCs w:val="22"/>
        </w:rPr>
      </w:pPr>
      <w:r>
        <w:tab/>
        <w:t>(b)</w:t>
      </w:r>
      <w:r>
        <w:tab/>
      </w:r>
      <w:r>
        <w:rPr>
          <w:szCs w:val="22"/>
        </w:rPr>
        <w:t xml:space="preserve">there must be a quorum present (whether in person or by a vote by proxy) of — </w:t>
      </w:r>
    </w:p>
    <w:p w:rsidR="00EB104A" w:rsidRDefault="00EB104A">
      <w:pPr>
        <w:pStyle w:val="yIndenti0"/>
      </w:pPr>
      <w:r>
        <w:tab/>
        <w:t>(i)</w:t>
      </w:r>
      <w:r>
        <w:tab/>
        <w:t>a minimum of 5 residents entitled to vote on the resolution or 30% of the number of residents entitled to vote on the resolution (whichever is the greater); or</w:t>
      </w:r>
    </w:p>
    <w:p w:rsidR="00EB104A" w:rsidRDefault="00EB104A">
      <w:pPr>
        <w:pStyle w:val="yIndenti0"/>
        <w:rPr>
          <w:szCs w:val="22"/>
        </w:rPr>
      </w:pPr>
      <w:r>
        <w:tab/>
        <w:t>(ii)</w:t>
      </w:r>
      <w:r>
        <w:tab/>
      </w:r>
      <w:r>
        <w:rPr>
          <w:szCs w:val="22"/>
        </w:rPr>
        <w:t xml:space="preserve">if the retirement village has fewer than 10 occupied residential premises, a majority of residents entitled to vote; </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(c)</w:t>
      </w:r>
      <w:r>
        <w:tab/>
      </w:r>
      <w:r>
        <w:rPr>
          <w:szCs w:val="22"/>
        </w:rPr>
        <w:t xml:space="preserve">the resolution must be carried by at least 75% of the number of residents who — </w:t>
      </w:r>
    </w:p>
    <w:p w:rsidR="00EB104A" w:rsidRDefault="00EB104A">
      <w:pPr>
        <w:pStyle w:val="yIndenti0"/>
        <w:rPr>
          <w:szCs w:val="22"/>
        </w:rPr>
      </w:pPr>
      <w:r>
        <w:tab/>
        <w:t>(i)</w:t>
      </w:r>
      <w:r>
        <w:tab/>
      </w:r>
      <w:r>
        <w:rPr>
          <w:szCs w:val="22"/>
        </w:rPr>
        <w:t>are present (whether in person or by proxy); and</w:t>
      </w:r>
    </w:p>
    <w:p w:rsidR="00EB104A" w:rsidRDefault="00EB104A">
      <w:pPr>
        <w:pStyle w:val="yIndenti0"/>
        <w:rPr>
          <w:szCs w:val="22"/>
        </w:rPr>
      </w:pPr>
      <w:r>
        <w:lastRenderedPageBreak/>
        <w:tab/>
        <w:t>(ii)</w:t>
      </w:r>
      <w:r>
        <w:tab/>
      </w:r>
      <w:r>
        <w:rPr>
          <w:szCs w:val="22"/>
        </w:rPr>
        <w:t>are entitled to vote; and</w:t>
      </w:r>
    </w:p>
    <w:p w:rsidR="00EB104A" w:rsidRDefault="00EB104A">
      <w:pPr>
        <w:pStyle w:val="yIndenti0"/>
        <w:rPr>
          <w:szCs w:val="22"/>
        </w:rPr>
      </w:pPr>
      <w:r>
        <w:tab/>
        <w:t>(iii)</w:t>
      </w:r>
      <w:r>
        <w:tab/>
      </w:r>
      <w:r>
        <w:rPr>
          <w:szCs w:val="22"/>
        </w:rPr>
        <w:t>vote at the meeting.</w:t>
      </w:r>
    </w:p>
    <w:p w:rsidR="00EB104A" w:rsidRDefault="00EB104A">
      <w:pPr>
        <w:pStyle w:val="ySubsection"/>
        <w:rPr>
          <w:szCs w:val="22"/>
        </w:rPr>
      </w:pPr>
      <w:r>
        <w:tab/>
        <w:t>(2)</w:t>
      </w:r>
      <w:r>
        <w:tab/>
      </w:r>
      <w:r>
        <w:rPr>
          <w:szCs w:val="22"/>
        </w:rPr>
        <w:t xml:space="preserve">A special resolution — </w:t>
      </w:r>
    </w:p>
    <w:p w:rsidR="00EB104A" w:rsidRDefault="00EB104A">
      <w:pPr>
        <w:pStyle w:val="yIndenta"/>
      </w:pPr>
      <w:r>
        <w:tab/>
        <w:t>(a)</w:t>
      </w:r>
      <w:r>
        <w:tab/>
        <w:t>may be decided on a show of hands; or</w:t>
      </w:r>
    </w:p>
    <w:p w:rsidR="00EB104A" w:rsidRDefault="00EB104A">
      <w:pPr>
        <w:pStyle w:val="yIndenta"/>
      </w:pPr>
      <w:r>
        <w:tab/>
        <w:t>(b)</w:t>
      </w:r>
      <w:r>
        <w:tab/>
        <w:t>may be conducted by a secret ballot in accordance with clause </w:t>
      </w:r>
      <w:r>
        <w:rPr>
          <w:szCs w:val="22"/>
        </w:rPr>
        <w:t>28</w:t>
      </w:r>
      <w:r>
        <w: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following are matters that must be decided by a special resolution at a meeting of the residents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rsidR="00EB104A" w:rsidRDefault="00EB104A">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rsidR="00EB104A" w:rsidRDefault="00EB104A">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rsidR="00EB104A" w:rsidRDefault="00EB104A">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rsidR="00EB104A" w:rsidRDefault="00EB104A">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rsidR="00EB104A" w:rsidRDefault="00EB104A">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rsidR="00EB104A" w:rsidRDefault="00EB104A">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rsidR="00EB104A" w:rsidRDefault="00EB104A">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rsidR="00EB104A" w:rsidRDefault="00EB104A">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rsidR="00EB104A" w:rsidRDefault="00EB104A">
      <w:pPr>
        <w:pStyle w:val="yHeading5"/>
      </w:pPr>
      <w:bookmarkStart w:id="42" w:name="_Toc75339747"/>
      <w:r>
        <w:rPr>
          <w:rStyle w:val="CharSClsNo"/>
        </w:rPr>
        <w:t>16</w:t>
      </w:r>
      <w:r>
        <w:t>.</w:t>
      </w:r>
      <w:r>
        <w:tab/>
        <w:t>Management procedures and resident consultation</w:t>
      </w:r>
      <w:bookmarkEnd w:id="42"/>
    </w:p>
    <w:p w:rsidR="00EB104A" w:rsidRDefault="00EB104A">
      <w:pPr>
        <w:pStyle w:val="ySubsection"/>
      </w:pPr>
      <w:r>
        <w:tab/>
        <w:t>(1)</w:t>
      </w:r>
      <w:r>
        <w:tab/>
        <w:t xml:space="preserve">The administering body of a retirement village must — </w:t>
      </w:r>
    </w:p>
    <w:p w:rsidR="00EB104A" w:rsidRDefault="00EB104A">
      <w:pPr>
        <w:pStyle w:val="yIndenta"/>
      </w:pPr>
      <w:r>
        <w:tab/>
        <w:t>(a)</w:t>
      </w:r>
      <w:r>
        <w:tab/>
        <w:t>provide prudent, efficient and economical management of the retirement village, having regard to the terms and conditions of the residence contract and any related contracts; and</w:t>
      </w:r>
    </w:p>
    <w:p w:rsidR="00EB104A" w:rsidRDefault="00EB104A">
      <w:pPr>
        <w:pStyle w:val="yIndenta"/>
        <w:rPr>
          <w:szCs w:val="22"/>
        </w:rPr>
      </w:pPr>
      <w:r>
        <w:lastRenderedPageBreak/>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rsidR="00EB104A" w:rsidRDefault="00EB104A">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rsidR="00EB104A" w:rsidRDefault="00EB104A">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rsidR="00EB104A" w:rsidRDefault="00EB104A">
      <w:pPr>
        <w:pStyle w:val="yIndenta"/>
        <w:rPr>
          <w:szCs w:val="22"/>
        </w:rPr>
      </w:pPr>
      <w:r>
        <w:tab/>
        <w:t>(e)</w:t>
      </w:r>
      <w:r>
        <w:tab/>
      </w:r>
      <w:r>
        <w:rPr>
          <w:szCs w:val="22"/>
        </w:rPr>
        <w:t>establish appropriate procedures for consulting with a residents’ committee established under clause 24.</w:t>
      </w:r>
    </w:p>
    <w:p w:rsidR="00EB104A" w:rsidRDefault="00EB104A">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rsidR="00EB104A" w:rsidRDefault="00EB104A">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rsidR="00EB104A" w:rsidRDefault="00EB104A">
      <w:pPr>
        <w:pStyle w:val="yIndenta"/>
        <w:rPr>
          <w:szCs w:val="22"/>
        </w:rPr>
      </w:pPr>
      <w:r>
        <w:tab/>
        <w:t>(b)</w:t>
      </w:r>
      <w:r>
        <w:tab/>
      </w:r>
      <w:r>
        <w:rPr>
          <w:szCs w:val="22"/>
        </w:rPr>
        <w:t>the operating budget for each financial year of the retirement village; and</w:t>
      </w:r>
    </w:p>
    <w:p w:rsidR="00EB104A" w:rsidRDefault="00EB104A">
      <w:pPr>
        <w:pStyle w:val="yIndenta"/>
        <w:rPr>
          <w:szCs w:val="22"/>
        </w:rPr>
      </w:pPr>
      <w:r>
        <w:tab/>
        <w:t>(c)</w:t>
      </w:r>
      <w:r>
        <w:tab/>
      </w:r>
      <w:r>
        <w:rPr>
          <w:szCs w:val="22"/>
        </w:rPr>
        <w:t>the reserve fund budget for each financial year of the retirement village; and</w:t>
      </w:r>
    </w:p>
    <w:p w:rsidR="00EB104A" w:rsidRDefault="00EB104A">
      <w:pPr>
        <w:pStyle w:val="yIndenta"/>
        <w:rPr>
          <w:szCs w:val="22"/>
        </w:rPr>
      </w:pPr>
      <w:r>
        <w:tab/>
        <w:t>(d)</w:t>
      </w:r>
      <w:r>
        <w:tab/>
      </w:r>
      <w:r>
        <w:rPr>
          <w:szCs w:val="22"/>
        </w:rPr>
        <w:t>the quarterly and annual financial statements for the retirement village; and</w:t>
      </w:r>
    </w:p>
    <w:p w:rsidR="00EB104A" w:rsidRDefault="00EB104A">
      <w:pPr>
        <w:pStyle w:val="yIndenta"/>
        <w:rPr>
          <w:szCs w:val="22"/>
        </w:rPr>
      </w:pPr>
      <w:r>
        <w:tab/>
        <w:t>(e)</w:t>
      </w:r>
      <w:r>
        <w:tab/>
      </w:r>
      <w:r>
        <w:rPr>
          <w:szCs w:val="22"/>
        </w:rPr>
        <w:t>any plans for the expansion of, or for substantial alterations to, the retirement village; and</w:t>
      </w:r>
    </w:p>
    <w:p w:rsidR="00EB104A" w:rsidRDefault="00EB104A">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rsidR="00EB104A" w:rsidRDefault="00EB104A">
      <w:pPr>
        <w:pStyle w:val="yIndenta"/>
        <w:rPr>
          <w:szCs w:val="22"/>
        </w:rPr>
      </w:pPr>
      <w:r>
        <w:tab/>
        <w:t>(g)</w:t>
      </w:r>
      <w:r>
        <w:tab/>
      </w:r>
      <w:r>
        <w:rPr>
          <w:szCs w:val="22"/>
        </w:rPr>
        <w:t>the establishment of, or changes to, the residence rules described in clause 23.</w:t>
      </w:r>
    </w:p>
    <w:p w:rsidR="00EB104A" w:rsidRDefault="00EB104A">
      <w:pPr>
        <w:pStyle w:val="ySubsection"/>
        <w:rPr>
          <w:szCs w:val="22"/>
        </w:rPr>
      </w:pPr>
      <w:r>
        <w:tab/>
        <w:t>(3)</w:t>
      </w:r>
      <w:r>
        <w:tab/>
      </w:r>
      <w:r>
        <w:rPr>
          <w:szCs w:val="22"/>
        </w:rPr>
        <w:t xml:space="preserve">The administering body of a retirement village must — </w:t>
      </w:r>
    </w:p>
    <w:p w:rsidR="00EB104A" w:rsidRDefault="00EB104A">
      <w:pPr>
        <w:pStyle w:val="yIndenta"/>
        <w:rPr>
          <w:szCs w:val="22"/>
        </w:rPr>
      </w:pPr>
      <w:r>
        <w:tab/>
        <w:t>(a)</w:t>
      </w:r>
      <w:r>
        <w:tab/>
      </w:r>
      <w:r>
        <w:rPr>
          <w:szCs w:val="22"/>
        </w:rPr>
        <w:t xml:space="preserve">comply with any reasonable request made by a resident for information on a specific operating financial arrangement or </w:t>
      </w:r>
      <w:r>
        <w:rPr>
          <w:szCs w:val="22"/>
        </w:rPr>
        <w:lastRenderedPageBreak/>
        <w:t xml:space="preserve">for information about the steps taken to minimise increases in village operating costs and the costs of reserve fund works; and </w:t>
      </w:r>
    </w:p>
    <w:p w:rsidR="00EB104A" w:rsidRDefault="00EB104A">
      <w:pPr>
        <w:pStyle w:val="yIndenta"/>
        <w:rPr>
          <w:szCs w:val="22"/>
        </w:rPr>
      </w:pPr>
      <w:r>
        <w:tab/>
        <w:t>(b)</w:t>
      </w:r>
      <w:r>
        <w:tab/>
      </w:r>
      <w:r>
        <w:rPr>
          <w:szCs w:val="22"/>
        </w:rPr>
        <w:t>make available to be inspected or copied any document that might reasonably be expected to be material to that request.</w:t>
      </w:r>
    </w:p>
    <w:p w:rsidR="00EB104A" w:rsidRDefault="00EB104A">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rsidR="00EB104A" w:rsidRDefault="00EB104A">
      <w:pPr>
        <w:pStyle w:val="yHeading5"/>
        <w:rPr>
          <w:szCs w:val="22"/>
        </w:rPr>
      </w:pPr>
      <w:bookmarkStart w:id="43" w:name="_Toc75339748"/>
      <w:r>
        <w:rPr>
          <w:rStyle w:val="CharSClsNo"/>
        </w:rPr>
        <w:t>17</w:t>
      </w:r>
      <w:r>
        <w:t>.</w:t>
      </w:r>
      <w:r>
        <w:tab/>
      </w:r>
      <w:r>
        <w:rPr>
          <w:szCs w:val="22"/>
        </w:rPr>
        <w:t>Village budget</w:t>
      </w:r>
      <w:bookmarkEnd w:id="43"/>
    </w:p>
    <w:p w:rsidR="00EB104A" w:rsidRDefault="00EB104A">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rsidR="00EB104A" w:rsidRDefault="00EB104A">
      <w:pPr>
        <w:pStyle w:val="yIndenta"/>
        <w:rPr>
          <w:szCs w:val="22"/>
        </w:rPr>
      </w:pPr>
      <w:r>
        <w:tab/>
        <w:t>(a)</w:t>
      </w:r>
      <w:r>
        <w:tab/>
      </w:r>
      <w:r>
        <w:rPr>
          <w:szCs w:val="22"/>
        </w:rPr>
        <w:t>a proposed operating budget for the next financial year of the retirement village;</w:t>
      </w:r>
    </w:p>
    <w:p w:rsidR="00EB104A" w:rsidRDefault="00EB104A">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rsidR="00EB104A" w:rsidRDefault="00EB104A">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rsidR="00EB104A" w:rsidRDefault="00EB104A">
      <w:pPr>
        <w:pStyle w:val="yIndenti0"/>
      </w:pPr>
      <w:r>
        <w:tab/>
        <w:t>(i)</w:t>
      </w:r>
      <w:r>
        <w:tab/>
        <w:t>relevant accounts of actual expenditure; and</w:t>
      </w:r>
    </w:p>
    <w:p w:rsidR="00EB104A" w:rsidRDefault="00EB104A">
      <w:pPr>
        <w:pStyle w:val="yIndenti0"/>
        <w:rPr>
          <w:szCs w:val="22"/>
        </w:rPr>
      </w:pPr>
      <w:r>
        <w:tab/>
        <w:t>(ii)</w:t>
      </w:r>
      <w:r>
        <w:tab/>
      </w:r>
      <w:r>
        <w:rPr>
          <w:szCs w:val="22"/>
        </w:rPr>
        <w:t>information explaining proposed fee changes or changes to the provision or availability of amenities or services.</w:t>
      </w:r>
    </w:p>
    <w:p w:rsidR="00EB104A" w:rsidRDefault="00EB104A">
      <w:pPr>
        <w:pStyle w:val="ySubsection"/>
        <w:rPr>
          <w:szCs w:val="22"/>
        </w:rPr>
      </w:pPr>
      <w:r>
        <w:tab/>
        <w:t>(2)</w:t>
      </w:r>
      <w:r>
        <w:tab/>
      </w:r>
      <w:r>
        <w:rPr>
          <w:szCs w:val="22"/>
        </w:rPr>
        <w:t>The administering body of a retirement village must give each resident written notice stating where and when the budget documents will be available.</w:t>
      </w:r>
    </w:p>
    <w:p w:rsidR="00EB104A" w:rsidRDefault="00EB104A">
      <w:pPr>
        <w:pStyle w:val="ySubsection"/>
        <w:rPr>
          <w:szCs w:val="22"/>
        </w:rPr>
      </w:pPr>
      <w:r>
        <w:tab/>
        <w:t>(3)</w:t>
      </w:r>
      <w:r>
        <w:tab/>
      </w:r>
      <w:r>
        <w:rPr>
          <w:szCs w:val="22"/>
        </w:rPr>
        <w:t xml:space="preserve">The proposed operating budget must be presented in a consistent format from one financial year to the next and must include a separate </w:t>
      </w:r>
      <w:r>
        <w:rPr>
          <w:szCs w:val="22"/>
        </w:rPr>
        <w:lastRenderedPageBreak/>
        <w:t xml:space="preserve">line item that presents, for the financial year, each of the following amounts — </w:t>
      </w:r>
    </w:p>
    <w:p w:rsidR="00EB104A" w:rsidRDefault="00EB104A">
      <w:pPr>
        <w:pStyle w:val="yIndenta"/>
        <w:rPr>
          <w:szCs w:val="22"/>
        </w:rPr>
      </w:pPr>
      <w:r>
        <w:tab/>
        <w:t>(a)</w:t>
      </w:r>
      <w:r>
        <w:tab/>
      </w:r>
      <w:r>
        <w:rPr>
          <w:szCs w:val="22"/>
        </w:rPr>
        <w:t xml:space="preserve">income from residents and former residents in the form of recurrent charges other than as — </w:t>
      </w:r>
    </w:p>
    <w:p w:rsidR="00EB104A" w:rsidRDefault="00EB104A">
      <w:pPr>
        <w:pStyle w:val="yIndenti0"/>
        <w:rPr>
          <w:szCs w:val="22"/>
        </w:rPr>
      </w:pPr>
      <w:r>
        <w:tab/>
        <w:t>(i)</w:t>
      </w:r>
      <w:r>
        <w:tab/>
      </w:r>
      <w:r>
        <w:rPr>
          <w:szCs w:val="22"/>
        </w:rPr>
        <w:t>rental income; or</w:t>
      </w:r>
    </w:p>
    <w:p w:rsidR="00EB104A" w:rsidRDefault="00EB104A">
      <w:pPr>
        <w:pStyle w:val="yIndenti0"/>
        <w:rPr>
          <w:szCs w:val="22"/>
        </w:rPr>
      </w:pPr>
      <w:r>
        <w:tab/>
        <w:t>(ii)</w:t>
      </w:r>
      <w:r>
        <w:tab/>
      </w:r>
      <w:r>
        <w:rPr>
          <w:szCs w:val="22"/>
        </w:rPr>
        <w:t>payments to a reserve fund;</w:t>
      </w:r>
    </w:p>
    <w:p w:rsidR="00EB104A" w:rsidRDefault="00EB104A">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rsidR="00EB104A" w:rsidRDefault="00EB104A">
      <w:pPr>
        <w:pStyle w:val="yIndenti0"/>
        <w:rPr>
          <w:szCs w:val="22"/>
        </w:rPr>
      </w:pPr>
      <w:r>
        <w:tab/>
        <w:t>(i)</w:t>
      </w:r>
      <w:r>
        <w:tab/>
      </w:r>
      <w:r>
        <w:rPr>
          <w:szCs w:val="22"/>
        </w:rPr>
        <w:t>rental income; or</w:t>
      </w:r>
    </w:p>
    <w:p w:rsidR="00EB104A" w:rsidRDefault="00EB104A">
      <w:pPr>
        <w:pStyle w:val="yIndenti0"/>
        <w:rPr>
          <w:szCs w:val="22"/>
        </w:rPr>
      </w:pPr>
      <w:r>
        <w:tab/>
        <w:t>(ii)</w:t>
      </w:r>
      <w:r>
        <w:tab/>
      </w:r>
      <w:r>
        <w:rPr>
          <w:szCs w:val="22"/>
        </w:rPr>
        <w:t>payments to a reserve fund;</w:t>
      </w:r>
    </w:p>
    <w:p w:rsidR="00EB104A" w:rsidRDefault="00EB104A">
      <w:pPr>
        <w:pStyle w:val="yIndenta"/>
        <w:rPr>
          <w:szCs w:val="22"/>
        </w:rPr>
      </w:pPr>
      <w:r>
        <w:tab/>
        <w:t>(c)</w:t>
      </w:r>
      <w:r>
        <w:tab/>
      </w:r>
      <w:r>
        <w:rPr>
          <w:szCs w:val="22"/>
        </w:rPr>
        <w:t>rental income used to meet village operating costs;</w:t>
      </w:r>
    </w:p>
    <w:p w:rsidR="00EB104A" w:rsidRDefault="00EB104A">
      <w:pPr>
        <w:pStyle w:val="yIndenta"/>
        <w:rPr>
          <w:szCs w:val="22"/>
        </w:rPr>
      </w:pPr>
      <w:r>
        <w:tab/>
        <w:t>(d)</w:t>
      </w:r>
      <w:r>
        <w:tab/>
      </w:r>
      <w:r>
        <w:rPr>
          <w:szCs w:val="22"/>
        </w:rPr>
        <w:t>any other forms of income used to meet village operating costs;</w:t>
      </w:r>
    </w:p>
    <w:p w:rsidR="00EB104A" w:rsidRDefault="00EB104A">
      <w:pPr>
        <w:pStyle w:val="yIndenta"/>
        <w:rPr>
          <w:szCs w:val="22"/>
        </w:rPr>
      </w:pPr>
      <w:r>
        <w:tab/>
        <w:t>(e)</w:t>
      </w:r>
      <w:r>
        <w:tab/>
      </w:r>
      <w:r>
        <w:rPr>
          <w:szCs w:val="22"/>
        </w:rPr>
        <w:t>total income;</w:t>
      </w:r>
    </w:p>
    <w:p w:rsidR="00EB104A" w:rsidRDefault="00EB104A">
      <w:pPr>
        <w:pStyle w:val="yIndenta"/>
        <w:rPr>
          <w:szCs w:val="22"/>
        </w:rPr>
      </w:pPr>
      <w:r>
        <w:tab/>
        <w:t>(f)</w:t>
      </w:r>
      <w:r>
        <w:tab/>
      </w:r>
      <w:r>
        <w:rPr>
          <w:szCs w:val="22"/>
        </w:rPr>
        <w:t>expenses for employee benefits other than for the training of, or for travel by, staff;</w:t>
      </w:r>
    </w:p>
    <w:p w:rsidR="00EB104A" w:rsidRDefault="00EB104A">
      <w:pPr>
        <w:pStyle w:val="yIndenta"/>
        <w:rPr>
          <w:szCs w:val="22"/>
        </w:rPr>
      </w:pPr>
      <w:r>
        <w:tab/>
        <w:t>(g)</w:t>
      </w:r>
      <w:r>
        <w:tab/>
      </w:r>
      <w:r>
        <w:rPr>
          <w:szCs w:val="22"/>
        </w:rPr>
        <w:t>expenses for the training of, or for travel by, staff;</w:t>
      </w:r>
    </w:p>
    <w:p w:rsidR="00EB104A" w:rsidRDefault="00EB104A">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rsidR="00EB104A" w:rsidRDefault="00EB104A">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rsidR="00EB104A" w:rsidRDefault="00EB104A">
      <w:pPr>
        <w:pStyle w:val="yIndenta"/>
        <w:rPr>
          <w:szCs w:val="22"/>
        </w:rPr>
      </w:pPr>
      <w:r>
        <w:tab/>
        <w:t>(j)</w:t>
      </w:r>
      <w:r>
        <w:tab/>
      </w:r>
      <w:r>
        <w:rPr>
          <w:szCs w:val="22"/>
        </w:rPr>
        <w:t>repairs and maintenance expenses funded from recurrent charges other than recurrent charges payable to a reserve fund;</w:t>
      </w:r>
    </w:p>
    <w:p w:rsidR="00EB104A" w:rsidRDefault="00EB104A">
      <w:pPr>
        <w:pStyle w:val="yIndenta"/>
        <w:rPr>
          <w:szCs w:val="22"/>
        </w:rPr>
      </w:pPr>
      <w:r>
        <w:tab/>
        <w:t>(k)</w:t>
      </w:r>
      <w:r>
        <w:tab/>
      </w:r>
      <w:r>
        <w:rPr>
          <w:szCs w:val="22"/>
        </w:rPr>
        <w:t>accreditation and membership fees paid to any industry body whose principal purpose is to represent the interests of administering bodies;</w:t>
      </w:r>
    </w:p>
    <w:p w:rsidR="00EB104A" w:rsidRDefault="00EB104A">
      <w:pPr>
        <w:pStyle w:val="yIndenta"/>
      </w:pPr>
      <w:r>
        <w:tab/>
        <w:t>(l)</w:t>
      </w:r>
      <w:r>
        <w:tab/>
        <w:t>insurance expenses;</w:t>
      </w:r>
    </w:p>
    <w:p w:rsidR="00EB104A" w:rsidRDefault="00EB104A">
      <w:pPr>
        <w:pStyle w:val="yIndenta"/>
        <w:rPr>
          <w:szCs w:val="22"/>
        </w:rPr>
      </w:pPr>
      <w:r>
        <w:tab/>
        <w:t>(m)</w:t>
      </w:r>
      <w:r>
        <w:tab/>
      </w:r>
      <w:r>
        <w:rPr>
          <w:szCs w:val="22"/>
        </w:rPr>
        <w:t>legal expenses;</w:t>
      </w:r>
    </w:p>
    <w:p w:rsidR="00EB104A" w:rsidRDefault="00EB104A">
      <w:pPr>
        <w:pStyle w:val="yIndenta"/>
      </w:pPr>
      <w:r>
        <w:tab/>
        <w:t>(n)</w:t>
      </w:r>
      <w:r>
        <w:tab/>
        <w:t>finance costs;</w:t>
      </w:r>
    </w:p>
    <w:p w:rsidR="00EB104A" w:rsidRDefault="00EB104A">
      <w:pPr>
        <w:pStyle w:val="yIndenta"/>
        <w:rPr>
          <w:szCs w:val="22"/>
        </w:rPr>
      </w:pPr>
      <w:r>
        <w:lastRenderedPageBreak/>
        <w:tab/>
        <w:t>(o)</w:t>
      </w:r>
      <w:r>
        <w:tab/>
      </w:r>
      <w:r>
        <w:rPr>
          <w:szCs w:val="22"/>
        </w:rPr>
        <w:t>fees for the provision of management and administration services to the residents of the village;</w:t>
      </w:r>
    </w:p>
    <w:p w:rsidR="00EB104A" w:rsidRDefault="00EB104A">
      <w:pPr>
        <w:pStyle w:val="yIndenta"/>
      </w:pPr>
      <w:r>
        <w:tab/>
        <w:t>(p)</w:t>
      </w:r>
      <w:r>
        <w:tab/>
        <w:t>material classes of expenditure that are relevant to an understanding of the budget</w:t>
      </w:r>
      <w:r>
        <w:rPr>
          <w:szCs w:val="22"/>
        </w:rPr>
        <w:t xml:space="preserve"> that have not been otherwise separately disclosed under this subclause;</w:t>
      </w:r>
    </w:p>
    <w:p w:rsidR="00EB104A" w:rsidRDefault="00EB104A">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rsidR="00EB104A" w:rsidRDefault="00EB104A">
      <w:pPr>
        <w:pStyle w:val="yIndenta"/>
        <w:rPr>
          <w:szCs w:val="22"/>
        </w:rPr>
      </w:pPr>
      <w:r>
        <w:tab/>
        <w:t>(r)</w:t>
      </w:r>
      <w:r>
        <w:tab/>
      </w:r>
      <w:r>
        <w:rPr>
          <w:szCs w:val="22"/>
        </w:rPr>
        <w:t>total proposed expenditure for the financial year;</w:t>
      </w:r>
    </w:p>
    <w:p w:rsidR="00EB104A" w:rsidRDefault="00EB104A">
      <w:pPr>
        <w:pStyle w:val="yIndenta"/>
        <w:rPr>
          <w:szCs w:val="22"/>
        </w:rPr>
      </w:pPr>
      <w:r>
        <w:tab/>
        <w:t>(s)</w:t>
      </w:r>
      <w:r>
        <w:tab/>
      </w:r>
      <w:r>
        <w:rPr>
          <w:szCs w:val="22"/>
        </w:rPr>
        <w:t>expected surplus or deficit for the financial year.</w:t>
      </w:r>
    </w:p>
    <w:p w:rsidR="00EB104A" w:rsidRDefault="00EB104A">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rsidR="00EB104A" w:rsidRDefault="00EB104A">
      <w:pPr>
        <w:pStyle w:val="yIndenta"/>
        <w:rPr>
          <w:szCs w:val="22"/>
        </w:rPr>
      </w:pPr>
      <w:r>
        <w:tab/>
        <w:t>(a)</w:t>
      </w:r>
      <w:r>
        <w:tab/>
      </w:r>
      <w:r>
        <w:rPr>
          <w:szCs w:val="22"/>
        </w:rPr>
        <w:t>the opening balance of the reserve fund as at the beginning of the financial year;</w:t>
      </w:r>
    </w:p>
    <w:p w:rsidR="00EB104A" w:rsidRDefault="00EB104A">
      <w:pPr>
        <w:pStyle w:val="yIndenta"/>
        <w:rPr>
          <w:szCs w:val="22"/>
        </w:rPr>
      </w:pPr>
      <w:r>
        <w:tab/>
        <w:t>(b)</w:t>
      </w:r>
      <w:r>
        <w:tab/>
      </w:r>
      <w:r>
        <w:rPr>
          <w:szCs w:val="22"/>
        </w:rPr>
        <w:t>income from residents and former residents in the form of recurrent charges that are payable to the reserve fund;</w:t>
      </w:r>
    </w:p>
    <w:p w:rsidR="00EB104A" w:rsidRDefault="00EB104A">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rsidR="00EB104A" w:rsidRDefault="00EB104A">
      <w:pPr>
        <w:pStyle w:val="yIndenta"/>
        <w:rPr>
          <w:szCs w:val="22"/>
        </w:rPr>
      </w:pPr>
      <w:r>
        <w:tab/>
        <w:t>(d)</w:t>
      </w:r>
      <w:r>
        <w:tab/>
      </w:r>
      <w:r>
        <w:rPr>
          <w:szCs w:val="22"/>
        </w:rPr>
        <w:t>income payable to the reserve fund in the form of amounts deducted from premiums repayable to residents who have permanently vacated the village;</w:t>
      </w:r>
    </w:p>
    <w:p w:rsidR="00EB104A" w:rsidRDefault="00EB104A">
      <w:pPr>
        <w:pStyle w:val="yIndenta"/>
        <w:rPr>
          <w:szCs w:val="22"/>
        </w:rPr>
      </w:pPr>
      <w:r>
        <w:tab/>
        <w:t>(e)</w:t>
      </w:r>
      <w:r>
        <w:tab/>
      </w:r>
      <w:r>
        <w:rPr>
          <w:szCs w:val="22"/>
        </w:rPr>
        <w:t>interest earned on money in the reserve fund;</w:t>
      </w:r>
    </w:p>
    <w:p w:rsidR="00EB104A" w:rsidRDefault="00EB104A">
      <w:pPr>
        <w:pStyle w:val="yIndenta"/>
        <w:rPr>
          <w:szCs w:val="22"/>
        </w:rPr>
      </w:pPr>
      <w:r>
        <w:tab/>
        <w:t>(f)</w:t>
      </w:r>
      <w:r>
        <w:tab/>
      </w:r>
      <w:r>
        <w:rPr>
          <w:szCs w:val="22"/>
        </w:rPr>
        <w:t>any other income, and the source of that income, used to meet expenditure from the reserve fund;</w:t>
      </w:r>
    </w:p>
    <w:p w:rsidR="00EB104A" w:rsidRDefault="00EB104A">
      <w:pPr>
        <w:pStyle w:val="yIndenta"/>
        <w:rPr>
          <w:szCs w:val="22"/>
        </w:rPr>
      </w:pPr>
      <w:r>
        <w:tab/>
        <w:t>(g)</w:t>
      </w:r>
      <w:r>
        <w:tab/>
      </w:r>
      <w:r>
        <w:rPr>
          <w:szCs w:val="22"/>
        </w:rPr>
        <w:t>total reserve fund income;</w:t>
      </w:r>
    </w:p>
    <w:p w:rsidR="00EB104A" w:rsidRDefault="00EB104A">
      <w:pPr>
        <w:pStyle w:val="yIndenta"/>
        <w:rPr>
          <w:szCs w:val="22"/>
        </w:rPr>
      </w:pPr>
      <w:r>
        <w:tab/>
        <w:t>(h)</w:t>
      </w:r>
      <w:r>
        <w:tab/>
      </w:r>
      <w:r>
        <w:rPr>
          <w:szCs w:val="22"/>
        </w:rPr>
        <w:t>expenditure in each material class of expenditure from the reserve fund (for example, repairs, replacements, maintenance and renovations of a capital nature);</w:t>
      </w:r>
    </w:p>
    <w:p w:rsidR="00EB104A" w:rsidRDefault="00EB104A">
      <w:pPr>
        <w:pStyle w:val="yIndenta"/>
        <w:rPr>
          <w:szCs w:val="22"/>
        </w:rPr>
      </w:pPr>
      <w:r>
        <w:tab/>
        <w:t>(i)</w:t>
      </w:r>
      <w:r>
        <w:tab/>
      </w:r>
      <w:r>
        <w:rPr>
          <w:szCs w:val="22"/>
        </w:rPr>
        <w:t>total reserve fund expenditure;</w:t>
      </w:r>
    </w:p>
    <w:p w:rsidR="00EB104A" w:rsidRDefault="00EB104A">
      <w:pPr>
        <w:pStyle w:val="yIndenta"/>
        <w:rPr>
          <w:szCs w:val="22"/>
        </w:rPr>
      </w:pPr>
      <w:r>
        <w:tab/>
        <w:t>(j)</w:t>
      </w:r>
      <w:r>
        <w:tab/>
      </w:r>
      <w:r>
        <w:rPr>
          <w:szCs w:val="22"/>
        </w:rPr>
        <w:t>the closing balance of the reserve fund as at the end of the financial year.</w:t>
      </w:r>
    </w:p>
    <w:p w:rsidR="00EB104A" w:rsidRDefault="00EB104A">
      <w:pPr>
        <w:pStyle w:val="ySubsection"/>
        <w:rPr>
          <w:szCs w:val="22"/>
        </w:rPr>
      </w:pPr>
      <w:r>
        <w:lastRenderedPageBreak/>
        <w:tab/>
        <w:t>(5)</w:t>
      </w:r>
      <w:r>
        <w:tab/>
      </w:r>
      <w:r>
        <w:rPr>
          <w:szCs w:val="22"/>
        </w:rPr>
        <w:t>A proposed budget may also include any additional line items, headings and subtotals relevant to an understanding of the financial performance of the retirement village.</w:t>
      </w:r>
    </w:p>
    <w:p w:rsidR="00EB104A" w:rsidRDefault="00EB104A">
      <w:pPr>
        <w:pStyle w:val="ySubsection"/>
        <w:keepNext/>
        <w:rPr>
          <w:szCs w:val="22"/>
        </w:rPr>
      </w:pPr>
      <w:r>
        <w:tab/>
        <w:t>(6)</w:t>
      </w:r>
      <w:r>
        <w:tab/>
      </w:r>
      <w:r>
        <w:rPr>
          <w:szCs w:val="22"/>
        </w:rPr>
        <w:t xml:space="preserve">A proposed budget must include notes to the budget disclosing — </w:t>
      </w:r>
    </w:p>
    <w:p w:rsidR="00EB104A" w:rsidRDefault="00EB104A">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rsidR="00EB104A" w:rsidRDefault="00EB104A">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rsidR="00EB104A" w:rsidRDefault="00EB104A">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rsidR="00EB104A" w:rsidRDefault="00EB104A">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rsidR="00EB104A" w:rsidRDefault="00EB104A">
      <w:pPr>
        <w:pStyle w:val="yIndenti0"/>
        <w:rPr>
          <w:szCs w:val="22"/>
        </w:rPr>
      </w:pPr>
      <w:r>
        <w:tab/>
        <w:t>(i)</w:t>
      </w:r>
      <w:r>
        <w:tab/>
      </w:r>
      <w:r>
        <w:rPr>
          <w:szCs w:val="22"/>
        </w:rPr>
        <w:t>the method of calculation used to apportion the expenses; and</w:t>
      </w:r>
    </w:p>
    <w:p w:rsidR="00EB104A" w:rsidRDefault="00EB104A">
      <w:pPr>
        <w:pStyle w:val="yIndenti0"/>
        <w:rPr>
          <w:szCs w:val="22"/>
        </w:rPr>
      </w:pPr>
      <w:r>
        <w:tab/>
        <w:t>(ii)</w:t>
      </w:r>
      <w:r>
        <w:tab/>
      </w:r>
      <w:r>
        <w:rPr>
          <w:szCs w:val="22"/>
        </w:rPr>
        <w:t>the separate disclosure of the material items of expenses that comprise the line item that have not been otherwise separately disclosed under this clause;</w:t>
      </w:r>
    </w:p>
    <w:p w:rsidR="00EB104A" w:rsidRDefault="00EB104A">
      <w:pPr>
        <w:pStyle w:val="yIndenta"/>
      </w:pPr>
      <w:r>
        <w:tab/>
      </w:r>
      <w:r>
        <w:tab/>
        <w:t>and</w:t>
      </w:r>
    </w:p>
    <w:p w:rsidR="00EB104A" w:rsidRDefault="00EB104A">
      <w:pPr>
        <w:pStyle w:val="yIndenta"/>
      </w:pPr>
      <w:r>
        <w:tab/>
        <w:t>(e)</w:t>
      </w:r>
      <w:r>
        <w:tab/>
        <w:t>for</w:t>
      </w:r>
      <w:r>
        <w:rPr>
          <w:szCs w:val="22"/>
        </w:rPr>
        <w:t xml:space="preserve"> </w:t>
      </w:r>
      <w:r>
        <w:t xml:space="preserve">management and administration fees other than those described in paragraph (d) — </w:t>
      </w:r>
    </w:p>
    <w:p w:rsidR="00EB104A" w:rsidRDefault="00EB104A">
      <w:pPr>
        <w:pStyle w:val="yIndenti0"/>
        <w:rPr>
          <w:szCs w:val="22"/>
        </w:rPr>
      </w:pPr>
      <w:r>
        <w:tab/>
        <w:t>(i)</w:t>
      </w:r>
      <w:r>
        <w:tab/>
      </w:r>
      <w:r>
        <w:rPr>
          <w:szCs w:val="22"/>
        </w:rPr>
        <w:t>the method of calculation; and</w:t>
      </w:r>
    </w:p>
    <w:p w:rsidR="00EB104A" w:rsidRDefault="00EB104A">
      <w:pPr>
        <w:pStyle w:val="yIndenti0"/>
      </w:pPr>
      <w:r>
        <w:tab/>
        <w:t>(ii)</w:t>
      </w:r>
      <w:r>
        <w:tab/>
        <w:t>the separate disclosure of the material items of expenses that comprise the management and administration fees that have not been otherwise separately disclosed under this clause;</w:t>
      </w:r>
    </w:p>
    <w:p w:rsidR="00EB104A" w:rsidRDefault="00EB104A">
      <w:pPr>
        <w:pStyle w:val="yIndenta"/>
      </w:pPr>
      <w:r>
        <w:tab/>
      </w:r>
      <w:r>
        <w:tab/>
        <w:t>and</w:t>
      </w:r>
    </w:p>
    <w:p w:rsidR="00EB104A" w:rsidRDefault="00EB104A">
      <w:pPr>
        <w:pStyle w:val="yIndenta"/>
        <w:rPr>
          <w:szCs w:val="22"/>
        </w:rPr>
      </w:pPr>
      <w:r>
        <w:tab/>
        <w:t>(f)</w:t>
      </w:r>
      <w:r>
        <w:tab/>
      </w:r>
      <w:r>
        <w:rPr>
          <w:szCs w:val="22"/>
        </w:rPr>
        <w:t>any other information relevant to an understanding of the proposed budget of the village.</w:t>
      </w:r>
    </w:p>
    <w:p w:rsidR="00EB104A" w:rsidRDefault="00EB104A">
      <w:pPr>
        <w:pStyle w:val="ySubsection"/>
        <w:rPr>
          <w:szCs w:val="22"/>
        </w:rPr>
      </w:pPr>
      <w:r>
        <w:lastRenderedPageBreak/>
        <w:tab/>
        <w:t>(7)</w:t>
      </w:r>
      <w:r>
        <w:tab/>
      </w:r>
      <w:r>
        <w:rPr>
          <w:szCs w:val="22"/>
        </w:rPr>
        <w:t>If the administering body administers more than 1 retirement village, the administering body must provide separate budget documents for each village.</w:t>
      </w:r>
    </w:p>
    <w:p w:rsidR="00EB104A" w:rsidRDefault="00EB104A">
      <w:pPr>
        <w:pStyle w:val="ySubsection"/>
        <w:keepNext/>
        <w:rPr>
          <w:szCs w:val="22"/>
        </w:rPr>
      </w:pPr>
      <w:r>
        <w:tab/>
        <w:t>(8)</w:t>
      </w:r>
      <w:r>
        <w:tab/>
      </w:r>
      <w:r>
        <w:rPr>
          <w:szCs w:val="22"/>
        </w:rPr>
        <w:t xml:space="preserve">The village budget for a financial year must not be finalised until — </w:t>
      </w:r>
    </w:p>
    <w:p w:rsidR="00EB104A" w:rsidRDefault="00EB104A">
      <w:pPr>
        <w:pStyle w:val="yIndenta"/>
        <w:rPr>
          <w:szCs w:val="22"/>
        </w:rPr>
      </w:pPr>
      <w:r>
        <w:tab/>
        <w:t>(a)</w:t>
      </w:r>
      <w:r>
        <w:tab/>
      </w:r>
      <w:r>
        <w:rPr>
          <w:szCs w:val="22"/>
        </w:rPr>
        <w:t>each resident has been given a minimum of 10 working days after service of the notice under subclause (2) to consider the budget documents; and</w:t>
      </w:r>
    </w:p>
    <w:p w:rsidR="00EB104A" w:rsidRDefault="00EB104A">
      <w:pPr>
        <w:pStyle w:val="yIndenta"/>
      </w:pPr>
      <w:r>
        <w:tab/>
        <w:t>(b)</w:t>
      </w:r>
      <w:r>
        <w:tab/>
      </w:r>
      <w:r>
        <w:rPr>
          <w:szCs w:val="22"/>
        </w:rPr>
        <w:t>the administering body has held the annual budget meeting of the residents as required under clause 26(1)(b).</w:t>
      </w:r>
    </w:p>
    <w:p w:rsidR="00EB104A" w:rsidRDefault="00EB104A">
      <w:pPr>
        <w:pStyle w:val="yHeading5"/>
        <w:rPr>
          <w:szCs w:val="22"/>
        </w:rPr>
      </w:pPr>
      <w:bookmarkStart w:id="44" w:name="_Toc75339749"/>
      <w:r>
        <w:rPr>
          <w:rStyle w:val="CharSClsNo"/>
        </w:rPr>
        <w:t>18</w:t>
      </w:r>
      <w:r>
        <w:t>.</w:t>
      </w:r>
      <w:r>
        <w:tab/>
      </w:r>
      <w:r>
        <w:rPr>
          <w:szCs w:val="22"/>
        </w:rPr>
        <w:t>Quarterly financial statements</w:t>
      </w:r>
      <w:bookmarkEnd w:id="44"/>
    </w:p>
    <w:p w:rsidR="00EB104A" w:rsidRDefault="00EB104A">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rsidR="00EB104A" w:rsidRDefault="00EB104A">
      <w:pPr>
        <w:pStyle w:val="yIndenta"/>
        <w:keepNext/>
        <w:keepLines/>
        <w:rPr>
          <w:szCs w:val="22"/>
        </w:rPr>
      </w:pPr>
      <w:r>
        <w:tab/>
        <w:t>(a)</w:t>
      </w:r>
      <w:r>
        <w:tab/>
      </w:r>
      <w:r>
        <w:rPr>
          <w:szCs w:val="22"/>
        </w:rPr>
        <w:t xml:space="preserve">a statement of income and expenditure; </w:t>
      </w:r>
    </w:p>
    <w:p w:rsidR="00EB104A" w:rsidRDefault="00EB104A">
      <w:pPr>
        <w:pStyle w:val="yIndenta"/>
        <w:keepNext/>
        <w:keepLines/>
        <w:rPr>
          <w:szCs w:val="22"/>
        </w:rPr>
      </w:pPr>
      <w:r>
        <w:tab/>
        <w:t>(b)</w:t>
      </w:r>
      <w:r>
        <w:tab/>
      </w:r>
      <w:r>
        <w:rPr>
          <w:szCs w:val="22"/>
        </w:rPr>
        <w:t>a reserve fund statement.</w:t>
      </w:r>
    </w:p>
    <w:p w:rsidR="00EB104A" w:rsidRDefault="00EB104A">
      <w:pPr>
        <w:pStyle w:val="ySubsection"/>
        <w:keepNext/>
        <w:keepLines/>
        <w:rPr>
          <w:szCs w:val="22"/>
        </w:rPr>
      </w:pPr>
      <w:r>
        <w:tab/>
        <w:t>(2)</w:t>
      </w:r>
      <w:r>
        <w:tab/>
      </w:r>
      <w:r>
        <w:rPr>
          <w:szCs w:val="22"/>
        </w:rPr>
        <w:t>A quarterly financial statement under subclause (1) must present fairly the financial performance of the village for the quarter.</w:t>
      </w:r>
    </w:p>
    <w:p w:rsidR="00EB104A" w:rsidRDefault="00EB104A">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rsidR="00EB104A" w:rsidRDefault="00EB104A">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rsidR="00EB104A" w:rsidRDefault="00EB104A">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rsidR="00EB104A" w:rsidRDefault="00EB104A">
      <w:pPr>
        <w:pStyle w:val="ySubsection"/>
        <w:rPr>
          <w:szCs w:val="22"/>
        </w:rPr>
      </w:pPr>
      <w:r>
        <w:tab/>
        <w:t>(6)</w:t>
      </w:r>
      <w:r>
        <w:tab/>
      </w:r>
      <w:r>
        <w:rPr>
          <w:szCs w:val="22"/>
        </w:rPr>
        <w:t xml:space="preserve">A quarterly financial statement must include notes to the statement disclosing — </w:t>
      </w:r>
    </w:p>
    <w:p w:rsidR="00EB104A" w:rsidRDefault="00EB104A">
      <w:pPr>
        <w:pStyle w:val="yIndenta"/>
        <w:rPr>
          <w:szCs w:val="22"/>
        </w:rPr>
      </w:pPr>
      <w:r>
        <w:tab/>
        <w:t>(a)</w:t>
      </w:r>
      <w:r>
        <w:tab/>
      </w:r>
      <w:r>
        <w:rPr>
          <w:szCs w:val="22"/>
        </w:rPr>
        <w:t>the matters described in clause 17(6)(a) to (e); and</w:t>
      </w:r>
    </w:p>
    <w:p w:rsidR="00EB104A" w:rsidRDefault="00EB104A">
      <w:pPr>
        <w:pStyle w:val="yIndenta"/>
        <w:rPr>
          <w:szCs w:val="22"/>
        </w:rPr>
      </w:pPr>
      <w:r>
        <w:tab/>
        <w:t>(b)</w:t>
      </w:r>
      <w:r>
        <w:tab/>
      </w:r>
      <w:r>
        <w:rPr>
          <w:szCs w:val="22"/>
        </w:rPr>
        <w:t>reasons for any variations of 10% or more between actual and budgeted expenditure (including reserve fund expenditure); and</w:t>
      </w:r>
    </w:p>
    <w:p w:rsidR="00EB104A" w:rsidRDefault="00EB104A">
      <w:pPr>
        <w:pStyle w:val="yIndenta"/>
        <w:rPr>
          <w:szCs w:val="22"/>
        </w:rPr>
      </w:pPr>
      <w:r>
        <w:lastRenderedPageBreak/>
        <w:tab/>
        <w:t>(c)</w:t>
      </w:r>
      <w:r>
        <w:tab/>
      </w:r>
      <w:r>
        <w:rPr>
          <w:szCs w:val="22"/>
        </w:rPr>
        <w:t>any other information relevant to an understanding of the financial performance of the village.</w:t>
      </w:r>
    </w:p>
    <w:p w:rsidR="00EB104A" w:rsidRDefault="00EB104A">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rsidR="00EB104A" w:rsidRDefault="00EB104A">
      <w:pPr>
        <w:pStyle w:val="ySubsection"/>
        <w:rPr>
          <w:szCs w:val="22"/>
        </w:rPr>
      </w:pPr>
      <w:r>
        <w:tab/>
        <w:t>(8)</w:t>
      </w:r>
      <w:r>
        <w:tab/>
      </w:r>
      <w:r>
        <w:rPr>
          <w:szCs w:val="22"/>
        </w:rPr>
        <w:t xml:space="preserve">The administering body of a retirement village must — </w:t>
      </w:r>
    </w:p>
    <w:p w:rsidR="00EB104A" w:rsidRDefault="00EB104A">
      <w:pPr>
        <w:pStyle w:val="yIndenta"/>
        <w:rPr>
          <w:szCs w:val="22"/>
        </w:rPr>
      </w:pPr>
      <w:r>
        <w:tab/>
        <w:t>(a)</w:t>
      </w:r>
      <w:r>
        <w:tab/>
      </w:r>
      <w:r>
        <w:rPr>
          <w:szCs w:val="22"/>
        </w:rPr>
        <w:t>display the quarterly financial statements in a central location in the retirement village; and</w:t>
      </w:r>
    </w:p>
    <w:p w:rsidR="00EB104A" w:rsidRDefault="00EB104A">
      <w:pPr>
        <w:pStyle w:val="yIndenta"/>
      </w:pPr>
      <w:r>
        <w:tab/>
        <w:t>(b)</w:t>
      </w:r>
      <w:r>
        <w:tab/>
      </w:r>
      <w:r>
        <w:rPr>
          <w:szCs w:val="22"/>
        </w:rPr>
        <w:t>make a copy of the quarterly financial statements available to each resident on request.</w:t>
      </w:r>
    </w:p>
    <w:p w:rsidR="00EB104A" w:rsidRDefault="00EB104A">
      <w:pPr>
        <w:pStyle w:val="yHeading5"/>
      </w:pPr>
      <w:bookmarkStart w:id="45" w:name="_Toc75339750"/>
      <w:r>
        <w:rPr>
          <w:rStyle w:val="CharSClsNo"/>
        </w:rPr>
        <w:t>19</w:t>
      </w:r>
      <w:r>
        <w:t>.</w:t>
      </w:r>
      <w:r>
        <w:tab/>
        <w:t>Annual financial statements</w:t>
      </w:r>
      <w:bookmarkEnd w:id="45"/>
    </w:p>
    <w:p w:rsidR="00EB104A" w:rsidRDefault="00EB104A">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rsidR="00EB104A" w:rsidRDefault="00EB104A">
      <w:pPr>
        <w:pStyle w:val="yIndenta"/>
        <w:rPr>
          <w:szCs w:val="22"/>
        </w:rPr>
      </w:pPr>
      <w:r>
        <w:tab/>
        <w:t>(a)</w:t>
      </w:r>
      <w:r>
        <w:tab/>
      </w:r>
      <w:r>
        <w:rPr>
          <w:szCs w:val="22"/>
        </w:rPr>
        <w:t>a statement of income and expenditure;</w:t>
      </w:r>
    </w:p>
    <w:p w:rsidR="00EB104A" w:rsidRDefault="00EB104A">
      <w:pPr>
        <w:pStyle w:val="yIndenta"/>
        <w:rPr>
          <w:szCs w:val="22"/>
        </w:rPr>
      </w:pPr>
      <w:r>
        <w:tab/>
        <w:t>(b)</w:t>
      </w:r>
      <w:r>
        <w:tab/>
      </w:r>
      <w:r>
        <w:rPr>
          <w:szCs w:val="22"/>
        </w:rPr>
        <w:t>a reserve fund statement.</w:t>
      </w:r>
    </w:p>
    <w:p w:rsidR="00EB104A" w:rsidRDefault="00EB104A">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rsidR="00EB104A" w:rsidRDefault="00EB104A">
      <w:pPr>
        <w:pStyle w:val="ySubsection"/>
        <w:rPr>
          <w:szCs w:val="22"/>
        </w:rPr>
      </w:pPr>
      <w:r>
        <w:tab/>
        <w:t>(3)</w:t>
      </w:r>
      <w:r>
        <w:tab/>
      </w:r>
      <w:r>
        <w:rPr>
          <w:szCs w:val="22"/>
        </w:rPr>
        <w:t>The annual financial statements must present fairly the financial performance of the retirement village during the financial year.</w:t>
      </w:r>
    </w:p>
    <w:p w:rsidR="00EB104A" w:rsidRDefault="00EB104A">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rsidR="00EB104A" w:rsidRDefault="00EB104A">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rsidR="00EB104A" w:rsidRDefault="00EB104A">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rsidR="00EB104A" w:rsidRDefault="00EB104A">
      <w:pPr>
        <w:pStyle w:val="ySubsection"/>
        <w:rPr>
          <w:szCs w:val="22"/>
        </w:rPr>
      </w:pPr>
      <w:r>
        <w:lastRenderedPageBreak/>
        <w:tab/>
        <w:t>(7)</w:t>
      </w:r>
      <w:r>
        <w:tab/>
      </w:r>
      <w:r>
        <w:rPr>
          <w:szCs w:val="22"/>
        </w:rPr>
        <w:t>An annual financial statement must present, for each amount reported for the year to which the statement relates, comparative information for the preceding financial year.</w:t>
      </w:r>
    </w:p>
    <w:p w:rsidR="00EB104A" w:rsidRDefault="00EB104A">
      <w:pPr>
        <w:pStyle w:val="ySubsection"/>
        <w:rPr>
          <w:szCs w:val="22"/>
        </w:rPr>
      </w:pPr>
      <w:r>
        <w:tab/>
        <w:t>(8)</w:t>
      </w:r>
      <w:r>
        <w:tab/>
      </w:r>
      <w:r>
        <w:rPr>
          <w:szCs w:val="22"/>
        </w:rPr>
        <w:t xml:space="preserve">An annual financial statement must include notes to the statement disclosing — </w:t>
      </w:r>
    </w:p>
    <w:p w:rsidR="00EB104A" w:rsidRDefault="00EB104A">
      <w:pPr>
        <w:pStyle w:val="yIndenta"/>
        <w:rPr>
          <w:szCs w:val="22"/>
        </w:rPr>
      </w:pPr>
      <w:r>
        <w:tab/>
        <w:t>(a)</w:t>
      </w:r>
      <w:r>
        <w:tab/>
      </w:r>
      <w:r>
        <w:rPr>
          <w:szCs w:val="22"/>
        </w:rPr>
        <w:t>the matters described in clause 17(6)(a) to (e); and</w:t>
      </w:r>
    </w:p>
    <w:p w:rsidR="00EB104A" w:rsidRDefault="00EB104A">
      <w:pPr>
        <w:pStyle w:val="yIndenta"/>
        <w:rPr>
          <w:szCs w:val="22"/>
        </w:rPr>
      </w:pPr>
      <w:r>
        <w:tab/>
        <w:t>(b)</w:t>
      </w:r>
      <w:r>
        <w:tab/>
      </w:r>
      <w:r>
        <w:rPr>
          <w:szCs w:val="22"/>
        </w:rPr>
        <w:t>reasons for any variations of 10% or more between actual and budgeted expenditure (including reserve fund expenditure); and</w:t>
      </w:r>
    </w:p>
    <w:p w:rsidR="00EB104A" w:rsidRDefault="00EB104A">
      <w:pPr>
        <w:pStyle w:val="yIndenta"/>
      </w:pPr>
      <w:r>
        <w:tab/>
        <w:t>(c)</w:t>
      </w:r>
      <w:r>
        <w:tab/>
        <w:t>the opening balance of the accumulated surplus or deficit as at the beginning of the financial year; and</w:t>
      </w:r>
    </w:p>
    <w:p w:rsidR="00EB104A" w:rsidRDefault="00EB104A">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rsidR="00EB104A" w:rsidRDefault="00EB104A">
      <w:pPr>
        <w:pStyle w:val="yIndenta"/>
        <w:rPr>
          <w:szCs w:val="22"/>
        </w:rPr>
      </w:pPr>
      <w:r>
        <w:tab/>
        <w:t>(e)</w:t>
      </w:r>
      <w:r>
        <w:tab/>
      </w:r>
      <w:r>
        <w:rPr>
          <w:szCs w:val="22"/>
        </w:rPr>
        <w:t>any other information relevant to an understanding of the financial performance of the village.</w:t>
      </w:r>
    </w:p>
    <w:p w:rsidR="00EB104A" w:rsidRDefault="00EB104A">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rsidR="00EB104A" w:rsidRDefault="00EB104A">
      <w:pPr>
        <w:pStyle w:val="yIndenta"/>
        <w:rPr>
          <w:szCs w:val="22"/>
        </w:rPr>
      </w:pPr>
      <w:r>
        <w:tab/>
        <w:t>(a)</w:t>
      </w:r>
      <w:r>
        <w:tab/>
      </w:r>
      <w:r>
        <w:rPr>
          <w:szCs w:val="22"/>
        </w:rPr>
        <w:t xml:space="preserve">a member of a professional accounting body who holds either — </w:t>
      </w:r>
    </w:p>
    <w:p w:rsidR="00EB104A" w:rsidRDefault="00EB104A">
      <w:pPr>
        <w:pStyle w:val="yIndenti0"/>
      </w:pPr>
      <w:r>
        <w:tab/>
        <w:t>(i)</w:t>
      </w:r>
      <w:r>
        <w:tab/>
        <w:t>a Certificate of Public Practice issued by Chartered Accountants Australia and New Zealand; or</w:t>
      </w:r>
    </w:p>
    <w:p w:rsidR="00EB104A" w:rsidRDefault="00EB104A">
      <w:pPr>
        <w:pStyle w:val="yIndenti0"/>
        <w:rPr>
          <w:szCs w:val="22"/>
        </w:rPr>
      </w:pPr>
      <w:r>
        <w:tab/>
        <w:t>(ii)</w:t>
      </w:r>
      <w:r>
        <w:tab/>
      </w:r>
      <w:r>
        <w:rPr>
          <w:szCs w:val="22"/>
        </w:rPr>
        <w:t>a Public Practice Certificate issued by CPA Australia Ltd or the Institute of Public Accountants;</w:t>
      </w:r>
    </w:p>
    <w:p w:rsidR="00EB104A" w:rsidRDefault="00EB104A">
      <w:pPr>
        <w:pStyle w:val="yIndenta"/>
        <w:rPr>
          <w:szCs w:val="22"/>
        </w:rPr>
      </w:pPr>
      <w:r>
        <w:rPr>
          <w:szCs w:val="22"/>
        </w:rPr>
        <w:tab/>
      </w:r>
      <w:r>
        <w:rPr>
          <w:szCs w:val="22"/>
        </w:rPr>
        <w:tab/>
        <w:t>or</w:t>
      </w:r>
    </w:p>
    <w:p w:rsidR="00EB104A" w:rsidRDefault="00EB104A">
      <w:pPr>
        <w:pStyle w:val="yIndenta"/>
        <w:rPr>
          <w:szCs w:val="22"/>
        </w:rPr>
      </w:pPr>
      <w:r>
        <w:tab/>
        <w:t>(b)</w:t>
      </w:r>
      <w:r>
        <w:tab/>
      </w:r>
      <w:r>
        <w:rPr>
          <w:szCs w:val="22"/>
        </w:rPr>
        <w:t>a registered company auditor.</w:t>
      </w:r>
    </w:p>
    <w:p w:rsidR="00EB104A" w:rsidRDefault="00EB104A">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rsidR="00EB104A" w:rsidRDefault="00EB104A">
      <w:pPr>
        <w:pStyle w:val="ySubsection"/>
        <w:rPr>
          <w:szCs w:val="22"/>
        </w:rPr>
      </w:pPr>
      <w:r>
        <w:lastRenderedPageBreak/>
        <w:tab/>
        <w:t>(11)</w:t>
      </w:r>
      <w:r>
        <w:tab/>
      </w:r>
      <w:r>
        <w:rPr>
          <w:szCs w:val="22"/>
        </w:rPr>
        <w:t>If the administering body administers more than 1 retirement village, the administering body must provide separate annual financial statements for each village.</w:t>
      </w:r>
    </w:p>
    <w:p w:rsidR="00EB104A" w:rsidRDefault="00EB104A">
      <w:pPr>
        <w:pStyle w:val="yHeading5"/>
        <w:rPr>
          <w:szCs w:val="22"/>
        </w:rPr>
      </w:pPr>
      <w:bookmarkStart w:id="46" w:name="_Toc75339751"/>
      <w:r>
        <w:rPr>
          <w:rStyle w:val="CharSClsNo"/>
        </w:rPr>
        <w:t>20</w:t>
      </w:r>
      <w:r>
        <w:t>.</w:t>
      </w:r>
      <w:r>
        <w:tab/>
      </w:r>
      <w:r>
        <w:rPr>
          <w:szCs w:val="22"/>
        </w:rPr>
        <w:t>Budget surplus</w:t>
      </w:r>
      <w:bookmarkEnd w:id="46"/>
    </w:p>
    <w:p w:rsidR="00EB104A" w:rsidRDefault="00EB104A">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rsidR="00EB104A" w:rsidRDefault="00EB104A">
      <w:pPr>
        <w:pStyle w:val="yHeading5"/>
        <w:rPr>
          <w:szCs w:val="22"/>
        </w:rPr>
      </w:pPr>
      <w:bookmarkStart w:id="47" w:name="_Toc75339752"/>
      <w:r>
        <w:rPr>
          <w:rStyle w:val="CharSClsNo"/>
        </w:rPr>
        <w:t>21</w:t>
      </w:r>
      <w:r>
        <w:t>.</w:t>
      </w:r>
      <w:r>
        <w:tab/>
      </w:r>
      <w:r>
        <w:rPr>
          <w:szCs w:val="22"/>
        </w:rPr>
        <w:t>Marketing of residential premises</w:t>
      </w:r>
      <w:bookmarkEnd w:id="47"/>
    </w:p>
    <w:p w:rsidR="00EB104A" w:rsidRDefault="00EB104A">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rsidR="00EB104A" w:rsidRDefault="00EB104A">
      <w:pPr>
        <w:pStyle w:val="yIndenta"/>
      </w:pPr>
      <w:r>
        <w:tab/>
        <w:t>(a)</w:t>
      </w:r>
      <w:r>
        <w:tab/>
        <w:t>take all reasonable steps to enable the residential premises to be placed on the market as expeditiously as possible; and</w:t>
      </w:r>
    </w:p>
    <w:p w:rsidR="00EB104A" w:rsidRDefault="00EB104A">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rsidR="00EB104A" w:rsidRDefault="00EB104A">
      <w:pPr>
        <w:pStyle w:val="yHeading5"/>
        <w:rPr>
          <w:szCs w:val="22"/>
        </w:rPr>
      </w:pPr>
      <w:bookmarkStart w:id="48" w:name="_Toc75339753"/>
      <w:r>
        <w:rPr>
          <w:rStyle w:val="CharSClsNo"/>
        </w:rPr>
        <w:t>22</w:t>
      </w:r>
      <w:r>
        <w:t>.</w:t>
      </w:r>
      <w:r>
        <w:tab/>
      </w:r>
      <w:r>
        <w:rPr>
          <w:szCs w:val="22"/>
        </w:rPr>
        <w:t>Refurbishment of residential premises</w:t>
      </w:r>
      <w:bookmarkEnd w:id="48"/>
    </w:p>
    <w:p w:rsidR="00EB104A" w:rsidRDefault="00EB104A">
      <w:pPr>
        <w:pStyle w:val="ySubsection"/>
        <w:rPr>
          <w:szCs w:val="22"/>
        </w:rPr>
      </w:pPr>
      <w:r>
        <w:tab/>
        <w:t>(1)</w:t>
      </w:r>
      <w:r>
        <w:tab/>
      </w:r>
      <w:r>
        <w:rPr>
          <w:szCs w:val="22"/>
        </w:rPr>
        <w:t xml:space="preserve">In this clause — </w:t>
      </w:r>
    </w:p>
    <w:p w:rsidR="00EB104A" w:rsidRDefault="00EB104A">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rsidR="00EB104A" w:rsidRDefault="00EB104A">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rsidR="00EB104A" w:rsidRDefault="00EB104A">
      <w:pPr>
        <w:pStyle w:val="yIndenta"/>
        <w:rPr>
          <w:szCs w:val="22"/>
        </w:rPr>
      </w:pPr>
      <w:r>
        <w:tab/>
        <w:t>(a)</w:t>
      </w:r>
      <w:r>
        <w:tab/>
      </w:r>
      <w:r>
        <w:rPr>
          <w:szCs w:val="22"/>
        </w:rPr>
        <w:t xml:space="preserve">before the commencement of the refurbishment work, give the former resident or the former resident’s personal representative — </w:t>
      </w:r>
    </w:p>
    <w:p w:rsidR="00EB104A" w:rsidRDefault="00EB104A">
      <w:pPr>
        <w:pStyle w:val="yIndenti0"/>
      </w:pPr>
      <w:r>
        <w:lastRenderedPageBreak/>
        <w:tab/>
        <w:t>(i)</w:t>
      </w:r>
      <w:r>
        <w:tab/>
        <w:t>a written statement that lists and gives details of each item of refurbishment work that the administering body believes is required to be carried out on the residential premises; and</w:t>
      </w:r>
    </w:p>
    <w:p w:rsidR="00EB104A" w:rsidRDefault="00EB104A">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rsidR="00EB104A" w:rsidRDefault="00EB104A">
      <w:pPr>
        <w:pStyle w:val="yIndenti0"/>
      </w:pPr>
      <w:r>
        <w:tab/>
        <w:t>(iii)</w:t>
      </w:r>
      <w:r>
        <w:tab/>
        <w:t>if there is a material change to a statement given under subparagraph (i), or an estimate given under subparagraph (ii), a written notice of that change;</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(b)</w:t>
      </w:r>
      <w:r>
        <w:tab/>
      </w:r>
      <w:r>
        <w:rPr>
          <w:szCs w:val="22"/>
        </w:rPr>
        <w:t xml:space="preserve">before accepting, or making any demand for, payment for the refurbishment work — </w:t>
      </w:r>
    </w:p>
    <w:p w:rsidR="00EB104A" w:rsidRDefault="00EB104A">
      <w:pPr>
        <w:pStyle w:val="yIndenti0"/>
        <w:rPr>
          <w:szCs w:val="22"/>
        </w:rPr>
      </w:pPr>
      <w:r>
        <w:tab/>
        <w:t>(i)</w:t>
      </w:r>
      <w:r>
        <w:tab/>
      </w:r>
      <w:r>
        <w:rPr>
          <w:szCs w:val="22"/>
        </w:rPr>
        <w:t>ensure the work is completed; and</w:t>
      </w:r>
    </w:p>
    <w:p w:rsidR="00EB104A" w:rsidRDefault="00EB104A">
      <w:pPr>
        <w:pStyle w:val="yIndenti0"/>
        <w:rPr>
          <w:szCs w:val="22"/>
        </w:rPr>
      </w:pPr>
      <w:r>
        <w:tab/>
        <w:t>(ii)</w:t>
      </w:r>
      <w:r>
        <w:tab/>
      </w:r>
      <w:r>
        <w:rPr>
          <w:szCs w:val="22"/>
        </w:rPr>
        <w:t>give the former resident, or the former resident’s personal representative, a fully itemised account for the final cost of the work; and</w:t>
      </w:r>
    </w:p>
    <w:p w:rsidR="00EB104A" w:rsidRDefault="00EB104A">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rsidR="00EB104A" w:rsidRDefault="00EB104A">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rsidR="00EB104A" w:rsidRDefault="00EB104A">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rsidR="00EB104A" w:rsidRDefault="00EB104A">
      <w:pPr>
        <w:pStyle w:val="yIndenta"/>
        <w:rPr>
          <w:szCs w:val="22"/>
        </w:rPr>
      </w:pPr>
      <w:r>
        <w:tab/>
        <w:t>(b)</w:t>
      </w:r>
      <w:r>
        <w:tab/>
      </w:r>
      <w:r>
        <w:rPr>
          <w:szCs w:val="22"/>
        </w:rPr>
        <w:t>the proposed or actual cost of the work is excessive or unreasonable; or</w:t>
      </w:r>
    </w:p>
    <w:p w:rsidR="00EB104A" w:rsidRDefault="00EB104A">
      <w:pPr>
        <w:pStyle w:val="yIndenta"/>
        <w:rPr>
          <w:szCs w:val="22"/>
        </w:rPr>
      </w:pPr>
      <w:r>
        <w:lastRenderedPageBreak/>
        <w:tab/>
        <w:t>(c)</w:t>
      </w:r>
      <w:r>
        <w:tab/>
      </w:r>
      <w:r>
        <w:rPr>
          <w:szCs w:val="22"/>
        </w:rPr>
        <w:t>the proportion of the total costs that are to be paid by the former resident, or the former resident’s personal representative, is excessive or unreasonable; or</w:t>
      </w:r>
    </w:p>
    <w:p w:rsidR="00EB104A" w:rsidRDefault="00EB104A">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rsidR="00EB104A" w:rsidRDefault="00EB104A">
      <w:pPr>
        <w:pStyle w:val="yIndenta"/>
        <w:rPr>
          <w:szCs w:val="22"/>
        </w:rPr>
      </w:pPr>
      <w:r>
        <w:tab/>
        <w:t>(e)</w:t>
      </w:r>
      <w:r>
        <w:tab/>
      </w:r>
      <w:r>
        <w:rPr>
          <w:szCs w:val="22"/>
        </w:rPr>
        <w:t>the commencement or completion date of the work indicated by the administering body in subclause (2)(a)(ii) is unreasonable; or</w:t>
      </w:r>
    </w:p>
    <w:p w:rsidR="00EB104A" w:rsidRDefault="00EB104A">
      <w:pPr>
        <w:pStyle w:val="yIndenta"/>
        <w:rPr>
          <w:szCs w:val="22"/>
        </w:rPr>
      </w:pPr>
      <w:r>
        <w:tab/>
        <w:t>(f)</w:t>
      </w:r>
      <w:r>
        <w:tab/>
      </w:r>
      <w:r>
        <w:rPr>
          <w:szCs w:val="22"/>
        </w:rPr>
        <w:t>the actual time taken to complete the work to the residential premises was unreasonable.</w:t>
      </w:r>
    </w:p>
    <w:p w:rsidR="00EB104A" w:rsidRDefault="00EB104A">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rsidR="00EB104A" w:rsidRDefault="00EB104A">
      <w:pPr>
        <w:pStyle w:val="yIndenta"/>
        <w:rPr>
          <w:szCs w:val="22"/>
        </w:rPr>
      </w:pPr>
      <w:r>
        <w:tab/>
        <w:t>(a)</w:t>
      </w:r>
      <w:r>
        <w:tab/>
      </w:r>
      <w:r>
        <w:rPr>
          <w:szCs w:val="22"/>
        </w:rPr>
        <w:t>if work is being carried out on the residential premises, that the work be stopped or that it be completed; or</w:t>
      </w:r>
    </w:p>
    <w:p w:rsidR="00EB104A" w:rsidRDefault="00EB104A">
      <w:pPr>
        <w:pStyle w:val="yIndenta"/>
        <w:rPr>
          <w:szCs w:val="22"/>
        </w:rPr>
      </w:pPr>
      <w:r>
        <w:tab/>
        <w:t>(b)</w:t>
      </w:r>
      <w:r>
        <w:tab/>
      </w:r>
      <w:r>
        <w:rPr>
          <w:szCs w:val="22"/>
        </w:rPr>
        <w:t xml:space="preserve">if work has not been carried out on the residential premises, that the work be commenced; or </w:t>
      </w:r>
    </w:p>
    <w:p w:rsidR="00EB104A" w:rsidRDefault="00EB104A">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rsidR="00EB104A" w:rsidRDefault="00EB104A">
      <w:pPr>
        <w:pStyle w:val="yHeading5"/>
        <w:rPr>
          <w:szCs w:val="22"/>
        </w:rPr>
      </w:pPr>
      <w:bookmarkStart w:id="49" w:name="_Toc75339754"/>
      <w:r>
        <w:rPr>
          <w:rStyle w:val="CharSClsNo"/>
        </w:rPr>
        <w:t>23</w:t>
      </w:r>
      <w:r>
        <w:t>.</w:t>
      </w:r>
      <w:r>
        <w:tab/>
      </w:r>
      <w:r>
        <w:rPr>
          <w:szCs w:val="22"/>
        </w:rPr>
        <w:t>Residence rules</w:t>
      </w:r>
      <w:bookmarkEnd w:id="49"/>
    </w:p>
    <w:p w:rsidR="00EB104A" w:rsidRDefault="00EB104A">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rsidR="00EB104A" w:rsidRDefault="00EB104A">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rsidR="00EB104A" w:rsidRDefault="00EB104A">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rsidR="00EB104A" w:rsidRDefault="00EB104A">
      <w:pPr>
        <w:pStyle w:val="ySubsection"/>
        <w:rPr>
          <w:szCs w:val="22"/>
        </w:rPr>
      </w:pPr>
      <w:r>
        <w:tab/>
        <w:t>(4)</w:t>
      </w:r>
      <w:r>
        <w:tab/>
      </w:r>
      <w:r>
        <w:rPr>
          <w:szCs w:val="22"/>
        </w:rPr>
        <w:t>The residents may, by special resolution, and with the agreement of the administering body, change or revoke the residence rules.</w:t>
      </w:r>
    </w:p>
    <w:p w:rsidR="00EB104A" w:rsidRDefault="00EB104A">
      <w:pPr>
        <w:pStyle w:val="ySubsection"/>
        <w:rPr>
          <w:szCs w:val="22"/>
        </w:rPr>
      </w:pPr>
      <w:r>
        <w:lastRenderedPageBreak/>
        <w:tab/>
        <w:t>(5)</w:t>
      </w:r>
      <w:r>
        <w:tab/>
      </w:r>
      <w:r>
        <w:rPr>
          <w:szCs w:val="22"/>
        </w:rPr>
        <w:t>The administering body must not unreasonably withhold agreement to a special resolution passed by the residents under subclause (4).</w:t>
      </w:r>
    </w:p>
    <w:p w:rsidR="00EB104A" w:rsidRDefault="00EB104A">
      <w:pPr>
        <w:pStyle w:val="yHeading5"/>
        <w:rPr>
          <w:szCs w:val="22"/>
        </w:rPr>
      </w:pPr>
      <w:bookmarkStart w:id="50" w:name="_Toc75339755"/>
      <w:r>
        <w:rPr>
          <w:rStyle w:val="CharSClsNo"/>
        </w:rPr>
        <w:t>24</w:t>
      </w:r>
      <w:r>
        <w:t>.</w:t>
      </w:r>
      <w:r>
        <w:tab/>
      </w:r>
      <w:r>
        <w:rPr>
          <w:szCs w:val="22"/>
        </w:rPr>
        <w:t>Residents’ committee of retirement village residents</w:t>
      </w:r>
      <w:bookmarkEnd w:id="50"/>
    </w:p>
    <w:p w:rsidR="00EB104A" w:rsidRDefault="00EB104A">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rsidR="00EB104A" w:rsidRDefault="00EB104A">
      <w:pPr>
        <w:pStyle w:val="ySubsection"/>
        <w:rPr>
          <w:szCs w:val="22"/>
        </w:rPr>
      </w:pPr>
      <w:r>
        <w:tab/>
        <w:t>(2)</w:t>
      </w:r>
      <w:r>
        <w:tab/>
      </w:r>
      <w:r>
        <w:rPr>
          <w:szCs w:val="22"/>
        </w:rPr>
        <w:t xml:space="preserve">A residents’ committee may be established — </w:t>
      </w:r>
    </w:p>
    <w:p w:rsidR="00EB104A" w:rsidRDefault="00EB104A">
      <w:pPr>
        <w:pStyle w:val="yIndenta"/>
      </w:pPr>
      <w:r>
        <w:tab/>
        <w:t>(a)</w:t>
      </w:r>
      <w:r>
        <w:tab/>
        <w:t>by an election conducted among the residents of a retirement village; or</w:t>
      </w:r>
    </w:p>
    <w:p w:rsidR="00EB104A" w:rsidRDefault="00EB104A">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rsidR="00EB104A" w:rsidRDefault="00EB104A">
      <w:pPr>
        <w:pStyle w:val="yIndenti0"/>
      </w:pPr>
      <w:r>
        <w:tab/>
        <w:t>(i)</w:t>
      </w:r>
      <w:r>
        <w:tab/>
        <w:t>a minimum of 5 residents or 10% of the residents, whichever is the greater; or</w:t>
      </w:r>
    </w:p>
    <w:p w:rsidR="00EB104A" w:rsidRDefault="00EB104A">
      <w:pPr>
        <w:pStyle w:val="yIndenti0"/>
      </w:pPr>
      <w:r>
        <w:tab/>
        <w:t>(ii)</w:t>
      </w:r>
      <w:r>
        <w:tab/>
        <w:t>if the village has fewer than 10 occupied residential premises, residents from a majority of the occupied residential premises;</w:t>
      </w:r>
    </w:p>
    <w:p w:rsidR="00EB104A" w:rsidRDefault="00EB104A">
      <w:pPr>
        <w:pStyle w:val="yIndenta"/>
        <w:rPr>
          <w:szCs w:val="22"/>
        </w:rPr>
      </w:pPr>
      <w:r>
        <w:rPr>
          <w:szCs w:val="22"/>
        </w:rPr>
        <w:tab/>
      </w:r>
      <w:r>
        <w:rPr>
          <w:szCs w:val="22"/>
        </w:rPr>
        <w:tab/>
        <w:t>or</w:t>
      </w:r>
    </w:p>
    <w:p w:rsidR="00EB104A" w:rsidRDefault="00EB104A">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rsidR="00EB104A" w:rsidRDefault="00EB104A">
      <w:pPr>
        <w:pStyle w:val="ySubsection"/>
        <w:rPr>
          <w:szCs w:val="22"/>
        </w:rPr>
      </w:pPr>
      <w:r>
        <w:tab/>
        <w:t>(3)</w:t>
      </w:r>
      <w:r>
        <w:tab/>
      </w:r>
      <w:r>
        <w:rPr>
          <w:szCs w:val="22"/>
        </w:rPr>
        <w:t>Only 1 residents’ committee may be established in a retirement village at any time.</w:t>
      </w:r>
    </w:p>
    <w:p w:rsidR="00EB104A" w:rsidRDefault="00EB104A">
      <w:pPr>
        <w:pStyle w:val="ySubsection"/>
        <w:rPr>
          <w:szCs w:val="22"/>
        </w:rPr>
      </w:pPr>
      <w:r>
        <w:tab/>
        <w:t>(4)</w:t>
      </w:r>
      <w:r>
        <w:tab/>
      </w:r>
      <w:r>
        <w:rPr>
          <w:szCs w:val="22"/>
        </w:rPr>
        <w:t>Membership of a residents’ committee is available only to the residents of the retirement village for which it is elected.</w:t>
      </w:r>
    </w:p>
    <w:p w:rsidR="00EB104A" w:rsidRDefault="00EB104A">
      <w:pPr>
        <w:pStyle w:val="ySubsection"/>
        <w:rPr>
          <w:szCs w:val="22"/>
        </w:rPr>
      </w:pPr>
      <w:r>
        <w:tab/>
        <w:t>(5)</w:t>
      </w:r>
      <w:r>
        <w:tab/>
      </w:r>
      <w:r>
        <w:rPr>
          <w:szCs w:val="22"/>
        </w:rPr>
        <w:t xml:space="preserve">The residents of a retirement village may dissolve a residents’ committee at any time by a special resolution. </w:t>
      </w:r>
    </w:p>
    <w:p w:rsidR="00EB104A" w:rsidRDefault="00EB104A">
      <w:pPr>
        <w:pStyle w:val="ySubsection"/>
        <w:rPr>
          <w:szCs w:val="22"/>
        </w:rPr>
      </w:pPr>
      <w:r>
        <w:tab/>
        <w:t>(6)</w:t>
      </w:r>
      <w:r>
        <w:tab/>
      </w:r>
      <w:r>
        <w:rPr>
          <w:szCs w:val="22"/>
        </w:rPr>
        <w:t xml:space="preserve">A member of the residents’ committee — </w:t>
      </w:r>
    </w:p>
    <w:p w:rsidR="00EB104A" w:rsidRDefault="00EB104A">
      <w:pPr>
        <w:pStyle w:val="yIndenta"/>
        <w:rPr>
          <w:szCs w:val="22"/>
        </w:rPr>
      </w:pPr>
      <w:r>
        <w:tab/>
        <w:t>(a)</w:t>
      </w:r>
      <w:r>
        <w:tab/>
      </w:r>
      <w:r>
        <w:rPr>
          <w:szCs w:val="22"/>
        </w:rPr>
        <w:t>holds office for not more than 1 year, but may be re</w:t>
      </w:r>
      <w:r>
        <w:rPr>
          <w:szCs w:val="22"/>
        </w:rPr>
        <w:noBreakHyphen/>
        <w:t>elected; and</w:t>
      </w:r>
    </w:p>
    <w:p w:rsidR="00EB104A" w:rsidRDefault="00EB104A">
      <w:pPr>
        <w:pStyle w:val="yIndenta"/>
        <w:rPr>
          <w:szCs w:val="22"/>
        </w:rPr>
      </w:pPr>
      <w:r>
        <w:tab/>
        <w:t>(b)</w:t>
      </w:r>
      <w:r>
        <w:tab/>
      </w:r>
      <w:r>
        <w:rPr>
          <w:szCs w:val="22"/>
        </w:rPr>
        <w:t>may be removed at any time by a special resolution.</w:t>
      </w:r>
    </w:p>
    <w:p w:rsidR="00EB104A" w:rsidRDefault="00EB104A">
      <w:pPr>
        <w:pStyle w:val="ySubsection"/>
        <w:keepNext/>
        <w:rPr>
          <w:szCs w:val="22"/>
        </w:rPr>
      </w:pPr>
      <w:r>
        <w:lastRenderedPageBreak/>
        <w:tab/>
        <w:t>(7)</w:t>
      </w:r>
      <w:r>
        <w:tab/>
      </w:r>
      <w:r>
        <w:rPr>
          <w:szCs w:val="22"/>
        </w:rPr>
        <w:t xml:space="preserve">The residents’ committee may — </w:t>
      </w:r>
    </w:p>
    <w:p w:rsidR="00EB104A" w:rsidRDefault="00EB104A">
      <w:pPr>
        <w:pStyle w:val="yIndenta"/>
        <w:rPr>
          <w:szCs w:val="22"/>
        </w:rPr>
      </w:pPr>
      <w:r>
        <w:tab/>
        <w:t>(a)</w:t>
      </w:r>
      <w:r>
        <w:tab/>
      </w:r>
      <w:r>
        <w:rPr>
          <w:szCs w:val="22"/>
        </w:rPr>
        <w:t>decide its own procedures; and</w:t>
      </w:r>
    </w:p>
    <w:p w:rsidR="00EB104A" w:rsidRDefault="00EB104A">
      <w:pPr>
        <w:pStyle w:val="yIndenta"/>
        <w:rPr>
          <w:szCs w:val="22"/>
        </w:rPr>
      </w:pPr>
      <w:r>
        <w:tab/>
        <w:t>(b)</w:t>
      </w:r>
      <w:r>
        <w:tab/>
      </w:r>
      <w:r>
        <w:rPr>
          <w:szCs w:val="22"/>
        </w:rPr>
        <w:t>form subcommittees and decide a subcommittee’s procedures.</w:t>
      </w:r>
    </w:p>
    <w:p w:rsidR="00EB104A" w:rsidRDefault="00EB104A">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rsidR="00EB104A" w:rsidRDefault="00EB104A">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rsidR="00EB104A" w:rsidRDefault="00EB104A">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rsidR="00EB104A" w:rsidRDefault="00EB104A">
      <w:pPr>
        <w:pStyle w:val="ySubsection"/>
      </w:pPr>
      <w:r>
        <w:tab/>
        <w:t>(11)</w:t>
      </w:r>
      <w:r>
        <w:tab/>
      </w:r>
      <w:r>
        <w:rPr>
          <w:szCs w:val="22"/>
        </w:rPr>
        <w:t>A residents’ committee may charge a fee for the provision or organisation of recreational and other activities for the residents of the retirement village.</w:t>
      </w:r>
    </w:p>
    <w:p w:rsidR="00EB104A" w:rsidRDefault="00EB104A">
      <w:pPr>
        <w:pStyle w:val="yHeading5"/>
        <w:rPr>
          <w:szCs w:val="22"/>
        </w:rPr>
      </w:pPr>
      <w:bookmarkStart w:id="51" w:name="_Toc75339756"/>
      <w:r>
        <w:rPr>
          <w:rStyle w:val="CharSClsNo"/>
        </w:rPr>
        <w:t>25</w:t>
      </w:r>
      <w:r>
        <w:t>.</w:t>
      </w:r>
      <w:r>
        <w:tab/>
      </w:r>
      <w:r>
        <w:rPr>
          <w:szCs w:val="22"/>
        </w:rPr>
        <w:t>Incorporated association formed to carry out function of residents’ committee</w:t>
      </w:r>
      <w:bookmarkEnd w:id="51"/>
    </w:p>
    <w:p w:rsidR="00EB104A" w:rsidRDefault="00EB104A">
      <w:pPr>
        <w:pStyle w:val="ySubsection"/>
        <w:rPr>
          <w:szCs w:val="22"/>
        </w:rPr>
      </w:pPr>
      <w:r>
        <w:tab/>
        <w:t>(1)</w:t>
      </w:r>
      <w:r>
        <w:tab/>
      </w:r>
      <w:r>
        <w:rPr>
          <w:szCs w:val="22"/>
        </w:rPr>
        <w:t>The residents may only establish a residents’ committee under clause 24(2)(c) by special resolution.</w:t>
      </w:r>
    </w:p>
    <w:p w:rsidR="00EB104A" w:rsidRDefault="00EB104A">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rsidR="00EB104A" w:rsidRDefault="00EB104A">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rsidR="00EB104A" w:rsidRDefault="00EB104A">
      <w:pPr>
        <w:pStyle w:val="yIndenta"/>
        <w:rPr>
          <w:szCs w:val="22"/>
        </w:rPr>
      </w:pPr>
      <w:r>
        <w:tab/>
        <w:t>(b)</w:t>
      </w:r>
      <w:r>
        <w:tab/>
      </w:r>
      <w:r>
        <w:rPr>
          <w:szCs w:val="22"/>
        </w:rPr>
        <w:t>that a qualification for membership of the incorporated association is for a member to be a resident of the retirement village for which it is formed; and</w:t>
      </w:r>
    </w:p>
    <w:p w:rsidR="00EB104A" w:rsidRDefault="00EB104A">
      <w:pPr>
        <w:pStyle w:val="yIndenta"/>
      </w:pPr>
      <w:r>
        <w:lastRenderedPageBreak/>
        <w:tab/>
        <w:t>(c)</w:t>
      </w:r>
      <w:r>
        <w:tab/>
        <w:t>that the cost of an annual membership subscription is not more than $1.00 per member; and</w:t>
      </w:r>
    </w:p>
    <w:p w:rsidR="00EB104A" w:rsidRDefault="00EB104A">
      <w:pPr>
        <w:pStyle w:val="yIndenta"/>
        <w:rPr>
          <w:szCs w:val="22"/>
        </w:rPr>
      </w:pPr>
      <w:r>
        <w:tab/>
        <w:t>(d)</w:t>
      </w:r>
      <w:r>
        <w:tab/>
      </w:r>
      <w:r>
        <w:rPr>
          <w:szCs w:val="22"/>
        </w:rPr>
        <w:t xml:space="preserve">that a member — </w:t>
      </w:r>
    </w:p>
    <w:p w:rsidR="00EB104A" w:rsidRDefault="00EB104A">
      <w:pPr>
        <w:pStyle w:val="yIndenti0"/>
      </w:pPr>
      <w:r>
        <w:tab/>
        <w:t>(i)</w:t>
      </w:r>
      <w:r>
        <w:tab/>
        <w:t xml:space="preserve">may be elected to hold office; and </w:t>
      </w:r>
    </w:p>
    <w:p w:rsidR="00EB104A" w:rsidRDefault="00EB104A">
      <w:pPr>
        <w:pStyle w:val="yIndenti0"/>
        <w:rPr>
          <w:szCs w:val="22"/>
        </w:rPr>
      </w:pPr>
      <w:r>
        <w:tab/>
        <w:t>(ii)</w:t>
      </w:r>
      <w:r>
        <w:tab/>
      </w:r>
      <w:r>
        <w:rPr>
          <w:szCs w:val="22"/>
        </w:rPr>
        <w:t>must not hold office for more than 1 year, but may be re</w:t>
      </w:r>
      <w:r>
        <w:rPr>
          <w:szCs w:val="22"/>
        </w:rPr>
        <w:noBreakHyphen/>
        <w:t>elected; and</w:t>
      </w:r>
    </w:p>
    <w:p w:rsidR="00EB104A" w:rsidRDefault="00EB104A">
      <w:pPr>
        <w:pStyle w:val="yIndenti0"/>
        <w:rPr>
          <w:szCs w:val="22"/>
        </w:rPr>
      </w:pPr>
      <w:r>
        <w:tab/>
        <w:t>(iii)</w:t>
      </w:r>
      <w:r>
        <w:tab/>
      </w:r>
      <w:r>
        <w:rPr>
          <w:szCs w:val="22"/>
        </w:rPr>
        <w:t>may be removed from holding office at any time, by a special resolution of the members of the incorporated association;</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(e)</w:t>
      </w:r>
      <w:r>
        <w:tab/>
      </w:r>
      <w:r>
        <w:rPr>
          <w:szCs w:val="22"/>
        </w:rPr>
        <w:t xml:space="preserve">that the incorporated association may — </w:t>
      </w:r>
    </w:p>
    <w:p w:rsidR="00EB104A" w:rsidRDefault="00EB104A">
      <w:pPr>
        <w:pStyle w:val="yIndenti0"/>
        <w:rPr>
          <w:szCs w:val="22"/>
        </w:rPr>
      </w:pPr>
      <w:r>
        <w:tab/>
        <w:t>(i)</w:t>
      </w:r>
      <w:r>
        <w:tab/>
      </w:r>
      <w:r>
        <w:rPr>
          <w:szCs w:val="22"/>
        </w:rPr>
        <w:t>decide its own procedures; and</w:t>
      </w:r>
    </w:p>
    <w:p w:rsidR="00EB104A" w:rsidRDefault="00EB104A">
      <w:pPr>
        <w:pStyle w:val="yIndenti0"/>
        <w:rPr>
          <w:szCs w:val="22"/>
        </w:rPr>
      </w:pPr>
      <w:r>
        <w:tab/>
        <w:t>(ii)</w:t>
      </w:r>
      <w:r>
        <w:tab/>
      </w:r>
      <w:r>
        <w:rPr>
          <w:szCs w:val="22"/>
        </w:rPr>
        <w:t>form subcommittees and decide a subcommittee’s procedures;</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(f)</w:t>
      </w:r>
      <w:r>
        <w:tab/>
      </w:r>
      <w:r>
        <w:rPr>
          <w:szCs w:val="22"/>
        </w:rPr>
        <w:t xml:space="preserve">that the quorum required to constitute a meeting of the incorporated association (whether in person or by proxy) is — </w:t>
      </w:r>
    </w:p>
    <w:p w:rsidR="00EB104A" w:rsidRDefault="00EB104A">
      <w:pPr>
        <w:pStyle w:val="yIndenti0"/>
        <w:rPr>
          <w:szCs w:val="22"/>
        </w:rPr>
      </w:pPr>
      <w:r>
        <w:tab/>
        <w:t>(i)</w:t>
      </w:r>
      <w:r>
        <w:tab/>
      </w:r>
      <w:r>
        <w:rPr>
          <w:szCs w:val="22"/>
        </w:rPr>
        <w:t>a minimum of 5 members entitled to vote on a resolution or 30% of the number of members entitled to vote on a resolution (whichever is the greater); or</w:t>
      </w:r>
    </w:p>
    <w:p w:rsidR="00EB104A" w:rsidRDefault="00EB104A">
      <w:pPr>
        <w:pStyle w:val="yIndenti0"/>
        <w:rPr>
          <w:szCs w:val="22"/>
        </w:rPr>
      </w:pPr>
      <w:r>
        <w:tab/>
        <w:t>(ii)</w:t>
      </w:r>
      <w:r>
        <w:tab/>
      </w:r>
      <w:r>
        <w:rPr>
          <w:szCs w:val="22"/>
        </w:rPr>
        <w:t xml:space="preserve">if the incorporated association has fewer than 10 members, a majority of those members; </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rsidR="00EB104A" w:rsidRDefault="00EB104A">
      <w:pPr>
        <w:pStyle w:val="yIndenta"/>
        <w:rPr>
          <w:szCs w:val="22"/>
        </w:rPr>
      </w:pPr>
      <w:r>
        <w:tab/>
        <w:t>(h)</w:t>
      </w:r>
      <w:r>
        <w:tab/>
      </w:r>
      <w:r>
        <w:rPr>
          <w:szCs w:val="22"/>
        </w:rPr>
        <w:t>that voting at a meeting of the incorporated association may be by proxy; and</w:t>
      </w:r>
    </w:p>
    <w:p w:rsidR="00EB104A" w:rsidRDefault="00EB104A">
      <w:pPr>
        <w:pStyle w:val="yIndenta"/>
        <w:keepNext/>
        <w:keepLines/>
        <w:rPr>
          <w:szCs w:val="22"/>
        </w:rPr>
      </w:pPr>
      <w:r>
        <w:lastRenderedPageBreak/>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rsidR="00EB104A" w:rsidRDefault="00EB104A">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rsidR="00EB104A" w:rsidRDefault="00EB104A">
      <w:pPr>
        <w:pStyle w:val="ySubsection"/>
        <w:rPr>
          <w:szCs w:val="22"/>
        </w:rPr>
      </w:pPr>
      <w:r>
        <w:tab/>
        <w:t>(3)</w:t>
      </w:r>
      <w:r>
        <w:tab/>
      </w:r>
      <w:r>
        <w:rPr>
          <w:szCs w:val="22"/>
        </w:rPr>
        <w:t>Nothing in this clause affects the rights and obligations of residents under this Code.</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rsidR="00EB104A" w:rsidRDefault="00EB104A">
      <w:pPr>
        <w:pStyle w:val="yHeading5"/>
      </w:pPr>
      <w:bookmarkStart w:id="52" w:name="_Toc75339757"/>
      <w:r>
        <w:rPr>
          <w:rStyle w:val="CharSClsNo"/>
        </w:rPr>
        <w:t>26</w:t>
      </w:r>
      <w:r>
        <w:t>.</w:t>
      </w:r>
      <w:r>
        <w:tab/>
        <w:t>Residents’ meetings</w:t>
      </w:r>
      <w:bookmarkEnd w:id="52"/>
    </w:p>
    <w:p w:rsidR="00EB104A" w:rsidRDefault="00EB104A">
      <w:pPr>
        <w:pStyle w:val="ySubsection"/>
      </w:pPr>
      <w:r>
        <w:tab/>
        <w:t>(1)</w:t>
      </w:r>
      <w:r>
        <w:tab/>
        <w:t xml:space="preserve">The administering body of a retirement village — </w:t>
      </w:r>
    </w:p>
    <w:p w:rsidR="00EB104A" w:rsidRDefault="00EB104A">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rsidR="00EB104A" w:rsidRDefault="00EB104A">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rsidR="00EB104A" w:rsidRDefault="00EB104A">
      <w:pPr>
        <w:pStyle w:val="yIndenta"/>
        <w:rPr>
          <w:szCs w:val="22"/>
        </w:rPr>
      </w:pPr>
      <w:r>
        <w:tab/>
        <w:t>(c)</w:t>
      </w:r>
      <w:r>
        <w:tab/>
      </w:r>
      <w:r>
        <w:rPr>
          <w:szCs w:val="22"/>
        </w:rPr>
        <w:t>must hold a meeting of the residents on the reasonable request of a residents’ committee established under clause 24; and</w:t>
      </w:r>
    </w:p>
    <w:p w:rsidR="00EB104A" w:rsidRDefault="00EB104A">
      <w:pPr>
        <w:pStyle w:val="yIndenta"/>
        <w:keepNext/>
        <w:rPr>
          <w:szCs w:val="22"/>
        </w:rPr>
      </w:pPr>
      <w:r>
        <w:lastRenderedPageBreak/>
        <w:tab/>
        <w:t>(d)</w:t>
      </w:r>
      <w:r>
        <w:tab/>
      </w:r>
      <w:r>
        <w:rPr>
          <w:szCs w:val="22"/>
        </w:rPr>
        <w:t xml:space="preserve">must hold a meeting of the residents if requested to do so by — </w:t>
      </w:r>
    </w:p>
    <w:p w:rsidR="00EB104A" w:rsidRDefault="00EB104A">
      <w:pPr>
        <w:pStyle w:val="yIndenti0"/>
      </w:pPr>
      <w:r>
        <w:tab/>
        <w:t>(i)</w:t>
      </w:r>
      <w:r>
        <w:tab/>
        <w:t>a minimum of 5 residents or 10% of the residents, whichever is the greater; or</w:t>
      </w:r>
    </w:p>
    <w:p w:rsidR="00EB104A" w:rsidRDefault="00EB104A">
      <w:pPr>
        <w:pStyle w:val="yIndenti0"/>
        <w:rPr>
          <w:szCs w:val="22"/>
        </w:rPr>
      </w:pPr>
      <w:r>
        <w:tab/>
        <w:t>(ii)</w:t>
      </w:r>
      <w:r>
        <w:tab/>
      </w:r>
      <w:r>
        <w:rPr>
          <w:szCs w:val="22"/>
        </w:rPr>
        <w:t>if the retirement village has fewer than 10 occupied residential premises, residents from a majority of the occupied residential premises;</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(e)</w:t>
      </w:r>
      <w:r>
        <w:tab/>
      </w:r>
      <w:r>
        <w:rPr>
          <w:szCs w:val="22"/>
        </w:rPr>
        <w:t>may hold a meeting of the residents at any other reasonable time.</w:t>
      </w:r>
    </w:p>
    <w:p w:rsidR="00EB104A" w:rsidRDefault="00EB104A">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rsidR="00EB104A" w:rsidRDefault="00EB104A">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rsidR="00EB104A" w:rsidRDefault="00EB104A">
      <w:pPr>
        <w:pStyle w:val="ySubsection"/>
        <w:rPr>
          <w:szCs w:val="22"/>
        </w:rPr>
      </w:pPr>
      <w:r>
        <w:tab/>
        <w:t>(4)</w:t>
      </w:r>
      <w:r>
        <w:tab/>
      </w:r>
      <w:r>
        <w:rPr>
          <w:szCs w:val="22"/>
        </w:rPr>
        <w:t>An administering body must not prevent or restrict a residents’ committee from holding a meeting of the residents of the village under subclause (3).</w:t>
      </w:r>
    </w:p>
    <w:p w:rsidR="00EB104A" w:rsidRDefault="00EB104A">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rsidR="00EB104A" w:rsidRDefault="00EB104A">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rsidR="00EB104A" w:rsidRDefault="00EB104A">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rsidR="00EB104A" w:rsidRDefault="00EB104A">
      <w:pPr>
        <w:pStyle w:val="yIndenta"/>
        <w:rPr>
          <w:szCs w:val="22"/>
        </w:rPr>
      </w:pPr>
      <w:r>
        <w:tab/>
        <w:t>(a)</w:t>
      </w:r>
      <w:r>
        <w:tab/>
      </w:r>
      <w:r>
        <w:rPr>
          <w:szCs w:val="22"/>
        </w:rPr>
        <w:t>reasonable in the circumstances; and</w:t>
      </w:r>
    </w:p>
    <w:p w:rsidR="00EB104A" w:rsidRDefault="00EB104A">
      <w:pPr>
        <w:pStyle w:val="yIndenta"/>
        <w:rPr>
          <w:szCs w:val="22"/>
        </w:rPr>
      </w:pPr>
      <w:r>
        <w:lastRenderedPageBreak/>
        <w:tab/>
        <w:t>(b)</w:t>
      </w:r>
      <w:r>
        <w:tab/>
      </w:r>
      <w:r>
        <w:rPr>
          <w:szCs w:val="22"/>
        </w:rPr>
        <w:t>not less than 2 working days.</w:t>
      </w:r>
    </w:p>
    <w:p w:rsidR="00EB104A" w:rsidRDefault="00EB104A">
      <w:pPr>
        <w:pStyle w:val="ySubsection"/>
        <w:rPr>
          <w:szCs w:val="22"/>
        </w:rPr>
      </w:pPr>
      <w:r>
        <w:tab/>
        <w:t>(8)</w:t>
      </w:r>
      <w:r>
        <w:tab/>
      </w:r>
      <w:r>
        <w:rPr>
          <w:szCs w:val="22"/>
        </w:rPr>
        <w:t xml:space="preserve">A notice given under subclause (6) or (7) must set out — </w:t>
      </w:r>
    </w:p>
    <w:p w:rsidR="00EB104A" w:rsidRDefault="00EB104A">
      <w:pPr>
        <w:pStyle w:val="yIndenta"/>
        <w:rPr>
          <w:szCs w:val="22"/>
        </w:rPr>
      </w:pPr>
      <w:r>
        <w:tab/>
        <w:t>(a)</w:t>
      </w:r>
      <w:r>
        <w:tab/>
      </w:r>
      <w:r>
        <w:rPr>
          <w:szCs w:val="22"/>
        </w:rPr>
        <w:t>the time and place of the meeting; and</w:t>
      </w:r>
    </w:p>
    <w:p w:rsidR="00EB104A" w:rsidRDefault="00EB104A">
      <w:pPr>
        <w:pStyle w:val="yIndenta"/>
        <w:rPr>
          <w:szCs w:val="22"/>
        </w:rPr>
      </w:pPr>
      <w:r>
        <w:tab/>
        <w:t>(b)</w:t>
      </w:r>
      <w:r>
        <w:tab/>
      </w:r>
      <w:r>
        <w:rPr>
          <w:szCs w:val="22"/>
        </w:rPr>
        <w:t>the business to be transacted at the meeting, including any matter that is to be decided by a special resolution.</w:t>
      </w:r>
    </w:p>
    <w:p w:rsidR="00EB104A" w:rsidRDefault="00EB104A">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rsidR="00EB104A" w:rsidRDefault="00EB104A">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rsidR="00EB104A" w:rsidRDefault="00EB104A">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rsidR="00EB104A" w:rsidRDefault="00EB104A">
      <w:pPr>
        <w:pStyle w:val="yIndenta"/>
        <w:rPr>
          <w:szCs w:val="22"/>
        </w:rPr>
      </w:pPr>
      <w:r>
        <w:tab/>
        <w:t>(a)</w:t>
      </w:r>
      <w:r>
        <w:tab/>
      </w:r>
      <w:r>
        <w:rPr>
          <w:szCs w:val="22"/>
        </w:rPr>
        <w:t>if the administering body has a copy of the special resolution, give the resident a copy of the special resolution; or</w:t>
      </w:r>
    </w:p>
    <w:p w:rsidR="00EB104A" w:rsidRDefault="00EB104A">
      <w:pPr>
        <w:pStyle w:val="yIndenta"/>
        <w:rPr>
          <w:szCs w:val="22"/>
        </w:rPr>
      </w:pPr>
      <w:r>
        <w:tab/>
        <w:t>(b)</w:t>
      </w:r>
      <w:r>
        <w:tab/>
      </w:r>
      <w:r>
        <w:rPr>
          <w:szCs w:val="22"/>
        </w:rPr>
        <w:t>if the administering body does not have a copy of the special resolution, give the resident the name and contact details provided under subclause (10).</w:t>
      </w:r>
    </w:p>
    <w:p w:rsidR="00EB104A" w:rsidRDefault="00EB104A">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rsidR="00EB104A" w:rsidRDefault="00EB104A">
      <w:pPr>
        <w:pStyle w:val="ySubsection"/>
        <w:rPr>
          <w:szCs w:val="22"/>
        </w:rPr>
      </w:pPr>
      <w:r>
        <w:tab/>
        <w:t>(13)</w:t>
      </w:r>
      <w:r>
        <w:tab/>
      </w:r>
      <w:r>
        <w:rPr>
          <w:szCs w:val="22"/>
        </w:rPr>
        <w:t xml:space="preserve">A meeting of the residents under this Code must not be held simultaneously with a meeting held under another law, such as — </w:t>
      </w:r>
    </w:p>
    <w:p w:rsidR="00EB104A" w:rsidRDefault="00EB104A">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rsidR="00EB104A" w:rsidRDefault="00EB104A">
      <w:pPr>
        <w:pStyle w:val="yIndenta"/>
        <w:rPr>
          <w:szCs w:val="22"/>
        </w:rPr>
      </w:pPr>
      <w:r>
        <w:tab/>
        <w:t>(b)</w:t>
      </w:r>
      <w:r>
        <w:tab/>
      </w:r>
      <w:r>
        <w:rPr>
          <w:szCs w:val="22"/>
        </w:rPr>
        <w:t xml:space="preserve">a meeting held under the </w:t>
      </w:r>
      <w:r>
        <w:rPr>
          <w:i/>
        </w:rPr>
        <w:t>Associations Incorporation Act </w:t>
      </w:r>
      <w:r w:rsidR="00D96A6C" w:rsidRPr="00724C12">
        <w:rPr>
          <w:i/>
        </w:rPr>
        <w:t>2015</w:t>
      </w:r>
      <w:r w:rsidR="00D96A6C">
        <w:t>; or</w:t>
      </w:r>
    </w:p>
    <w:p w:rsidR="00D96A6C" w:rsidRDefault="00D96A6C" w:rsidP="00D96A6C">
      <w:pPr>
        <w:pStyle w:val="yIndenta"/>
      </w:pPr>
      <w:r>
        <w:lastRenderedPageBreak/>
        <w:tab/>
        <w:t>(c)</w:t>
      </w:r>
      <w:r>
        <w:tab/>
        <w:t xml:space="preserve">a meeting held under the </w:t>
      </w:r>
      <w:r>
        <w:rPr>
          <w:i/>
        </w:rPr>
        <w:t>Community Titles Act 2018</w:t>
      </w:r>
      <w:r>
        <w:t xml:space="preserve"> if the retirement village is comprised in a scheme plan for a community titles scheme registered under that Act.</w:t>
      </w:r>
    </w:p>
    <w:p w:rsidR="00EB104A" w:rsidRDefault="00EB104A">
      <w:pPr>
        <w:pStyle w:val="ySubsection"/>
        <w:rPr>
          <w:szCs w:val="22"/>
        </w:rPr>
      </w:pPr>
      <w:r>
        <w:tab/>
        <w:t>(14)</w:t>
      </w:r>
      <w:r>
        <w:tab/>
      </w:r>
      <w:r>
        <w:rPr>
          <w:szCs w:val="22"/>
        </w:rPr>
        <w:t>At a meeting of the residents under this clause voting may be by a secret ballot.</w:t>
      </w:r>
    </w:p>
    <w:p w:rsidR="00EB104A" w:rsidRDefault="00EB104A">
      <w:pPr>
        <w:pStyle w:val="ySubsection"/>
        <w:keepNext/>
        <w:keepLines/>
        <w:rPr>
          <w:szCs w:val="22"/>
        </w:rPr>
      </w:pPr>
      <w:r>
        <w:tab/>
        <w:t>(15)</w:t>
      </w:r>
      <w:r>
        <w:tab/>
      </w:r>
      <w:r>
        <w:rPr>
          <w:szCs w:val="22"/>
        </w:rPr>
        <w:t xml:space="preserve">Subject to any other written law, an administering body may — </w:t>
      </w:r>
    </w:p>
    <w:p w:rsidR="00EB104A" w:rsidRDefault="00EB104A">
      <w:pPr>
        <w:pStyle w:val="yIndenta"/>
      </w:pPr>
      <w:r>
        <w:tab/>
        <w:t>(a)</w:t>
      </w:r>
      <w:r>
        <w:tab/>
        <w:t>be present at a meeting of the residents at which a special resolution is to be held; and</w:t>
      </w:r>
    </w:p>
    <w:p w:rsidR="00EB104A" w:rsidRDefault="00EB104A">
      <w:pPr>
        <w:pStyle w:val="yIndenta"/>
      </w:pPr>
      <w:r>
        <w:tab/>
        <w:t>(b)</w:t>
      </w:r>
      <w:r>
        <w:tab/>
        <w:t xml:space="preserve">be heard on </w:t>
      </w:r>
      <w:r>
        <w:rPr>
          <w:szCs w:val="22"/>
        </w:rPr>
        <w:t>any matter that is to be decided at the meeting.</w:t>
      </w:r>
    </w:p>
    <w:p w:rsidR="00EB104A" w:rsidRDefault="00EB104A">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rsidR="00C85F3F" w:rsidRPr="00233A17" w:rsidRDefault="00C85F3F" w:rsidP="00C85F3F">
      <w:pPr>
        <w:pStyle w:val="yFootnotesection"/>
      </w:pPr>
      <w:r>
        <w:tab/>
        <w:t>[Clause 26 amended: SL 2021/71 r. 7.]</w:t>
      </w:r>
    </w:p>
    <w:p w:rsidR="00EB104A" w:rsidRDefault="00EB104A">
      <w:pPr>
        <w:pStyle w:val="yHeading5"/>
        <w:rPr>
          <w:szCs w:val="22"/>
        </w:rPr>
      </w:pPr>
      <w:bookmarkStart w:id="53" w:name="_Toc75339758"/>
      <w:r>
        <w:rPr>
          <w:rStyle w:val="CharSClsNo"/>
        </w:rPr>
        <w:t>27</w:t>
      </w:r>
      <w:r>
        <w:t>.</w:t>
      </w:r>
      <w:r>
        <w:tab/>
      </w:r>
      <w:r>
        <w:rPr>
          <w:szCs w:val="22"/>
        </w:rPr>
        <w:t>Proxy voting</w:t>
      </w:r>
      <w:bookmarkEnd w:id="53"/>
    </w:p>
    <w:p w:rsidR="00EB104A" w:rsidRDefault="00EB104A">
      <w:pPr>
        <w:pStyle w:val="ySubsection"/>
        <w:rPr>
          <w:szCs w:val="22"/>
        </w:rPr>
      </w:pPr>
      <w:r>
        <w:tab/>
        <w:t>(1)</w:t>
      </w:r>
      <w:r>
        <w:tab/>
      </w:r>
      <w:r>
        <w:rPr>
          <w:szCs w:val="22"/>
        </w:rPr>
        <w:t xml:space="preserve">In this clause — </w:t>
      </w:r>
    </w:p>
    <w:p w:rsidR="00EB104A" w:rsidRDefault="00EB104A">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rsidR="00EB104A" w:rsidRDefault="00EB104A">
      <w:pPr>
        <w:pStyle w:val="yDefpara"/>
      </w:pPr>
      <w:r>
        <w:tab/>
        <w:t>(a)</w:t>
      </w:r>
      <w:r>
        <w:tab/>
        <w:t xml:space="preserve">if the administering body is an individual — </w:t>
      </w:r>
    </w:p>
    <w:p w:rsidR="00EB104A" w:rsidRDefault="00EB104A">
      <w:pPr>
        <w:pStyle w:val="yDefsubpara"/>
      </w:pPr>
      <w:r>
        <w:tab/>
        <w:t>(i)</w:t>
      </w:r>
      <w:r>
        <w:tab/>
        <w:t xml:space="preserve">the spouse, de facto partner, parent, child or sibling of the administering body; </w:t>
      </w:r>
    </w:p>
    <w:p w:rsidR="00EB104A" w:rsidRDefault="00EB104A">
      <w:pPr>
        <w:pStyle w:val="yDefsubpara"/>
        <w:rPr>
          <w:szCs w:val="22"/>
        </w:rPr>
      </w:pPr>
      <w:r>
        <w:tab/>
        <w:t>(ii)</w:t>
      </w:r>
      <w:r>
        <w:tab/>
      </w:r>
      <w:r>
        <w:rPr>
          <w:szCs w:val="22"/>
        </w:rPr>
        <w:t xml:space="preserve">the parent, child or sibling of the spouse or de facto partner of the administering body; </w:t>
      </w:r>
    </w:p>
    <w:p w:rsidR="00EB104A" w:rsidRDefault="00EB104A">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rsidR="00EB104A" w:rsidRDefault="00EB104A">
      <w:pPr>
        <w:pStyle w:val="yDefpara"/>
        <w:rPr>
          <w:szCs w:val="22"/>
        </w:rPr>
      </w:pPr>
      <w:r>
        <w:tab/>
        <w:t>(b)</w:t>
      </w:r>
      <w:r>
        <w:tab/>
      </w:r>
      <w:r>
        <w:rPr>
          <w:szCs w:val="22"/>
        </w:rPr>
        <w:t xml:space="preserve">if the administering body is a body corporate — </w:t>
      </w:r>
    </w:p>
    <w:p w:rsidR="00EB104A" w:rsidRDefault="00EB104A">
      <w:pPr>
        <w:pStyle w:val="yDefsubpara"/>
        <w:rPr>
          <w:szCs w:val="22"/>
        </w:rPr>
      </w:pPr>
      <w:r>
        <w:tab/>
        <w:t>(i)</w:t>
      </w:r>
      <w:r>
        <w:tab/>
      </w:r>
      <w:r>
        <w:rPr>
          <w:szCs w:val="22"/>
        </w:rPr>
        <w:t>a director or secretary of the body corporate or of a related body corporate;</w:t>
      </w:r>
    </w:p>
    <w:p w:rsidR="00EB104A" w:rsidRDefault="00EB104A">
      <w:pPr>
        <w:pStyle w:val="yDefsubpara"/>
        <w:rPr>
          <w:szCs w:val="22"/>
        </w:rPr>
      </w:pPr>
      <w:r>
        <w:tab/>
        <w:t>(ii)</w:t>
      </w:r>
      <w:r>
        <w:tab/>
      </w:r>
      <w:r>
        <w:rPr>
          <w:szCs w:val="22"/>
        </w:rPr>
        <w:t xml:space="preserve">a person involved in the management of the body corporate or of a related body corporate; </w:t>
      </w:r>
    </w:p>
    <w:p w:rsidR="00EB104A" w:rsidRDefault="00EB104A">
      <w:pPr>
        <w:pStyle w:val="yDefsubpara"/>
        <w:rPr>
          <w:szCs w:val="22"/>
        </w:rPr>
      </w:pPr>
      <w:r>
        <w:lastRenderedPageBreak/>
        <w:tab/>
        <w:t>(iii)</w:t>
      </w:r>
      <w:r>
        <w:tab/>
      </w:r>
      <w:r>
        <w:rPr>
          <w:szCs w:val="22"/>
        </w:rPr>
        <w:t>the spouse, de facto partner, parent, child or sibling of a person referred to in subparagraph (i) or (ii);</w:t>
      </w:r>
    </w:p>
    <w:p w:rsidR="00EB104A" w:rsidRDefault="00EB104A">
      <w:pPr>
        <w:pStyle w:val="yDefsubpara"/>
        <w:rPr>
          <w:szCs w:val="22"/>
        </w:rPr>
      </w:pPr>
      <w:r>
        <w:tab/>
        <w:t>(iv)</w:t>
      </w:r>
      <w:r>
        <w:tab/>
      </w:r>
      <w:r>
        <w:rPr>
          <w:szCs w:val="22"/>
        </w:rPr>
        <w:t>the parent, child or sibling of the spouse or de facto partner of a person referred to in subparagraph (i) or (ii);</w:t>
      </w:r>
    </w:p>
    <w:p w:rsidR="00EB104A" w:rsidRDefault="00EB104A">
      <w:pPr>
        <w:pStyle w:val="yDefsubpara"/>
        <w:rPr>
          <w:szCs w:val="22"/>
        </w:rPr>
      </w:pPr>
      <w:r>
        <w:tab/>
        <w:t>(v)</w:t>
      </w:r>
      <w:r>
        <w:tab/>
      </w:r>
      <w:r>
        <w:rPr>
          <w:szCs w:val="22"/>
        </w:rPr>
        <w:t>a related body corporate;</w:t>
      </w:r>
    </w:p>
    <w:p w:rsidR="00EB104A" w:rsidRDefault="00EB104A">
      <w:pPr>
        <w:pStyle w:val="yDefstart"/>
        <w:rPr>
          <w:szCs w:val="22"/>
        </w:rPr>
      </w:pPr>
      <w:r>
        <w:rPr>
          <w:szCs w:val="22"/>
        </w:rPr>
        <w:tab/>
      </w:r>
      <w:r>
        <w:rPr>
          <w:rStyle w:val="CharDefText"/>
          <w:szCs w:val="22"/>
        </w:rPr>
        <w:t>proxy notice</w:t>
      </w:r>
      <w:r>
        <w:rPr>
          <w:szCs w:val="22"/>
        </w:rPr>
        <w:t xml:space="preserve"> means a notice referred to in subclause (2);</w:t>
      </w:r>
    </w:p>
    <w:p w:rsidR="00EB104A" w:rsidRDefault="00EB104A">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rsidR="00EB104A" w:rsidRDefault="00EB104A">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rsidR="00EB104A" w:rsidRDefault="00EB104A">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rsidR="00EB104A" w:rsidRDefault="00EB104A">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rsidR="00EB104A" w:rsidRDefault="00EB104A">
      <w:pPr>
        <w:pStyle w:val="ySubsection"/>
        <w:rPr>
          <w:szCs w:val="22"/>
        </w:rPr>
      </w:pPr>
      <w:r>
        <w:tab/>
        <w:t>(4)</w:t>
      </w:r>
      <w:r>
        <w:tab/>
      </w:r>
      <w:r>
        <w:rPr>
          <w:szCs w:val="22"/>
        </w:rPr>
        <w:t>A proxy vote can only be in respect of 1 meeting.</w:t>
      </w:r>
    </w:p>
    <w:p w:rsidR="00EB104A" w:rsidRDefault="00EB104A">
      <w:pPr>
        <w:pStyle w:val="ySubsection"/>
        <w:rPr>
          <w:szCs w:val="22"/>
        </w:rPr>
      </w:pPr>
      <w:r>
        <w:tab/>
        <w:t>(5)</w:t>
      </w:r>
      <w:r>
        <w:tab/>
      </w:r>
      <w:r>
        <w:rPr>
          <w:szCs w:val="22"/>
        </w:rPr>
        <w:t xml:space="preserve">A voting resident may not appoint any of the following persons as a proxy unless the voting resident is a relative of the proxy — </w:t>
      </w:r>
    </w:p>
    <w:p w:rsidR="00EB104A" w:rsidRDefault="00EB104A">
      <w:pPr>
        <w:pStyle w:val="yIndenta"/>
      </w:pPr>
      <w:r>
        <w:tab/>
        <w:t>(a)</w:t>
      </w:r>
      <w:r>
        <w:tab/>
        <w:t>a representative of the administering body of the retirement village;</w:t>
      </w:r>
    </w:p>
    <w:p w:rsidR="00EB104A" w:rsidRDefault="00EB104A">
      <w:pPr>
        <w:pStyle w:val="yIndenta"/>
      </w:pPr>
      <w:r>
        <w:tab/>
        <w:t>(b)</w:t>
      </w:r>
      <w:r>
        <w:tab/>
        <w:t>a close associate of the administering body of the retirement village;</w:t>
      </w:r>
    </w:p>
    <w:p w:rsidR="00EB104A" w:rsidRDefault="00EB104A">
      <w:pPr>
        <w:pStyle w:val="yIndenta"/>
      </w:pPr>
      <w:r>
        <w:tab/>
        <w:t>(c)</w:t>
      </w:r>
      <w:r>
        <w:tab/>
        <w:t>a person nominated as a proxy by the administering body of the retirement village.</w:t>
      </w:r>
    </w:p>
    <w:p w:rsidR="00EB104A" w:rsidRDefault="00EB104A">
      <w:pPr>
        <w:pStyle w:val="ySubsection"/>
        <w:rPr>
          <w:szCs w:val="22"/>
        </w:rPr>
      </w:pPr>
      <w:r>
        <w:tab/>
        <w:t>(6)</w:t>
      </w:r>
      <w:r>
        <w:tab/>
      </w:r>
      <w:r>
        <w:rPr>
          <w:szCs w:val="22"/>
        </w:rPr>
        <w:t>A proxy notice may, but is not required to, be in the form for the appointment of a proxy set out in Appendix 2.</w:t>
      </w:r>
    </w:p>
    <w:p w:rsidR="00EB104A" w:rsidRDefault="00EB104A">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rsidR="00EB104A" w:rsidRDefault="00EB104A">
      <w:pPr>
        <w:pStyle w:val="ySubsection"/>
        <w:rPr>
          <w:szCs w:val="22"/>
        </w:rPr>
      </w:pPr>
      <w:r>
        <w:lastRenderedPageBreak/>
        <w:tab/>
        <w:t>(8)</w:t>
      </w:r>
      <w:r>
        <w:tab/>
      </w:r>
      <w:r>
        <w:rPr>
          <w:szCs w:val="22"/>
        </w:rPr>
        <w:t>A person must not be appointed as the proxy of more than 5 voting residents in a retirement village.</w:t>
      </w:r>
    </w:p>
    <w:p w:rsidR="00EB104A" w:rsidRDefault="00EB104A">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rsidR="00EB104A" w:rsidRDefault="00EB104A">
      <w:pPr>
        <w:pStyle w:val="yIndenta"/>
        <w:rPr>
          <w:szCs w:val="22"/>
        </w:rPr>
      </w:pPr>
      <w:r>
        <w:tab/>
        <w:t>(a)</w:t>
      </w:r>
      <w:r>
        <w:tab/>
      </w:r>
      <w:r>
        <w:rPr>
          <w:szCs w:val="22"/>
        </w:rPr>
        <w:t>the proxy; and</w:t>
      </w:r>
    </w:p>
    <w:p w:rsidR="00EB104A" w:rsidRDefault="00EB104A">
      <w:pPr>
        <w:pStyle w:val="yIndenta"/>
        <w:rPr>
          <w:szCs w:val="22"/>
        </w:rPr>
      </w:pPr>
      <w:r>
        <w:tab/>
        <w:t>(b)</w:t>
      </w:r>
      <w:r>
        <w:tab/>
      </w:r>
      <w:r>
        <w:rPr>
          <w:szCs w:val="22"/>
        </w:rPr>
        <w:t>the chairperson of the meeting at which the proxy was to vote.</w:t>
      </w:r>
    </w:p>
    <w:p w:rsidR="00EB104A" w:rsidRDefault="00EB104A">
      <w:pPr>
        <w:pStyle w:val="yHeading5"/>
        <w:spacing w:before="120"/>
        <w:rPr>
          <w:szCs w:val="22"/>
        </w:rPr>
      </w:pPr>
      <w:bookmarkStart w:id="54" w:name="_Toc75339759"/>
      <w:r>
        <w:rPr>
          <w:rStyle w:val="CharSClsNo"/>
        </w:rPr>
        <w:t>28</w:t>
      </w:r>
      <w:r>
        <w:t>.</w:t>
      </w:r>
      <w:r>
        <w:tab/>
      </w:r>
      <w:r>
        <w:rPr>
          <w:szCs w:val="22"/>
        </w:rPr>
        <w:t>Voting by secret ballot</w:t>
      </w:r>
      <w:bookmarkEnd w:id="54"/>
    </w:p>
    <w:p w:rsidR="00EB104A" w:rsidRDefault="00EB104A">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rsidR="00EB104A" w:rsidRDefault="00EB104A">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rsidR="00EB104A" w:rsidRDefault="00EB104A">
      <w:pPr>
        <w:pStyle w:val="yHeading3"/>
        <w:keepLines/>
      </w:pPr>
      <w:bookmarkStart w:id="55" w:name="_Toc75168534"/>
      <w:bookmarkStart w:id="56" w:name="_Toc75181364"/>
      <w:bookmarkStart w:id="57" w:name="_Toc75339760"/>
      <w:r>
        <w:rPr>
          <w:rStyle w:val="CharSDivNo"/>
        </w:rPr>
        <w:lastRenderedPageBreak/>
        <w:t>Division 6</w:t>
      </w:r>
      <w:r>
        <w:t> — </w:t>
      </w:r>
      <w:r>
        <w:rPr>
          <w:rStyle w:val="CharSDivText"/>
        </w:rPr>
        <w:t>Dispute resolution</w:t>
      </w:r>
      <w:bookmarkEnd w:id="55"/>
      <w:bookmarkEnd w:id="56"/>
      <w:bookmarkEnd w:id="57"/>
    </w:p>
    <w:p w:rsidR="00EB104A" w:rsidRDefault="00EB104A">
      <w:pPr>
        <w:pStyle w:val="yHeading5"/>
        <w:rPr>
          <w:szCs w:val="22"/>
        </w:rPr>
      </w:pPr>
      <w:bookmarkStart w:id="58" w:name="_Toc75339761"/>
      <w:r>
        <w:rPr>
          <w:rStyle w:val="CharSClsNo"/>
        </w:rPr>
        <w:t>29</w:t>
      </w:r>
      <w:r>
        <w:t>.</w:t>
      </w:r>
      <w:r>
        <w:tab/>
      </w:r>
      <w:r>
        <w:rPr>
          <w:szCs w:val="22"/>
        </w:rPr>
        <w:t>Terms used</w:t>
      </w:r>
      <w:bookmarkEnd w:id="58"/>
    </w:p>
    <w:p w:rsidR="00EB104A" w:rsidRDefault="00EB104A">
      <w:pPr>
        <w:pStyle w:val="ySubsection"/>
        <w:keepNext/>
        <w:keepLines/>
        <w:rPr>
          <w:szCs w:val="22"/>
        </w:rPr>
      </w:pPr>
      <w:r>
        <w:rPr>
          <w:szCs w:val="22"/>
        </w:rPr>
        <w:tab/>
      </w:r>
      <w:r>
        <w:rPr>
          <w:szCs w:val="22"/>
        </w:rPr>
        <w:tab/>
        <w:t xml:space="preserve">In this Division — </w:t>
      </w:r>
    </w:p>
    <w:p w:rsidR="00EB104A" w:rsidRDefault="00EB104A">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rsidR="00EB104A" w:rsidRDefault="00EB104A">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rsidR="00EB104A" w:rsidRDefault="00EB104A">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rsidR="00EB104A" w:rsidRDefault="00EB104A">
      <w:pPr>
        <w:pStyle w:val="yHeading5"/>
        <w:rPr>
          <w:szCs w:val="22"/>
        </w:rPr>
      </w:pPr>
      <w:bookmarkStart w:id="59" w:name="_Toc75339762"/>
      <w:r>
        <w:rPr>
          <w:rStyle w:val="CharSClsNo"/>
        </w:rPr>
        <w:t>30</w:t>
      </w:r>
      <w:r>
        <w:t>.</w:t>
      </w:r>
      <w:r>
        <w:tab/>
      </w:r>
      <w:r>
        <w:rPr>
          <w:szCs w:val="22"/>
        </w:rPr>
        <w:t>Village dispute resolution process</w:t>
      </w:r>
      <w:bookmarkEnd w:id="59"/>
    </w:p>
    <w:p w:rsidR="00EB104A" w:rsidRDefault="00EB104A">
      <w:pPr>
        <w:pStyle w:val="ySubsection"/>
      </w:pPr>
      <w:r>
        <w:tab/>
        <w:t>(1)</w:t>
      </w:r>
      <w:r>
        <w:tab/>
        <w:t xml:space="preserve">A resident who considers that a retirement village dispute has arisen must — </w:t>
      </w:r>
    </w:p>
    <w:p w:rsidR="00EB104A" w:rsidRDefault="00EB104A">
      <w:pPr>
        <w:pStyle w:val="yIndenta"/>
      </w:pPr>
      <w:r>
        <w:tab/>
        <w:t>(a)</w:t>
      </w:r>
      <w:r>
        <w:tab/>
        <w:t>serve written notice to all other parties to the dispute setting out the matters in dispute and calling on the other parties to rectify or otherwise attempt to settle those matters; and</w:t>
      </w:r>
    </w:p>
    <w:p w:rsidR="00EB104A" w:rsidRDefault="00EB104A">
      <w:pPr>
        <w:pStyle w:val="yIndenta"/>
        <w:rPr>
          <w:szCs w:val="22"/>
        </w:rPr>
      </w:pPr>
      <w:r>
        <w:tab/>
        <w:t>(b)</w:t>
      </w:r>
      <w:r>
        <w:tab/>
      </w:r>
      <w:r>
        <w:rPr>
          <w:szCs w:val="22"/>
        </w:rPr>
        <w:t>advise the administering body of the retirement village that the dispute has arisen.</w:t>
      </w:r>
    </w:p>
    <w:p w:rsidR="00EB104A" w:rsidRDefault="00EB104A">
      <w:pPr>
        <w:pStyle w:val="ySubsection"/>
        <w:rPr>
          <w:szCs w:val="22"/>
        </w:rPr>
      </w:pPr>
      <w:r>
        <w:tab/>
        <w:t>(2)</w:t>
      </w:r>
      <w:r>
        <w:tab/>
      </w:r>
      <w:r>
        <w:rPr>
          <w:szCs w:val="22"/>
        </w:rPr>
        <w:t xml:space="preserve">If a notice under subclause (1)(a) is served — </w:t>
      </w:r>
    </w:p>
    <w:p w:rsidR="00EB104A" w:rsidRDefault="00EB104A">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rsidR="00EB104A" w:rsidRDefault="00EB104A">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rsidR="00EB104A" w:rsidRDefault="00EB104A">
      <w:pPr>
        <w:pStyle w:val="ySubsection"/>
        <w:rPr>
          <w:szCs w:val="22"/>
        </w:rPr>
      </w:pPr>
      <w:r>
        <w:tab/>
        <w:t>(3)</w:t>
      </w:r>
      <w:r>
        <w:tab/>
      </w:r>
      <w:r>
        <w:rPr>
          <w:szCs w:val="22"/>
        </w:rPr>
        <w:t xml:space="preserve">The parties to the dispute are to — </w:t>
      </w:r>
    </w:p>
    <w:p w:rsidR="00EB104A" w:rsidRDefault="00EB104A">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rsidR="00EB104A" w:rsidRDefault="00EB104A">
      <w:pPr>
        <w:pStyle w:val="yIndenta"/>
        <w:rPr>
          <w:szCs w:val="22"/>
        </w:rPr>
      </w:pPr>
      <w:r>
        <w:lastRenderedPageBreak/>
        <w:tab/>
        <w:t>(b)</w:t>
      </w:r>
      <w:r>
        <w:tab/>
      </w:r>
      <w:r>
        <w:rPr>
          <w:szCs w:val="22"/>
        </w:rPr>
        <w:t>attempt to resolve the matters that are in dispute.</w:t>
      </w:r>
    </w:p>
    <w:p w:rsidR="00EB104A" w:rsidRDefault="00EB104A">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rsidR="00EB104A" w:rsidRDefault="00EB104A">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rsidR="00EB104A" w:rsidRDefault="00EB104A">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rsidR="00EB104A" w:rsidRDefault="00EB104A">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rsidR="00EB104A" w:rsidRDefault="00EB104A">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rsidR="00EB104A" w:rsidRDefault="00EB104A">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rsidR="00EB104A" w:rsidRDefault="00EB104A">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rsidR="00EB104A" w:rsidRDefault="00EB104A">
      <w:pPr>
        <w:pStyle w:val="yIndenta"/>
        <w:rPr>
          <w:szCs w:val="22"/>
        </w:rPr>
      </w:pPr>
      <w:r>
        <w:tab/>
        <w:t>(a)</w:t>
      </w:r>
      <w:r>
        <w:tab/>
      </w:r>
      <w:r>
        <w:rPr>
          <w:szCs w:val="22"/>
        </w:rPr>
        <w:t xml:space="preserve">the dispute resolution process; </w:t>
      </w:r>
    </w:p>
    <w:p w:rsidR="00EB104A" w:rsidRDefault="00EB104A">
      <w:pPr>
        <w:pStyle w:val="yIndenta"/>
        <w:rPr>
          <w:szCs w:val="22"/>
        </w:rPr>
      </w:pPr>
      <w:r>
        <w:tab/>
        <w:t>(b)</w:t>
      </w:r>
      <w:r>
        <w:tab/>
      </w:r>
      <w:r>
        <w:rPr>
          <w:szCs w:val="22"/>
        </w:rPr>
        <w:t>any variations made to it under subclause (8).</w:t>
      </w:r>
    </w:p>
    <w:p w:rsidR="00EB104A" w:rsidRDefault="00EB104A">
      <w:pPr>
        <w:pStyle w:val="ySubsection"/>
      </w:pPr>
      <w:r>
        <w:tab/>
        <w:t>(11)</w:t>
      </w:r>
      <w:r>
        <w:tab/>
        <w:t xml:space="preserve">An administering body must provide to a resident the document described in subclause (10) if — </w:t>
      </w:r>
    </w:p>
    <w:p w:rsidR="00EB104A" w:rsidRDefault="00EB104A">
      <w:pPr>
        <w:pStyle w:val="yIndenta"/>
      </w:pPr>
      <w:r>
        <w:tab/>
        <w:t>(a)</w:t>
      </w:r>
      <w:r>
        <w:tab/>
        <w:t>advised by a resident under subclause (1)(b) that a retirement village dispute has arisen; or</w:t>
      </w:r>
    </w:p>
    <w:p w:rsidR="00EB104A" w:rsidRDefault="00EB104A">
      <w:pPr>
        <w:pStyle w:val="yIndenta"/>
      </w:pPr>
      <w:r>
        <w:tab/>
        <w:t>(b)</w:t>
      </w:r>
      <w:r>
        <w:tab/>
        <w:t>requested to do so by the resident.</w:t>
      </w:r>
    </w:p>
    <w:p w:rsidR="00EB104A" w:rsidRDefault="00EB104A">
      <w:pPr>
        <w:pStyle w:val="yHeading5"/>
        <w:rPr>
          <w:szCs w:val="22"/>
        </w:rPr>
      </w:pPr>
      <w:bookmarkStart w:id="60" w:name="_Toc75339763"/>
      <w:r>
        <w:rPr>
          <w:rStyle w:val="CharSClsNo"/>
        </w:rPr>
        <w:lastRenderedPageBreak/>
        <w:t>31</w:t>
      </w:r>
      <w:r>
        <w:t>.</w:t>
      </w:r>
      <w:r>
        <w:tab/>
      </w:r>
      <w:r>
        <w:rPr>
          <w:szCs w:val="22"/>
        </w:rPr>
        <w:t>Mediation of dispute</w:t>
      </w:r>
      <w:bookmarkEnd w:id="60"/>
    </w:p>
    <w:p w:rsidR="00EB104A" w:rsidRDefault="00EB104A">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rsidR="00EB104A" w:rsidRDefault="00EB104A">
      <w:pPr>
        <w:pStyle w:val="yIndenta"/>
      </w:pPr>
      <w:r>
        <w:tab/>
        <w:t>(a)</w:t>
      </w:r>
      <w:r>
        <w:tab/>
        <w:t>are the subject of an arbitration proceeding that has commenced; or</w:t>
      </w:r>
    </w:p>
    <w:p w:rsidR="00EB104A" w:rsidRDefault="00EB104A">
      <w:pPr>
        <w:pStyle w:val="yIndenta"/>
        <w:rPr>
          <w:szCs w:val="22"/>
        </w:rPr>
      </w:pPr>
      <w:r>
        <w:tab/>
        <w:t>(b)</w:t>
      </w:r>
      <w:r>
        <w:tab/>
      </w:r>
      <w:r>
        <w:rPr>
          <w:szCs w:val="22"/>
        </w:rPr>
        <w:t>have been the subject of an award (interim or final) in an arbitration proceeding; or</w:t>
      </w:r>
    </w:p>
    <w:p w:rsidR="00EB104A" w:rsidRDefault="00EB104A">
      <w:pPr>
        <w:pStyle w:val="yIndenta"/>
        <w:rPr>
          <w:szCs w:val="22"/>
        </w:rPr>
      </w:pPr>
      <w:r>
        <w:tab/>
        <w:t>(c)</w:t>
      </w:r>
      <w:r>
        <w:tab/>
      </w:r>
      <w:r>
        <w:rPr>
          <w:szCs w:val="22"/>
        </w:rPr>
        <w:t>are before, or have been decided by, a court or the State Administrative Tribunal or other tribunal of competent jurisdiction.</w:t>
      </w:r>
    </w:p>
    <w:p w:rsidR="00EB104A" w:rsidRDefault="00EB104A">
      <w:pPr>
        <w:pStyle w:val="ySubsection"/>
        <w:rPr>
          <w:szCs w:val="22"/>
        </w:rPr>
      </w:pPr>
      <w:r>
        <w:tab/>
        <w:t>(2)</w:t>
      </w:r>
      <w:r>
        <w:tab/>
      </w:r>
      <w:r>
        <w:rPr>
          <w:szCs w:val="22"/>
        </w:rPr>
        <w:t xml:space="preserve">The Commissioner may refuse to accept the application if — </w:t>
      </w:r>
    </w:p>
    <w:p w:rsidR="00EB104A" w:rsidRDefault="00EB104A">
      <w:pPr>
        <w:pStyle w:val="yIndenta"/>
        <w:rPr>
          <w:szCs w:val="22"/>
        </w:rPr>
      </w:pPr>
      <w:r>
        <w:tab/>
        <w:t>(a)</w:t>
      </w:r>
      <w:r>
        <w:tab/>
      </w:r>
      <w:r>
        <w:rPr>
          <w:szCs w:val="22"/>
        </w:rPr>
        <w:t>no attempt has been made to resolve the retirement village dispute using the village dispute resolution process set out in clause 30; or</w:t>
      </w:r>
    </w:p>
    <w:p w:rsidR="00EB104A" w:rsidRDefault="00EB104A">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rsidR="00EB104A" w:rsidRDefault="00EB104A">
      <w:pPr>
        <w:pStyle w:val="yIndenta"/>
        <w:rPr>
          <w:szCs w:val="22"/>
        </w:rPr>
      </w:pPr>
      <w:r>
        <w:tab/>
        <w:t>(c)</w:t>
      </w:r>
      <w:r>
        <w:tab/>
      </w:r>
      <w:r>
        <w:rPr>
          <w:szCs w:val="22"/>
        </w:rPr>
        <w:t>a party to the dispute has not agreed to have the retirement village dispute dealt with by mediation under this clause; or</w:t>
      </w:r>
    </w:p>
    <w:p w:rsidR="00EB104A" w:rsidRDefault="00EB104A">
      <w:pPr>
        <w:pStyle w:val="yIndenta"/>
        <w:rPr>
          <w:szCs w:val="22"/>
        </w:rPr>
      </w:pPr>
      <w:r>
        <w:tab/>
        <w:t>(d)</w:t>
      </w:r>
      <w:r>
        <w:tab/>
      </w:r>
      <w:r>
        <w:rPr>
          <w:szCs w:val="22"/>
        </w:rPr>
        <w:t>the Commissioner considers that the application should not be accepted for another reason.</w:t>
      </w:r>
    </w:p>
    <w:p w:rsidR="00EB104A" w:rsidRDefault="00EB104A">
      <w:pPr>
        <w:pStyle w:val="ySubsection"/>
        <w:rPr>
          <w:szCs w:val="22"/>
        </w:rPr>
      </w:pPr>
      <w:r>
        <w:tab/>
        <w:t>(3)</w:t>
      </w:r>
      <w:r>
        <w:tab/>
      </w:r>
      <w:r>
        <w:rPr>
          <w:szCs w:val="22"/>
        </w:rPr>
        <w:t xml:space="preserve">Within 10 working days after receiving the application, the Commissioner must — </w:t>
      </w:r>
    </w:p>
    <w:p w:rsidR="00EB104A" w:rsidRDefault="00EB104A">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rsidR="00EB104A" w:rsidRDefault="00EB104A">
      <w:pPr>
        <w:pStyle w:val="yIndenta"/>
        <w:rPr>
          <w:szCs w:val="22"/>
        </w:rPr>
      </w:pPr>
      <w:r>
        <w:tab/>
        <w:t>(b)</w:t>
      </w:r>
      <w:r>
        <w:tab/>
      </w:r>
      <w:r>
        <w:rPr>
          <w:szCs w:val="22"/>
        </w:rPr>
        <w:t xml:space="preserve">appoint a mediator to mediate the retirement village dispute and give written notice to the parties to the dispute of — </w:t>
      </w:r>
    </w:p>
    <w:p w:rsidR="00EB104A" w:rsidRDefault="00EB104A">
      <w:pPr>
        <w:pStyle w:val="yIndenti0"/>
      </w:pPr>
      <w:r>
        <w:tab/>
        <w:t>(i)</w:t>
      </w:r>
      <w:r>
        <w:tab/>
        <w:t>the appointed mediator; and</w:t>
      </w:r>
    </w:p>
    <w:p w:rsidR="00EB104A" w:rsidRDefault="00EB104A">
      <w:pPr>
        <w:pStyle w:val="yIndenti0"/>
        <w:rPr>
          <w:szCs w:val="22"/>
        </w:rPr>
      </w:pPr>
      <w:r>
        <w:tab/>
        <w:t>(ii)</w:t>
      </w:r>
      <w:r>
        <w:tab/>
      </w:r>
      <w:r>
        <w:rPr>
          <w:szCs w:val="22"/>
        </w:rPr>
        <w:t>the time, date and place for the holding of the mediation.</w:t>
      </w:r>
    </w:p>
    <w:p w:rsidR="00EB104A" w:rsidRDefault="00EB104A">
      <w:pPr>
        <w:pStyle w:val="ySubsection"/>
        <w:rPr>
          <w:szCs w:val="22"/>
        </w:rPr>
      </w:pPr>
      <w:r>
        <w:lastRenderedPageBreak/>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rsidR="00EB104A" w:rsidRDefault="00EB104A">
      <w:pPr>
        <w:pStyle w:val="ySubsection"/>
        <w:rPr>
          <w:szCs w:val="22"/>
        </w:rPr>
      </w:pPr>
      <w:r>
        <w:tab/>
        <w:t>(5)</w:t>
      </w:r>
      <w:r>
        <w:tab/>
      </w:r>
      <w:r>
        <w:rPr>
          <w:szCs w:val="22"/>
        </w:rPr>
        <w:t xml:space="preserve">The notice under subclause (3)(b) must — </w:t>
      </w:r>
    </w:p>
    <w:p w:rsidR="00EB104A" w:rsidRDefault="00EB104A">
      <w:pPr>
        <w:pStyle w:val="yIndenta"/>
        <w:rPr>
          <w:szCs w:val="22"/>
        </w:rPr>
      </w:pPr>
      <w:r>
        <w:tab/>
        <w:t>(a)</w:t>
      </w:r>
      <w:r>
        <w:tab/>
      </w:r>
      <w:r>
        <w:rPr>
          <w:szCs w:val="22"/>
        </w:rPr>
        <w:t>be given at least 5 working days before the mediation is to take place; and</w:t>
      </w:r>
    </w:p>
    <w:p w:rsidR="00EB104A" w:rsidRDefault="00EB104A">
      <w:pPr>
        <w:pStyle w:val="yIndenta"/>
        <w:rPr>
          <w:szCs w:val="22"/>
        </w:rPr>
      </w:pPr>
      <w:r>
        <w:tab/>
        <w:t>(b)</w:t>
      </w:r>
      <w:r>
        <w:tab/>
      </w:r>
      <w:r>
        <w:rPr>
          <w:szCs w:val="22"/>
        </w:rPr>
        <w:t>if given to a party other than the party who made the application under subclause (1), include a copy of the application.</w:t>
      </w:r>
    </w:p>
    <w:p w:rsidR="00EB104A" w:rsidRDefault="00EB104A">
      <w:pPr>
        <w:pStyle w:val="ySubsection"/>
        <w:rPr>
          <w:szCs w:val="22"/>
        </w:rPr>
      </w:pPr>
      <w:r>
        <w:tab/>
        <w:t>(6)</w:t>
      </w:r>
      <w:r>
        <w:tab/>
      </w:r>
      <w:r>
        <w:rPr>
          <w:szCs w:val="22"/>
        </w:rPr>
        <w:t>A party to a retirement village dispute cannot be compelled to attend mediation.</w:t>
      </w:r>
    </w:p>
    <w:p w:rsidR="00EB104A" w:rsidRDefault="00EB104A">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rsidR="00EB104A" w:rsidRDefault="00EB104A">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rsidR="00EB104A" w:rsidRDefault="00EB104A">
      <w:pPr>
        <w:pStyle w:val="yIndenta"/>
        <w:rPr>
          <w:szCs w:val="22"/>
        </w:rPr>
      </w:pPr>
      <w:r>
        <w:tab/>
        <w:t>(a)</w:t>
      </w:r>
      <w:r>
        <w:tab/>
      </w:r>
      <w:r>
        <w:rPr>
          <w:szCs w:val="22"/>
        </w:rPr>
        <w:t>appoint another mediator who is acceptable to all the parties; and</w:t>
      </w:r>
    </w:p>
    <w:p w:rsidR="00EB104A" w:rsidRDefault="00EB104A">
      <w:pPr>
        <w:pStyle w:val="yIndenta"/>
        <w:rPr>
          <w:szCs w:val="22"/>
        </w:rPr>
      </w:pPr>
      <w:r>
        <w:tab/>
        <w:t>(b)</w:t>
      </w:r>
      <w:r>
        <w:tab/>
      </w:r>
      <w:r>
        <w:rPr>
          <w:szCs w:val="22"/>
        </w:rPr>
        <w:t>issue an amended notice under subclause (3)(b).</w:t>
      </w:r>
    </w:p>
    <w:p w:rsidR="00EB104A" w:rsidRDefault="00EB104A">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rsidR="00EB104A" w:rsidRDefault="00EB104A">
      <w:pPr>
        <w:pStyle w:val="yIndenta"/>
        <w:rPr>
          <w:szCs w:val="22"/>
        </w:rPr>
      </w:pPr>
      <w:r>
        <w:tab/>
        <w:t>(a)</w:t>
      </w:r>
      <w:r>
        <w:tab/>
      </w:r>
      <w:r>
        <w:rPr>
          <w:szCs w:val="22"/>
        </w:rPr>
        <w:t>the party is unable to attend, or cannot properly participate in, the proceedings personally, whether on account of illness or otherwise; and</w:t>
      </w:r>
    </w:p>
    <w:p w:rsidR="00EB104A" w:rsidRDefault="00EB104A">
      <w:pPr>
        <w:pStyle w:val="yIndenta"/>
        <w:rPr>
          <w:szCs w:val="22"/>
        </w:rPr>
      </w:pPr>
      <w:r>
        <w:tab/>
        <w:t>(b)</w:t>
      </w:r>
      <w:r>
        <w:tab/>
      </w:r>
      <w:r>
        <w:rPr>
          <w:szCs w:val="22"/>
        </w:rPr>
        <w:t>the agent has sufficient knowledge of the matters in dispute to represent the party effectively; and</w:t>
      </w:r>
    </w:p>
    <w:p w:rsidR="00EB104A" w:rsidRDefault="00EB104A">
      <w:pPr>
        <w:pStyle w:val="yIndenta"/>
        <w:rPr>
          <w:szCs w:val="22"/>
        </w:rPr>
      </w:pPr>
      <w:r>
        <w:tab/>
        <w:t>(c)</w:t>
      </w:r>
      <w:r>
        <w:tab/>
      </w:r>
      <w:r>
        <w:rPr>
          <w:szCs w:val="22"/>
        </w:rPr>
        <w:t>no other party will be unfairly disadvantaged by the fact that the agent is allowed to so act.</w:t>
      </w:r>
    </w:p>
    <w:p w:rsidR="00EB104A" w:rsidRDefault="00EB104A">
      <w:pPr>
        <w:pStyle w:val="ySubsection"/>
        <w:keepNext/>
        <w:rPr>
          <w:szCs w:val="22"/>
        </w:rPr>
      </w:pPr>
      <w:r>
        <w:lastRenderedPageBreak/>
        <w:tab/>
        <w:t>(10)</w:t>
      </w:r>
      <w:r>
        <w:tab/>
      </w:r>
      <w:r>
        <w:rPr>
          <w:szCs w:val="22"/>
        </w:rPr>
        <w:t xml:space="preserve">If the parties reach a mediated agreement on the retirement village dispute, the mediator is to — </w:t>
      </w:r>
    </w:p>
    <w:p w:rsidR="00EB104A" w:rsidRDefault="00EB104A">
      <w:pPr>
        <w:pStyle w:val="yIndenta"/>
        <w:rPr>
          <w:szCs w:val="22"/>
        </w:rPr>
      </w:pPr>
      <w:r>
        <w:tab/>
        <w:t>(a)</w:t>
      </w:r>
      <w:r>
        <w:tab/>
      </w:r>
      <w:r>
        <w:rPr>
          <w:szCs w:val="22"/>
        </w:rPr>
        <w:t>record the agreement in writing and have it signed by or for the parties as soon as practicable after the mediation ends; and</w:t>
      </w:r>
    </w:p>
    <w:p w:rsidR="00EB104A" w:rsidRDefault="00EB104A">
      <w:pPr>
        <w:pStyle w:val="yIndenta"/>
        <w:rPr>
          <w:szCs w:val="22"/>
        </w:rPr>
      </w:pPr>
      <w:r>
        <w:tab/>
        <w:t>(b)</w:t>
      </w:r>
      <w:r>
        <w:tab/>
      </w:r>
      <w:r>
        <w:rPr>
          <w:szCs w:val="22"/>
        </w:rPr>
        <w:t>give a copy of the signed agreement to the parties and the Commissioner as soon as practicable after it is signed.</w:t>
      </w:r>
    </w:p>
    <w:p w:rsidR="00EB104A" w:rsidRDefault="00EB104A">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rsidR="00EB104A" w:rsidRDefault="00EB104A">
      <w:pPr>
        <w:pStyle w:val="yIndenta"/>
        <w:rPr>
          <w:szCs w:val="22"/>
        </w:rPr>
      </w:pPr>
      <w:r>
        <w:tab/>
        <w:t>(a)</w:t>
      </w:r>
      <w:r>
        <w:tab/>
      </w:r>
      <w:r>
        <w:rPr>
          <w:szCs w:val="22"/>
        </w:rPr>
        <w:t>conclude the mediation; and</w:t>
      </w:r>
    </w:p>
    <w:p w:rsidR="00EB104A" w:rsidRDefault="00EB104A">
      <w:pPr>
        <w:pStyle w:val="yIndenta"/>
        <w:rPr>
          <w:szCs w:val="22"/>
        </w:rPr>
      </w:pPr>
      <w:r>
        <w:tab/>
        <w:t>(b)</w:t>
      </w:r>
      <w:r>
        <w:tab/>
      </w:r>
      <w:r>
        <w:rPr>
          <w:szCs w:val="22"/>
        </w:rPr>
        <w:t>notify the Commissioner that the mediation has been unsuccessful.</w:t>
      </w:r>
    </w:p>
    <w:p w:rsidR="00EB104A" w:rsidRDefault="00EB104A">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rsidR="00EB104A" w:rsidRDefault="00EB104A">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rsidR="00EB104A" w:rsidRDefault="00EB104A">
      <w:pPr>
        <w:pStyle w:val="ySubsection"/>
        <w:rPr>
          <w:szCs w:val="22"/>
        </w:rPr>
      </w:pPr>
      <w:r>
        <w:tab/>
        <w:t>(14)</w:t>
      </w:r>
      <w:r>
        <w:tab/>
      </w:r>
      <w:r>
        <w:rPr>
          <w:szCs w:val="22"/>
        </w:rPr>
        <w:t xml:space="preserve">The mediator does not contravene subclause (13) if — </w:t>
      </w:r>
    </w:p>
    <w:p w:rsidR="00EB104A" w:rsidRDefault="00EB104A">
      <w:pPr>
        <w:pStyle w:val="yIndenta"/>
        <w:rPr>
          <w:szCs w:val="22"/>
        </w:rPr>
      </w:pPr>
      <w:r>
        <w:tab/>
        <w:t>(a)</w:t>
      </w:r>
      <w:r>
        <w:tab/>
      </w:r>
      <w:r>
        <w:rPr>
          <w:szCs w:val="22"/>
        </w:rPr>
        <w:t>the mediator makes notes during the mediation that the mediator considers appropriate and destroys them at the end of the mediation; or</w:t>
      </w:r>
    </w:p>
    <w:p w:rsidR="00EB104A" w:rsidRDefault="00EB104A">
      <w:pPr>
        <w:pStyle w:val="yIndenta"/>
        <w:rPr>
          <w:szCs w:val="22"/>
        </w:rPr>
      </w:pPr>
      <w:r>
        <w:tab/>
        <w:t>(b)</w:t>
      </w:r>
      <w:r>
        <w:tab/>
      </w:r>
      <w:r>
        <w:rPr>
          <w:szCs w:val="22"/>
        </w:rPr>
        <w:t>the mediator records and provides a copy of a mediated agreement under subclause (10).</w:t>
      </w:r>
    </w:p>
    <w:p w:rsidR="00EB104A" w:rsidRDefault="00EB104A">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rsidR="00EB104A" w:rsidRDefault="00EB104A">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rsidR="00EB104A" w:rsidRDefault="00EB104A">
      <w:pPr>
        <w:pStyle w:val="yHeading5"/>
        <w:rPr>
          <w:szCs w:val="22"/>
        </w:rPr>
      </w:pPr>
      <w:bookmarkStart w:id="61" w:name="_Toc75339764"/>
      <w:r>
        <w:rPr>
          <w:rStyle w:val="CharSClsNo"/>
        </w:rPr>
        <w:lastRenderedPageBreak/>
        <w:t>32</w:t>
      </w:r>
      <w:r>
        <w:t>.</w:t>
      </w:r>
      <w:r>
        <w:tab/>
      </w:r>
      <w:r>
        <w:rPr>
          <w:szCs w:val="22"/>
        </w:rPr>
        <w:t>Costs associated with dispute resolution process</w:t>
      </w:r>
      <w:bookmarkEnd w:id="61"/>
    </w:p>
    <w:p w:rsidR="00EB104A" w:rsidRDefault="00EB104A">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rsidR="00EB104A" w:rsidRDefault="00EB104A">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rsidR="00EB104A" w:rsidRDefault="00EB104A">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rsidR="00EB104A" w:rsidRDefault="00EB104A">
      <w:pPr>
        <w:pStyle w:val="yHeading5"/>
        <w:keepLines w:val="0"/>
      </w:pPr>
      <w:bookmarkStart w:id="62" w:name="_Toc75339765"/>
      <w:r>
        <w:rPr>
          <w:rStyle w:val="CharSClsNo"/>
        </w:rPr>
        <w:t>33</w:t>
      </w:r>
      <w:r>
        <w:t>.</w:t>
      </w:r>
      <w:r>
        <w:tab/>
        <w:t>Costs associated with Commissioner</w:t>
      </w:r>
      <w:r>
        <w:noBreakHyphen/>
        <w:t>appointed mediation</w:t>
      </w:r>
      <w:bookmarkEnd w:id="62"/>
    </w:p>
    <w:p w:rsidR="00EB104A" w:rsidRDefault="00EB104A">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rsidR="00EB104A" w:rsidRDefault="00EB104A">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rsidR="00EB104A" w:rsidRDefault="00EB104A">
      <w:pPr>
        <w:pStyle w:val="yHeading3"/>
      </w:pPr>
      <w:bookmarkStart w:id="63" w:name="_Toc75168540"/>
      <w:bookmarkStart w:id="64" w:name="_Toc75181370"/>
      <w:bookmarkStart w:id="65" w:name="_Toc75339766"/>
      <w:r>
        <w:rPr>
          <w:rStyle w:val="CharSDivNo"/>
        </w:rPr>
        <w:t>Division 7</w:t>
      </w:r>
      <w:r>
        <w:t> — </w:t>
      </w:r>
      <w:r>
        <w:rPr>
          <w:rStyle w:val="CharSDivText"/>
        </w:rPr>
        <w:t>Termination of residence contracts</w:t>
      </w:r>
      <w:bookmarkEnd w:id="63"/>
      <w:bookmarkEnd w:id="64"/>
      <w:bookmarkEnd w:id="65"/>
    </w:p>
    <w:p w:rsidR="00EB104A" w:rsidRDefault="00EB104A">
      <w:pPr>
        <w:pStyle w:val="yHeading5"/>
        <w:rPr>
          <w:szCs w:val="22"/>
        </w:rPr>
      </w:pPr>
      <w:bookmarkStart w:id="66" w:name="_Toc75339767"/>
      <w:r>
        <w:rPr>
          <w:rStyle w:val="CharSClsNo"/>
        </w:rPr>
        <w:t>34</w:t>
      </w:r>
      <w:r>
        <w:t>.</w:t>
      </w:r>
      <w:r>
        <w:tab/>
      </w:r>
      <w:r>
        <w:rPr>
          <w:szCs w:val="22"/>
        </w:rPr>
        <w:t>Notice of intention to terminate</w:t>
      </w:r>
      <w:bookmarkEnd w:id="66"/>
    </w:p>
    <w:p w:rsidR="00EB104A" w:rsidRDefault="00EB104A">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rsidR="00EB104A" w:rsidRDefault="00EB104A">
      <w:pPr>
        <w:pStyle w:val="ySubsection"/>
        <w:rPr>
          <w:szCs w:val="22"/>
        </w:rPr>
      </w:pPr>
      <w:r>
        <w:tab/>
        <w:t>(2)</w:t>
      </w:r>
      <w:r>
        <w:tab/>
      </w:r>
      <w:r>
        <w:rPr>
          <w:szCs w:val="22"/>
        </w:rPr>
        <w:t xml:space="preserve">The notice given under subclause (1) must — </w:t>
      </w:r>
    </w:p>
    <w:p w:rsidR="00EB104A" w:rsidRDefault="00EB104A">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rsidR="00EB104A" w:rsidRDefault="00EB104A">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rsidR="00EB104A" w:rsidRDefault="00EB104A">
      <w:pPr>
        <w:pStyle w:val="yIndenti0"/>
      </w:pPr>
      <w:r>
        <w:tab/>
        <w:t>(i)</w:t>
      </w:r>
      <w:r>
        <w:tab/>
        <w:t>specify the breach of the residence contract or residence rules, as the case may be; and</w:t>
      </w:r>
    </w:p>
    <w:p w:rsidR="00EB104A" w:rsidRDefault="00EB104A">
      <w:pPr>
        <w:pStyle w:val="yIndenti0"/>
        <w:rPr>
          <w:szCs w:val="22"/>
        </w:rPr>
      </w:pPr>
      <w:r>
        <w:tab/>
        <w:t>(ii)</w:t>
      </w:r>
      <w:r>
        <w:tab/>
      </w:r>
      <w:r>
        <w:rPr>
          <w:szCs w:val="22"/>
        </w:rPr>
        <w:t>give the resident a reasonable and specified time to rectify a breach that may be rectified;</w:t>
      </w:r>
    </w:p>
    <w:p w:rsidR="00EB104A" w:rsidRDefault="00EB104A">
      <w:pPr>
        <w:pStyle w:val="yIndenta"/>
        <w:rPr>
          <w:szCs w:val="22"/>
        </w:rPr>
      </w:pPr>
      <w:r>
        <w:rPr>
          <w:szCs w:val="22"/>
        </w:rPr>
        <w:tab/>
      </w:r>
      <w:r>
        <w:rPr>
          <w:szCs w:val="22"/>
        </w:rPr>
        <w:tab/>
        <w:t>and</w:t>
      </w:r>
    </w:p>
    <w:p w:rsidR="00EB104A" w:rsidRDefault="00EB104A">
      <w:pPr>
        <w:pStyle w:val="yIndenta"/>
        <w:rPr>
          <w:szCs w:val="22"/>
        </w:rPr>
      </w:pPr>
      <w:r>
        <w:tab/>
        <w:t>(c)</w:t>
      </w:r>
      <w:r>
        <w:tab/>
      </w:r>
      <w:r>
        <w:rPr>
          <w:szCs w:val="22"/>
        </w:rPr>
        <w:t>clearly state that the residence contract cannot be terminated without an order by the State Administrative Tribunal; and</w:t>
      </w:r>
    </w:p>
    <w:p w:rsidR="00EB104A" w:rsidRDefault="00EB104A">
      <w:pPr>
        <w:pStyle w:val="yIndenta"/>
        <w:rPr>
          <w:szCs w:val="22"/>
        </w:rPr>
      </w:pPr>
      <w:r>
        <w:tab/>
        <w:t>(d)</w:t>
      </w:r>
      <w:r>
        <w:tab/>
      </w:r>
      <w:r>
        <w:rPr>
          <w:szCs w:val="22"/>
        </w:rPr>
        <w:t>advise the resident of the resident’s right to occupy the residential premises until the State Administrative Tribunal fixes a termination date.</w:t>
      </w:r>
    </w:p>
    <w:p w:rsidR="00EB104A" w:rsidRDefault="00EB104A">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rsidR="00EB104A" w:rsidRDefault="00EB104A">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rsidR="00EB104A" w:rsidRDefault="00EB104A">
      <w:pPr>
        <w:pStyle w:val="yHeading3"/>
      </w:pPr>
      <w:bookmarkStart w:id="67" w:name="_Toc75168542"/>
      <w:bookmarkStart w:id="68" w:name="_Toc75181372"/>
      <w:bookmarkStart w:id="69" w:name="_Toc75339768"/>
      <w:r>
        <w:rPr>
          <w:rStyle w:val="CharSDivNo"/>
        </w:rPr>
        <w:lastRenderedPageBreak/>
        <w:t>Division 8</w:t>
      </w:r>
      <w:r>
        <w:t> — </w:t>
      </w:r>
      <w:r>
        <w:rPr>
          <w:rStyle w:val="CharSDivText"/>
        </w:rPr>
        <w:t>Service of documents</w:t>
      </w:r>
      <w:bookmarkEnd w:id="67"/>
      <w:bookmarkEnd w:id="68"/>
      <w:bookmarkEnd w:id="69"/>
    </w:p>
    <w:p w:rsidR="00EB104A" w:rsidRDefault="00EB104A">
      <w:pPr>
        <w:pStyle w:val="yHeading5"/>
        <w:rPr>
          <w:szCs w:val="22"/>
        </w:rPr>
      </w:pPr>
      <w:bookmarkStart w:id="70" w:name="_Toc75339769"/>
      <w:r>
        <w:rPr>
          <w:rStyle w:val="CharSClsNo"/>
        </w:rPr>
        <w:t>35</w:t>
      </w:r>
      <w:r>
        <w:t>.</w:t>
      </w:r>
      <w:r>
        <w:tab/>
      </w:r>
      <w:r>
        <w:rPr>
          <w:szCs w:val="22"/>
        </w:rPr>
        <w:t>Service of documents</w:t>
      </w:r>
      <w:bookmarkEnd w:id="70"/>
    </w:p>
    <w:p w:rsidR="00EB104A" w:rsidRDefault="00EB104A">
      <w:pPr>
        <w:pStyle w:val="ySubsection"/>
        <w:spacing w:before="120"/>
        <w:rPr>
          <w:szCs w:val="22"/>
        </w:rPr>
      </w:pPr>
      <w:r>
        <w:tab/>
        <w:t>(1)</w:t>
      </w:r>
      <w:r>
        <w:tab/>
      </w:r>
      <w:r>
        <w:rPr>
          <w:szCs w:val="22"/>
        </w:rPr>
        <w:t xml:space="preserve">In this clause — </w:t>
      </w:r>
    </w:p>
    <w:p w:rsidR="00EB104A" w:rsidRDefault="00EB104A">
      <w:pPr>
        <w:pStyle w:val="yDefstart"/>
        <w:rPr>
          <w:szCs w:val="22"/>
        </w:rPr>
      </w:pPr>
      <w:r>
        <w:rPr>
          <w:szCs w:val="22"/>
        </w:rPr>
        <w:tab/>
      </w:r>
      <w:r>
        <w:rPr>
          <w:rStyle w:val="CharDefText"/>
          <w:szCs w:val="22"/>
        </w:rPr>
        <w:t>personal representative</w:t>
      </w:r>
      <w:r>
        <w:rPr>
          <w:szCs w:val="22"/>
        </w:rPr>
        <w:t xml:space="preserve"> has the meaning given in clause 14(1).</w:t>
      </w:r>
    </w:p>
    <w:p w:rsidR="00EB104A" w:rsidRDefault="00EB104A">
      <w:pPr>
        <w:pStyle w:val="ySubsection"/>
        <w:rPr>
          <w:szCs w:val="22"/>
        </w:rPr>
      </w:pPr>
      <w:r>
        <w:tab/>
        <w:t>(2)</w:t>
      </w:r>
      <w:r>
        <w:tab/>
      </w:r>
      <w:r>
        <w:rPr>
          <w:szCs w:val="22"/>
        </w:rPr>
        <w:t xml:space="preserve">Any written notice, correspondence or other document that must be given under this Code to a resident of a retirement village must be — </w:t>
      </w:r>
    </w:p>
    <w:p w:rsidR="00EB104A" w:rsidRDefault="00EB104A">
      <w:pPr>
        <w:pStyle w:val="yIndenta"/>
      </w:pPr>
      <w:r>
        <w:tab/>
        <w:t>(a)</w:t>
      </w:r>
      <w:r>
        <w:tab/>
        <w:t xml:space="preserve">delivered by hand to — </w:t>
      </w:r>
    </w:p>
    <w:p w:rsidR="00EB104A" w:rsidRDefault="00EB104A">
      <w:pPr>
        <w:pStyle w:val="yIndenti0"/>
      </w:pPr>
      <w:r>
        <w:tab/>
        <w:t>(i)</w:t>
      </w:r>
      <w:r>
        <w:tab/>
        <w:t>the resident; or</w:t>
      </w:r>
    </w:p>
    <w:p w:rsidR="00EB104A" w:rsidRDefault="00EB104A">
      <w:pPr>
        <w:pStyle w:val="yIndenti0"/>
        <w:rPr>
          <w:szCs w:val="22"/>
        </w:rPr>
      </w:pPr>
      <w:r>
        <w:tab/>
        <w:t>(ii)</w:t>
      </w:r>
      <w:r>
        <w:tab/>
      </w:r>
      <w:r>
        <w:rPr>
          <w:szCs w:val="22"/>
        </w:rPr>
        <w:t>the resident’s mailbox; or</w:t>
      </w:r>
    </w:p>
    <w:p w:rsidR="00EB104A" w:rsidRDefault="00EB104A">
      <w:pPr>
        <w:pStyle w:val="yIndenti0"/>
        <w:rPr>
          <w:szCs w:val="22"/>
        </w:rPr>
      </w:pPr>
      <w:r>
        <w:tab/>
        <w:t>(iii)</w:t>
      </w:r>
      <w:r>
        <w:tab/>
      </w:r>
      <w:r>
        <w:rPr>
          <w:szCs w:val="22"/>
        </w:rPr>
        <w:t>the resident’s personal representative;</w:t>
      </w:r>
    </w:p>
    <w:p w:rsidR="00EB104A" w:rsidRDefault="00EB104A">
      <w:pPr>
        <w:pStyle w:val="yIndenta"/>
        <w:rPr>
          <w:szCs w:val="22"/>
        </w:rPr>
      </w:pPr>
      <w:r>
        <w:rPr>
          <w:szCs w:val="22"/>
        </w:rPr>
        <w:tab/>
      </w:r>
      <w:r>
        <w:rPr>
          <w:szCs w:val="22"/>
        </w:rPr>
        <w:tab/>
        <w:t>or</w:t>
      </w:r>
    </w:p>
    <w:p w:rsidR="00EB104A" w:rsidRDefault="00EB104A">
      <w:pPr>
        <w:pStyle w:val="yIndenta"/>
        <w:spacing w:before="60"/>
        <w:rPr>
          <w:szCs w:val="22"/>
        </w:rPr>
      </w:pPr>
      <w:r>
        <w:tab/>
        <w:t>(b)</w:t>
      </w:r>
      <w:r>
        <w:tab/>
      </w:r>
      <w:r>
        <w:rPr>
          <w:szCs w:val="22"/>
        </w:rPr>
        <w:t xml:space="preserve">addressed to the resident and sent by post to — </w:t>
      </w:r>
    </w:p>
    <w:p w:rsidR="00EB104A" w:rsidRDefault="00EB104A">
      <w:pPr>
        <w:pStyle w:val="yIndenti0"/>
        <w:spacing w:before="60"/>
      </w:pPr>
      <w:r>
        <w:tab/>
        <w:t>(i)</w:t>
      </w:r>
      <w:r>
        <w:tab/>
        <w:t>the residential premises occupied by the resident; or</w:t>
      </w:r>
    </w:p>
    <w:p w:rsidR="00EB104A" w:rsidRDefault="00EB104A">
      <w:pPr>
        <w:pStyle w:val="yIndenti0"/>
        <w:spacing w:before="60"/>
      </w:pPr>
      <w:r>
        <w:tab/>
        <w:t>(ii)</w:t>
      </w:r>
      <w:r>
        <w:tab/>
        <w:t>if the resident has temporarily or permanently vacated the residential premises, another address as notified by the resident to the administering body of the retirement village; or</w:t>
      </w:r>
    </w:p>
    <w:p w:rsidR="00EB104A" w:rsidRDefault="00EB104A">
      <w:pPr>
        <w:pStyle w:val="yIndenti0"/>
        <w:spacing w:before="60"/>
      </w:pPr>
      <w:r>
        <w:tab/>
        <w:t>(iii)</w:t>
      </w:r>
      <w:r>
        <w:tab/>
        <w:t>the address of the resident’s personal representative.</w:t>
      </w:r>
    </w:p>
    <w:p w:rsidR="00EB104A" w:rsidRDefault="00EB104A">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rsidR="00EB104A" w:rsidRDefault="00EB104A">
      <w:pPr>
        <w:pStyle w:val="yIndenta"/>
        <w:spacing w:before="60"/>
        <w:rPr>
          <w:szCs w:val="22"/>
        </w:rPr>
      </w:pPr>
      <w:r>
        <w:tab/>
        <w:t>(a)</w:t>
      </w:r>
      <w:r>
        <w:tab/>
      </w:r>
      <w:r>
        <w:rPr>
          <w:szCs w:val="22"/>
        </w:rPr>
        <w:t xml:space="preserve">delivered by hand to — </w:t>
      </w:r>
    </w:p>
    <w:p w:rsidR="00EB104A" w:rsidRDefault="00EB104A">
      <w:pPr>
        <w:pStyle w:val="yIndenti0"/>
        <w:spacing w:before="60"/>
      </w:pPr>
      <w:r>
        <w:tab/>
        <w:t>(i)</w:t>
      </w:r>
      <w:r>
        <w:tab/>
        <w:t>the administering body’s usual place of business on any working day; or</w:t>
      </w:r>
    </w:p>
    <w:p w:rsidR="00EB104A" w:rsidRDefault="00EB104A">
      <w:pPr>
        <w:pStyle w:val="yIndenti0"/>
        <w:spacing w:before="60"/>
      </w:pPr>
      <w:r>
        <w:tab/>
        <w:t>(ii)</w:t>
      </w:r>
      <w:r>
        <w:tab/>
        <w:t>the administering body’s mailbox;</w:t>
      </w:r>
    </w:p>
    <w:p w:rsidR="00EB104A" w:rsidRDefault="00EB104A">
      <w:pPr>
        <w:pStyle w:val="yIndenta"/>
        <w:spacing w:before="60"/>
        <w:rPr>
          <w:szCs w:val="22"/>
        </w:rPr>
      </w:pPr>
      <w:r>
        <w:rPr>
          <w:szCs w:val="22"/>
        </w:rPr>
        <w:tab/>
      </w:r>
      <w:r>
        <w:rPr>
          <w:szCs w:val="22"/>
        </w:rPr>
        <w:tab/>
        <w:t>or</w:t>
      </w:r>
    </w:p>
    <w:p w:rsidR="00EB104A" w:rsidRDefault="00EB104A">
      <w:pPr>
        <w:pStyle w:val="yIndenta"/>
        <w:spacing w:before="60"/>
        <w:rPr>
          <w:szCs w:val="22"/>
        </w:rPr>
      </w:pPr>
      <w:r>
        <w:tab/>
        <w:t>(b)</w:t>
      </w:r>
      <w:r>
        <w:tab/>
      </w:r>
      <w:r>
        <w:rPr>
          <w:szCs w:val="22"/>
        </w:rPr>
        <w:t>addressed to the administering body and sent by post to the administering body’s usual place of business.</w:t>
      </w:r>
    </w:p>
    <w:p w:rsidR="00EB104A" w:rsidRDefault="00EB104A">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rsidR="00EB104A" w:rsidRDefault="00EB104A">
      <w:pPr>
        <w:rPr>
          <w:rStyle w:val="CharSDivNo"/>
        </w:rPr>
        <w:sectPr w:rsidR="00EB104A">
          <w:headerReference w:type="even" r:id="rId26"/>
          <w:headerReference w:type="default" r:id="rId27"/>
          <w:pgSz w:w="11907" w:h="16840" w:code="9"/>
          <w:pgMar w:top="2381" w:right="2410" w:bottom="3544" w:left="2410" w:header="720" w:footer="3544" w:gutter="0"/>
          <w:cols w:space="720"/>
        </w:sectPr>
      </w:pPr>
    </w:p>
    <w:p w:rsidR="00EB104A" w:rsidRDefault="00EB104A">
      <w:pPr>
        <w:pStyle w:val="yHeading3"/>
      </w:pPr>
      <w:bookmarkStart w:id="71" w:name="_Toc75168544"/>
      <w:bookmarkStart w:id="72" w:name="_Toc75181374"/>
      <w:bookmarkStart w:id="73" w:name="_Toc75339770"/>
      <w:r>
        <w:rPr>
          <w:rStyle w:val="CharSDivNo"/>
        </w:rPr>
        <w:lastRenderedPageBreak/>
        <w:t>Appendix 1</w:t>
      </w:r>
      <w:r>
        <w:t> — </w:t>
      </w:r>
      <w:r>
        <w:rPr>
          <w:rStyle w:val="CharSDivText"/>
        </w:rPr>
        <w:t>Checklist for prospective resident</w:t>
      </w:r>
      <w:bookmarkEnd w:id="71"/>
      <w:bookmarkEnd w:id="72"/>
      <w:bookmarkEnd w:id="73"/>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rsidR="00EB104A" w:rsidRDefault="00EB104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rsidR="00EB104A" w:rsidRDefault="00EB104A">
      <w:pPr>
        <w:pStyle w:val="yHeading3"/>
        <w:pageBreakBefore/>
      </w:pPr>
      <w:bookmarkStart w:id="74" w:name="_Toc75168545"/>
      <w:bookmarkStart w:id="75" w:name="_Toc75181375"/>
      <w:bookmarkStart w:id="76" w:name="_Toc75339771"/>
      <w:r>
        <w:rPr>
          <w:rStyle w:val="CharSDivNo"/>
        </w:rPr>
        <w:lastRenderedPageBreak/>
        <w:t>Appendix 2</w:t>
      </w:r>
      <w:r>
        <w:t> — </w:t>
      </w:r>
      <w:r>
        <w:rPr>
          <w:rStyle w:val="CharSDivText"/>
        </w:rPr>
        <w:t>Form of appointment of proxy</w:t>
      </w:r>
      <w:bookmarkEnd w:id="74"/>
      <w:bookmarkEnd w:id="75"/>
      <w:bookmarkEnd w:id="76"/>
    </w:p>
    <w:p w:rsidR="00EB104A" w:rsidRDefault="00EB104A">
      <w:pPr>
        <w:pStyle w:val="yShoulderClause"/>
      </w:pPr>
      <w:r>
        <w:t>[cl. 27(6)]</w:t>
      </w:r>
    </w:p>
    <w:p w:rsidR="00EB104A" w:rsidRDefault="00EB104A">
      <w:pPr>
        <w:pStyle w:val="yMiscellaneousBody"/>
        <w:ind w:left="851" w:hanging="851"/>
        <w:rPr>
          <w:sz w:val="20"/>
        </w:rPr>
      </w:pPr>
      <w:r>
        <w:t>I, ......................................................</w:t>
      </w:r>
      <w:r>
        <w:br/>
      </w:r>
      <w:r>
        <w:rPr>
          <w:sz w:val="18"/>
          <w:szCs w:val="18"/>
        </w:rPr>
        <w:t>(</w:t>
      </w:r>
      <w:r>
        <w:rPr>
          <w:i/>
          <w:sz w:val="18"/>
          <w:szCs w:val="18"/>
        </w:rPr>
        <w:t>insert name</w:t>
      </w:r>
      <w:r>
        <w:rPr>
          <w:sz w:val="18"/>
          <w:szCs w:val="18"/>
        </w:rPr>
        <w:t>)</w:t>
      </w:r>
    </w:p>
    <w:p w:rsidR="00EB104A" w:rsidRDefault="00EB104A">
      <w:pPr>
        <w:pStyle w:val="yMiscellaneousBody"/>
        <w:rPr>
          <w:szCs w:val="22"/>
        </w:rPr>
      </w:pPr>
      <w:r>
        <w:rPr>
          <w:szCs w:val="22"/>
        </w:rPr>
        <w:t>being a resident of / the personal representative of ............................................. ,</w:t>
      </w:r>
    </w:p>
    <w:p w:rsidR="00EB104A" w:rsidRDefault="00EB104A">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rsidR="00EB104A" w:rsidRDefault="00EB104A">
      <w:pPr>
        <w:pStyle w:val="yMiscellaneousBody"/>
      </w:pPr>
      <w:r>
        <w:t xml:space="preserve">a resident of </w:t>
      </w:r>
      <w:r>
        <w:rPr>
          <w:sz w:val="18"/>
          <w:szCs w:val="18"/>
        </w:rPr>
        <w:t>(</w:t>
      </w:r>
      <w:r>
        <w:rPr>
          <w:i/>
          <w:sz w:val="18"/>
          <w:szCs w:val="18"/>
        </w:rPr>
        <w:t>delete whichever is not applicable</w:t>
      </w:r>
      <w:r>
        <w:rPr>
          <w:sz w:val="18"/>
          <w:szCs w:val="18"/>
        </w:rPr>
        <w:t>)</w:t>
      </w:r>
    </w:p>
    <w:p w:rsidR="00EB104A" w:rsidRDefault="00EB104A">
      <w:pPr>
        <w:pStyle w:val="yMiscellaneousBody"/>
        <w:spacing w:before="120"/>
      </w:pPr>
      <w:r>
        <w:t>........................................................</w:t>
      </w:r>
    </w:p>
    <w:p w:rsidR="00EB104A" w:rsidRDefault="00EB104A">
      <w:pPr>
        <w:pStyle w:val="yMiscellaneousBody"/>
      </w:pPr>
      <w:r>
        <w:t>........................................................</w:t>
      </w:r>
    </w:p>
    <w:p w:rsidR="00EB104A" w:rsidRDefault="00EB104A">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rsidR="00EB104A" w:rsidRDefault="00EB104A">
      <w:pPr>
        <w:pStyle w:val="yMiscellaneousBody"/>
      </w:pPr>
      <w:r>
        <w:t>appoint</w:t>
      </w:r>
    </w:p>
    <w:p w:rsidR="00EB104A" w:rsidRDefault="00EB104A">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rsidR="00EB104A" w:rsidRDefault="00EB104A">
      <w:pPr>
        <w:pStyle w:val="yMiscellaneousBody"/>
      </w:pPr>
      <w:r>
        <w:t>of</w:t>
      </w:r>
    </w:p>
    <w:p w:rsidR="00EB104A" w:rsidRDefault="00EB104A">
      <w:pPr>
        <w:pStyle w:val="yMiscellaneousBody"/>
        <w:spacing w:before="120"/>
      </w:pPr>
      <w:r>
        <w:t>........................................................</w:t>
      </w:r>
    </w:p>
    <w:p w:rsidR="00EB104A" w:rsidRDefault="00EB104A">
      <w:pPr>
        <w:pStyle w:val="yMiscellaneousBody"/>
      </w:pPr>
      <w:r>
        <w:t>........................................................</w:t>
      </w:r>
    </w:p>
    <w:p w:rsidR="00EB104A" w:rsidRDefault="00EB104A">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rsidR="00EB104A" w:rsidRDefault="00EB104A">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rsidR="00EB104A" w:rsidRDefault="00EB104A">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rsidR="00EB104A" w:rsidRDefault="00EB104A">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rsidR="00EB104A" w:rsidRDefault="00EB104A">
      <w:pPr>
        <w:pStyle w:val="yMiscellaneousBody"/>
        <w:spacing w:before="120"/>
        <w:ind w:left="426" w:hanging="426"/>
      </w:pPr>
      <w:r>
        <w:rPr>
          <w:rFonts w:ascii="Symbol" w:hAnsi="Symbol"/>
        </w:rPr>
        <w:t></w:t>
      </w:r>
      <w:r>
        <w:rPr>
          <w:rFonts w:ascii="Symbol" w:hAnsi="Symbol"/>
        </w:rPr>
        <w:tab/>
      </w:r>
      <w:r>
        <w:t xml:space="preserve">The following matters only — </w:t>
      </w:r>
    </w:p>
    <w:p w:rsidR="00EB104A" w:rsidRDefault="00EB104A">
      <w:pPr>
        <w:pStyle w:val="yMiscellaneousBody"/>
        <w:spacing w:before="120"/>
        <w:ind w:firstLine="425"/>
      </w:pPr>
      <w:r>
        <w:t>...............................................................................................................</w:t>
      </w:r>
    </w:p>
    <w:p w:rsidR="00EB104A" w:rsidRDefault="00EB104A">
      <w:pPr>
        <w:pStyle w:val="yMiscellaneousBody"/>
        <w:spacing w:before="120"/>
        <w:ind w:firstLine="425"/>
      </w:pPr>
      <w:r>
        <w:t>...............................................................................................................</w:t>
      </w:r>
    </w:p>
    <w:p w:rsidR="00EB104A" w:rsidRDefault="00EB104A">
      <w:pPr>
        <w:pStyle w:val="yMiscellaneousBody"/>
        <w:spacing w:before="120"/>
        <w:ind w:firstLine="425"/>
      </w:pPr>
      <w:r>
        <w:t>...............................................................................................................</w:t>
      </w:r>
    </w:p>
    <w:p w:rsidR="00EB104A" w:rsidRDefault="00EB104A">
      <w:pPr>
        <w:pStyle w:val="yMiscellaneousBody"/>
        <w:spacing w:before="120"/>
        <w:ind w:firstLine="425"/>
      </w:pPr>
      <w:r>
        <w:lastRenderedPageBreak/>
        <w:t>...............................................................................................................</w:t>
      </w:r>
    </w:p>
    <w:p w:rsidR="00EB104A" w:rsidRDefault="00EB104A">
      <w:pPr>
        <w:pStyle w:val="yMiscellaneousBody"/>
        <w:tabs>
          <w:tab w:val="left" w:pos="2552"/>
        </w:tabs>
        <w:spacing w:before="120"/>
        <w:ind w:left="425"/>
      </w:pPr>
      <w:r>
        <w:t>...............................................................................................................</w:t>
      </w:r>
    </w:p>
    <w:p w:rsidR="00EB104A" w:rsidRDefault="00EB104A">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rsidR="00EB104A" w:rsidRDefault="00EB104A">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rsidR="00EB104A" w:rsidRDefault="00EB104A">
      <w:pPr>
        <w:pStyle w:val="yMiscellaneousBody"/>
      </w:pPr>
      <w:r>
        <w:t>Signed this............................. day of......................................... 20..........</w:t>
      </w:r>
    </w:p>
    <w:p w:rsidR="00EB104A" w:rsidRDefault="00EB104A">
      <w:pPr>
        <w:pStyle w:val="yMiscellaneousBody"/>
        <w:rPr>
          <w:b/>
        </w:rPr>
      </w:pPr>
      <w:r>
        <w:rPr>
          <w:b/>
        </w:rPr>
        <w:t>Notes:</w:t>
      </w:r>
    </w:p>
    <w:p w:rsidR="00EB104A" w:rsidRDefault="00EB104A">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rsidR="00EB104A" w:rsidRDefault="00EB104A">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rsidR="00EB104A" w:rsidRDefault="00EB104A">
      <w:pPr>
        <w:pStyle w:val="yMiscellaneousBody"/>
        <w:spacing w:before="120"/>
        <w:ind w:left="360" w:hanging="360"/>
      </w:pPr>
      <w:r>
        <w:t>3.</w:t>
      </w:r>
      <w:r>
        <w:tab/>
        <w:t>This appointment is effective if it is completed and given to the chairperson of the meeting at which the proxy is to vote before any vote is taken.</w:t>
      </w:r>
    </w:p>
    <w:p w:rsidR="00EB104A" w:rsidRDefault="00EB104A">
      <w:pPr>
        <w:pStyle w:val="yMiscellaneousBody"/>
        <w:spacing w:before="120"/>
        <w:ind w:left="360" w:hanging="360"/>
      </w:pPr>
      <w:r>
        <w:t>4.</w:t>
      </w:r>
      <w:r>
        <w:tab/>
        <w:t>This form does not authorise voting on a matter if the person appointing the proxy is present at the relevant meeting and personally votes on the matter.</w:t>
      </w:r>
    </w:p>
    <w:p w:rsidR="00EB104A" w:rsidRDefault="00EB104A">
      <w:pPr>
        <w:pStyle w:val="yMiscellaneousBody"/>
        <w:spacing w:before="120"/>
        <w:ind w:left="360" w:hanging="360"/>
      </w:pPr>
      <w:r>
        <w:t>5.</w:t>
      </w:r>
      <w:r>
        <w:tab/>
        <w:t>This appointment terminates after the meeting at which the proxy is authorised to vote.</w:t>
      </w:r>
    </w:p>
    <w:p w:rsidR="00EB104A" w:rsidRDefault="00EB104A">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rsidR="00EB104A" w:rsidRDefault="00EB104A">
      <w:pPr>
        <w:pStyle w:val="yMiscellaneousBody"/>
        <w:tabs>
          <w:tab w:val="left" w:pos="851"/>
        </w:tabs>
        <w:ind w:left="426"/>
      </w:pPr>
      <w:r>
        <w:t>●</w:t>
      </w:r>
      <w:r>
        <w:tab/>
        <w:t>the person appointed as the resident’s proxy; and</w:t>
      </w:r>
    </w:p>
    <w:p w:rsidR="00EB104A" w:rsidRDefault="00EB104A">
      <w:pPr>
        <w:pStyle w:val="yMiscellaneousBody"/>
        <w:tabs>
          <w:tab w:val="left" w:pos="851"/>
        </w:tabs>
        <w:ind w:left="426"/>
      </w:pPr>
      <w:r>
        <w:t>●</w:t>
      </w:r>
      <w:r>
        <w:tab/>
        <w:t>the chairperson of the meeting at which the proxy was to vote.</w:t>
      </w:r>
    </w:p>
    <w:p w:rsidR="00EB104A" w:rsidRDefault="00EB104A">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EB104A" w:rsidRDefault="00EB104A">
      <w:pPr>
        <w:sectPr w:rsidR="00EB104A">
          <w:headerReference w:type="even" r:id="rId29"/>
          <w:headerReference w:type="default" r:id="rId30"/>
          <w:headerReference w:type="first" r:id="rId31"/>
          <w:endnotePr>
            <w:numFmt w:val="decimal"/>
          </w:endnotePr>
          <w:pgSz w:w="11907" w:h="16840" w:code="9"/>
          <w:pgMar w:top="2381" w:right="2410" w:bottom="3544" w:left="2410" w:header="720" w:footer="3544" w:gutter="0"/>
          <w:cols w:space="720"/>
          <w:noEndnote/>
          <w:titlePg/>
        </w:sectPr>
      </w:pPr>
    </w:p>
    <w:p w:rsidR="00EB104A" w:rsidRDefault="00EB104A">
      <w:pPr>
        <w:pStyle w:val="nHeading2"/>
      </w:pPr>
      <w:bookmarkStart w:id="77" w:name="_Toc75168546"/>
      <w:bookmarkStart w:id="78" w:name="_Toc75181376"/>
      <w:bookmarkStart w:id="79" w:name="_Toc75339772"/>
      <w:r>
        <w:lastRenderedPageBreak/>
        <w:t>Notes</w:t>
      </w:r>
      <w:bookmarkEnd w:id="77"/>
      <w:bookmarkEnd w:id="78"/>
      <w:bookmarkEnd w:id="79"/>
    </w:p>
    <w:p w:rsidR="000251DF" w:rsidRDefault="000251DF">
      <w:pPr>
        <w:pStyle w:val="nStatement"/>
      </w:pPr>
      <w:r>
        <w:t xml:space="preserve">This is a compilation of the </w:t>
      </w:r>
      <w:r>
        <w:rPr>
          <w:i/>
          <w:noProof/>
        </w:rPr>
        <w:t>Fair Trading (Retirement Villages Interim Code) Regulations 2021</w:t>
      </w:r>
      <w:r>
        <w:t xml:space="preserve"> and includes amendments made by other written laws. For provisions that have come into operation see the compilation table.</w:t>
      </w:r>
    </w:p>
    <w:p w:rsidR="00EB104A" w:rsidRDefault="00EB104A">
      <w:pPr>
        <w:pStyle w:val="nHeading3"/>
      </w:pPr>
      <w:bookmarkStart w:id="80" w:name="_Toc75339773"/>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B104A" w:rsidTr="0068797B">
        <w:trPr>
          <w:tblHeader/>
        </w:trPr>
        <w:tc>
          <w:tcPr>
            <w:tcW w:w="3118" w:type="dxa"/>
            <w:tcBorders>
              <w:bottom w:val="single" w:sz="8" w:space="0" w:color="auto"/>
            </w:tcBorders>
          </w:tcPr>
          <w:p w:rsidR="00EB104A" w:rsidRDefault="00EB104A">
            <w:pPr>
              <w:pStyle w:val="nTable"/>
              <w:spacing w:after="40"/>
              <w:rPr>
                <w:b/>
              </w:rPr>
            </w:pPr>
            <w:r>
              <w:rPr>
                <w:b/>
              </w:rPr>
              <w:t>Citation</w:t>
            </w:r>
          </w:p>
        </w:tc>
        <w:tc>
          <w:tcPr>
            <w:tcW w:w="1276" w:type="dxa"/>
            <w:tcBorders>
              <w:bottom w:val="single" w:sz="8" w:space="0" w:color="auto"/>
            </w:tcBorders>
          </w:tcPr>
          <w:p w:rsidR="00EB104A" w:rsidRDefault="00EB104A">
            <w:pPr>
              <w:pStyle w:val="nTable"/>
              <w:spacing w:after="40"/>
              <w:rPr>
                <w:b/>
              </w:rPr>
            </w:pPr>
            <w:r>
              <w:rPr>
                <w:b/>
              </w:rPr>
              <w:t>Published</w:t>
            </w:r>
          </w:p>
        </w:tc>
        <w:tc>
          <w:tcPr>
            <w:tcW w:w="2693" w:type="dxa"/>
            <w:tcBorders>
              <w:bottom w:val="single" w:sz="8" w:space="0" w:color="auto"/>
            </w:tcBorders>
          </w:tcPr>
          <w:p w:rsidR="00EB104A" w:rsidRDefault="00EB104A">
            <w:pPr>
              <w:pStyle w:val="nTable"/>
              <w:spacing w:after="40"/>
              <w:rPr>
                <w:b/>
              </w:rPr>
            </w:pPr>
            <w:r>
              <w:rPr>
                <w:b/>
              </w:rPr>
              <w:t>Commencement</w:t>
            </w:r>
          </w:p>
        </w:tc>
      </w:tr>
      <w:tr w:rsidR="00EB104A" w:rsidTr="0068797B">
        <w:tc>
          <w:tcPr>
            <w:tcW w:w="3118" w:type="dxa"/>
            <w:tcBorders>
              <w:bottom w:val="nil"/>
            </w:tcBorders>
          </w:tcPr>
          <w:p w:rsidR="00EB104A" w:rsidRDefault="00EB104A">
            <w:pPr>
              <w:pStyle w:val="nTable"/>
              <w:spacing w:after="40"/>
            </w:pPr>
            <w:r>
              <w:rPr>
                <w:i/>
                <w:noProof/>
              </w:rPr>
              <w:t>Fair Trading (Retirement Villages Interim Code) Regulations 2021</w:t>
            </w:r>
          </w:p>
        </w:tc>
        <w:tc>
          <w:tcPr>
            <w:tcW w:w="1276" w:type="dxa"/>
            <w:tcBorders>
              <w:bottom w:val="nil"/>
            </w:tcBorders>
          </w:tcPr>
          <w:p w:rsidR="00EB104A" w:rsidRDefault="00EB104A">
            <w:pPr>
              <w:pStyle w:val="nTable"/>
              <w:spacing w:after="40"/>
            </w:pPr>
            <w:r>
              <w:t>SL 2021/33 26 Mar 2021</w:t>
            </w:r>
          </w:p>
        </w:tc>
        <w:tc>
          <w:tcPr>
            <w:tcW w:w="2693" w:type="dxa"/>
            <w:tcBorders>
              <w:bottom w:val="nil"/>
            </w:tcBorders>
          </w:tcPr>
          <w:p w:rsidR="00EB104A" w:rsidRDefault="00EB104A">
            <w:pPr>
              <w:pStyle w:val="nTable"/>
              <w:spacing w:after="40"/>
            </w:pPr>
            <w:r>
              <w:t>r. 1 and 2: 26 Mar 2021 (see r. 2(a));</w:t>
            </w:r>
            <w:r>
              <w:br/>
              <w:t>Regulations other than r. 1 and 2: 1 Apr 2021 (see r. 2(b))</w:t>
            </w:r>
          </w:p>
        </w:tc>
      </w:tr>
      <w:tr w:rsidR="000251DF" w:rsidTr="0068797B">
        <w:tc>
          <w:tcPr>
            <w:tcW w:w="3118" w:type="dxa"/>
            <w:tcBorders>
              <w:top w:val="nil"/>
            </w:tcBorders>
          </w:tcPr>
          <w:p w:rsidR="000251DF" w:rsidRDefault="000251DF" w:rsidP="000251DF">
            <w:pPr>
              <w:pStyle w:val="nTable"/>
              <w:spacing w:after="40"/>
              <w:rPr>
                <w:i/>
                <w:noProof/>
              </w:rPr>
            </w:pPr>
            <w:r>
              <w:rPr>
                <w:i/>
              </w:rPr>
              <w:t xml:space="preserve">Commerce Regulations Amendment (Community Titles) Regulations 2021 </w:t>
            </w:r>
            <w:r>
              <w:t>Pt. 3</w:t>
            </w:r>
          </w:p>
        </w:tc>
        <w:tc>
          <w:tcPr>
            <w:tcW w:w="1276" w:type="dxa"/>
            <w:tcBorders>
              <w:top w:val="nil"/>
            </w:tcBorders>
          </w:tcPr>
          <w:p w:rsidR="000251DF" w:rsidRDefault="000251DF" w:rsidP="000251DF">
            <w:pPr>
              <w:pStyle w:val="nTable"/>
              <w:spacing w:after="40"/>
            </w:pPr>
            <w:r>
              <w:t>SL 2021/71 18 Jun 2021</w:t>
            </w:r>
          </w:p>
        </w:tc>
        <w:tc>
          <w:tcPr>
            <w:tcW w:w="2693" w:type="dxa"/>
            <w:tcBorders>
              <w:top w:val="nil"/>
            </w:tcBorders>
          </w:tcPr>
          <w:p w:rsidR="000251DF" w:rsidRDefault="000251DF" w:rsidP="000251DF">
            <w:pPr>
              <w:pStyle w:val="nTable"/>
              <w:spacing w:after="40"/>
            </w:pPr>
            <w:r>
              <w:t>30 Jun 2021 (see r. 2(b) and SL 2021/69 cl. 2)</w:t>
            </w:r>
          </w:p>
        </w:tc>
      </w:tr>
    </w:tbl>
    <w:p w:rsidR="00EB104A" w:rsidRDefault="00EB104A">
      <w:pPr>
        <w:pStyle w:val="nHeading3"/>
      </w:pPr>
      <w:bookmarkStart w:id="81" w:name="_Toc75339774"/>
      <w:r>
        <w:t>Other notes</w:t>
      </w:r>
      <w:bookmarkEnd w:id="81"/>
    </w:p>
    <w:p w:rsidR="00EB104A" w:rsidRDefault="00EB104A">
      <w:pPr>
        <w:pStyle w:val="nNote"/>
      </w:pPr>
      <w:r>
        <w:rPr>
          <w:vertAlign w:val="superscript"/>
        </w:rPr>
        <w:t>1</w:t>
      </w:r>
      <w:r>
        <w:tab/>
        <w:t xml:space="preserve">These regulations expire at the end of </w:t>
      </w:r>
      <w:r>
        <w:rPr>
          <w:spacing w:val="-2"/>
        </w:rPr>
        <w:t>30 Sep</w:t>
      </w:r>
      <w:r>
        <w:t> 2021 (see r. 4).</w:t>
      </w:r>
    </w:p>
    <w:p w:rsidR="00FA794B" w:rsidRDefault="00FA794B" w:rsidP="00FA794B">
      <w:pPr>
        <w:pStyle w:val="nNote"/>
      </w:pPr>
      <w:r w:rsidRPr="00FA794B">
        <w:rPr>
          <w:vertAlign w:val="superscript"/>
        </w:rPr>
        <w:t>2</w:t>
      </w:r>
      <w:r>
        <w:tab/>
      </w:r>
      <w:r w:rsidR="0068797B">
        <w:t>Boxed and shaded paragraph</w:t>
      </w:r>
      <w:r>
        <w:t xml:space="preserve"> amended: SL 2021/71 Pt. 3 note</w:t>
      </w:r>
      <w:r w:rsidR="0068797B">
        <w:t>s 1 and 2</w:t>
      </w:r>
      <w:r>
        <w:t>.</w:t>
      </w:r>
    </w:p>
    <w:p w:rsidR="00FA794B" w:rsidRDefault="00FA794B">
      <w:pPr>
        <w:pStyle w:val="nNote"/>
      </w:pPr>
    </w:p>
    <w:p w:rsidR="00EB104A" w:rsidRDefault="00EB104A">
      <w:pPr>
        <w:pStyle w:val="nNoteSubPara"/>
      </w:pPr>
    </w:p>
    <w:p w:rsidR="00EB104A" w:rsidRDefault="00EB104A">
      <w:pPr>
        <w:sectPr w:rsidR="00EB104A">
          <w:headerReference w:type="even" r:id="rId32"/>
          <w:headerReference w:type="default" r:id="rId33"/>
          <w:pgSz w:w="11907" w:h="16840" w:code="9"/>
          <w:pgMar w:top="2376" w:right="2404" w:bottom="3544" w:left="2404" w:header="720" w:footer="3380" w:gutter="0"/>
          <w:cols w:space="720"/>
          <w:noEndnote/>
          <w:docGrid w:linePitch="326"/>
        </w:sectPr>
      </w:pPr>
    </w:p>
    <w:p w:rsidR="00EB104A" w:rsidRDefault="00EB104A">
      <w:pPr>
        <w:pStyle w:val="nHeading2"/>
        <w:rPr>
          <w:sz w:val="28"/>
        </w:rPr>
      </w:pPr>
      <w:bookmarkStart w:id="83" w:name="_Toc75168550"/>
      <w:bookmarkStart w:id="84" w:name="_Toc75181379"/>
      <w:bookmarkStart w:id="85" w:name="_Toc75339775"/>
      <w:r>
        <w:rPr>
          <w:sz w:val="28"/>
        </w:rPr>
        <w:lastRenderedPageBreak/>
        <w:t>Defined terms</w:t>
      </w:r>
      <w:bookmarkEnd w:id="83"/>
      <w:bookmarkEnd w:id="84"/>
      <w:bookmarkEnd w:id="85"/>
    </w:p>
    <w:p w:rsidR="00EB104A" w:rsidRDefault="00EB104A">
      <w:pPr>
        <w:ind w:left="850" w:right="850"/>
        <w:jc w:val="center"/>
        <w:rPr>
          <w:i/>
          <w:sz w:val="18"/>
        </w:rPr>
      </w:pPr>
    </w:p>
    <w:p w:rsidR="00EB104A" w:rsidRDefault="00EB104A">
      <w:pPr>
        <w:ind w:left="850" w:right="850"/>
        <w:jc w:val="center"/>
        <w:rPr>
          <w:i/>
          <w:sz w:val="18"/>
        </w:rPr>
      </w:pPr>
      <w:r>
        <w:rPr>
          <w:i/>
          <w:sz w:val="18"/>
        </w:rPr>
        <w:t>[This is a list of terms defined and the provisions where they are defined.  The list is not part of the law.]</w:t>
      </w:r>
    </w:p>
    <w:p w:rsidR="00EB104A" w:rsidRDefault="00EB104A">
      <w:pPr>
        <w:pBdr>
          <w:bottom w:val="single" w:sz="4" w:space="1" w:color="auto"/>
        </w:pBdr>
        <w:tabs>
          <w:tab w:val="right" w:pos="7070"/>
        </w:tabs>
        <w:ind w:left="578"/>
        <w:rPr>
          <w:b/>
          <w:sz w:val="20"/>
        </w:rPr>
      </w:pPr>
      <w:r>
        <w:rPr>
          <w:b/>
          <w:sz w:val="20"/>
        </w:rPr>
        <w:t>Defined term</w:t>
      </w:r>
      <w:r>
        <w:rPr>
          <w:b/>
          <w:sz w:val="20"/>
        </w:rPr>
        <w:tab/>
        <w:t>Provision(s)</w:t>
      </w:r>
    </w:p>
    <w:p w:rsidR="00EB104A" w:rsidRDefault="00EB104A">
      <w:pPr>
        <w:pStyle w:val="DefinedTerms"/>
      </w:pPr>
      <w:r>
        <w:t>administering body</w:t>
      </w:r>
      <w:r>
        <w:tab/>
        <w:t>Sch. 1 cl. 1</w:t>
      </w:r>
    </w:p>
    <w:p w:rsidR="00EB104A" w:rsidRDefault="00EB104A">
      <w:pPr>
        <w:pStyle w:val="DefinedTerms"/>
      </w:pPr>
      <w:r>
        <w:t>annual financial statements</w:t>
      </w:r>
      <w:r>
        <w:tab/>
        <w:t>Sch. 1 cl. 19(1)</w:t>
      </w:r>
    </w:p>
    <w:p w:rsidR="00EB104A" w:rsidRDefault="00EB104A">
      <w:pPr>
        <w:pStyle w:val="DefinedTerms"/>
      </w:pPr>
      <w:r>
        <w:t>approved form</w:t>
      </w:r>
      <w:r>
        <w:tab/>
        <w:t>Sch. 1 cl. 29</w:t>
      </w:r>
    </w:p>
    <w:p w:rsidR="00EB104A" w:rsidRDefault="00EB104A">
      <w:pPr>
        <w:pStyle w:val="DefinedTerms"/>
      </w:pPr>
      <w:r>
        <w:t>Australian Accounting Standards</w:t>
      </w:r>
      <w:r>
        <w:tab/>
        <w:t>Sch. 1 cl. 14(1)</w:t>
      </w:r>
    </w:p>
    <w:p w:rsidR="00EB104A" w:rsidRDefault="00EB104A">
      <w:pPr>
        <w:pStyle w:val="DefinedTerms"/>
      </w:pPr>
      <w:r>
        <w:t>Australian Accounting Standards Board</w:t>
      </w:r>
      <w:r>
        <w:tab/>
        <w:t>Sch. 1 cl. 14(1)</w:t>
      </w:r>
    </w:p>
    <w:p w:rsidR="00EB104A" w:rsidRDefault="00EB104A">
      <w:pPr>
        <w:pStyle w:val="DefinedTerms"/>
      </w:pPr>
      <w:r>
        <w:t>budget documents</w:t>
      </w:r>
      <w:r>
        <w:tab/>
        <w:t>Sch. 1 cl. 17(1)</w:t>
      </w:r>
    </w:p>
    <w:p w:rsidR="00EB104A" w:rsidRDefault="00EB104A">
      <w:pPr>
        <w:pStyle w:val="DefinedTerms"/>
      </w:pPr>
      <w:r>
        <w:t>close associate</w:t>
      </w:r>
      <w:r>
        <w:tab/>
        <w:t>Sch. 1 cl. 27(1)</w:t>
      </w:r>
    </w:p>
    <w:p w:rsidR="00EB104A" w:rsidRDefault="00EB104A">
      <w:pPr>
        <w:pStyle w:val="DefinedTerms"/>
      </w:pPr>
      <w:r>
        <w:t>Commissioner</w:t>
      </w:r>
      <w:r>
        <w:tab/>
        <w:t>Sch. 1 cl. 1</w:t>
      </w:r>
    </w:p>
    <w:p w:rsidR="00EB104A" w:rsidRDefault="00EB104A">
      <w:pPr>
        <w:pStyle w:val="DefinedTerms"/>
      </w:pPr>
      <w:r>
        <w:t>levy</w:t>
      </w:r>
      <w:r>
        <w:tab/>
        <w:t>Sch. 1 cl. 1</w:t>
      </w:r>
    </w:p>
    <w:p w:rsidR="00EB104A" w:rsidRDefault="00EB104A">
      <w:pPr>
        <w:pStyle w:val="DefinedTerms"/>
      </w:pPr>
      <w:r>
        <w:t>material</w:t>
      </w:r>
      <w:r>
        <w:tab/>
        <w:t>Sch. 1 cl. 14(2)</w:t>
      </w:r>
    </w:p>
    <w:p w:rsidR="00EB104A" w:rsidRDefault="00EB104A">
      <w:pPr>
        <w:pStyle w:val="DefinedTerms"/>
      </w:pPr>
      <w:r>
        <w:t>notes</w:t>
      </w:r>
      <w:r>
        <w:tab/>
        <w:t>Sch. 1 cl. 14(1)</w:t>
      </w:r>
    </w:p>
    <w:p w:rsidR="00EB104A" w:rsidRDefault="00EB104A">
      <w:pPr>
        <w:pStyle w:val="DefinedTerms"/>
      </w:pPr>
      <w:r>
        <w:t>owner</w:t>
      </w:r>
      <w:r>
        <w:tab/>
        <w:t>Sch. 1 cl. 1</w:t>
      </w:r>
    </w:p>
    <w:p w:rsidR="00EB104A" w:rsidRDefault="00EB104A">
      <w:pPr>
        <w:pStyle w:val="DefinedTerms"/>
      </w:pPr>
      <w:r>
        <w:t>personal representative</w:t>
      </w:r>
      <w:r>
        <w:tab/>
        <w:t>Sch. 1 cl. 14(1), 35(1)</w:t>
      </w:r>
    </w:p>
    <w:p w:rsidR="00EB104A" w:rsidRDefault="00EB104A">
      <w:pPr>
        <w:pStyle w:val="DefinedTerms"/>
      </w:pPr>
      <w:r>
        <w:t>personal services</w:t>
      </w:r>
      <w:r>
        <w:tab/>
        <w:t>Sch. 1 cl. 13(3)</w:t>
      </w:r>
    </w:p>
    <w:p w:rsidR="00EB104A" w:rsidRDefault="00EB104A">
      <w:pPr>
        <w:pStyle w:val="DefinedTerms"/>
      </w:pPr>
      <w:r>
        <w:t>premium</w:t>
      </w:r>
      <w:r>
        <w:tab/>
        <w:t>Sch. 1 cl. 1</w:t>
      </w:r>
    </w:p>
    <w:p w:rsidR="00EB104A" w:rsidRDefault="00EB104A">
      <w:pPr>
        <w:pStyle w:val="DefinedTerms"/>
      </w:pPr>
      <w:r>
        <w:t>proxy notice</w:t>
      </w:r>
      <w:r>
        <w:tab/>
        <w:t>Sch. 1 cl. 27(1)</w:t>
      </w:r>
    </w:p>
    <w:p w:rsidR="00EB104A" w:rsidRDefault="00EB104A">
      <w:pPr>
        <w:pStyle w:val="DefinedTerms"/>
      </w:pPr>
      <w:r>
        <w:t>recurrent charge</w:t>
      </w:r>
      <w:r>
        <w:tab/>
        <w:t>Sch. 1 cl. 1</w:t>
      </w:r>
    </w:p>
    <w:p w:rsidR="00EB104A" w:rsidRDefault="00EB104A">
      <w:pPr>
        <w:pStyle w:val="DefinedTerms"/>
      </w:pPr>
      <w:r>
        <w:t>refurbishment work</w:t>
      </w:r>
      <w:r>
        <w:tab/>
        <w:t>Sch. 1 cl. 22(1)</w:t>
      </w:r>
    </w:p>
    <w:p w:rsidR="00EB104A" w:rsidRDefault="00EB104A">
      <w:pPr>
        <w:pStyle w:val="DefinedTerms"/>
      </w:pPr>
      <w:r>
        <w:t>registered company auditor</w:t>
      </w:r>
      <w:r>
        <w:tab/>
        <w:t>Sch. 1 cl. 14(1)</w:t>
      </w:r>
    </w:p>
    <w:p w:rsidR="00EB104A" w:rsidRDefault="00EB104A">
      <w:pPr>
        <w:pStyle w:val="DefinedTerms"/>
      </w:pPr>
      <w:r>
        <w:t>related body corporate</w:t>
      </w:r>
      <w:r>
        <w:tab/>
        <w:t>Sch. 1 cl. 27(1)</w:t>
      </w:r>
    </w:p>
    <w:p w:rsidR="00EB104A" w:rsidRDefault="00EB104A">
      <w:pPr>
        <w:pStyle w:val="DefinedTerms"/>
      </w:pPr>
      <w:r>
        <w:t>relevant</w:t>
      </w:r>
      <w:r>
        <w:tab/>
        <w:t>Sch. 1 cl. 14(2)</w:t>
      </w:r>
    </w:p>
    <w:p w:rsidR="00EB104A" w:rsidRDefault="00EB104A">
      <w:pPr>
        <w:pStyle w:val="DefinedTerms"/>
      </w:pPr>
      <w:r>
        <w:t>reserve fund</w:t>
      </w:r>
      <w:r>
        <w:tab/>
        <w:t>Sch. 1 cl. 14(1)</w:t>
      </w:r>
    </w:p>
    <w:p w:rsidR="00EB104A" w:rsidRDefault="00EB104A">
      <w:pPr>
        <w:pStyle w:val="DefinedTerms"/>
      </w:pPr>
      <w:r>
        <w:t>residence contract</w:t>
      </w:r>
      <w:r>
        <w:tab/>
        <w:t>Sch. 1 cl. 1</w:t>
      </w:r>
    </w:p>
    <w:p w:rsidR="00EB104A" w:rsidRDefault="00EB104A">
      <w:pPr>
        <w:pStyle w:val="DefinedTerms"/>
      </w:pPr>
      <w:r>
        <w:t>residence rules</w:t>
      </w:r>
      <w:r>
        <w:tab/>
        <w:t>Sch. 1 cl. 1</w:t>
      </w:r>
    </w:p>
    <w:p w:rsidR="00EB104A" w:rsidRDefault="00EB104A">
      <w:pPr>
        <w:pStyle w:val="DefinedTerms"/>
      </w:pPr>
      <w:r>
        <w:t>resident</w:t>
      </w:r>
      <w:r>
        <w:tab/>
        <w:t>Sch. 1 cl. 1</w:t>
      </w:r>
    </w:p>
    <w:p w:rsidR="00EB104A" w:rsidRDefault="00EB104A">
      <w:pPr>
        <w:pStyle w:val="DefinedTerms"/>
      </w:pPr>
      <w:r>
        <w:t>residential premises</w:t>
      </w:r>
      <w:r>
        <w:tab/>
        <w:t>Sch. 1 cl. 1</w:t>
      </w:r>
    </w:p>
    <w:p w:rsidR="00EB104A" w:rsidRDefault="00EB104A">
      <w:pPr>
        <w:pStyle w:val="DefinedTerms"/>
      </w:pPr>
      <w:r>
        <w:t>residential tenancy agreement</w:t>
      </w:r>
      <w:r>
        <w:tab/>
        <w:t>Sch. 1 cl. 1</w:t>
      </w:r>
    </w:p>
    <w:p w:rsidR="00EB104A" w:rsidRDefault="00EB104A">
      <w:pPr>
        <w:pStyle w:val="DefinedTerms"/>
      </w:pPr>
      <w:r>
        <w:t>retired person</w:t>
      </w:r>
      <w:r>
        <w:tab/>
        <w:t>Sch. 1 cl. 1</w:t>
      </w:r>
    </w:p>
    <w:p w:rsidR="00EB104A" w:rsidRDefault="00EB104A">
      <w:pPr>
        <w:pStyle w:val="DefinedTerms"/>
      </w:pPr>
      <w:r>
        <w:t>retirement village</w:t>
      </w:r>
      <w:r>
        <w:tab/>
        <w:t>Sch. 1 cl. 1</w:t>
      </w:r>
    </w:p>
    <w:p w:rsidR="00EB104A" w:rsidRDefault="00EB104A">
      <w:pPr>
        <w:pStyle w:val="DefinedTerms"/>
      </w:pPr>
      <w:r>
        <w:t>retirement village dispute</w:t>
      </w:r>
      <w:r>
        <w:tab/>
        <w:t>Sch. 1 cl. 29</w:t>
      </w:r>
    </w:p>
    <w:p w:rsidR="00EB104A" w:rsidRDefault="00EB104A">
      <w:pPr>
        <w:pStyle w:val="DefinedTerms"/>
      </w:pPr>
      <w:r>
        <w:t>retirement village scheme</w:t>
      </w:r>
      <w:r>
        <w:tab/>
        <w:t>Sch. 1 cl. 1</w:t>
      </w:r>
    </w:p>
    <w:p w:rsidR="00EB104A" w:rsidRDefault="00EB104A">
      <w:pPr>
        <w:pStyle w:val="DefinedTerms"/>
      </w:pPr>
      <w:r>
        <w:t>scheme</w:t>
      </w:r>
      <w:r>
        <w:tab/>
        <w:t>Sch. 1 cl. 1</w:t>
      </w:r>
    </w:p>
    <w:p w:rsidR="00EB104A" w:rsidRDefault="00EB104A">
      <w:pPr>
        <w:pStyle w:val="DefinedTerms"/>
      </w:pPr>
      <w:r>
        <w:t>secret ballot</w:t>
      </w:r>
      <w:r>
        <w:tab/>
        <w:t>Sch. 1 cl. 14(1)</w:t>
      </w:r>
    </w:p>
    <w:p w:rsidR="00EB104A" w:rsidRDefault="00EB104A">
      <w:pPr>
        <w:pStyle w:val="DefinedTerms"/>
      </w:pPr>
      <w:r>
        <w:t>service contract</w:t>
      </w:r>
      <w:r>
        <w:tab/>
        <w:t>Sch. 1 cl. 1</w:t>
      </w:r>
    </w:p>
    <w:p w:rsidR="00EB104A" w:rsidRDefault="00EB104A">
      <w:pPr>
        <w:pStyle w:val="DefinedTerms"/>
      </w:pPr>
      <w:r>
        <w:t>special resolution</w:t>
      </w:r>
      <w:r>
        <w:tab/>
        <w:t>Sch. 1 cl. 14(1), 29</w:t>
      </w:r>
    </w:p>
    <w:p w:rsidR="00EB104A" w:rsidRDefault="00EB104A">
      <w:pPr>
        <w:pStyle w:val="DefinedTerms"/>
      </w:pPr>
      <w:r>
        <w:t>voting resident</w:t>
      </w:r>
      <w:r>
        <w:tab/>
        <w:t>Sch. 1 cl. 27(1)</w:t>
      </w:r>
    </w:p>
    <w:p w:rsidR="00EB104A" w:rsidRDefault="00EB104A">
      <w:pPr>
        <w:pStyle w:val="DefinedTerms"/>
      </w:pPr>
      <w:r>
        <w:t>withdrawal notice</w:t>
      </w:r>
      <w:r>
        <w:tab/>
        <w:t>Sch. 1 cl. 31(15)</w:t>
      </w:r>
    </w:p>
    <w:p w:rsidR="00EB104A" w:rsidRDefault="00EB104A">
      <w:pPr>
        <w:pStyle w:val="DefinedTerms"/>
      </w:pPr>
      <w:r>
        <w:t>working day</w:t>
      </w:r>
      <w:r>
        <w:tab/>
        <w:t>Sch. 1 cl. 1</w:t>
      </w:r>
    </w:p>
    <w:p w:rsidR="00EB104A" w:rsidRDefault="00EB104A">
      <w:pPr>
        <w:sectPr w:rsidR="00EB104A">
          <w:headerReference w:type="even" r:id="rId34"/>
          <w:headerReference w:type="default" r:id="rId35"/>
          <w:pgSz w:w="11907" w:h="16840" w:code="9"/>
          <w:pgMar w:top="2381" w:right="2409" w:bottom="3543" w:left="2409" w:header="720" w:footer="3380" w:gutter="0"/>
          <w:cols w:space="720"/>
          <w:noEndnote/>
          <w:docGrid w:linePitch="326"/>
        </w:sectPr>
      </w:pPr>
    </w:p>
    <w:p w:rsidR="00EB104A" w:rsidRDefault="00EB104A"/>
    <w:sectPr w:rsidR="00EB104A">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794B" w:rsidRDefault="00FA794B">
      <w:pPr>
        <w:rPr>
          <w:b/>
          <w:sz w:val="28"/>
        </w:rPr>
      </w:pPr>
      <w:r>
        <w:rPr>
          <w:b/>
          <w:sz w:val="28"/>
        </w:rPr>
        <w:t>Endnotes</w:t>
      </w:r>
    </w:p>
    <w:p w:rsidR="00FA794B" w:rsidRDefault="00FA794B">
      <w:pPr>
        <w:spacing w:after="240"/>
        <w:rPr>
          <w:rFonts w:ascii="Times" w:hAnsi="Times"/>
          <w:sz w:val="18"/>
        </w:rPr>
      </w:pPr>
      <w:r>
        <w:rPr>
          <w:sz w:val="20"/>
        </w:rPr>
        <w:t>[For ease of reference detach these notes and read them alongside the draft.]</w:t>
      </w:r>
    </w:p>
    <w:p w:rsidR="00FA794B" w:rsidRDefault="00FA794B"/>
  </w:endnote>
  <w:endnote w:type="continuationSeparator" w:id="0">
    <w:p w:rsidR="00FA794B" w:rsidRDefault="00FA794B">
      <w:pPr>
        <w:pStyle w:val="Footer"/>
      </w:pPr>
    </w:p>
    <w:p w:rsidR="00FA794B" w:rsidRDefault="00FA79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Bdr>
        <w:bottom w:val="single" w:sz="4" w:space="1" w:color="auto"/>
      </w:pBdr>
      <w:rPr>
        <w:sz w:val="20"/>
      </w:rPr>
    </w:pPr>
  </w:p>
  <w:p w:rsidR="00FA794B" w:rsidRDefault="00FA79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AC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7ACB">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FA794B" w:rsidRDefault="00FA794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794B" w:rsidRDefault="00FA794B">
      <w:r>
        <w:separator/>
      </w:r>
    </w:p>
  </w:footnote>
  <w:footnote w:type="continuationSeparator" w:id="0">
    <w:p w:rsidR="00FA794B" w:rsidRDefault="00FA7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ACB" w:rsidRDefault="007D7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ACB" w:rsidRDefault="007D7A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58"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p>
      </w:tc>
      <w:tc>
        <w:tcPr>
          <w:tcW w:w="5715" w:type="dxa"/>
        </w:tcPr>
        <w:p w:rsidR="00FA794B" w:rsidRDefault="00FA794B">
          <w:pPr>
            <w:pStyle w:val="Header"/>
            <w:spacing w:before="40"/>
          </w:pPr>
        </w:p>
      </w:tc>
    </w:tr>
    <w:tr w:rsidR="00FA794B">
      <w:trPr>
        <w:jc w:val="center"/>
      </w:trPr>
      <w:tc>
        <w:tcPr>
          <w:tcW w:w="1548" w:type="dxa"/>
        </w:tcPr>
        <w:p w:rsidR="00FA794B" w:rsidRDefault="00FA794B">
          <w:pPr>
            <w:pStyle w:val="Header"/>
            <w:spacing w:before="40"/>
          </w:pPr>
        </w:p>
      </w:tc>
      <w:tc>
        <w:tcPr>
          <w:tcW w:w="5715" w:type="dxa"/>
        </w:tcPr>
        <w:p w:rsidR="00FA794B" w:rsidRDefault="00FA794B">
          <w:pPr>
            <w:pStyle w:val="Header"/>
            <w:spacing w:before="40"/>
          </w:pPr>
        </w:p>
      </w:tc>
    </w:tr>
    <w:tr w:rsidR="00FA794B">
      <w:trPr>
        <w:cantSplit/>
        <w:jc w:val="center"/>
      </w:trPr>
      <w:tc>
        <w:tcPr>
          <w:tcW w:w="7258" w:type="dxa"/>
          <w:gridSpan w:val="2"/>
        </w:tcPr>
        <w:p w:rsidR="00FA794B" w:rsidRDefault="00FA794B">
          <w:pPr>
            <w:pStyle w:val="Header"/>
            <w:spacing w:before="40"/>
          </w:pPr>
          <w:r>
            <w:t>Contents</w:t>
          </w:r>
        </w:p>
      </w:tc>
    </w:tr>
  </w:tbl>
  <w:p w:rsidR="00FA794B" w:rsidRDefault="00FA79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A794B">
      <w:trPr>
        <w:cantSplit/>
        <w:jc w:val="center"/>
      </w:trPr>
      <w:tc>
        <w:tcPr>
          <w:tcW w:w="7258" w:type="dxa"/>
          <w:gridSpan w:val="2"/>
        </w:tcPr>
        <w:p w:rsidR="00FA794B" w:rsidRDefault="00FA794B">
          <w:pPr>
            <w:pStyle w:val="Header"/>
            <w:ind w:right="17"/>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p>
      </w:tc>
      <w:tc>
        <w:tcPr>
          <w:tcW w:w="1548" w:type="dxa"/>
        </w:tcPr>
        <w:p w:rsidR="00FA794B" w:rsidRDefault="00FA794B">
          <w:pPr>
            <w:pStyle w:val="Header"/>
            <w:spacing w:before="40"/>
            <w:ind w:right="17"/>
            <w:jc w:val="right"/>
          </w:pPr>
        </w:p>
      </w:tc>
    </w:tr>
    <w:tr w:rsidR="00FA794B">
      <w:trPr>
        <w:jc w:val="center"/>
      </w:trPr>
      <w:tc>
        <w:tcPr>
          <w:tcW w:w="5715" w:type="dxa"/>
        </w:tcPr>
        <w:p w:rsidR="00FA794B" w:rsidRDefault="00FA794B">
          <w:pPr>
            <w:pStyle w:val="Header"/>
            <w:spacing w:before="40"/>
            <w:jc w:val="right"/>
          </w:pPr>
        </w:p>
      </w:tc>
      <w:tc>
        <w:tcPr>
          <w:tcW w:w="1548" w:type="dxa"/>
        </w:tcPr>
        <w:p w:rsidR="00FA794B" w:rsidRDefault="00FA794B">
          <w:pPr>
            <w:pStyle w:val="Header"/>
            <w:spacing w:before="40"/>
            <w:ind w:right="17"/>
            <w:jc w:val="right"/>
          </w:pPr>
        </w:p>
      </w:tc>
    </w:tr>
    <w:tr w:rsidR="00FA794B">
      <w:trPr>
        <w:cantSplit/>
        <w:jc w:val="center"/>
      </w:trPr>
      <w:tc>
        <w:tcPr>
          <w:tcW w:w="7258" w:type="dxa"/>
          <w:gridSpan w:val="2"/>
        </w:tcPr>
        <w:p w:rsidR="00FA794B" w:rsidRDefault="00FA794B">
          <w:pPr>
            <w:pStyle w:val="Header"/>
            <w:spacing w:before="40"/>
            <w:ind w:right="17"/>
            <w:jc w:val="right"/>
          </w:pPr>
          <w:r>
            <w:t>Contents</w:t>
          </w:r>
        </w:p>
      </w:tc>
    </w:tr>
  </w:tbl>
  <w:p w:rsidR="00FA794B" w:rsidRDefault="00FA794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63"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CharPartNo</w:instrText>
          </w:r>
          <w:r>
            <w:rPr>
              <w:b/>
            </w:rPr>
            <w:fldChar w:fldCharType="end"/>
          </w:r>
        </w:p>
      </w:tc>
      <w:tc>
        <w:tcPr>
          <w:tcW w:w="5715" w:type="dxa"/>
          <w:vAlign w:val="bottom"/>
        </w:tcPr>
        <w:p w:rsidR="00FA794B" w:rsidRDefault="00FA794B">
          <w:pPr>
            <w:pStyle w:val="Header"/>
            <w:spacing w:before="40"/>
          </w:pPr>
          <w:r>
            <w:fldChar w:fldCharType="begin"/>
          </w:r>
          <w:r>
            <w:instrText xml:space="preserve"> styleref CharPartText </w:instrText>
          </w:r>
          <w: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CharDivNo</w:instrText>
          </w:r>
          <w:r>
            <w:rPr>
              <w:b/>
            </w:rPr>
            <w:fldChar w:fldCharType="end"/>
          </w:r>
        </w:p>
      </w:tc>
      <w:tc>
        <w:tcPr>
          <w:tcW w:w="5715" w:type="dxa"/>
          <w:vAlign w:val="bottom"/>
        </w:tcPr>
        <w:p w:rsidR="00FA794B" w:rsidRDefault="00FA794B">
          <w:pPr>
            <w:pStyle w:val="Header"/>
            <w:spacing w:before="40"/>
          </w:pPr>
          <w:r>
            <w:fldChar w:fldCharType="begin"/>
          </w:r>
          <w:r>
            <w:instrText xml:space="preserve"> styleref CharDivText </w:instrText>
          </w:r>
          <w:r>
            <w:fldChar w:fldCharType="end"/>
          </w:r>
        </w:p>
      </w:tc>
    </w:tr>
    <w:tr w:rsidR="00FA794B">
      <w:trPr>
        <w:cantSplit/>
        <w:jc w:val="center"/>
      </w:trPr>
      <w:tc>
        <w:tcPr>
          <w:tcW w:w="7263" w:type="dxa"/>
          <w:gridSpan w:val="2"/>
        </w:tcPr>
        <w:p w:rsidR="00FA794B" w:rsidRDefault="00FA794B">
          <w:pPr>
            <w:pStyle w:val="Header"/>
            <w:spacing w:before="40"/>
          </w:pPr>
          <w:r>
            <w:rPr>
              <w:b/>
            </w:rPr>
            <w:t xml:space="preserve">r. </w:t>
          </w:r>
          <w:r>
            <w:rPr>
              <w:b/>
            </w:rPr>
            <w:fldChar w:fldCharType="begin"/>
          </w:r>
          <w:r>
            <w:rPr>
              <w:b/>
            </w:rPr>
            <w:instrText>STYLEREF CharSectNo</w:instrText>
          </w:r>
          <w:r>
            <w:rPr>
              <w:b/>
            </w:rPr>
            <w:fldChar w:fldCharType="separate"/>
          </w:r>
          <w:r w:rsidR="007D7ACB">
            <w:rPr>
              <w:b/>
            </w:rPr>
            <w:t>1</w:t>
          </w:r>
          <w:r>
            <w:rPr>
              <w:b/>
            </w:rPr>
            <w:fldChar w:fldCharType="end"/>
          </w:r>
        </w:p>
      </w:tc>
    </w:tr>
  </w:tbl>
  <w:p w:rsidR="00FA794B" w:rsidRDefault="00FA79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A794B">
      <w:trPr>
        <w:cantSplit/>
        <w:jc w:val="center"/>
      </w:trPr>
      <w:tc>
        <w:tcPr>
          <w:tcW w:w="7263" w:type="dxa"/>
          <w:gridSpan w:val="2"/>
        </w:tcPr>
        <w:p w:rsidR="00FA794B" w:rsidRDefault="00FA794B">
          <w:pPr>
            <w:pStyle w:val="Header"/>
            <w:spacing w:before="40"/>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vAlign w:val="bottom"/>
        </w:tcPr>
        <w:p w:rsidR="00FA794B" w:rsidRDefault="00FA794B">
          <w:pPr>
            <w:pStyle w:val="Header"/>
            <w:spacing w:before="40"/>
            <w:jc w:val="right"/>
          </w:pPr>
          <w:r>
            <w:fldChar w:fldCharType="begin"/>
          </w:r>
          <w:r>
            <w:instrText xml:space="preserve"> styleref CharPartText </w:instrText>
          </w:r>
          <w:r>
            <w:fldChar w:fldCharType="end"/>
          </w:r>
        </w:p>
      </w:tc>
      <w:tc>
        <w:tcPr>
          <w:tcW w:w="1548" w:type="dxa"/>
        </w:tcPr>
        <w:p w:rsidR="00FA794B" w:rsidRDefault="00FA794B">
          <w:pPr>
            <w:pStyle w:val="Header"/>
            <w:spacing w:before="40"/>
            <w:jc w:val="right"/>
          </w:pPr>
          <w:r>
            <w:rPr>
              <w:b/>
            </w:rPr>
            <w:fldChar w:fldCharType="begin"/>
          </w:r>
          <w:r>
            <w:rPr>
              <w:b/>
            </w:rPr>
            <w:instrText>STYLEREF CharPartNo</w:instrText>
          </w:r>
          <w:r>
            <w:rPr>
              <w:b/>
            </w:rPr>
            <w:fldChar w:fldCharType="end"/>
          </w:r>
        </w:p>
      </w:tc>
    </w:tr>
    <w:tr w:rsidR="00FA794B">
      <w:trPr>
        <w:jc w:val="center"/>
      </w:trPr>
      <w:tc>
        <w:tcPr>
          <w:tcW w:w="5715" w:type="dxa"/>
          <w:vAlign w:val="bottom"/>
        </w:tcPr>
        <w:p w:rsidR="00FA794B" w:rsidRDefault="00FA794B">
          <w:pPr>
            <w:pStyle w:val="Header"/>
            <w:jc w:val="right"/>
          </w:pPr>
          <w:r>
            <w:fldChar w:fldCharType="begin"/>
          </w:r>
          <w:r>
            <w:instrText xml:space="preserve"> styleref CharDivText </w:instrText>
          </w:r>
          <w:r>
            <w:fldChar w:fldCharType="end"/>
          </w:r>
        </w:p>
      </w:tc>
      <w:tc>
        <w:tcPr>
          <w:tcW w:w="1548" w:type="dxa"/>
        </w:tcPr>
        <w:p w:rsidR="00FA794B" w:rsidRDefault="00FA794B">
          <w:pPr>
            <w:pStyle w:val="Header"/>
            <w:spacing w:before="40"/>
            <w:jc w:val="right"/>
          </w:pPr>
          <w:r>
            <w:rPr>
              <w:b/>
            </w:rPr>
            <w:fldChar w:fldCharType="begin"/>
          </w:r>
          <w:r>
            <w:rPr>
              <w:b/>
            </w:rPr>
            <w:instrText>STYLEREF CharDivNo</w:instrText>
          </w:r>
          <w:r>
            <w:rPr>
              <w:b/>
            </w:rPr>
            <w:fldChar w:fldCharType="end"/>
          </w:r>
        </w:p>
      </w:tc>
    </w:tr>
    <w:tr w:rsidR="00FA794B">
      <w:trPr>
        <w:cantSplit/>
        <w:jc w:val="center"/>
      </w:trPr>
      <w:tc>
        <w:tcPr>
          <w:tcW w:w="7263" w:type="dxa"/>
          <w:gridSpan w:val="2"/>
        </w:tcPr>
        <w:p w:rsidR="00FA794B" w:rsidRDefault="00FA794B">
          <w:pPr>
            <w:pStyle w:val="Header"/>
            <w:spacing w:before="40"/>
            <w:jc w:val="right"/>
          </w:pPr>
          <w:r>
            <w:rPr>
              <w:b/>
            </w:rPr>
            <w:t xml:space="preserve">r. </w:t>
          </w:r>
          <w:r>
            <w:rPr>
              <w:b/>
            </w:rPr>
            <w:fldChar w:fldCharType="begin"/>
          </w:r>
          <w:r>
            <w:rPr>
              <w:b/>
            </w:rPr>
            <w:instrText>STYLEREF CharSectNo</w:instrText>
          </w:r>
          <w:r>
            <w:rPr>
              <w:b/>
            </w:rPr>
            <w:fldChar w:fldCharType="separate"/>
          </w:r>
          <w:r w:rsidR="007D7ACB">
            <w:rPr>
              <w:b/>
            </w:rPr>
            <w:t>1</w:t>
          </w:r>
          <w:r>
            <w:rPr>
              <w:b/>
            </w:rPr>
            <w:fldChar w:fldCharType="end"/>
          </w:r>
        </w:p>
      </w:tc>
    </w:tr>
  </w:tbl>
  <w:p w:rsidR="00FA794B" w:rsidRDefault="00FA794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58"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CharSchno</w:instrText>
          </w:r>
          <w:r>
            <w:rPr>
              <w:b/>
            </w:rPr>
            <w:fldChar w:fldCharType="end"/>
          </w:r>
        </w:p>
      </w:tc>
      <w:tc>
        <w:tcPr>
          <w:tcW w:w="5715" w:type="dxa"/>
        </w:tcPr>
        <w:p w:rsidR="00FA794B" w:rsidRDefault="00FA794B">
          <w:pPr>
            <w:pStyle w:val="Header"/>
            <w:spacing w:before="40"/>
          </w:pPr>
          <w:r>
            <w:fldChar w:fldCharType="begin"/>
          </w:r>
          <w:r>
            <w:instrText xml:space="preserve"> styleref CharSchText </w:instrText>
          </w:r>
          <w: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 xml:space="preserve"> STYLEREF CharSDivNo </w:instrText>
          </w:r>
          <w:r>
            <w:rPr>
              <w:b/>
            </w:rPr>
            <w:fldChar w:fldCharType="end"/>
          </w:r>
        </w:p>
      </w:tc>
      <w:tc>
        <w:tcPr>
          <w:tcW w:w="5715" w:type="dxa"/>
        </w:tcPr>
        <w:p w:rsidR="00FA794B" w:rsidRDefault="00FA794B">
          <w:pPr>
            <w:pStyle w:val="Header"/>
            <w:spacing w:before="40"/>
          </w:pPr>
          <w:r>
            <w:fldChar w:fldCharType="begin"/>
          </w:r>
          <w:r>
            <w:instrText xml:space="preserve"> styleref CharSDivText </w:instrText>
          </w:r>
          <w:r>
            <w:fldChar w:fldCharType="end"/>
          </w:r>
        </w:p>
      </w:tc>
    </w:tr>
    <w:tr w:rsidR="00FA794B">
      <w:trPr>
        <w:jc w:val="center"/>
      </w:trPr>
      <w:tc>
        <w:tcPr>
          <w:tcW w:w="7258" w:type="dxa"/>
          <w:gridSpan w:val="2"/>
        </w:tcPr>
        <w:p w:rsidR="00FA794B" w:rsidRDefault="00FA794B">
          <w:pPr>
            <w:pStyle w:val="Header"/>
            <w:spacing w:before="40"/>
          </w:pPr>
        </w:p>
      </w:tc>
    </w:tr>
  </w:tbl>
  <w:p w:rsidR="00FA794B" w:rsidRDefault="00FA794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A794B">
      <w:trPr>
        <w:jc w:val="center"/>
      </w:trPr>
      <w:tc>
        <w:tcPr>
          <w:tcW w:w="7160" w:type="dxa"/>
          <w:gridSpan w:val="2"/>
        </w:tcPr>
        <w:p w:rsidR="00FA794B" w:rsidRDefault="00FA794B">
          <w:pPr>
            <w:pStyle w:val="Header"/>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CharSchText </w:instrText>
          </w:r>
          <w:r>
            <w:fldChar w:fldCharType="end"/>
          </w:r>
        </w:p>
      </w:tc>
      <w:tc>
        <w:tcPr>
          <w:tcW w:w="1445" w:type="dxa"/>
        </w:tcPr>
        <w:p w:rsidR="00FA794B" w:rsidRDefault="00FA794B">
          <w:pPr>
            <w:pStyle w:val="Header"/>
            <w:spacing w:before="40"/>
            <w:ind w:right="17"/>
            <w:jc w:val="right"/>
          </w:pPr>
          <w:r>
            <w:rPr>
              <w:b/>
            </w:rPr>
            <w:fldChar w:fldCharType="begin"/>
          </w:r>
          <w:r>
            <w:rPr>
              <w:b/>
            </w:rPr>
            <w:instrText>STYLEREF CharSchno</w:instrText>
          </w:r>
          <w:r>
            <w:rPr>
              <w:b/>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CharSDivText </w:instrText>
          </w:r>
          <w:r>
            <w:fldChar w:fldCharType="end"/>
          </w:r>
        </w:p>
      </w:tc>
      <w:tc>
        <w:tcPr>
          <w:tcW w:w="1445" w:type="dxa"/>
        </w:tcPr>
        <w:p w:rsidR="00FA794B" w:rsidRDefault="00FA794B">
          <w:pPr>
            <w:pStyle w:val="Header"/>
            <w:spacing w:before="40"/>
            <w:ind w:right="17"/>
            <w:jc w:val="right"/>
          </w:pPr>
          <w:r>
            <w:rPr>
              <w:b/>
            </w:rPr>
            <w:fldChar w:fldCharType="begin"/>
          </w:r>
          <w:r>
            <w:rPr>
              <w:b/>
            </w:rPr>
            <w:instrText xml:space="preserve"> STYLEREF CharSDivNo </w:instrText>
          </w:r>
          <w:r>
            <w:rPr>
              <w:b/>
            </w:rPr>
            <w:fldChar w:fldCharType="end"/>
          </w:r>
        </w:p>
      </w:tc>
    </w:tr>
    <w:tr w:rsidR="00FA794B">
      <w:trPr>
        <w:jc w:val="center"/>
      </w:trPr>
      <w:tc>
        <w:tcPr>
          <w:tcW w:w="7160" w:type="dxa"/>
          <w:gridSpan w:val="2"/>
        </w:tcPr>
        <w:p w:rsidR="00FA794B" w:rsidRDefault="00FA794B">
          <w:pPr>
            <w:pStyle w:val="Header"/>
            <w:spacing w:before="40"/>
            <w:ind w:right="17"/>
            <w:jc w:val="right"/>
          </w:pPr>
        </w:p>
      </w:tc>
    </w:tr>
  </w:tbl>
  <w:p w:rsidR="00FA794B" w:rsidRDefault="00FA794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58"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CharSchno</w:instrText>
          </w:r>
          <w:r>
            <w:rPr>
              <w:b/>
            </w:rPr>
            <w:fldChar w:fldCharType="separate"/>
          </w:r>
          <w:r w:rsidR="007D7ACB">
            <w:rPr>
              <w:b/>
            </w:rPr>
            <w:t>Schedule 1</w:t>
          </w:r>
          <w:r>
            <w:rPr>
              <w:b/>
            </w:rPr>
            <w:fldChar w:fldCharType="end"/>
          </w:r>
        </w:p>
      </w:tc>
      <w:tc>
        <w:tcPr>
          <w:tcW w:w="5715" w:type="dxa"/>
        </w:tcPr>
        <w:p w:rsidR="00FA794B" w:rsidRDefault="00FA794B">
          <w:pPr>
            <w:pStyle w:val="Header"/>
            <w:spacing w:before="40"/>
          </w:pPr>
          <w:r>
            <w:fldChar w:fldCharType="begin"/>
          </w:r>
          <w:r>
            <w:instrText xml:space="preserve"> styleref CharSchText </w:instrText>
          </w:r>
          <w:r>
            <w:fldChar w:fldCharType="separate"/>
          </w:r>
          <w:r w:rsidR="007D7ACB">
            <w:t>Interim Code of Practice for Retirement Villages 2021</w:t>
          </w:r>
          <w: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CharSDivNo</w:instrText>
          </w:r>
          <w:r>
            <w:rPr>
              <w:b/>
            </w:rPr>
            <w:fldChar w:fldCharType="end"/>
          </w:r>
        </w:p>
      </w:tc>
      <w:tc>
        <w:tcPr>
          <w:tcW w:w="5715" w:type="dxa"/>
        </w:tcPr>
        <w:p w:rsidR="00FA794B" w:rsidRDefault="00FA794B">
          <w:pPr>
            <w:pStyle w:val="Header"/>
            <w:spacing w:before="40"/>
          </w:pPr>
          <w:r>
            <w:fldChar w:fldCharType="begin"/>
          </w:r>
          <w:r>
            <w:instrText xml:space="preserve"> styleref CharSDivText </w:instrText>
          </w:r>
          <w:r>
            <w:fldChar w:fldCharType="end"/>
          </w:r>
        </w:p>
      </w:tc>
    </w:tr>
    <w:tr w:rsidR="00FA794B">
      <w:trPr>
        <w:jc w:val="center"/>
      </w:trPr>
      <w:tc>
        <w:tcPr>
          <w:tcW w:w="7258" w:type="dxa"/>
          <w:gridSpan w:val="2"/>
        </w:tcPr>
        <w:p w:rsidR="00FA794B" w:rsidRDefault="00FA794B">
          <w:pPr>
            <w:pStyle w:val="Header"/>
            <w:spacing w:before="40"/>
          </w:pPr>
          <w:r>
            <w:rPr>
              <w:b/>
            </w:rPr>
            <w:t xml:space="preserve">cl. </w:t>
          </w:r>
          <w:r>
            <w:rPr>
              <w:b/>
            </w:rPr>
            <w:fldChar w:fldCharType="begin"/>
          </w:r>
          <w:r>
            <w:rPr>
              <w:b/>
            </w:rPr>
            <w:instrText>STYLEREF CharSClsNo</w:instrText>
          </w:r>
          <w:r>
            <w:rPr>
              <w:b/>
            </w:rPr>
            <w:fldChar w:fldCharType="separate"/>
          </w:r>
          <w:r w:rsidR="007D7ACB">
            <w:rPr>
              <w:b/>
            </w:rPr>
            <w:t>1</w:t>
          </w:r>
          <w:r>
            <w:fldChar w:fldCharType="end"/>
          </w:r>
        </w:p>
      </w:tc>
    </w:tr>
  </w:tbl>
  <w:p w:rsidR="00FA794B" w:rsidRDefault="00FA794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A794B">
      <w:trPr>
        <w:jc w:val="center"/>
      </w:trPr>
      <w:tc>
        <w:tcPr>
          <w:tcW w:w="7160" w:type="dxa"/>
          <w:gridSpan w:val="2"/>
        </w:tcPr>
        <w:p w:rsidR="00FA794B" w:rsidRDefault="00FA794B">
          <w:pPr>
            <w:pStyle w:val="Header"/>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CharSchText </w:instrText>
          </w:r>
          <w:r>
            <w:fldChar w:fldCharType="separate"/>
          </w:r>
          <w:r w:rsidR="007D7ACB">
            <w:t>Interim Code of Practice for Retirement Villages 2021</w:t>
          </w:r>
          <w:r>
            <w:fldChar w:fldCharType="end"/>
          </w:r>
        </w:p>
      </w:tc>
      <w:tc>
        <w:tcPr>
          <w:tcW w:w="1445" w:type="dxa"/>
        </w:tcPr>
        <w:p w:rsidR="00FA794B" w:rsidRDefault="00FA794B">
          <w:pPr>
            <w:pStyle w:val="Header"/>
            <w:spacing w:before="40"/>
            <w:ind w:right="17"/>
            <w:jc w:val="right"/>
          </w:pPr>
          <w:r>
            <w:rPr>
              <w:b/>
            </w:rPr>
            <w:fldChar w:fldCharType="begin"/>
          </w:r>
          <w:r>
            <w:rPr>
              <w:b/>
            </w:rPr>
            <w:instrText>STYLEREF CharSchno</w:instrText>
          </w:r>
          <w:r>
            <w:rPr>
              <w:b/>
            </w:rPr>
            <w:fldChar w:fldCharType="separate"/>
          </w:r>
          <w:r w:rsidR="007D7ACB">
            <w:rPr>
              <w:b/>
            </w:rPr>
            <w:t>Schedule 1</w:t>
          </w:r>
          <w:r>
            <w:rPr>
              <w:b/>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CharSDivText </w:instrText>
          </w:r>
          <w:r>
            <w:fldChar w:fldCharType="end"/>
          </w:r>
        </w:p>
      </w:tc>
      <w:tc>
        <w:tcPr>
          <w:tcW w:w="1445" w:type="dxa"/>
        </w:tcPr>
        <w:p w:rsidR="00FA794B" w:rsidRDefault="00FA794B">
          <w:pPr>
            <w:pStyle w:val="Header"/>
            <w:spacing w:before="40"/>
            <w:ind w:right="17"/>
            <w:jc w:val="right"/>
          </w:pPr>
          <w:r>
            <w:rPr>
              <w:b/>
            </w:rPr>
            <w:fldChar w:fldCharType="begin"/>
          </w:r>
          <w:r>
            <w:rPr>
              <w:b/>
            </w:rPr>
            <w:instrText>STYLEREF CharSDivNo</w:instrText>
          </w:r>
          <w:r>
            <w:rPr>
              <w:b/>
            </w:rPr>
            <w:fldChar w:fldCharType="end"/>
          </w:r>
        </w:p>
      </w:tc>
    </w:tr>
    <w:tr w:rsidR="00FA794B">
      <w:trPr>
        <w:jc w:val="center"/>
      </w:trPr>
      <w:tc>
        <w:tcPr>
          <w:tcW w:w="7160" w:type="dxa"/>
          <w:gridSpan w:val="2"/>
        </w:tcPr>
        <w:p w:rsidR="00FA794B" w:rsidRDefault="00FA794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D7ACB">
            <w:rPr>
              <w:b/>
            </w:rPr>
            <w:t>1</w:t>
          </w:r>
          <w:r>
            <w:fldChar w:fldCharType="end"/>
          </w:r>
        </w:p>
      </w:tc>
    </w:tr>
  </w:tbl>
  <w:p w:rsidR="00FA794B" w:rsidRDefault="00FA794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63"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CharSchno</w:instrText>
          </w:r>
          <w:r>
            <w:rPr>
              <w:b/>
            </w:rPr>
            <w:fldChar w:fldCharType="separate"/>
          </w:r>
          <w:r w:rsidR="007D7ACB">
            <w:rPr>
              <w:b/>
            </w:rPr>
            <w:t>Schedule 1</w:t>
          </w:r>
          <w:r>
            <w:rPr>
              <w:b/>
            </w:rPr>
            <w:fldChar w:fldCharType="end"/>
          </w:r>
        </w:p>
      </w:tc>
      <w:tc>
        <w:tcPr>
          <w:tcW w:w="5715" w:type="dxa"/>
        </w:tcPr>
        <w:p w:rsidR="00FA794B" w:rsidRDefault="00FA794B">
          <w:pPr>
            <w:pStyle w:val="Header"/>
            <w:spacing w:before="40"/>
          </w:pPr>
          <w:r>
            <w:fldChar w:fldCharType="begin"/>
          </w:r>
          <w:r>
            <w:instrText xml:space="preserve"> styleref CharSchText </w:instrText>
          </w:r>
          <w:r>
            <w:fldChar w:fldCharType="separate"/>
          </w:r>
          <w:r w:rsidR="007D7ACB">
            <w:t>Interim Code of Practice for Retirement Villages 2021</w:t>
          </w:r>
          <w: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STYLEREF CharSDivNo</w:instrText>
          </w:r>
          <w:r>
            <w:rPr>
              <w:b/>
            </w:rPr>
            <w:fldChar w:fldCharType="end"/>
          </w:r>
        </w:p>
      </w:tc>
      <w:tc>
        <w:tcPr>
          <w:tcW w:w="5715" w:type="dxa"/>
        </w:tcPr>
        <w:p w:rsidR="00FA794B" w:rsidRDefault="00FA794B">
          <w:pPr>
            <w:pStyle w:val="Header"/>
            <w:spacing w:before="40"/>
          </w:pPr>
          <w:r>
            <w:fldChar w:fldCharType="begin"/>
          </w:r>
          <w:r>
            <w:instrText xml:space="preserve"> styleref CharSDivText </w:instrText>
          </w:r>
          <w:r>
            <w:fldChar w:fldCharType="separate"/>
          </w:r>
          <w:r w:rsidR="007D7ACB">
            <w:t>Service of documents</w:t>
          </w:r>
          <w:r>
            <w:fldChar w:fldCharType="end"/>
          </w:r>
        </w:p>
      </w:tc>
    </w:tr>
    <w:tr w:rsidR="00FA794B">
      <w:trPr>
        <w:cantSplit/>
        <w:jc w:val="center"/>
      </w:trPr>
      <w:tc>
        <w:tcPr>
          <w:tcW w:w="7263" w:type="dxa"/>
          <w:gridSpan w:val="2"/>
        </w:tcPr>
        <w:p w:rsidR="00FA794B" w:rsidRDefault="00FA794B">
          <w:pPr>
            <w:pStyle w:val="Header"/>
            <w:spacing w:before="40"/>
          </w:pPr>
        </w:p>
      </w:tc>
    </w:tr>
  </w:tbl>
  <w:p w:rsidR="00FA794B" w:rsidRDefault="00FA794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A794B">
      <w:trPr>
        <w:cantSplit/>
        <w:jc w:val="center"/>
      </w:trPr>
      <w:tc>
        <w:tcPr>
          <w:tcW w:w="7263" w:type="dxa"/>
          <w:gridSpan w:val="2"/>
        </w:tcPr>
        <w:p w:rsidR="00FA794B" w:rsidRDefault="00FA794B">
          <w:pPr>
            <w:pStyle w:val="Header"/>
            <w:spacing w:before="40"/>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CharSchText </w:instrText>
          </w:r>
          <w:r>
            <w:fldChar w:fldCharType="separate"/>
          </w:r>
          <w:r w:rsidR="007D7ACB">
            <w:t>Interim Code of Practice for Retirement Villages 2021</w:t>
          </w:r>
          <w:r>
            <w:fldChar w:fldCharType="end"/>
          </w:r>
        </w:p>
      </w:tc>
      <w:tc>
        <w:tcPr>
          <w:tcW w:w="1548" w:type="dxa"/>
        </w:tcPr>
        <w:p w:rsidR="00FA794B" w:rsidRDefault="00FA794B">
          <w:pPr>
            <w:pStyle w:val="Header"/>
            <w:spacing w:before="40"/>
            <w:ind w:right="17"/>
            <w:jc w:val="right"/>
          </w:pPr>
          <w:r>
            <w:rPr>
              <w:b/>
            </w:rPr>
            <w:fldChar w:fldCharType="begin"/>
          </w:r>
          <w:r>
            <w:rPr>
              <w:b/>
            </w:rPr>
            <w:instrText>STYLEREF CharSchno</w:instrText>
          </w:r>
          <w:r>
            <w:rPr>
              <w:b/>
            </w:rPr>
            <w:fldChar w:fldCharType="separate"/>
          </w:r>
          <w:r w:rsidR="007D7ACB">
            <w:rPr>
              <w:b/>
            </w:rPr>
            <w:t>Schedule 1</w:t>
          </w:r>
          <w:r>
            <w:rPr>
              <w:b/>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CharSDivText </w:instrText>
          </w:r>
          <w:r>
            <w:fldChar w:fldCharType="separate"/>
          </w:r>
          <w:r w:rsidR="007D7ACB">
            <w:t>Service of documents</w:t>
          </w:r>
          <w:r>
            <w:fldChar w:fldCharType="end"/>
          </w:r>
        </w:p>
      </w:tc>
      <w:tc>
        <w:tcPr>
          <w:tcW w:w="1548" w:type="dxa"/>
        </w:tcPr>
        <w:p w:rsidR="00FA794B" w:rsidRDefault="00FA794B">
          <w:pPr>
            <w:pStyle w:val="Header"/>
            <w:spacing w:before="40"/>
            <w:ind w:right="17"/>
            <w:jc w:val="right"/>
          </w:pPr>
          <w:r>
            <w:rPr>
              <w:b/>
            </w:rPr>
            <w:fldChar w:fldCharType="begin"/>
          </w:r>
          <w:r>
            <w:rPr>
              <w:b/>
            </w:rPr>
            <w:instrText>STYLEREF CharSDivNo</w:instrText>
          </w:r>
          <w:r>
            <w:rPr>
              <w:b/>
            </w:rPr>
            <w:fldChar w:fldCharType="end"/>
          </w:r>
        </w:p>
      </w:tc>
    </w:tr>
    <w:tr w:rsidR="00FA794B">
      <w:trPr>
        <w:cantSplit/>
        <w:jc w:val="center"/>
      </w:trPr>
      <w:tc>
        <w:tcPr>
          <w:tcW w:w="7263" w:type="dxa"/>
          <w:gridSpan w:val="2"/>
        </w:tcPr>
        <w:p w:rsidR="00FA794B" w:rsidRDefault="00FA794B">
          <w:pPr>
            <w:pStyle w:val="Header"/>
            <w:spacing w:before="40"/>
            <w:jc w:val="right"/>
          </w:pPr>
        </w:p>
      </w:tc>
    </w:tr>
  </w:tbl>
  <w:p w:rsidR="00FA794B" w:rsidRDefault="00FA794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A794B">
      <w:trPr>
        <w:cantSplit/>
        <w:jc w:val="center"/>
      </w:trPr>
      <w:tc>
        <w:tcPr>
          <w:tcW w:w="7263" w:type="dxa"/>
          <w:gridSpan w:val="2"/>
        </w:tcPr>
        <w:p w:rsidR="00FA794B" w:rsidRDefault="00FA794B">
          <w:pPr>
            <w:pStyle w:val="Header"/>
            <w:spacing w:before="40"/>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CharSchText </w:instrText>
          </w:r>
          <w:r>
            <w:fldChar w:fldCharType="separate"/>
          </w:r>
          <w:r w:rsidR="007D7ACB">
            <w:t>Interim Code of Practice for Retirement Villages 2021</w:t>
          </w:r>
          <w:r>
            <w:fldChar w:fldCharType="end"/>
          </w:r>
        </w:p>
      </w:tc>
      <w:tc>
        <w:tcPr>
          <w:tcW w:w="1548" w:type="dxa"/>
        </w:tcPr>
        <w:p w:rsidR="00FA794B" w:rsidRDefault="00FA794B">
          <w:pPr>
            <w:pStyle w:val="Header"/>
            <w:spacing w:before="40"/>
            <w:ind w:right="17"/>
            <w:jc w:val="right"/>
          </w:pPr>
          <w:r>
            <w:rPr>
              <w:b/>
            </w:rPr>
            <w:fldChar w:fldCharType="begin"/>
          </w:r>
          <w:r>
            <w:rPr>
              <w:b/>
            </w:rPr>
            <w:instrText>STYLEREF CharSchno</w:instrText>
          </w:r>
          <w:r>
            <w:rPr>
              <w:b/>
            </w:rPr>
            <w:fldChar w:fldCharType="separate"/>
          </w:r>
          <w:r w:rsidR="007D7ACB">
            <w:rPr>
              <w:b/>
            </w:rPr>
            <w:t>Schedule 1</w:t>
          </w:r>
          <w:r>
            <w:rPr>
              <w:b/>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CharSDivText </w:instrText>
          </w:r>
          <w:r>
            <w:fldChar w:fldCharType="separate"/>
          </w:r>
          <w:r w:rsidR="007D7ACB">
            <w:t>Service of documents</w:t>
          </w:r>
          <w:r>
            <w:fldChar w:fldCharType="end"/>
          </w:r>
        </w:p>
      </w:tc>
      <w:tc>
        <w:tcPr>
          <w:tcW w:w="1548" w:type="dxa"/>
        </w:tcPr>
        <w:p w:rsidR="00FA794B" w:rsidRDefault="00FA794B">
          <w:pPr>
            <w:pStyle w:val="Header"/>
            <w:spacing w:before="40"/>
            <w:ind w:right="17"/>
            <w:jc w:val="right"/>
          </w:pPr>
          <w:r>
            <w:rPr>
              <w:b/>
            </w:rPr>
            <w:fldChar w:fldCharType="begin"/>
          </w:r>
          <w:r>
            <w:rPr>
              <w:b/>
            </w:rPr>
            <w:instrText>STYLEREF CharSDivNo</w:instrText>
          </w:r>
          <w:r>
            <w:rPr>
              <w:b/>
            </w:rPr>
            <w:fldChar w:fldCharType="end"/>
          </w:r>
        </w:p>
      </w:tc>
    </w:tr>
    <w:tr w:rsidR="00FA794B">
      <w:trPr>
        <w:cantSplit/>
        <w:jc w:val="center"/>
      </w:trPr>
      <w:tc>
        <w:tcPr>
          <w:tcW w:w="7263" w:type="dxa"/>
          <w:gridSpan w:val="2"/>
        </w:tcPr>
        <w:p w:rsidR="00FA794B" w:rsidRDefault="00FA794B">
          <w:pPr>
            <w:pStyle w:val="Header"/>
            <w:spacing w:before="40"/>
            <w:jc w:val="right"/>
          </w:pPr>
        </w:p>
      </w:tc>
    </w:tr>
  </w:tbl>
  <w:p w:rsidR="00FA794B" w:rsidRDefault="00FA794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94B">
      <w:trPr>
        <w:cantSplit/>
        <w:jc w:val="center"/>
      </w:trPr>
      <w:tc>
        <w:tcPr>
          <w:tcW w:w="7258"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548" w:type="dxa"/>
        </w:tcPr>
        <w:p w:rsidR="00FA794B" w:rsidRDefault="00FA794B">
          <w:pPr>
            <w:pStyle w:val="Header"/>
            <w:spacing w:before="40"/>
          </w:pPr>
          <w:r>
            <w:rPr>
              <w:b/>
            </w:rPr>
            <w:fldChar w:fldCharType="begin"/>
          </w:r>
          <w:r>
            <w:rPr>
              <w:b/>
            </w:rPr>
            <w:instrText xml:space="preserve"> STYLEREF "nHeading 2" </w:instrText>
          </w:r>
          <w:r>
            <w:rPr>
              <w:b/>
            </w:rPr>
            <w:fldChar w:fldCharType="separate"/>
          </w:r>
          <w:r w:rsidR="007D7ACB">
            <w:rPr>
              <w:b/>
            </w:rPr>
            <w:t>Notes</w:t>
          </w:r>
          <w:r>
            <w:rPr>
              <w:b/>
            </w:rPr>
            <w:fldChar w:fldCharType="end"/>
          </w:r>
        </w:p>
      </w:tc>
      <w:tc>
        <w:tcPr>
          <w:tcW w:w="5715" w:type="dxa"/>
        </w:tcPr>
        <w:p w:rsidR="00FA794B" w:rsidRDefault="00FA794B">
          <w:pPr>
            <w:pStyle w:val="Header"/>
            <w:spacing w:before="40"/>
          </w:pPr>
          <w:r>
            <w:fldChar w:fldCharType="begin"/>
          </w:r>
          <w:r>
            <w:instrText xml:space="preserve"> STYLEREF "nHeading 3" </w:instrText>
          </w:r>
          <w:r>
            <w:fldChar w:fldCharType="separate"/>
          </w:r>
          <w:r w:rsidR="007D7ACB">
            <w:t>Compilation table</w:t>
          </w:r>
          <w:r>
            <w:fldChar w:fldCharType="end"/>
          </w:r>
        </w:p>
      </w:tc>
    </w:tr>
    <w:tr w:rsidR="00FA794B">
      <w:trPr>
        <w:jc w:val="center"/>
      </w:trPr>
      <w:tc>
        <w:tcPr>
          <w:tcW w:w="1548" w:type="dxa"/>
        </w:tcPr>
        <w:p w:rsidR="00FA794B" w:rsidRDefault="00FA794B">
          <w:pPr>
            <w:pStyle w:val="Header"/>
            <w:spacing w:before="40"/>
          </w:pPr>
        </w:p>
      </w:tc>
      <w:tc>
        <w:tcPr>
          <w:tcW w:w="5715" w:type="dxa"/>
        </w:tcPr>
        <w:p w:rsidR="00FA794B" w:rsidRDefault="00FA794B">
          <w:pPr>
            <w:pStyle w:val="Header"/>
            <w:spacing w:before="40"/>
          </w:pPr>
        </w:p>
      </w:tc>
    </w:tr>
    <w:tr w:rsidR="00FA794B">
      <w:trPr>
        <w:cantSplit/>
        <w:jc w:val="center"/>
      </w:trPr>
      <w:tc>
        <w:tcPr>
          <w:tcW w:w="7258" w:type="dxa"/>
          <w:gridSpan w:val="2"/>
        </w:tcPr>
        <w:p w:rsidR="00FA794B" w:rsidRDefault="00FA794B">
          <w:pPr>
            <w:pStyle w:val="Header"/>
            <w:spacing w:before="40"/>
          </w:pPr>
        </w:p>
      </w:tc>
    </w:tr>
  </w:tbl>
  <w:p w:rsidR="00FA794B" w:rsidRDefault="00FA794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A794B">
      <w:trPr>
        <w:cantSplit/>
        <w:jc w:val="center"/>
      </w:trPr>
      <w:tc>
        <w:tcPr>
          <w:tcW w:w="7258" w:type="dxa"/>
          <w:gridSpan w:val="2"/>
        </w:tcPr>
        <w:p w:rsidR="00FA794B" w:rsidRDefault="00FA794B">
          <w:pPr>
            <w:pStyle w:val="Header"/>
            <w:ind w:right="17"/>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715" w:type="dxa"/>
        </w:tcPr>
        <w:p w:rsidR="00FA794B" w:rsidRDefault="00FA794B">
          <w:pPr>
            <w:pStyle w:val="Header"/>
            <w:spacing w:before="40"/>
            <w:jc w:val="right"/>
          </w:pPr>
          <w:r>
            <w:fldChar w:fldCharType="begin"/>
          </w:r>
          <w:r>
            <w:instrText xml:space="preserve"> STYLEREF "nHeading 3" </w:instrText>
          </w:r>
          <w:r>
            <w:fldChar w:fldCharType="separate"/>
          </w:r>
          <w:r w:rsidR="007D7ACB">
            <w:t>Compilation table</w:t>
          </w:r>
          <w:r>
            <w:fldChar w:fldCharType="end"/>
          </w:r>
        </w:p>
      </w:tc>
      <w:tc>
        <w:tcPr>
          <w:tcW w:w="1548" w:type="dxa"/>
        </w:tcPr>
        <w:p w:rsidR="00FA794B" w:rsidRDefault="00FA794B">
          <w:pPr>
            <w:pStyle w:val="Header"/>
            <w:spacing w:before="40"/>
            <w:ind w:right="17"/>
            <w:jc w:val="right"/>
          </w:pPr>
          <w:r>
            <w:rPr>
              <w:b/>
            </w:rPr>
            <w:fldChar w:fldCharType="begin"/>
          </w:r>
          <w:r>
            <w:rPr>
              <w:b/>
            </w:rPr>
            <w:instrText xml:space="preserve"> STYLEREF "nHeading 2" </w:instrText>
          </w:r>
          <w:r>
            <w:rPr>
              <w:b/>
            </w:rPr>
            <w:fldChar w:fldCharType="separate"/>
          </w:r>
          <w:r w:rsidR="007D7ACB">
            <w:rPr>
              <w:b/>
            </w:rPr>
            <w:t>Notes</w:t>
          </w:r>
          <w:r>
            <w:rPr>
              <w:b/>
            </w:rPr>
            <w:fldChar w:fldCharType="end"/>
          </w:r>
        </w:p>
      </w:tc>
    </w:tr>
    <w:tr w:rsidR="00FA794B">
      <w:trPr>
        <w:jc w:val="center"/>
      </w:trPr>
      <w:tc>
        <w:tcPr>
          <w:tcW w:w="5715" w:type="dxa"/>
        </w:tcPr>
        <w:p w:rsidR="00FA794B" w:rsidRDefault="00FA794B">
          <w:pPr>
            <w:pStyle w:val="Header"/>
            <w:spacing w:before="40"/>
            <w:jc w:val="right"/>
          </w:pPr>
        </w:p>
      </w:tc>
      <w:tc>
        <w:tcPr>
          <w:tcW w:w="1548" w:type="dxa"/>
        </w:tcPr>
        <w:p w:rsidR="00FA794B" w:rsidRDefault="00FA794B">
          <w:pPr>
            <w:pStyle w:val="Header"/>
            <w:spacing w:before="40"/>
            <w:ind w:right="17"/>
            <w:jc w:val="right"/>
          </w:pPr>
        </w:p>
      </w:tc>
    </w:tr>
    <w:tr w:rsidR="00FA794B">
      <w:trPr>
        <w:cantSplit/>
        <w:jc w:val="center"/>
      </w:trPr>
      <w:tc>
        <w:tcPr>
          <w:tcW w:w="7258" w:type="dxa"/>
          <w:gridSpan w:val="2"/>
        </w:tcPr>
        <w:p w:rsidR="00FA794B" w:rsidRDefault="00FA794B">
          <w:pPr>
            <w:pStyle w:val="Header"/>
            <w:spacing w:before="40"/>
            <w:ind w:right="17"/>
            <w:jc w:val="right"/>
          </w:pPr>
        </w:p>
      </w:tc>
    </w:tr>
  </w:tbl>
  <w:p w:rsidR="00FA794B" w:rsidRDefault="00FA794B">
    <w:pPr>
      <w:pStyle w:val="Header"/>
      <w:pBdr>
        <w:top w:val="single" w:sz="4" w:space="1" w:color="auto"/>
      </w:pBdr>
    </w:pPr>
    <w:bookmarkStart w:id="82" w:name="Compilation"/>
    <w:bookmarkEnd w:id="8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A794B">
      <w:trPr>
        <w:cantSplit/>
        <w:jc w:val="center"/>
      </w:trPr>
      <w:tc>
        <w:tcPr>
          <w:tcW w:w="7263" w:type="dxa"/>
          <w:gridSpan w:val="2"/>
        </w:tcPr>
        <w:p w:rsidR="00FA794B" w:rsidRDefault="00FA794B">
          <w:pPr>
            <w:pStyle w:val="Header"/>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1348" w:type="dxa"/>
        </w:tcPr>
        <w:p w:rsidR="00FA794B" w:rsidRDefault="00FA794B">
          <w:pPr>
            <w:pStyle w:val="Header"/>
            <w:spacing w:before="40"/>
          </w:pPr>
        </w:p>
      </w:tc>
      <w:tc>
        <w:tcPr>
          <w:tcW w:w="5915" w:type="dxa"/>
        </w:tcPr>
        <w:p w:rsidR="00FA794B" w:rsidRDefault="00FA794B">
          <w:pPr>
            <w:pStyle w:val="Header"/>
            <w:spacing w:before="40"/>
          </w:pPr>
        </w:p>
      </w:tc>
    </w:tr>
    <w:tr w:rsidR="00FA794B">
      <w:trPr>
        <w:jc w:val="center"/>
      </w:trPr>
      <w:tc>
        <w:tcPr>
          <w:tcW w:w="1348" w:type="dxa"/>
        </w:tcPr>
        <w:p w:rsidR="00FA794B" w:rsidRDefault="00FA794B">
          <w:pPr>
            <w:pStyle w:val="Header"/>
            <w:spacing w:before="40"/>
          </w:pPr>
        </w:p>
      </w:tc>
      <w:tc>
        <w:tcPr>
          <w:tcW w:w="5915" w:type="dxa"/>
        </w:tcPr>
        <w:p w:rsidR="00FA794B" w:rsidRDefault="00FA794B">
          <w:pPr>
            <w:pStyle w:val="Header"/>
            <w:spacing w:before="40"/>
          </w:pPr>
        </w:p>
      </w:tc>
    </w:tr>
    <w:tr w:rsidR="00FA794B">
      <w:trPr>
        <w:cantSplit/>
        <w:jc w:val="center"/>
      </w:trPr>
      <w:tc>
        <w:tcPr>
          <w:tcW w:w="7263" w:type="dxa"/>
          <w:gridSpan w:val="2"/>
        </w:tcPr>
        <w:p w:rsidR="00FA794B" w:rsidRDefault="00FA794B">
          <w:pPr>
            <w:pStyle w:val="Header"/>
            <w:spacing w:before="40"/>
          </w:pPr>
          <w:r>
            <w:fldChar w:fldCharType="begin"/>
          </w:r>
          <w:r>
            <w:instrText xml:space="preserve"> STYLEREF "nHeading 2" </w:instrText>
          </w:r>
          <w:r>
            <w:fldChar w:fldCharType="separate"/>
          </w:r>
          <w:r w:rsidR="007D7ACB">
            <w:t>Notes</w:t>
          </w:r>
          <w:r>
            <w:fldChar w:fldCharType="end"/>
          </w:r>
        </w:p>
      </w:tc>
    </w:tr>
  </w:tbl>
  <w:p w:rsidR="00FA794B" w:rsidRDefault="00FA794B">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A794B">
      <w:trPr>
        <w:cantSplit/>
        <w:jc w:val="center"/>
      </w:trPr>
      <w:tc>
        <w:tcPr>
          <w:tcW w:w="7263" w:type="dxa"/>
          <w:gridSpan w:val="2"/>
        </w:tcPr>
        <w:p w:rsidR="00FA794B" w:rsidRDefault="00FA794B">
          <w:pPr>
            <w:pStyle w:val="Header"/>
            <w:spacing w:before="40"/>
            <w:ind w:right="17"/>
            <w:jc w:val="right"/>
          </w:pPr>
          <w:r>
            <w:rPr>
              <w:b/>
              <w:i/>
            </w:rPr>
            <w:fldChar w:fldCharType="begin"/>
          </w:r>
          <w:r>
            <w:rPr>
              <w:b/>
              <w:i/>
            </w:rPr>
            <w:instrText xml:space="preserve"> STYLEREF "Name of Act/Reg" </w:instrText>
          </w:r>
          <w:r>
            <w:rPr>
              <w:b/>
              <w:i/>
            </w:rPr>
            <w:fldChar w:fldCharType="separate"/>
          </w:r>
          <w:r w:rsidR="007D7ACB">
            <w:rPr>
              <w:b/>
              <w:i/>
            </w:rPr>
            <w:t>Fair Trading (Retirement Villages Interim Code) Regulations 2021</w:t>
          </w:r>
          <w:r>
            <w:rPr>
              <w:b/>
              <w:i/>
            </w:rPr>
            <w:fldChar w:fldCharType="end"/>
          </w:r>
        </w:p>
      </w:tc>
    </w:tr>
    <w:tr w:rsidR="00FA794B">
      <w:trPr>
        <w:jc w:val="center"/>
      </w:trPr>
      <w:tc>
        <w:tcPr>
          <w:tcW w:w="5884" w:type="dxa"/>
        </w:tcPr>
        <w:p w:rsidR="00FA794B" w:rsidRDefault="00FA794B">
          <w:pPr>
            <w:pStyle w:val="Header"/>
            <w:spacing w:before="40"/>
            <w:jc w:val="right"/>
          </w:pPr>
        </w:p>
      </w:tc>
      <w:tc>
        <w:tcPr>
          <w:tcW w:w="1379" w:type="dxa"/>
        </w:tcPr>
        <w:p w:rsidR="00FA794B" w:rsidRDefault="00FA794B">
          <w:pPr>
            <w:pStyle w:val="Header"/>
            <w:spacing w:before="40"/>
            <w:ind w:right="17"/>
            <w:jc w:val="right"/>
          </w:pPr>
        </w:p>
      </w:tc>
    </w:tr>
    <w:tr w:rsidR="00FA794B">
      <w:trPr>
        <w:jc w:val="center"/>
      </w:trPr>
      <w:tc>
        <w:tcPr>
          <w:tcW w:w="5884" w:type="dxa"/>
        </w:tcPr>
        <w:p w:rsidR="00FA794B" w:rsidRDefault="00FA794B">
          <w:pPr>
            <w:pStyle w:val="Header"/>
            <w:spacing w:before="40"/>
            <w:jc w:val="right"/>
          </w:pPr>
        </w:p>
      </w:tc>
      <w:tc>
        <w:tcPr>
          <w:tcW w:w="1379" w:type="dxa"/>
        </w:tcPr>
        <w:p w:rsidR="00FA794B" w:rsidRDefault="00FA794B">
          <w:pPr>
            <w:pStyle w:val="Header"/>
            <w:spacing w:before="40"/>
            <w:ind w:right="17"/>
            <w:jc w:val="right"/>
          </w:pPr>
        </w:p>
      </w:tc>
    </w:tr>
    <w:tr w:rsidR="00FA794B">
      <w:trPr>
        <w:cantSplit/>
        <w:jc w:val="center"/>
      </w:trPr>
      <w:tc>
        <w:tcPr>
          <w:tcW w:w="7263" w:type="dxa"/>
          <w:gridSpan w:val="2"/>
        </w:tcPr>
        <w:p w:rsidR="00FA794B" w:rsidRDefault="00FA794B">
          <w:pPr>
            <w:pStyle w:val="Header"/>
            <w:spacing w:before="40"/>
            <w:ind w:right="17"/>
            <w:jc w:val="right"/>
          </w:pPr>
          <w:r>
            <w:fldChar w:fldCharType="begin"/>
          </w:r>
          <w:r>
            <w:instrText xml:space="preserve"> STYLEREF "nHeading 2" </w:instrText>
          </w:r>
          <w:r>
            <w:fldChar w:fldCharType="separate"/>
          </w:r>
          <w:r w:rsidR="007D7ACB">
            <w:t>Notes</w:t>
          </w:r>
          <w:r>
            <w:fldChar w:fldCharType="end"/>
          </w:r>
        </w:p>
      </w:tc>
    </w:tr>
  </w:tbl>
  <w:p w:rsidR="00FA794B" w:rsidRDefault="00FA794B">
    <w:pPr>
      <w:pStyle w:val="Header"/>
      <w:pBdr>
        <w:top w:val="single" w:sz="4" w:space="1" w:color="auto"/>
      </w:pBdr>
    </w:pPr>
    <w:bookmarkStart w:id="86" w:name="DefinedTerms"/>
    <w:bookmarkEnd w:id="8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94B" w:rsidRDefault="00FA794B">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45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 w:name="WAFER_20210621114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4517_GUID" w:val="0e160801-1d0b-4700-ab03-b386351be993"/>
  </w:docVars>
  <w:rsids>
    <w:rsidRoot w:val="006E2354"/>
    <w:rsid w:val="000251DF"/>
    <w:rsid w:val="002670B8"/>
    <w:rsid w:val="004821E8"/>
    <w:rsid w:val="004E744D"/>
    <w:rsid w:val="00517001"/>
    <w:rsid w:val="005E2522"/>
    <w:rsid w:val="0068797B"/>
    <w:rsid w:val="006E2354"/>
    <w:rsid w:val="007D7ACB"/>
    <w:rsid w:val="008D63F4"/>
    <w:rsid w:val="008E0CCC"/>
    <w:rsid w:val="00B271F8"/>
    <w:rsid w:val="00C639C8"/>
    <w:rsid w:val="00C85F3F"/>
    <w:rsid w:val="00D96A6C"/>
    <w:rsid w:val="00E5575D"/>
    <w:rsid w:val="00EB104A"/>
    <w:rsid w:val="00F75D32"/>
    <w:rsid w:val="00FA79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Defpara11pt">
    <w:name w:val="Defpara + 11 pt"/>
    <w:basedOn w:val="Defpara"/>
    <w:rsid w:val="006E235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0DC24-29A9-43BA-8D4E-505F4B7E2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15523</Words>
  <Characters>80257</Characters>
  <Application>Microsoft Office Word</Application>
  <DocSecurity>0</DocSecurity>
  <Lines>1910</Lines>
  <Paragraphs>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2021 - 00-c0-00</dc:title>
  <dc:subject/>
  <dc:creator/>
  <cp:keywords/>
  <dc:description/>
  <cp:lastModifiedBy>Master Repository Process</cp:lastModifiedBy>
  <cp:revision>4</cp:revision>
  <cp:lastPrinted>2021-03-23T06:45:00Z</cp:lastPrinted>
  <dcterms:created xsi:type="dcterms:W3CDTF">2021-06-28T06:49:00Z</dcterms:created>
  <dcterms:modified xsi:type="dcterms:W3CDTF">2021-06-28T06:49:00Z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AsAtDate">
    <vt:lpwstr>30 Jun 2021</vt:lpwstr>
  </property>
  <property fmtid="{D5CDD505-2E9C-101B-9397-08002B2CF9AE}" pid="5" name="Suffix">
    <vt:lpwstr>00-c0-00</vt:lpwstr>
  </property>
  <property fmtid="{D5CDD505-2E9C-101B-9397-08002B2CF9AE}" pid="6" name="CommencementDate">
    <vt:lpwstr>20210630</vt:lpwstr>
  </property>
</Properties>
</file>