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0FC0" w:rsidRDefault="00C10FC0">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C10FC0" w:rsidRDefault="00C10FC0">
      <w:pPr>
        <w:pStyle w:val="PrincipalActRegPage1"/>
      </w:pPr>
      <w:r>
        <w:fldChar w:fldCharType="begin"/>
      </w:r>
      <w:r>
        <w:instrText xml:space="preserve"> STYLEREF "PrincipalAct_Reg"</w:instrText>
      </w:r>
      <w:r>
        <w:fldChar w:fldCharType="separate"/>
      </w:r>
      <w:r w:rsidR="00CB0801">
        <w:rPr>
          <w:noProof/>
        </w:rPr>
        <w:t>Energy Operators (Powers) Act 1979</w:t>
      </w:r>
      <w:r>
        <w:fldChar w:fldCharType="end"/>
      </w:r>
    </w:p>
    <w:p w:rsidR="00C10FC0" w:rsidRDefault="00C10FC0">
      <w:pPr>
        <w:pStyle w:val="NameofActRegPage1"/>
        <w:spacing w:before="1800" w:after="4200"/>
        <w:outlineLvl w:val="0"/>
      </w:pPr>
      <w:r>
        <w:fldChar w:fldCharType="begin"/>
      </w:r>
      <w:r>
        <w:instrText xml:space="preserve"> STYLEREF "Name Of Act/Reg"</w:instrText>
      </w:r>
      <w:r>
        <w:fldChar w:fldCharType="separate"/>
      </w:r>
      <w:r w:rsidR="00CB0801">
        <w:rPr>
          <w:noProof/>
        </w:rPr>
        <w:t>Energy Operators (Electricity Generation and Retail Corporation) (Charges) By-laws 2006</w:t>
      </w:r>
      <w:r>
        <w:fldChar w:fldCharType="end"/>
      </w:r>
    </w:p>
    <w:p w:rsidR="00C10FC0" w:rsidRDefault="00C10FC0">
      <w:pPr>
        <w:jc w:val="center"/>
        <w:sectPr w:rsidR="00C10FC0">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rsidR="00C10FC0" w:rsidRDefault="00C10FC0">
      <w:pPr>
        <w:pStyle w:val="WA"/>
      </w:pPr>
      <w:r>
        <w:lastRenderedPageBreak/>
        <w:t>Western Australia</w:t>
      </w:r>
    </w:p>
    <w:p w:rsidR="00C10FC0" w:rsidRDefault="00C10FC0">
      <w:pPr>
        <w:pStyle w:val="NameofActRegPage1"/>
      </w:pPr>
      <w:r>
        <w:fldChar w:fldCharType="begin"/>
      </w:r>
      <w:r>
        <w:instrText xml:space="preserve"> STYLEREF "Name Of Act/Reg"</w:instrText>
      </w:r>
      <w:r>
        <w:fldChar w:fldCharType="separate"/>
      </w:r>
      <w:r w:rsidR="00CB0801">
        <w:rPr>
          <w:noProof/>
        </w:rPr>
        <w:t>Energy Operators (Electricity Generation and Retail Corporation) (Charges) By-laws 2006</w:t>
      </w:r>
      <w:r>
        <w:fldChar w:fldCharType="end"/>
      </w:r>
    </w:p>
    <w:p w:rsidR="00C10FC0" w:rsidRDefault="00C10FC0">
      <w:pPr>
        <w:pStyle w:val="Arrangement"/>
      </w:pPr>
      <w:r>
        <w:t>Contents</w:t>
      </w:r>
    </w:p>
    <w:p w:rsidR="00B92DAC" w:rsidRDefault="00C10FC0">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B92DAC">
        <w:t>1.</w:t>
      </w:r>
      <w:r w:rsidR="00B92DAC">
        <w:tab/>
        <w:t>Citation</w:t>
      </w:r>
      <w:r w:rsidR="00B92DAC">
        <w:tab/>
      </w:r>
      <w:r w:rsidR="00B92DAC">
        <w:fldChar w:fldCharType="begin"/>
      </w:r>
      <w:r w:rsidR="00B92DAC">
        <w:instrText xml:space="preserve"> PAGEREF _Toc75869825 \h </w:instrText>
      </w:r>
      <w:r w:rsidR="00B92DAC">
        <w:fldChar w:fldCharType="separate"/>
      </w:r>
      <w:r w:rsidR="00CB0801">
        <w:t>1</w:t>
      </w:r>
      <w:r w:rsidR="00B92DAC">
        <w:fldChar w:fldCharType="end"/>
      </w:r>
    </w:p>
    <w:p w:rsidR="00B92DAC" w:rsidRDefault="00B92DAC">
      <w:pPr>
        <w:pStyle w:val="TOC8"/>
        <w:rPr>
          <w:rFonts w:asciiTheme="minorHAnsi" w:eastAsiaTheme="minorEastAsia" w:hAnsiTheme="minorHAnsi" w:cstheme="minorBidi"/>
          <w:szCs w:val="22"/>
        </w:rPr>
      </w:pPr>
      <w:r>
        <w:t>2.</w:t>
      </w:r>
      <w:r>
        <w:tab/>
        <w:t>Commencement</w:t>
      </w:r>
      <w:r>
        <w:tab/>
      </w:r>
      <w:r>
        <w:fldChar w:fldCharType="begin"/>
      </w:r>
      <w:r>
        <w:instrText xml:space="preserve"> PAGEREF _Toc75869826 \h </w:instrText>
      </w:r>
      <w:r>
        <w:fldChar w:fldCharType="separate"/>
      </w:r>
      <w:r w:rsidR="00CB0801">
        <w:t>1</w:t>
      </w:r>
      <w:r>
        <w:fldChar w:fldCharType="end"/>
      </w:r>
    </w:p>
    <w:p w:rsidR="00B92DAC" w:rsidRDefault="00B92DAC">
      <w:pPr>
        <w:pStyle w:val="TOC8"/>
        <w:rPr>
          <w:rFonts w:asciiTheme="minorHAnsi" w:eastAsiaTheme="minorEastAsia" w:hAnsiTheme="minorHAnsi" w:cstheme="minorBidi"/>
          <w:szCs w:val="22"/>
        </w:rPr>
      </w:pPr>
      <w:r>
        <w:t>3.</w:t>
      </w:r>
      <w:r>
        <w:tab/>
      </w:r>
      <w:r w:rsidRPr="0051308F">
        <w:rPr>
          <w:snapToGrid w:val="0"/>
        </w:rPr>
        <w:t>Terms used</w:t>
      </w:r>
      <w:r>
        <w:tab/>
      </w:r>
      <w:r>
        <w:fldChar w:fldCharType="begin"/>
      </w:r>
      <w:r>
        <w:instrText xml:space="preserve"> PAGEREF _Toc75869827 \h </w:instrText>
      </w:r>
      <w:r>
        <w:fldChar w:fldCharType="separate"/>
      </w:r>
      <w:r w:rsidR="00CB0801">
        <w:t>1</w:t>
      </w:r>
      <w:r>
        <w:fldChar w:fldCharType="end"/>
      </w:r>
    </w:p>
    <w:p w:rsidR="00B92DAC" w:rsidRDefault="00B92DAC">
      <w:pPr>
        <w:pStyle w:val="TOC8"/>
        <w:rPr>
          <w:rFonts w:asciiTheme="minorHAnsi" w:eastAsiaTheme="minorEastAsia" w:hAnsiTheme="minorHAnsi" w:cstheme="minorBidi"/>
          <w:szCs w:val="22"/>
        </w:rPr>
      </w:pPr>
      <w:r>
        <w:t>4.</w:t>
      </w:r>
      <w:r>
        <w:tab/>
      </w:r>
      <w:r w:rsidRPr="0051308F">
        <w:rPr>
          <w:snapToGrid w:val="0"/>
        </w:rPr>
        <w:t>Electricity charges payable by consumers (Sch. 1, Sch. 2)</w:t>
      </w:r>
      <w:r>
        <w:tab/>
      </w:r>
      <w:r>
        <w:fldChar w:fldCharType="begin"/>
      </w:r>
      <w:r>
        <w:instrText xml:space="preserve"> PAGEREF _Toc75869828 \h </w:instrText>
      </w:r>
      <w:r>
        <w:fldChar w:fldCharType="separate"/>
      </w:r>
      <w:r w:rsidR="00CB0801">
        <w:t>2</w:t>
      </w:r>
      <w:r>
        <w:fldChar w:fldCharType="end"/>
      </w:r>
    </w:p>
    <w:p w:rsidR="00B92DAC" w:rsidRDefault="00B92DAC">
      <w:pPr>
        <w:pStyle w:val="TOC8"/>
        <w:rPr>
          <w:rFonts w:asciiTheme="minorHAnsi" w:eastAsiaTheme="minorEastAsia" w:hAnsiTheme="minorHAnsi" w:cstheme="minorBidi"/>
          <w:szCs w:val="22"/>
        </w:rPr>
      </w:pPr>
      <w:r>
        <w:t>5.</w:t>
      </w:r>
      <w:r>
        <w:tab/>
        <w:t>Residential tariffs, when applicable</w:t>
      </w:r>
      <w:r>
        <w:tab/>
      </w:r>
      <w:r>
        <w:fldChar w:fldCharType="begin"/>
      </w:r>
      <w:r>
        <w:instrText xml:space="preserve"> PAGEREF _Toc75869829 \h </w:instrText>
      </w:r>
      <w:r>
        <w:fldChar w:fldCharType="separate"/>
      </w:r>
      <w:r w:rsidR="00CB0801">
        <w:t>3</w:t>
      </w:r>
      <w:r>
        <w:fldChar w:fldCharType="end"/>
      </w:r>
    </w:p>
    <w:p w:rsidR="00B92DAC" w:rsidRDefault="00B92DAC">
      <w:pPr>
        <w:pStyle w:val="TOC8"/>
        <w:rPr>
          <w:rFonts w:asciiTheme="minorHAnsi" w:eastAsiaTheme="minorEastAsia" w:hAnsiTheme="minorHAnsi" w:cstheme="minorBidi"/>
          <w:szCs w:val="22"/>
        </w:rPr>
      </w:pPr>
      <w:r>
        <w:t>6.</w:t>
      </w:r>
      <w:r>
        <w:tab/>
        <w:t>Subsidiary meters, rental for (Sch. 3)</w:t>
      </w:r>
      <w:r>
        <w:tab/>
      </w:r>
      <w:r>
        <w:fldChar w:fldCharType="begin"/>
      </w:r>
      <w:r>
        <w:instrText xml:space="preserve"> PAGEREF _Toc75869830 \h </w:instrText>
      </w:r>
      <w:r>
        <w:fldChar w:fldCharType="separate"/>
      </w:r>
      <w:r w:rsidR="00CB0801">
        <w:t>3</w:t>
      </w:r>
      <w:r>
        <w:fldChar w:fldCharType="end"/>
      </w:r>
    </w:p>
    <w:p w:rsidR="00B92DAC" w:rsidRDefault="00B92DAC">
      <w:pPr>
        <w:pStyle w:val="TOC8"/>
        <w:rPr>
          <w:rFonts w:asciiTheme="minorHAnsi" w:eastAsiaTheme="minorEastAsia" w:hAnsiTheme="minorHAnsi" w:cstheme="minorBidi"/>
          <w:szCs w:val="22"/>
        </w:rPr>
      </w:pPr>
      <w:r>
        <w:t>7.</w:t>
      </w:r>
      <w:r>
        <w:tab/>
        <w:t>Fees (Sch. 4)</w:t>
      </w:r>
      <w:r>
        <w:tab/>
      </w:r>
      <w:r>
        <w:fldChar w:fldCharType="begin"/>
      </w:r>
      <w:r>
        <w:instrText xml:space="preserve"> PAGEREF _Toc75869831 \h </w:instrText>
      </w:r>
      <w:r>
        <w:fldChar w:fldCharType="separate"/>
      </w:r>
      <w:r w:rsidR="00CB0801">
        <w:t>3</w:t>
      </w:r>
      <w:r>
        <w:fldChar w:fldCharType="end"/>
      </w:r>
    </w:p>
    <w:p w:rsidR="00B92DAC" w:rsidRDefault="00B92DAC">
      <w:pPr>
        <w:pStyle w:val="TOC8"/>
        <w:rPr>
          <w:rFonts w:asciiTheme="minorHAnsi" w:eastAsiaTheme="minorEastAsia" w:hAnsiTheme="minorHAnsi" w:cstheme="minorBidi"/>
          <w:szCs w:val="22"/>
        </w:rPr>
      </w:pPr>
      <w:r>
        <w:t>8.</w:t>
      </w:r>
      <w:r>
        <w:tab/>
        <w:t>When charges payable; interest on unpaid charges</w:t>
      </w:r>
      <w:r>
        <w:tab/>
      </w:r>
      <w:r>
        <w:fldChar w:fldCharType="begin"/>
      </w:r>
      <w:r>
        <w:instrText xml:space="preserve"> PAGEREF _Toc75869832 \h </w:instrText>
      </w:r>
      <w:r>
        <w:fldChar w:fldCharType="separate"/>
      </w:r>
      <w:r w:rsidR="00CB0801">
        <w:t>4</w:t>
      </w:r>
      <w:r>
        <w:fldChar w:fldCharType="end"/>
      </w:r>
    </w:p>
    <w:p w:rsidR="00B92DAC" w:rsidRDefault="00B92DAC">
      <w:pPr>
        <w:pStyle w:val="TOC8"/>
        <w:rPr>
          <w:rFonts w:asciiTheme="minorHAnsi" w:eastAsiaTheme="minorEastAsia" w:hAnsiTheme="minorHAnsi" w:cstheme="minorBidi"/>
          <w:szCs w:val="22"/>
        </w:rPr>
      </w:pPr>
      <w:r>
        <w:t>10.</w:t>
      </w:r>
      <w:r>
        <w:tab/>
        <w:t>Calculation of charges</w:t>
      </w:r>
      <w:r>
        <w:tab/>
      </w:r>
      <w:r>
        <w:fldChar w:fldCharType="begin"/>
      </w:r>
      <w:r>
        <w:instrText xml:space="preserve"> PAGEREF _Toc75869833 \h </w:instrText>
      </w:r>
      <w:r>
        <w:fldChar w:fldCharType="separate"/>
      </w:r>
      <w:r w:rsidR="00CB0801">
        <w:t>4</w:t>
      </w:r>
      <w:r>
        <w:fldChar w:fldCharType="end"/>
      </w:r>
    </w:p>
    <w:p w:rsidR="00B92DAC" w:rsidRDefault="00B92DAC">
      <w:pPr>
        <w:pStyle w:val="TOC8"/>
        <w:rPr>
          <w:rFonts w:asciiTheme="minorHAnsi" w:eastAsiaTheme="minorEastAsia" w:hAnsiTheme="minorHAnsi" w:cstheme="minorBidi"/>
          <w:szCs w:val="22"/>
        </w:rPr>
      </w:pPr>
      <w:r>
        <w:t>11.</w:t>
      </w:r>
      <w:r>
        <w:tab/>
        <w:t>Changes to rate of charges, adjustment for</w:t>
      </w:r>
      <w:r>
        <w:tab/>
      </w:r>
      <w:r>
        <w:fldChar w:fldCharType="begin"/>
      </w:r>
      <w:r>
        <w:instrText xml:space="preserve"> PAGEREF _Toc75869834 \h </w:instrText>
      </w:r>
      <w:r>
        <w:fldChar w:fldCharType="separate"/>
      </w:r>
      <w:r w:rsidR="00CB0801">
        <w:t>5</w:t>
      </w:r>
      <w:r>
        <w:fldChar w:fldCharType="end"/>
      </w:r>
    </w:p>
    <w:p w:rsidR="00B92DAC" w:rsidRDefault="00B92DAC">
      <w:pPr>
        <w:pStyle w:val="TOC8"/>
        <w:rPr>
          <w:rFonts w:asciiTheme="minorHAnsi" w:eastAsiaTheme="minorEastAsia" w:hAnsiTheme="minorHAnsi" w:cstheme="minorBidi"/>
          <w:szCs w:val="22"/>
        </w:rPr>
      </w:pPr>
      <w:r>
        <w:t>12.</w:t>
      </w:r>
      <w:r>
        <w:tab/>
        <w:t>Interest rate prescribed (Act s. 62(16))</w:t>
      </w:r>
      <w:r>
        <w:tab/>
      </w:r>
      <w:r>
        <w:fldChar w:fldCharType="begin"/>
      </w:r>
      <w:r>
        <w:instrText xml:space="preserve"> PAGEREF _Toc75869835 \h </w:instrText>
      </w:r>
      <w:r>
        <w:fldChar w:fldCharType="separate"/>
      </w:r>
      <w:r w:rsidR="00CB0801">
        <w:t>5</w:t>
      </w:r>
      <w:r>
        <w:fldChar w:fldCharType="end"/>
      </w:r>
    </w:p>
    <w:p w:rsidR="00B92DAC" w:rsidRDefault="00B92DAC">
      <w:pPr>
        <w:pStyle w:val="TOC2"/>
        <w:tabs>
          <w:tab w:val="right" w:leader="dot" w:pos="7077"/>
        </w:tabs>
        <w:rPr>
          <w:rFonts w:asciiTheme="minorHAnsi" w:eastAsiaTheme="minorEastAsia" w:hAnsiTheme="minorHAnsi" w:cstheme="minorBidi"/>
          <w:b w:val="0"/>
          <w:sz w:val="22"/>
          <w:szCs w:val="22"/>
        </w:rPr>
      </w:pPr>
      <w:r>
        <w:t>Schedule 1 — Supply charges</w:t>
      </w:r>
    </w:p>
    <w:p w:rsidR="00B92DAC" w:rsidRDefault="00B92DAC">
      <w:pPr>
        <w:pStyle w:val="TOC8"/>
        <w:rPr>
          <w:rFonts w:asciiTheme="minorHAnsi" w:eastAsiaTheme="minorEastAsia" w:hAnsiTheme="minorHAnsi" w:cstheme="minorBidi"/>
          <w:szCs w:val="22"/>
        </w:rPr>
      </w:pPr>
      <w:r>
        <w:t>1.</w:t>
      </w:r>
      <w:r>
        <w:tab/>
        <w:t>Tariff L1 (general supply — low/medium voltage tariff)</w:t>
      </w:r>
      <w:r>
        <w:tab/>
      </w:r>
      <w:r>
        <w:fldChar w:fldCharType="begin"/>
      </w:r>
      <w:r>
        <w:instrText xml:space="preserve"> PAGEREF _Toc75869837 \h </w:instrText>
      </w:r>
      <w:r>
        <w:fldChar w:fldCharType="separate"/>
      </w:r>
      <w:r w:rsidR="00CB0801">
        <w:t>6</w:t>
      </w:r>
      <w:r>
        <w:fldChar w:fldCharType="end"/>
      </w:r>
    </w:p>
    <w:p w:rsidR="00B92DAC" w:rsidRDefault="00B92DAC">
      <w:pPr>
        <w:pStyle w:val="TOC8"/>
        <w:rPr>
          <w:rFonts w:asciiTheme="minorHAnsi" w:eastAsiaTheme="minorEastAsia" w:hAnsiTheme="minorHAnsi" w:cstheme="minorBidi"/>
          <w:szCs w:val="22"/>
        </w:rPr>
      </w:pPr>
      <w:r>
        <w:t>2.</w:t>
      </w:r>
      <w:r>
        <w:tab/>
        <w:t>Tariff L3 (general supply — low/medium voltage tariff)</w:t>
      </w:r>
      <w:r>
        <w:tab/>
      </w:r>
      <w:r>
        <w:fldChar w:fldCharType="begin"/>
      </w:r>
      <w:r>
        <w:instrText xml:space="preserve"> PAGEREF _Toc75869838 \h </w:instrText>
      </w:r>
      <w:r>
        <w:fldChar w:fldCharType="separate"/>
      </w:r>
      <w:r w:rsidR="00CB0801">
        <w:t>6</w:t>
      </w:r>
      <w:r>
        <w:fldChar w:fldCharType="end"/>
      </w:r>
    </w:p>
    <w:p w:rsidR="00B92DAC" w:rsidRDefault="00B92DAC">
      <w:pPr>
        <w:pStyle w:val="TOC8"/>
        <w:rPr>
          <w:rFonts w:asciiTheme="minorHAnsi" w:eastAsiaTheme="minorEastAsia" w:hAnsiTheme="minorHAnsi" w:cstheme="minorBidi"/>
          <w:szCs w:val="22"/>
        </w:rPr>
      </w:pPr>
      <w:r>
        <w:t>3.</w:t>
      </w:r>
      <w:r>
        <w:tab/>
        <w:t>Tariff R1 (time</w:t>
      </w:r>
      <w:r>
        <w:noBreakHyphen/>
        <w:t>of</w:t>
      </w:r>
      <w:r>
        <w:noBreakHyphen/>
        <w:t>use tariff)</w:t>
      </w:r>
      <w:r>
        <w:tab/>
      </w:r>
      <w:r>
        <w:fldChar w:fldCharType="begin"/>
      </w:r>
      <w:r>
        <w:instrText xml:space="preserve"> PAGEREF _Toc75869839 \h </w:instrText>
      </w:r>
      <w:r>
        <w:fldChar w:fldCharType="separate"/>
      </w:r>
      <w:r w:rsidR="00CB0801">
        <w:t>7</w:t>
      </w:r>
      <w:r>
        <w:fldChar w:fldCharType="end"/>
      </w:r>
    </w:p>
    <w:p w:rsidR="00B92DAC" w:rsidRDefault="00B92DAC">
      <w:pPr>
        <w:pStyle w:val="TOC8"/>
        <w:rPr>
          <w:rFonts w:asciiTheme="minorHAnsi" w:eastAsiaTheme="minorEastAsia" w:hAnsiTheme="minorHAnsi" w:cstheme="minorBidi"/>
          <w:szCs w:val="22"/>
        </w:rPr>
      </w:pPr>
      <w:r>
        <w:t>4.</w:t>
      </w:r>
      <w:r>
        <w:tab/>
        <w:t>Tariff R3 (time</w:t>
      </w:r>
      <w:r>
        <w:noBreakHyphen/>
        <w:t>of</w:t>
      </w:r>
      <w:r>
        <w:noBreakHyphen/>
        <w:t>use tariff)</w:t>
      </w:r>
      <w:r>
        <w:tab/>
      </w:r>
      <w:r>
        <w:fldChar w:fldCharType="begin"/>
      </w:r>
      <w:r>
        <w:instrText xml:space="preserve"> PAGEREF _Toc75869840 \h </w:instrText>
      </w:r>
      <w:r>
        <w:fldChar w:fldCharType="separate"/>
      </w:r>
      <w:r w:rsidR="00CB0801">
        <w:t>7</w:t>
      </w:r>
      <w:r>
        <w:fldChar w:fldCharType="end"/>
      </w:r>
    </w:p>
    <w:p w:rsidR="00B92DAC" w:rsidRDefault="00B92DAC">
      <w:pPr>
        <w:pStyle w:val="TOC8"/>
        <w:rPr>
          <w:rFonts w:asciiTheme="minorHAnsi" w:eastAsiaTheme="minorEastAsia" w:hAnsiTheme="minorHAnsi" w:cstheme="minorBidi"/>
          <w:szCs w:val="22"/>
        </w:rPr>
      </w:pPr>
      <w:r>
        <w:t>5.</w:t>
      </w:r>
      <w:r>
        <w:tab/>
        <w:t>Standby charges</w:t>
      </w:r>
      <w:r>
        <w:tab/>
      </w:r>
      <w:r>
        <w:fldChar w:fldCharType="begin"/>
      </w:r>
      <w:r>
        <w:instrText xml:space="preserve"> PAGEREF _Toc75869841 \h </w:instrText>
      </w:r>
      <w:r>
        <w:fldChar w:fldCharType="separate"/>
      </w:r>
      <w:r w:rsidR="00CB0801">
        <w:t>8</w:t>
      </w:r>
      <w:r>
        <w:fldChar w:fldCharType="end"/>
      </w:r>
    </w:p>
    <w:p w:rsidR="00B92DAC" w:rsidRDefault="00B92DAC">
      <w:pPr>
        <w:pStyle w:val="TOC8"/>
        <w:rPr>
          <w:rFonts w:asciiTheme="minorHAnsi" w:eastAsiaTheme="minorEastAsia" w:hAnsiTheme="minorHAnsi" w:cstheme="minorBidi"/>
          <w:szCs w:val="22"/>
        </w:rPr>
      </w:pPr>
      <w:r>
        <w:t>6.</w:t>
      </w:r>
      <w:r>
        <w:tab/>
        <w:t>Tariff A1 (residential tariff)</w:t>
      </w:r>
      <w:r>
        <w:tab/>
      </w:r>
      <w:r>
        <w:fldChar w:fldCharType="begin"/>
      </w:r>
      <w:r>
        <w:instrText xml:space="preserve"> PAGEREF _Toc75869842 \h </w:instrText>
      </w:r>
      <w:r>
        <w:fldChar w:fldCharType="separate"/>
      </w:r>
      <w:r w:rsidR="00CB0801">
        <w:t>9</w:t>
      </w:r>
      <w:r>
        <w:fldChar w:fldCharType="end"/>
      </w:r>
    </w:p>
    <w:p w:rsidR="00B92DAC" w:rsidRDefault="00B92DAC">
      <w:pPr>
        <w:pStyle w:val="TOC8"/>
        <w:rPr>
          <w:rFonts w:asciiTheme="minorHAnsi" w:eastAsiaTheme="minorEastAsia" w:hAnsiTheme="minorHAnsi" w:cstheme="minorBidi"/>
          <w:szCs w:val="22"/>
        </w:rPr>
      </w:pPr>
      <w:r>
        <w:t>7.</w:t>
      </w:r>
      <w:r>
        <w:tab/>
        <w:t>Tariff B1 (residential water heating tariff)</w:t>
      </w:r>
      <w:r>
        <w:tab/>
      </w:r>
      <w:r>
        <w:fldChar w:fldCharType="begin"/>
      </w:r>
      <w:r>
        <w:instrText xml:space="preserve"> PAGEREF _Toc75869843 \h </w:instrText>
      </w:r>
      <w:r>
        <w:fldChar w:fldCharType="separate"/>
      </w:r>
      <w:r w:rsidR="00CB0801">
        <w:t>9</w:t>
      </w:r>
      <w:r>
        <w:fldChar w:fldCharType="end"/>
      </w:r>
    </w:p>
    <w:p w:rsidR="00B92DAC" w:rsidRDefault="00B92DAC">
      <w:pPr>
        <w:pStyle w:val="TOC8"/>
        <w:rPr>
          <w:rFonts w:asciiTheme="minorHAnsi" w:eastAsiaTheme="minorEastAsia" w:hAnsiTheme="minorHAnsi" w:cstheme="minorBidi"/>
          <w:szCs w:val="22"/>
        </w:rPr>
      </w:pPr>
      <w:r>
        <w:t>8.</w:t>
      </w:r>
      <w:r>
        <w:tab/>
        <w:t>Tariff C1 (special community service tariff)</w:t>
      </w:r>
      <w:r>
        <w:tab/>
      </w:r>
      <w:r>
        <w:fldChar w:fldCharType="begin"/>
      </w:r>
      <w:r>
        <w:instrText xml:space="preserve"> PAGEREF _Toc75869844 \h </w:instrText>
      </w:r>
      <w:r>
        <w:fldChar w:fldCharType="separate"/>
      </w:r>
      <w:r w:rsidR="00CB0801">
        <w:t>10</w:t>
      </w:r>
      <w:r>
        <w:fldChar w:fldCharType="end"/>
      </w:r>
    </w:p>
    <w:p w:rsidR="00B92DAC" w:rsidRDefault="00B92DAC">
      <w:pPr>
        <w:pStyle w:val="TOC8"/>
        <w:rPr>
          <w:rFonts w:asciiTheme="minorHAnsi" w:eastAsiaTheme="minorEastAsia" w:hAnsiTheme="minorHAnsi" w:cstheme="minorBidi"/>
          <w:szCs w:val="22"/>
        </w:rPr>
      </w:pPr>
      <w:r>
        <w:t>9.</w:t>
      </w:r>
      <w:r>
        <w:tab/>
        <w:t>Tariff D1 (special tariff for certain premises)</w:t>
      </w:r>
      <w:r>
        <w:tab/>
      </w:r>
      <w:r>
        <w:fldChar w:fldCharType="begin"/>
      </w:r>
      <w:r>
        <w:instrText xml:space="preserve"> PAGEREF _Toc75869845 \h </w:instrText>
      </w:r>
      <w:r>
        <w:fldChar w:fldCharType="separate"/>
      </w:r>
      <w:r w:rsidR="00CB0801">
        <w:t>11</w:t>
      </w:r>
      <w:r>
        <w:fldChar w:fldCharType="end"/>
      </w:r>
    </w:p>
    <w:p w:rsidR="00B92DAC" w:rsidRDefault="00B92DAC">
      <w:pPr>
        <w:pStyle w:val="TOC8"/>
        <w:rPr>
          <w:rFonts w:asciiTheme="minorHAnsi" w:eastAsiaTheme="minorEastAsia" w:hAnsiTheme="minorHAnsi" w:cstheme="minorBidi"/>
          <w:szCs w:val="22"/>
        </w:rPr>
      </w:pPr>
      <w:r>
        <w:t>10.</w:t>
      </w:r>
      <w:r>
        <w:tab/>
        <w:t>Tariff K1 (general supply with residential tariff)</w:t>
      </w:r>
      <w:r>
        <w:tab/>
      </w:r>
      <w:r>
        <w:fldChar w:fldCharType="begin"/>
      </w:r>
      <w:r>
        <w:instrText xml:space="preserve"> PAGEREF _Toc75869846 \h </w:instrText>
      </w:r>
      <w:r>
        <w:fldChar w:fldCharType="separate"/>
      </w:r>
      <w:r w:rsidR="00CB0801">
        <w:t>11</w:t>
      </w:r>
      <w:r>
        <w:fldChar w:fldCharType="end"/>
      </w:r>
    </w:p>
    <w:p w:rsidR="00B92DAC" w:rsidRDefault="00B92DAC">
      <w:pPr>
        <w:pStyle w:val="TOC2"/>
        <w:tabs>
          <w:tab w:val="right" w:leader="dot" w:pos="7077"/>
        </w:tabs>
        <w:rPr>
          <w:rFonts w:asciiTheme="minorHAnsi" w:eastAsiaTheme="minorEastAsia" w:hAnsiTheme="minorHAnsi" w:cstheme="minorBidi"/>
          <w:b w:val="0"/>
          <w:sz w:val="22"/>
          <w:szCs w:val="22"/>
        </w:rPr>
      </w:pPr>
      <w:r>
        <w:lastRenderedPageBreak/>
        <w:t>Schedule 2 — Unmetered supply</w:t>
      </w:r>
    </w:p>
    <w:p w:rsidR="00B92DAC" w:rsidRDefault="00B92DAC">
      <w:pPr>
        <w:pStyle w:val="TOC4"/>
        <w:tabs>
          <w:tab w:val="right" w:leader="dot" w:pos="7077"/>
        </w:tabs>
        <w:rPr>
          <w:rFonts w:asciiTheme="minorHAnsi" w:eastAsiaTheme="minorEastAsia" w:hAnsiTheme="minorHAnsi" w:cstheme="minorBidi"/>
          <w:b w:val="0"/>
          <w:szCs w:val="22"/>
        </w:rPr>
      </w:pPr>
      <w:r>
        <w:t>Division 1</w:t>
      </w:r>
      <w:r w:rsidRPr="0051308F">
        <w:rPr>
          <w:b w:val="0"/>
        </w:rPr>
        <w:t> — </w:t>
      </w:r>
      <w:r>
        <w:t>Street lighting</w:t>
      </w:r>
    </w:p>
    <w:p w:rsidR="00B92DAC" w:rsidRDefault="00B92DAC">
      <w:pPr>
        <w:pStyle w:val="TOC4"/>
        <w:tabs>
          <w:tab w:val="right" w:leader="dot" w:pos="7077"/>
        </w:tabs>
        <w:rPr>
          <w:rFonts w:asciiTheme="minorHAnsi" w:eastAsiaTheme="minorEastAsia" w:hAnsiTheme="minorHAnsi" w:cstheme="minorBidi"/>
          <w:b w:val="0"/>
          <w:szCs w:val="22"/>
        </w:rPr>
      </w:pPr>
      <w:r>
        <w:t>Division 2</w:t>
      </w:r>
      <w:r w:rsidRPr="0051308F">
        <w:rPr>
          <w:b w:val="0"/>
        </w:rPr>
        <w:t> — </w:t>
      </w:r>
      <w:r>
        <w:t>Miscellaneous</w:t>
      </w:r>
    </w:p>
    <w:p w:rsidR="00B92DAC" w:rsidRDefault="00B92DAC">
      <w:pPr>
        <w:pStyle w:val="TOC8"/>
        <w:rPr>
          <w:rFonts w:asciiTheme="minorHAnsi" w:eastAsiaTheme="minorEastAsia" w:hAnsiTheme="minorHAnsi" w:cstheme="minorBidi"/>
          <w:szCs w:val="22"/>
        </w:rPr>
      </w:pPr>
      <w:r>
        <w:t>1.</w:t>
      </w:r>
      <w:r>
        <w:tab/>
        <w:t>Traffic light installation</w:t>
      </w:r>
      <w:r>
        <w:tab/>
      </w:r>
      <w:r>
        <w:fldChar w:fldCharType="begin"/>
      </w:r>
      <w:r>
        <w:instrText xml:space="preserve"> PAGEREF _Toc75869850 \h </w:instrText>
      </w:r>
      <w:r>
        <w:fldChar w:fldCharType="separate"/>
      </w:r>
      <w:r w:rsidR="00CB0801">
        <w:t>13</w:t>
      </w:r>
      <w:r>
        <w:fldChar w:fldCharType="end"/>
      </w:r>
    </w:p>
    <w:p w:rsidR="00B92DAC" w:rsidRDefault="00B92DAC">
      <w:pPr>
        <w:pStyle w:val="TOC8"/>
        <w:rPr>
          <w:rFonts w:asciiTheme="minorHAnsi" w:eastAsiaTheme="minorEastAsia" w:hAnsiTheme="minorHAnsi" w:cstheme="minorBidi"/>
          <w:szCs w:val="22"/>
        </w:rPr>
      </w:pPr>
      <w:r>
        <w:t>2.</w:t>
      </w:r>
      <w:r>
        <w:tab/>
        <w:t>Public telephone facility</w:t>
      </w:r>
      <w:r>
        <w:tab/>
      </w:r>
      <w:r>
        <w:fldChar w:fldCharType="begin"/>
      </w:r>
      <w:r>
        <w:instrText xml:space="preserve"> PAGEREF _Toc75869851 \h </w:instrText>
      </w:r>
      <w:r>
        <w:fldChar w:fldCharType="separate"/>
      </w:r>
      <w:r w:rsidR="00CB0801">
        <w:t>13</w:t>
      </w:r>
      <w:r>
        <w:fldChar w:fldCharType="end"/>
      </w:r>
    </w:p>
    <w:p w:rsidR="00B92DAC" w:rsidRDefault="00B92DAC">
      <w:pPr>
        <w:pStyle w:val="TOC8"/>
        <w:rPr>
          <w:rFonts w:asciiTheme="minorHAnsi" w:eastAsiaTheme="minorEastAsia" w:hAnsiTheme="minorHAnsi" w:cstheme="minorBidi"/>
          <w:szCs w:val="22"/>
        </w:rPr>
      </w:pPr>
      <w:r>
        <w:t>3.</w:t>
      </w:r>
      <w:r>
        <w:tab/>
        <w:t>Railway crossing</w:t>
      </w:r>
      <w:r>
        <w:tab/>
      </w:r>
      <w:r>
        <w:fldChar w:fldCharType="begin"/>
      </w:r>
      <w:r>
        <w:instrText xml:space="preserve"> PAGEREF _Toc75869852 \h </w:instrText>
      </w:r>
      <w:r>
        <w:fldChar w:fldCharType="separate"/>
      </w:r>
      <w:r w:rsidR="00CB0801">
        <w:t>13</w:t>
      </w:r>
      <w:r>
        <w:fldChar w:fldCharType="end"/>
      </w:r>
    </w:p>
    <w:p w:rsidR="00B92DAC" w:rsidRDefault="00B92DAC">
      <w:pPr>
        <w:pStyle w:val="TOC2"/>
        <w:tabs>
          <w:tab w:val="right" w:leader="dot" w:pos="7077"/>
        </w:tabs>
        <w:rPr>
          <w:rFonts w:asciiTheme="minorHAnsi" w:eastAsiaTheme="minorEastAsia" w:hAnsiTheme="minorHAnsi" w:cstheme="minorBidi"/>
          <w:b w:val="0"/>
          <w:sz w:val="22"/>
          <w:szCs w:val="22"/>
        </w:rPr>
      </w:pPr>
      <w:r>
        <w:t>Schedule 3 — Meter rental</w:t>
      </w:r>
    </w:p>
    <w:p w:rsidR="00B92DAC" w:rsidRDefault="00B92DAC">
      <w:pPr>
        <w:pStyle w:val="TOC2"/>
        <w:tabs>
          <w:tab w:val="right" w:leader="dot" w:pos="7077"/>
        </w:tabs>
        <w:rPr>
          <w:rFonts w:asciiTheme="minorHAnsi" w:eastAsiaTheme="minorEastAsia" w:hAnsiTheme="minorHAnsi" w:cstheme="minorBidi"/>
          <w:b w:val="0"/>
          <w:sz w:val="22"/>
          <w:szCs w:val="22"/>
        </w:rPr>
      </w:pPr>
      <w:r>
        <w:t>Schedule 4 — Fees</w:t>
      </w:r>
    </w:p>
    <w:p w:rsidR="00B92DAC" w:rsidRDefault="00B92DAC">
      <w:pPr>
        <w:pStyle w:val="TOC2"/>
        <w:tabs>
          <w:tab w:val="right" w:leader="dot" w:pos="7077"/>
        </w:tabs>
        <w:rPr>
          <w:rFonts w:asciiTheme="minorHAnsi" w:eastAsiaTheme="minorEastAsia" w:hAnsiTheme="minorHAnsi" w:cstheme="minorBidi"/>
          <w:b w:val="0"/>
          <w:sz w:val="22"/>
          <w:szCs w:val="22"/>
        </w:rPr>
      </w:pPr>
      <w:r>
        <w:t>Notes</w:t>
      </w:r>
    </w:p>
    <w:p w:rsidR="00B92DAC" w:rsidRDefault="00B92DAC" w:rsidP="00B92DAC">
      <w:pPr>
        <w:pStyle w:val="TOC8"/>
        <w:rPr>
          <w:rFonts w:asciiTheme="minorHAnsi" w:eastAsiaTheme="minorEastAsia" w:hAnsiTheme="minorHAnsi" w:cstheme="minorBidi"/>
          <w:szCs w:val="22"/>
        </w:rPr>
      </w:pPr>
      <w:r>
        <w:tab/>
        <w:t>Compilation table</w:t>
      </w:r>
      <w:r>
        <w:tab/>
      </w:r>
      <w:r>
        <w:fldChar w:fldCharType="begin"/>
      </w:r>
      <w:r>
        <w:instrText xml:space="preserve"> PAGEREF _Toc75869856 \h </w:instrText>
      </w:r>
      <w:r>
        <w:fldChar w:fldCharType="separate"/>
      </w:r>
      <w:r w:rsidR="00CB0801">
        <w:t>17</w:t>
      </w:r>
      <w:r>
        <w:fldChar w:fldCharType="end"/>
      </w:r>
    </w:p>
    <w:p w:rsidR="00B92DAC" w:rsidRDefault="00B92DAC" w:rsidP="00B92DAC">
      <w:pPr>
        <w:pStyle w:val="TOC8"/>
        <w:rPr>
          <w:rFonts w:asciiTheme="minorHAnsi" w:eastAsiaTheme="minorEastAsia" w:hAnsiTheme="minorHAnsi" w:cstheme="minorBidi"/>
          <w:szCs w:val="22"/>
        </w:rPr>
      </w:pPr>
      <w:r>
        <w:tab/>
        <w:t>Other notes</w:t>
      </w:r>
      <w:r>
        <w:tab/>
      </w:r>
      <w:r>
        <w:fldChar w:fldCharType="begin"/>
      </w:r>
      <w:r>
        <w:instrText xml:space="preserve"> PAGEREF _Toc75869857 \h </w:instrText>
      </w:r>
      <w:r>
        <w:fldChar w:fldCharType="separate"/>
      </w:r>
      <w:r w:rsidR="00CB0801">
        <w:t>19</w:t>
      </w:r>
      <w:r>
        <w:fldChar w:fldCharType="end"/>
      </w:r>
    </w:p>
    <w:p w:rsidR="00B92DAC" w:rsidRDefault="00B92DAC">
      <w:pPr>
        <w:pStyle w:val="TOC2"/>
        <w:tabs>
          <w:tab w:val="right" w:leader="dot" w:pos="7077"/>
        </w:tabs>
        <w:rPr>
          <w:rFonts w:asciiTheme="minorHAnsi" w:eastAsiaTheme="minorEastAsia" w:hAnsiTheme="minorHAnsi" w:cstheme="minorBidi"/>
          <w:b w:val="0"/>
          <w:sz w:val="22"/>
          <w:szCs w:val="22"/>
        </w:rPr>
      </w:pPr>
      <w:r>
        <w:t>Defined terms</w:t>
      </w:r>
    </w:p>
    <w:p w:rsidR="00C10FC0" w:rsidRDefault="00C10FC0">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C10FC0" w:rsidRDefault="00C10FC0">
      <w:pPr>
        <w:pStyle w:val="NoteHeading"/>
        <w:sectPr w:rsidR="00C10FC0">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rsidR="00C10FC0" w:rsidRDefault="00C10FC0">
      <w:pPr>
        <w:pStyle w:val="PrincipalActReg"/>
      </w:pPr>
      <w:r>
        <w:lastRenderedPageBreak/>
        <w:t>Energy Operators (Powers) Act 1979</w:t>
      </w:r>
    </w:p>
    <w:p w:rsidR="00C10FC0" w:rsidRDefault="00C10FC0">
      <w:pPr>
        <w:pStyle w:val="NameofActReg"/>
      </w:pPr>
      <w:r>
        <w:t>Energy Operators (Electricity Generation and Retail Corporation) (Charges) By</w:t>
      </w:r>
      <w:r>
        <w:noBreakHyphen/>
        <w:t>laws 2006</w:t>
      </w:r>
    </w:p>
    <w:p w:rsidR="00C10FC0" w:rsidRDefault="00C10FC0">
      <w:pPr>
        <w:pStyle w:val="Heading5"/>
      </w:pPr>
      <w:bookmarkStart w:id="3" w:name="_Toc75869825"/>
      <w:r>
        <w:rPr>
          <w:rStyle w:val="CharSectno"/>
        </w:rPr>
        <w:t>1</w:t>
      </w:r>
      <w:r>
        <w:t>.</w:t>
      </w:r>
      <w:r>
        <w:tab/>
        <w:t>Citation</w:t>
      </w:r>
      <w:bookmarkEnd w:id="3"/>
    </w:p>
    <w:p w:rsidR="00C10FC0" w:rsidRDefault="00C10FC0">
      <w:pPr>
        <w:pStyle w:val="Subsection"/>
      </w:pPr>
      <w:r>
        <w:tab/>
      </w:r>
      <w:r>
        <w:tab/>
        <w:t>These by</w:t>
      </w:r>
      <w:r>
        <w:noBreakHyphen/>
        <w:t xml:space="preserve">laws are the </w:t>
      </w:r>
      <w:r>
        <w:rPr>
          <w:i/>
        </w:rPr>
        <w:t>Energy Operators (Electricity Generation and Retail Corporation) (Charges) By</w:t>
      </w:r>
      <w:r>
        <w:rPr>
          <w:i/>
        </w:rPr>
        <w:noBreakHyphen/>
        <w:t>laws 2006</w:t>
      </w:r>
      <w:r>
        <w:t>.</w:t>
      </w:r>
    </w:p>
    <w:p w:rsidR="00C10FC0" w:rsidRDefault="00C10FC0">
      <w:pPr>
        <w:pStyle w:val="Footnotesection"/>
      </w:pPr>
      <w:r>
        <w:tab/>
        <w:t>[By-law 1 amended: Gazette 27 Dec 2013 p. 6477.]</w:t>
      </w:r>
    </w:p>
    <w:p w:rsidR="00C10FC0" w:rsidRDefault="00C10FC0">
      <w:pPr>
        <w:pStyle w:val="Heading5"/>
      </w:pPr>
      <w:bookmarkStart w:id="4" w:name="_Toc75869826"/>
      <w:r>
        <w:rPr>
          <w:rStyle w:val="CharSectno"/>
        </w:rPr>
        <w:t>2</w:t>
      </w:r>
      <w:r>
        <w:t>.</w:t>
      </w:r>
      <w:r>
        <w:tab/>
        <w:t>Commencement</w:t>
      </w:r>
      <w:bookmarkEnd w:id="4"/>
    </w:p>
    <w:p w:rsidR="00C10FC0" w:rsidRDefault="00C10FC0">
      <w:pPr>
        <w:pStyle w:val="Subsection"/>
      </w:pPr>
      <w:r>
        <w:tab/>
      </w:r>
      <w:r>
        <w:tab/>
        <w:t>These by</w:t>
      </w:r>
      <w:r>
        <w:noBreakHyphen/>
        <w:t>laws come into operation on 1 April 2006.</w:t>
      </w:r>
    </w:p>
    <w:p w:rsidR="00C10FC0" w:rsidRDefault="00C10FC0">
      <w:pPr>
        <w:pStyle w:val="Heading5"/>
        <w:rPr>
          <w:snapToGrid w:val="0"/>
        </w:rPr>
      </w:pPr>
      <w:bookmarkStart w:id="5" w:name="_Toc75869827"/>
      <w:r>
        <w:rPr>
          <w:rStyle w:val="CharSectno"/>
        </w:rPr>
        <w:t>3</w:t>
      </w:r>
      <w:r>
        <w:t>.</w:t>
      </w:r>
      <w:r>
        <w:tab/>
      </w:r>
      <w:r>
        <w:rPr>
          <w:snapToGrid w:val="0"/>
        </w:rPr>
        <w:t>Terms used</w:t>
      </w:r>
      <w:bookmarkEnd w:id="5"/>
    </w:p>
    <w:p w:rsidR="00C10FC0" w:rsidRDefault="00C10FC0">
      <w:pPr>
        <w:pStyle w:val="Subsection"/>
        <w:rPr>
          <w:snapToGrid w:val="0"/>
        </w:rPr>
      </w:pPr>
      <w:r>
        <w:rPr>
          <w:snapToGrid w:val="0"/>
        </w:rPr>
        <w:tab/>
      </w:r>
      <w:r>
        <w:rPr>
          <w:snapToGrid w:val="0"/>
        </w:rPr>
        <w:tab/>
        <w:t>In these by</w:t>
      </w:r>
      <w:r>
        <w:rPr>
          <w:snapToGrid w:val="0"/>
        </w:rPr>
        <w:noBreakHyphen/>
        <w:t xml:space="preserve">laws, unless the contrary intention appears — </w:t>
      </w:r>
    </w:p>
    <w:p w:rsidR="00C10FC0" w:rsidRDefault="00C10FC0">
      <w:pPr>
        <w:pStyle w:val="Defstart"/>
      </w:pPr>
      <w:r>
        <w:rPr>
          <w:b/>
        </w:rPr>
        <w:tab/>
      </w:r>
      <w:r>
        <w:rPr>
          <w:rStyle w:val="CharDefText"/>
        </w:rPr>
        <w:t>corporation</w:t>
      </w:r>
      <w:r>
        <w:t xml:space="preserve"> means the body established by the </w:t>
      </w:r>
      <w:r>
        <w:rPr>
          <w:i/>
        </w:rPr>
        <w:t>Electricity Corporations Act 2005</w:t>
      </w:r>
      <w:r>
        <w:t xml:space="preserve"> section 4(1)(a);</w:t>
      </w:r>
    </w:p>
    <w:p w:rsidR="00C10FC0" w:rsidRDefault="00C10FC0">
      <w:pPr>
        <w:pStyle w:val="Defstart"/>
      </w:pPr>
      <w:r>
        <w:rPr>
          <w:b/>
        </w:rPr>
        <w:tab/>
      </w:r>
      <w:r>
        <w:rPr>
          <w:rStyle w:val="CharDefText"/>
        </w:rPr>
        <w:t>dwelling</w:t>
      </w:r>
      <w:r>
        <w:t xml:space="preserve"> means a house, flat, home unit or other place of residence used solely for residential purposes;</w:t>
      </w:r>
    </w:p>
    <w:p w:rsidR="00C10FC0" w:rsidRDefault="00C10FC0">
      <w:pPr>
        <w:pStyle w:val="Defstart"/>
      </w:pPr>
      <w:r>
        <w:rPr>
          <w:b/>
        </w:rPr>
        <w:tab/>
      </w:r>
      <w:r>
        <w:rPr>
          <w:rStyle w:val="CharDefText"/>
        </w:rPr>
        <w:t>half</w:t>
      </w:r>
      <w:r>
        <w:rPr>
          <w:rStyle w:val="CharDefText"/>
        </w:rPr>
        <w:noBreakHyphen/>
        <w:t>hourly maximum demand</w:t>
      </w:r>
      <w:r>
        <w:t xml:space="preserve"> means the maximum demand in kilowatts recorded during the accounting period concerned in any period of half an hour;</w:t>
      </w:r>
    </w:p>
    <w:p w:rsidR="00C10FC0" w:rsidRDefault="00C10FC0">
      <w:pPr>
        <w:pStyle w:val="Defstart"/>
      </w:pPr>
      <w:r>
        <w:tab/>
      </w:r>
      <w:r>
        <w:rPr>
          <w:rStyle w:val="CharDefText"/>
        </w:rPr>
        <w:t>life support customer</w:t>
      </w:r>
      <w:r>
        <w:t xml:space="preserve"> means a customer whose address is registered as a life support equipment address under the code of conduct in force from time to time under the </w:t>
      </w:r>
      <w:r>
        <w:rPr>
          <w:i/>
        </w:rPr>
        <w:t>Electricity Industry Act </w:t>
      </w:r>
      <w:r>
        <w:t>2004 section 79;</w:t>
      </w:r>
    </w:p>
    <w:p w:rsidR="00C10FC0" w:rsidRDefault="00C10FC0">
      <w:pPr>
        <w:pStyle w:val="Defstart"/>
      </w:pPr>
      <w:r>
        <w:tab/>
      </w:r>
      <w:r>
        <w:rPr>
          <w:rStyle w:val="CharDefText"/>
        </w:rPr>
        <w:t>MSLA</w:t>
      </w:r>
      <w:r>
        <w:t xml:space="preserve"> means the model service level agreement approved under the </w:t>
      </w:r>
      <w:r>
        <w:rPr>
          <w:i/>
        </w:rPr>
        <w:t xml:space="preserve">Electricity Industry (Metering) Code 2012 </w:t>
      </w:r>
      <w:r>
        <w:t>by the Economic Regulation Authority, as in force from time to time;</w:t>
      </w:r>
    </w:p>
    <w:p w:rsidR="00C10FC0" w:rsidRDefault="00C10FC0">
      <w:pPr>
        <w:pStyle w:val="Defstart"/>
      </w:pPr>
      <w:r>
        <w:rPr>
          <w:b/>
        </w:rPr>
        <w:tab/>
      </w:r>
      <w:r>
        <w:rPr>
          <w:rStyle w:val="CharDefText"/>
        </w:rPr>
        <w:t>off peak</w:t>
      </w:r>
      <w:r>
        <w:t xml:space="preserve"> means any period other than on peak;</w:t>
      </w:r>
    </w:p>
    <w:p w:rsidR="00C10FC0" w:rsidRDefault="00C10FC0">
      <w:pPr>
        <w:pStyle w:val="Defstart"/>
      </w:pPr>
      <w:r>
        <w:rPr>
          <w:b/>
        </w:rPr>
        <w:lastRenderedPageBreak/>
        <w:tab/>
      </w:r>
      <w:r>
        <w:rPr>
          <w:rStyle w:val="CharDefText"/>
        </w:rPr>
        <w:t>on peak</w:t>
      </w:r>
      <w:r>
        <w:t xml:space="preserve"> means the periods between 8.00 a.m. and 10.00 p.m. Monday to Friday;</w:t>
      </w:r>
    </w:p>
    <w:p w:rsidR="00C10FC0" w:rsidRDefault="00C10FC0">
      <w:pPr>
        <w:pStyle w:val="Defstart"/>
      </w:pPr>
      <w:r>
        <w:tab/>
      </w:r>
      <w:r>
        <w:rPr>
          <w:rStyle w:val="CharDefText"/>
        </w:rPr>
        <w:t>permitted surcharge</w:t>
      </w:r>
      <w:r>
        <w:t>, in relation to a payment, has the meaning given in RBA Standard No. 3 of 2016;</w:t>
      </w:r>
    </w:p>
    <w:p w:rsidR="00C10FC0" w:rsidRDefault="00C10FC0">
      <w:pPr>
        <w:pStyle w:val="Defstart"/>
      </w:pPr>
      <w:r>
        <w:tab/>
      </w:r>
      <w:r>
        <w:rPr>
          <w:rStyle w:val="CharDefText"/>
        </w:rPr>
        <w:t>RBA cash rate</w:t>
      </w:r>
      <w:r>
        <w:t xml:space="preserve"> means the percentage (or maximum percentage) specified by the Reserve Bank of Australia as the Cash Rate Target;</w:t>
      </w:r>
    </w:p>
    <w:p w:rsidR="00C10FC0" w:rsidRDefault="00C10FC0">
      <w:pPr>
        <w:pStyle w:val="Defstart"/>
      </w:pPr>
      <w:r>
        <w:tab/>
      </w:r>
      <w:r>
        <w:rPr>
          <w:rStyle w:val="CharDefText"/>
        </w:rPr>
        <w:t>RBA Standard No. 3 of 2016</w:t>
      </w:r>
      <w:r>
        <w:t xml:space="preserve"> means the standard titled Standard No. 3 of 2016: Scheme Rules Relating to Merchant Pricing for Credit, Debit and Prepaid Card Transactions determined by the Reserve Bank of Australia under the </w:t>
      </w:r>
      <w:r>
        <w:rPr>
          <w:i/>
        </w:rPr>
        <w:t>Payment Systems (Regulation) Act 1998</w:t>
      </w:r>
      <w:r>
        <w:t xml:space="preserve"> (Commonwealth) section 18, as in force from time to time;</w:t>
      </w:r>
    </w:p>
    <w:p w:rsidR="00C10FC0" w:rsidRDefault="00C10FC0">
      <w:pPr>
        <w:pStyle w:val="Defstart"/>
      </w:pPr>
      <w:r>
        <w:rPr>
          <w:b/>
        </w:rPr>
        <w:tab/>
      </w:r>
      <w:r>
        <w:rPr>
          <w:rStyle w:val="CharDefText"/>
        </w:rPr>
        <w:t>residential tarif</w:t>
      </w:r>
      <w:r>
        <w:rPr>
          <w:rStyle w:val="CharDefText"/>
          <w:rFonts w:ascii="Times" w:hAnsi="Times"/>
          <w:spacing w:val="40"/>
        </w:rPr>
        <w:t>f</w:t>
      </w:r>
      <w:r>
        <w:t xml:space="preserve"> means Tariff A1 or B1;</w:t>
      </w:r>
    </w:p>
    <w:p w:rsidR="00C10FC0" w:rsidRDefault="00C10FC0">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rsidR="00C10FC0" w:rsidRDefault="00C10FC0">
      <w:pPr>
        <w:pStyle w:val="Defstart"/>
      </w:pPr>
      <w:r>
        <w:rPr>
          <w:b/>
        </w:rPr>
        <w:tab/>
      </w:r>
      <w:r>
        <w:rPr>
          <w:rStyle w:val="CharDefText"/>
        </w:rPr>
        <w:t>unit</w:t>
      </w:r>
      <w:r>
        <w:t>, in relation to a charge for electricity, means one kilowatt hour.</w:t>
      </w:r>
    </w:p>
    <w:p w:rsidR="00C10FC0" w:rsidRDefault="00C10FC0">
      <w:pPr>
        <w:pStyle w:val="Footnotesection"/>
      </w:pPr>
      <w:r>
        <w:tab/>
        <w:t>[By</w:t>
      </w:r>
      <w:r>
        <w:noBreakHyphen/>
        <w:t>law 3 amended: Gazette 30 Mar 2009 p. 970; 29 Jun 2012 p. 2914; 27 Dec 2013 p. 6477; 22 Aug 2014 p. 3024; 16 Feb 2018 p. 470; 21 Jun 2019 p. 2119.]</w:t>
      </w:r>
    </w:p>
    <w:p w:rsidR="00C10FC0" w:rsidRDefault="00C10FC0">
      <w:pPr>
        <w:pStyle w:val="Ednotesection"/>
      </w:pPr>
      <w:r>
        <w:t>[</w:t>
      </w:r>
      <w:r>
        <w:rPr>
          <w:b/>
          <w:bCs/>
        </w:rPr>
        <w:t>3A.</w:t>
      </w:r>
      <w:r>
        <w:tab/>
        <w:t>Deleted: Gazette 26 Mar 2010 p. 1136.]</w:t>
      </w:r>
    </w:p>
    <w:p w:rsidR="00C10FC0" w:rsidRDefault="00C10FC0">
      <w:pPr>
        <w:pStyle w:val="Ednotesection"/>
      </w:pPr>
      <w:r>
        <w:t>[</w:t>
      </w:r>
      <w:r>
        <w:rPr>
          <w:b/>
          <w:bCs/>
        </w:rPr>
        <w:t>4A.</w:t>
      </w:r>
      <w:r>
        <w:tab/>
        <w:t>Deleted: Gazette 22 Aug 2014 p. 3024.]</w:t>
      </w:r>
    </w:p>
    <w:p w:rsidR="00C10FC0" w:rsidRDefault="00C10FC0">
      <w:pPr>
        <w:pStyle w:val="Heading5"/>
        <w:rPr>
          <w:snapToGrid w:val="0"/>
        </w:rPr>
      </w:pPr>
      <w:bookmarkStart w:id="6" w:name="_Toc75869828"/>
      <w:r>
        <w:rPr>
          <w:rStyle w:val="CharSectno"/>
        </w:rPr>
        <w:t>4</w:t>
      </w:r>
      <w:r>
        <w:t>.</w:t>
      </w:r>
      <w:r>
        <w:tab/>
      </w:r>
      <w:r>
        <w:rPr>
          <w:snapToGrid w:val="0"/>
        </w:rPr>
        <w:t>Electricity charges payable by consumers (Sch. 1, Sch. 2)</w:t>
      </w:r>
      <w:bookmarkEnd w:id="6"/>
    </w:p>
    <w:p w:rsidR="00C10FC0" w:rsidRDefault="00C10FC0">
      <w:pPr>
        <w:pStyle w:val="Subsection"/>
        <w:rPr>
          <w:snapToGrid w:val="0"/>
        </w:rPr>
      </w:pPr>
      <w:r>
        <w:rPr>
          <w:snapToGrid w:val="0"/>
        </w:rPr>
        <w:tab/>
        <w:t>(1)</w:t>
      </w:r>
      <w:r>
        <w:rPr>
          <w:snapToGrid w:val="0"/>
        </w:rPr>
        <w:tab/>
        <w:t xml:space="preserve">The charges to be paid by consumers for </w:t>
      </w:r>
      <w:r>
        <w:t>the metered supply of electricity</w:t>
      </w:r>
      <w:r>
        <w:rPr>
          <w:snapToGrid w:val="0"/>
        </w:rPr>
        <w:t xml:space="preserve"> by the</w:t>
      </w:r>
      <w:r>
        <w:t xml:space="preserve"> corporation</w:t>
      </w:r>
      <w:r>
        <w:rPr>
          <w:snapToGrid w:val="0"/>
        </w:rPr>
        <w:t xml:space="preserve"> are those specified in, or calculated in accordance with, Schedule </w:t>
      </w:r>
      <w:r>
        <w:t>1</w:t>
      </w:r>
      <w:r>
        <w:rPr>
          <w:snapToGrid w:val="0"/>
        </w:rPr>
        <w:t>.</w:t>
      </w:r>
    </w:p>
    <w:p w:rsidR="00C10FC0" w:rsidRDefault="00C10FC0">
      <w:pPr>
        <w:pStyle w:val="Subsection"/>
      </w:pPr>
      <w:r>
        <w:tab/>
        <w:t>(2)</w:t>
      </w:r>
      <w:r>
        <w:tab/>
        <w:t>The charges to be paid by consumers for the unmetered supply of street lighting by the corporation are those specified in Schedule 2 Division 1.</w:t>
      </w:r>
    </w:p>
    <w:p w:rsidR="00C10FC0" w:rsidRDefault="00C10FC0">
      <w:pPr>
        <w:pStyle w:val="Subsection"/>
      </w:pPr>
      <w:r>
        <w:lastRenderedPageBreak/>
        <w:tab/>
        <w:t>(3)</w:t>
      </w:r>
      <w:r>
        <w:tab/>
        <w:t>The charges to be paid by consumers for the unmetered supply of electricity except street lighting by the corporation are those specified in, or calculated in accordance with, Schedule 2 Division 2.</w:t>
      </w:r>
    </w:p>
    <w:p w:rsidR="00C10FC0" w:rsidRDefault="00C10FC0">
      <w:pPr>
        <w:pStyle w:val="Footnotesection"/>
      </w:pPr>
      <w:r>
        <w:tab/>
        <w:t>[By</w:t>
      </w:r>
      <w:r>
        <w:noBreakHyphen/>
        <w:t>law 4 amended: Gazette 30 Aug 2013 p. 4097-8.]</w:t>
      </w:r>
    </w:p>
    <w:p w:rsidR="00C10FC0" w:rsidRDefault="00C10FC0">
      <w:pPr>
        <w:pStyle w:val="Heading5"/>
      </w:pPr>
      <w:bookmarkStart w:id="7" w:name="_Toc75869829"/>
      <w:r>
        <w:rPr>
          <w:rStyle w:val="CharSectno"/>
        </w:rPr>
        <w:t>5</w:t>
      </w:r>
      <w:r>
        <w:t>.</w:t>
      </w:r>
      <w:r>
        <w:tab/>
        <w:t>Residential tariffs, when applicable</w:t>
      </w:r>
      <w:bookmarkEnd w:id="7"/>
    </w:p>
    <w:p w:rsidR="00C10FC0" w:rsidRDefault="00C10FC0">
      <w:pPr>
        <w:pStyle w:val="Subsection"/>
        <w:rPr>
          <w:snapToGrid w:val="0"/>
        </w:rPr>
      </w:pPr>
      <w:r>
        <w:rPr>
          <w:snapToGrid w:val="0"/>
        </w:rPr>
        <w:tab/>
        <w:t>(1)</w:t>
      </w:r>
      <w:r>
        <w:rPr>
          <w:snapToGrid w:val="0"/>
        </w:rPr>
        <w:tab/>
        <w:t>A consumer is entitled to be supplied on the basis of a residential tariff only if — </w:t>
      </w:r>
    </w:p>
    <w:p w:rsidR="00C10FC0" w:rsidRDefault="00C10FC0">
      <w:pPr>
        <w:pStyle w:val="Indenta"/>
        <w:rPr>
          <w:snapToGrid w:val="0"/>
        </w:rPr>
      </w:pPr>
      <w:r>
        <w:rPr>
          <w:snapToGrid w:val="0"/>
        </w:rPr>
        <w:tab/>
        <w:t>(a)</w:t>
      </w:r>
      <w:r>
        <w:rPr>
          <w:snapToGrid w:val="0"/>
        </w:rPr>
        <w:tab/>
        <w:t>the premises supplied consist of a dwelling; and</w:t>
      </w:r>
    </w:p>
    <w:p w:rsidR="00C10FC0" w:rsidRDefault="00C10FC0">
      <w:pPr>
        <w:pStyle w:val="Indenta"/>
        <w:rPr>
          <w:snapToGrid w:val="0"/>
        </w:rPr>
      </w:pPr>
      <w:r>
        <w:rPr>
          <w:snapToGrid w:val="0"/>
        </w:rPr>
        <w:tab/>
        <w:t>(b)</w:t>
      </w:r>
      <w:r>
        <w:rPr>
          <w:snapToGrid w:val="0"/>
        </w:rPr>
        <w:tab/>
        <w:t>the supply is not used for any industrial, commercial, business, or general purpose.</w:t>
      </w:r>
    </w:p>
    <w:p w:rsidR="00C10FC0" w:rsidRDefault="00C10FC0">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a residential tariff may be applied if the premises or any part of the premises is independently supplied and separately metered solely for the purpose of a residential supply.</w:t>
      </w:r>
    </w:p>
    <w:p w:rsidR="00C10FC0" w:rsidRDefault="00C10FC0">
      <w:pPr>
        <w:pStyle w:val="Heading5"/>
        <w:spacing w:before="180"/>
      </w:pPr>
      <w:bookmarkStart w:id="8" w:name="_Toc75869830"/>
      <w:r>
        <w:rPr>
          <w:rStyle w:val="CharSectno"/>
        </w:rPr>
        <w:t>6</w:t>
      </w:r>
      <w:r>
        <w:t>.</w:t>
      </w:r>
      <w:r>
        <w:tab/>
        <w:t>Subsidiary meters, rental for (Sch. 3)</w:t>
      </w:r>
      <w:bookmarkEnd w:id="8"/>
    </w:p>
    <w:p w:rsidR="00C10FC0" w:rsidRDefault="00C10FC0">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rsidR="00C10FC0" w:rsidRDefault="00C10FC0">
      <w:pPr>
        <w:pStyle w:val="Subsection"/>
        <w:rPr>
          <w:snapToGrid w:val="0"/>
        </w:rPr>
      </w:pPr>
      <w:r>
        <w:rPr>
          <w:snapToGrid w:val="0"/>
        </w:rPr>
        <w:tab/>
        <w:t>(2)</w:t>
      </w:r>
      <w:r>
        <w:rPr>
          <w:snapToGrid w:val="0"/>
        </w:rPr>
        <w:tab/>
        <w:t>Sub</w:t>
      </w:r>
      <w:r>
        <w:rPr>
          <w:snapToGrid w:val="0"/>
        </w:rPr>
        <w:noBreakHyphen/>
        <w:t xml:space="preserve">bylaw (1) does not apply to a consumer if — </w:t>
      </w:r>
    </w:p>
    <w:p w:rsidR="00C10FC0" w:rsidRDefault="00C10FC0">
      <w:pPr>
        <w:pStyle w:val="Indenta"/>
        <w:rPr>
          <w:snapToGrid w:val="0"/>
        </w:rPr>
      </w:pPr>
      <w:r>
        <w:rPr>
          <w:snapToGrid w:val="0"/>
        </w:rPr>
        <w:tab/>
        <w:t>(a)</w:t>
      </w:r>
      <w:r>
        <w:rPr>
          <w:snapToGrid w:val="0"/>
        </w:rPr>
        <w:tab/>
        <w:t>the premises supplied consist of a dwelling; and</w:t>
      </w:r>
    </w:p>
    <w:p w:rsidR="00C10FC0" w:rsidRDefault="00C10FC0">
      <w:pPr>
        <w:pStyle w:val="Indenta"/>
        <w:rPr>
          <w:snapToGrid w:val="0"/>
        </w:rPr>
      </w:pPr>
      <w:r>
        <w:rPr>
          <w:snapToGrid w:val="0"/>
        </w:rPr>
        <w:tab/>
        <w:t>(b)</w:t>
      </w:r>
      <w:r>
        <w:rPr>
          <w:snapToGrid w:val="0"/>
        </w:rPr>
        <w:tab/>
        <w:t>the supply is not used for any industrial, commercial, business, or general purpose; and</w:t>
      </w:r>
    </w:p>
    <w:p w:rsidR="00C10FC0" w:rsidRDefault="00C10FC0">
      <w:pPr>
        <w:pStyle w:val="Indenta"/>
        <w:rPr>
          <w:snapToGrid w:val="0"/>
        </w:rPr>
      </w:pPr>
      <w:r>
        <w:rPr>
          <w:snapToGrid w:val="0"/>
        </w:rPr>
        <w:tab/>
        <w:t>(c)</w:t>
      </w:r>
      <w:r>
        <w:rPr>
          <w:snapToGrid w:val="0"/>
        </w:rPr>
        <w:tab/>
        <w:t>the master account is supplied under a residential tariff.</w:t>
      </w:r>
    </w:p>
    <w:p w:rsidR="00C10FC0" w:rsidRDefault="00C10FC0">
      <w:pPr>
        <w:pStyle w:val="Heading5"/>
      </w:pPr>
      <w:bookmarkStart w:id="9" w:name="_Toc75869831"/>
      <w:r>
        <w:rPr>
          <w:rStyle w:val="CharSectno"/>
        </w:rPr>
        <w:t>7</w:t>
      </w:r>
      <w:r>
        <w:t>.</w:t>
      </w:r>
      <w:r>
        <w:tab/>
        <w:t>Fees (Sch. 4)</w:t>
      </w:r>
      <w:bookmarkEnd w:id="9"/>
    </w:p>
    <w:p w:rsidR="00C10FC0" w:rsidRDefault="00C10FC0">
      <w:pPr>
        <w:pStyle w:val="Subsection"/>
        <w:rPr>
          <w:snapToGrid w:val="0"/>
        </w:rPr>
      </w:pPr>
      <w:r>
        <w:rPr>
          <w:snapToGrid w:val="0"/>
        </w:rPr>
        <w:tab/>
      </w:r>
      <w:r>
        <w:rPr>
          <w:snapToGrid w:val="0"/>
        </w:rPr>
        <w:tab/>
        <w:t>The fees specified in Schedule 4 are payable in respect of the matters specified in that Schedule.</w:t>
      </w:r>
    </w:p>
    <w:p w:rsidR="00C10FC0" w:rsidRDefault="00C10FC0">
      <w:pPr>
        <w:pStyle w:val="Heading5"/>
      </w:pPr>
      <w:bookmarkStart w:id="10" w:name="_Toc75869832"/>
      <w:r>
        <w:rPr>
          <w:rStyle w:val="CharSectno"/>
        </w:rPr>
        <w:lastRenderedPageBreak/>
        <w:t>8</w:t>
      </w:r>
      <w:r>
        <w:t>.</w:t>
      </w:r>
      <w:r>
        <w:tab/>
        <w:t>When charges payable; interest on unpaid charges</w:t>
      </w:r>
      <w:bookmarkEnd w:id="10"/>
    </w:p>
    <w:p w:rsidR="00C10FC0" w:rsidRDefault="00C10FC0">
      <w:pPr>
        <w:pStyle w:val="Subsection"/>
        <w:keepNext/>
      </w:pPr>
      <w:r>
        <w:tab/>
        <w:t>(1)</w:t>
      </w:r>
      <w:r>
        <w:tab/>
        <w:t>In this by</w:t>
      </w:r>
      <w:r>
        <w:noBreakHyphen/>
        <w:t xml:space="preserve">law — </w:t>
      </w:r>
    </w:p>
    <w:p w:rsidR="00C10FC0" w:rsidRDefault="00C10FC0">
      <w:pPr>
        <w:pStyle w:val="Defstart"/>
      </w:pPr>
      <w:r>
        <w:rPr>
          <w:b/>
        </w:rPr>
        <w:tab/>
      </w:r>
      <w:r>
        <w:rPr>
          <w:rStyle w:val="CharDefText"/>
        </w:rPr>
        <w:t>relevant period</w:t>
      </w:r>
      <w:r>
        <w:t xml:space="preserve"> means — </w:t>
      </w:r>
    </w:p>
    <w:p w:rsidR="00C10FC0" w:rsidRDefault="00C10FC0">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rsidR="00C10FC0" w:rsidRDefault="00C10FC0">
      <w:pPr>
        <w:pStyle w:val="Defpara"/>
      </w:pPr>
      <w:r>
        <w:tab/>
        <w:t>(b)</w:t>
      </w:r>
      <w:r>
        <w:tab/>
        <w:t>in any other case, the period of 14 days after payment is requested by the corporation.</w:t>
      </w:r>
    </w:p>
    <w:p w:rsidR="00C10FC0" w:rsidRDefault="00C10FC0">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rsidR="00C10FC0" w:rsidRDefault="00C10FC0">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r>
        <w:t>for each day that the charge remains unpaid at a rate that is equal to the RBA cash rate as at that day increased by 6 percentage points.</w:t>
      </w:r>
    </w:p>
    <w:p w:rsidR="00C10FC0" w:rsidRDefault="00C10FC0">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rsidR="00C10FC0" w:rsidRDefault="00C10FC0">
      <w:pPr>
        <w:pStyle w:val="Footnotesection"/>
      </w:pPr>
      <w:r>
        <w:tab/>
        <w:t>[By</w:t>
      </w:r>
      <w:r>
        <w:noBreakHyphen/>
        <w:t>law 8 amended: Gazette 30 Mar 2009 p. 970.]</w:t>
      </w:r>
    </w:p>
    <w:p w:rsidR="00C10FC0" w:rsidRDefault="00C10FC0">
      <w:pPr>
        <w:pStyle w:val="Ednotesection"/>
      </w:pPr>
      <w:r>
        <w:t>[</w:t>
      </w:r>
      <w:r>
        <w:rPr>
          <w:b/>
          <w:bCs/>
        </w:rPr>
        <w:t>9.</w:t>
      </w:r>
      <w:r>
        <w:tab/>
        <w:t>Deleted: Gazette 21 Sep 2012 p. 4424.]</w:t>
      </w:r>
    </w:p>
    <w:p w:rsidR="00C10FC0" w:rsidRDefault="00C10FC0">
      <w:pPr>
        <w:pStyle w:val="Heading5"/>
      </w:pPr>
      <w:bookmarkStart w:id="11" w:name="_Toc75869833"/>
      <w:r>
        <w:rPr>
          <w:rStyle w:val="CharSectno"/>
        </w:rPr>
        <w:t>10</w:t>
      </w:r>
      <w:r>
        <w:t>.</w:t>
      </w:r>
      <w:r>
        <w:tab/>
        <w:t>Calculation of charges</w:t>
      </w:r>
      <w:bookmarkEnd w:id="11"/>
    </w:p>
    <w:p w:rsidR="00C10FC0" w:rsidRDefault="00C10FC0">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rsidR="00C10FC0" w:rsidRDefault="00C10FC0">
      <w:pPr>
        <w:pStyle w:val="Ednotesubsection"/>
      </w:pPr>
      <w:r>
        <w:tab/>
        <w:t>[(2)</w:t>
      </w:r>
      <w:r>
        <w:tab/>
        <w:t>deleted]</w:t>
      </w:r>
    </w:p>
    <w:p w:rsidR="00C10FC0" w:rsidRDefault="00C10FC0">
      <w:pPr>
        <w:pStyle w:val="Footnotesection"/>
      </w:pPr>
      <w:r>
        <w:tab/>
        <w:t>[By</w:t>
      </w:r>
      <w:r>
        <w:noBreakHyphen/>
        <w:t>law 10 amended: Gazette 21 Jun 2019 p. 2120.]</w:t>
      </w:r>
    </w:p>
    <w:p w:rsidR="00C10FC0" w:rsidRDefault="00C10FC0">
      <w:pPr>
        <w:pStyle w:val="Heading5"/>
      </w:pPr>
      <w:bookmarkStart w:id="12" w:name="_Toc75869834"/>
      <w:r>
        <w:rPr>
          <w:rStyle w:val="CharSectno"/>
        </w:rPr>
        <w:lastRenderedPageBreak/>
        <w:t>11</w:t>
      </w:r>
      <w:r>
        <w:t>.</w:t>
      </w:r>
      <w:r>
        <w:tab/>
        <w:t>Changes to rate of charges, adjustment for</w:t>
      </w:r>
      <w:bookmarkEnd w:id="12"/>
    </w:p>
    <w:p w:rsidR="00C10FC0" w:rsidRDefault="00C10FC0">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rsidR="00C10FC0" w:rsidRDefault="00C10FC0">
      <w:pPr>
        <w:pStyle w:val="Heading5"/>
      </w:pPr>
      <w:bookmarkStart w:id="13" w:name="_Toc75869835"/>
      <w:r>
        <w:rPr>
          <w:rStyle w:val="CharSectno"/>
        </w:rPr>
        <w:t>12</w:t>
      </w:r>
      <w:r>
        <w:t>.</w:t>
      </w:r>
      <w:r>
        <w:tab/>
        <w:t>Interest rate prescribed (Act s. 62(16))</w:t>
      </w:r>
      <w:bookmarkEnd w:id="13"/>
    </w:p>
    <w:p w:rsidR="00C10FC0" w:rsidRDefault="00C10FC0">
      <w:pPr>
        <w:pStyle w:val="Subsection"/>
      </w:pPr>
      <w:r>
        <w:tab/>
        <w:t>(1)</w:t>
      </w:r>
      <w:r>
        <w:tab/>
        <w:t>In this by</w:t>
      </w:r>
      <w:r>
        <w:noBreakHyphen/>
        <w:t xml:space="preserve">law — </w:t>
      </w:r>
    </w:p>
    <w:p w:rsidR="00C10FC0" w:rsidRDefault="00C10FC0">
      <w:pPr>
        <w:pStyle w:val="Defstart"/>
      </w:pPr>
      <w:r>
        <w:tab/>
      </w:r>
      <w:r>
        <w:rPr>
          <w:rStyle w:val="CharDefText"/>
        </w:rPr>
        <w:t>interest period</w:t>
      </w:r>
      <w:r>
        <w:t xml:space="preserve"> means the period in respect of which payment is made or credit is given.</w:t>
      </w:r>
    </w:p>
    <w:p w:rsidR="00C10FC0" w:rsidRDefault="00C10FC0">
      <w:pPr>
        <w:pStyle w:val="Subsection"/>
      </w:pPr>
      <w:r>
        <w:tab/>
        <w:t>(2)</w:t>
      </w:r>
      <w:r>
        <w:tab/>
        <w:t xml:space="preserve">For the purposes of section 62(16) of the Act, the rate at which interest is to be paid, or given credit for, by the corporation is — </w:t>
      </w:r>
    </w:p>
    <w:p w:rsidR="00C10FC0" w:rsidRDefault="00C10FC0">
      <w:pPr>
        <w:pStyle w:val="Indenta"/>
      </w:pPr>
      <w:r>
        <w:tab/>
        <w:t>(a)</w:t>
      </w:r>
      <w:r>
        <w:tab/>
        <w:t>the rate that is equal to the RBA cash rate for the interest period; or</w:t>
      </w:r>
    </w:p>
    <w:p w:rsidR="00C10FC0" w:rsidRDefault="00C10FC0">
      <w:pPr>
        <w:pStyle w:val="Indenta"/>
      </w:pPr>
      <w:r>
        <w:tab/>
        <w:t>(b)</w:t>
      </w:r>
      <w:r>
        <w:tab/>
        <w:t>if there is more than one RBA cash rate for the interest period — the rate that is equal to the average of the RBA cash rates for that period.</w:t>
      </w:r>
    </w:p>
    <w:p w:rsidR="00C10FC0" w:rsidRDefault="00C10FC0">
      <w:pPr>
        <w:pStyle w:val="Footnotesection"/>
      </w:pPr>
      <w:r>
        <w:tab/>
        <w:t>[By</w:t>
      </w:r>
      <w:r>
        <w:noBreakHyphen/>
        <w:t>law 12 inserted: Gazette 30 Mar 2009 p. 970</w:t>
      </w:r>
      <w:r>
        <w:noBreakHyphen/>
        <w:t>1.]</w:t>
      </w:r>
    </w:p>
    <w:p w:rsidR="00C10FC0" w:rsidRDefault="00C10FC0">
      <w:pPr>
        <w:sectPr w:rsidR="00C10FC0">
          <w:headerReference w:type="even" r:id="rId20"/>
          <w:headerReference w:type="default" r:id="rId21"/>
          <w:headerReference w:type="first" r:id="rId22"/>
          <w:endnotePr>
            <w:numFmt w:val="decimal"/>
          </w:endnotePr>
          <w:pgSz w:w="11907" w:h="16840" w:code="9"/>
          <w:pgMar w:top="2381" w:right="2410" w:bottom="3544" w:left="2410" w:header="720" w:footer="3380" w:gutter="0"/>
          <w:pgNumType w:start="1"/>
          <w:cols w:space="720"/>
          <w:noEndnote/>
          <w:titlePg/>
          <w:docGrid w:linePitch="326"/>
        </w:sectPr>
      </w:pPr>
    </w:p>
    <w:p w:rsidR="00B50BFA" w:rsidRDefault="00B50BFA" w:rsidP="00B50BFA">
      <w:pPr>
        <w:pStyle w:val="yScheduleHeading"/>
      </w:pPr>
      <w:bookmarkStart w:id="14" w:name="_Toc75354792"/>
      <w:bookmarkStart w:id="15" w:name="_Toc75354922"/>
      <w:bookmarkStart w:id="16" w:name="_Toc75355138"/>
      <w:bookmarkStart w:id="17" w:name="_Toc75355616"/>
      <w:bookmarkStart w:id="18" w:name="_Toc75355772"/>
      <w:bookmarkStart w:id="19" w:name="_Toc75356198"/>
      <w:bookmarkStart w:id="20" w:name="_Toc75869836"/>
      <w:bookmarkStart w:id="21" w:name="_Toc75351067"/>
      <w:bookmarkStart w:id="22" w:name="_Toc75351236"/>
      <w:r w:rsidRPr="00960D09">
        <w:rPr>
          <w:rStyle w:val="CharSchNo"/>
        </w:rPr>
        <w:lastRenderedPageBreak/>
        <w:t>Schedule 1</w:t>
      </w:r>
      <w:r>
        <w:t> — </w:t>
      </w:r>
      <w:r w:rsidRPr="00960D09">
        <w:rPr>
          <w:rStyle w:val="CharSchText"/>
        </w:rPr>
        <w:t>Supply charges</w:t>
      </w:r>
      <w:bookmarkEnd w:id="14"/>
      <w:bookmarkEnd w:id="15"/>
      <w:bookmarkEnd w:id="16"/>
      <w:bookmarkEnd w:id="17"/>
      <w:bookmarkEnd w:id="18"/>
      <w:bookmarkEnd w:id="19"/>
      <w:bookmarkEnd w:id="20"/>
    </w:p>
    <w:p w:rsidR="00B50BFA" w:rsidRDefault="00B50BFA" w:rsidP="00B50BFA">
      <w:pPr>
        <w:pStyle w:val="yShoulderClause"/>
      </w:pPr>
      <w:r>
        <w:t>[bl. 3, 4(1) and 10(1)]</w:t>
      </w:r>
    </w:p>
    <w:p w:rsidR="005B3872" w:rsidRDefault="005B3872" w:rsidP="005B3872">
      <w:pPr>
        <w:pStyle w:val="yFootnoteheading"/>
      </w:pPr>
      <w:r>
        <w:tab/>
        <w:t>[Heading inserted: SL 2021/98 bl. 4.]</w:t>
      </w:r>
    </w:p>
    <w:p w:rsidR="00B50BFA" w:rsidRDefault="00B50BFA" w:rsidP="00B50BFA">
      <w:pPr>
        <w:pStyle w:val="yHeading5"/>
      </w:pPr>
      <w:bookmarkStart w:id="23" w:name="_Toc75869837"/>
      <w:r w:rsidRPr="00960D09">
        <w:rPr>
          <w:rStyle w:val="CharSClsNo"/>
        </w:rPr>
        <w:t>1</w:t>
      </w:r>
      <w:r>
        <w:t>.</w:t>
      </w:r>
      <w:r>
        <w:tab/>
        <w:t>Tariff L</w:t>
      </w:r>
      <w:r w:rsidRPr="004B674A">
        <w:t>1 (</w:t>
      </w:r>
      <w:r>
        <w:t>general supply — low/medium voltage tariff)</w:t>
      </w:r>
      <w:bookmarkEnd w:id="23"/>
    </w:p>
    <w:p w:rsidR="00B50BFA" w:rsidRDefault="00B50BFA" w:rsidP="00B50BFA">
      <w:pPr>
        <w:pStyle w:val="ySubsection"/>
      </w:pPr>
      <w:r>
        <w:tab/>
        <w:t>(1)</w:t>
      </w:r>
      <w:r>
        <w:tab/>
        <w:t>Tariff L1 is available for low/medium voltage supply.</w:t>
      </w:r>
    </w:p>
    <w:p w:rsidR="00B50BFA" w:rsidRDefault="00B50BFA" w:rsidP="00B50BFA">
      <w:pPr>
        <w:pStyle w:val="ySubsection"/>
      </w:pPr>
      <w:r>
        <w:tab/>
        <w:t>(2)</w:t>
      </w:r>
      <w:r>
        <w:tab/>
        <w:t xml:space="preserve">Tariff L1 comprises — </w:t>
      </w:r>
    </w:p>
    <w:p w:rsidR="00B50BFA" w:rsidRDefault="00B50BFA" w:rsidP="00B50BFA">
      <w:pPr>
        <w:pStyle w:val="yIndenta"/>
      </w:pPr>
      <w:r>
        <w:tab/>
        <w:t>(a)</w:t>
      </w:r>
      <w:r>
        <w:tab/>
        <w:t>a fixed charge at the rate of $1.8770 per day; and</w:t>
      </w:r>
    </w:p>
    <w:p w:rsidR="00B50BFA" w:rsidRDefault="00B50BFA" w:rsidP="00B50BFA">
      <w:pPr>
        <w:pStyle w:val="yIndenta"/>
      </w:pPr>
      <w:r>
        <w:tab/>
        <w:t>(b)</w:t>
      </w:r>
      <w:r>
        <w:tab/>
        <w:t xml:space="preserve">a charge for metered consumption at the rate of — </w:t>
      </w:r>
    </w:p>
    <w:p w:rsidR="00B50BFA" w:rsidRDefault="00B50BFA" w:rsidP="00B50BFA">
      <w:pPr>
        <w:pStyle w:val="yIndenti0"/>
      </w:pPr>
      <w:r>
        <w:tab/>
        <w:t>(i)</w:t>
      </w:r>
      <w:r>
        <w:tab/>
        <w:t xml:space="preserve">29.2089 </w:t>
      </w:r>
      <w:r w:rsidRPr="004B674A">
        <w:t>cents</w:t>
      </w:r>
      <w:r>
        <w:t xml:space="preserve"> per unit for the first 1 650 units per day; and</w:t>
      </w:r>
    </w:p>
    <w:p w:rsidR="00B50BFA" w:rsidRDefault="00B50BFA" w:rsidP="00B50BFA">
      <w:pPr>
        <w:pStyle w:val="yIndenti0"/>
      </w:pPr>
      <w:r>
        <w:tab/>
        <w:t>(ii)</w:t>
      </w:r>
      <w:r>
        <w:tab/>
        <w:t xml:space="preserve">32.9320 </w:t>
      </w:r>
      <w:r w:rsidRPr="004B674A">
        <w:t>cents</w:t>
      </w:r>
      <w:r>
        <w:t xml:space="preserve"> per unit for all units exceeding 1 650 units per day.</w:t>
      </w:r>
    </w:p>
    <w:p w:rsidR="00B50BFA" w:rsidRDefault="00B50BFA" w:rsidP="00B50BFA">
      <w:pPr>
        <w:pStyle w:val="ySubsection"/>
      </w:pPr>
      <w:r>
        <w:tab/>
        <w:t>(3)</w:t>
      </w:r>
      <w:r>
        <w:tab/>
        <w:t>Tariff L1 is available subject to the condition that the consumer satisfies the corporation that the amount of electricity supplied to the consumer’s premises will be less than 50 MW hours per annum.</w:t>
      </w:r>
    </w:p>
    <w:p w:rsidR="005B3872" w:rsidRDefault="005B3872" w:rsidP="005B3872">
      <w:pPr>
        <w:pStyle w:val="yFootnotesection"/>
      </w:pPr>
      <w:r>
        <w:tab/>
        <w:t>[Clause 1 inserted: SL 2021/98 bl. 4.]</w:t>
      </w:r>
    </w:p>
    <w:p w:rsidR="00B50BFA" w:rsidRDefault="00B50BFA" w:rsidP="00B50BFA">
      <w:pPr>
        <w:pStyle w:val="yHeading5"/>
      </w:pPr>
      <w:bookmarkStart w:id="24" w:name="_Toc75869838"/>
      <w:r w:rsidRPr="00960D09">
        <w:rPr>
          <w:rStyle w:val="CharSClsNo"/>
        </w:rPr>
        <w:t>2</w:t>
      </w:r>
      <w:r>
        <w:t>.</w:t>
      </w:r>
      <w:r>
        <w:tab/>
        <w:t>Tariff L</w:t>
      </w:r>
      <w:r w:rsidRPr="004B674A">
        <w:t>3 (</w:t>
      </w:r>
      <w:r>
        <w:t>general supply — low/medium voltage tariff)</w:t>
      </w:r>
      <w:bookmarkEnd w:id="24"/>
      <w:r>
        <w:t xml:space="preserve"> </w:t>
      </w:r>
    </w:p>
    <w:p w:rsidR="00B50BFA" w:rsidRDefault="00B50BFA" w:rsidP="00B50BFA">
      <w:pPr>
        <w:pStyle w:val="ySubsection"/>
      </w:pPr>
      <w:r>
        <w:tab/>
        <w:t>(1)</w:t>
      </w:r>
      <w:r>
        <w:tab/>
        <w:t>Tariff L3 is available for low/medium voltage supply.</w:t>
      </w:r>
    </w:p>
    <w:p w:rsidR="00B50BFA" w:rsidRDefault="00B50BFA" w:rsidP="00B50BFA">
      <w:pPr>
        <w:pStyle w:val="ySubsection"/>
      </w:pPr>
      <w:r>
        <w:tab/>
        <w:t>(2)</w:t>
      </w:r>
      <w:r>
        <w:tab/>
        <w:t xml:space="preserve">Tariff L3 comprises — </w:t>
      </w:r>
    </w:p>
    <w:p w:rsidR="00B50BFA" w:rsidRDefault="00B50BFA" w:rsidP="00B50BFA">
      <w:pPr>
        <w:pStyle w:val="yIndenta"/>
      </w:pPr>
      <w:r>
        <w:tab/>
        <w:t>(a)</w:t>
      </w:r>
      <w:r>
        <w:tab/>
        <w:t>a fixed charge at the rate of $1.9066 per day; and</w:t>
      </w:r>
    </w:p>
    <w:p w:rsidR="00B50BFA" w:rsidRDefault="00B50BFA" w:rsidP="00B50BFA">
      <w:pPr>
        <w:pStyle w:val="yIndenta"/>
      </w:pPr>
      <w:r>
        <w:tab/>
        <w:t>(b)</w:t>
      </w:r>
      <w:r>
        <w:tab/>
        <w:t xml:space="preserve">a charge for metered consumption at the rate of — </w:t>
      </w:r>
    </w:p>
    <w:p w:rsidR="00B50BFA" w:rsidRDefault="00B50BFA" w:rsidP="00B50BFA">
      <w:pPr>
        <w:pStyle w:val="yIndenti0"/>
      </w:pPr>
      <w:r>
        <w:tab/>
        <w:t>(i)</w:t>
      </w:r>
      <w:r>
        <w:tab/>
        <w:t>38.7263</w:t>
      </w:r>
      <w:r>
        <w:rPr>
          <w:szCs w:val="22"/>
        </w:rPr>
        <w:t xml:space="preserve"> </w:t>
      </w:r>
      <w:r w:rsidRPr="004B674A">
        <w:t>cents</w:t>
      </w:r>
      <w:r>
        <w:t xml:space="preserve"> per unit for the first 1 650 units per day; and</w:t>
      </w:r>
    </w:p>
    <w:p w:rsidR="00B50BFA" w:rsidRDefault="00B50BFA" w:rsidP="00B50BFA">
      <w:pPr>
        <w:pStyle w:val="yIndenti0"/>
      </w:pPr>
      <w:r>
        <w:tab/>
        <w:t>(ii)</w:t>
      </w:r>
      <w:r>
        <w:tab/>
        <w:t>32.8605</w:t>
      </w:r>
      <w:r>
        <w:rPr>
          <w:szCs w:val="22"/>
        </w:rPr>
        <w:t xml:space="preserve"> </w:t>
      </w:r>
      <w:r w:rsidRPr="004B674A">
        <w:t>cents</w:t>
      </w:r>
      <w:r>
        <w:t xml:space="preserve"> per unit for all units exceeding 1 650 units per day.</w:t>
      </w:r>
    </w:p>
    <w:p w:rsidR="00B50BFA" w:rsidRDefault="00B50BFA" w:rsidP="00B50BFA">
      <w:pPr>
        <w:pStyle w:val="ySubsection"/>
      </w:pPr>
      <w:r>
        <w:tab/>
        <w:t>(3)</w:t>
      </w:r>
      <w:r>
        <w:tab/>
        <w:t>Tariff L3 is available subject to the condition that the consumer satisfies the corporation that the amount of electricity supplied to the consumer’s premises will be 50 MW hours or more per annum.</w:t>
      </w:r>
    </w:p>
    <w:p w:rsidR="005B3872" w:rsidRDefault="005B3872" w:rsidP="005B3872">
      <w:pPr>
        <w:pStyle w:val="yFootnotesection"/>
      </w:pPr>
      <w:r>
        <w:tab/>
        <w:t>[Clause 2 inserted: SL 2021/98 bl. 4.]</w:t>
      </w:r>
    </w:p>
    <w:p w:rsidR="00B50BFA" w:rsidRDefault="00B50BFA" w:rsidP="00B50BFA">
      <w:pPr>
        <w:pStyle w:val="yHeading5"/>
      </w:pPr>
      <w:bookmarkStart w:id="25" w:name="_Toc75869839"/>
      <w:r w:rsidRPr="00960D09">
        <w:rPr>
          <w:rStyle w:val="CharSClsNo"/>
        </w:rPr>
        <w:lastRenderedPageBreak/>
        <w:t>3</w:t>
      </w:r>
      <w:r>
        <w:t>.</w:t>
      </w:r>
      <w:r>
        <w:tab/>
        <w:t>Tariff R</w:t>
      </w:r>
      <w:r w:rsidRPr="004B674A">
        <w:t>1 (</w:t>
      </w:r>
      <w:r>
        <w:t>time</w:t>
      </w:r>
      <w:r>
        <w:noBreakHyphen/>
        <w:t>of</w:t>
      </w:r>
      <w:r>
        <w:noBreakHyphen/>
        <w:t>use tariff)</w:t>
      </w:r>
      <w:bookmarkEnd w:id="25"/>
    </w:p>
    <w:p w:rsidR="00B50BFA" w:rsidRDefault="00B50BFA" w:rsidP="00B50BFA">
      <w:pPr>
        <w:pStyle w:val="ySubsection"/>
      </w:pPr>
      <w:r>
        <w:tab/>
        <w:t>(1)</w:t>
      </w:r>
      <w:r>
        <w:tab/>
        <w:t>Tariff R1 comprises —</w:t>
      </w:r>
    </w:p>
    <w:p w:rsidR="00B50BFA" w:rsidRDefault="00B50BFA" w:rsidP="00B50BFA">
      <w:pPr>
        <w:pStyle w:val="yIndenta"/>
      </w:pPr>
      <w:r>
        <w:tab/>
        <w:t>(a)</w:t>
      </w:r>
      <w:r>
        <w:tab/>
        <w:t>a fixed charge at the rate of $3.5098 per day; and</w:t>
      </w:r>
    </w:p>
    <w:p w:rsidR="00B50BFA" w:rsidRDefault="00B50BFA" w:rsidP="00B50BFA">
      <w:pPr>
        <w:pStyle w:val="yIndenta"/>
      </w:pPr>
      <w:r>
        <w:tab/>
        <w:t>(b)</w:t>
      </w:r>
      <w:r>
        <w:tab/>
        <w:t>an energy charge consisting of — </w:t>
      </w:r>
    </w:p>
    <w:p w:rsidR="00B50BFA" w:rsidRDefault="00B50BFA" w:rsidP="00B50BFA">
      <w:pPr>
        <w:pStyle w:val="yIndenti0"/>
      </w:pPr>
      <w:r>
        <w:tab/>
        <w:t>(i)</w:t>
      </w:r>
      <w:r>
        <w:tab/>
        <w:t xml:space="preserve">an on peak energy charge at the rate of 38.0661 </w:t>
      </w:r>
      <w:r w:rsidRPr="004B674A">
        <w:t>cents</w:t>
      </w:r>
      <w:r>
        <w:t xml:space="preserve"> per unit; and</w:t>
      </w:r>
    </w:p>
    <w:p w:rsidR="00B50BFA" w:rsidRDefault="00B50BFA" w:rsidP="00B50BFA">
      <w:pPr>
        <w:pStyle w:val="yIndenti0"/>
      </w:pPr>
      <w:r>
        <w:tab/>
        <w:t>(ii)</w:t>
      </w:r>
      <w:r>
        <w:tab/>
        <w:t xml:space="preserve">an off peak energy charge at the rate of 11.4198 </w:t>
      </w:r>
      <w:r w:rsidRPr="004B674A">
        <w:t>cents</w:t>
      </w:r>
      <w:r>
        <w:t xml:space="preserve"> per unit.</w:t>
      </w:r>
    </w:p>
    <w:p w:rsidR="00B50BFA" w:rsidRDefault="00B50BFA" w:rsidP="00B50BFA">
      <w:pPr>
        <w:pStyle w:val="ySubsection"/>
      </w:pPr>
      <w:r>
        <w:tab/>
        <w:t>(2)</w:t>
      </w:r>
      <w:r>
        <w:tab/>
        <w:t>Tariff R1 is available subject to the following conditions —</w:t>
      </w:r>
    </w:p>
    <w:p w:rsidR="00B50BFA" w:rsidRDefault="00B50BFA" w:rsidP="00B50BFA">
      <w:pPr>
        <w:pStyle w:val="yIndenta"/>
      </w:pPr>
      <w:r>
        <w:tab/>
        <w:t>(a)</w:t>
      </w:r>
      <w:r>
        <w:tab/>
        <w:t>the consumer agrees to take the tariff for a minimum period of 12 months;</w:t>
      </w:r>
    </w:p>
    <w:p w:rsidR="00B50BFA" w:rsidRDefault="00B50BFA" w:rsidP="00B50BFA">
      <w:pPr>
        <w:pStyle w:val="yIndenta"/>
      </w:pPr>
      <w:r>
        <w:tab/>
        <w:t>(b)</w:t>
      </w:r>
      <w:r>
        <w:tab/>
        <w:t>the consumer pays the fee set out in Schedule 4 item 10;</w:t>
      </w:r>
    </w:p>
    <w:p w:rsidR="00B50BFA" w:rsidRDefault="00B50BFA" w:rsidP="00B50BFA">
      <w:pPr>
        <w:pStyle w:val="yIndenta"/>
      </w:pPr>
      <w:r>
        <w:tab/>
        <w:t>(c)</w:t>
      </w:r>
      <w:r>
        <w:tab/>
        <w:t>the consumer satisfies the corporation that the amount of electricity supplied to the consumer’s premises will be less than 50 MW hours per annum.</w:t>
      </w:r>
    </w:p>
    <w:p w:rsidR="005B3872" w:rsidRDefault="005B3872" w:rsidP="005B3872">
      <w:pPr>
        <w:pStyle w:val="yFootnotesection"/>
      </w:pPr>
      <w:r>
        <w:tab/>
        <w:t>[Clause 3 inserted: SL 2021/98 bl. 4.]</w:t>
      </w:r>
    </w:p>
    <w:p w:rsidR="00B50BFA" w:rsidRDefault="00B50BFA" w:rsidP="00B50BFA">
      <w:pPr>
        <w:pStyle w:val="yHeading5"/>
      </w:pPr>
      <w:bookmarkStart w:id="26" w:name="_Toc75869840"/>
      <w:r w:rsidRPr="00960D09">
        <w:rPr>
          <w:rStyle w:val="CharSClsNo"/>
        </w:rPr>
        <w:t>4</w:t>
      </w:r>
      <w:r>
        <w:t>.</w:t>
      </w:r>
      <w:r>
        <w:tab/>
        <w:t>Tariff R</w:t>
      </w:r>
      <w:r w:rsidRPr="004B674A">
        <w:t>3 (</w:t>
      </w:r>
      <w:r>
        <w:t>time</w:t>
      </w:r>
      <w:r>
        <w:noBreakHyphen/>
        <w:t>of</w:t>
      </w:r>
      <w:r>
        <w:noBreakHyphen/>
        <w:t>use tariff)</w:t>
      </w:r>
      <w:bookmarkEnd w:id="26"/>
    </w:p>
    <w:p w:rsidR="00B50BFA" w:rsidRDefault="00B50BFA" w:rsidP="00B50BFA">
      <w:pPr>
        <w:pStyle w:val="ySubsection"/>
      </w:pPr>
      <w:r>
        <w:tab/>
        <w:t>(1)</w:t>
      </w:r>
      <w:r>
        <w:tab/>
        <w:t>Tariff R3 comprises —</w:t>
      </w:r>
    </w:p>
    <w:p w:rsidR="00B50BFA" w:rsidRDefault="00B50BFA" w:rsidP="00B50BFA">
      <w:pPr>
        <w:pStyle w:val="yIndenta"/>
      </w:pPr>
      <w:r>
        <w:tab/>
        <w:t>(a)</w:t>
      </w:r>
      <w:r>
        <w:tab/>
        <w:t xml:space="preserve">a fixed charge at the rate of </w:t>
      </w:r>
      <w:r>
        <w:rPr>
          <w:szCs w:val="22"/>
        </w:rPr>
        <w:t>$3.7083</w:t>
      </w:r>
      <w:r>
        <w:t xml:space="preserve"> per day; and</w:t>
      </w:r>
    </w:p>
    <w:p w:rsidR="00B50BFA" w:rsidRDefault="00B50BFA" w:rsidP="00B50BFA">
      <w:pPr>
        <w:pStyle w:val="yIndenta"/>
      </w:pPr>
      <w:r>
        <w:tab/>
        <w:t>(b)</w:t>
      </w:r>
      <w:r>
        <w:tab/>
        <w:t>an energy charge consisting of — </w:t>
      </w:r>
    </w:p>
    <w:p w:rsidR="00B50BFA" w:rsidRDefault="00B50BFA" w:rsidP="00B50BFA">
      <w:pPr>
        <w:pStyle w:val="yIndenti0"/>
      </w:pPr>
      <w:r>
        <w:tab/>
        <w:t>(i)</w:t>
      </w:r>
      <w:r>
        <w:tab/>
        <w:t>an on peak energy charge at the rate of 54.0913</w:t>
      </w:r>
      <w:r>
        <w:rPr>
          <w:szCs w:val="22"/>
        </w:rPr>
        <w:t xml:space="preserve"> </w:t>
      </w:r>
      <w:r w:rsidRPr="004B674A">
        <w:t>cents</w:t>
      </w:r>
      <w:r>
        <w:t xml:space="preserve"> per unit; and</w:t>
      </w:r>
    </w:p>
    <w:p w:rsidR="00B50BFA" w:rsidRDefault="00B50BFA" w:rsidP="00B50BFA">
      <w:pPr>
        <w:pStyle w:val="yIndenti0"/>
      </w:pPr>
      <w:r>
        <w:tab/>
        <w:t>(ii)</w:t>
      </w:r>
      <w:r>
        <w:tab/>
        <w:t>an off peak energy charge at the rate of 16.2491</w:t>
      </w:r>
      <w:r>
        <w:rPr>
          <w:szCs w:val="22"/>
        </w:rPr>
        <w:t xml:space="preserve"> </w:t>
      </w:r>
      <w:r w:rsidRPr="004B674A">
        <w:t>cents</w:t>
      </w:r>
      <w:r>
        <w:t xml:space="preserve"> per unit.</w:t>
      </w:r>
    </w:p>
    <w:p w:rsidR="00B50BFA" w:rsidRDefault="00B50BFA" w:rsidP="00B50BFA">
      <w:pPr>
        <w:pStyle w:val="ySubsection"/>
      </w:pPr>
      <w:r>
        <w:tab/>
        <w:t>(2)</w:t>
      </w:r>
      <w:r>
        <w:tab/>
        <w:t>Tariff R3 is available subject to the following conditions —</w:t>
      </w:r>
    </w:p>
    <w:p w:rsidR="00B50BFA" w:rsidRDefault="00B50BFA" w:rsidP="00B50BFA">
      <w:pPr>
        <w:pStyle w:val="yIndenta"/>
      </w:pPr>
      <w:r>
        <w:tab/>
        <w:t>(a)</w:t>
      </w:r>
      <w:r>
        <w:tab/>
        <w:t>the consumer agrees to take the tariff for a minimum period of 12 months;</w:t>
      </w:r>
    </w:p>
    <w:p w:rsidR="00B50BFA" w:rsidRDefault="00B50BFA" w:rsidP="00B50BFA">
      <w:pPr>
        <w:pStyle w:val="yIndenta"/>
      </w:pPr>
      <w:r>
        <w:tab/>
        <w:t>(b)</w:t>
      </w:r>
      <w:r>
        <w:tab/>
        <w:t>the consumer pays the fee set out in Schedule 4 item 10;</w:t>
      </w:r>
    </w:p>
    <w:p w:rsidR="00B50BFA" w:rsidRDefault="00B50BFA" w:rsidP="00960D09">
      <w:pPr>
        <w:pStyle w:val="yIndenta"/>
        <w:keepNext/>
      </w:pPr>
      <w:r>
        <w:lastRenderedPageBreak/>
        <w:tab/>
        <w:t>(c)</w:t>
      </w:r>
      <w:r>
        <w:tab/>
        <w:t>the consumer satisfies the corporation that the amount of electricity supplied to the consumer’s premises will be 50 MW hours or more per annum.</w:t>
      </w:r>
    </w:p>
    <w:p w:rsidR="005B3872" w:rsidRDefault="005B3872" w:rsidP="005B3872">
      <w:pPr>
        <w:pStyle w:val="yFootnotesection"/>
      </w:pPr>
      <w:r>
        <w:tab/>
        <w:t>[Clause 4 inserted: SL 2021/98 bl. 4.]</w:t>
      </w:r>
    </w:p>
    <w:p w:rsidR="00B50BFA" w:rsidRDefault="00B50BFA" w:rsidP="00B50BFA">
      <w:pPr>
        <w:pStyle w:val="yHeading5"/>
      </w:pPr>
      <w:bookmarkStart w:id="27" w:name="_Toc75869841"/>
      <w:r w:rsidRPr="00960D09">
        <w:rPr>
          <w:rStyle w:val="CharSClsNo"/>
        </w:rPr>
        <w:t>5</w:t>
      </w:r>
      <w:r>
        <w:t>.</w:t>
      </w:r>
      <w:r>
        <w:tab/>
        <w:t>Standby charges</w:t>
      </w:r>
      <w:bookmarkEnd w:id="27"/>
    </w:p>
    <w:p w:rsidR="00B50BFA" w:rsidRDefault="00B50BFA" w:rsidP="00B50BFA">
      <w:pPr>
        <w:pStyle w:val="ySubsection"/>
      </w:pPr>
      <w:r>
        <w:tab/>
        <w:t>(1)</w:t>
      </w:r>
      <w:r>
        <w:tab/>
        <w:t>Standby charges are applicable to consumers with their own generation and supplied on Tariff L1, L3, R1 or R3 and are payable in addition to those tariffs.</w:t>
      </w:r>
    </w:p>
    <w:p w:rsidR="00B50BFA" w:rsidRDefault="00B50BFA" w:rsidP="00B50BFA">
      <w:pPr>
        <w:pStyle w:val="ySubsection"/>
      </w:pPr>
      <w:r>
        <w:tab/>
        <w:t>(2)</w:t>
      </w:r>
      <w:r>
        <w:tab/>
        <w:t>In the case of Tariff L1, L3, R1 or R3, the standby charge is 5.72 </w:t>
      </w:r>
      <w:r w:rsidRPr="004B674A">
        <w:t>cents</w:t>
      </w:r>
      <w:r>
        <w:t xml:space="preserve"> per day per kW based on the difference between total half</w:t>
      </w:r>
      <w:r>
        <w:noBreakHyphen/>
        <w:t>hourly maximum demand and normal half</w:t>
      </w:r>
      <w:r>
        <w:noBreakHyphen/>
        <w:t>hourly maximum demand.</w:t>
      </w:r>
    </w:p>
    <w:p w:rsidR="00B50BFA" w:rsidRDefault="00B50BFA" w:rsidP="00B50BFA">
      <w:pPr>
        <w:pStyle w:val="ySubsection"/>
      </w:pPr>
      <w:r>
        <w:tab/>
        <w:t>(3)</w:t>
      </w:r>
      <w:r>
        <w:tab/>
        <w:t>The normal half</w:t>
      </w:r>
      <w:r>
        <w:noBreakHyphen/>
        <w:t>hourly maximum demand is to be assessed by the corporation and is to be based on loading normally supplied from the corporation’s supply.</w:t>
      </w:r>
    </w:p>
    <w:p w:rsidR="00B50BFA" w:rsidRDefault="00B50BFA" w:rsidP="00B50BFA">
      <w:pPr>
        <w:pStyle w:val="ySubsection"/>
      </w:pPr>
      <w:r>
        <w:tab/>
        <w:t>(4)</w:t>
      </w:r>
      <w:r>
        <w:tab/>
        <w:t>Notwithstanding the corporation’s assessment, in any accounting period the normal half</w:t>
      </w:r>
      <w:r>
        <w:noBreakHyphen/>
        <w:t>hourly maximum demand is taken to be not less than — </w:t>
      </w:r>
    </w:p>
    <w:p w:rsidR="00B50BFA" w:rsidRPr="004B674A" w:rsidRDefault="00CB0801" w:rsidP="00B50BFA">
      <w:pPr>
        <w:pStyle w:val="Equation"/>
        <w:spacing w:before="120"/>
        <w:ind w:left="1418"/>
        <w:rPr>
          <w:sz w:val="22"/>
          <w:szCs w:val="22"/>
        </w:rPr>
      </w:pPr>
      <m:oMathPara>
        <m:oMath>
          <m:f>
            <m:fPr>
              <m:ctrlPr>
                <w:rPr>
                  <w:rFonts w:ascii="Cambria Math" w:hAnsi="Cambria Math"/>
                  <w:i/>
                  <w:sz w:val="22"/>
                  <w:szCs w:val="22"/>
                </w:rPr>
              </m:ctrlPr>
            </m:fPr>
            <m:num>
              <m:r>
                <m:rPr>
                  <m:sty m:val="p"/>
                </m:rPr>
                <w:rPr>
                  <w:rFonts w:ascii="Cambria Math" w:hAnsi="Cambria Math"/>
                  <w:sz w:val="22"/>
                  <w:szCs w:val="22"/>
                </w:rPr>
                <m:t>kWh registered for the accounting period</m:t>
              </m:r>
            </m:num>
            <m:den>
              <m:r>
                <m:rPr>
                  <m:sty m:val="p"/>
                </m:rPr>
                <w:rPr>
                  <w:rFonts w:ascii="Cambria Math" w:hAnsi="Cambria Math"/>
                  <w:sz w:val="22"/>
                  <w:szCs w:val="22"/>
                </w:rPr>
                <m:t>24 ×</m:t>
              </m:r>
              <m:d>
                <m:dPr>
                  <m:ctrlPr>
                    <w:rPr>
                      <w:rFonts w:ascii="Cambria Math" w:hAnsi="Cambria Math"/>
                      <w:sz w:val="22"/>
                      <w:szCs w:val="22"/>
                    </w:rPr>
                  </m:ctrlPr>
                </m:dPr>
                <m:e>
                  <m:r>
                    <m:rPr>
                      <m:sty m:val="p"/>
                    </m:rPr>
                    <w:rPr>
                      <w:rFonts w:ascii="Cambria Math" w:hAnsi="Cambria Math"/>
                      <w:sz w:val="22"/>
                      <w:szCs w:val="22"/>
                    </w:rPr>
                    <m:t>number of days in the accounting period</m:t>
                  </m:r>
                </m:e>
              </m:d>
              <m:r>
                <w:rPr>
                  <w:rFonts w:ascii="Cambria Math" w:hAnsi="Cambria Math"/>
                  <w:sz w:val="22"/>
                  <w:szCs w:val="22"/>
                </w:rPr>
                <m:t xml:space="preserve"> ×0.4</m:t>
              </m:r>
            </m:den>
          </m:f>
        </m:oMath>
      </m:oMathPara>
    </w:p>
    <w:p w:rsidR="00B50BFA" w:rsidRDefault="00B50BFA" w:rsidP="00B50BFA">
      <w:pPr>
        <w:pStyle w:val="ySubsection"/>
      </w:pPr>
      <w:r>
        <w:tab/>
        <w:t>(5)</w:t>
      </w:r>
      <w:r>
        <w:tab/>
        <w:t>The total half</w:t>
      </w:r>
      <w:r>
        <w:noBreakHyphen/>
        <w:t>hourly maximum demand is to be assessed by the corporation as the consumer’s expected half</w:t>
      </w:r>
      <w:r>
        <w:noBreakHyphen/>
        <w:t>hourly minimum demand on the corporation’s system without the consumer’s generation equipment in operation.</w:t>
      </w:r>
    </w:p>
    <w:p w:rsidR="00B50BFA" w:rsidRDefault="00B50BFA" w:rsidP="00B50BFA">
      <w:pPr>
        <w:pStyle w:val="ySubsection"/>
      </w:pPr>
      <w:r>
        <w:tab/>
        <w:t>(6)</w:t>
      </w:r>
      <w:r>
        <w:tab/>
        <w:t>The difference between total half</w:t>
      </w:r>
      <w:r>
        <w:noBreakHyphen/>
        <w:t>hourly maximum demand and normal half</w:t>
      </w:r>
      <w:r>
        <w:noBreakHyphen/>
        <w:t>hourly maximum demand is not to exceed —</w:t>
      </w:r>
    </w:p>
    <w:p w:rsidR="00B50BFA" w:rsidRDefault="00B50BFA" w:rsidP="00B50BFA">
      <w:pPr>
        <w:pStyle w:val="yIndenta"/>
      </w:pPr>
      <w:r>
        <w:tab/>
        <w:t>(a)</w:t>
      </w:r>
      <w:r>
        <w:tab/>
        <w:t>the capacity of the consumer’s generation equipment; or</w:t>
      </w:r>
    </w:p>
    <w:p w:rsidR="00B50BFA" w:rsidRDefault="00B50BFA" w:rsidP="00B50BFA">
      <w:pPr>
        <w:pStyle w:val="yIndenta"/>
      </w:pPr>
      <w:r>
        <w:tab/>
        <w:t>(b)</w:t>
      </w:r>
      <w:r>
        <w:tab/>
        <w:t>the expected maximum loading of such generation equipment, as assessed by the corporation.</w:t>
      </w:r>
    </w:p>
    <w:p w:rsidR="00B50BFA" w:rsidRDefault="00B50BFA" w:rsidP="00B50BFA">
      <w:pPr>
        <w:pStyle w:val="ySubsection"/>
      </w:pPr>
      <w:r>
        <w:tab/>
        <w:t>(7)</w:t>
      </w:r>
      <w:r>
        <w:tab/>
        <w:t xml:space="preserve">The provision of a standby service is subject to the following conditions — </w:t>
      </w:r>
    </w:p>
    <w:p w:rsidR="00B50BFA" w:rsidRDefault="00B50BFA" w:rsidP="00B50BFA">
      <w:pPr>
        <w:pStyle w:val="yIndenta"/>
      </w:pPr>
      <w:r>
        <w:tab/>
        <w:t>(a)</w:t>
      </w:r>
      <w:r>
        <w:tab/>
        <w:t>the consumer must pay for the cost of all additional mains and equipment necessary to provide the standby service;</w:t>
      </w:r>
    </w:p>
    <w:p w:rsidR="00B50BFA" w:rsidRDefault="00B50BFA" w:rsidP="00B50BFA">
      <w:pPr>
        <w:pStyle w:val="yIndenta"/>
      </w:pPr>
      <w:r>
        <w:lastRenderedPageBreak/>
        <w:tab/>
        <w:t>(b)</w:t>
      </w:r>
      <w:r>
        <w:tab/>
        <w:t>the standby service agreement must be for a minimum period of 12 months;</w:t>
      </w:r>
    </w:p>
    <w:p w:rsidR="00B50BFA" w:rsidRDefault="00B50BFA" w:rsidP="00B50BFA">
      <w:pPr>
        <w:pStyle w:val="yIndenta"/>
      </w:pPr>
      <w:r>
        <w:tab/>
        <w:t>(c)</w:t>
      </w:r>
      <w:r>
        <w:tab/>
        <w:t>the consumer must give 6 months’ notice in writing to the corporation of intention to terminate the standby service agreement.</w:t>
      </w:r>
    </w:p>
    <w:p w:rsidR="005B3872" w:rsidRDefault="005B3872" w:rsidP="005B3872">
      <w:pPr>
        <w:pStyle w:val="yFootnotesection"/>
      </w:pPr>
      <w:r>
        <w:tab/>
        <w:t>[Clause 5 inserted: SL 2021/98 bl. 4.]</w:t>
      </w:r>
    </w:p>
    <w:p w:rsidR="00B50BFA" w:rsidRDefault="00B50BFA" w:rsidP="00B50BFA">
      <w:pPr>
        <w:pStyle w:val="yHeading5"/>
      </w:pPr>
      <w:bookmarkStart w:id="28" w:name="_Toc75869842"/>
      <w:r w:rsidRPr="00960D09">
        <w:rPr>
          <w:rStyle w:val="CharSClsNo"/>
        </w:rPr>
        <w:t>6</w:t>
      </w:r>
      <w:r>
        <w:t>.</w:t>
      </w:r>
      <w:r>
        <w:tab/>
        <w:t>Tariff A</w:t>
      </w:r>
      <w:r w:rsidRPr="004B674A">
        <w:t>1 (</w:t>
      </w:r>
      <w:r>
        <w:t>residential tariff)</w:t>
      </w:r>
      <w:bookmarkEnd w:id="28"/>
    </w:p>
    <w:p w:rsidR="00B50BFA" w:rsidRDefault="00B50BFA" w:rsidP="00B50BFA">
      <w:pPr>
        <w:pStyle w:val="ySubsection"/>
      </w:pPr>
      <w:r>
        <w:tab/>
        <w:t>(1)</w:t>
      </w:r>
      <w:r>
        <w:tab/>
        <w:t>Tariff A1 is available for residential use only.</w:t>
      </w:r>
    </w:p>
    <w:p w:rsidR="00B50BFA" w:rsidRDefault="00B50BFA" w:rsidP="00B50BFA">
      <w:pPr>
        <w:pStyle w:val="ySubsection"/>
      </w:pPr>
      <w:r>
        <w:tab/>
        <w:t>(2)</w:t>
      </w:r>
      <w:r>
        <w:tab/>
        <w:t xml:space="preserve">Tariff A1 comprises — </w:t>
      </w:r>
    </w:p>
    <w:p w:rsidR="00B50BFA" w:rsidRDefault="00B50BFA" w:rsidP="00B50BFA">
      <w:pPr>
        <w:pStyle w:val="yIndenta"/>
      </w:pPr>
      <w:r>
        <w:tab/>
        <w:t>(a)</w:t>
      </w:r>
      <w:r>
        <w:tab/>
        <w:t>a fixed charge at the rate of $1.0514 per day or, for multiple dwellings supplied through 1 metered supply point, a fixed charge at the rate of —</w:t>
      </w:r>
    </w:p>
    <w:p w:rsidR="00B50BFA" w:rsidRDefault="00B50BFA" w:rsidP="00B50BFA">
      <w:pPr>
        <w:pStyle w:val="yIndenti0"/>
      </w:pPr>
      <w:r>
        <w:tab/>
        <w:t>(i)</w:t>
      </w:r>
      <w:r>
        <w:tab/>
        <w:t>$1.0514 per day for the first dwelling; and</w:t>
      </w:r>
    </w:p>
    <w:p w:rsidR="00B50BFA" w:rsidRDefault="00B50BFA" w:rsidP="00B50BFA">
      <w:pPr>
        <w:pStyle w:val="yIndenti0"/>
      </w:pPr>
      <w:r>
        <w:tab/>
        <w:t>(ii)</w:t>
      </w:r>
      <w:r>
        <w:tab/>
        <w:t xml:space="preserve">41.8017 </w:t>
      </w:r>
      <w:r w:rsidRPr="004B674A">
        <w:t>cents</w:t>
      </w:r>
      <w:r>
        <w:t xml:space="preserve"> per day for each additional dwelling;</w:t>
      </w:r>
    </w:p>
    <w:p w:rsidR="00B50BFA" w:rsidRDefault="00B50BFA" w:rsidP="00B50BFA">
      <w:pPr>
        <w:pStyle w:val="yIndenta"/>
      </w:pPr>
      <w:r>
        <w:tab/>
      </w:r>
      <w:r>
        <w:tab/>
        <w:t>and</w:t>
      </w:r>
    </w:p>
    <w:p w:rsidR="00B50BFA" w:rsidRDefault="00B50BFA" w:rsidP="00B50BFA">
      <w:pPr>
        <w:pStyle w:val="yIndenta"/>
      </w:pPr>
      <w:r>
        <w:tab/>
        <w:t>(b)</w:t>
      </w:r>
      <w:r>
        <w:tab/>
        <w:t xml:space="preserve">a charge for metered consumption at the rate of 29.3273 </w:t>
      </w:r>
      <w:r w:rsidRPr="004B674A">
        <w:t>cents</w:t>
      </w:r>
      <w:r>
        <w:t xml:space="preserve"> per unit.</w:t>
      </w:r>
    </w:p>
    <w:p w:rsidR="005B3872" w:rsidRDefault="005B3872" w:rsidP="005B3872">
      <w:pPr>
        <w:pStyle w:val="yFootnotesection"/>
      </w:pPr>
      <w:r>
        <w:tab/>
        <w:t>[Clause 6 inserted: SL 2021/98 bl. 4.]</w:t>
      </w:r>
    </w:p>
    <w:p w:rsidR="00B50BFA" w:rsidRDefault="00B50BFA" w:rsidP="00B50BFA">
      <w:pPr>
        <w:pStyle w:val="yHeading5"/>
      </w:pPr>
      <w:bookmarkStart w:id="29" w:name="_Toc75869843"/>
      <w:r w:rsidRPr="00960D09">
        <w:rPr>
          <w:rStyle w:val="CharSClsNo"/>
        </w:rPr>
        <w:t>7</w:t>
      </w:r>
      <w:r>
        <w:t>.</w:t>
      </w:r>
      <w:r>
        <w:tab/>
        <w:t>Tariff B</w:t>
      </w:r>
      <w:r w:rsidRPr="004B674A">
        <w:t>1 (</w:t>
      </w:r>
      <w:r>
        <w:t>residential water heating tariff)</w:t>
      </w:r>
      <w:bookmarkEnd w:id="29"/>
    </w:p>
    <w:p w:rsidR="00B50BFA" w:rsidRDefault="00B50BFA" w:rsidP="00B50BFA">
      <w:pPr>
        <w:pStyle w:val="ySubsection"/>
      </w:pPr>
      <w:r>
        <w:tab/>
        <w:t>(1)</w:t>
      </w:r>
      <w:r>
        <w:tab/>
        <w:t>Tariff B1 is available for residential water heating during a 6 hour period between the hours of 11.00</w:t>
      </w:r>
      <w:r w:rsidRPr="004B674A">
        <w:t xml:space="preserve"> pm </w:t>
      </w:r>
      <w:r>
        <w:t>and 6.00</w:t>
      </w:r>
      <w:r w:rsidRPr="004B674A">
        <w:t xml:space="preserve"> am </w:t>
      </w:r>
      <w:r>
        <w:t>for installations approved by the corporation. Other single phase hardwired appliances may be connected in conjunction with the water heater.</w:t>
      </w:r>
    </w:p>
    <w:p w:rsidR="00B50BFA" w:rsidRDefault="00B50BFA" w:rsidP="00B50BFA">
      <w:pPr>
        <w:pStyle w:val="ySubsection"/>
      </w:pPr>
      <w:r>
        <w:tab/>
        <w:t>(2)</w:t>
      </w:r>
      <w:r>
        <w:tab/>
        <w:t xml:space="preserve">Tariff B1 comprises — </w:t>
      </w:r>
    </w:p>
    <w:p w:rsidR="00B50BFA" w:rsidRDefault="00B50BFA" w:rsidP="00B50BFA">
      <w:pPr>
        <w:pStyle w:val="yIndenta"/>
      </w:pPr>
      <w:r>
        <w:tab/>
        <w:t>(a)</w:t>
      </w:r>
      <w:r>
        <w:tab/>
        <w:t xml:space="preserve">a fixed charge at the rate of 22.1515 </w:t>
      </w:r>
      <w:r w:rsidRPr="004B674A">
        <w:t>cents</w:t>
      </w:r>
      <w:r>
        <w:t xml:space="preserve"> per day or, for multiple dwellings supplied through 1 metered supply point, a fixed charge at the rate of 22.1515 </w:t>
      </w:r>
      <w:r w:rsidRPr="004B674A">
        <w:t>cents</w:t>
      </w:r>
      <w:r>
        <w:t xml:space="preserve"> per day for each dwelling; and</w:t>
      </w:r>
    </w:p>
    <w:p w:rsidR="00B50BFA" w:rsidRDefault="00B50BFA" w:rsidP="00B50BFA">
      <w:pPr>
        <w:pStyle w:val="yIndenta"/>
      </w:pPr>
      <w:r>
        <w:tab/>
        <w:t>(b)</w:t>
      </w:r>
      <w:r>
        <w:tab/>
        <w:t xml:space="preserve">a charge for metered consumption at the rate of 12.2374 </w:t>
      </w:r>
      <w:r w:rsidRPr="004B674A">
        <w:t>cents</w:t>
      </w:r>
      <w:r>
        <w:t xml:space="preserve"> per unit.</w:t>
      </w:r>
    </w:p>
    <w:p w:rsidR="005B3872" w:rsidRDefault="005B3872" w:rsidP="005B3872">
      <w:pPr>
        <w:pStyle w:val="yFootnotesection"/>
      </w:pPr>
      <w:r>
        <w:tab/>
        <w:t>[Clause </w:t>
      </w:r>
      <w:r w:rsidR="003C5C80">
        <w:t>7</w:t>
      </w:r>
      <w:r>
        <w:t xml:space="preserve"> inserted: SL 2021/98 bl. 4.]</w:t>
      </w:r>
    </w:p>
    <w:p w:rsidR="00B50BFA" w:rsidRDefault="00B50BFA" w:rsidP="00B50BFA">
      <w:pPr>
        <w:pStyle w:val="yHeading5"/>
      </w:pPr>
      <w:bookmarkStart w:id="30" w:name="_Toc75869844"/>
      <w:r w:rsidRPr="00960D09">
        <w:rPr>
          <w:rStyle w:val="CharSClsNo"/>
        </w:rPr>
        <w:lastRenderedPageBreak/>
        <w:t>8</w:t>
      </w:r>
      <w:r>
        <w:t>.</w:t>
      </w:r>
      <w:r>
        <w:tab/>
        <w:t>Tariff C</w:t>
      </w:r>
      <w:r w:rsidRPr="004B674A">
        <w:t>1 (</w:t>
      </w:r>
      <w:r>
        <w:t>special community service tariff)</w:t>
      </w:r>
      <w:bookmarkEnd w:id="30"/>
    </w:p>
    <w:p w:rsidR="00B50BFA" w:rsidRDefault="00B50BFA" w:rsidP="00B50BFA">
      <w:pPr>
        <w:pStyle w:val="ySubsection"/>
      </w:pPr>
      <w:r>
        <w:tab/>
        <w:t>(1)</w:t>
      </w:r>
      <w:r>
        <w:tab/>
        <w:t>Tariff C1 is available for small voluntary and charitable organisations, subject to the conditions listed in subclause (3).</w:t>
      </w:r>
    </w:p>
    <w:p w:rsidR="00B50BFA" w:rsidRDefault="00B50BFA" w:rsidP="00B50BFA">
      <w:pPr>
        <w:pStyle w:val="ySubsection"/>
      </w:pPr>
      <w:r>
        <w:tab/>
        <w:t>(2)</w:t>
      </w:r>
      <w:r>
        <w:tab/>
        <w:t xml:space="preserve">Tariff C1 comprises — </w:t>
      </w:r>
    </w:p>
    <w:p w:rsidR="00B50BFA" w:rsidRDefault="00B50BFA" w:rsidP="00B50BFA">
      <w:pPr>
        <w:pStyle w:val="yIndenta"/>
      </w:pPr>
      <w:r>
        <w:tab/>
        <w:t>(a)</w:t>
      </w:r>
      <w:r>
        <w:tab/>
        <w:t>a fixed charge at the rate of $1.0146 per day; and</w:t>
      </w:r>
    </w:p>
    <w:p w:rsidR="00B50BFA" w:rsidRDefault="00B50BFA" w:rsidP="00B50BFA">
      <w:pPr>
        <w:pStyle w:val="yIndenta"/>
      </w:pPr>
      <w:r>
        <w:tab/>
        <w:t>(b)</w:t>
      </w:r>
      <w:r>
        <w:tab/>
        <w:t xml:space="preserve">a charge for metered consumption at the rate of — </w:t>
      </w:r>
    </w:p>
    <w:p w:rsidR="00B50BFA" w:rsidRDefault="00B50BFA" w:rsidP="00B50BFA">
      <w:pPr>
        <w:pStyle w:val="yIndenti0"/>
      </w:pPr>
      <w:r>
        <w:tab/>
        <w:t>(i)</w:t>
      </w:r>
      <w:r>
        <w:tab/>
        <w:t xml:space="preserve">23.7035 </w:t>
      </w:r>
      <w:r w:rsidRPr="004B674A">
        <w:t>cents</w:t>
      </w:r>
      <w:r>
        <w:t xml:space="preserve"> per unit for the first 20 units per day; and</w:t>
      </w:r>
    </w:p>
    <w:p w:rsidR="00B50BFA" w:rsidRDefault="00B50BFA" w:rsidP="00B50BFA">
      <w:pPr>
        <w:pStyle w:val="yIndenti0"/>
      </w:pPr>
      <w:r>
        <w:tab/>
        <w:t>(ii)</w:t>
      </w:r>
      <w:r>
        <w:tab/>
        <w:t xml:space="preserve">25.2900 </w:t>
      </w:r>
      <w:r w:rsidRPr="004B674A">
        <w:t>cents</w:t>
      </w:r>
      <w:r>
        <w:t xml:space="preserve"> per unit for the next 1 630 units per day; and</w:t>
      </w:r>
    </w:p>
    <w:p w:rsidR="00B50BFA" w:rsidRDefault="00B50BFA" w:rsidP="00B50BFA">
      <w:pPr>
        <w:pStyle w:val="yIndenti0"/>
      </w:pPr>
      <w:r>
        <w:tab/>
        <w:t>(iii)</w:t>
      </w:r>
      <w:r>
        <w:tab/>
        <w:t xml:space="preserve">24.1230 </w:t>
      </w:r>
      <w:r w:rsidRPr="004B674A">
        <w:t>cents</w:t>
      </w:r>
      <w:r>
        <w:t xml:space="preserve"> per unit for all units exceeding 1 650 units per day.</w:t>
      </w:r>
    </w:p>
    <w:p w:rsidR="00B50BFA" w:rsidRDefault="00B50BFA" w:rsidP="00B50BFA">
      <w:pPr>
        <w:pStyle w:val="ySubsection"/>
      </w:pPr>
      <w:r>
        <w:tab/>
        <w:t>(3)</w:t>
      </w:r>
      <w:r>
        <w:tab/>
        <w:t xml:space="preserve">Tariff C1 is available subject to the following conditions — </w:t>
      </w:r>
    </w:p>
    <w:p w:rsidR="00B50BFA" w:rsidRDefault="00B50BFA" w:rsidP="00B50BFA">
      <w:pPr>
        <w:pStyle w:val="yIndenta"/>
      </w:pPr>
      <w:r>
        <w:tab/>
        <w:t>(a)</w:t>
      </w:r>
      <w:r>
        <w:tab/>
        <w:t>the consumer must be a direct customer of the corporation;</w:t>
      </w:r>
    </w:p>
    <w:p w:rsidR="00B50BFA" w:rsidRDefault="00B50BFA" w:rsidP="00B50BFA">
      <w:pPr>
        <w:pStyle w:val="yIndenta"/>
      </w:pPr>
      <w:r>
        <w:tab/>
        <w:t>(b)</w:t>
      </w:r>
      <w:r>
        <w:tab/>
        <w:t>the consumer must be a voluntary, non</w:t>
      </w:r>
      <w:r>
        <w:noBreakHyphen/>
        <w:t>profit making organisation;</w:t>
      </w:r>
    </w:p>
    <w:p w:rsidR="00B50BFA" w:rsidRDefault="00B50BFA" w:rsidP="00B50BFA">
      <w:pPr>
        <w:pStyle w:val="yIndenta"/>
      </w:pPr>
      <w:r>
        <w:tab/>
        <w:t>(c)</w:t>
      </w:r>
      <w:r>
        <w:tab/>
        <w:t xml:space="preserve">the consumer must be endorsed as exempt from income tax under the </w:t>
      </w:r>
      <w:r w:rsidRPr="004B674A">
        <w:rPr>
          <w:i/>
        </w:rPr>
        <w:t xml:space="preserve">Income Tax Assessment Act 1997 </w:t>
      </w:r>
      <w:r w:rsidRPr="004B674A">
        <w:t>(</w:t>
      </w:r>
      <w:r>
        <w:t>Commonwealth) Subdivision 50</w:t>
      </w:r>
      <w:r>
        <w:noBreakHyphen/>
        <w:t>B;</w:t>
      </w:r>
    </w:p>
    <w:p w:rsidR="00B50BFA" w:rsidRDefault="00B50BFA" w:rsidP="00B50BFA">
      <w:pPr>
        <w:pStyle w:val="yIndenta"/>
      </w:pPr>
      <w:r>
        <w:tab/>
        <w:t>(d)</w:t>
      </w:r>
      <w:r>
        <w:tab/>
        <w:t>the consumer must provide a public service, which is available to any member of the public without discrimination;</w:t>
      </w:r>
    </w:p>
    <w:p w:rsidR="00B50BFA" w:rsidRDefault="00B50BFA" w:rsidP="00B50BFA">
      <w:pPr>
        <w:pStyle w:val="yIndenta"/>
      </w:pPr>
      <w:r>
        <w:tab/>
        <w:t>(e)</w:t>
      </w:r>
      <w:r>
        <w:tab/>
        <w:t>the consumer must not be a Commonwealth, State or local government department, instrumentality or agency;</w:t>
      </w:r>
    </w:p>
    <w:p w:rsidR="00B50BFA" w:rsidRDefault="00B50BFA" w:rsidP="00B50BFA">
      <w:pPr>
        <w:pStyle w:val="yIndenta"/>
      </w:pPr>
      <w:r>
        <w:tab/>
        <w:t>(f)</w:t>
      </w:r>
      <w:r>
        <w:tab/>
        <w:t>the consumer must not receive the major part of its funding from any organisation mentioned in paragraph (e).</w:t>
      </w:r>
    </w:p>
    <w:p w:rsidR="00B50BFA" w:rsidRDefault="00B50BFA" w:rsidP="00B50BFA">
      <w:pPr>
        <w:pStyle w:val="ySubsection"/>
      </w:pPr>
      <w:r>
        <w:tab/>
        <w:t>(4)</w:t>
      </w:r>
      <w:r>
        <w:tab/>
        <w:t>A consumer seeking supply under Tariff C1 must make an application to the corporation in writing accompanied by evidence which clearly demonstrates that the consumer meets all the conditions listed in subclause (3).</w:t>
      </w:r>
    </w:p>
    <w:p w:rsidR="003C5C80" w:rsidRDefault="003C5C80" w:rsidP="003C5C80">
      <w:pPr>
        <w:pStyle w:val="yFootnotesection"/>
      </w:pPr>
      <w:r>
        <w:tab/>
        <w:t>[Clause 8 inserted: SL 2021/98 bl. 4.]</w:t>
      </w:r>
    </w:p>
    <w:p w:rsidR="00B50BFA" w:rsidRDefault="00B50BFA" w:rsidP="00B50BFA">
      <w:pPr>
        <w:pStyle w:val="yHeading5"/>
      </w:pPr>
      <w:bookmarkStart w:id="31" w:name="_Toc75869845"/>
      <w:r w:rsidRPr="00960D09">
        <w:rPr>
          <w:rStyle w:val="CharSClsNo"/>
        </w:rPr>
        <w:lastRenderedPageBreak/>
        <w:t>9</w:t>
      </w:r>
      <w:r>
        <w:t>.</w:t>
      </w:r>
      <w:r>
        <w:tab/>
        <w:t>Tariff D</w:t>
      </w:r>
      <w:r w:rsidRPr="004B674A">
        <w:t>1 (</w:t>
      </w:r>
      <w:r>
        <w:t>special tariff for certain premises)</w:t>
      </w:r>
      <w:bookmarkEnd w:id="31"/>
    </w:p>
    <w:p w:rsidR="00B50BFA" w:rsidRDefault="00B50BFA" w:rsidP="00B50BFA">
      <w:pPr>
        <w:pStyle w:val="ySubsection"/>
      </w:pPr>
      <w:r>
        <w:tab/>
        <w:t>(1)</w:t>
      </w:r>
      <w:r>
        <w:tab/>
        <w:t>Tariff D1 is available for premises wholly used by a charitable or benevolent organisation for providing residential accommodation other than for commercial gain, being premises for which Tariff A1 is not available.</w:t>
      </w:r>
    </w:p>
    <w:p w:rsidR="00B50BFA" w:rsidRDefault="00B50BFA" w:rsidP="00B50BFA">
      <w:pPr>
        <w:pStyle w:val="ySubsection"/>
      </w:pPr>
      <w:r>
        <w:tab/>
        <w:t>(2)</w:t>
      </w:r>
      <w:r>
        <w:tab/>
        <w:t xml:space="preserve">Tariff D1 comprises — </w:t>
      </w:r>
    </w:p>
    <w:p w:rsidR="00B50BFA" w:rsidRDefault="00B50BFA" w:rsidP="00B50BFA">
      <w:pPr>
        <w:pStyle w:val="yIndenta"/>
      </w:pPr>
      <w:r>
        <w:tab/>
        <w:t>(a)</w:t>
      </w:r>
      <w:r>
        <w:tab/>
        <w:t>a fixed charge at the rate of $1.0007 per day; and</w:t>
      </w:r>
    </w:p>
    <w:p w:rsidR="00B50BFA" w:rsidRDefault="00B50BFA" w:rsidP="00B50BFA">
      <w:pPr>
        <w:pStyle w:val="yIndenta"/>
      </w:pPr>
      <w:r>
        <w:tab/>
        <w:t>(b)</w:t>
      </w:r>
      <w:r>
        <w:tab/>
        <w:t xml:space="preserve">if under subclause (3) there is deemed to be more than 1 equivalent domestic residence in the premises, a charge of 37.1009 </w:t>
      </w:r>
      <w:r w:rsidRPr="004B674A">
        <w:t>cents</w:t>
      </w:r>
      <w:r>
        <w:t xml:space="preserve"> per day for each equivalent domestic residence except the first that is deemed to be in the premises; and</w:t>
      </w:r>
    </w:p>
    <w:p w:rsidR="00B50BFA" w:rsidRDefault="00B50BFA" w:rsidP="00B50BFA">
      <w:pPr>
        <w:pStyle w:val="yIndenta"/>
      </w:pPr>
      <w:r>
        <w:tab/>
        <w:t>(c)</w:t>
      </w:r>
      <w:r>
        <w:tab/>
        <w:t xml:space="preserve">a charge for metered consumption at the rate of 25.4249 </w:t>
      </w:r>
      <w:r w:rsidRPr="004B674A">
        <w:t>cents</w:t>
      </w:r>
      <w:r>
        <w:t xml:space="preserve"> per unit.</w:t>
      </w:r>
    </w:p>
    <w:p w:rsidR="00B50BFA" w:rsidRDefault="00B50BFA" w:rsidP="00B50BFA">
      <w:pPr>
        <w:pStyle w:val="ySubsection"/>
      </w:pPr>
      <w:r>
        <w:tab/>
        <w:t>(3)</w:t>
      </w:r>
      <w:r>
        <w:tab/>
        <w:t>The number of equivalent domestic residences deemed to be in particular premises is ascertained by dividing the facility’s total bed capacity by 5 and, where the quotient is not a whole number, by increasing it to the next highest whole number.</w:t>
      </w:r>
    </w:p>
    <w:p w:rsidR="003C5C80" w:rsidRDefault="003C5C80" w:rsidP="003C5C80">
      <w:pPr>
        <w:pStyle w:val="yFootnotesection"/>
      </w:pPr>
      <w:r>
        <w:tab/>
        <w:t>[Clause 9 inserted: SL 2021/98 bl. 4.]</w:t>
      </w:r>
    </w:p>
    <w:p w:rsidR="00B50BFA" w:rsidRDefault="00B50BFA" w:rsidP="00B50BFA">
      <w:pPr>
        <w:pStyle w:val="yHeading5"/>
      </w:pPr>
      <w:bookmarkStart w:id="32" w:name="_Toc75869846"/>
      <w:r w:rsidRPr="00960D09">
        <w:rPr>
          <w:rStyle w:val="CharSClsNo"/>
        </w:rPr>
        <w:t>10</w:t>
      </w:r>
      <w:r>
        <w:t>.</w:t>
      </w:r>
      <w:r>
        <w:tab/>
        <w:t>Tariff K</w:t>
      </w:r>
      <w:r w:rsidRPr="004B674A">
        <w:t>1 (</w:t>
      </w:r>
      <w:r>
        <w:t>general supply with residential tariff)</w:t>
      </w:r>
      <w:bookmarkEnd w:id="32"/>
    </w:p>
    <w:p w:rsidR="00B50BFA" w:rsidRDefault="00B50BFA" w:rsidP="00B50BFA">
      <w:pPr>
        <w:pStyle w:val="ySubsection"/>
      </w:pPr>
      <w:r>
        <w:tab/>
        <w:t>(1)</w:t>
      </w:r>
      <w:r>
        <w:tab/>
        <w:t>Tariff K1 is available for premises where the circuit wiring is not separate and the electricity is used partly for general purposes and partly for residential purposes.</w:t>
      </w:r>
    </w:p>
    <w:p w:rsidR="00B50BFA" w:rsidRDefault="00B50BFA" w:rsidP="00B50BFA">
      <w:pPr>
        <w:pStyle w:val="ySubsection"/>
      </w:pPr>
      <w:r>
        <w:tab/>
        <w:t>(2)</w:t>
      </w:r>
      <w:r>
        <w:tab/>
        <w:t xml:space="preserve">Tariff K1 comprises — </w:t>
      </w:r>
    </w:p>
    <w:p w:rsidR="00B50BFA" w:rsidRDefault="00B50BFA" w:rsidP="00B50BFA">
      <w:pPr>
        <w:pStyle w:val="yIndenta"/>
      </w:pPr>
      <w:r>
        <w:tab/>
        <w:t>(a)</w:t>
      </w:r>
      <w:r>
        <w:tab/>
        <w:t>a fixed charge at the rate of $1.8553 per day; and</w:t>
      </w:r>
    </w:p>
    <w:p w:rsidR="00B50BFA" w:rsidRDefault="00B50BFA" w:rsidP="00B50BFA">
      <w:pPr>
        <w:pStyle w:val="yIndenta"/>
      </w:pPr>
      <w:r>
        <w:tab/>
        <w:t>(b)</w:t>
      </w:r>
      <w:r>
        <w:tab/>
        <w:t>a charge for metered consumption at the rate of —</w:t>
      </w:r>
    </w:p>
    <w:p w:rsidR="00B50BFA" w:rsidRDefault="00B50BFA" w:rsidP="00B50BFA">
      <w:pPr>
        <w:pStyle w:val="yIndenti0"/>
      </w:pPr>
      <w:r>
        <w:tab/>
        <w:t>(i)</w:t>
      </w:r>
      <w:r>
        <w:tab/>
        <w:t xml:space="preserve">30.6376 </w:t>
      </w:r>
      <w:r w:rsidRPr="004B674A">
        <w:t>cents</w:t>
      </w:r>
      <w:r>
        <w:t xml:space="preserve"> per unit for the first 20 units per day; and</w:t>
      </w:r>
    </w:p>
    <w:p w:rsidR="00B50BFA" w:rsidRDefault="00B50BFA" w:rsidP="00B50BFA">
      <w:pPr>
        <w:pStyle w:val="yIndenti0"/>
      </w:pPr>
      <w:r>
        <w:tab/>
        <w:t>(ii)</w:t>
      </w:r>
      <w:r>
        <w:tab/>
        <w:t xml:space="preserve">28.8719 </w:t>
      </w:r>
      <w:r w:rsidRPr="004B674A">
        <w:t>cents</w:t>
      </w:r>
      <w:r>
        <w:t xml:space="preserve"> per unit for the next 1 630 units per day; and</w:t>
      </w:r>
    </w:p>
    <w:p w:rsidR="00B50BFA" w:rsidRDefault="00B50BFA" w:rsidP="00B50BFA">
      <w:pPr>
        <w:pStyle w:val="yIndenti0"/>
      </w:pPr>
      <w:r>
        <w:tab/>
        <w:t>(iii)</w:t>
      </w:r>
      <w:r>
        <w:tab/>
        <w:t xml:space="preserve">32.5520 </w:t>
      </w:r>
      <w:r w:rsidRPr="004B674A">
        <w:t>cents</w:t>
      </w:r>
      <w:r>
        <w:t xml:space="preserve"> per unit for all units exceeding 1 650 units per day.</w:t>
      </w:r>
    </w:p>
    <w:p w:rsidR="003C5C80" w:rsidRDefault="003C5C80" w:rsidP="003C5C80">
      <w:pPr>
        <w:pStyle w:val="yFootnotesection"/>
      </w:pPr>
      <w:r>
        <w:tab/>
        <w:t>[Clause 10 inserted: SL 2021/98 bl. 4.]</w:t>
      </w:r>
    </w:p>
    <w:bookmarkEnd w:id="21"/>
    <w:bookmarkEnd w:id="22"/>
    <w:p w:rsidR="00C10FC0" w:rsidRDefault="00C10FC0">
      <w:pPr>
        <w:sectPr w:rsidR="00C10FC0">
          <w:headerReference w:type="even" r:id="rId23"/>
          <w:headerReference w:type="default" r:id="rId24"/>
          <w:pgSz w:w="11907" w:h="16840" w:code="9"/>
          <w:pgMar w:top="2381" w:right="2410" w:bottom="3544" w:left="2410" w:header="720" w:footer="3544" w:gutter="0"/>
          <w:cols w:space="720"/>
        </w:sectPr>
      </w:pPr>
    </w:p>
    <w:p w:rsidR="00B50BFA" w:rsidRDefault="00B50BFA" w:rsidP="00B50BFA">
      <w:pPr>
        <w:pStyle w:val="yScheduleHeading"/>
      </w:pPr>
      <w:bookmarkStart w:id="33" w:name="_Toc75354803"/>
      <w:bookmarkStart w:id="34" w:name="_Toc75354933"/>
      <w:bookmarkStart w:id="35" w:name="_Toc75355149"/>
      <w:bookmarkStart w:id="36" w:name="_Toc75355627"/>
      <w:bookmarkStart w:id="37" w:name="_Toc75355783"/>
      <w:bookmarkStart w:id="38" w:name="_Toc75356209"/>
      <w:bookmarkStart w:id="39" w:name="_Toc75869847"/>
      <w:bookmarkStart w:id="40" w:name="_Toc75351078"/>
      <w:bookmarkStart w:id="41" w:name="_Toc75351247"/>
      <w:r w:rsidRPr="00960D09">
        <w:rPr>
          <w:rStyle w:val="CharSchNo"/>
        </w:rPr>
        <w:lastRenderedPageBreak/>
        <w:t>Schedule 2</w:t>
      </w:r>
      <w:r>
        <w:t> — </w:t>
      </w:r>
      <w:r w:rsidRPr="00960D09">
        <w:rPr>
          <w:rStyle w:val="CharSchText"/>
        </w:rPr>
        <w:t>Unmetered supply</w:t>
      </w:r>
      <w:bookmarkEnd w:id="33"/>
      <w:bookmarkEnd w:id="34"/>
      <w:bookmarkEnd w:id="35"/>
      <w:bookmarkEnd w:id="36"/>
      <w:bookmarkEnd w:id="37"/>
      <w:bookmarkEnd w:id="38"/>
      <w:bookmarkEnd w:id="39"/>
    </w:p>
    <w:p w:rsidR="00B50BFA" w:rsidRDefault="00B50BFA" w:rsidP="00B50BFA">
      <w:pPr>
        <w:pStyle w:val="yShoulderClause"/>
      </w:pPr>
      <w:r>
        <w:t>[bl. 4(2) and (3)]</w:t>
      </w:r>
    </w:p>
    <w:p w:rsidR="003C5C80" w:rsidRDefault="003C5C80" w:rsidP="003C5C80">
      <w:pPr>
        <w:pStyle w:val="yFootnoteheading"/>
      </w:pPr>
      <w:r>
        <w:tab/>
        <w:t>[Heading inserted: SL 2021/98 bl. 4.]</w:t>
      </w:r>
    </w:p>
    <w:p w:rsidR="00B50BFA" w:rsidRPr="00960D09" w:rsidRDefault="00B50BFA" w:rsidP="00B50BFA">
      <w:pPr>
        <w:pStyle w:val="yHeading3"/>
      </w:pPr>
      <w:bookmarkStart w:id="42" w:name="_Toc75354804"/>
      <w:bookmarkStart w:id="43" w:name="_Toc75354934"/>
      <w:bookmarkStart w:id="44" w:name="_Toc75355150"/>
      <w:bookmarkStart w:id="45" w:name="_Toc75355628"/>
      <w:bookmarkStart w:id="46" w:name="_Toc75355784"/>
      <w:bookmarkStart w:id="47" w:name="_Toc75356210"/>
      <w:bookmarkStart w:id="48" w:name="_Toc75869848"/>
      <w:r w:rsidRPr="00960D09">
        <w:rPr>
          <w:rStyle w:val="CharSDivNo"/>
        </w:rPr>
        <w:t>Division 1</w:t>
      </w:r>
      <w:r>
        <w:rPr>
          <w:b w:val="0"/>
        </w:rPr>
        <w:t> — </w:t>
      </w:r>
      <w:r w:rsidRPr="00960D09">
        <w:rPr>
          <w:rStyle w:val="CharSDivText"/>
        </w:rPr>
        <w:t>Street lighting</w:t>
      </w:r>
      <w:bookmarkEnd w:id="42"/>
      <w:bookmarkEnd w:id="43"/>
      <w:bookmarkEnd w:id="44"/>
      <w:bookmarkEnd w:id="45"/>
      <w:bookmarkEnd w:id="46"/>
      <w:bookmarkEnd w:id="47"/>
      <w:bookmarkEnd w:id="48"/>
    </w:p>
    <w:p w:rsidR="003C5C80" w:rsidRDefault="003C5C80" w:rsidP="00960D09">
      <w:pPr>
        <w:pStyle w:val="yFootnoteheading"/>
        <w:spacing w:after="120"/>
      </w:pPr>
      <w:r>
        <w:tab/>
        <w:t>[Heading inserted: SL 2021/98 bl. 4.]</w:t>
      </w:r>
    </w:p>
    <w:tbl>
      <w:tblPr>
        <w:tblW w:w="6804" w:type="dxa"/>
        <w:tblInd w:w="212" w:type="dxa"/>
        <w:tblLayout w:type="fixed"/>
        <w:tblCellMar>
          <w:left w:w="70" w:type="dxa"/>
          <w:right w:w="70" w:type="dxa"/>
        </w:tblCellMar>
        <w:tblLook w:val="0000" w:firstRow="0" w:lastRow="0" w:firstColumn="0" w:lastColumn="0" w:noHBand="0" w:noVBand="0"/>
      </w:tblPr>
      <w:tblGrid>
        <w:gridCol w:w="567"/>
        <w:gridCol w:w="709"/>
        <w:gridCol w:w="142"/>
        <w:gridCol w:w="1142"/>
        <w:gridCol w:w="63"/>
        <w:gridCol w:w="70"/>
        <w:gridCol w:w="1229"/>
        <w:gridCol w:w="1512"/>
        <w:gridCol w:w="1370"/>
      </w:tblGrid>
      <w:tr w:rsidR="00B50BFA" w:rsidTr="00BF2D12">
        <w:trPr>
          <w:cantSplit/>
          <w:tblHeader/>
        </w:trPr>
        <w:tc>
          <w:tcPr>
            <w:tcW w:w="567" w:type="dxa"/>
            <w:tcBorders>
              <w:top w:val="single" w:sz="4" w:space="0" w:color="auto"/>
              <w:bottom w:val="single" w:sz="4" w:space="0" w:color="auto"/>
            </w:tcBorders>
          </w:tcPr>
          <w:p w:rsidR="00B50BFA" w:rsidRDefault="00B50BFA" w:rsidP="00BF2D12">
            <w:pPr>
              <w:pStyle w:val="yTableNAm"/>
            </w:pPr>
            <w:r>
              <w:rPr>
                <w:b/>
                <w:bCs/>
                <w:sz w:val="16"/>
                <w:szCs w:val="16"/>
              </w:rPr>
              <w:t>Item</w:t>
            </w:r>
          </w:p>
        </w:tc>
        <w:tc>
          <w:tcPr>
            <w:tcW w:w="851" w:type="dxa"/>
            <w:gridSpan w:val="2"/>
            <w:tcBorders>
              <w:top w:val="single" w:sz="4" w:space="0" w:color="auto"/>
              <w:bottom w:val="single" w:sz="4" w:space="0" w:color="auto"/>
            </w:tcBorders>
          </w:tcPr>
          <w:p w:rsidR="00B50BFA" w:rsidRDefault="00B50BFA" w:rsidP="00BF2D12">
            <w:pPr>
              <w:pStyle w:val="yTableNAm"/>
            </w:pPr>
            <w:r>
              <w:rPr>
                <w:b/>
                <w:bCs/>
                <w:sz w:val="16"/>
                <w:szCs w:val="16"/>
              </w:rPr>
              <w:t>Wattage</w:t>
            </w:r>
          </w:p>
        </w:tc>
        <w:tc>
          <w:tcPr>
            <w:tcW w:w="1142" w:type="dxa"/>
            <w:tcBorders>
              <w:top w:val="single" w:sz="4" w:space="0" w:color="auto"/>
              <w:bottom w:val="single" w:sz="4" w:space="0" w:color="auto"/>
            </w:tcBorders>
          </w:tcPr>
          <w:p w:rsidR="00B50BFA" w:rsidRDefault="00B50BFA" w:rsidP="00BF2D12">
            <w:pPr>
              <w:pStyle w:val="yTableNAm"/>
            </w:pPr>
            <w:r>
              <w:rPr>
                <w:b/>
                <w:bCs/>
                <w:sz w:val="16"/>
                <w:szCs w:val="16"/>
              </w:rPr>
              <w:t>Type</w:t>
            </w:r>
          </w:p>
        </w:tc>
        <w:tc>
          <w:tcPr>
            <w:tcW w:w="1362" w:type="dxa"/>
            <w:gridSpan w:val="3"/>
            <w:tcBorders>
              <w:top w:val="single" w:sz="4" w:space="0" w:color="auto"/>
              <w:bottom w:val="single" w:sz="4" w:space="0" w:color="auto"/>
            </w:tcBorders>
          </w:tcPr>
          <w:p w:rsidR="00B50BFA" w:rsidRDefault="00B50BFA" w:rsidP="00BF2D12">
            <w:pPr>
              <w:pStyle w:val="yTableNAm"/>
            </w:pPr>
            <w:r>
              <w:rPr>
                <w:b/>
                <w:bCs/>
                <w:spacing w:val="-4"/>
                <w:sz w:val="16"/>
                <w:szCs w:val="16"/>
              </w:rPr>
              <w:t>Midnight Switch</w:t>
            </w:r>
            <w:r>
              <w:rPr>
                <w:b/>
                <w:bCs/>
                <w:spacing w:val="-4"/>
                <w:sz w:val="16"/>
                <w:szCs w:val="16"/>
              </w:rPr>
              <w:noBreakHyphen/>
              <w:t xml:space="preserve">off (Obsolescent) </w:t>
            </w:r>
            <w:r>
              <w:rPr>
                <w:b/>
                <w:bCs/>
                <w:spacing w:val="-4"/>
                <w:sz w:val="16"/>
                <w:szCs w:val="16"/>
              </w:rPr>
              <w:br/>
            </w:r>
            <w:r w:rsidRPr="004B674A">
              <w:rPr>
                <w:b/>
                <w:bCs/>
                <w:spacing w:val="-4"/>
                <w:sz w:val="16"/>
                <w:szCs w:val="16"/>
              </w:rPr>
              <w:t>Cents</w:t>
            </w:r>
            <w:r>
              <w:rPr>
                <w:b/>
                <w:bCs/>
                <w:spacing w:val="-4"/>
                <w:sz w:val="16"/>
                <w:szCs w:val="16"/>
              </w:rPr>
              <w:t xml:space="preserve"> per day</w:t>
            </w:r>
          </w:p>
        </w:tc>
        <w:tc>
          <w:tcPr>
            <w:tcW w:w="1512" w:type="dxa"/>
            <w:tcBorders>
              <w:top w:val="single" w:sz="4" w:space="0" w:color="auto"/>
              <w:bottom w:val="single" w:sz="4" w:space="0" w:color="auto"/>
            </w:tcBorders>
          </w:tcPr>
          <w:p w:rsidR="00B50BFA" w:rsidRDefault="00B50BFA" w:rsidP="00BF2D12">
            <w:pPr>
              <w:pStyle w:val="yTableNAm"/>
            </w:pPr>
            <w:r>
              <w:rPr>
                <w:b/>
                <w:bCs/>
                <w:spacing w:val="-8"/>
                <w:sz w:val="16"/>
                <w:szCs w:val="16"/>
              </w:rPr>
              <w:t>1.15</w:t>
            </w:r>
            <w:r w:rsidRPr="004B674A">
              <w:rPr>
                <w:b/>
                <w:bCs/>
                <w:spacing w:val="-8"/>
                <w:sz w:val="16"/>
                <w:szCs w:val="16"/>
              </w:rPr>
              <w:t xml:space="preserve"> am </w:t>
            </w:r>
            <w:r>
              <w:rPr>
                <w:b/>
                <w:bCs/>
                <w:spacing w:val="-8"/>
                <w:sz w:val="16"/>
                <w:szCs w:val="16"/>
              </w:rPr>
              <w:t>Switch</w:t>
            </w:r>
            <w:r>
              <w:rPr>
                <w:b/>
                <w:bCs/>
                <w:spacing w:val="-8"/>
                <w:sz w:val="16"/>
                <w:szCs w:val="16"/>
              </w:rPr>
              <w:noBreakHyphen/>
              <w:t xml:space="preserve">off </w:t>
            </w:r>
            <w:r w:rsidRPr="004B674A">
              <w:rPr>
                <w:b/>
                <w:bCs/>
                <w:spacing w:val="-8"/>
                <w:sz w:val="16"/>
                <w:szCs w:val="16"/>
              </w:rPr>
              <w:t>Cents</w:t>
            </w:r>
            <w:r>
              <w:rPr>
                <w:b/>
                <w:bCs/>
                <w:spacing w:val="-8"/>
                <w:sz w:val="16"/>
                <w:szCs w:val="16"/>
              </w:rPr>
              <w:t xml:space="preserve"> per day</w:t>
            </w:r>
          </w:p>
        </w:tc>
        <w:tc>
          <w:tcPr>
            <w:tcW w:w="1370" w:type="dxa"/>
            <w:tcBorders>
              <w:top w:val="single" w:sz="4" w:space="0" w:color="auto"/>
              <w:bottom w:val="single" w:sz="4" w:space="0" w:color="auto"/>
            </w:tcBorders>
          </w:tcPr>
          <w:p w:rsidR="00B50BFA" w:rsidRDefault="00B50BFA" w:rsidP="00BF2D12">
            <w:pPr>
              <w:pStyle w:val="yTableNAm"/>
            </w:pPr>
            <w:r>
              <w:rPr>
                <w:b/>
                <w:bCs/>
                <w:spacing w:val="-8"/>
                <w:sz w:val="16"/>
                <w:szCs w:val="16"/>
              </w:rPr>
              <w:t>Dawn Switch</w:t>
            </w:r>
            <w:r>
              <w:rPr>
                <w:b/>
                <w:bCs/>
                <w:spacing w:val="-8"/>
                <w:sz w:val="16"/>
                <w:szCs w:val="16"/>
              </w:rPr>
              <w:noBreakHyphen/>
              <w:t xml:space="preserve">off </w:t>
            </w:r>
            <w:r w:rsidRPr="004B674A">
              <w:rPr>
                <w:b/>
                <w:bCs/>
                <w:spacing w:val="-8"/>
                <w:sz w:val="16"/>
                <w:szCs w:val="16"/>
              </w:rPr>
              <w:t>Cents</w:t>
            </w:r>
            <w:r>
              <w:rPr>
                <w:b/>
                <w:bCs/>
                <w:spacing w:val="-8"/>
                <w:sz w:val="16"/>
                <w:szCs w:val="16"/>
              </w:rPr>
              <w:t xml:space="preserve"> per day</w:t>
            </w:r>
          </w:p>
        </w:tc>
      </w:tr>
      <w:tr w:rsidR="00B50BFA" w:rsidTr="00BF2D12">
        <w:trPr>
          <w:cantSplit/>
        </w:trPr>
        <w:tc>
          <w:tcPr>
            <w:tcW w:w="6804" w:type="dxa"/>
            <w:gridSpan w:val="9"/>
          </w:tcPr>
          <w:p w:rsidR="00B50BFA" w:rsidRPr="004B674A" w:rsidRDefault="00B50BFA" w:rsidP="00BF2D12">
            <w:pPr>
              <w:pStyle w:val="yTableNAm"/>
            </w:pPr>
            <w:r w:rsidRPr="004B674A">
              <w:rPr>
                <w:b/>
                <w:i/>
                <w:iCs/>
                <w:sz w:val="16"/>
                <w:szCs w:val="16"/>
              </w:rPr>
              <w:t>Street lighting on current offer and for existing services</w:t>
            </w:r>
          </w:p>
        </w:tc>
      </w:tr>
      <w:tr w:rsidR="00B50BFA" w:rsidTr="00BF2D12">
        <w:trPr>
          <w:cantSplit/>
        </w:trPr>
        <w:tc>
          <w:tcPr>
            <w:tcW w:w="567" w:type="dxa"/>
          </w:tcPr>
          <w:p w:rsidR="00B50BFA" w:rsidRDefault="00B50BFA" w:rsidP="00BF2D12">
            <w:pPr>
              <w:pStyle w:val="yTableNAm"/>
              <w:rPr>
                <w:sz w:val="18"/>
                <w:szCs w:val="18"/>
              </w:rPr>
            </w:pPr>
            <w:r>
              <w:rPr>
                <w:sz w:val="18"/>
                <w:szCs w:val="18"/>
              </w:rPr>
              <w:t>Z.01</w:t>
            </w:r>
          </w:p>
        </w:tc>
        <w:tc>
          <w:tcPr>
            <w:tcW w:w="709" w:type="dxa"/>
          </w:tcPr>
          <w:p w:rsidR="00B50BFA" w:rsidRDefault="00B50BFA" w:rsidP="00BF2D12">
            <w:pPr>
              <w:pStyle w:val="yTableNAm"/>
              <w:rPr>
                <w:sz w:val="18"/>
                <w:szCs w:val="18"/>
              </w:rPr>
            </w:pPr>
            <w:r>
              <w:rPr>
                <w:sz w:val="18"/>
                <w:szCs w:val="18"/>
              </w:rPr>
              <w:t>50</w:t>
            </w:r>
          </w:p>
        </w:tc>
        <w:tc>
          <w:tcPr>
            <w:tcW w:w="1417" w:type="dxa"/>
            <w:gridSpan w:val="4"/>
          </w:tcPr>
          <w:p w:rsidR="00B50BFA" w:rsidRDefault="00B50BFA" w:rsidP="00BF2D12">
            <w:pPr>
              <w:pStyle w:val="yTableNAm"/>
              <w:rPr>
                <w:sz w:val="18"/>
                <w:szCs w:val="18"/>
              </w:rPr>
            </w:pPr>
            <w:r>
              <w:rPr>
                <w:sz w:val="18"/>
                <w:szCs w:val="18"/>
              </w:rPr>
              <w:t>Mercury vapour</w:t>
            </w:r>
          </w:p>
        </w:tc>
        <w:tc>
          <w:tcPr>
            <w:tcW w:w="1229" w:type="dxa"/>
          </w:tcPr>
          <w:p w:rsidR="00B50BFA" w:rsidRDefault="00B50BFA" w:rsidP="00BF2D12">
            <w:pPr>
              <w:pStyle w:val="yTableNAm"/>
              <w:rPr>
                <w:sz w:val="18"/>
                <w:szCs w:val="18"/>
              </w:rPr>
            </w:pPr>
            <w:r>
              <w:rPr>
                <w:sz w:val="18"/>
                <w:szCs w:val="18"/>
              </w:rPr>
              <w:t>31.5485</w:t>
            </w:r>
          </w:p>
        </w:tc>
        <w:tc>
          <w:tcPr>
            <w:tcW w:w="1512" w:type="dxa"/>
          </w:tcPr>
          <w:p w:rsidR="00B50BFA" w:rsidRDefault="00B50BFA" w:rsidP="00BF2D12">
            <w:pPr>
              <w:pStyle w:val="yTableNAm"/>
              <w:rPr>
                <w:sz w:val="18"/>
                <w:szCs w:val="18"/>
              </w:rPr>
            </w:pPr>
            <w:r>
              <w:rPr>
                <w:sz w:val="18"/>
                <w:szCs w:val="18"/>
              </w:rPr>
              <w:t>32.6051</w:t>
            </w:r>
          </w:p>
        </w:tc>
        <w:tc>
          <w:tcPr>
            <w:tcW w:w="1370" w:type="dxa"/>
          </w:tcPr>
          <w:p w:rsidR="00B50BFA" w:rsidRDefault="00B50BFA" w:rsidP="00BF2D12">
            <w:pPr>
              <w:pStyle w:val="yTableNAm"/>
              <w:rPr>
                <w:sz w:val="18"/>
                <w:szCs w:val="18"/>
              </w:rPr>
            </w:pPr>
            <w:r>
              <w:rPr>
                <w:sz w:val="18"/>
                <w:szCs w:val="18"/>
              </w:rPr>
              <w:t>36.6202</w:t>
            </w:r>
          </w:p>
        </w:tc>
      </w:tr>
      <w:tr w:rsidR="00B50BFA" w:rsidTr="00BF2D12">
        <w:trPr>
          <w:cantSplit/>
        </w:trPr>
        <w:tc>
          <w:tcPr>
            <w:tcW w:w="567" w:type="dxa"/>
          </w:tcPr>
          <w:p w:rsidR="00B50BFA" w:rsidRDefault="00B50BFA" w:rsidP="00BF2D12">
            <w:pPr>
              <w:pStyle w:val="yTableNAm"/>
              <w:rPr>
                <w:sz w:val="18"/>
                <w:szCs w:val="18"/>
              </w:rPr>
            </w:pPr>
            <w:r>
              <w:rPr>
                <w:sz w:val="18"/>
                <w:szCs w:val="18"/>
              </w:rPr>
              <w:t>Z.02</w:t>
            </w:r>
          </w:p>
        </w:tc>
        <w:tc>
          <w:tcPr>
            <w:tcW w:w="709" w:type="dxa"/>
          </w:tcPr>
          <w:p w:rsidR="00B50BFA" w:rsidRDefault="00B50BFA" w:rsidP="00BF2D12">
            <w:pPr>
              <w:pStyle w:val="yTableNAm"/>
              <w:rPr>
                <w:sz w:val="18"/>
                <w:szCs w:val="18"/>
              </w:rPr>
            </w:pPr>
            <w:r>
              <w:rPr>
                <w:sz w:val="18"/>
                <w:szCs w:val="18"/>
              </w:rPr>
              <w:t>80</w:t>
            </w:r>
          </w:p>
        </w:tc>
        <w:tc>
          <w:tcPr>
            <w:tcW w:w="1417" w:type="dxa"/>
            <w:gridSpan w:val="4"/>
          </w:tcPr>
          <w:p w:rsidR="00B50BFA" w:rsidRDefault="00B50BFA" w:rsidP="00BF2D12">
            <w:pPr>
              <w:pStyle w:val="yTableNAm"/>
              <w:rPr>
                <w:sz w:val="18"/>
                <w:szCs w:val="18"/>
              </w:rPr>
            </w:pPr>
            <w:r>
              <w:rPr>
                <w:sz w:val="18"/>
                <w:szCs w:val="18"/>
              </w:rPr>
              <w:t>Mercury vapour</w:t>
            </w:r>
          </w:p>
        </w:tc>
        <w:tc>
          <w:tcPr>
            <w:tcW w:w="1229" w:type="dxa"/>
          </w:tcPr>
          <w:p w:rsidR="00B50BFA" w:rsidRDefault="00B50BFA" w:rsidP="00BF2D12">
            <w:pPr>
              <w:pStyle w:val="yTableNAm"/>
              <w:rPr>
                <w:sz w:val="18"/>
                <w:szCs w:val="18"/>
              </w:rPr>
            </w:pPr>
            <w:r>
              <w:rPr>
                <w:sz w:val="18"/>
                <w:szCs w:val="18"/>
              </w:rPr>
              <w:t>40.7548</w:t>
            </w:r>
          </w:p>
        </w:tc>
        <w:tc>
          <w:tcPr>
            <w:tcW w:w="1512" w:type="dxa"/>
          </w:tcPr>
          <w:p w:rsidR="00B50BFA" w:rsidRDefault="00B50BFA" w:rsidP="00BF2D12">
            <w:pPr>
              <w:pStyle w:val="yTableNAm"/>
              <w:rPr>
                <w:sz w:val="18"/>
                <w:szCs w:val="18"/>
              </w:rPr>
            </w:pPr>
            <w:r>
              <w:rPr>
                <w:sz w:val="18"/>
                <w:szCs w:val="18"/>
              </w:rPr>
              <w:t>42.4454</w:t>
            </w:r>
          </w:p>
        </w:tc>
        <w:tc>
          <w:tcPr>
            <w:tcW w:w="1370" w:type="dxa"/>
          </w:tcPr>
          <w:p w:rsidR="00B50BFA" w:rsidRDefault="00B50BFA" w:rsidP="00BF2D12">
            <w:pPr>
              <w:pStyle w:val="yTableNAm"/>
              <w:rPr>
                <w:sz w:val="18"/>
                <w:szCs w:val="18"/>
              </w:rPr>
            </w:pPr>
            <w:r>
              <w:rPr>
                <w:sz w:val="18"/>
                <w:szCs w:val="18"/>
              </w:rPr>
              <w:t>48.8695</w:t>
            </w:r>
          </w:p>
        </w:tc>
      </w:tr>
      <w:tr w:rsidR="00B50BFA" w:rsidTr="00BF2D12">
        <w:trPr>
          <w:cantSplit/>
        </w:trPr>
        <w:tc>
          <w:tcPr>
            <w:tcW w:w="567" w:type="dxa"/>
          </w:tcPr>
          <w:p w:rsidR="00B50BFA" w:rsidRDefault="00B50BFA" w:rsidP="00BF2D12">
            <w:pPr>
              <w:pStyle w:val="yTableNAm"/>
              <w:rPr>
                <w:sz w:val="18"/>
                <w:szCs w:val="18"/>
              </w:rPr>
            </w:pPr>
            <w:r>
              <w:rPr>
                <w:sz w:val="18"/>
                <w:szCs w:val="18"/>
              </w:rPr>
              <w:t>Z.03</w:t>
            </w:r>
          </w:p>
        </w:tc>
        <w:tc>
          <w:tcPr>
            <w:tcW w:w="709" w:type="dxa"/>
          </w:tcPr>
          <w:p w:rsidR="00B50BFA" w:rsidRDefault="00B50BFA" w:rsidP="00BF2D12">
            <w:pPr>
              <w:pStyle w:val="yTableNAm"/>
              <w:rPr>
                <w:sz w:val="18"/>
                <w:szCs w:val="18"/>
              </w:rPr>
            </w:pPr>
            <w:r>
              <w:rPr>
                <w:sz w:val="18"/>
                <w:szCs w:val="18"/>
              </w:rPr>
              <w:t>125</w:t>
            </w:r>
          </w:p>
        </w:tc>
        <w:tc>
          <w:tcPr>
            <w:tcW w:w="1417" w:type="dxa"/>
            <w:gridSpan w:val="4"/>
          </w:tcPr>
          <w:p w:rsidR="00B50BFA" w:rsidRDefault="00B50BFA" w:rsidP="00BF2D12">
            <w:pPr>
              <w:pStyle w:val="yTableNAm"/>
              <w:rPr>
                <w:sz w:val="18"/>
                <w:szCs w:val="18"/>
              </w:rPr>
            </w:pPr>
            <w:r>
              <w:rPr>
                <w:sz w:val="18"/>
                <w:szCs w:val="18"/>
              </w:rPr>
              <w:t>Mercury vapour</w:t>
            </w:r>
          </w:p>
        </w:tc>
        <w:tc>
          <w:tcPr>
            <w:tcW w:w="1229" w:type="dxa"/>
          </w:tcPr>
          <w:p w:rsidR="00B50BFA" w:rsidRDefault="00B50BFA" w:rsidP="00BF2D12">
            <w:pPr>
              <w:pStyle w:val="yTableNAm"/>
              <w:rPr>
                <w:sz w:val="18"/>
                <w:szCs w:val="18"/>
              </w:rPr>
            </w:pPr>
            <w:r>
              <w:rPr>
                <w:sz w:val="18"/>
                <w:szCs w:val="18"/>
              </w:rPr>
              <w:t>50.0667</w:t>
            </w:r>
          </w:p>
        </w:tc>
        <w:tc>
          <w:tcPr>
            <w:tcW w:w="1512" w:type="dxa"/>
          </w:tcPr>
          <w:p w:rsidR="00B50BFA" w:rsidRDefault="00B50BFA" w:rsidP="00BF2D12">
            <w:pPr>
              <w:pStyle w:val="yTableNAm"/>
              <w:rPr>
                <w:sz w:val="18"/>
                <w:szCs w:val="18"/>
              </w:rPr>
            </w:pPr>
            <w:r>
              <w:rPr>
                <w:sz w:val="18"/>
                <w:szCs w:val="18"/>
              </w:rPr>
              <w:t>52.7081</w:t>
            </w:r>
          </w:p>
        </w:tc>
        <w:tc>
          <w:tcPr>
            <w:tcW w:w="1370" w:type="dxa"/>
          </w:tcPr>
          <w:p w:rsidR="00B50BFA" w:rsidRDefault="00B50BFA" w:rsidP="00BF2D12">
            <w:pPr>
              <w:pStyle w:val="yTableNAm"/>
              <w:rPr>
                <w:sz w:val="18"/>
                <w:szCs w:val="18"/>
              </w:rPr>
            </w:pPr>
            <w:r>
              <w:rPr>
                <w:sz w:val="18"/>
                <w:szCs w:val="18"/>
              </w:rPr>
              <w:t>62.7458</w:t>
            </w:r>
          </w:p>
        </w:tc>
      </w:tr>
      <w:tr w:rsidR="00B50BFA" w:rsidTr="00BF2D12">
        <w:trPr>
          <w:cantSplit/>
        </w:trPr>
        <w:tc>
          <w:tcPr>
            <w:tcW w:w="567" w:type="dxa"/>
          </w:tcPr>
          <w:p w:rsidR="00B50BFA" w:rsidRDefault="00B50BFA" w:rsidP="00BF2D12">
            <w:pPr>
              <w:pStyle w:val="yTableNAm"/>
              <w:rPr>
                <w:sz w:val="18"/>
                <w:szCs w:val="18"/>
              </w:rPr>
            </w:pPr>
            <w:r>
              <w:rPr>
                <w:sz w:val="18"/>
                <w:szCs w:val="18"/>
              </w:rPr>
              <w:t>Z.07</w:t>
            </w:r>
          </w:p>
        </w:tc>
        <w:tc>
          <w:tcPr>
            <w:tcW w:w="709" w:type="dxa"/>
          </w:tcPr>
          <w:p w:rsidR="00B50BFA" w:rsidRDefault="00B50BFA" w:rsidP="00BF2D12">
            <w:pPr>
              <w:pStyle w:val="yTableNAm"/>
              <w:rPr>
                <w:sz w:val="18"/>
                <w:szCs w:val="18"/>
              </w:rPr>
            </w:pPr>
            <w:r>
              <w:rPr>
                <w:sz w:val="18"/>
                <w:szCs w:val="18"/>
              </w:rPr>
              <w:t>250</w:t>
            </w:r>
          </w:p>
        </w:tc>
        <w:tc>
          <w:tcPr>
            <w:tcW w:w="1417" w:type="dxa"/>
            <w:gridSpan w:val="4"/>
          </w:tcPr>
          <w:p w:rsidR="00B50BFA" w:rsidRDefault="00B50BFA" w:rsidP="00BF2D12">
            <w:pPr>
              <w:pStyle w:val="yTableNAm"/>
              <w:rPr>
                <w:sz w:val="18"/>
                <w:szCs w:val="18"/>
              </w:rPr>
            </w:pPr>
            <w:r>
              <w:rPr>
                <w:sz w:val="18"/>
                <w:szCs w:val="18"/>
              </w:rPr>
              <w:t>Mercury vapour</w:t>
            </w:r>
          </w:p>
        </w:tc>
        <w:tc>
          <w:tcPr>
            <w:tcW w:w="1229" w:type="dxa"/>
          </w:tcPr>
          <w:p w:rsidR="00B50BFA" w:rsidRDefault="00B50BFA" w:rsidP="00BF2D12">
            <w:pPr>
              <w:pStyle w:val="yTableNAm"/>
              <w:rPr>
                <w:sz w:val="18"/>
                <w:szCs w:val="18"/>
              </w:rPr>
            </w:pPr>
            <w:r>
              <w:rPr>
                <w:sz w:val="18"/>
                <w:szCs w:val="18"/>
              </w:rPr>
              <w:t>71.7730</w:t>
            </w:r>
          </w:p>
        </w:tc>
        <w:tc>
          <w:tcPr>
            <w:tcW w:w="1512" w:type="dxa"/>
          </w:tcPr>
          <w:p w:rsidR="00B50BFA" w:rsidRDefault="00B50BFA" w:rsidP="00BF2D12">
            <w:pPr>
              <w:pStyle w:val="yTableNAm"/>
              <w:rPr>
                <w:sz w:val="18"/>
                <w:szCs w:val="18"/>
              </w:rPr>
            </w:pPr>
            <w:r>
              <w:rPr>
                <w:sz w:val="18"/>
                <w:szCs w:val="18"/>
              </w:rPr>
              <w:t>77.0560</w:t>
            </w:r>
          </w:p>
        </w:tc>
        <w:tc>
          <w:tcPr>
            <w:tcW w:w="1370" w:type="dxa"/>
          </w:tcPr>
          <w:p w:rsidR="00B50BFA" w:rsidRDefault="00B50BFA" w:rsidP="00BF2D12">
            <w:pPr>
              <w:pStyle w:val="yTableNAm"/>
              <w:rPr>
                <w:sz w:val="18"/>
                <w:szCs w:val="18"/>
              </w:rPr>
            </w:pPr>
            <w:r>
              <w:rPr>
                <w:sz w:val="18"/>
                <w:szCs w:val="18"/>
              </w:rPr>
              <w:t>97.1313</w:t>
            </w:r>
          </w:p>
        </w:tc>
      </w:tr>
      <w:tr w:rsidR="00B50BFA" w:rsidTr="00BF2D12">
        <w:trPr>
          <w:cantSplit/>
        </w:trPr>
        <w:tc>
          <w:tcPr>
            <w:tcW w:w="567" w:type="dxa"/>
          </w:tcPr>
          <w:p w:rsidR="00B50BFA" w:rsidRDefault="00B50BFA" w:rsidP="00BF2D12">
            <w:pPr>
              <w:pStyle w:val="yTableNAm"/>
              <w:rPr>
                <w:sz w:val="18"/>
                <w:szCs w:val="18"/>
              </w:rPr>
            </w:pPr>
            <w:r>
              <w:rPr>
                <w:sz w:val="18"/>
                <w:szCs w:val="18"/>
              </w:rPr>
              <w:t>Z.10</w:t>
            </w:r>
          </w:p>
        </w:tc>
        <w:tc>
          <w:tcPr>
            <w:tcW w:w="709" w:type="dxa"/>
          </w:tcPr>
          <w:p w:rsidR="00B50BFA" w:rsidRDefault="00B50BFA" w:rsidP="00BF2D12">
            <w:pPr>
              <w:pStyle w:val="yTableNAm"/>
              <w:rPr>
                <w:sz w:val="18"/>
                <w:szCs w:val="18"/>
              </w:rPr>
            </w:pPr>
            <w:r>
              <w:rPr>
                <w:sz w:val="18"/>
                <w:szCs w:val="18"/>
              </w:rPr>
              <w:t>400</w:t>
            </w:r>
          </w:p>
        </w:tc>
        <w:tc>
          <w:tcPr>
            <w:tcW w:w="1417" w:type="dxa"/>
            <w:gridSpan w:val="4"/>
          </w:tcPr>
          <w:p w:rsidR="00B50BFA" w:rsidRDefault="00B50BFA" w:rsidP="00BF2D12">
            <w:pPr>
              <w:pStyle w:val="yTableNAm"/>
              <w:rPr>
                <w:sz w:val="18"/>
                <w:szCs w:val="18"/>
              </w:rPr>
            </w:pPr>
            <w:r>
              <w:rPr>
                <w:sz w:val="18"/>
                <w:szCs w:val="18"/>
              </w:rPr>
              <w:t>Mercury vapour</w:t>
            </w:r>
          </w:p>
        </w:tc>
        <w:tc>
          <w:tcPr>
            <w:tcW w:w="1229" w:type="dxa"/>
          </w:tcPr>
          <w:p w:rsidR="00B50BFA" w:rsidRDefault="00B50BFA" w:rsidP="00BF2D12">
            <w:pPr>
              <w:pStyle w:val="yTableNAm"/>
              <w:rPr>
                <w:sz w:val="18"/>
                <w:szCs w:val="18"/>
              </w:rPr>
            </w:pPr>
            <w:r>
              <w:rPr>
                <w:sz w:val="18"/>
                <w:szCs w:val="18"/>
              </w:rPr>
              <w:t>83.2119</w:t>
            </w:r>
          </w:p>
        </w:tc>
        <w:tc>
          <w:tcPr>
            <w:tcW w:w="1512" w:type="dxa"/>
          </w:tcPr>
          <w:p w:rsidR="00B50BFA" w:rsidRDefault="00B50BFA" w:rsidP="00BF2D12">
            <w:pPr>
              <w:pStyle w:val="yTableNAm"/>
              <w:rPr>
                <w:sz w:val="18"/>
                <w:szCs w:val="18"/>
              </w:rPr>
            </w:pPr>
            <w:r>
              <w:rPr>
                <w:sz w:val="18"/>
                <w:szCs w:val="18"/>
              </w:rPr>
              <w:t>86.6085</w:t>
            </w:r>
          </w:p>
        </w:tc>
        <w:tc>
          <w:tcPr>
            <w:tcW w:w="1370" w:type="dxa"/>
          </w:tcPr>
          <w:p w:rsidR="00B50BFA" w:rsidRDefault="00B50BFA" w:rsidP="00BF2D12">
            <w:pPr>
              <w:pStyle w:val="yTableNAm"/>
              <w:rPr>
                <w:sz w:val="18"/>
                <w:szCs w:val="18"/>
              </w:rPr>
            </w:pPr>
            <w:r>
              <w:rPr>
                <w:sz w:val="18"/>
                <w:szCs w:val="18"/>
              </w:rPr>
              <w:t>127.8641</w:t>
            </w:r>
          </w:p>
        </w:tc>
      </w:tr>
      <w:tr w:rsidR="00B50BFA" w:rsidTr="00BF2D12">
        <w:trPr>
          <w:cantSplit/>
        </w:trPr>
        <w:tc>
          <w:tcPr>
            <w:tcW w:w="567" w:type="dxa"/>
          </w:tcPr>
          <w:p w:rsidR="00B50BFA" w:rsidRDefault="00B50BFA" w:rsidP="00BF2D12">
            <w:pPr>
              <w:pStyle w:val="yTableNAm"/>
              <w:rPr>
                <w:sz w:val="18"/>
                <w:szCs w:val="18"/>
              </w:rPr>
            </w:pPr>
            <w:r>
              <w:rPr>
                <w:sz w:val="18"/>
                <w:szCs w:val="18"/>
              </w:rPr>
              <w:t>Z.13</w:t>
            </w:r>
          </w:p>
        </w:tc>
        <w:tc>
          <w:tcPr>
            <w:tcW w:w="709" w:type="dxa"/>
          </w:tcPr>
          <w:p w:rsidR="00B50BFA" w:rsidRDefault="00B50BFA" w:rsidP="00BF2D12">
            <w:pPr>
              <w:pStyle w:val="yTableNAm"/>
              <w:rPr>
                <w:sz w:val="18"/>
                <w:szCs w:val="18"/>
              </w:rPr>
            </w:pPr>
            <w:r>
              <w:rPr>
                <w:sz w:val="18"/>
                <w:szCs w:val="18"/>
              </w:rPr>
              <w:t>150</w:t>
            </w:r>
          </w:p>
        </w:tc>
        <w:tc>
          <w:tcPr>
            <w:tcW w:w="1417" w:type="dxa"/>
            <w:gridSpan w:val="4"/>
          </w:tcPr>
          <w:p w:rsidR="00B50BFA" w:rsidRDefault="00B50BFA" w:rsidP="00BF2D12">
            <w:pPr>
              <w:pStyle w:val="yTableNAm"/>
              <w:rPr>
                <w:sz w:val="18"/>
                <w:szCs w:val="18"/>
              </w:rPr>
            </w:pPr>
            <w:r>
              <w:rPr>
                <w:sz w:val="18"/>
                <w:szCs w:val="18"/>
              </w:rPr>
              <w:t>High pressure sodium</w:t>
            </w:r>
          </w:p>
        </w:tc>
        <w:tc>
          <w:tcPr>
            <w:tcW w:w="1229" w:type="dxa"/>
          </w:tcPr>
          <w:p w:rsidR="00B50BFA" w:rsidRDefault="00B50BFA" w:rsidP="00BF2D12">
            <w:pPr>
              <w:pStyle w:val="yTableNAm"/>
              <w:rPr>
                <w:sz w:val="18"/>
                <w:szCs w:val="18"/>
              </w:rPr>
            </w:pPr>
            <w:r>
              <w:rPr>
                <w:sz w:val="18"/>
                <w:szCs w:val="18"/>
              </w:rPr>
              <w:t>54.9679</w:t>
            </w:r>
          </w:p>
        </w:tc>
        <w:tc>
          <w:tcPr>
            <w:tcW w:w="1512" w:type="dxa"/>
          </w:tcPr>
          <w:p w:rsidR="00B50BFA" w:rsidRDefault="00B50BFA" w:rsidP="00BF2D12">
            <w:pPr>
              <w:pStyle w:val="yTableNAm"/>
              <w:rPr>
                <w:sz w:val="18"/>
                <w:szCs w:val="18"/>
              </w:rPr>
            </w:pPr>
            <w:r>
              <w:rPr>
                <w:sz w:val="18"/>
                <w:szCs w:val="18"/>
              </w:rPr>
              <w:t>58.1378</w:t>
            </w:r>
          </w:p>
        </w:tc>
        <w:tc>
          <w:tcPr>
            <w:tcW w:w="1370" w:type="dxa"/>
          </w:tcPr>
          <w:p w:rsidR="00B50BFA" w:rsidRDefault="00B50BFA" w:rsidP="00BF2D12">
            <w:pPr>
              <w:pStyle w:val="yTableNAm"/>
              <w:rPr>
                <w:sz w:val="18"/>
                <w:szCs w:val="18"/>
              </w:rPr>
            </w:pPr>
            <w:r>
              <w:rPr>
                <w:sz w:val="18"/>
                <w:szCs w:val="18"/>
              </w:rPr>
              <w:t>70.1829</w:t>
            </w:r>
          </w:p>
        </w:tc>
      </w:tr>
      <w:tr w:rsidR="00B50BFA" w:rsidTr="00BF2D12">
        <w:trPr>
          <w:cantSplit/>
        </w:trPr>
        <w:tc>
          <w:tcPr>
            <w:tcW w:w="567" w:type="dxa"/>
          </w:tcPr>
          <w:p w:rsidR="00B50BFA" w:rsidRDefault="00B50BFA" w:rsidP="00BF2D12">
            <w:pPr>
              <w:pStyle w:val="yTableNAm"/>
              <w:rPr>
                <w:sz w:val="18"/>
                <w:szCs w:val="18"/>
              </w:rPr>
            </w:pPr>
            <w:r>
              <w:rPr>
                <w:sz w:val="18"/>
                <w:szCs w:val="18"/>
              </w:rPr>
              <w:t>Z.15</w:t>
            </w:r>
          </w:p>
        </w:tc>
        <w:tc>
          <w:tcPr>
            <w:tcW w:w="709" w:type="dxa"/>
          </w:tcPr>
          <w:p w:rsidR="00B50BFA" w:rsidRDefault="00B50BFA" w:rsidP="00BF2D12">
            <w:pPr>
              <w:pStyle w:val="yTableNAm"/>
              <w:rPr>
                <w:sz w:val="18"/>
                <w:szCs w:val="18"/>
              </w:rPr>
            </w:pPr>
            <w:r>
              <w:rPr>
                <w:sz w:val="18"/>
                <w:szCs w:val="18"/>
              </w:rPr>
              <w:t>250</w:t>
            </w:r>
          </w:p>
        </w:tc>
        <w:tc>
          <w:tcPr>
            <w:tcW w:w="1417" w:type="dxa"/>
            <w:gridSpan w:val="4"/>
          </w:tcPr>
          <w:p w:rsidR="00B50BFA" w:rsidRDefault="00B50BFA" w:rsidP="00BF2D12">
            <w:pPr>
              <w:pStyle w:val="yTableNAm"/>
              <w:rPr>
                <w:sz w:val="18"/>
                <w:szCs w:val="18"/>
              </w:rPr>
            </w:pPr>
            <w:r>
              <w:rPr>
                <w:sz w:val="18"/>
                <w:szCs w:val="18"/>
              </w:rPr>
              <w:t>High pressure sodium</w:t>
            </w:r>
          </w:p>
        </w:tc>
        <w:tc>
          <w:tcPr>
            <w:tcW w:w="1229" w:type="dxa"/>
          </w:tcPr>
          <w:p w:rsidR="00B50BFA" w:rsidRDefault="00B50BFA" w:rsidP="00BF2D12">
            <w:pPr>
              <w:pStyle w:val="yTableNAm"/>
              <w:rPr>
                <w:sz w:val="18"/>
                <w:szCs w:val="18"/>
              </w:rPr>
            </w:pPr>
            <w:r>
              <w:rPr>
                <w:sz w:val="18"/>
                <w:szCs w:val="18"/>
              </w:rPr>
              <w:t>63.9448</w:t>
            </w:r>
          </w:p>
        </w:tc>
        <w:tc>
          <w:tcPr>
            <w:tcW w:w="1512" w:type="dxa"/>
          </w:tcPr>
          <w:p w:rsidR="00B50BFA" w:rsidRDefault="00B50BFA" w:rsidP="00BF2D12">
            <w:pPr>
              <w:pStyle w:val="yTableNAm"/>
              <w:rPr>
                <w:sz w:val="18"/>
                <w:szCs w:val="18"/>
              </w:rPr>
            </w:pPr>
            <w:r>
              <w:rPr>
                <w:sz w:val="18"/>
                <w:szCs w:val="18"/>
              </w:rPr>
              <w:t>69.2278</w:t>
            </w:r>
          </w:p>
        </w:tc>
        <w:tc>
          <w:tcPr>
            <w:tcW w:w="1370" w:type="dxa"/>
          </w:tcPr>
          <w:p w:rsidR="00B50BFA" w:rsidRDefault="00B50BFA" w:rsidP="00BF2D12">
            <w:pPr>
              <w:pStyle w:val="yTableNAm"/>
              <w:rPr>
                <w:sz w:val="18"/>
                <w:szCs w:val="18"/>
              </w:rPr>
            </w:pPr>
            <w:r>
              <w:rPr>
                <w:sz w:val="18"/>
                <w:szCs w:val="18"/>
              </w:rPr>
              <w:t>89.3031</w:t>
            </w:r>
          </w:p>
        </w:tc>
      </w:tr>
      <w:tr w:rsidR="00B50BFA" w:rsidTr="00BF2D12">
        <w:trPr>
          <w:cantSplit/>
        </w:trPr>
        <w:tc>
          <w:tcPr>
            <w:tcW w:w="567" w:type="dxa"/>
          </w:tcPr>
          <w:p w:rsidR="00B50BFA" w:rsidRDefault="00B50BFA" w:rsidP="00BF2D12">
            <w:pPr>
              <w:pStyle w:val="yTableNAm"/>
              <w:rPr>
                <w:sz w:val="18"/>
                <w:szCs w:val="18"/>
              </w:rPr>
            </w:pPr>
            <w:r>
              <w:rPr>
                <w:sz w:val="18"/>
                <w:szCs w:val="18"/>
              </w:rPr>
              <w:t>Z.18</w:t>
            </w:r>
          </w:p>
        </w:tc>
        <w:tc>
          <w:tcPr>
            <w:tcW w:w="709" w:type="dxa"/>
          </w:tcPr>
          <w:p w:rsidR="00B50BFA" w:rsidRDefault="00B50BFA" w:rsidP="00BF2D12">
            <w:pPr>
              <w:pStyle w:val="yTableNAm"/>
              <w:rPr>
                <w:sz w:val="18"/>
                <w:szCs w:val="18"/>
              </w:rPr>
            </w:pPr>
            <w:r>
              <w:rPr>
                <w:sz w:val="18"/>
                <w:szCs w:val="18"/>
              </w:rPr>
              <w:t>per kW</w:t>
            </w:r>
          </w:p>
        </w:tc>
        <w:tc>
          <w:tcPr>
            <w:tcW w:w="1417" w:type="dxa"/>
            <w:gridSpan w:val="4"/>
          </w:tcPr>
          <w:p w:rsidR="00B50BFA" w:rsidRDefault="00B50BFA" w:rsidP="00BF2D12">
            <w:pPr>
              <w:pStyle w:val="yTableNAm"/>
              <w:rPr>
                <w:sz w:val="18"/>
                <w:szCs w:val="18"/>
              </w:rPr>
            </w:pPr>
            <w:r>
              <w:rPr>
                <w:sz w:val="18"/>
                <w:szCs w:val="18"/>
              </w:rPr>
              <w:t>Auxiliary lighting in public places</w:t>
            </w:r>
          </w:p>
        </w:tc>
        <w:tc>
          <w:tcPr>
            <w:tcW w:w="1229" w:type="dxa"/>
          </w:tcPr>
          <w:p w:rsidR="00B50BFA" w:rsidRDefault="00B50BFA" w:rsidP="00BF2D12">
            <w:pPr>
              <w:pStyle w:val="yTableNAm"/>
              <w:rPr>
                <w:sz w:val="18"/>
                <w:szCs w:val="18"/>
              </w:rPr>
            </w:pPr>
            <w:r>
              <w:rPr>
                <w:sz w:val="18"/>
                <w:szCs w:val="18"/>
              </w:rPr>
              <w:t>Not applicable</w:t>
            </w:r>
          </w:p>
        </w:tc>
        <w:tc>
          <w:tcPr>
            <w:tcW w:w="1512" w:type="dxa"/>
          </w:tcPr>
          <w:p w:rsidR="00B50BFA" w:rsidRDefault="00B50BFA" w:rsidP="00BF2D12">
            <w:pPr>
              <w:pStyle w:val="yTableNAm"/>
              <w:rPr>
                <w:sz w:val="18"/>
                <w:szCs w:val="18"/>
              </w:rPr>
            </w:pPr>
            <w:r>
              <w:rPr>
                <w:sz w:val="18"/>
                <w:szCs w:val="18"/>
              </w:rPr>
              <w:t>Not applicable</w:t>
            </w:r>
          </w:p>
        </w:tc>
        <w:tc>
          <w:tcPr>
            <w:tcW w:w="1370" w:type="dxa"/>
          </w:tcPr>
          <w:p w:rsidR="00B50BFA" w:rsidRDefault="00B50BFA" w:rsidP="00BF2D12">
            <w:pPr>
              <w:pStyle w:val="yTableNAm"/>
              <w:rPr>
                <w:sz w:val="18"/>
                <w:szCs w:val="18"/>
              </w:rPr>
            </w:pPr>
            <w:r>
              <w:rPr>
                <w:sz w:val="18"/>
                <w:szCs w:val="18"/>
              </w:rPr>
              <w:t>279.8127</w:t>
            </w:r>
          </w:p>
        </w:tc>
      </w:tr>
      <w:tr w:rsidR="00B50BFA" w:rsidTr="00BF2D12">
        <w:trPr>
          <w:cantSplit/>
        </w:trPr>
        <w:tc>
          <w:tcPr>
            <w:tcW w:w="6804" w:type="dxa"/>
            <w:gridSpan w:val="9"/>
          </w:tcPr>
          <w:p w:rsidR="00B50BFA" w:rsidRPr="004B674A" w:rsidRDefault="00B50BFA" w:rsidP="00BF2D12">
            <w:pPr>
              <w:pStyle w:val="yTableNAm"/>
              <w:keepNext/>
              <w:keepLines/>
            </w:pPr>
            <w:r w:rsidRPr="004B674A">
              <w:rPr>
                <w:b/>
                <w:i/>
                <w:iCs/>
                <w:sz w:val="16"/>
                <w:szCs w:val="16"/>
              </w:rPr>
              <w:t>Street lighting for existing services only</w:t>
            </w:r>
          </w:p>
        </w:tc>
      </w:tr>
      <w:tr w:rsidR="00B50BFA" w:rsidTr="00BF2D12">
        <w:trPr>
          <w:cantSplit/>
        </w:trPr>
        <w:tc>
          <w:tcPr>
            <w:tcW w:w="567" w:type="dxa"/>
          </w:tcPr>
          <w:p w:rsidR="00B50BFA" w:rsidRDefault="00B50BFA" w:rsidP="00BF2D12">
            <w:pPr>
              <w:pStyle w:val="yTableNAm"/>
              <w:rPr>
                <w:sz w:val="18"/>
                <w:szCs w:val="18"/>
              </w:rPr>
            </w:pPr>
            <w:r>
              <w:rPr>
                <w:sz w:val="18"/>
                <w:szCs w:val="18"/>
              </w:rPr>
              <w:t>Z.52</w:t>
            </w:r>
          </w:p>
        </w:tc>
        <w:tc>
          <w:tcPr>
            <w:tcW w:w="851" w:type="dxa"/>
            <w:gridSpan w:val="2"/>
          </w:tcPr>
          <w:p w:rsidR="00B50BFA" w:rsidRDefault="00B50BFA" w:rsidP="00BF2D12">
            <w:pPr>
              <w:pStyle w:val="yTableNAm"/>
              <w:rPr>
                <w:sz w:val="18"/>
                <w:szCs w:val="18"/>
              </w:rPr>
            </w:pPr>
            <w:r>
              <w:rPr>
                <w:sz w:val="18"/>
                <w:szCs w:val="18"/>
              </w:rPr>
              <w:t>100</w:t>
            </w:r>
          </w:p>
        </w:tc>
        <w:tc>
          <w:tcPr>
            <w:tcW w:w="1205" w:type="dxa"/>
            <w:gridSpan w:val="2"/>
          </w:tcPr>
          <w:p w:rsidR="00B50BFA" w:rsidRDefault="00B50BFA" w:rsidP="00BF2D12">
            <w:pPr>
              <w:pStyle w:val="yTableNAm"/>
              <w:rPr>
                <w:sz w:val="18"/>
                <w:szCs w:val="18"/>
              </w:rPr>
            </w:pPr>
            <w:r>
              <w:rPr>
                <w:sz w:val="18"/>
                <w:szCs w:val="18"/>
              </w:rPr>
              <w:t>Incandescent</w:t>
            </w:r>
          </w:p>
        </w:tc>
        <w:tc>
          <w:tcPr>
            <w:tcW w:w="1299" w:type="dxa"/>
            <w:gridSpan w:val="2"/>
          </w:tcPr>
          <w:p w:rsidR="00B50BFA" w:rsidRDefault="00B50BFA" w:rsidP="00BF2D12">
            <w:pPr>
              <w:pStyle w:val="yTableNAm"/>
              <w:rPr>
                <w:sz w:val="18"/>
                <w:szCs w:val="18"/>
              </w:rPr>
            </w:pPr>
            <w:r>
              <w:rPr>
                <w:sz w:val="18"/>
                <w:szCs w:val="18"/>
              </w:rPr>
              <w:t>36.0369</w:t>
            </w:r>
          </w:p>
        </w:tc>
        <w:tc>
          <w:tcPr>
            <w:tcW w:w="1512" w:type="dxa"/>
          </w:tcPr>
          <w:p w:rsidR="00B50BFA" w:rsidRDefault="00B50BFA" w:rsidP="00BF2D12">
            <w:pPr>
              <w:pStyle w:val="yTableNAm"/>
              <w:rPr>
                <w:sz w:val="18"/>
                <w:szCs w:val="18"/>
              </w:rPr>
            </w:pPr>
            <w:r>
              <w:rPr>
                <w:sz w:val="18"/>
                <w:szCs w:val="18"/>
              </w:rPr>
              <w:t>37.5373</w:t>
            </w:r>
          </w:p>
        </w:tc>
        <w:tc>
          <w:tcPr>
            <w:tcW w:w="1370" w:type="dxa"/>
          </w:tcPr>
          <w:p w:rsidR="00B50BFA" w:rsidRDefault="00B50BFA" w:rsidP="00BF2D12">
            <w:pPr>
              <w:pStyle w:val="yTableNAm"/>
              <w:rPr>
                <w:sz w:val="18"/>
                <w:szCs w:val="18"/>
              </w:rPr>
            </w:pPr>
            <w:r>
              <w:rPr>
                <w:sz w:val="18"/>
                <w:szCs w:val="18"/>
              </w:rPr>
              <w:t>41.7280</w:t>
            </w:r>
          </w:p>
        </w:tc>
      </w:tr>
      <w:tr w:rsidR="00B50BFA" w:rsidTr="00BF2D12">
        <w:trPr>
          <w:cantSplit/>
        </w:trPr>
        <w:tc>
          <w:tcPr>
            <w:tcW w:w="567" w:type="dxa"/>
            <w:tcBorders>
              <w:bottom w:val="single" w:sz="4" w:space="0" w:color="auto"/>
            </w:tcBorders>
          </w:tcPr>
          <w:p w:rsidR="00B50BFA" w:rsidRDefault="00B50BFA" w:rsidP="00BF2D12">
            <w:pPr>
              <w:pStyle w:val="yTableNAm"/>
              <w:rPr>
                <w:sz w:val="18"/>
                <w:szCs w:val="18"/>
              </w:rPr>
            </w:pPr>
            <w:r>
              <w:rPr>
                <w:sz w:val="18"/>
                <w:szCs w:val="18"/>
              </w:rPr>
              <w:t>Z.56</w:t>
            </w:r>
          </w:p>
        </w:tc>
        <w:tc>
          <w:tcPr>
            <w:tcW w:w="851" w:type="dxa"/>
            <w:gridSpan w:val="2"/>
            <w:tcBorders>
              <w:bottom w:val="single" w:sz="4" w:space="0" w:color="auto"/>
            </w:tcBorders>
          </w:tcPr>
          <w:p w:rsidR="00B50BFA" w:rsidRDefault="00B50BFA" w:rsidP="00BF2D12">
            <w:pPr>
              <w:pStyle w:val="yTableNAm"/>
              <w:rPr>
                <w:sz w:val="18"/>
                <w:szCs w:val="18"/>
              </w:rPr>
            </w:pPr>
            <w:r>
              <w:rPr>
                <w:sz w:val="18"/>
                <w:szCs w:val="18"/>
              </w:rPr>
              <w:t>40</w:t>
            </w:r>
          </w:p>
        </w:tc>
        <w:tc>
          <w:tcPr>
            <w:tcW w:w="1205" w:type="dxa"/>
            <w:gridSpan w:val="2"/>
            <w:tcBorders>
              <w:bottom w:val="single" w:sz="4" w:space="0" w:color="auto"/>
            </w:tcBorders>
          </w:tcPr>
          <w:p w:rsidR="00B50BFA" w:rsidRDefault="00B50BFA" w:rsidP="00BF2D12">
            <w:pPr>
              <w:pStyle w:val="yTableNAm"/>
              <w:rPr>
                <w:sz w:val="18"/>
                <w:szCs w:val="18"/>
              </w:rPr>
            </w:pPr>
            <w:r>
              <w:rPr>
                <w:sz w:val="18"/>
                <w:szCs w:val="18"/>
              </w:rPr>
              <w:t>Fluorescent</w:t>
            </w:r>
          </w:p>
        </w:tc>
        <w:tc>
          <w:tcPr>
            <w:tcW w:w="1299" w:type="dxa"/>
            <w:gridSpan w:val="2"/>
            <w:tcBorders>
              <w:bottom w:val="single" w:sz="4" w:space="0" w:color="auto"/>
            </w:tcBorders>
          </w:tcPr>
          <w:p w:rsidR="00B50BFA" w:rsidRDefault="00B50BFA" w:rsidP="00BF2D12">
            <w:pPr>
              <w:pStyle w:val="yTableNAm"/>
              <w:rPr>
                <w:sz w:val="18"/>
                <w:szCs w:val="18"/>
              </w:rPr>
            </w:pPr>
            <w:r>
              <w:rPr>
                <w:sz w:val="18"/>
                <w:szCs w:val="18"/>
              </w:rPr>
              <w:t>30.6508</w:t>
            </w:r>
          </w:p>
        </w:tc>
        <w:tc>
          <w:tcPr>
            <w:tcW w:w="1512" w:type="dxa"/>
            <w:tcBorders>
              <w:bottom w:val="single" w:sz="4" w:space="0" w:color="auto"/>
            </w:tcBorders>
          </w:tcPr>
          <w:p w:rsidR="00B50BFA" w:rsidRDefault="00B50BFA" w:rsidP="00BF2D12">
            <w:pPr>
              <w:pStyle w:val="yTableNAm"/>
              <w:rPr>
                <w:sz w:val="18"/>
                <w:szCs w:val="18"/>
              </w:rPr>
            </w:pPr>
            <w:r>
              <w:rPr>
                <w:sz w:val="18"/>
                <w:szCs w:val="18"/>
              </w:rPr>
              <w:t>31.4961</w:t>
            </w:r>
          </w:p>
        </w:tc>
        <w:tc>
          <w:tcPr>
            <w:tcW w:w="1370" w:type="dxa"/>
            <w:tcBorders>
              <w:bottom w:val="single" w:sz="4" w:space="0" w:color="auto"/>
            </w:tcBorders>
          </w:tcPr>
          <w:p w:rsidR="00B50BFA" w:rsidRDefault="00B50BFA" w:rsidP="00BF2D12">
            <w:pPr>
              <w:pStyle w:val="yTableNAm"/>
              <w:rPr>
                <w:sz w:val="18"/>
                <w:szCs w:val="18"/>
              </w:rPr>
            </w:pPr>
            <w:r>
              <w:rPr>
                <w:sz w:val="18"/>
                <w:szCs w:val="18"/>
              </w:rPr>
              <w:t>34.7081</w:t>
            </w:r>
          </w:p>
        </w:tc>
      </w:tr>
    </w:tbl>
    <w:p w:rsidR="003C5C80" w:rsidRDefault="003C5C80" w:rsidP="003C5C80">
      <w:pPr>
        <w:pStyle w:val="yFootnotesection"/>
      </w:pPr>
      <w:r>
        <w:tab/>
        <w:t>[Division 1 inserted: SL 2021/98 bl. 4.]</w:t>
      </w:r>
    </w:p>
    <w:p w:rsidR="00B50BFA" w:rsidRDefault="00B50BFA" w:rsidP="00960D09">
      <w:pPr>
        <w:pStyle w:val="yHeading3"/>
      </w:pPr>
      <w:bookmarkStart w:id="49" w:name="_Toc75354805"/>
      <w:bookmarkStart w:id="50" w:name="_Toc75354935"/>
      <w:bookmarkStart w:id="51" w:name="_Toc75355151"/>
      <w:bookmarkStart w:id="52" w:name="_Toc75355629"/>
      <w:bookmarkStart w:id="53" w:name="_Toc75355785"/>
      <w:bookmarkStart w:id="54" w:name="_Toc75356211"/>
      <w:bookmarkStart w:id="55" w:name="_Toc75869849"/>
      <w:r w:rsidRPr="00960D09">
        <w:rPr>
          <w:rStyle w:val="CharSDivNo"/>
        </w:rPr>
        <w:lastRenderedPageBreak/>
        <w:t>Division 2</w:t>
      </w:r>
      <w:r>
        <w:rPr>
          <w:b w:val="0"/>
        </w:rPr>
        <w:t> — </w:t>
      </w:r>
      <w:r w:rsidRPr="00960D09">
        <w:rPr>
          <w:rStyle w:val="CharSDivText"/>
        </w:rPr>
        <w:t>Miscellaneous</w:t>
      </w:r>
      <w:bookmarkEnd w:id="49"/>
      <w:bookmarkEnd w:id="50"/>
      <w:bookmarkEnd w:id="51"/>
      <w:bookmarkEnd w:id="52"/>
      <w:bookmarkEnd w:id="53"/>
      <w:bookmarkEnd w:id="54"/>
      <w:bookmarkEnd w:id="55"/>
    </w:p>
    <w:p w:rsidR="003C5C80" w:rsidRDefault="003C5C80" w:rsidP="00960D09">
      <w:pPr>
        <w:pStyle w:val="yFootnoteheading"/>
        <w:keepNext/>
        <w:spacing w:after="120"/>
      </w:pPr>
      <w:r>
        <w:tab/>
        <w:t>[Heading inserted: SL 2021/98 bl. 4.]</w:t>
      </w:r>
    </w:p>
    <w:p w:rsidR="00B50BFA" w:rsidRDefault="00B50BFA" w:rsidP="00960D09">
      <w:pPr>
        <w:pStyle w:val="yHeading5"/>
      </w:pPr>
      <w:bookmarkStart w:id="56" w:name="_Toc75869850"/>
      <w:r w:rsidRPr="00960D09">
        <w:rPr>
          <w:rStyle w:val="CharSClsNo"/>
        </w:rPr>
        <w:t>1</w:t>
      </w:r>
      <w:r>
        <w:t>.</w:t>
      </w:r>
      <w:r>
        <w:tab/>
        <w:t>Traffic light installation</w:t>
      </w:r>
      <w:bookmarkEnd w:id="56"/>
    </w:p>
    <w:p w:rsidR="00B50BFA" w:rsidRDefault="00B50BFA" w:rsidP="00960D09">
      <w:pPr>
        <w:pStyle w:val="ySubsection"/>
        <w:keepNext/>
      </w:pPr>
      <w:r>
        <w:tab/>
      </w:r>
      <w:r>
        <w:tab/>
        <w:t xml:space="preserve">Supply of electricity to traffic light installations comprises a charge of </w:t>
      </w:r>
      <w:r>
        <w:rPr>
          <w:szCs w:val="22"/>
        </w:rPr>
        <w:t xml:space="preserve">$7.9244 </w:t>
      </w:r>
      <w:r>
        <w:t>per day per kW of installed wattage.</w:t>
      </w:r>
    </w:p>
    <w:p w:rsidR="003C5C80" w:rsidRDefault="003C5C80" w:rsidP="003C5C80">
      <w:pPr>
        <w:pStyle w:val="yFootnotesection"/>
      </w:pPr>
      <w:r>
        <w:tab/>
        <w:t>[Clause 1 inserted: SL 2021/98 bl. 4.]</w:t>
      </w:r>
    </w:p>
    <w:p w:rsidR="00B50BFA" w:rsidRDefault="00B50BFA" w:rsidP="00B50BFA">
      <w:pPr>
        <w:pStyle w:val="yHeading5"/>
      </w:pPr>
      <w:bookmarkStart w:id="57" w:name="_Toc75869851"/>
      <w:r w:rsidRPr="00960D09">
        <w:rPr>
          <w:rStyle w:val="CharSClsNo"/>
        </w:rPr>
        <w:t>2</w:t>
      </w:r>
      <w:r>
        <w:t>.</w:t>
      </w:r>
      <w:r>
        <w:tab/>
        <w:t>Public telephone facility</w:t>
      </w:r>
      <w:bookmarkEnd w:id="57"/>
    </w:p>
    <w:p w:rsidR="00B50BFA" w:rsidRDefault="00B50BFA" w:rsidP="00B50BFA">
      <w:pPr>
        <w:pStyle w:val="ySubsection"/>
      </w:pPr>
      <w:r>
        <w:tab/>
      </w:r>
      <w:r>
        <w:tab/>
        <w:t xml:space="preserve">Supply of electricity to a standard public telephone facility where supply is not independently metered comprises a charge of 67.7400 </w:t>
      </w:r>
      <w:r w:rsidRPr="004B674A">
        <w:t>cents</w:t>
      </w:r>
      <w:r>
        <w:t xml:space="preserve"> per day.</w:t>
      </w:r>
    </w:p>
    <w:p w:rsidR="003C5C80" w:rsidRDefault="003C5C80" w:rsidP="003C5C80">
      <w:pPr>
        <w:pStyle w:val="yFootnotesection"/>
      </w:pPr>
      <w:r>
        <w:tab/>
        <w:t>[Clause 2 inserted: SL 2021/98 bl. 4.]</w:t>
      </w:r>
    </w:p>
    <w:p w:rsidR="00B50BFA" w:rsidRDefault="00B50BFA" w:rsidP="00B50BFA">
      <w:pPr>
        <w:pStyle w:val="yHeading5"/>
      </w:pPr>
      <w:bookmarkStart w:id="58" w:name="_Toc75869852"/>
      <w:r w:rsidRPr="00960D09">
        <w:rPr>
          <w:rStyle w:val="CharSClsNo"/>
        </w:rPr>
        <w:t>3</w:t>
      </w:r>
      <w:r>
        <w:t>.</w:t>
      </w:r>
      <w:r>
        <w:tab/>
        <w:t>Railway crossing</w:t>
      </w:r>
      <w:bookmarkEnd w:id="58"/>
    </w:p>
    <w:p w:rsidR="00B50BFA" w:rsidRDefault="00B50BFA" w:rsidP="00B50BFA">
      <w:pPr>
        <w:pStyle w:val="ySubsection"/>
      </w:pPr>
      <w:r>
        <w:tab/>
      </w:r>
      <w:r>
        <w:tab/>
        <w:t xml:space="preserve">Supply of electricity to standard railway crossing lights comprises a charge of </w:t>
      </w:r>
      <w:r>
        <w:rPr>
          <w:szCs w:val="22"/>
        </w:rPr>
        <w:t xml:space="preserve">86.5672 </w:t>
      </w:r>
      <w:r w:rsidRPr="004B674A">
        <w:t>cents</w:t>
      </w:r>
      <w:r>
        <w:t xml:space="preserve"> per day.</w:t>
      </w:r>
    </w:p>
    <w:p w:rsidR="003C5C80" w:rsidRDefault="003C5C80" w:rsidP="00960D09">
      <w:pPr>
        <w:pStyle w:val="yFootnotesection"/>
      </w:pPr>
      <w:r>
        <w:tab/>
        <w:t>[Clause 3 inserted: SL 2021/98 bl. 4.]</w:t>
      </w:r>
    </w:p>
    <w:p w:rsidR="00C10FC0" w:rsidRDefault="00C10FC0">
      <w:pPr>
        <w:pStyle w:val="yScheduleHeading"/>
      </w:pPr>
      <w:bookmarkStart w:id="59" w:name="_Toc75351084"/>
      <w:bookmarkStart w:id="60" w:name="_Toc75351253"/>
      <w:bookmarkStart w:id="61" w:name="_Toc75354809"/>
      <w:bookmarkStart w:id="62" w:name="_Toc75354939"/>
      <w:bookmarkStart w:id="63" w:name="_Toc75355155"/>
      <w:bookmarkStart w:id="64" w:name="_Toc75355633"/>
      <w:bookmarkStart w:id="65" w:name="_Toc75355789"/>
      <w:bookmarkStart w:id="66" w:name="_Toc75356215"/>
      <w:bookmarkStart w:id="67" w:name="_Toc75869853"/>
      <w:bookmarkEnd w:id="40"/>
      <w:bookmarkEnd w:id="41"/>
      <w:r>
        <w:rPr>
          <w:rStyle w:val="CharSchNo"/>
        </w:rPr>
        <w:lastRenderedPageBreak/>
        <w:t>Schedule 3</w:t>
      </w:r>
      <w:r>
        <w:rPr>
          <w:rStyle w:val="CharSDivNo"/>
        </w:rPr>
        <w:t> </w:t>
      </w:r>
      <w:r>
        <w:t>—</w:t>
      </w:r>
      <w:r>
        <w:rPr>
          <w:rStyle w:val="CharSDivText"/>
        </w:rPr>
        <w:t> </w:t>
      </w:r>
      <w:r>
        <w:rPr>
          <w:rStyle w:val="CharSchText"/>
        </w:rPr>
        <w:t>Meter rental</w:t>
      </w:r>
      <w:bookmarkEnd w:id="59"/>
      <w:bookmarkEnd w:id="60"/>
      <w:bookmarkEnd w:id="61"/>
      <w:bookmarkEnd w:id="62"/>
      <w:bookmarkEnd w:id="63"/>
      <w:bookmarkEnd w:id="64"/>
      <w:bookmarkEnd w:id="65"/>
      <w:bookmarkEnd w:id="66"/>
      <w:bookmarkEnd w:id="67"/>
    </w:p>
    <w:p w:rsidR="00C10FC0" w:rsidRDefault="00C10FC0">
      <w:pPr>
        <w:pStyle w:val="yShoulderClause"/>
      </w:pPr>
      <w:r>
        <w:t>[bl. 6(1)]</w:t>
      </w:r>
    </w:p>
    <w:p w:rsidR="00C10FC0" w:rsidRDefault="00C10FC0">
      <w:pPr>
        <w:pStyle w:val="yMiscellaneousBody"/>
      </w:pPr>
      <w:r>
        <w:t>The rental payable in respect of a subsidiary meter is 15.97 cents per day.</w:t>
      </w:r>
    </w:p>
    <w:p w:rsidR="00C10FC0" w:rsidRDefault="00C10FC0">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rsidR="00B50BFA" w:rsidRDefault="00B50BFA" w:rsidP="00B50BFA">
      <w:pPr>
        <w:pStyle w:val="yScheduleHeading"/>
      </w:pPr>
      <w:bookmarkStart w:id="68" w:name="_Toc75354810"/>
      <w:bookmarkStart w:id="69" w:name="_Toc75354940"/>
      <w:bookmarkStart w:id="70" w:name="_Toc75355156"/>
      <w:bookmarkStart w:id="71" w:name="_Toc75355634"/>
      <w:bookmarkStart w:id="72" w:name="_Toc75355790"/>
      <w:bookmarkStart w:id="73" w:name="_Toc75356216"/>
      <w:bookmarkStart w:id="74" w:name="_Toc75869854"/>
      <w:bookmarkStart w:id="75" w:name="_Toc75351085"/>
      <w:bookmarkStart w:id="76" w:name="_Toc75351254"/>
      <w:r w:rsidRPr="00960D09">
        <w:rPr>
          <w:rStyle w:val="CharSchNo"/>
        </w:rPr>
        <w:lastRenderedPageBreak/>
        <w:t>Schedule 4</w:t>
      </w:r>
      <w:r>
        <w:t> — </w:t>
      </w:r>
      <w:r w:rsidRPr="00960D09">
        <w:rPr>
          <w:rStyle w:val="CharSchText"/>
        </w:rPr>
        <w:t>Fees</w:t>
      </w:r>
      <w:bookmarkEnd w:id="68"/>
      <w:bookmarkEnd w:id="69"/>
      <w:bookmarkEnd w:id="70"/>
      <w:bookmarkEnd w:id="71"/>
      <w:bookmarkEnd w:id="72"/>
      <w:bookmarkEnd w:id="73"/>
      <w:bookmarkEnd w:id="74"/>
    </w:p>
    <w:p w:rsidR="00B50BFA" w:rsidRDefault="00B50BFA" w:rsidP="00B50BFA">
      <w:pPr>
        <w:pStyle w:val="yShoulderClause"/>
      </w:pPr>
      <w:r>
        <w:t>[bl. 7]</w:t>
      </w:r>
    </w:p>
    <w:p w:rsidR="006023C5" w:rsidRPr="00960D09" w:rsidRDefault="006023C5" w:rsidP="00960D09">
      <w:pPr>
        <w:pStyle w:val="yFootnoteheading"/>
        <w:spacing w:after="120"/>
      </w:pPr>
      <w:r>
        <w:tab/>
        <w:t>[Heading inserted: SL 2021/98 bl. 5.]</w:t>
      </w:r>
    </w:p>
    <w:tbl>
      <w:tblPr>
        <w:tblW w:w="6804" w:type="dxa"/>
        <w:tblInd w:w="284" w:type="dxa"/>
        <w:tblLayout w:type="fixed"/>
        <w:tblCellMar>
          <w:left w:w="142" w:type="dxa"/>
          <w:right w:w="142" w:type="dxa"/>
        </w:tblCellMar>
        <w:tblLook w:val="0000" w:firstRow="0" w:lastRow="0" w:firstColumn="0" w:lastColumn="0" w:noHBand="0" w:noVBand="0"/>
      </w:tblPr>
      <w:tblGrid>
        <w:gridCol w:w="5528"/>
        <w:gridCol w:w="1276"/>
      </w:tblGrid>
      <w:tr w:rsidR="00B50BFA" w:rsidTr="00BF2D12">
        <w:trPr>
          <w:cantSplit/>
          <w:tblHeader/>
        </w:trPr>
        <w:tc>
          <w:tcPr>
            <w:tcW w:w="5528" w:type="dxa"/>
            <w:tcBorders>
              <w:top w:val="single" w:sz="4" w:space="0" w:color="auto"/>
              <w:bottom w:val="single" w:sz="4" w:space="0" w:color="auto"/>
            </w:tcBorders>
          </w:tcPr>
          <w:p w:rsidR="00B50BFA" w:rsidRDefault="00B50BFA" w:rsidP="00BF2D12">
            <w:pPr>
              <w:pStyle w:val="yTableNAm"/>
              <w:keepNext/>
              <w:ind w:left="556"/>
              <w:rPr>
                <w:b/>
                <w:iCs/>
              </w:rPr>
            </w:pPr>
            <w:r>
              <w:rPr>
                <w:b/>
                <w:iCs/>
              </w:rPr>
              <w:t>Description of fee</w:t>
            </w:r>
          </w:p>
        </w:tc>
        <w:tc>
          <w:tcPr>
            <w:tcW w:w="1276" w:type="dxa"/>
            <w:tcBorders>
              <w:top w:val="single" w:sz="4" w:space="0" w:color="auto"/>
              <w:bottom w:val="single" w:sz="4" w:space="0" w:color="auto"/>
            </w:tcBorders>
          </w:tcPr>
          <w:p w:rsidR="00B50BFA" w:rsidRDefault="00B50BFA" w:rsidP="00BF2D12">
            <w:pPr>
              <w:pStyle w:val="yTableNAm"/>
              <w:keepNext/>
              <w:rPr>
                <w:b/>
                <w:iCs/>
              </w:rPr>
            </w:pPr>
            <w:r>
              <w:rPr>
                <w:b/>
                <w:iCs/>
              </w:rPr>
              <w:t>Amount</w:t>
            </w:r>
          </w:p>
        </w:tc>
      </w:tr>
      <w:tr w:rsidR="00B50BFA" w:rsidTr="00BF2D12">
        <w:trPr>
          <w:cantSplit/>
        </w:trPr>
        <w:tc>
          <w:tcPr>
            <w:tcW w:w="5528" w:type="dxa"/>
            <w:tcBorders>
              <w:top w:val="single" w:sz="4" w:space="0" w:color="auto"/>
            </w:tcBorders>
          </w:tcPr>
          <w:p w:rsidR="00B50BFA" w:rsidRDefault="00B50BFA" w:rsidP="00BF2D12">
            <w:pPr>
              <w:pStyle w:val="yTableNAm"/>
              <w:keepNext/>
              <w:tabs>
                <w:tab w:val="right" w:leader="dot" w:pos="5387"/>
              </w:tabs>
              <w:ind w:left="556" w:right="-85" w:hanging="556"/>
            </w:pPr>
            <w:r>
              <w:t>1.</w:t>
            </w:r>
            <w:r>
              <w:tab/>
              <w:t>Non</w:t>
            </w:r>
            <w:r>
              <w:noBreakHyphen/>
              <w:t xml:space="preserve">refundable account establishment fee payable on the establishment or transfer of an account </w:t>
            </w:r>
            <w:r>
              <w:tab/>
            </w:r>
          </w:p>
        </w:tc>
        <w:tc>
          <w:tcPr>
            <w:tcW w:w="1276" w:type="dxa"/>
            <w:tcBorders>
              <w:top w:val="single" w:sz="4" w:space="0" w:color="auto"/>
            </w:tcBorders>
            <w:vAlign w:val="bottom"/>
          </w:tcPr>
          <w:p w:rsidR="00B50BFA" w:rsidRDefault="00B50BFA" w:rsidP="00BF2D12">
            <w:pPr>
              <w:pStyle w:val="yTableNAm"/>
              <w:keepNext/>
            </w:pPr>
            <w:r>
              <w:t>$37.20</w:t>
            </w:r>
          </w:p>
        </w:tc>
      </w:tr>
      <w:tr w:rsidR="00B50BFA" w:rsidTr="00BF2D12">
        <w:trPr>
          <w:cantSplit/>
        </w:trPr>
        <w:tc>
          <w:tcPr>
            <w:tcW w:w="5528" w:type="dxa"/>
            <w:vAlign w:val="bottom"/>
          </w:tcPr>
          <w:p w:rsidR="00B50BFA" w:rsidRDefault="00B50BFA" w:rsidP="00BF2D12">
            <w:pPr>
              <w:pStyle w:val="yTableNAm"/>
              <w:keepNext/>
              <w:tabs>
                <w:tab w:val="right" w:leader="dot" w:pos="5386"/>
              </w:tabs>
              <w:ind w:left="556" w:right="-85" w:hanging="556"/>
            </w:pPr>
            <w:r>
              <w:t>2.</w:t>
            </w:r>
            <w:r>
              <w:tab/>
              <w:t>Non</w:t>
            </w:r>
            <w:r>
              <w:noBreakHyphen/>
              <w:t>refundable reconnection fee where supply has been terminated for non</w:t>
            </w:r>
            <w:r>
              <w:noBreakHyphen/>
              <w:t xml:space="preserve">payment of charges or for any other lawful reason — </w:t>
            </w:r>
          </w:p>
        </w:tc>
        <w:tc>
          <w:tcPr>
            <w:tcW w:w="1276" w:type="dxa"/>
            <w:vAlign w:val="bottom"/>
          </w:tcPr>
          <w:p w:rsidR="00B50BFA" w:rsidRDefault="00B50BFA" w:rsidP="00BF2D12">
            <w:pPr>
              <w:pStyle w:val="yTableNAm"/>
            </w:pPr>
          </w:p>
        </w:tc>
      </w:tr>
      <w:tr w:rsidR="00B50BFA" w:rsidTr="00BF2D12">
        <w:trPr>
          <w:cantSplit/>
        </w:trPr>
        <w:tc>
          <w:tcPr>
            <w:tcW w:w="5528" w:type="dxa"/>
            <w:vAlign w:val="bottom"/>
          </w:tcPr>
          <w:p w:rsidR="00B50BFA" w:rsidRDefault="00B50BFA" w:rsidP="00BF2D12">
            <w:pPr>
              <w:pStyle w:val="yTableNAm"/>
              <w:tabs>
                <w:tab w:val="left" w:pos="1134"/>
                <w:tab w:val="right" w:leader="dot" w:pos="5387"/>
              </w:tabs>
              <w:ind w:left="1157" w:right="-85" w:hanging="590"/>
            </w:pPr>
            <w:r>
              <w:t>(a)</w:t>
            </w:r>
            <w:r>
              <w:tab/>
              <w:t>for urgent reconnection at request of customer (other than life support customer) where the service is performed within a period less than the standard re</w:t>
            </w:r>
            <w:r>
              <w:noBreakHyphen/>
              <w:t>energisation timeframe set out in the MSLA</w:t>
            </w:r>
            <w:r>
              <w:tab/>
            </w:r>
          </w:p>
        </w:tc>
        <w:tc>
          <w:tcPr>
            <w:tcW w:w="1276" w:type="dxa"/>
            <w:vAlign w:val="bottom"/>
          </w:tcPr>
          <w:p w:rsidR="00B50BFA" w:rsidRDefault="00B50BFA" w:rsidP="00BF2D12">
            <w:pPr>
              <w:pStyle w:val="yTableNAm"/>
            </w:pPr>
            <w:r>
              <w:t>$213.76</w:t>
            </w:r>
          </w:p>
        </w:tc>
      </w:tr>
      <w:tr w:rsidR="00B50BFA" w:rsidTr="00BF2D12">
        <w:trPr>
          <w:cantSplit/>
        </w:trPr>
        <w:tc>
          <w:tcPr>
            <w:tcW w:w="5528" w:type="dxa"/>
          </w:tcPr>
          <w:p w:rsidR="00B50BFA" w:rsidRDefault="00B50BFA" w:rsidP="00BF2D12">
            <w:pPr>
              <w:pStyle w:val="yTableNAm"/>
              <w:tabs>
                <w:tab w:val="left" w:pos="1156"/>
                <w:tab w:val="right" w:leader="dot" w:pos="5387"/>
              </w:tabs>
              <w:ind w:left="1157" w:right="-85" w:hanging="590"/>
            </w:pPr>
            <w:r>
              <w:t>(b)</w:t>
            </w:r>
            <w:r>
              <w:tab/>
              <w:t>otherwise</w:t>
            </w:r>
            <w:r>
              <w:tab/>
            </w:r>
          </w:p>
        </w:tc>
        <w:tc>
          <w:tcPr>
            <w:tcW w:w="1276" w:type="dxa"/>
          </w:tcPr>
          <w:p w:rsidR="00B50BFA" w:rsidRDefault="00B50BFA" w:rsidP="00BF2D12">
            <w:pPr>
              <w:pStyle w:val="yTableNAm"/>
            </w:pPr>
            <w:r>
              <w:t>$31.10</w:t>
            </w:r>
          </w:p>
        </w:tc>
      </w:tr>
      <w:tr w:rsidR="00B50BFA" w:rsidTr="00BF2D12">
        <w:trPr>
          <w:cantSplit/>
        </w:trPr>
        <w:tc>
          <w:tcPr>
            <w:tcW w:w="5528" w:type="dxa"/>
          </w:tcPr>
          <w:p w:rsidR="00B50BFA" w:rsidRDefault="00B50BFA" w:rsidP="00BF2D12">
            <w:pPr>
              <w:pStyle w:val="yTableNAm"/>
              <w:tabs>
                <w:tab w:val="right" w:leader="dot" w:pos="5387"/>
              </w:tabs>
              <w:ind w:left="556" w:right="-85" w:hanging="556"/>
            </w:pPr>
            <w:r>
              <w:t>3.</w:t>
            </w:r>
            <w:r>
              <w:tab/>
              <w:t>Temporary supply connection — </w:t>
            </w:r>
          </w:p>
        </w:tc>
        <w:tc>
          <w:tcPr>
            <w:tcW w:w="1276" w:type="dxa"/>
          </w:tcPr>
          <w:p w:rsidR="00B50BFA" w:rsidRDefault="00B50BFA" w:rsidP="00BF2D12">
            <w:pPr>
              <w:pStyle w:val="yTableNAm"/>
            </w:pPr>
          </w:p>
        </w:tc>
      </w:tr>
      <w:tr w:rsidR="00B50BFA" w:rsidTr="00BF2D12">
        <w:trPr>
          <w:cantSplit/>
        </w:trPr>
        <w:tc>
          <w:tcPr>
            <w:tcW w:w="5528" w:type="dxa"/>
          </w:tcPr>
          <w:p w:rsidR="00B50BFA" w:rsidRDefault="00B50BFA" w:rsidP="00BF2D12">
            <w:pPr>
              <w:pStyle w:val="yTableNAm"/>
              <w:tabs>
                <w:tab w:val="left" w:pos="1134"/>
                <w:tab w:val="right" w:leader="dot" w:pos="5386"/>
              </w:tabs>
              <w:ind w:left="1157" w:right="-85" w:hanging="590"/>
            </w:pPr>
            <w:r>
              <w:t>(a)</w:t>
            </w:r>
            <w:r>
              <w:tab/>
              <w:t xml:space="preserve">single phase (overhead) </w:t>
            </w:r>
            <w:r>
              <w:tab/>
            </w:r>
          </w:p>
        </w:tc>
        <w:tc>
          <w:tcPr>
            <w:tcW w:w="1276" w:type="dxa"/>
          </w:tcPr>
          <w:p w:rsidR="00B50BFA" w:rsidRDefault="00B50BFA" w:rsidP="00BF2D12">
            <w:pPr>
              <w:pStyle w:val="yTableNAm"/>
            </w:pPr>
            <w:r>
              <w:t>$300.00</w:t>
            </w:r>
          </w:p>
        </w:tc>
      </w:tr>
      <w:tr w:rsidR="00B50BFA" w:rsidTr="00BF2D12">
        <w:trPr>
          <w:cantSplit/>
        </w:trPr>
        <w:tc>
          <w:tcPr>
            <w:tcW w:w="5528" w:type="dxa"/>
          </w:tcPr>
          <w:p w:rsidR="00B50BFA" w:rsidRDefault="00B50BFA" w:rsidP="00BF2D12">
            <w:pPr>
              <w:pStyle w:val="yTableNAm"/>
              <w:tabs>
                <w:tab w:val="left" w:pos="1134"/>
                <w:tab w:val="right" w:leader="dot" w:pos="5386"/>
              </w:tabs>
              <w:ind w:left="1157" w:right="-85" w:hanging="590"/>
            </w:pPr>
            <w:r>
              <w:t>(b)</w:t>
            </w:r>
            <w:r>
              <w:tab/>
            </w:r>
            <w:r w:rsidRPr="004B674A">
              <w:t>three</w:t>
            </w:r>
            <w:r>
              <w:t xml:space="preserve"> phase (overhead) </w:t>
            </w:r>
            <w:r>
              <w:tab/>
            </w:r>
          </w:p>
        </w:tc>
        <w:tc>
          <w:tcPr>
            <w:tcW w:w="1276" w:type="dxa"/>
          </w:tcPr>
          <w:p w:rsidR="00B50BFA" w:rsidRDefault="00B50BFA" w:rsidP="00BF2D12">
            <w:pPr>
              <w:pStyle w:val="yTableNAm"/>
            </w:pPr>
            <w:r>
              <w:t>$600.00</w:t>
            </w:r>
          </w:p>
        </w:tc>
      </w:tr>
      <w:tr w:rsidR="00B50BFA" w:rsidTr="00BF2D12">
        <w:trPr>
          <w:cantSplit/>
        </w:trPr>
        <w:tc>
          <w:tcPr>
            <w:tcW w:w="5528" w:type="dxa"/>
          </w:tcPr>
          <w:p w:rsidR="00B50BFA" w:rsidRDefault="00B50BFA" w:rsidP="00BF2D12">
            <w:pPr>
              <w:pStyle w:val="yTableNAm"/>
              <w:keepNext/>
              <w:tabs>
                <w:tab w:val="right" w:leader="dot" w:pos="5387"/>
              </w:tabs>
              <w:ind w:left="556" w:right="-85" w:hanging="556"/>
            </w:pPr>
            <w:r>
              <w:t>4.</w:t>
            </w:r>
            <w:r>
              <w:tab/>
              <w:t>Meter testing — </w:t>
            </w:r>
          </w:p>
        </w:tc>
        <w:tc>
          <w:tcPr>
            <w:tcW w:w="1276" w:type="dxa"/>
          </w:tcPr>
          <w:p w:rsidR="00B50BFA" w:rsidRDefault="00B50BFA" w:rsidP="00BF2D12">
            <w:pPr>
              <w:pStyle w:val="yTableNAm"/>
              <w:keepNext/>
            </w:pPr>
          </w:p>
        </w:tc>
      </w:tr>
      <w:tr w:rsidR="00B50BFA" w:rsidTr="00BF2D12">
        <w:trPr>
          <w:cantSplit/>
        </w:trPr>
        <w:tc>
          <w:tcPr>
            <w:tcW w:w="5528" w:type="dxa"/>
          </w:tcPr>
          <w:p w:rsidR="00B50BFA" w:rsidRDefault="00B50BFA" w:rsidP="00BF2D12">
            <w:pPr>
              <w:pStyle w:val="yTableNAm"/>
              <w:tabs>
                <w:tab w:val="left" w:pos="1134"/>
                <w:tab w:val="right" w:leader="dot" w:pos="5386"/>
              </w:tabs>
              <w:ind w:left="1157" w:right="-85" w:hanging="590"/>
            </w:pPr>
            <w:r>
              <w:t>(a)</w:t>
            </w:r>
            <w:r>
              <w:tab/>
              <w:t xml:space="preserve">standard meter testing fee </w:t>
            </w:r>
            <w:r>
              <w:tab/>
            </w:r>
          </w:p>
        </w:tc>
        <w:tc>
          <w:tcPr>
            <w:tcW w:w="1276" w:type="dxa"/>
          </w:tcPr>
          <w:p w:rsidR="00B50BFA" w:rsidRDefault="00B50BFA" w:rsidP="00BF2D12">
            <w:pPr>
              <w:pStyle w:val="yTableNAm"/>
            </w:pPr>
            <w:r>
              <w:t>$336.15</w:t>
            </w:r>
          </w:p>
        </w:tc>
      </w:tr>
      <w:tr w:rsidR="00B50BFA" w:rsidTr="00BF2D12">
        <w:trPr>
          <w:cantSplit/>
        </w:trPr>
        <w:tc>
          <w:tcPr>
            <w:tcW w:w="5528" w:type="dxa"/>
          </w:tcPr>
          <w:p w:rsidR="00B50BFA" w:rsidRDefault="00B50BFA" w:rsidP="00BF2D12">
            <w:pPr>
              <w:pStyle w:val="yTableNAm"/>
              <w:tabs>
                <w:tab w:val="left" w:pos="1134"/>
                <w:tab w:val="right" w:leader="dot" w:pos="5386"/>
              </w:tabs>
              <w:ind w:left="1157" w:right="-85" w:hanging="590"/>
            </w:pPr>
            <w:r>
              <w:t>(b)</w:t>
            </w:r>
            <w:r>
              <w:tab/>
              <w:t xml:space="preserve">reduced meter testing fee </w:t>
            </w:r>
            <w:r>
              <w:tab/>
            </w:r>
          </w:p>
        </w:tc>
        <w:tc>
          <w:tcPr>
            <w:tcW w:w="1276" w:type="dxa"/>
          </w:tcPr>
          <w:p w:rsidR="00B50BFA" w:rsidRDefault="00B50BFA" w:rsidP="00BF2D12">
            <w:pPr>
              <w:pStyle w:val="yTableNAm"/>
            </w:pPr>
            <w:r>
              <w:t>$144.00</w:t>
            </w:r>
          </w:p>
        </w:tc>
      </w:tr>
      <w:tr w:rsidR="00B50BFA" w:rsidTr="00BF2D12">
        <w:trPr>
          <w:cantSplit/>
        </w:trPr>
        <w:tc>
          <w:tcPr>
            <w:tcW w:w="5528" w:type="dxa"/>
          </w:tcPr>
          <w:p w:rsidR="00B50BFA" w:rsidRDefault="00B50BFA" w:rsidP="00BF2D12">
            <w:pPr>
              <w:pStyle w:val="yTableNAm"/>
              <w:tabs>
                <w:tab w:val="right" w:leader="dot" w:pos="5387"/>
              </w:tabs>
              <w:ind w:left="556" w:right="-85" w:hanging="556"/>
            </w:pPr>
            <w:r>
              <w:t>5.</w:t>
            </w:r>
            <w:r>
              <w:tab/>
              <w:t xml:space="preserve">Upgrade or replacement of meter </w:t>
            </w:r>
            <w:r>
              <w:tab/>
            </w:r>
          </w:p>
        </w:tc>
        <w:tc>
          <w:tcPr>
            <w:tcW w:w="1276" w:type="dxa"/>
            <w:vAlign w:val="bottom"/>
          </w:tcPr>
          <w:p w:rsidR="00B50BFA" w:rsidRDefault="00B50BFA" w:rsidP="00BF2D12">
            <w:pPr>
              <w:pStyle w:val="yTableNAm"/>
            </w:pPr>
            <w:r>
              <w:t>$95.70</w:t>
            </w:r>
          </w:p>
        </w:tc>
      </w:tr>
      <w:tr w:rsidR="00B50BFA" w:rsidTr="00BF2D12">
        <w:trPr>
          <w:cantSplit/>
        </w:trPr>
        <w:tc>
          <w:tcPr>
            <w:tcW w:w="5528" w:type="dxa"/>
          </w:tcPr>
          <w:p w:rsidR="00B50BFA" w:rsidRDefault="00B50BFA" w:rsidP="00BF2D12">
            <w:pPr>
              <w:pStyle w:val="yTableNAm"/>
              <w:tabs>
                <w:tab w:val="right" w:leader="dot" w:pos="5387"/>
              </w:tabs>
              <w:ind w:left="556" w:right="-85" w:hanging="556"/>
            </w:pPr>
            <w:r>
              <w:t>6.</w:t>
            </w:r>
            <w:r>
              <w:tab/>
              <w:t xml:space="preserve">Disconnection of overhead service leads following unauthorised reconnection </w:t>
            </w:r>
            <w:r>
              <w:tab/>
            </w:r>
          </w:p>
        </w:tc>
        <w:tc>
          <w:tcPr>
            <w:tcW w:w="1276" w:type="dxa"/>
            <w:vAlign w:val="bottom"/>
          </w:tcPr>
          <w:p w:rsidR="00B50BFA" w:rsidRDefault="00B50BFA" w:rsidP="00BF2D12">
            <w:pPr>
              <w:pStyle w:val="yTableNAm"/>
            </w:pPr>
            <w:r>
              <w:t>$194.00</w:t>
            </w:r>
          </w:p>
        </w:tc>
      </w:tr>
      <w:tr w:rsidR="00B50BFA" w:rsidTr="00BF2D12">
        <w:trPr>
          <w:cantSplit/>
        </w:trPr>
        <w:tc>
          <w:tcPr>
            <w:tcW w:w="5528" w:type="dxa"/>
          </w:tcPr>
          <w:p w:rsidR="00B50BFA" w:rsidRDefault="00B50BFA" w:rsidP="00BF2D12">
            <w:pPr>
              <w:pStyle w:val="yTableNAm"/>
              <w:tabs>
                <w:tab w:val="right" w:leader="dot" w:pos="5387"/>
              </w:tabs>
              <w:ind w:left="556" w:right="-85" w:hanging="556"/>
            </w:pPr>
            <w:r>
              <w:t>7.</w:t>
            </w:r>
            <w:r>
              <w:tab/>
              <w:t>Meter reading where reading requested by consumer</w:t>
            </w:r>
          </w:p>
        </w:tc>
        <w:tc>
          <w:tcPr>
            <w:tcW w:w="1276" w:type="dxa"/>
          </w:tcPr>
          <w:p w:rsidR="00B50BFA" w:rsidRDefault="00B50BFA" w:rsidP="00BF2D12">
            <w:pPr>
              <w:pStyle w:val="yTableNAm"/>
            </w:pPr>
            <w:r>
              <w:t>$27.90</w:t>
            </w:r>
          </w:p>
        </w:tc>
      </w:tr>
      <w:tr w:rsidR="00B50BFA" w:rsidTr="00BF2D12">
        <w:trPr>
          <w:cantSplit/>
        </w:trPr>
        <w:tc>
          <w:tcPr>
            <w:tcW w:w="5528" w:type="dxa"/>
          </w:tcPr>
          <w:p w:rsidR="00B50BFA" w:rsidRDefault="00B50BFA" w:rsidP="00BF2D12">
            <w:pPr>
              <w:pStyle w:val="yTableNAm"/>
              <w:tabs>
                <w:tab w:val="right" w:leader="dot" w:pos="5387"/>
              </w:tabs>
              <w:ind w:left="556" w:right="-85" w:hanging="556"/>
            </w:pPr>
            <w:r>
              <w:t>8.</w:t>
            </w:r>
            <w:r>
              <w:tab/>
              <w:t xml:space="preserve">Remote meter reading </w:t>
            </w:r>
            <w:r>
              <w:tab/>
            </w:r>
          </w:p>
        </w:tc>
        <w:tc>
          <w:tcPr>
            <w:tcW w:w="1276" w:type="dxa"/>
          </w:tcPr>
          <w:p w:rsidR="00B50BFA" w:rsidRDefault="00B50BFA" w:rsidP="00BF2D12">
            <w:pPr>
              <w:pStyle w:val="yTableNAm"/>
            </w:pPr>
            <w:r>
              <w:t>$17.60</w:t>
            </w:r>
          </w:p>
        </w:tc>
      </w:tr>
      <w:tr w:rsidR="00B50BFA" w:rsidTr="00BF2D12">
        <w:trPr>
          <w:cantSplit/>
        </w:trPr>
        <w:tc>
          <w:tcPr>
            <w:tcW w:w="5528" w:type="dxa"/>
          </w:tcPr>
          <w:p w:rsidR="00B50BFA" w:rsidRDefault="00B50BFA" w:rsidP="00BF2D12">
            <w:pPr>
              <w:pStyle w:val="yTableNAm"/>
              <w:tabs>
                <w:tab w:val="right" w:leader="dot" w:pos="5387"/>
              </w:tabs>
              <w:ind w:left="556" w:right="-85" w:hanging="556"/>
            </w:pPr>
            <w:r>
              <w:t>9.</w:t>
            </w:r>
            <w:r>
              <w:tab/>
              <w:t xml:space="preserve">Overdue account notices </w:t>
            </w:r>
            <w:r>
              <w:tab/>
            </w:r>
          </w:p>
        </w:tc>
        <w:tc>
          <w:tcPr>
            <w:tcW w:w="1276" w:type="dxa"/>
          </w:tcPr>
          <w:p w:rsidR="00B50BFA" w:rsidRDefault="00B50BFA" w:rsidP="00BF2D12">
            <w:pPr>
              <w:pStyle w:val="yTableNAm"/>
            </w:pPr>
            <w:r>
              <w:t>$6.15</w:t>
            </w:r>
          </w:p>
        </w:tc>
      </w:tr>
      <w:tr w:rsidR="00B50BFA" w:rsidTr="00BF2D12">
        <w:trPr>
          <w:cantSplit/>
        </w:trPr>
        <w:tc>
          <w:tcPr>
            <w:tcW w:w="5528" w:type="dxa"/>
          </w:tcPr>
          <w:p w:rsidR="00B50BFA" w:rsidRDefault="00B50BFA" w:rsidP="00BF2D12">
            <w:pPr>
              <w:pStyle w:val="yTableNAm"/>
              <w:tabs>
                <w:tab w:val="right" w:leader="dot" w:pos="5387"/>
              </w:tabs>
              <w:ind w:left="556" w:right="-85" w:hanging="556"/>
            </w:pPr>
            <w:r>
              <w:t>10.</w:t>
            </w:r>
            <w:r>
              <w:tab/>
              <w:t>Tariff R1 or R3 “time</w:t>
            </w:r>
            <w:r>
              <w:noBreakHyphen/>
              <w:t>of</w:t>
            </w:r>
            <w:r>
              <w:noBreakHyphen/>
              <w:t xml:space="preserve">use meter” installation fee </w:t>
            </w:r>
            <w:r>
              <w:tab/>
            </w:r>
          </w:p>
        </w:tc>
        <w:tc>
          <w:tcPr>
            <w:tcW w:w="1276" w:type="dxa"/>
          </w:tcPr>
          <w:p w:rsidR="00B50BFA" w:rsidRDefault="00B50BFA" w:rsidP="00BF2D12">
            <w:pPr>
              <w:pStyle w:val="yTableNAm"/>
            </w:pPr>
            <w:r>
              <w:t>$786.40</w:t>
            </w:r>
          </w:p>
        </w:tc>
      </w:tr>
      <w:tr w:rsidR="00B50BFA" w:rsidTr="00BF2D12">
        <w:trPr>
          <w:cantSplit/>
        </w:trPr>
        <w:tc>
          <w:tcPr>
            <w:tcW w:w="5528" w:type="dxa"/>
          </w:tcPr>
          <w:p w:rsidR="00B50BFA" w:rsidRDefault="00B50BFA" w:rsidP="00BF2D12">
            <w:pPr>
              <w:pStyle w:val="yTableNAm"/>
              <w:tabs>
                <w:tab w:val="right" w:leader="dot" w:pos="5387"/>
              </w:tabs>
              <w:ind w:left="556" w:right="-85" w:hanging="556"/>
            </w:pPr>
            <w:r>
              <w:lastRenderedPageBreak/>
              <w:t>11.</w:t>
            </w:r>
            <w:r>
              <w:tab/>
              <w:t xml:space="preserve">Fee for provision of cellular communications capability for meter (where radio mesh network cannot be used) </w:t>
            </w:r>
            <w:r>
              <w:tab/>
            </w:r>
          </w:p>
        </w:tc>
        <w:tc>
          <w:tcPr>
            <w:tcW w:w="1276" w:type="dxa"/>
          </w:tcPr>
          <w:p w:rsidR="00B50BFA" w:rsidRDefault="00B50BFA" w:rsidP="00BF2D12">
            <w:pPr>
              <w:pStyle w:val="yTableNAm"/>
            </w:pPr>
            <w:r>
              <w:br/>
            </w:r>
            <w:r>
              <w:br/>
              <w:t>$384.00</w:t>
            </w:r>
          </w:p>
        </w:tc>
      </w:tr>
      <w:tr w:rsidR="00B50BFA" w:rsidTr="00BF2D12">
        <w:trPr>
          <w:cantSplit/>
        </w:trPr>
        <w:tc>
          <w:tcPr>
            <w:tcW w:w="5528" w:type="dxa"/>
          </w:tcPr>
          <w:p w:rsidR="00B50BFA" w:rsidRDefault="00B50BFA" w:rsidP="00BF2D12">
            <w:pPr>
              <w:pStyle w:val="yTableNAm"/>
              <w:keepNext/>
              <w:tabs>
                <w:tab w:val="right" w:leader="dot" w:pos="5387"/>
              </w:tabs>
              <w:ind w:left="556" w:right="-85" w:hanging="556"/>
            </w:pPr>
            <w:r>
              <w:t>12.</w:t>
            </w:r>
            <w:r>
              <w:tab/>
              <w:t xml:space="preserve">A transaction fee where a consumer makes a payment to the corporation by means of a credit card or debit card </w:t>
            </w:r>
            <w:r>
              <w:tab/>
            </w:r>
          </w:p>
        </w:tc>
        <w:tc>
          <w:tcPr>
            <w:tcW w:w="1276" w:type="dxa"/>
          </w:tcPr>
          <w:p w:rsidR="00B50BFA" w:rsidRDefault="00B50BFA" w:rsidP="00BF2D12">
            <w:pPr>
              <w:pStyle w:val="yTableNAm"/>
              <w:keepNext/>
            </w:pPr>
            <w:r>
              <w:t>The permitted surcharge for the payment</w:t>
            </w:r>
          </w:p>
        </w:tc>
      </w:tr>
      <w:tr w:rsidR="00B50BFA" w:rsidTr="00BF2D12">
        <w:trPr>
          <w:cantSplit/>
        </w:trPr>
        <w:tc>
          <w:tcPr>
            <w:tcW w:w="5528" w:type="dxa"/>
          </w:tcPr>
          <w:p w:rsidR="00B50BFA" w:rsidRDefault="00B50BFA" w:rsidP="00BF2D12">
            <w:pPr>
              <w:pStyle w:val="yTableNAm"/>
              <w:keepNext/>
              <w:tabs>
                <w:tab w:val="left" w:pos="1134"/>
                <w:tab w:val="right" w:leader="dot" w:pos="5386"/>
              </w:tabs>
              <w:ind w:left="1134" w:right="-85" w:hanging="1134"/>
            </w:pPr>
            <w:r>
              <w:t xml:space="preserve">13. </w:t>
            </w:r>
            <w:r>
              <w:tab/>
              <w:t xml:space="preserve">Paper bill fee </w:t>
            </w:r>
            <w:r>
              <w:tab/>
            </w:r>
          </w:p>
        </w:tc>
        <w:tc>
          <w:tcPr>
            <w:tcW w:w="1276" w:type="dxa"/>
          </w:tcPr>
          <w:p w:rsidR="00B50BFA" w:rsidRDefault="00B50BFA" w:rsidP="00BF2D12">
            <w:pPr>
              <w:pStyle w:val="yTableNAm"/>
              <w:keepNext/>
            </w:pPr>
            <w:r>
              <w:t>$1.20</w:t>
            </w:r>
          </w:p>
        </w:tc>
      </w:tr>
      <w:tr w:rsidR="00B50BFA" w:rsidTr="00BF2D12">
        <w:trPr>
          <w:cantSplit/>
        </w:trPr>
        <w:tc>
          <w:tcPr>
            <w:tcW w:w="5528" w:type="dxa"/>
            <w:tcBorders>
              <w:bottom w:val="single" w:sz="4" w:space="0" w:color="auto"/>
            </w:tcBorders>
          </w:tcPr>
          <w:p w:rsidR="00B50BFA" w:rsidRDefault="00B50BFA" w:rsidP="00BF2D12">
            <w:pPr>
              <w:pStyle w:val="yTableNAm"/>
              <w:tabs>
                <w:tab w:val="left" w:pos="1134"/>
                <w:tab w:val="right" w:leader="dot" w:pos="5386"/>
              </w:tabs>
              <w:ind w:left="1134" w:right="-85" w:hanging="1134"/>
            </w:pPr>
            <w:r>
              <w:t xml:space="preserve">14. </w:t>
            </w:r>
            <w:r>
              <w:tab/>
              <w:t>Over</w:t>
            </w:r>
            <w:r>
              <w:noBreakHyphen/>
              <w:t>the</w:t>
            </w:r>
            <w:r>
              <w:noBreakHyphen/>
              <w:t xml:space="preserve">counter payment fee </w:t>
            </w:r>
            <w:r>
              <w:tab/>
            </w:r>
          </w:p>
        </w:tc>
        <w:tc>
          <w:tcPr>
            <w:tcW w:w="1276" w:type="dxa"/>
            <w:tcBorders>
              <w:bottom w:val="single" w:sz="4" w:space="0" w:color="auto"/>
            </w:tcBorders>
          </w:tcPr>
          <w:p w:rsidR="00B50BFA" w:rsidRDefault="00B50BFA" w:rsidP="00BF2D12">
            <w:pPr>
              <w:pStyle w:val="yTableNAm"/>
              <w:keepNext/>
            </w:pPr>
            <w:r>
              <w:t>$2.10</w:t>
            </w:r>
          </w:p>
        </w:tc>
      </w:tr>
    </w:tbl>
    <w:p w:rsidR="00BF2D12" w:rsidRDefault="00BF2D12" w:rsidP="00BF2D12">
      <w:pPr>
        <w:pStyle w:val="yFootnotesection"/>
      </w:pPr>
      <w:r>
        <w:tab/>
        <w:t>[Schedule 4 inserted: SL 202</w:t>
      </w:r>
      <w:r w:rsidR="005C7478">
        <w:t>1</w:t>
      </w:r>
      <w:r>
        <w:t>/</w:t>
      </w:r>
      <w:r w:rsidR="005C7478">
        <w:t>98</w:t>
      </w:r>
      <w:r>
        <w:t xml:space="preserve"> bl. 5.]</w:t>
      </w:r>
    </w:p>
    <w:bookmarkEnd w:id="75"/>
    <w:bookmarkEnd w:id="76"/>
    <w:p w:rsidR="00C10FC0" w:rsidRDefault="00C10FC0">
      <w:pPr>
        <w:pStyle w:val="CentredBaseLine"/>
        <w:spacing w:before="180"/>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C10FC0" w:rsidRDefault="00C10FC0">
      <w:pPr>
        <w:outlineLvl w:val="0"/>
        <w:sectPr w:rsidR="00C10FC0">
          <w:headerReference w:type="even" r:id="rId26"/>
          <w:headerReference w:type="default" r:id="rId27"/>
          <w:footerReference w:type="default" r:id="rId28"/>
          <w:pgSz w:w="11907" w:h="16840" w:code="9"/>
          <w:pgMar w:top="2381" w:right="2410" w:bottom="3544" w:left="2410" w:header="720" w:footer="3544" w:gutter="0"/>
          <w:cols w:space="720"/>
        </w:sectPr>
      </w:pPr>
    </w:p>
    <w:p w:rsidR="00C10FC0" w:rsidRDefault="00C10FC0">
      <w:pPr>
        <w:pStyle w:val="nHeading2"/>
      </w:pPr>
      <w:bookmarkStart w:id="77" w:name="_Toc75351086"/>
      <w:bookmarkStart w:id="78" w:name="_Toc75351255"/>
      <w:bookmarkStart w:id="79" w:name="_Toc75354811"/>
      <w:bookmarkStart w:id="80" w:name="_Toc75354941"/>
      <w:bookmarkStart w:id="81" w:name="_Toc75355157"/>
      <w:bookmarkStart w:id="82" w:name="_Toc75355635"/>
      <w:bookmarkStart w:id="83" w:name="_Toc75355791"/>
      <w:bookmarkStart w:id="84" w:name="_Toc75356217"/>
      <w:bookmarkStart w:id="85" w:name="_Toc75869855"/>
      <w:r>
        <w:lastRenderedPageBreak/>
        <w:t>Notes</w:t>
      </w:r>
      <w:bookmarkEnd w:id="77"/>
      <w:bookmarkEnd w:id="78"/>
      <w:bookmarkEnd w:id="79"/>
      <w:bookmarkEnd w:id="80"/>
      <w:bookmarkEnd w:id="81"/>
      <w:bookmarkEnd w:id="82"/>
      <w:bookmarkEnd w:id="83"/>
      <w:bookmarkEnd w:id="84"/>
      <w:bookmarkEnd w:id="85"/>
    </w:p>
    <w:p w:rsidR="00C10FC0" w:rsidRDefault="00C10FC0">
      <w:pPr>
        <w:pStyle w:val="nStatement"/>
      </w:pPr>
      <w:r>
        <w:t xml:space="preserve">This is a compilation of the </w:t>
      </w:r>
      <w:r>
        <w:rPr>
          <w:i/>
          <w:noProof/>
        </w:rPr>
        <w:t>Energy Operators (Electricity Generation and Retail Corporation) (Charges) By-laws 2006</w:t>
      </w:r>
      <w:r>
        <w:t xml:space="preserve"> and includes amendments made by other written laws. For provisions that have come into operation, and for information about any reprints, see the compilation table. </w:t>
      </w:r>
    </w:p>
    <w:p w:rsidR="00C10FC0" w:rsidRDefault="00C10FC0">
      <w:pPr>
        <w:pStyle w:val="nHeading3"/>
      </w:pPr>
      <w:bookmarkStart w:id="86" w:name="_Toc75869856"/>
      <w:r>
        <w:t>Compilation table</w:t>
      </w:r>
      <w:bookmarkEnd w:id="86"/>
    </w:p>
    <w:tbl>
      <w:tblPr>
        <w:tblW w:w="7116"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665"/>
        <w:gridCol w:w="29"/>
      </w:tblGrid>
      <w:tr w:rsidR="00C10FC0" w:rsidTr="005C7478">
        <w:trPr>
          <w:gridAfter w:val="1"/>
          <w:wAfter w:w="29" w:type="dxa"/>
          <w:tblHeader/>
        </w:trPr>
        <w:tc>
          <w:tcPr>
            <w:tcW w:w="3118" w:type="dxa"/>
            <w:gridSpan w:val="2"/>
          </w:tcPr>
          <w:p w:rsidR="00C10FC0" w:rsidRDefault="00C10FC0">
            <w:pPr>
              <w:pStyle w:val="nTable"/>
              <w:spacing w:after="40"/>
              <w:rPr>
                <w:b/>
              </w:rPr>
            </w:pPr>
            <w:r>
              <w:rPr>
                <w:b/>
              </w:rPr>
              <w:t>Citation</w:t>
            </w:r>
          </w:p>
        </w:tc>
        <w:tc>
          <w:tcPr>
            <w:tcW w:w="1276" w:type="dxa"/>
            <w:gridSpan w:val="2"/>
          </w:tcPr>
          <w:p w:rsidR="00C10FC0" w:rsidRDefault="00C10FC0">
            <w:pPr>
              <w:pStyle w:val="nTable"/>
              <w:spacing w:after="40"/>
              <w:rPr>
                <w:b/>
              </w:rPr>
            </w:pPr>
            <w:r>
              <w:rPr>
                <w:b/>
              </w:rPr>
              <w:t>Published</w:t>
            </w:r>
          </w:p>
        </w:tc>
        <w:tc>
          <w:tcPr>
            <w:tcW w:w="2693" w:type="dxa"/>
            <w:gridSpan w:val="2"/>
          </w:tcPr>
          <w:p w:rsidR="00C10FC0" w:rsidRDefault="00C10FC0">
            <w:pPr>
              <w:pStyle w:val="nTable"/>
              <w:spacing w:after="40"/>
              <w:rPr>
                <w:b/>
              </w:rPr>
            </w:pPr>
            <w:r>
              <w:rPr>
                <w:b/>
              </w:rPr>
              <w:t>Commencement</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tcBorders>
              <w:top w:val="single" w:sz="8" w:space="0" w:color="auto"/>
            </w:tcBorders>
          </w:tcPr>
          <w:p w:rsidR="00C10FC0" w:rsidRDefault="00C10FC0">
            <w:pPr>
              <w:pStyle w:val="nTable"/>
              <w:spacing w:after="40"/>
            </w:pPr>
            <w:r>
              <w:rPr>
                <w:i/>
              </w:rPr>
              <w:t>Energy Operators (Electricity Retail Corporation) (Charges) By</w:t>
            </w:r>
            <w:r>
              <w:rPr>
                <w:i/>
              </w:rPr>
              <w:noBreakHyphen/>
              <w:t>laws 2006</w:t>
            </w:r>
            <w:r>
              <w:rPr>
                <w:i/>
                <w:vertAlign w:val="superscript"/>
              </w:rPr>
              <w:t> </w:t>
            </w:r>
            <w:r>
              <w:rPr>
                <w:vertAlign w:val="superscript"/>
              </w:rPr>
              <w:t>1</w:t>
            </w:r>
          </w:p>
        </w:tc>
        <w:tc>
          <w:tcPr>
            <w:tcW w:w="1276" w:type="dxa"/>
            <w:gridSpan w:val="2"/>
            <w:tcBorders>
              <w:top w:val="single" w:sz="8" w:space="0" w:color="auto"/>
            </w:tcBorders>
          </w:tcPr>
          <w:p w:rsidR="00C10FC0" w:rsidRDefault="00C10FC0">
            <w:pPr>
              <w:pStyle w:val="nTable"/>
              <w:spacing w:after="40"/>
            </w:pPr>
            <w:r>
              <w:t>31 Mar 2006 p. 1225</w:t>
            </w:r>
            <w:r>
              <w:noBreakHyphen/>
              <w:t>46</w:t>
            </w:r>
          </w:p>
        </w:tc>
        <w:tc>
          <w:tcPr>
            <w:tcW w:w="2694" w:type="dxa"/>
            <w:gridSpan w:val="2"/>
            <w:tcBorders>
              <w:top w:val="single" w:sz="8" w:space="0" w:color="auto"/>
            </w:tcBorders>
          </w:tcPr>
          <w:p w:rsidR="00C10FC0" w:rsidRDefault="00C10FC0">
            <w:pPr>
              <w:pStyle w:val="nTable"/>
              <w:spacing w:after="40"/>
            </w:pPr>
            <w:r>
              <w:t>1 Apr 2006 (see bl. 2)</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C10FC0" w:rsidRDefault="00C10FC0">
            <w:pPr>
              <w:pStyle w:val="nTable"/>
              <w:spacing w:after="40"/>
              <w:rPr>
                <w:i/>
              </w:rPr>
            </w:pPr>
            <w:r>
              <w:rPr>
                <w:i/>
              </w:rPr>
              <w:t>Energy Operators (Electricity Retail Corporation) (Charges) Amendment By</w:t>
            </w:r>
            <w:r>
              <w:rPr>
                <w:i/>
              </w:rPr>
              <w:noBreakHyphen/>
              <w:t>laws 2006</w:t>
            </w:r>
          </w:p>
        </w:tc>
        <w:tc>
          <w:tcPr>
            <w:tcW w:w="1276" w:type="dxa"/>
            <w:gridSpan w:val="2"/>
          </w:tcPr>
          <w:p w:rsidR="00C10FC0" w:rsidRDefault="00C10FC0">
            <w:pPr>
              <w:pStyle w:val="nTable"/>
              <w:spacing w:after="40"/>
            </w:pPr>
            <w:r>
              <w:t>1 Dec 2006 p. 5349</w:t>
            </w:r>
            <w:r>
              <w:noBreakHyphen/>
              <w:t>50</w:t>
            </w:r>
          </w:p>
        </w:tc>
        <w:tc>
          <w:tcPr>
            <w:tcW w:w="2694" w:type="dxa"/>
            <w:gridSpan w:val="2"/>
          </w:tcPr>
          <w:p w:rsidR="00C10FC0" w:rsidRDefault="00C10FC0">
            <w:pPr>
              <w:pStyle w:val="nTable"/>
              <w:spacing w:after="40"/>
            </w:pPr>
            <w:r>
              <w:t>1 Dec 2006</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C10FC0" w:rsidRDefault="00C10FC0">
            <w:pPr>
              <w:pStyle w:val="nTable"/>
              <w:spacing w:after="40"/>
              <w:rPr>
                <w:i/>
              </w:rPr>
            </w:pPr>
            <w:r>
              <w:rPr>
                <w:i/>
              </w:rPr>
              <w:t>Energy Operators (Electricity Retail Corporation) (Charges) Amendment By</w:t>
            </w:r>
            <w:r>
              <w:rPr>
                <w:i/>
              </w:rPr>
              <w:noBreakHyphen/>
              <w:t>laws 2007</w:t>
            </w:r>
          </w:p>
        </w:tc>
        <w:tc>
          <w:tcPr>
            <w:tcW w:w="1276" w:type="dxa"/>
            <w:gridSpan w:val="2"/>
          </w:tcPr>
          <w:p w:rsidR="00C10FC0" w:rsidRDefault="00C10FC0">
            <w:pPr>
              <w:pStyle w:val="nTable"/>
              <w:spacing w:after="40"/>
            </w:pPr>
            <w:r>
              <w:t>26 Jun 2007 p. 3013</w:t>
            </w:r>
            <w:r>
              <w:noBreakHyphen/>
              <w:t>17</w:t>
            </w:r>
          </w:p>
        </w:tc>
        <w:tc>
          <w:tcPr>
            <w:tcW w:w="2694" w:type="dxa"/>
            <w:gridSpan w:val="2"/>
          </w:tcPr>
          <w:p w:rsidR="00C10FC0" w:rsidRDefault="00C10FC0">
            <w:pPr>
              <w:pStyle w:val="nTable"/>
              <w:spacing w:after="40"/>
            </w:pPr>
            <w:r>
              <w:t>bl. 1 and 2: 26 Jun 2007 (see bl. 2(a));</w:t>
            </w:r>
            <w:r>
              <w:br/>
              <w:t>By</w:t>
            </w:r>
            <w:r>
              <w:noBreakHyphen/>
              <w:t>laws other than bl. 1 and 2: 1 Jul 2007 (see bl. 2(b))</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C10FC0" w:rsidRDefault="00C10FC0">
            <w:pPr>
              <w:pStyle w:val="nTable"/>
              <w:spacing w:after="40"/>
              <w:rPr>
                <w:i/>
              </w:rPr>
            </w:pPr>
            <w:r>
              <w:rPr>
                <w:i/>
              </w:rPr>
              <w:t>Energy Operators (Electricity Retail Corporation) (Charges) Amendment By</w:t>
            </w:r>
            <w:r>
              <w:rPr>
                <w:i/>
              </w:rPr>
              <w:noBreakHyphen/>
              <w:t>laws 2009</w:t>
            </w:r>
          </w:p>
        </w:tc>
        <w:tc>
          <w:tcPr>
            <w:tcW w:w="1276" w:type="dxa"/>
            <w:gridSpan w:val="2"/>
          </w:tcPr>
          <w:p w:rsidR="00C10FC0" w:rsidRDefault="00C10FC0">
            <w:pPr>
              <w:pStyle w:val="nTable"/>
              <w:spacing w:after="40"/>
            </w:pPr>
            <w:r>
              <w:t>30 Mar 2009 p. 967</w:t>
            </w:r>
            <w:r>
              <w:noBreakHyphen/>
              <w:t>95</w:t>
            </w:r>
          </w:p>
        </w:tc>
        <w:tc>
          <w:tcPr>
            <w:tcW w:w="2694" w:type="dxa"/>
            <w:gridSpan w:val="2"/>
          </w:tcPr>
          <w:p w:rsidR="00C10FC0" w:rsidRDefault="00C10FC0">
            <w:pPr>
              <w:pStyle w:val="nTable"/>
              <w:spacing w:after="40"/>
            </w:pPr>
            <w:r>
              <w:t>bl. 1 and 2: 30 Mar 2009 (see bl. 2(a));</w:t>
            </w:r>
            <w:r>
              <w:br/>
              <w:t>bl. 3 and Pt. 2: 1 Apr 2009 (see bl. 2(b));</w:t>
            </w:r>
            <w:r>
              <w:br/>
              <w:t>Pt. 3: 1 Jul 2009 (see bl. 2(c))</w:t>
            </w:r>
          </w:p>
        </w:tc>
      </w:tr>
      <w:tr w:rsidR="00C10FC0" w:rsidTr="005C7478">
        <w:tblPrEx>
          <w:tblBorders>
            <w:top w:val="none" w:sz="0" w:space="0" w:color="auto"/>
            <w:bottom w:val="none" w:sz="0" w:space="0" w:color="auto"/>
            <w:insideH w:val="none" w:sz="0" w:space="0" w:color="auto"/>
          </w:tblBorders>
        </w:tblPrEx>
        <w:trPr>
          <w:gridBefore w:val="1"/>
          <w:wBefore w:w="28" w:type="dxa"/>
          <w:cantSplit/>
        </w:trPr>
        <w:tc>
          <w:tcPr>
            <w:tcW w:w="7088" w:type="dxa"/>
            <w:gridSpan w:val="6"/>
          </w:tcPr>
          <w:p w:rsidR="00C10FC0" w:rsidRDefault="00C10FC0">
            <w:pPr>
              <w:pStyle w:val="nTable"/>
              <w:spacing w:after="40"/>
            </w:pPr>
            <w:r>
              <w:rPr>
                <w:b/>
                <w:bCs/>
              </w:rPr>
              <w:t xml:space="preserve">Reprint 1: The </w:t>
            </w:r>
            <w:r>
              <w:rPr>
                <w:b/>
                <w:bCs/>
                <w:i/>
              </w:rPr>
              <w:t>Energy Operators (Electricity Retail Corporation) (Charges) By</w:t>
            </w:r>
            <w:r>
              <w:rPr>
                <w:b/>
                <w:bCs/>
                <w:i/>
              </w:rPr>
              <w:noBreakHyphen/>
              <w:t>laws 2006</w:t>
            </w:r>
            <w:r>
              <w:rPr>
                <w:b/>
                <w:bCs/>
              </w:rPr>
              <w:t xml:space="preserve"> as at 18 Sep 2009</w:t>
            </w:r>
            <w:r>
              <w:t xml:space="preserve"> (includes amendments listed above)</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C10FC0" w:rsidRDefault="00C10FC0">
            <w:pPr>
              <w:pStyle w:val="nTable"/>
              <w:spacing w:after="40"/>
              <w:rPr>
                <w:iCs/>
              </w:rPr>
            </w:pPr>
            <w:r>
              <w:rPr>
                <w:i/>
              </w:rPr>
              <w:t>Energy Operators (Electricity Retail Corporation) (Charges) Amendment By</w:t>
            </w:r>
            <w:r>
              <w:rPr>
                <w:i/>
              </w:rPr>
              <w:noBreakHyphen/>
              <w:t>laws 2010</w:t>
            </w:r>
            <w:r>
              <w:rPr>
                <w:iCs/>
              </w:rPr>
              <w:t xml:space="preserve"> </w:t>
            </w:r>
          </w:p>
        </w:tc>
        <w:tc>
          <w:tcPr>
            <w:tcW w:w="1276" w:type="dxa"/>
            <w:gridSpan w:val="2"/>
          </w:tcPr>
          <w:p w:rsidR="00C10FC0" w:rsidRDefault="00C10FC0">
            <w:pPr>
              <w:pStyle w:val="nTable"/>
              <w:spacing w:after="40"/>
            </w:pPr>
            <w:r>
              <w:t>26 Mar 2010 p. 1135-42</w:t>
            </w:r>
          </w:p>
        </w:tc>
        <w:tc>
          <w:tcPr>
            <w:tcW w:w="2694" w:type="dxa"/>
            <w:gridSpan w:val="2"/>
          </w:tcPr>
          <w:p w:rsidR="00C10FC0" w:rsidRDefault="00C10FC0">
            <w:pPr>
              <w:pStyle w:val="nTable"/>
              <w:spacing w:after="40"/>
            </w:pPr>
            <w:r>
              <w:t>Pt. 1: 26 Mar 2010 (see bl. 2(a));</w:t>
            </w:r>
            <w:r>
              <w:br/>
              <w:t>Pt. 2: 1 Apr 2010 (see bl. 2(b));</w:t>
            </w:r>
            <w:r>
              <w:br/>
              <w:t>Pt. 3: 1 Jul 2010 (see bl. 2(c))</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C10FC0" w:rsidRDefault="00C10FC0">
            <w:pPr>
              <w:pStyle w:val="nTable"/>
              <w:spacing w:after="40"/>
              <w:rPr>
                <w:i/>
              </w:rPr>
            </w:pPr>
            <w:r>
              <w:rPr>
                <w:i/>
              </w:rPr>
              <w:t>Energy Operators (Electricity Retail Corporation) (Charges) Amendment By</w:t>
            </w:r>
            <w:r>
              <w:rPr>
                <w:i/>
              </w:rPr>
              <w:noBreakHyphen/>
              <w:t>laws 2011</w:t>
            </w:r>
          </w:p>
        </w:tc>
        <w:tc>
          <w:tcPr>
            <w:tcW w:w="1276" w:type="dxa"/>
            <w:gridSpan w:val="2"/>
          </w:tcPr>
          <w:p w:rsidR="00C10FC0" w:rsidRDefault="00C10FC0">
            <w:pPr>
              <w:pStyle w:val="nTable"/>
              <w:spacing w:after="40"/>
            </w:pPr>
            <w:r>
              <w:t>24 Jun 2011 p. 2499</w:t>
            </w:r>
            <w:r>
              <w:noBreakHyphen/>
              <w:t>503</w:t>
            </w:r>
          </w:p>
        </w:tc>
        <w:tc>
          <w:tcPr>
            <w:tcW w:w="2694" w:type="dxa"/>
            <w:gridSpan w:val="2"/>
          </w:tcPr>
          <w:p w:rsidR="00C10FC0" w:rsidRDefault="00C10FC0">
            <w:pPr>
              <w:pStyle w:val="nTable"/>
              <w:spacing w:after="40"/>
            </w:pPr>
            <w:r>
              <w:t>bl. 1 and 2: 24 Jun 2011 (see bl. 2(a));</w:t>
            </w:r>
            <w:r>
              <w:br/>
              <w:t>By-laws other than bl. 1 and 2: 1 Jul 2011 (see bl. 2(b))</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rsidR="00C10FC0" w:rsidRDefault="00C10FC0">
            <w:pPr>
              <w:pStyle w:val="nTable"/>
              <w:spacing w:after="40"/>
            </w:pPr>
            <w:r>
              <w:rPr>
                <w:b/>
                <w:bCs/>
              </w:rPr>
              <w:t xml:space="preserve">Reprint 2: The </w:t>
            </w:r>
            <w:r>
              <w:rPr>
                <w:b/>
                <w:bCs/>
                <w:i/>
              </w:rPr>
              <w:t>Energy Operators (Electricity Retail Corporation) (Charges) By</w:t>
            </w:r>
            <w:r>
              <w:rPr>
                <w:b/>
                <w:bCs/>
                <w:i/>
              </w:rPr>
              <w:noBreakHyphen/>
              <w:t>laws 2006</w:t>
            </w:r>
            <w:r>
              <w:rPr>
                <w:b/>
                <w:bCs/>
              </w:rPr>
              <w:t xml:space="preserve"> as at 27 Apr 2012</w:t>
            </w:r>
            <w:r>
              <w:t xml:space="preserve"> (includes amendments listed above)</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C10FC0" w:rsidRDefault="00C10FC0">
            <w:pPr>
              <w:pStyle w:val="nTable"/>
              <w:spacing w:after="40"/>
              <w:rPr>
                <w:i/>
              </w:rPr>
            </w:pPr>
            <w:r>
              <w:rPr>
                <w:i/>
              </w:rPr>
              <w:t>Energy Operators (Electricity Retail Corporation) (Charges) Amendment By</w:t>
            </w:r>
            <w:r>
              <w:rPr>
                <w:i/>
              </w:rPr>
              <w:noBreakHyphen/>
              <w:t>laws 2012</w:t>
            </w:r>
          </w:p>
        </w:tc>
        <w:tc>
          <w:tcPr>
            <w:tcW w:w="1276" w:type="dxa"/>
            <w:gridSpan w:val="2"/>
          </w:tcPr>
          <w:p w:rsidR="00C10FC0" w:rsidRDefault="00C10FC0">
            <w:pPr>
              <w:pStyle w:val="nTable"/>
              <w:spacing w:after="40"/>
            </w:pPr>
            <w:r>
              <w:t>29 Jun 2012 p. 2913-26</w:t>
            </w:r>
          </w:p>
        </w:tc>
        <w:tc>
          <w:tcPr>
            <w:tcW w:w="2694" w:type="dxa"/>
            <w:gridSpan w:val="2"/>
          </w:tcPr>
          <w:p w:rsidR="00C10FC0" w:rsidRDefault="00C10FC0">
            <w:pPr>
              <w:pStyle w:val="nTable"/>
              <w:spacing w:after="40"/>
            </w:pPr>
            <w:r>
              <w:t>bl. 1 and 2: 29 Jun 2012 (see bl. 2(a));</w:t>
            </w:r>
            <w:r>
              <w:br/>
              <w:t>By-laws other than bl. 1 and 2: 1 Jul 2012 (see bl. 2(b))</w:t>
            </w:r>
          </w:p>
        </w:tc>
      </w:tr>
      <w:tr w:rsidR="00C10FC0" w:rsidTr="005C7478">
        <w:tblPrEx>
          <w:tblBorders>
            <w:top w:val="none" w:sz="0" w:space="0" w:color="auto"/>
            <w:bottom w:val="none" w:sz="0" w:space="0" w:color="auto"/>
            <w:insideH w:val="none" w:sz="0" w:space="0" w:color="auto"/>
          </w:tblBorders>
        </w:tblPrEx>
        <w:trPr>
          <w:gridBefore w:val="1"/>
          <w:wBefore w:w="28" w:type="dxa"/>
          <w:cantSplit/>
        </w:trPr>
        <w:tc>
          <w:tcPr>
            <w:tcW w:w="3118" w:type="dxa"/>
            <w:gridSpan w:val="2"/>
          </w:tcPr>
          <w:p w:rsidR="00C10FC0" w:rsidRDefault="00C10FC0">
            <w:pPr>
              <w:pStyle w:val="nTable"/>
              <w:spacing w:after="40"/>
              <w:rPr>
                <w:i/>
              </w:rPr>
            </w:pPr>
            <w:r>
              <w:rPr>
                <w:i/>
              </w:rPr>
              <w:lastRenderedPageBreak/>
              <w:t>Energy Operators (Electricity Retail Corporation) (Charges) Amendment By-laws (No. 2) 2012</w:t>
            </w:r>
          </w:p>
        </w:tc>
        <w:tc>
          <w:tcPr>
            <w:tcW w:w="1276" w:type="dxa"/>
            <w:gridSpan w:val="2"/>
          </w:tcPr>
          <w:p w:rsidR="00C10FC0" w:rsidRDefault="00C10FC0">
            <w:pPr>
              <w:pStyle w:val="nTable"/>
              <w:spacing w:after="40"/>
            </w:pPr>
            <w:r>
              <w:t>21 Sep 2012 p. 4424</w:t>
            </w:r>
          </w:p>
        </w:tc>
        <w:tc>
          <w:tcPr>
            <w:tcW w:w="2694" w:type="dxa"/>
            <w:gridSpan w:val="2"/>
          </w:tcPr>
          <w:p w:rsidR="00C10FC0" w:rsidRDefault="00C10FC0">
            <w:pPr>
              <w:pStyle w:val="nTable"/>
              <w:spacing w:after="40"/>
            </w:pPr>
            <w:r>
              <w:t>bl. 1 and 2: 21 Sep 2012 (see bl. 2(a));</w:t>
            </w:r>
            <w:r>
              <w:br/>
              <w:t>By-laws other than bl. 1 and 2: 1 Oct 2012 (see bl. 2(b))</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C10FC0" w:rsidRDefault="00C10FC0">
            <w:pPr>
              <w:pStyle w:val="nTable"/>
              <w:spacing w:after="40"/>
              <w:rPr>
                <w:i/>
              </w:rPr>
            </w:pPr>
            <w:r>
              <w:rPr>
                <w:i/>
              </w:rPr>
              <w:t>Energy Operators (Electricity Retail Corporation) (Charges) Amendment By-laws 2013</w:t>
            </w:r>
          </w:p>
        </w:tc>
        <w:tc>
          <w:tcPr>
            <w:tcW w:w="1276" w:type="dxa"/>
            <w:gridSpan w:val="2"/>
          </w:tcPr>
          <w:p w:rsidR="00C10FC0" w:rsidRDefault="00C10FC0">
            <w:pPr>
              <w:pStyle w:val="nTable"/>
              <w:spacing w:after="40"/>
            </w:pPr>
            <w:r>
              <w:t>14 Jun 2013 p. 2217-22</w:t>
            </w:r>
          </w:p>
        </w:tc>
        <w:tc>
          <w:tcPr>
            <w:tcW w:w="2694" w:type="dxa"/>
            <w:gridSpan w:val="2"/>
          </w:tcPr>
          <w:p w:rsidR="00C10FC0" w:rsidRDefault="00C10FC0">
            <w:pPr>
              <w:pStyle w:val="nTable"/>
              <w:spacing w:after="40"/>
            </w:pPr>
            <w:r>
              <w:t>bl. 1 and 2: 14 Jun 2013 (see bl. 2(a));</w:t>
            </w:r>
            <w:r>
              <w:br/>
              <w:t>By-laws other than bl. 1 and 2: 1 Jul 2013 (see bl. 2(b))</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tcPr>
          <w:p w:rsidR="00C10FC0" w:rsidRDefault="00C10FC0">
            <w:pPr>
              <w:pStyle w:val="nTable"/>
              <w:spacing w:after="40"/>
              <w:rPr>
                <w:i/>
              </w:rPr>
            </w:pPr>
            <w:r>
              <w:rPr>
                <w:i/>
              </w:rPr>
              <w:t>Energy Operators (Electricity Retail Corporation) (Charges) Amendment By-laws (No. 2) 2013</w:t>
            </w:r>
          </w:p>
        </w:tc>
        <w:tc>
          <w:tcPr>
            <w:tcW w:w="1276" w:type="dxa"/>
            <w:gridSpan w:val="2"/>
          </w:tcPr>
          <w:p w:rsidR="00C10FC0" w:rsidRDefault="00C10FC0">
            <w:pPr>
              <w:pStyle w:val="nTable"/>
              <w:spacing w:after="40"/>
            </w:pPr>
            <w:r>
              <w:t>30 Aug 2013 p. 4097-100</w:t>
            </w:r>
          </w:p>
        </w:tc>
        <w:tc>
          <w:tcPr>
            <w:tcW w:w="2694" w:type="dxa"/>
            <w:gridSpan w:val="2"/>
          </w:tcPr>
          <w:p w:rsidR="00C10FC0" w:rsidRDefault="00C10FC0">
            <w:pPr>
              <w:pStyle w:val="nTable"/>
              <w:spacing w:after="40"/>
            </w:pPr>
            <w:r>
              <w:t>bl. 1 and 2: 30 Aug 2013 (see bl. 2(a));</w:t>
            </w:r>
            <w:r>
              <w:br/>
              <w:t>By-laws other than bl. 1 and 2: 1 Sep 2013 (see bl. 2(b))</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C10FC0" w:rsidRDefault="00C10FC0">
            <w:pPr>
              <w:pStyle w:val="nTable"/>
              <w:spacing w:after="40"/>
              <w:rPr>
                <w:i/>
              </w:rPr>
            </w:pPr>
            <w:r>
              <w:rPr>
                <w:i/>
              </w:rPr>
              <w:t>Electricity Corporations (Consequential Amendments) Regulations 2013</w:t>
            </w:r>
            <w:r>
              <w:t xml:space="preserve"> r. 12</w:t>
            </w:r>
          </w:p>
        </w:tc>
        <w:tc>
          <w:tcPr>
            <w:tcW w:w="1276" w:type="dxa"/>
            <w:gridSpan w:val="2"/>
            <w:shd w:val="clear" w:color="auto" w:fill="auto"/>
          </w:tcPr>
          <w:p w:rsidR="00C10FC0" w:rsidRDefault="00C10FC0">
            <w:pPr>
              <w:pStyle w:val="nTable"/>
              <w:spacing w:after="40"/>
            </w:pPr>
            <w:r>
              <w:t>27 Dec 2013 p. 6469-79</w:t>
            </w:r>
          </w:p>
        </w:tc>
        <w:tc>
          <w:tcPr>
            <w:tcW w:w="2694" w:type="dxa"/>
            <w:gridSpan w:val="2"/>
            <w:shd w:val="clear" w:color="auto" w:fill="auto"/>
          </w:tcPr>
          <w:p w:rsidR="00C10FC0" w:rsidRDefault="00C10FC0">
            <w:pPr>
              <w:pStyle w:val="nTable"/>
              <w:spacing w:after="40"/>
            </w:pPr>
            <w:r>
              <w:t xml:space="preserve">1 Jan 2014 (see r. 2(c) and </w:t>
            </w:r>
            <w:r>
              <w:rPr>
                <w:i/>
              </w:rPr>
              <w:t>Gazette</w:t>
            </w:r>
            <w:r>
              <w:t xml:space="preserve"> 27 Dec 2013 p. 6465)</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rsidR="00C10FC0" w:rsidRDefault="00C10FC0">
            <w:pPr>
              <w:pStyle w:val="nTable"/>
              <w:spacing w:after="40"/>
            </w:pPr>
            <w:r>
              <w:rPr>
                <w:b/>
                <w:bCs/>
              </w:rPr>
              <w:t xml:space="preserve">Reprint 3: The </w:t>
            </w:r>
            <w:r>
              <w:rPr>
                <w:b/>
                <w:i/>
                <w:noProof/>
                <w:snapToGrid w:val="0"/>
              </w:rPr>
              <w:t xml:space="preserve">Energy Operators (Electricity </w:t>
            </w:r>
            <w:r>
              <w:rPr>
                <w:b/>
                <w:i/>
              </w:rPr>
              <w:t>Generation and</w:t>
            </w:r>
            <w:r>
              <w:rPr>
                <w:b/>
                <w:i/>
                <w:noProof/>
                <w:snapToGrid w:val="0"/>
              </w:rPr>
              <w:t xml:space="preserve"> Retail Corporation) (Charges) By-laws 2006</w:t>
            </w:r>
            <w:r>
              <w:rPr>
                <w:b/>
                <w:bCs/>
              </w:rPr>
              <w:t xml:space="preserve"> as at 14 Mar 2014</w:t>
            </w:r>
            <w:r>
              <w:t xml:space="preserve"> (includes amendments listed above)</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C10FC0" w:rsidRDefault="00C10FC0">
            <w:pPr>
              <w:pStyle w:val="nTable"/>
              <w:spacing w:after="40"/>
              <w:rPr>
                <w:i/>
              </w:rPr>
            </w:pPr>
            <w:r>
              <w:rPr>
                <w:i/>
              </w:rPr>
              <w:t>Energy Operators (Electricity Generation and Retail Corporation) (Charges) Amendment By-laws 2014</w:t>
            </w:r>
          </w:p>
        </w:tc>
        <w:tc>
          <w:tcPr>
            <w:tcW w:w="1276" w:type="dxa"/>
            <w:gridSpan w:val="2"/>
            <w:shd w:val="clear" w:color="auto" w:fill="auto"/>
          </w:tcPr>
          <w:p w:rsidR="00C10FC0" w:rsidRDefault="00C10FC0">
            <w:pPr>
              <w:pStyle w:val="nTable"/>
              <w:spacing w:after="40"/>
            </w:pPr>
            <w:r>
              <w:t>27 Jun 2014 p. 2313-19</w:t>
            </w:r>
          </w:p>
        </w:tc>
        <w:tc>
          <w:tcPr>
            <w:tcW w:w="2694" w:type="dxa"/>
            <w:gridSpan w:val="2"/>
            <w:shd w:val="clear" w:color="auto" w:fill="auto"/>
          </w:tcPr>
          <w:p w:rsidR="00C10FC0" w:rsidRDefault="00C10FC0">
            <w:pPr>
              <w:pStyle w:val="nTable"/>
              <w:spacing w:after="40"/>
            </w:pPr>
            <w:r>
              <w:t>bl. 1 and 2: 27 Jun 2014 (see bl. 2(a));</w:t>
            </w:r>
            <w:r>
              <w:br/>
              <w:t>By-laws other than bl. 1 and 2: 1 Jul 2014 (see bl. 2(b))</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C10FC0" w:rsidRDefault="00C10FC0">
            <w:pPr>
              <w:pStyle w:val="nTable"/>
              <w:spacing w:after="40"/>
              <w:rPr>
                <w:i/>
              </w:rPr>
            </w:pPr>
            <w:r>
              <w:rPr>
                <w:i/>
              </w:rPr>
              <w:t>Energy Operators (Electricity Generation and Retail Corporation) (Charges) Amendment By-laws (No. 2) 2014</w:t>
            </w:r>
          </w:p>
        </w:tc>
        <w:tc>
          <w:tcPr>
            <w:tcW w:w="1276" w:type="dxa"/>
            <w:gridSpan w:val="2"/>
            <w:shd w:val="clear" w:color="auto" w:fill="auto"/>
          </w:tcPr>
          <w:p w:rsidR="00C10FC0" w:rsidRDefault="00C10FC0">
            <w:pPr>
              <w:pStyle w:val="nTable"/>
              <w:spacing w:after="40"/>
            </w:pPr>
            <w:r>
              <w:t>22 Aug 2014 p. 3024</w:t>
            </w:r>
            <w:r>
              <w:noBreakHyphen/>
              <w:t>32</w:t>
            </w:r>
          </w:p>
        </w:tc>
        <w:tc>
          <w:tcPr>
            <w:tcW w:w="2694" w:type="dxa"/>
            <w:gridSpan w:val="2"/>
            <w:shd w:val="clear" w:color="auto" w:fill="auto"/>
          </w:tcPr>
          <w:p w:rsidR="00C10FC0" w:rsidRDefault="00C10FC0">
            <w:pPr>
              <w:pStyle w:val="nTable"/>
              <w:spacing w:after="40"/>
            </w:pPr>
            <w:r>
              <w:t>bl. 1 and 2: 22 Aug 2014 (see bl. 2(a));</w:t>
            </w:r>
            <w:r>
              <w:br/>
              <w:t>By-laws other than bl. 1 and 2: 1 Sep 2014 (see bl. 2(b))</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C10FC0" w:rsidRDefault="00C10FC0">
            <w:pPr>
              <w:pStyle w:val="nTable"/>
              <w:spacing w:after="40"/>
              <w:rPr>
                <w:i/>
              </w:rPr>
            </w:pPr>
            <w:r>
              <w:rPr>
                <w:i/>
              </w:rPr>
              <w:t>Energy Operators (Electricity Generation and Retail Corporation) (Charges) Amendment By-laws 2015</w:t>
            </w:r>
          </w:p>
        </w:tc>
        <w:tc>
          <w:tcPr>
            <w:tcW w:w="1276" w:type="dxa"/>
            <w:gridSpan w:val="2"/>
            <w:shd w:val="clear" w:color="auto" w:fill="auto"/>
          </w:tcPr>
          <w:p w:rsidR="00C10FC0" w:rsidRDefault="00C10FC0">
            <w:pPr>
              <w:pStyle w:val="nTable"/>
              <w:spacing w:after="40"/>
            </w:pPr>
            <w:r>
              <w:t>26 Jun 2015 p. 2239</w:t>
            </w:r>
            <w:r>
              <w:noBreakHyphen/>
              <w:t>46</w:t>
            </w:r>
          </w:p>
        </w:tc>
        <w:tc>
          <w:tcPr>
            <w:tcW w:w="2694" w:type="dxa"/>
            <w:gridSpan w:val="2"/>
            <w:shd w:val="clear" w:color="auto" w:fill="auto"/>
          </w:tcPr>
          <w:p w:rsidR="00C10FC0" w:rsidRDefault="00C10FC0">
            <w:pPr>
              <w:pStyle w:val="nTable"/>
              <w:spacing w:after="40"/>
            </w:pPr>
            <w:r>
              <w:t>bl. 1 and 2: 26 Jun 2015 (see bl. 2(a));</w:t>
            </w:r>
            <w:r>
              <w:br/>
              <w:t>By-laws other than bl. 1 and 2: 1 Jul 2015 (see bl. 2(b))</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C10FC0" w:rsidRDefault="00C10FC0">
            <w:pPr>
              <w:pStyle w:val="nTable"/>
              <w:spacing w:after="40"/>
            </w:pPr>
            <w:r>
              <w:rPr>
                <w:i/>
              </w:rPr>
              <w:t>Energy Operators (Electricity Generation and Retail Corporation) (Charges) Amendment By-laws 2016</w:t>
            </w:r>
            <w:r>
              <w:rPr>
                <w:vertAlign w:val="superscript"/>
              </w:rPr>
              <w:t> 2</w:t>
            </w:r>
          </w:p>
        </w:tc>
        <w:tc>
          <w:tcPr>
            <w:tcW w:w="1276" w:type="dxa"/>
            <w:gridSpan w:val="2"/>
            <w:shd w:val="clear" w:color="auto" w:fill="auto"/>
          </w:tcPr>
          <w:p w:rsidR="00C10FC0" w:rsidRDefault="00C10FC0">
            <w:pPr>
              <w:pStyle w:val="nTable"/>
              <w:spacing w:after="40"/>
            </w:pPr>
            <w:r>
              <w:t>28 Jun 2016 p. 2623</w:t>
            </w:r>
            <w:r>
              <w:noBreakHyphen/>
              <w:t>5</w:t>
            </w:r>
          </w:p>
        </w:tc>
        <w:tc>
          <w:tcPr>
            <w:tcW w:w="2694" w:type="dxa"/>
            <w:gridSpan w:val="2"/>
            <w:shd w:val="clear" w:color="auto" w:fill="auto"/>
          </w:tcPr>
          <w:p w:rsidR="00C10FC0" w:rsidRDefault="00C10FC0">
            <w:pPr>
              <w:pStyle w:val="nTable"/>
              <w:spacing w:after="40"/>
            </w:pPr>
            <w:r>
              <w:t>bl. 1 and 2: 28 Jun 2016 (see bl. 2(a));</w:t>
            </w:r>
            <w:r>
              <w:br/>
              <w:t>By-laws other than bl. 1 and 2: 1 Jul 2016 (see bl. 2(b))</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C10FC0" w:rsidRDefault="00C10FC0">
            <w:pPr>
              <w:pStyle w:val="nTable"/>
              <w:spacing w:after="40"/>
              <w:rPr>
                <w:i/>
              </w:rPr>
            </w:pPr>
            <w:r>
              <w:rPr>
                <w:i/>
              </w:rPr>
              <w:t>Energy Operators (Electricity Generation and Retail Corporation) (Charges) Amendment By</w:t>
            </w:r>
            <w:r>
              <w:rPr>
                <w:i/>
              </w:rPr>
              <w:noBreakHyphen/>
              <w:t>laws (No. 2) 2016</w:t>
            </w:r>
          </w:p>
        </w:tc>
        <w:tc>
          <w:tcPr>
            <w:tcW w:w="1276" w:type="dxa"/>
            <w:gridSpan w:val="2"/>
            <w:shd w:val="clear" w:color="auto" w:fill="auto"/>
          </w:tcPr>
          <w:p w:rsidR="00C10FC0" w:rsidRDefault="00C10FC0">
            <w:pPr>
              <w:pStyle w:val="nTable"/>
              <w:spacing w:after="40"/>
            </w:pPr>
            <w:r>
              <w:t>31 Aug 2016 p. 3701</w:t>
            </w:r>
            <w:r>
              <w:noBreakHyphen/>
              <w:t>5</w:t>
            </w:r>
          </w:p>
        </w:tc>
        <w:tc>
          <w:tcPr>
            <w:tcW w:w="2694" w:type="dxa"/>
            <w:gridSpan w:val="2"/>
            <w:shd w:val="clear" w:color="auto" w:fill="auto"/>
          </w:tcPr>
          <w:p w:rsidR="00C10FC0" w:rsidRDefault="00C10FC0">
            <w:pPr>
              <w:pStyle w:val="nTable"/>
              <w:spacing w:after="40"/>
            </w:pPr>
            <w:r>
              <w:rPr>
                <w:bCs/>
                <w:snapToGrid w:val="0"/>
                <w:spacing w:val="-2"/>
              </w:rPr>
              <w:t>bl. 1 and 2: 31 Aug 2016 (see bl. 2(a));</w:t>
            </w:r>
            <w:r>
              <w:rPr>
                <w:bCs/>
                <w:snapToGrid w:val="0"/>
                <w:spacing w:val="-2"/>
              </w:rPr>
              <w:br/>
              <w:t>By-laws other than bl. 1 and 2: 1 Sep 2016 (see bl. 2(b))</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C10FC0" w:rsidRDefault="00C10FC0">
            <w:pPr>
              <w:pStyle w:val="nTable"/>
              <w:spacing w:after="40"/>
              <w:rPr>
                <w:i/>
              </w:rPr>
            </w:pPr>
            <w:r>
              <w:rPr>
                <w:i/>
              </w:rPr>
              <w:t>Energy Operators (Electricity Generation and Retail Corporation) (Charges) Amendment By</w:t>
            </w:r>
            <w:r>
              <w:rPr>
                <w:i/>
              </w:rPr>
              <w:noBreakHyphen/>
              <w:t>laws 2017</w:t>
            </w:r>
          </w:p>
        </w:tc>
        <w:tc>
          <w:tcPr>
            <w:tcW w:w="1276" w:type="dxa"/>
            <w:gridSpan w:val="2"/>
            <w:shd w:val="clear" w:color="auto" w:fill="auto"/>
          </w:tcPr>
          <w:p w:rsidR="00C10FC0" w:rsidRDefault="00C10FC0">
            <w:pPr>
              <w:pStyle w:val="nTable"/>
              <w:spacing w:after="40"/>
            </w:pPr>
            <w:r>
              <w:t>27 Jun 2017 p. 3424</w:t>
            </w:r>
            <w:r>
              <w:noBreakHyphen/>
              <w:t>31</w:t>
            </w:r>
          </w:p>
        </w:tc>
        <w:tc>
          <w:tcPr>
            <w:tcW w:w="2694" w:type="dxa"/>
            <w:gridSpan w:val="2"/>
            <w:shd w:val="clear" w:color="auto" w:fill="auto"/>
          </w:tcPr>
          <w:p w:rsidR="00C10FC0" w:rsidRDefault="00C10FC0">
            <w:pPr>
              <w:pStyle w:val="nTable"/>
              <w:spacing w:after="40"/>
              <w:rPr>
                <w:bCs/>
                <w:snapToGrid w:val="0"/>
                <w:spacing w:val="-2"/>
              </w:rPr>
            </w:pPr>
            <w:r>
              <w:rPr>
                <w:bCs/>
                <w:snapToGrid w:val="0"/>
                <w:spacing w:val="-2"/>
              </w:rPr>
              <w:t>bl. 1 and 2: 27 Jun 2017 (see bl. 2(a));</w:t>
            </w:r>
            <w:r>
              <w:rPr>
                <w:bCs/>
                <w:snapToGrid w:val="0"/>
                <w:spacing w:val="-2"/>
              </w:rPr>
              <w:br/>
              <w:t>By-laws other than bl. 1 and 2: 1 Jul 2017 (see bl. 2(b))</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C10FC0" w:rsidRDefault="00C10FC0">
            <w:pPr>
              <w:pStyle w:val="nTable"/>
              <w:keepNext/>
              <w:spacing w:after="40"/>
              <w:rPr>
                <w:i/>
              </w:rPr>
            </w:pPr>
            <w:r>
              <w:rPr>
                <w:i/>
              </w:rPr>
              <w:lastRenderedPageBreak/>
              <w:t>Energy Operators (Electricity Generation and Retail Corporation) (Charges) Amendment By</w:t>
            </w:r>
            <w:r>
              <w:rPr>
                <w:i/>
              </w:rPr>
              <w:noBreakHyphen/>
              <w:t>laws (No. 2) 2017</w:t>
            </w:r>
          </w:p>
        </w:tc>
        <w:tc>
          <w:tcPr>
            <w:tcW w:w="1276" w:type="dxa"/>
            <w:gridSpan w:val="2"/>
            <w:shd w:val="clear" w:color="auto" w:fill="auto"/>
          </w:tcPr>
          <w:p w:rsidR="00C10FC0" w:rsidRDefault="00C10FC0">
            <w:pPr>
              <w:pStyle w:val="nTable"/>
              <w:keepNext/>
              <w:spacing w:after="40"/>
            </w:pPr>
            <w:r>
              <w:t>30 Jun 2017 p. 3564</w:t>
            </w:r>
            <w:r>
              <w:noBreakHyphen/>
              <w:t>6</w:t>
            </w:r>
          </w:p>
        </w:tc>
        <w:tc>
          <w:tcPr>
            <w:tcW w:w="2694" w:type="dxa"/>
            <w:gridSpan w:val="2"/>
            <w:shd w:val="clear" w:color="auto" w:fill="auto"/>
          </w:tcPr>
          <w:p w:rsidR="00C10FC0" w:rsidRDefault="00C10FC0">
            <w:pPr>
              <w:pStyle w:val="nTable"/>
              <w:keepNext/>
              <w:spacing w:after="40"/>
              <w:rPr>
                <w:bCs/>
                <w:snapToGrid w:val="0"/>
                <w:spacing w:val="-2"/>
              </w:rPr>
            </w:pPr>
            <w:r>
              <w:rPr>
                <w:bCs/>
                <w:snapToGrid w:val="0"/>
                <w:spacing w:val="-2"/>
              </w:rPr>
              <w:t>bl. 1 and 2: 30 Jun 2017 (see bl. 2(a));</w:t>
            </w:r>
            <w:r>
              <w:rPr>
                <w:bCs/>
                <w:snapToGrid w:val="0"/>
                <w:spacing w:val="-2"/>
              </w:rPr>
              <w:br/>
              <w:t xml:space="preserve">By-laws other than bl. 1 and 2: 1 Jul 2017 (see bl. 2(b)(i) and </w:t>
            </w:r>
            <w:r>
              <w:rPr>
                <w:bCs/>
                <w:i/>
                <w:snapToGrid w:val="0"/>
                <w:spacing w:val="-2"/>
              </w:rPr>
              <w:t>Gazette</w:t>
            </w:r>
            <w:r>
              <w:rPr>
                <w:bCs/>
                <w:snapToGrid w:val="0"/>
                <w:spacing w:val="-2"/>
              </w:rPr>
              <w:t xml:space="preserve"> 27 Jun 2017 p. 3424)</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C10FC0" w:rsidRDefault="00C10FC0">
            <w:pPr>
              <w:pStyle w:val="nTable"/>
              <w:spacing w:after="40"/>
              <w:rPr>
                <w:i/>
              </w:rPr>
            </w:pPr>
            <w:r>
              <w:rPr>
                <w:i/>
              </w:rPr>
              <w:t>Energy Operators (Electricity Generation and Retail Corporation) (Charges) Amendment By</w:t>
            </w:r>
            <w:r>
              <w:rPr>
                <w:i/>
              </w:rPr>
              <w:noBreakHyphen/>
              <w:t>laws 2018</w:t>
            </w:r>
          </w:p>
        </w:tc>
        <w:tc>
          <w:tcPr>
            <w:tcW w:w="1276" w:type="dxa"/>
            <w:gridSpan w:val="2"/>
            <w:shd w:val="clear" w:color="auto" w:fill="auto"/>
          </w:tcPr>
          <w:p w:rsidR="00C10FC0" w:rsidRDefault="00C10FC0">
            <w:pPr>
              <w:pStyle w:val="nTable"/>
              <w:spacing w:after="40"/>
            </w:pPr>
            <w:r>
              <w:t>16 Feb 2018 p. 469</w:t>
            </w:r>
            <w:r>
              <w:noBreakHyphen/>
              <w:t>70</w:t>
            </w:r>
          </w:p>
        </w:tc>
        <w:tc>
          <w:tcPr>
            <w:tcW w:w="2694" w:type="dxa"/>
            <w:gridSpan w:val="2"/>
            <w:shd w:val="clear" w:color="auto" w:fill="auto"/>
          </w:tcPr>
          <w:p w:rsidR="00C10FC0" w:rsidRDefault="00C10FC0">
            <w:pPr>
              <w:pStyle w:val="nTable"/>
              <w:spacing w:after="40"/>
              <w:rPr>
                <w:bCs/>
                <w:snapToGrid w:val="0"/>
                <w:spacing w:val="-2"/>
              </w:rPr>
            </w:pPr>
            <w:r>
              <w:rPr>
                <w:bCs/>
                <w:snapToGrid w:val="0"/>
                <w:spacing w:val="-2"/>
              </w:rPr>
              <w:t>bl. 1 and 2: 16 Feb 2018 (see bl. 2(a));</w:t>
            </w:r>
            <w:r>
              <w:rPr>
                <w:bCs/>
                <w:snapToGrid w:val="0"/>
                <w:spacing w:val="-2"/>
              </w:rPr>
              <w:br/>
              <w:t>By-laws other than bl. 1 and 2: 17 Feb 2018 (see bl. 2(b))</w:t>
            </w:r>
          </w:p>
        </w:tc>
      </w:tr>
      <w:tr w:rsidR="00C10FC0" w:rsidTr="005C7478">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rsidR="00C10FC0" w:rsidRDefault="00C10FC0">
            <w:pPr>
              <w:pStyle w:val="nTable"/>
              <w:spacing w:after="40"/>
              <w:rPr>
                <w:i/>
              </w:rPr>
            </w:pPr>
            <w:r>
              <w:rPr>
                <w:i/>
              </w:rPr>
              <w:t>Energy Operators (Electricity Generation and Retail Corporation) (Charges) Amendment By</w:t>
            </w:r>
            <w:r>
              <w:rPr>
                <w:i/>
              </w:rPr>
              <w:noBreakHyphen/>
              <w:t>laws (No. 2) 2018</w:t>
            </w:r>
          </w:p>
        </w:tc>
        <w:tc>
          <w:tcPr>
            <w:tcW w:w="1276" w:type="dxa"/>
            <w:gridSpan w:val="2"/>
            <w:shd w:val="clear" w:color="auto" w:fill="auto"/>
          </w:tcPr>
          <w:p w:rsidR="00C10FC0" w:rsidRDefault="00C10FC0">
            <w:pPr>
              <w:pStyle w:val="nTable"/>
              <w:spacing w:after="40"/>
              <w:rPr>
                <w:caps/>
              </w:rPr>
            </w:pPr>
            <w:r>
              <w:t>26 Jun 2018 p. 2371</w:t>
            </w:r>
            <w:r>
              <w:noBreakHyphen/>
              <w:t>9</w:t>
            </w:r>
          </w:p>
        </w:tc>
        <w:tc>
          <w:tcPr>
            <w:tcW w:w="2694" w:type="dxa"/>
            <w:gridSpan w:val="2"/>
            <w:shd w:val="clear" w:color="auto" w:fill="auto"/>
          </w:tcPr>
          <w:p w:rsidR="00C10FC0" w:rsidRDefault="00C10FC0">
            <w:pPr>
              <w:pStyle w:val="nTable"/>
              <w:spacing w:after="40"/>
              <w:rPr>
                <w:bCs/>
                <w:snapToGrid w:val="0"/>
                <w:spacing w:val="-2"/>
              </w:rPr>
            </w:pPr>
            <w:r>
              <w:rPr>
                <w:bCs/>
                <w:snapToGrid w:val="0"/>
                <w:spacing w:val="-2"/>
              </w:rPr>
              <w:t>bl. 1 and 2: 26 Jun 2018 (see bl. 2);</w:t>
            </w:r>
            <w:r>
              <w:rPr>
                <w:bCs/>
                <w:snapToGrid w:val="0"/>
                <w:spacing w:val="-2"/>
              </w:rPr>
              <w:br/>
              <w:t>By-laws other than bl. 1 and 2: 1 Jul 2018 (see bl. 2)</w:t>
            </w:r>
          </w:p>
        </w:tc>
      </w:tr>
      <w:tr w:rsidR="00C10FC0" w:rsidTr="00960D09">
        <w:tblPrEx>
          <w:tblBorders>
            <w:top w:val="none" w:sz="0" w:space="0" w:color="auto"/>
            <w:bottom w:val="none" w:sz="0" w:space="0" w:color="auto"/>
            <w:insideH w:val="none" w:sz="0" w:space="0" w:color="auto"/>
          </w:tblBorders>
        </w:tblPrEx>
        <w:trPr>
          <w:gridBefore w:val="1"/>
          <w:wBefore w:w="28" w:type="dxa"/>
        </w:trPr>
        <w:tc>
          <w:tcPr>
            <w:tcW w:w="7088" w:type="dxa"/>
            <w:gridSpan w:val="6"/>
            <w:shd w:val="clear" w:color="auto" w:fill="auto"/>
          </w:tcPr>
          <w:p w:rsidR="00C10FC0" w:rsidRDefault="00C10FC0">
            <w:pPr>
              <w:pStyle w:val="nTable"/>
              <w:spacing w:after="40"/>
              <w:rPr>
                <w:bCs/>
                <w:snapToGrid w:val="0"/>
                <w:spacing w:val="-2"/>
              </w:rPr>
            </w:pPr>
            <w:r>
              <w:rPr>
                <w:b/>
                <w:bCs/>
                <w:snapToGrid w:val="0"/>
                <w:spacing w:val="-2"/>
              </w:rPr>
              <w:t xml:space="preserve">Reprint 4: The </w:t>
            </w:r>
            <w:r>
              <w:rPr>
                <w:b/>
                <w:bCs/>
                <w:i/>
                <w:noProof/>
                <w:snapToGrid w:val="0"/>
                <w:spacing w:val="-2"/>
              </w:rPr>
              <w:t>Energy Operators (Electricity Generation and Retail Corporation) (Charges) By-laws 2006</w:t>
            </w:r>
            <w:r>
              <w:rPr>
                <w:b/>
                <w:bCs/>
                <w:snapToGrid w:val="0"/>
                <w:spacing w:val="-2"/>
              </w:rPr>
              <w:t xml:space="preserve"> as at 28 Sep 2018</w:t>
            </w:r>
            <w:r>
              <w:rPr>
                <w:bCs/>
                <w:snapToGrid w:val="0"/>
                <w:spacing w:val="-2"/>
              </w:rPr>
              <w:t xml:space="preserve"> (includes amendments listed above)</w:t>
            </w:r>
          </w:p>
        </w:tc>
      </w:tr>
      <w:tr w:rsidR="00C10FC0" w:rsidTr="00960D09">
        <w:trPr>
          <w:gridBefore w:val="1"/>
          <w:wBefore w:w="28" w:type="dxa"/>
        </w:trPr>
        <w:tc>
          <w:tcPr>
            <w:tcW w:w="3118" w:type="dxa"/>
            <w:gridSpan w:val="2"/>
            <w:tcBorders>
              <w:top w:val="nil"/>
              <w:bottom w:val="nil"/>
            </w:tcBorders>
            <w:shd w:val="clear" w:color="auto" w:fill="auto"/>
          </w:tcPr>
          <w:p w:rsidR="00C10FC0" w:rsidRDefault="00C10FC0">
            <w:pPr>
              <w:pStyle w:val="nTable"/>
              <w:spacing w:after="40"/>
            </w:pPr>
            <w:r>
              <w:rPr>
                <w:i/>
              </w:rPr>
              <w:t xml:space="preserve">Energy Operators (Electricity Generation and Retail Corporation) (Charges) Amendment By-laws 2019 </w:t>
            </w:r>
          </w:p>
        </w:tc>
        <w:tc>
          <w:tcPr>
            <w:tcW w:w="1276" w:type="dxa"/>
            <w:gridSpan w:val="2"/>
            <w:tcBorders>
              <w:top w:val="nil"/>
              <w:bottom w:val="nil"/>
            </w:tcBorders>
            <w:shd w:val="clear" w:color="auto" w:fill="auto"/>
          </w:tcPr>
          <w:p w:rsidR="00C10FC0" w:rsidRDefault="00C10FC0">
            <w:pPr>
              <w:pStyle w:val="nTable"/>
              <w:spacing w:after="40"/>
              <w:rPr>
                <w:caps/>
              </w:rPr>
            </w:pPr>
            <w:r>
              <w:t>21 Jun 2019 p. 2119</w:t>
            </w:r>
            <w:r>
              <w:noBreakHyphen/>
              <w:t>27</w:t>
            </w:r>
          </w:p>
        </w:tc>
        <w:tc>
          <w:tcPr>
            <w:tcW w:w="2694" w:type="dxa"/>
            <w:gridSpan w:val="2"/>
            <w:tcBorders>
              <w:top w:val="nil"/>
              <w:bottom w:val="nil"/>
            </w:tcBorders>
            <w:shd w:val="clear" w:color="auto" w:fill="auto"/>
          </w:tcPr>
          <w:p w:rsidR="00C10FC0" w:rsidRDefault="00C10FC0" w:rsidP="00960D09">
            <w:pPr>
              <w:pStyle w:val="nTable"/>
              <w:spacing w:after="40"/>
              <w:rPr>
                <w:bCs/>
                <w:snapToGrid w:val="0"/>
                <w:spacing w:val="-2"/>
              </w:rPr>
            </w:pPr>
            <w:r>
              <w:rPr>
                <w:bCs/>
                <w:snapToGrid w:val="0"/>
                <w:spacing w:val="-2"/>
              </w:rPr>
              <w:t>bl. 1 and 2: 21 Jun 2019 (see bl. 2(a));</w:t>
            </w:r>
            <w:r>
              <w:rPr>
                <w:bCs/>
                <w:snapToGrid w:val="0"/>
                <w:spacing w:val="-2"/>
              </w:rPr>
              <w:br/>
              <w:t>By-laws other than bl. 1, 2 and 5: 1 Jul 2019 (see bl. 2(c));</w:t>
            </w:r>
            <w:r w:rsidR="00960D09">
              <w:rPr>
                <w:bCs/>
                <w:snapToGrid w:val="0"/>
                <w:spacing w:val="-2"/>
              </w:rPr>
              <w:br/>
            </w:r>
            <w:r>
              <w:rPr>
                <w:bCs/>
                <w:snapToGrid w:val="0"/>
                <w:spacing w:val="-2"/>
              </w:rPr>
              <w:t>bl. 5: 1 Sep 2019 (see bl. 2(b))</w:t>
            </w:r>
          </w:p>
        </w:tc>
      </w:tr>
      <w:tr w:rsidR="00C10FC0" w:rsidTr="00960D09">
        <w:trPr>
          <w:gridBefore w:val="1"/>
          <w:wBefore w:w="28" w:type="dxa"/>
        </w:trPr>
        <w:tc>
          <w:tcPr>
            <w:tcW w:w="3118" w:type="dxa"/>
            <w:gridSpan w:val="2"/>
            <w:tcBorders>
              <w:top w:val="nil"/>
              <w:bottom w:val="nil"/>
            </w:tcBorders>
            <w:shd w:val="clear" w:color="auto" w:fill="auto"/>
          </w:tcPr>
          <w:p w:rsidR="00C10FC0" w:rsidRDefault="00C10FC0">
            <w:pPr>
              <w:pStyle w:val="nTable"/>
              <w:spacing w:after="40"/>
              <w:rPr>
                <w:i/>
              </w:rPr>
            </w:pPr>
            <w:r>
              <w:rPr>
                <w:i/>
              </w:rPr>
              <w:t>Energy Operators (Electricity Generation and Retail Corporation) (Charges) Amendment By</w:t>
            </w:r>
            <w:r>
              <w:rPr>
                <w:i/>
              </w:rPr>
              <w:noBreakHyphen/>
              <w:t>laws 2020</w:t>
            </w:r>
          </w:p>
        </w:tc>
        <w:tc>
          <w:tcPr>
            <w:tcW w:w="1276" w:type="dxa"/>
            <w:gridSpan w:val="2"/>
            <w:tcBorders>
              <w:top w:val="nil"/>
              <w:bottom w:val="nil"/>
            </w:tcBorders>
            <w:shd w:val="clear" w:color="auto" w:fill="auto"/>
          </w:tcPr>
          <w:p w:rsidR="00C10FC0" w:rsidRDefault="00C10FC0">
            <w:pPr>
              <w:pStyle w:val="nTable"/>
              <w:spacing w:after="40"/>
            </w:pPr>
            <w:r>
              <w:t>SL 2020/79 9 Jun 2020</w:t>
            </w:r>
          </w:p>
        </w:tc>
        <w:tc>
          <w:tcPr>
            <w:tcW w:w="2694" w:type="dxa"/>
            <w:gridSpan w:val="2"/>
            <w:tcBorders>
              <w:top w:val="nil"/>
              <w:bottom w:val="nil"/>
            </w:tcBorders>
            <w:shd w:val="clear" w:color="auto" w:fill="auto"/>
          </w:tcPr>
          <w:p w:rsidR="00C10FC0" w:rsidRDefault="00C10FC0">
            <w:pPr>
              <w:pStyle w:val="nTable"/>
              <w:spacing w:after="40"/>
              <w:rPr>
                <w:bCs/>
                <w:snapToGrid w:val="0"/>
                <w:spacing w:val="-2"/>
              </w:rPr>
            </w:pPr>
            <w:r>
              <w:rPr>
                <w:bCs/>
                <w:snapToGrid w:val="0"/>
                <w:spacing w:val="-2"/>
              </w:rPr>
              <w:t>bl. 1 and 2: 9 Jun 2020 (see bl. 2(a));</w:t>
            </w:r>
            <w:r>
              <w:rPr>
                <w:bCs/>
                <w:snapToGrid w:val="0"/>
                <w:spacing w:val="-2"/>
              </w:rPr>
              <w:br/>
              <w:t>By-laws other than bl. 1 and 2: 1 Jul 2020 (see bl. 2(b))</w:t>
            </w:r>
          </w:p>
        </w:tc>
      </w:tr>
      <w:tr w:rsidR="005C7478" w:rsidTr="00960D09">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rsidR="005C7478" w:rsidRDefault="005C7478" w:rsidP="005C7478">
            <w:pPr>
              <w:pStyle w:val="nTable"/>
              <w:spacing w:after="40"/>
              <w:rPr>
                <w:i/>
              </w:rPr>
            </w:pPr>
            <w:r>
              <w:rPr>
                <w:i/>
              </w:rPr>
              <w:t>Energy Operators (Electricity Generation and Retail Corporation) (Charges) Amendment By</w:t>
            </w:r>
            <w:r>
              <w:rPr>
                <w:i/>
              </w:rPr>
              <w:noBreakHyphen/>
              <w:t>laws 2021</w:t>
            </w:r>
            <w:r>
              <w:t xml:space="preserve"> </w:t>
            </w:r>
          </w:p>
        </w:tc>
        <w:tc>
          <w:tcPr>
            <w:tcW w:w="1276" w:type="dxa"/>
            <w:gridSpan w:val="2"/>
            <w:tcBorders>
              <w:bottom w:val="single" w:sz="4" w:space="0" w:color="auto"/>
            </w:tcBorders>
            <w:shd w:val="clear" w:color="auto" w:fill="auto"/>
          </w:tcPr>
          <w:p w:rsidR="005C7478" w:rsidRDefault="005C7478" w:rsidP="005C7478">
            <w:pPr>
              <w:pStyle w:val="nTable"/>
              <w:spacing w:after="40"/>
            </w:pPr>
            <w:r>
              <w:t>SL 2021/98 22 Jun 2021</w:t>
            </w:r>
          </w:p>
        </w:tc>
        <w:tc>
          <w:tcPr>
            <w:tcW w:w="2694" w:type="dxa"/>
            <w:gridSpan w:val="2"/>
            <w:tcBorders>
              <w:bottom w:val="single" w:sz="4" w:space="0" w:color="auto"/>
            </w:tcBorders>
            <w:shd w:val="clear" w:color="auto" w:fill="auto"/>
          </w:tcPr>
          <w:p w:rsidR="005C7478" w:rsidRDefault="005C7478" w:rsidP="005C7478">
            <w:pPr>
              <w:pStyle w:val="nTable"/>
              <w:spacing w:after="40"/>
              <w:rPr>
                <w:bCs/>
                <w:snapToGrid w:val="0"/>
                <w:spacing w:val="-2"/>
              </w:rPr>
            </w:pPr>
            <w:r>
              <w:rPr>
                <w:bCs/>
                <w:snapToGrid w:val="0"/>
                <w:spacing w:val="-2"/>
              </w:rPr>
              <w:t>bl. 1 and 2: 22 Jun 2021</w:t>
            </w:r>
            <w:r w:rsidR="00960D09">
              <w:rPr>
                <w:bCs/>
                <w:snapToGrid w:val="0"/>
                <w:spacing w:val="-2"/>
              </w:rPr>
              <w:t xml:space="preserve"> </w:t>
            </w:r>
            <w:r>
              <w:rPr>
                <w:bCs/>
                <w:snapToGrid w:val="0"/>
                <w:spacing w:val="-2"/>
              </w:rPr>
              <w:t>(see</w:t>
            </w:r>
            <w:r w:rsidR="00960D09">
              <w:rPr>
                <w:bCs/>
                <w:snapToGrid w:val="0"/>
                <w:spacing w:val="-2"/>
              </w:rPr>
              <w:t> </w:t>
            </w:r>
            <w:r>
              <w:rPr>
                <w:bCs/>
                <w:snapToGrid w:val="0"/>
                <w:spacing w:val="-2"/>
              </w:rPr>
              <w:t>bl. 2(a));</w:t>
            </w:r>
            <w:r>
              <w:rPr>
                <w:bCs/>
                <w:snapToGrid w:val="0"/>
                <w:spacing w:val="-2"/>
              </w:rPr>
              <w:br/>
              <w:t>By-laws other than bl. 1 and 2: 1 Jul 2021 (see bl. 2(b))</w:t>
            </w:r>
          </w:p>
        </w:tc>
      </w:tr>
    </w:tbl>
    <w:p w:rsidR="00C10FC0" w:rsidRDefault="00C10FC0">
      <w:pPr>
        <w:pStyle w:val="nHeading3"/>
      </w:pPr>
      <w:bookmarkStart w:id="87" w:name="_Toc75869857"/>
      <w:r>
        <w:t>Other notes</w:t>
      </w:r>
      <w:bookmarkEnd w:id="87"/>
    </w:p>
    <w:p w:rsidR="00C10FC0" w:rsidRDefault="00C10FC0">
      <w:pPr>
        <w:pStyle w:val="nNote"/>
        <w:rPr>
          <w:noProof/>
          <w:snapToGrid w:val="0"/>
        </w:rPr>
      </w:pPr>
      <w:r>
        <w:rPr>
          <w:vertAlign w:val="superscript"/>
        </w:rPr>
        <w:t>1</w:t>
      </w:r>
      <w:r>
        <w:tab/>
        <w:t xml:space="preserve">Now known as the </w:t>
      </w:r>
      <w:r>
        <w:rPr>
          <w:i/>
          <w:noProof/>
          <w:snapToGrid w:val="0"/>
        </w:rPr>
        <w:t xml:space="preserve">Energy Operators (Electricity </w:t>
      </w:r>
      <w:r>
        <w:rPr>
          <w:i/>
        </w:rPr>
        <w:t>Generation and</w:t>
      </w:r>
      <w:r>
        <w:rPr>
          <w:i/>
          <w:noProof/>
          <w:snapToGrid w:val="0"/>
        </w:rPr>
        <w:t xml:space="preserve"> Retail Corporation) (Charges) By-laws 2006</w:t>
      </w:r>
      <w:r>
        <w:rPr>
          <w:noProof/>
          <w:snapToGrid w:val="0"/>
        </w:rPr>
        <w:t>; citation changed (see note under bl. 1).</w:t>
      </w:r>
    </w:p>
    <w:p w:rsidR="00C10FC0" w:rsidRDefault="00C10FC0">
      <w:pPr>
        <w:pStyle w:val="nNote"/>
        <w:keepNext/>
      </w:pPr>
      <w:r>
        <w:rPr>
          <w:noProof/>
          <w:snapToGrid w:val="0"/>
          <w:vertAlign w:val="superscript"/>
        </w:rPr>
        <w:t>2</w:t>
      </w:r>
      <w:r>
        <w:rPr>
          <w:noProof/>
          <w:snapToGrid w:val="0"/>
        </w:rPr>
        <w:tab/>
        <w:t xml:space="preserve">The </w:t>
      </w:r>
      <w:r>
        <w:rPr>
          <w:i/>
        </w:rPr>
        <w:t>Energy Operators (Electricity Generation and Retail Corporation) (Charges) Amendment By-laws 2016</w:t>
      </w:r>
      <w:r>
        <w:t>, (row 5 of the table in by</w:t>
      </w:r>
      <w:r>
        <w:noBreakHyphen/>
        <w:t xml:space="preserve">law 5) was disallowed by the Legislative Council on 22 Nov 2016 (see </w:t>
      </w:r>
      <w:r>
        <w:rPr>
          <w:i/>
        </w:rPr>
        <w:t>Gazette</w:t>
      </w:r>
      <w:r>
        <w:t xml:space="preserve"> 6 Dec 2016 p. 5492).</w:t>
      </w:r>
    </w:p>
    <w:p w:rsidR="00C10FC0" w:rsidRDefault="00C10FC0"/>
    <w:p w:rsidR="00C10FC0" w:rsidRDefault="00C10FC0">
      <w:pPr>
        <w:sectPr w:rsidR="00C10FC0">
          <w:headerReference w:type="even" r:id="rId29"/>
          <w:headerReference w:type="default" r:id="rId30"/>
          <w:pgSz w:w="11907" w:h="16840" w:code="9"/>
          <w:pgMar w:top="2376" w:right="2404" w:bottom="3544" w:left="2404" w:header="720" w:footer="3380" w:gutter="0"/>
          <w:cols w:space="720"/>
          <w:noEndnote/>
          <w:docGrid w:linePitch="326"/>
        </w:sectPr>
      </w:pPr>
    </w:p>
    <w:p w:rsidR="00C10FC0" w:rsidRDefault="00C10FC0">
      <w:pPr>
        <w:pStyle w:val="nHeading2"/>
        <w:rPr>
          <w:sz w:val="28"/>
        </w:rPr>
      </w:pPr>
      <w:bookmarkStart w:id="89" w:name="_Toc75351090"/>
      <w:bookmarkStart w:id="90" w:name="_Toc75351259"/>
      <w:bookmarkStart w:id="91" w:name="_Toc75354815"/>
      <w:bookmarkStart w:id="92" w:name="_Toc75354945"/>
      <w:bookmarkStart w:id="93" w:name="_Toc75355161"/>
      <w:bookmarkStart w:id="94" w:name="_Toc75355638"/>
      <w:bookmarkStart w:id="95" w:name="_Toc75355794"/>
      <w:bookmarkStart w:id="96" w:name="_Toc75356220"/>
      <w:bookmarkStart w:id="97" w:name="_Toc75869858"/>
      <w:r>
        <w:rPr>
          <w:sz w:val="28"/>
        </w:rPr>
        <w:lastRenderedPageBreak/>
        <w:t>Defined terms</w:t>
      </w:r>
      <w:bookmarkEnd w:id="89"/>
      <w:bookmarkEnd w:id="90"/>
      <w:bookmarkEnd w:id="91"/>
      <w:bookmarkEnd w:id="92"/>
      <w:bookmarkEnd w:id="93"/>
      <w:bookmarkEnd w:id="94"/>
      <w:bookmarkEnd w:id="95"/>
      <w:bookmarkEnd w:id="96"/>
      <w:bookmarkEnd w:id="97"/>
    </w:p>
    <w:p w:rsidR="00C10FC0" w:rsidRDefault="00C10FC0">
      <w:pPr>
        <w:ind w:left="850" w:right="850"/>
        <w:jc w:val="center"/>
        <w:rPr>
          <w:i/>
          <w:sz w:val="18"/>
        </w:rPr>
      </w:pPr>
    </w:p>
    <w:p w:rsidR="00C10FC0" w:rsidRDefault="00C10FC0">
      <w:pPr>
        <w:ind w:left="850" w:right="850"/>
        <w:jc w:val="center"/>
        <w:rPr>
          <w:i/>
          <w:sz w:val="18"/>
        </w:rPr>
      </w:pPr>
      <w:r>
        <w:rPr>
          <w:i/>
          <w:sz w:val="18"/>
        </w:rPr>
        <w:t>[This is a list of terms defined and the provisions where they are defined.  The list is not part of the law.]</w:t>
      </w:r>
    </w:p>
    <w:p w:rsidR="00C10FC0" w:rsidRDefault="00C10FC0">
      <w:pPr>
        <w:pBdr>
          <w:bottom w:val="single" w:sz="4" w:space="1" w:color="auto"/>
        </w:pBdr>
        <w:tabs>
          <w:tab w:val="right" w:pos="7070"/>
        </w:tabs>
        <w:ind w:left="578"/>
        <w:rPr>
          <w:b/>
          <w:sz w:val="20"/>
        </w:rPr>
      </w:pPr>
      <w:r>
        <w:rPr>
          <w:b/>
          <w:sz w:val="20"/>
        </w:rPr>
        <w:t>Defined term</w:t>
      </w:r>
      <w:r>
        <w:rPr>
          <w:b/>
          <w:sz w:val="20"/>
        </w:rPr>
        <w:tab/>
        <w:t>Provision(s)</w:t>
      </w:r>
    </w:p>
    <w:p w:rsidR="00C10FC0" w:rsidRDefault="00C10FC0">
      <w:pPr>
        <w:pStyle w:val="DefinedTerms"/>
      </w:pPr>
      <w:r>
        <w:t>corporation</w:t>
      </w:r>
      <w:r>
        <w:tab/>
        <w:t>3</w:t>
      </w:r>
    </w:p>
    <w:p w:rsidR="00C10FC0" w:rsidRDefault="00C10FC0">
      <w:pPr>
        <w:pStyle w:val="DefinedTerms"/>
      </w:pPr>
      <w:r>
        <w:t>dwelling</w:t>
      </w:r>
      <w:r>
        <w:tab/>
        <w:t>3</w:t>
      </w:r>
    </w:p>
    <w:p w:rsidR="00C10FC0" w:rsidRDefault="00C10FC0">
      <w:pPr>
        <w:pStyle w:val="DefinedTerms"/>
      </w:pPr>
      <w:r>
        <w:t>half</w:t>
      </w:r>
      <w:r>
        <w:noBreakHyphen/>
        <w:t>hourly maximum demand</w:t>
      </w:r>
      <w:r>
        <w:tab/>
        <w:t>3</w:t>
      </w:r>
    </w:p>
    <w:p w:rsidR="00C10FC0" w:rsidRDefault="00C10FC0">
      <w:pPr>
        <w:pStyle w:val="DefinedTerms"/>
      </w:pPr>
      <w:r>
        <w:t>interest period</w:t>
      </w:r>
      <w:r>
        <w:tab/>
        <w:t>12(1)</w:t>
      </w:r>
    </w:p>
    <w:p w:rsidR="00C10FC0" w:rsidRDefault="00C10FC0">
      <w:pPr>
        <w:pStyle w:val="DefinedTerms"/>
      </w:pPr>
      <w:r>
        <w:t>life support customer</w:t>
      </w:r>
      <w:r>
        <w:tab/>
        <w:t>3</w:t>
      </w:r>
    </w:p>
    <w:p w:rsidR="00C10FC0" w:rsidRDefault="00C10FC0">
      <w:pPr>
        <w:pStyle w:val="DefinedTerms"/>
      </w:pPr>
      <w:r>
        <w:t>MSLA</w:t>
      </w:r>
      <w:r>
        <w:tab/>
        <w:t>3</w:t>
      </w:r>
    </w:p>
    <w:p w:rsidR="00C10FC0" w:rsidRDefault="00C10FC0">
      <w:pPr>
        <w:pStyle w:val="DefinedTerms"/>
      </w:pPr>
      <w:r>
        <w:t>off peak</w:t>
      </w:r>
      <w:r>
        <w:tab/>
        <w:t>3</w:t>
      </w:r>
    </w:p>
    <w:p w:rsidR="00C10FC0" w:rsidRDefault="00C10FC0">
      <w:pPr>
        <w:pStyle w:val="DefinedTerms"/>
      </w:pPr>
      <w:r>
        <w:t>on peak</w:t>
      </w:r>
      <w:r>
        <w:tab/>
        <w:t>3</w:t>
      </w:r>
    </w:p>
    <w:p w:rsidR="00C10FC0" w:rsidRDefault="00C10FC0">
      <w:pPr>
        <w:pStyle w:val="DefinedTerms"/>
      </w:pPr>
      <w:r>
        <w:t>permitted surcharge</w:t>
      </w:r>
      <w:r>
        <w:tab/>
        <w:t>3</w:t>
      </w:r>
    </w:p>
    <w:p w:rsidR="00C10FC0" w:rsidRDefault="00C10FC0">
      <w:pPr>
        <w:pStyle w:val="DefinedTerms"/>
      </w:pPr>
      <w:r>
        <w:t>RBA cash rate</w:t>
      </w:r>
      <w:r>
        <w:tab/>
        <w:t>3</w:t>
      </w:r>
    </w:p>
    <w:p w:rsidR="00C10FC0" w:rsidRDefault="00C10FC0">
      <w:pPr>
        <w:pStyle w:val="DefinedTerms"/>
      </w:pPr>
      <w:r>
        <w:t>RBA Standard No. 3 of 2016</w:t>
      </w:r>
      <w:r>
        <w:tab/>
        <w:t>3</w:t>
      </w:r>
    </w:p>
    <w:p w:rsidR="00C10FC0" w:rsidRDefault="00C10FC0">
      <w:pPr>
        <w:pStyle w:val="DefinedTerms"/>
      </w:pPr>
      <w:r>
        <w:t>relevant period</w:t>
      </w:r>
      <w:r>
        <w:tab/>
        <w:t>8(1)</w:t>
      </w:r>
    </w:p>
    <w:p w:rsidR="00C10FC0" w:rsidRDefault="00C10FC0">
      <w:pPr>
        <w:pStyle w:val="DefinedTerms"/>
      </w:pPr>
      <w:r>
        <w:t>residential tariff</w:t>
      </w:r>
      <w:r>
        <w:tab/>
        <w:t>3</w:t>
      </w:r>
    </w:p>
    <w:p w:rsidR="00C10FC0" w:rsidRDefault="00C10FC0">
      <w:pPr>
        <w:pStyle w:val="DefinedTerms"/>
      </w:pPr>
      <w:r>
        <w:t>Tariff</w:t>
      </w:r>
      <w:r>
        <w:tab/>
        <w:t>3</w:t>
      </w:r>
    </w:p>
    <w:p w:rsidR="00C10FC0" w:rsidRDefault="00C10FC0">
      <w:pPr>
        <w:pStyle w:val="DefinedTerms"/>
      </w:pPr>
      <w:r>
        <w:t>unit</w:t>
      </w:r>
      <w:r>
        <w:tab/>
        <w:t>3</w:t>
      </w:r>
    </w:p>
    <w:p w:rsidR="00C10FC0" w:rsidRDefault="00C10FC0"/>
    <w:p w:rsidR="00C10FC0" w:rsidRDefault="00C10FC0">
      <w:pPr>
        <w:sectPr w:rsidR="00C10FC0">
          <w:headerReference w:type="even" r:id="rId31"/>
          <w:headerReference w:type="default" r:id="rId32"/>
          <w:pgSz w:w="11907" w:h="16840" w:code="9"/>
          <w:pgMar w:top="2381" w:right="2409" w:bottom="3543" w:left="2409" w:header="720" w:footer="3380" w:gutter="0"/>
          <w:cols w:space="720"/>
          <w:noEndnote/>
          <w:docGrid w:linePitch="326"/>
        </w:sectPr>
      </w:pPr>
    </w:p>
    <w:p w:rsidR="00C10FC0" w:rsidRDefault="00C10FC0"/>
    <w:sectPr w:rsidR="00C10FC0">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0D09" w:rsidRDefault="00960D09">
      <w:pPr>
        <w:rPr>
          <w:b/>
          <w:sz w:val="28"/>
        </w:rPr>
      </w:pPr>
      <w:r>
        <w:rPr>
          <w:b/>
          <w:sz w:val="28"/>
        </w:rPr>
        <w:t>Endnotes</w:t>
      </w:r>
    </w:p>
    <w:p w:rsidR="00960D09" w:rsidRDefault="00960D09">
      <w:pPr>
        <w:spacing w:after="240"/>
        <w:rPr>
          <w:rFonts w:ascii="Times" w:hAnsi="Times"/>
          <w:sz w:val="18"/>
        </w:rPr>
      </w:pPr>
      <w:r>
        <w:rPr>
          <w:sz w:val="20"/>
        </w:rPr>
        <w:t>[For ease of reference detach these notes and read them alongside the draft.]</w:t>
      </w:r>
    </w:p>
    <w:p w:rsidR="00960D09" w:rsidRDefault="00960D09"/>
  </w:endnote>
  <w:endnote w:type="continuationSeparator" w:id="0">
    <w:p w:rsidR="00960D09" w:rsidRDefault="00960D09">
      <w:pPr>
        <w:pStyle w:val="Footer"/>
      </w:pPr>
    </w:p>
    <w:p w:rsidR="00960D09" w:rsidRDefault="00960D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D09" w:rsidRDefault="00960D09">
    <w:pPr>
      <w:pStyle w:val="Footer"/>
      <w:pBdr>
        <w:bottom w:val="single" w:sz="4" w:space="1" w:color="auto"/>
      </w:pBdr>
      <w:rPr>
        <w:sz w:val="20"/>
      </w:rPr>
    </w:pPr>
  </w:p>
  <w:p w:rsidR="00960D09" w:rsidRDefault="00960D09">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CB0801">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B0801">
      <w:rPr>
        <w:sz w:val="20"/>
      </w:rPr>
      <w:t>01 Jul 2021</w:t>
    </w:r>
    <w:r>
      <w:rPr>
        <w:sz w:val="20"/>
      </w:rPr>
      <w:fldChar w:fldCharType="end"/>
    </w:r>
  </w:p>
  <w:p w:rsidR="00960D09" w:rsidRDefault="00960D09">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D09" w:rsidRDefault="00960D09">
    <w:pPr>
      <w:pStyle w:val="Footer"/>
      <w:pBdr>
        <w:bottom w:val="single" w:sz="4" w:space="1" w:color="auto"/>
      </w:pBdr>
      <w:rPr>
        <w:sz w:val="20"/>
      </w:rPr>
    </w:pPr>
  </w:p>
  <w:p w:rsidR="00960D09" w:rsidRDefault="00960D0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B0801">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B0801">
      <w:rPr>
        <w:sz w:val="20"/>
      </w:rPr>
      <w:t>04-h0-00</w:t>
    </w:r>
    <w:r>
      <w:rPr>
        <w:sz w:val="20"/>
      </w:rPr>
      <w:fldChar w:fldCharType="end"/>
    </w:r>
  </w:p>
  <w:p w:rsidR="00960D09" w:rsidRDefault="00960D09">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D09" w:rsidRDefault="00960D09">
    <w:pPr>
      <w:pStyle w:val="Footer"/>
      <w:pBdr>
        <w:bottom w:val="single" w:sz="4" w:space="1" w:color="auto"/>
      </w:pBdr>
      <w:rPr>
        <w:sz w:val="20"/>
      </w:rPr>
    </w:pPr>
  </w:p>
  <w:p w:rsidR="00960D09" w:rsidRDefault="00960D0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B0801">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B0801">
      <w:rPr>
        <w:sz w:val="20"/>
      </w:rPr>
      <w:t>04-h0-00</w:t>
    </w:r>
    <w:r>
      <w:rPr>
        <w:sz w:val="20"/>
      </w:rPr>
      <w:fldChar w:fldCharType="end"/>
    </w:r>
  </w:p>
  <w:p w:rsidR="00960D09" w:rsidRDefault="00960D09">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D09" w:rsidRDefault="00960D09">
    <w:pPr>
      <w:pStyle w:val="Footer"/>
      <w:pBdr>
        <w:bottom w:val="single" w:sz="4" w:space="1" w:color="auto"/>
      </w:pBdr>
      <w:rPr>
        <w:sz w:val="20"/>
      </w:rPr>
    </w:pPr>
  </w:p>
  <w:p w:rsidR="00960D09" w:rsidRDefault="00960D0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B0801">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CB0801">
      <w:rPr>
        <w:sz w:val="20"/>
      </w:rPr>
      <w:t>01 Jul 2021</w:t>
    </w:r>
    <w:r>
      <w:rPr>
        <w:sz w:val="20"/>
      </w:rPr>
      <w:fldChar w:fldCharType="end"/>
    </w:r>
  </w:p>
  <w:p w:rsidR="00960D09" w:rsidRDefault="00960D09">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D09" w:rsidRDefault="00960D09">
    <w:pPr>
      <w:pStyle w:val="Footer"/>
      <w:pBdr>
        <w:bottom w:val="single" w:sz="4" w:space="1" w:color="auto"/>
      </w:pBdr>
      <w:rPr>
        <w:sz w:val="20"/>
      </w:rPr>
    </w:pPr>
  </w:p>
  <w:p w:rsidR="00960D09" w:rsidRDefault="00960D0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B0801">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B0801">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rsidR="00960D09" w:rsidRDefault="00960D09">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D09" w:rsidRDefault="00960D09">
    <w:pPr>
      <w:pStyle w:val="Footer"/>
      <w:pBdr>
        <w:bottom w:val="single" w:sz="4" w:space="1" w:color="auto"/>
      </w:pBdr>
      <w:rPr>
        <w:sz w:val="20"/>
      </w:rPr>
    </w:pPr>
  </w:p>
  <w:p w:rsidR="00960D09" w:rsidRDefault="00960D0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B0801">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B0801">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960D09" w:rsidRDefault="00960D09">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D09" w:rsidRDefault="00960D09">
    <w:pPr>
      <w:pStyle w:val="Footer"/>
      <w:pBdr>
        <w:bottom w:val="single" w:sz="4" w:space="1" w:color="auto"/>
      </w:pBdr>
      <w:rPr>
        <w:sz w:val="20"/>
      </w:rPr>
    </w:pPr>
  </w:p>
  <w:p w:rsidR="00960D09" w:rsidRDefault="00960D0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CB0801">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CB0801">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rsidR="00960D09" w:rsidRDefault="00960D09">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D09" w:rsidRDefault="00960D0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D09" w:rsidRDefault="00960D0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D09" w:rsidRDefault="00960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0D09" w:rsidRDefault="00960D09">
      <w:r>
        <w:separator/>
      </w:r>
    </w:p>
  </w:footnote>
  <w:footnote w:type="continuationSeparator" w:id="0">
    <w:p w:rsidR="00960D09" w:rsidRDefault="00960D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0801" w:rsidRDefault="00CB080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0801" w:rsidRDefault="00CB08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D09" w:rsidRDefault="00960D09">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0D09">
      <w:trPr>
        <w:cantSplit/>
        <w:jc w:val="center"/>
      </w:trPr>
      <w:tc>
        <w:tcPr>
          <w:tcW w:w="7258" w:type="dxa"/>
          <w:gridSpan w:val="2"/>
        </w:tcPr>
        <w:p w:rsidR="00960D09" w:rsidRDefault="00960D09">
          <w:pPr>
            <w:pStyle w:val="Header"/>
          </w:pPr>
          <w:r>
            <w:rPr>
              <w:b/>
              <w:i/>
            </w:rPr>
            <w:fldChar w:fldCharType="begin"/>
          </w:r>
          <w:r>
            <w:rPr>
              <w:b/>
              <w:i/>
            </w:rPr>
            <w:instrText xml:space="preserve"> STYLEREF "Name of Act/Reg" </w:instrText>
          </w:r>
          <w:r>
            <w:rPr>
              <w:b/>
              <w:i/>
            </w:rPr>
            <w:fldChar w:fldCharType="separate"/>
          </w:r>
          <w:r w:rsidR="00CB0801">
            <w:rPr>
              <w:b/>
              <w:i/>
            </w:rPr>
            <w:t>Energy Operators (Electricity Generation and Retail Corporation) (Charges) By-laws 2006</w:t>
          </w:r>
          <w:r>
            <w:rPr>
              <w:b/>
              <w:i/>
            </w:rPr>
            <w:fldChar w:fldCharType="end"/>
          </w:r>
        </w:p>
      </w:tc>
    </w:tr>
    <w:tr w:rsidR="00960D09">
      <w:trPr>
        <w:jc w:val="center"/>
      </w:trPr>
      <w:tc>
        <w:tcPr>
          <w:tcW w:w="1548" w:type="dxa"/>
        </w:tcPr>
        <w:p w:rsidR="00960D09" w:rsidRDefault="00960D09">
          <w:pPr>
            <w:pStyle w:val="Header"/>
            <w:spacing w:before="40"/>
          </w:pPr>
        </w:p>
      </w:tc>
      <w:tc>
        <w:tcPr>
          <w:tcW w:w="5715" w:type="dxa"/>
        </w:tcPr>
        <w:p w:rsidR="00960D09" w:rsidRDefault="00960D09">
          <w:pPr>
            <w:pStyle w:val="Header"/>
            <w:spacing w:before="40"/>
          </w:pPr>
        </w:p>
      </w:tc>
    </w:tr>
    <w:tr w:rsidR="00960D09">
      <w:trPr>
        <w:jc w:val="center"/>
      </w:trPr>
      <w:tc>
        <w:tcPr>
          <w:tcW w:w="1548" w:type="dxa"/>
        </w:tcPr>
        <w:p w:rsidR="00960D09" w:rsidRDefault="00960D09">
          <w:pPr>
            <w:pStyle w:val="Header"/>
            <w:spacing w:before="40"/>
          </w:pPr>
        </w:p>
      </w:tc>
      <w:tc>
        <w:tcPr>
          <w:tcW w:w="5715" w:type="dxa"/>
        </w:tcPr>
        <w:p w:rsidR="00960D09" w:rsidRDefault="00960D09">
          <w:pPr>
            <w:pStyle w:val="Header"/>
            <w:spacing w:before="40"/>
          </w:pPr>
        </w:p>
      </w:tc>
    </w:tr>
    <w:tr w:rsidR="00960D09">
      <w:trPr>
        <w:cantSplit/>
        <w:jc w:val="center"/>
      </w:trPr>
      <w:tc>
        <w:tcPr>
          <w:tcW w:w="7258" w:type="dxa"/>
          <w:gridSpan w:val="2"/>
        </w:tcPr>
        <w:p w:rsidR="00960D09" w:rsidRDefault="00960D09">
          <w:pPr>
            <w:pStyle w:val="Header"/>
            <w:spacing w:before="40"/>
          </w:pPr>
          <w:r>
            <w:t>Contents</w:t>
          </w:r>
        </w:p>
      </w:tc>
    </w:tr>
  </w:tbl>
  <w:p w:rsidR="00960D09" w:rsidRDefault="00960D09">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60D09">
      <w:trPr>
        <w:cantSplit/>
        <w:jc w:val="center"/>
      </w:trPr>
      <w:tc>
        <w:tcPr>
          <w:tcW w:w="7258" w:type="dxa"/>
          <w:gridSpan w:val="2"/>
        </w:tcPr>
        <w:p w:rsidR="00960D09" w:rsidRDefault="00960D09">
          <w:pPr>
            <w:pStyle w:val="Header"/>
            <w:ind w:right="17"/>
            <w:jc w:val="right"/>
          </w:pPr>
          <w:r>
            <w:rPr>
              <w:b/>
              <w:i/>
            </w:rPr>
            <w:fldChar w:fldCharType="begin"/>
          </w:r>
          <w:r>
            <w:rPr>
              <w:b/>
              <w:i/>
            </w:rPr>
            <w:instrText xml:space="preserve"> STYLEREF "Name of Act/Reg" </w:instrText>
          </w:r>
          <w:r>
            <w:rPr>
              <w:b/>
              <w:i/>
            </w:rPr>
            <w:fldChar w:fldCharType="separate"/>
          </w:r>
          <w:r w:rsidR="00CB0801">
            <w:rPr>
              <w:b/>
              <w:i/>
            </w:rPr>
            <w:t>Energy Operators (Electricity Generation and Retail Corporation) (Charges) By-laws 2006</w:t>
          </w:r>
          <w:r>
            <w:rPr>
              <w:b/>
              <w:i/>
            </w:rPr>
            <w:fldChar w:fldCharType="end"/>
          </w:r>
        </w:p>
      </w:tc>
    </w:tr>
    <w:tr w:rsidR="00960D09">
      <w:trPr>
        <w:jc w:val="center"/>
      </w:trPr>
      <w:tc>
        <w:tcPr>
          <w:tcW w:w="5715" w:type="dxa"/>
        </w:tcPr>
        <w:p w:rsidR="00960D09" w:rsidRDefault="00960D09">
          <w:pPr>
            <w:pStyle w:val="Header"/>
            <w:spacing w:before="40"/>
            <w:jc w:val="right"/>
          </w:pPr>
        </w:p>
      </w:tc>
      <w:tc>
        <w:tcPr>
          <w:tcW w:w="1548" w:type="dxa"/>
        </w:tcPr>
        <w:p w:rsidR="00960D09" w:rsidRDefault="00960D09">
          <w:pPr>
            <w:pStyle w:val="Header"/>
            <w:spacing w:before="40"/>
            <w:ind w:right="17"/>
            <w:jc w:val="right"/>
          </w:pPr>
        </w:p>
      </w:tc>
    </w:tr>
    <w:tr w:rsidR="00960D09">
      <w:trPr>
        <w:jc w:val="center"/>
      </w:trPr>
      <w:tc>
        <w:tcPr>
          <w:tcW w:w="5715" w:type="dxa"/>
        </w:tcPr>
        <w:p w:rsidR="00960D09" w:rsidRDefault="00960D09">
          <w:pPr>
            <w:pStyle w:val="Header"/>
            <w:spacing w:before="40"/>
            <w:jc w:val="right"/>
          </w:pPr>
        </w:p>
      </w:tc>
      <w:tc>
        <w:tcPr>
          <w:tcW w:w="1548" w:type="dxa"/>
        </w:tcPr>
        <w:p w:rsidR="00960D09" w:rsidRDefault="00960D09">
          <w:pPr>
            <w:pStyle w:val="Header"/>
            <w:spacing w:before="40"/>
            <w:ind w:right="17"/>
            <w:jc w:val="right"/>
          </w:pPr>
        </w:p>
      </w:tc>
    </w:tr>
    <w:tr w:rsidR="00960D09">
      <w:trPr>
        <w:cantSplit/>
        <w:jc w:val="center"/>
      </w:trPr>
      <w:tc>
        <w:tcPr>
          <w:tcW w:w="7258" w:type="dxa"/>
          <w:gridSpan w:val="2"/>
        </w:tcPr>
        <w:p w:rsidR="00960D09" w:rsidRDefault="00960D09">
          <w:pPr>
            <w:pStyle w:val="Header"/>
            <w:spacing w:before="40"/>
            <w:ind w:right="17"/>
            <w:jc w:val="right"/>
          </w:pPr>
          <w:r>
            <w:t>Contents</w:t>
          </w:r>
        </w:p>
      </w:tc>
    </w:tr>
  </w:tbl>
  <w:p w:rsidR="00960D09" w:rsidRDefault="00960D09">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D09" w:rsidRDefault="00960D0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0D09">
      <w:trPr>
        <w:cantSplit/>
        <w:jc w:val="center"/>
      </w:trPr>
      <w:tc>
        <w:tcPr>
          <w:tcW w:w="7263" w:type="dxa"/>
          <w:gridSpan w:val="2"/>
        </w:tcPr>
        <w:p w:rsidR="00960D09" w:rsidRDefault="00960D09">
          <w:pPr>
            <w:pStyle w:val="Header"/>
          </w:pPr>
          <w:r>
            <w:rPr>
              <w:b/>
              <w:i/>
            </w:rPr>
            <w:fldChar w:fldCharType="begin"/>
          </w:r>
          <w:r>
            <w:rPr>
              <w:b/>
              <w:i/>
            </w:rPr>
            <w:instrText>STYLEREF "Name of Act/Reg"</w:instrText>
          </w:r>
          <w:r>
            <w:rPr>
              <w:b/>
              <w:i/>
            </w:rPr>
            <w:fldChar w:fldCharType="separate"/>
          </w:r>
          <w:r w:rsidR="00CB0801">
            <w:rPr>
              <w:b/>
              <w:i/>
            </w:rPr>
            <w:t>Energy Operators (Electricity Generation and Retail Corporation) (Charges) By-laws 2006</w:t>
          </w:r>
          <w:r>
            <w:rPr>
              <w:b/>
              <w:i/>
            </w:rPr>
            <w:fldChar w:fldCharType="end"/>
          </w:r>
        </w:p>
      </w:tc>
    </w:tr>
    <w:tr w:rsidR="00960D09">
      <w:trPr>
        <w:jc w:val="center"/>
      </w:trPr>
      <w:tc>
        <w:tcPr>
          <w:tcW w:w="1548" w:type="dxa"/>
        </w:tcPr>
        <w:p w:rsidR="00960D09" w:rsidRDefault="00960D09">
          <w:pPr>
            <w:pStyle w:val="Header"/>
            <w:spacing w:before="40"/>
          </w:pPr>
          <w:r>
            <w:rPr>
              <w:b/>
            </w:rPr>
            <w:fldChar w:fldCharType="begin"/>
          </w:r>
          <w:r>
            <w:rPr>
              <w:b/>
            </w:rPr>
            <w:instrText>STYLEREF CharPartNo</w:instrText>
          </w:r>
          <w:r>
            <w:rPr>
              <w:b/>
            </w:rPr>
            <w:fldChar w:fldCharType="end"/>
          </w:r>
        </w:p>
      </w:tc>
      <w:tc>
        <w:tcPr>
          <w:tcW w:w="5715" w:type="dxa"/>
          <w:vAlign w:val="bottom"/>
        </w:tcPr>
        <w:p w:rsidR="00960D09" w:rsidRDefault="00960D09">
          <w:pPr>
            <w:pStyle w:val="Header"/>
            <w:spacing w:before="40"/>
          </w:pPr>
          <w:r>
            <w:fldChar w:fldCharType="begin"/>
          </w:r>
          <w:r>
            <w:instrText xml:space="preserve"> styleref CharPartText </w:instrText>
          </w:r>
          <w:r>
            <w:fldChar w:fldCharType="end"/>
          </w:r>
        </w:p>
      </w:tc>
    </w:tr>
    <w:tr w:rsidR="00960D09">
      <w:trPr>
        <w:jc w:val="center"/>
      </w:trPr>
      <w:tc>
        <w:tcPr>
          <w:tcW w:w="1548" w:type="dxa"/>
        </w:tcPr>
        <w:p w:rsidR="00960D09" w:rsidRDefault="00960D09">
          <w:pPr>
            <w:pStyle w:val="Header"/>
            <w:spacing w:before="40"/>
          </w:pPr>
          <w:r>
            <w:rPr>
              <w:b/>
            </w:rPr>
            <w:fldChar w:fldCharType="begin"/>
          </w:r>
          <w:r>
            <w:rPr>
              <w:b/>
            </w:rPr>
            <w:instrText>STYLEREF CharDivNo</w:instrText>
          </w:r>
          <w:r>
            <w:rPr>
              <w:b/>
            </w:rPr>
            <w:fldChar w:fldCharType="end"/>
          </w:r>
        </w:p>
      </w:tc>
      <w:tc>
        <w:tcPr>
          <w:tcW w:w="5715" w:type="dxa"/>
          <w:vAlign w:val="bottom"/>
        </w:tcPr>
        <w:p w:rsidR="00960D09" w:rsidRDefault="00960D09">
          <w:pPr>
            <w:pStyle w:val="Header"/>
            <w:spacing w:before="40"/>
          </w:pPr>
          <w:r>
            <w:fldChar w:fldCharType="begin"/>
          </w:r>
          <w:r>
            <w:instrText xml:space="preserve"> styleref CharDivText </w:instrText>
          </w:r>
          <w:r>
            <w:fldChar w:fldCharType="end"/>
          </w:r>
        </w:p>
      </w:tc>
    </w:tr>
    <w:tr w:rsidR="00960D09">
      <w:trPr>
        <w:cantSplit/>
        <w:jc w:val="center"/>
      </w:trPr>
      <w:tc>
        <w:tcPr>
          <w:tcW w:w="7263" w:type="dxa"/>
          <w:gridSpan w:val="2"/>
        </w:tcPr>
        <w:p w:rsidR="00960D09" w:rsidRDefault="00960D09">
          <w:pPr>
            <w:pStyle w:val="Header"/>
            <w:spacing w:before="40"/>
          </w:pPr>
          <w:r>
            <w:rPr>
              <w:b/>
            </w:rPr>
            <w:t xml:space="preserve">bl. </w:t>
          </w:r>
          <w:r>
            <w:rPr>
              <w:b/>
            </w:rPr>
            <w:fldChar w:fldCharType="begin"/>
          </w:r>
          <w:r>
            <w:rPr>
              <w:b/>
            </w:rPr>
            <w:instrText>STYLEREF CharSectNo</w:instrText>
          </w:r>
          <w:r>
            <w:rPr>
              <w:b/>
            </w:rPr>
            <w:fldChar w:fldCharType="separate"/>
          </w:r>
          <w:r w:rsidR="00CB0801">
            <w:rPr>
              <w:b/>
            </w:rPr>
            <w:t>1</w:t>
          </w:r>
          <w:r>
            <w:rPr>
              <w:b/>
            </w:rPr>
            <w:fldChar w:fldCharType="end"/>
          </w:r>
        </w:p>
      </w:tc>
    </w:tr>
  </w:tbl>
  <w:p w:rsidR="00960D09" w:rsidRDefault="00960D09">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60D09">
      <w:trPr>
        <w:cantSplit/>
        <w:jc w:val="center"/>
      </w:trPr>
      <w:tc>
        <w:tcPr>
          <w:tcW w:w="7263" w:type="dxa"/>
          <w:gridSpan w:val="2"/>
        </w:tcPr>
        <w:p w:rsidR="00960D09" w:rsidRDefault="00960D09">
          <w:pPr>
            <w:pStyle w:val="Header"/>
            <w:ind w:right="17"/>
            <w:jc w:val="right"/>
          </w:pPr>
          <w:r>
            <w:rPr>
              <w:b/>
              <w:i/>
            </w:rPr>
            <w:fldChar w:fldCharType="begin"/>
          </w:r>
          <w:r>
            <w:rPr>
              <w:b/>
              <w:i/>
            </w:rPr>
            <w:instrText>STYLEREF "Name of Act/Reg"</w:instrText>
          </w:r>
          <w:r>
            <w:rPr>
              <w:b/>
              <w:i/>
            </w:rPr>
            <w:fldChar w:fldCharType="separate"/>
          </w:r>
          <w:r w:rsidR="00CB0801">
            <w:rPr>
              <w:b/>
              <w:i/>
            </w:rPr>
            <w:t>Energy Operators (Electricity Generation and Retail Corporation) (Charges) By-laws 2006</w:t>
          </w:r>
          <w:r>
            <w:rPr>
              <w:b/>
              <w:i/>
            </w:rPr>
            <w:fldChar w:fldCharType="end"/>
          </w:r>
        </w:p>
      </w:tc>
    </w:tr>
    <w:tr w:rsidR="00960D09">
      <w:trPr>
        <w:jc w:val="center"/>
      </w:trPr>
      <w:tc>
        <w:tcPr>
          <w:tcW w:w="5715" w:type="dxa"/>
          <w:vAlign w:val="bottom"/>
        </w:tcPr>
        <w:p w:rsidR="00960D09" w:rsidRDefault="00960D09">
          <w:pPr>
            <w:pStyle w:val="Header"/>
            <w:spacing w:before="40"/>
            <w:jc w:val="right"/>
          </w:pPr>
          <w:r>
            <w:fldChar w:fldCharType="begin"/>
          </w:r>
          <w:r>
            <w:instrText xml:space="preserve"> styleref CharPartText </w:instrText>
          </w:r>
          <w:r>
            <w:fldChar w:fldCharType="end"/>
          </w:r>
        </w:p>
      </w:tc>
      <w:tc>
        <w:tcPr>
          <w:tcW w:w="1548" w:type="dxa"/>
        </w:tcPr>
        <w:p w:rsidR="00960D09" w:rsidRDefault="00960D09">
          <w:pPr>
            <w:pStyle w:val="Header"/>
            <w:spacing w:before="40"/>
            <w:ind w:right="17"/>
            <w:jc w:val="right"/>
          </w:pPr>
          <w:r>
            <w:rPr>
              <w:b/>
            </w:rPr>
            <w:fldChar w:fldCharType="begin"/>
          </w:r>
          <w:r>
            <w:rPr>
              <w:b/>
            </w:rPr>
            <w:instrText>STYLEREF CharPartNo</w:instrText>
          </w:r>
          <w:r>
            <w:rPr>
              <w:b/>
            </w:rPr>
            <w:fldChar w:fldCharType="end"/>
          </w:r>
        </w:p>
      </w:tc>
    </w:tr>
    <w:tr w:rsidR="00960D09">
      <w:trPr>
        <w:jc w:val="center"/>
      </w:trPr>
      <w:tc>
        <w:tcPr>
          <w:tcW w:w="5715" w:type="dxa"/>
          <w:vAlign w:val="bottom"/>
        </w:tcPr>
        <w:p w:rsidR="00960D09" w:rsidRDefault="00960D09">
          <w:pPr>
            <w:pStyle w:val="Header"/>
            <w:spacing w:before="40"/>
            <w:jc w:val="right"/>
          </w:pPr>
          <w:r>
            <w:fldChar w:fldCharType="begin"/>
          </w:r>
          <w:r>
            <w:instrText xml:space="preserve"> styleref CharDivText </w:instrText>
          </w:r>
          <w:r>
            <w:fldChar w:fldCharType="end"/>
          </w:r>
        </w:p>
      </w:tc>
      <w:tc>
        <w:tcPr>
          <w:tcW w:w="1548" w:type="dxa"/>
        </w:tcPr>
        <w:p w:rsidR="00960D09" w:rsidRDefault="00960D09">
          <w:pPr>
            <w:pStyle w:val="Header"/>
            <w:spacing w:before="40"/>
            <w:ind w:right="17"/>
            <w:jc w:val="right"/>
          </w:pPr>
          <w:r>
            <w:rPr>
              <w:b/>
            </w:rPr>
            <w:fldChar w:fldCharType="begin"/>
          </w:r>
          <w:r>
            <w:rPr>
              <w:b/>
            </w:rPr>
            <w:instrText>STYLEREF CharDivNo</w:instrText>
          </w:r>
          <w:r>
            <w:rPr>
              <w:b/>
            </w:rPr>
            <w:fldChar w:fldCharType="end"/>
          </w:r>
        </w:p>
      </w:tc>
    </w:tr>
    <w:tr w:rsidR="00960D09">
      <w:trPr>
        <w:cantSplit/>
        <w:jc w:val="center"/>
      </w:trPr>
      <w:tc>
        <w:tcPr>
          <w:tcW w:w="7263" w:type="dxa"/>
          <w:gridSpan w:val="2"/>
        </w:tcPr>
        <w:p w:rsidR="00960D09" w:rsidRDefault="00960D09">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sidR="00CB0801">
            <w:rPr>
              <w:b/>
            </w:rPr>
            <w:t>1</w:t>
          </w:r>
          <w:r>
            <w:rPr>
              <w:b/>
            </w:rPr>
            <w:fldChar w:fldCharType="end"/>
          </w:r>
        </w:p>
      </w:tc>
    </w:tr>
  </w:tbl>
  <w:p w:rsidR="00960D09" w:rsidRDefault="00960D09">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D09" w:rsidRDefault="00960D0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0D09">
      <w:trPr>
        <w:cantSplit/>
        <w:jc w:val="center"/>
      </w:trPr>
      <w:tc>
        <w:tcPr>
          <w:tcW w:w="7258" w:type="dxa"/>
          <w:gridSpan w:val="2"/>
        </w:tcPr>
        <w:p w:rsidR="00960D09" w:rsidRDefault="00960D09">
          <w:pPr>
            <w:pStyle w:val="Header"/>
          </w:pPr>
          <w:r>
            <w:rPr>
              <w:b/>
              <w:i/>
            </w:rPr>
            <w:fldChar w:fldCharType="begin"/>
          </w:r>
          <w:r>
            <w:rPr>
              <w:b/>
              <w:i/>
            </w:rPr>
            <w:instrText xml:space="preserve"> STYLEREF "Name of Act/Reg" </w:instrText>
          </w:r>
          <w:r>
            <w:rPr>
              <w:b/>
              <w:i/>
            </w:rPr>
            <w:fldChar w:fldCharType="separate"/>
          </w:r>
          <w:r w:rsidR="00CB0801">
            <w:rPr>
              <w:b/>
              <w:i/>
            </w:rPr>
            <w:t>Energy Operators (Electricity Generation and Retail Corporation) (Charges) By-laws 2006</w:t>
          </w:r>
          <w:r>
            <w:rPr>
              <w:b/>
              <w:i/>
            </w:rPr>
            <w:fldChar w:fldCharType="end"/>
          </w:r>
        </w:p>
      </w:tc>
    </w:tr>
    <w:tr w:rsidR="00960D09">
      <w:trPr>
        <w:jc w:val="center"/>
      </w:trPr>
      <w:tc>
        <w:tcPr>
          <w:tcW w:w="1548" w:type="dxa"/>
        </w:tcPr>
        <w:p w:rsidR="00960D09" w:rsidRDefault="00960D0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B080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rsidR="00960D09" w:rsidRDefault="00960D09">
          <w:pPr>
            <w:pStyle w:val="Header"/>
            <w:spacing w:before="40"/>
          </w:pPr>
          <w:r>
            <w:fldChar w:fldCharType="begin"/>
          </w:r>
          <w:r>
            <w:instrText xml:space="preserve"> styleref CharSchText </w:instrText>
          </w:r>
          <w:r>
            <w:fldChar w:fldCharType="end"/>
          </w:r>
        </w:p>
      </w:tc>
    </w:tr>
    <w:tr w:rsidR="00960D09">
      <w:trPr>
        <w:jc w:val="center"/>
      </w:trPr>
      <w:tc>
        <w:tcPr>
          <w:tcW w:w="1548" w:type="dxa"/>
        </w:tcPr>
        <w:p w:rsidR="00960D09" w:rsidRDefault="00960D09">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B080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960D09" w:rsidRDefault="00960D09">
          <w:pPr>
            <w:pStyle w:val="Header"/>
            <w:spacing w:before="40"/>
          </w:pPr>
          <w:r>
            <w:fldChar w:fldCharType="begin"/>
          </w:r>
          <w:r>
            <w:instrText xml:space="preserve"> styleref CharSDivText </w:instrText>
          </w:r>
          <w:r>
            <w:fldChar w:fldCharType="end"/>
          </w:r>
        </w:p>
      </w:tc>
    </w:tr>
    <w:tr w:rsidR="00960D09">
      <w:trPr>
        <w:jc w:val="center"/>
      </w:trPr>
      <w:tc>
        <w:tcPr>
          <w:tcW w:w="7258" w:type="dxa"/>
          <w:gridSpan w:val="2"/>
        </w:tcPr>
        <w:p w:rsidR="00960D09" w:rsidRDefault="00960D09">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CB0801">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CB0801">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CB0801">
            <w:rPr>
              <w:b/>
            </w:rPr>
            <w:t>1</w:t>
          </w:r>
          <w:r>
            <w:rPr>
              <w:b/>
            </w:rPr>
            <w:fldChar w:fldCharType="end"/>
          </w:r>
        </w:p>
      </w:tc>
    </w:tr>
  </w:tbl>
  <w:p w:rsidR="00960D09" w:rsidRDefault="00960D09">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60D09">
      <w:trPr>
        <w:jc w:val="center"/>
      </w:trPr>
      <w:tc>
        <w:tcPr>
          <w:tcW w:w="7160" w:type="dxa"/>
          <w:gridSpan w:val="2"/>
        </w:tcPr>
        <w:p w:rsidR="00960D09" w:rsidRDefault="00960D09">
          <w:pPr>
            <w:pStyle w:val="Header"/>
            <w:jc w:val="right"/>
          </w:pPr>
          <w:r>
            <w:rPr>
              <w:b/>
              <w:i/>
            </w:rPr>
            <w:fldChar w:fldCharType="begin"/>
          </w:r>
          <w:r>
            <w:rPr>
              <w:b/>
              <w:i/>
            </w:rPr>
            <w:instrText xml:space="preserve"> STYLEREF "Name of Act/Reg" </w:instrText>
          </w:r>
          <w:r>
            <w:rPr>
              <w:b/>
              <w:i/>
            </w:rPr>
            <w:fldChar w:fldCharType="separate"/>
          </w:r>
          <w:r w:rsidR="00CB0801">
            <w:rPr>
              <w:b/>
              <w:i/>
            </w:rPr>
            <w:t>Energy Operators (Electricity Generation and Retail Corporation) (Charges) By-laws 2006</w:t>
          </w:r>
          <w:r>
            <w:rPr>
              <w:b/>
              <w:i/>
            </w:rPr>
            <w:fldChar w:fldCharType="end"/>
          </w:r>
        </w:p>
      </w:tc>
    </w:tr>
    <w:tr w:rsidR="00960D09">
      <w:trPr>
        <w:jc w:val="center"/>
      </w:trPr>
      <w:tc>
        <w:tcPr>
          <w:tcW w:w="5715" w:type="dxa"/>
        </w:tcPr>
        <w:p w:rsidR="00960D09" w:rsidRDefault="00960D09">
          <w:pPr>
            <w:pStyle w:val="Header"/>
            <w:spacing w:before="40"/>
            <w:jc w:val="right"/>
          </w:pPr>
          <w:r>
            <w:fldChar w:fldCharType="begin"/>
          </w:r>
          <w:r>
            <w:instrText xml:space="preserve"> styleref CharSchText </w:instrText>
          </w:r>
          <w:r>
            <w:fldChar w:fldCharType="end"/>
          </w:r>
        </w:p>
      </w:tc>
      <w:tc>
        <w:tcPr>
          <w:tcW w:w="1445" w:type="dxa"/>
        </w:tcPr>
        <w:p w:rsidR="00960D09" w:rsidRDefault="00960D0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B080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rsidR="00960D09">
      <w:trPr>
        <w:jc w:val="center"/>
      </w:trPr>
      <w:tc>
        <w:tcPr>
          <w:tcW w:w="5715" w:type="dxa"/>
        </w:tcPr>
        <w:p w:rsidR="00960D09" w:rsidRDefault="00960D09">
          <w:pPr>
            <w:pStyle w:val="Header"/>
            <w:spacing w:before="40"/>
            <w:jc w:val="right"/>
          </w:pPr>
          <w:r>
            <w:fldChar w:fldCharType="begin"/>
          </w:r>
          <w:r>
            <w:instrText xml:space="preserve"> styleref CharSDivText </w:instrText>
          </w:r>
          <w:r>
            <w:fldChar w:fldCharType="end"/>
          </w:r>
        </w:p>
      </w:tc>
      <w:tc>
        <w:tcPr>
          <w:tcW w:w="1445" w:type="dxa"/>
        </w:tcPr>
        <w:p w:rsidR="00960D09" w:rsidRDefault="00960D0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B080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960D09">
      <w:trPr>
        <w:jc w:val="center"/>
      </w:trPr>
      <w:tc>
        <w:tcPr>
          <w:tcW w:w="7160" w:type="dxa"/>
          <w:gridSpan w:val="2"/>
        </w:tcPr>
        <w:p w:rsidR="00960D09" w:rsidRDefault="00960D0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CB0801">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CB0801">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CB0801">
            <w:rPr>
              <w:b/>
            </w:rPr>
            <w:t>1</w:t>
          </w:r>
          <w:r>
            <w:rPr>
              <w:b/>
            </w:rPr>
            <w:fldChar w:fldCharType="end"/>
          </w:r>
        </w:p>
      </w:tc>
    </w:tr>
  </w:tbl>
  <w:p w:rsidR="00960D09" w:rsidRDefault="00960D09">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0D09">
      <w:trPr>
        <w:cantSplit/>
        <w:jc w:val="center"/>
      </w:trPr>
      <w:tc>
        <w:tcPr>
          <w:tcW w:w="7258" w:type="dxa"/>
          <w:gridSpan w:val="2"/>
        </w:tcPr>
        <w:p w:rsidR="00960D09" w:rsidRDefault="00960D09">
          <w:pPr>
            <w:pStyle w:val="Header"/>
          </w:pPr>
          <w:r>
            <w:rPr>
              <w:b/>
              <w:i/>
            </w:rPr>
            <w:fldChar w:fldCharType="begin"/>
          </w:r>
          <w:r>
            <w:rPr>
              <w:b/>
              <w:i/>
            </w:rPr>
            <w:instrText xml:space="preserve"> STYLEREF "Name of Act/Reg" </w:instrText>
          </w:r>
          <w:r>
            <w:rPr>
              <w:b/>
              <w:i/>
            </w:rPr>
            <w:fldChar w:fldCharType="separate"/>
          </w:r>
          <w:r w:rsidR="00CB0801">
            <w:rPr>
              <w:b/>
              <w:i/>
            </w:rPr>
            <w:t>Energy Operators (Electricity Generation and Retail Corporation) (Charges) By-laws 2006</w:t>
          </w:r>
          <w:r>
            <w:rPr>
              <w:b/>
              <w:i/>
            </w:rPr>
            <w:fldChar w:fldCharType="end"/>
          </w:r>
        </w:p>
      </w:tc>
    </w:tr>
    <w:tr w:rsidR="00960D09">
      <w:trPr>
        <w:jc w:val="center"/>
      </w:trPr>
      <w:tc>
        <w:tcPr>
          <w:tcW w:w="1548" w:type="dxa"/>
        </w:tcPr>
        <w:p w:rsidR="00960D09" w:rsidRDefault="00960D09">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B080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B0801">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CB0801">
            <w:rPr>
              <w:b/>
            </w:rPr>
            <w:t>Schedule 1</w:t>
          </w:r>
          <w:r>
            <w:rPr>
              <w:b/>
            </w:rPr>
            <w:fldChar w:fldCharType="end"/>
          </w:r>
        </w:p>
      </w:tc>
      <w:tc>
        <w:tcPr>
          <w:tcW w:w="5715" w:type="dxa"/>
        </w:tcPr>
        <w:p w:rsidR="00960D09" w:rsidRDefault="00960D09">
          <w:pPr>
            <w:pStyle w:val="Header"/>
            <w:spacing w:before="40"/>
          </w:pPr>
          <w:r>
            <w:fldChar w:fldCharType="begin"/>
          </w:r>
          <w:r>
            <w:instrText xml:space="preserve"> styleref CharSchText </w:instrText>
          </w:r>
          <w:r>
            <w:fldChar w:fldCharType="separate"/>
          </w:r>
          <w:r w:rsidR="00CB0801">
            <w:t>Supply charges</w:t>
          </w:r>
          <w:r>
            <w:fldChar w:fldCharType="end"/>
          </w:r>
        </w:p>
      </w:tc>
    </w:tr>
    <w:tr w:rsidR="00960D09">
      <w:trPr>
        <w:jc w:val="center"/>
      </w:trPr>
      <w:tc>
        <w:tcPr>
          <w:tcW w:w="1548" w:type="dxa"/>
        </w:tcPr>
        <w:p w:rsidR="00960D09" w:rsidRDefault="00960D09">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B080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rsidR="00960D09" w:rsidRDefault="00960D09">
          <w:pPr>
            <w:pStyle w:val="Header"/>
            <w:spacing w:before="40"/>
          </w:pPr>
          <w:r>
            <w:fldChar w:fldCharType="begin"/>
          </w:r>
          <w:r>
            <w:instrText xml:space="preserve"> styleref CharSDivText </w:instrText>
          </w:r>
          <w:r>
            <w:fldChar w:fldCharType="end"/>
          </w:r>
        </w:p>
      </w:tc>
    </w:tr>
    <w:tr w:rsidR="00960D09">
      <w:trPr>
        <w:jc w:val="center"/>
      </w:trPr>
      <w:tc>
        <w:tcPr>
          <w:tcW w:w="7258" w:type="dxa"/>
          <w:gridSpan w:val="2"/>
        </w:tcPr>
        <w:p w:rsidR="00960D09" w:rsidRDefault="00960D09">
          <w:pPr>
            <w:pStyle w:val="Header"/>
            <w:spacing w:before="40"/>
          </w:pPr>
        </w:p>
      </w:tc>
    </w:tr>
  </w:tbl>
  <w:p w:rsidR="00960D09" w:rsidRDefault="00960D09">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960D09">
      <w:trPr>
        <w:jc w:val="center"/>
      </w:trPr>
      <w:tc>
        <w:tcPr>
          <w:tcW w:w="7160" w:type="dxa"/>
          <w:gridSpan w:val="2"/>
        </w:tcPr>
        <w:p w:rsidR="00960D09" w:rsidRDefault="00960D09">
          <w:pPr>
            <w:pStyle w:val="Header"/>
            <w:jc w:val="right"/>
          </w:pPr>
          <w:r>
            <w:rPr>
              <w:b/>
              <w:i/>
            </w:rPr>
            <w:fldChar w:fldCharType="begin"/>
          </w:r>
          <w:r>
            <w:rPr>
              <w:b/>
              <w:i/>
            </w:rPr>
            <w:instrText xml:space="preserve"> STYLEREF "Name of Act/Reg" </w:instrText>
          </w:r>
          <w:r>
            <w:rPr>
              <w:b/>
              <w:i/>
            </w:rPr>
            <w:fldChar w:fldCharType="separate"/>
          </w:r>
          <w:r w:rsidR="00CB0801">
            <w:rPr>
              <w:b/>
              <w:i/>
            </w:rPr>
            <w:t>Energy Operators (Electricity Generation and Retail Corporation) (Charges) By-laws 2006</w:t>
          </w:r>
          <w:r>
            <w:rPr>
              <w:b/>
              <w:i/>
            </w:rPr>
            <w:fldChar w:fldCharType="end"/>
          </w:r>
        </w:p>
      </w:tc>
    </w:tr>
    <w:tr w:rsidR="00960D09">
      <w:trPr>
        <w:jc w:val="center"/>
      </w:trPr>
      <w:tc>
        <w:tcPr>
          <w:tcW w:w="5715" w:type="dxa"/>
        </w:tcPr>
        <w:p w:rsidR="00960D09" w:rsidRDefault="00960D09">
          <w:pPr>
            <w:pStyle w:val="Header"/>
            <w:spacing w:before="40"/>
            <w:jc w:val="right"/>
          </w:pPr>
          <w:r>
            <w:fldChar w:fldCharType="begin"/>
          </w:r>
          <w:r>
            <w:instrText xml:space="preserve"> styleref CharSchText </w:instrText>
          </w:r>
          <w:r>
            <w:fldChar w:fldCharType="separate"/>
          </w:r>
          <w:r w:rsidR="00CB0801">
            <w:t>Supply charges</w:t>
          </w:r>
          <w:r>
            <w:fldChar w:fldCharType="end"/>
          </w:r>
        </w:p>
      </w:tc>
      <w:tc>
        <w:tcPr>
          <w:tcW w:w="1445" w:type="dxa"/>
        </w:tcPr>
        <w:p w:rsidR="00960D09" w:rsidRDefault="00960D0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CB0801">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sidR="00CB0801">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sidR="00CB0801">
            <w:rPr>
              <w:b/>
            </w:rPr>
            <w:t>Schedule 1</w:t>
          </w:r>
          <w:r>
            <w:rPr>
              <w:b/>
            </w:rPr>
            <w:fldChar w:fldCharType="end"/>
          </w:r>
        </w:p>
      </w:tc>
    </w:tr>
    <w:tr w:rsidR="00960D09">
      <w:trPr>
        <w:jc w:val="center"/>
      </w:trPr>
      <w:tc>
        <w:tcPr>
          <w:tcW w:w="5715" w:type="dxa"/>
        </w:tcPr>
        <w:p w:rsidR="00960D09" w:rsidRDefault="00960D09">
          <w:pPr>
            <w:pStyle w:val="Header"/>
            <w:spacing w:before="40"/>
            <w:jc w:val="right"/>
          </w:pPr>
          <w:r>
            <w:fldChar w:fldCharType="begin"/>
          </w:r>
          <w:r>
            <w:instrText xml:space="preserve"> styleref CharSDivText </w:instrText>
          </w:r>
          <w:r>
            <w:fldChar w:fldCharType="end"/>
          </w:r>
        </w:p>
      </w:tc>
      <w:tc>
        <w:tcPr>
          <w:tcW w:w="1445" w:type="dxa"/>
        </w:tcPr>
        <w:p w:rsidR="00960D09" w:rsidRDefault="00960D09">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CB0801">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rsidR="00960D09">
      <w:trPr>
        <w:jc w:val="center"/>
      </w:trPr>
      <w:tc>
        <w:tcPr>
          <w:tcW w:w="7160" w:type="dxa"/>
          <w:gridSpan w:val="2"/>
        </w:tcPr>
        <w:p w:rsidR="00960D09" w:rsidRDefault="00960D09">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sidR="00CB0801">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sidR="00CB0801">
            <w:rPr>
              <w:b/>
            </w:rPr>
            <w:instrText>10</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sidR="00CB0801">
            <w:rPr>
              <w:b/>
            </w:rPr>
            <w:t>10</w:t>
          </w:r>
          <w:r>
            <w:rPr>
              <w:b/>
            </w:rPr>
            <w:fldChar w:fldCharType="end"/>
          </w:r>
        </w:p>
      </w:tc>
    </w:tr>
  </w:tbl>
  <w:p w:rsidR="00960D09" w:rsidRDefault="00960D09">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960D09">
      <w:trPr>
        <w:cantSplit/>
        <w:jc w:val="center"/>
      </w:trPr>
      <w:tc>
        <w:tcPr>
          <w:tcW w:w="7258" w:type="dxa"/>
          <w:gridSpan w:val="2"/>
        </w:tcPr>
        <w:p w:rsidR="00960D09" w:rsidRDefault="00960D09">
          <w:pPr>
            <w:pStyle w:val="Header"/>
          </w:pPr>
          <w:r>
            <w:rPr>
              <w:b/>
              <w:i/>
            </w:rPr>
            <w:fldChar w:fldCharType="begin"/>
          </w:r>
          <w:r>
            <w:rPr>
              <w:b/>
              <w:i/>
            </w:rPr>
            <w:instrText xml:space="preserve"> STYLEREF "Name of Act/Reg" </w:instrText>
          </w:r>
          <w:r>
            <w:rPr>
              <w:b/>
              <w:i/>
            </w:rPr>
            <w:fldChar w:fldCharType="separate"/>
          </w:r>
          <w:r w:rsidR="00CB0801">
            <w:rPr>
              <w:b/>
              <w:i/>
            </w:rPr>
            <w:t>Energy Operators (Electricity Generation and Retail Corporation) (Charges) By-laws 2006</w:t>
          </w:r>
          <w:r>
            <w:rPr>
              <w:b/>
              <w:i/>
            </w:rPr>
            <w:fldChar w:fldCharType="end"/>
          </w:r>
        </w:p>
      </w:tc>
    </w:tr>
    <w:tr w:rsidR="00960D09">
      <w:trPr>
        <w:jc w:val="center"/>
      </w:trPr>
      <w:tc>
        <w:tcPr>
          <w:tcW w:w="1548" w:type="dxa"/>
        </w:tcPr>
        <w:p w:rsidR="00960D09" w:rsidRDefault="00960D09">
          <w:pPr>
            <w:pStyle w:val="Header"/>
            <w:spacing w:before="40"/>
          </w:pPr>
          <w:r>
            <w:rPr>
              <w:b/>
            </w:rPr>
            <w:fldChar w:fldCharType="begin"/>
          </w:r>
          <w:r>
            <w:rPr>
              <w:b/>
            </w:rPr>
            <w:instrText xml:space="preserve"> STYLEREF "nHeading 2" </w:instrText>
          </w:r>
          <w:r>
            <w:rPr>
              <w:b/>
            </w:rPr>
            <w:fldChar w:fldCharType="separate"/>
          </w:r>
          <w:r w:rsidR="00CB0801">
            <w:rPr>
              <w:b/>
            </w:rPr>
            <w:t>Notes</w:t>
          </w:r>
          <w:r>
            <w:rPr>
              <w:b/>
            </w:rPr>
            <w:fldChar w:fldCharType="end"/>
          </w:r>
        </w:p>
      </w:tc>
      <w:tc>
        <w:tcPr>
          <w:tcW w:w="5715" w:type="dxa"/>
        </w:tcPr>
        <w:p w:rsidR="00960D09" w:rsidRDefault="00960D09">
          <w:pPr>
            <w:pStyle w:val="Header"/>
            <w:spacing w:before="40"/>
          </w:pPr>
          <w:r>
            <w:fldChar w:fldCharType="begin"/>
          </w:r>
          <w:r>
            <w:instrText xml:space="preserve"> STYLEREF "nHeading 3" </w:instrText>
          </w:r>
          <w:r>
            <w:fldChar w:fldCharType="separate"/>
          </w:r>
          <w:r w:rsidR="00CB0801">
            <w:t>Compilation table</w:t>
          </w:r>
          <w:r>
            <w:fldChar w:fldCharType="end"/>
          </w:r>
        </w:p>
      </w:tc>
    </w:tr>
    <w:tr w:rsidR="00960D09">
      <w:trPr>
        <w:jc w:val="center"/>
      </w:trPr>
      <w:tc>
        <w:tcPr>
          <w:tcW w:w="1548" w:type="dxa"/>
        </w:tcPr>
        <w:p w:rsidR="00960D09" w:rsidRDefault="00960D09">
          <w:pPr>
            <w:pStyle w:val="Header"/>
            <w:spacing w:before="40"/>
          </w:pPr>
        </w:p>
      </w:tc>
      <w:tc>
        <w:tcPr>
          <w:tcW w:w="5715" w:type="dxa"/>
        </w:tcPr>
        <w:p w:rsidR="00960D09" w:rsidRDefault="00960D09">
          <w:pPr>
            <w:pStyle w:val="Header"/>
            <w:spacing w:before="40"/>
          </w:pPr>
        </w:p>
      </w:tc>
    </w:tr>
    <w:tr w:rsidR="00960D09">
      <w:trPr>
        <w:cantSplit/>
        <w:jc w:val="center"/>
      </w:trPr>
      <w:tc>
        <w:tcPr>
          <w:tcW w:w="7258" w:type="dxa"/>
          <w:gridSpan w:val="2"/>
        </w:tcPr>
        <w:p w:rsidR="00960D09" w:rsidRDefault="00960D09">
          <w:pPr>
            <w:pStyle w:val="Header"/>
            <w:spacing w:before="40"/>
          </w:pPr>
        </w:p>
      </w:tc>
    </w:tr>
  </w:tbl>
  <w:p w:rsidR="00960D09" w:rsidRDefault="00960D09">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960D09">
      <w:trPr>
        <w:cantSplit/>
        <w:jc w:val="center"/>
      </w:trPr>
      <w:tc>
        <w:tcPr>
          <w:tcW w:w="7258" w:type="dxa"/>
          <w:gridSpan w:val="2"/>
        </w:tcPr>
        <w:p w:rsidR="00960D09" w:rsidRDefault="00960D09">
          <w:pPr>
            <w:pStyle w:val="Header"/>
            <w:ind w:right="17"/>
            <w:jc w:val="right"/>
          </w:pPr>
          <w:r>
            <w:rPr>
              <w:b/>
              <w:i/>
            </w:rPr>
            <w:fldChar w:fldCharType="begin"/>
          </w:r>
          <w:r>
            <w:rPr>
              <w:b/>
              <w:i/>
            </w:rPr>
            <w:instrText xml:space="preserve"> STYLEREF "Name of Act/Reg" </w:instrText>
          </w:r>
          <w:r>
            <w:rPr>
              <w:b/>
              <w:i/>
            </w:rPr>
            <w:fldChar w:fldCharType="separate"/>
          </w:r>
          <w:r w:rsidR="00CB0801">
            <w:rPr>
              <w:b/>
              <w:i/>
            </w:rPr>
            <w:t>Energy Operators (Electricity Generation and Retail Corporation) (Charges) By-laws 2006</w:t>
          </w:r>
          <w:r>
            <w:rPr>
              <w:b/>
              <w:i/>
            </w:rPr>
            <w:fldChar w:fldCharType="end"/>
          </w:r>
        </w:p>
      </w:tc>
    </w:tr>
    <w:tr w:rsidR="00960D09">
      <w:trPr>
        <w:jc w:val="center"/>
      </w:trPr>
      <w:tc>
        <w:tcPr>
          <w:tcW w:w="5715" w:type="dxa"/>
        </w:tcPr>
        <w:p w:rsidR="00960D09" w:rsidRDefault="00960D09">
          <w:pPr>
            <w:pStyle w:val="Header"/>
            <w:spacing w:before="40"/>
            <w:jc w:val="right"/>
          </w:pPr>
          <w:r>
            <w:fldChar w:fldCharType="begin"/>
          </w:r>
          <w:r>
            <w:instrText xml:space="preserve"> STYLEREF "nHeading 3" </w:instrText>
          </w:r>
          <w:r>
            <w:fldChar w:fldCharType="separate"/>
          </w:r>
          <w:r w:rsidR="00CB0801">
            <w:t>Compilation table</w:t>
          </w:r>
          <w:r>
            <w:fldChar w:fldCharType="end"/>
          </w:r>
        </w:p>
      </w:tc>
      <w:tc>
        <w:tcPr>
          <w:tcW w:w="1548" w:type="dxa"/>
        </w:tcPr>
        <w:p w:rsidR="00960D09" w:rsidRDefault="00960D09">
          <w:pPr>
            <w:pStyle w:val="Header"/>
            <w:spacing w:before="40"/>
            <w:ind w:right="17"/>
            <w:jc w:val="right"/>
          </w:pPr>
          <w:r>
            <w:rPr>
              <w:b/>
            </w:rPr>
            <w:fldChar w:fldCharType="begin"/>
          </w:r>
          <w:r>
            <w:rPr>
              <w:b/>
            </w:rPr>
            <w:instrText xml:space="preserve"> STYLEREF "nHeading 2" </w:instrText>
          </w:r>
          <w:r>
            <w:rPr>
              <w:b/>
            </w:rPr>
            <w:fldChar w:fldCharType="separate"/>
          </w:r>
          <w:r w:rsidR="00CB0801">
            <w:rPr>
              <w:b/>
            </w:rPr>
            <w:t>Notes</w:t>
          </w:r>
          <w:r>
            <w:rPr>
              <w:b/>
            </w:rPr>
            <w:fldChar w:fldCharType="end"/>
          </w:r>
        </w:p>
      </w:tc>
    </w:tr>
    <w:tr w:rsidR="00960D09">
      <w:trPr>
        <w:jc w:val="center"/>
      </w:trPr>
      <w:tc>
        <w:tcPr>
          <w:tcW w:w="5715" w:type="dxa"/>
        </w:tcPr>
        <w:p w:rsidR="00960D09" w:rsidRDefault="00960D09">
          <w:pPr>
            <w:pStyle w:val="Header"/>
            <w:spacing w:before="40"/>
            <w:jc w:val="right"/>
          </w:pPr>
        </w:p>
      </w:tc>
      <w:tc>
        <w:tcPr>
          <w:tcW w:w="1548" w:type="dxa"/>
        </w:tcPr>
        <w:p w:rsidR="00960D09" w:rsidRDefault="00960D09">
          <w:pPr>
            <w:pStyle w:val="Header"/>
            <w:spacing w:before="40"/>
            <w:ind w:right="17"/>
            <w:jc w:val="right"/>
          </w:pPr>
        </w:p>
      </w:tc>
    </w:tr>
    <w:tr w:rsidR="00960D09">
      <w:trPr>
        <w:cantSplit/>
        <w:jc w:val="center"/>
      </w:trPr>
      <w:tc>
        <w:tcPr>
          <w:tcW w:w="7258" w:type="dxa"/>
          <w:gridSpan w:val="2"/>
        </w:tcPr>
        <w:p w:rsidR="00960D09" w:rsidRDefault="00960D09">
          <w:pPr>
            <w:pStyle w:val="Header"/>
            <w:spacing w:before="40"/>
            <w:ind w:right="17"/>
            <w:jc w:val="right"/>
          </w:pPr>
        </w:p>
      </w:tc>
    </w:tr>
  </w:tbl>
  <w:p w:rsidR="00960D09" w:rsidRDefault="00960D09">
    <w:pPr>
      <w:pStyle w:val="Header"/>
      <w:pBdr>
        <w:top w:val="single" w:sz="4" w:space="1" w:color="auto"/>
      </w:pBdr>
    </w:pPr>
    <w:bookmarkStart w:id="88" w:name="Compilation"/>
    <w:bookmarkEnd w:id="8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960D09">
      <w:trPr>
        <w:cantSplit/>
        <w:jc w:val="center"/>
      </w:trPr>
      <w:tc>
        <w:tcPr>
          <w:tcW w:w="7263" w:type="dxa"/>
          <w:gridSpan w:val="2"/>
        </w:tcPr>
        <w:p w:rsidR="00960D09" w:rsidRDefault="00960D09">
          <w:pPr>
            <w:pStyle w:val="Header"/>
          </w:pPr>
          <w:r>
            <w:rPr>
              <w:b/>
              <w:i/>
            </w:rPr>
            <w:fldChar w:fldCharType="begin"/>
          </w:r>
          <w:r>
            <w:rPr>
              <w:b/>
              <w:i/>
            </w:rPr>
            <w:instrText xml:space="preserve"> STYLEREF "Name of Act/Reg" </w:instrText>
          </w:r>
          <w:r>
            <w:rPr>
              <w:b/>
              <w:i/>
            </w:rPr>
            <w:fldChar w:fldCharType="separate"/>
          </w:r>
          <w:r w:rsidR="00CB0801">
            <w:rPr>
              <w:b/>
              <w:i/>
            </w:rPr>
            <w:t>Energy Operators (Electricity Generation and Retail Corporation) (Charges) By-laws 2006</w:t>
          </w:r>
          <w:r>
            <w:rPr>
              <w:b/>
              <w:i/>
            </w:rPr>
            <w:fldChar w:fldCharType="end"/>
          </w:r>
        </w:p>
      </w:tc>
    </w:tr>
    <w:tr w:rsidR="00960D09">
      <w:trPr>
        <w:jc w:val="center"/>
      </w:trPr>
      <w:tc>
        <w:tcPr>
          <w:tcW w:w="1348" w:type="dxa"/>
        </w:tcPr>
        <w:p w:rsidR="00960D09" w:rsidRDefault="00960D09">
          <w:pPr>
            <w:pStyle w:val="Header"/>
            <w:spacing w:before="40"/>
          </w:pPr>
        </w:p>
      </w:tc>
      <w:tc>
        <w:tcPr>
          <w:tcW w:w="5915" w:type="dxa"/>
        </w:tcPr>
        <w:p w:rsidR="00960D09" w:rsidRDefault="00960D09">
          <w:pPr>
            <w:pStyle w:val="Header"/>
            <w:spacing w:before="40"/>
          </w:pPr>
        </w:p>
      </w:tc>
    </w:tr>
    <w:tr w:rsidR="00960D09">
      <w:trPr>
        <w:jc w:val="center"/>
      </w:trPr>
      <w:tc>
        <w:tcPr>
          <w:tcW w:w="1348" w:type="dxa"/>
        </w:tcPr>
        <w:p w:rsidR="00960D09" w:rsidRDefault="00960D09">
          <w:pPr>
            <w:pStyle w:val="Header"/>
            <w:spacing w:before="40"/>
          </w:pPr>
        </w:p>
      </w:tc>
      <w:tc>
        <w:tcPr>
          <w:tcW w:w="5915" w:type="dxa"/>
        </w:tcPr>
        <w:p w:rsidR="00960D09" w:rsidRDefault="00960D09">
          <w:pPr>
            <w:pStyle w:val="Header"/>
            <w:spacing w:before="40"/>
          </w:pPr>
        </w:p>
      </w:tc>
    </w:tr>
    <w:tr w:rsidR="00960D09">
      <w:trPr>
        <w:cantSplit/>
        <w:jc w:val="center"/>
      </w:trPr>
      <w:tc>
        <w:tcPr>
          <w:tcW w:w="7263" w:type="dxa"/>
          <w:gridSpan w:val="2"/>
        </w:tcPr>
        <w:p w:rsidR="00960D09" w:rsidRDefault="00960D09">
          <w:pPr>
            <w:pStyle w:val="Header"/>
            <w:spacing w:before="40"/>
          </w:pPr>
          <w:r>
            <w:t>Defined terms</w:t>
          </w:r>
        </w:p>
      </w:tc>
    </w:tr>
  </w:tbl>
  <w:p w:rsidR="00960D09" w:rsidRDefault="00960D09">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960D09">
      <w:trPr>
        <w:cantSplit/>
        <w:jc w:val="center"/>
      </w:trPr>
      <w:tc>
        <w:tcPr>
          <w:tcW w:w="7263" w:type="dxa"/>
          <w:gridSpan w:val="2"/>
        </w:tcPr>
        <w:p w:rsidR="00960D09" w:rsidRDefault="00960D09">
          <w:pPr>
            <w:pStyle w:val="Header"/>
            <w:spacing w:before="40"/>
            <w:ind w:right="17"/>
            <w:jc w:val="right"/>
          </w:pPr>
          <w:r>
            <w:rPr>
              <w:b/>
              <w:i/>
            </w:rPr>
            <w:fldChar w:fldCharType="begin"/>
          </w:r>
          <w:r>
            <w:rPr>
              <w:b/>
              <w:i/>
            </w:rPr>
            <w:instrText xml:space="preserve"> STYLEREF "Name of Act/Reg" </w:instrText>
          </w:r>
          <w:r>
            <w:rPr>
              <w:b/>
              <w:i/>
            </w:rPr>
            <w:fldChar w:fldCharType="separate"/>
          </w:r>
          <w:r w:rsidR="00CB0801">
            <w:rPr>
              <w:b/>
              <w:i/>
            </w:rPr>
            <w:t>Energy Operators (Electricity Generation and Retail Corporation) (Charges) By-laws 2006</w:t>
          </w:r>
          <w:r>
            <w:rPr>
              <w:b/>
              <w:i/>
            </w:rPr>
            <w:fldChar w:fldCharType="end"/>
          </w:r>
        </w:p>
      </w:tc>
    </w:tr>
    <w:tr w:rsidR="00960D09">
      <w:trPr>
        <w:jc w:val="center"/>
      </w:trPr>
      <w:tc>
        <w:tcPr>
          <w:tcW w:w="5884" w:type="dxa"/>
        </w:tcPr>
        <w:p w:rsidR="00960D09" w:rsidRDefault="00960D09">
          <w:pPr>
            <w:pStyle w:val="Header"/>
            <w:spacing w:before="40"/>
            <w:jc w:val="right"/>
          </w:pPr>
        </w:p>
      </w:tc>
      <w:tc>
        <w:tcPr>
          <w:tcW w:w="1379" w:type="dxa"/>
        </w:tcPr>
        <w:p w:rsidR="00960D09" w:rsidRDefault="00960D09">
          <w:pPr>
            <w:pStyle w:val="Header"/>
            <w:spacing w:before="40"/>
            <w:ind w:right="17"/>
            <w:jc w:val="right"/>
          </w:pPr>
        </w:p>
      </w:tc>
    </w:tr>
    <w:tr w:rsidR="00960D09">
      <w:trPr>
        <w:jc w:val="center"/>
      </w:trPr>
      <w:tc>
        <w:tcPr>
          <w:tcW w:w="5884" w:type="dxa"/>
        </w:tcPr>
        <w:p w:rsidR="00960D09" w:rsidRDefault="00960D09">
          <w:pPr>
            <w:pStyle w:val="Header"/>
            <w:spacing w:before="40"/>
            <w:jc w:val="right"/>
          </w:pPr>
        </w:p>
      </w:tc>
      <w:tc>
        <w:tcPr>
          <w:tcW w:w="1379" w:type="dxa"/>
        </w:tcPr>
        <w:p w:rsidR="00960D09" w:rsidRDefault="00960D09">
          <w:pPr>
            <w:pStyle w:val="Header"/>
            <w:spacing w:before="40"/>
            <w:ind w:right="17"/>
            <w:jc w:val="right"/>
          </w:pPr>
        </w:p>
      </w:tc>
    </w:tr>
    <w:tr w:rsidR="00960D09">
      <w:trPr>
        <w:cantSplit/>
        <w:jc w:val="center"/>
      </w:trPr>
      <w:tc>
        <w:tcPr>
          <w:tcW w:w="7263" w:type="dxa"/>
          <w:gridSpan w:val="2"/>
        </w:tcPr>
        <w:p w:rsidR="00960D09" w:rsidRDefault="00960D09">
          <w:pPr>
            <w:pStyle w:val="Header"/>
            <w:spacing w:before="40"/>
            <w:ind w:right="17"/>
            <w:jc w:val="right"/>
          </w:pPr>
          <w:r>
            <w:t>Defined terms</w:t>
          </w:r>
        </w:p>
      </w:tc>
    </w:tr>
  </w:tbl>
  <w:p w:rsidR="00960D09" w:rsidRDefault="00960D09">
    <w:pPr>
      <w:pStyle w:val="Header"/>
      <w:pBdr>
        <w:top w:val="single" w:sz="4" w:space="1" w:color="auto"/>
      </w:pBdr>
    </w:pPr>
    <w:bookmarkStart w:id="98" w:name="DefinedTerms"/>
    <w:bookmarkEnd w:id="98"/>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D09" w:rsidRDefault="00960D0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D09" w:rsidRDefault="00960D0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0D09" w:rsidRDefault="00960D09">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682E4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54204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18FF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CA971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E02D7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AF84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5ACBE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D9436D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D21A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E6E6B9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9896373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42938"/>
    <w:docVar w:name="WAFER_20131230155955" w:val="RemoveTocBookmarks,RunningHeaders"/>
    <w:docVar w:name="WAFER_20131230155955_GUID" w:val="eb34285e-f376-44c6-b366-471e87ad5125"/>
    <w:docVar w:name="WAFER_20140102122411" w:val="RemoveTocBookmarks,RemoveUnusedBookmarks,RemoveLanguageTags,UsedStyles,ResetPageSize"/>
    <w:docVar w:name="WAFER_20140102122411_GUID" w:val="02ef6dc1-0e5f-4966-a4c9-7262b8eb8f47"/>
    <w:docVar w:name="WAFER_20140102133815" w:val="UpdateArrangement"/>
    <w:docVar w:name="WAFER_20140102133815_GUID" w:val="35f96604-a81b-4449-ab3f-fd0946a291a0"/>
    <w:docVar w:name="WAFER_20140304101823" w:val="RemoveTocBookmarks,RemoveUnusedBookmarks,RemoveLanguageTags,UsedStyles,RemoveTrackChanges"/>
    <w:docVar w:name="WAFER_20140304101823_GUID" w:val="2ce80b97-e1c9-4dfc-b091-a87e3f05d44e"/>
    <w:docVar w:name="WAFER_20140304101836" w:val="RemoveTocBookmarks,RemoveLanguageTags,RemoveTrackChanges,RunningHeaders"/>
    <w:docVar w:name="WAFER_20140304101836_GUID" w:val="6c90dd79-80ce-4673-b03d-ddb2f712d1fe"/>
    <w:docVar w:name="WAFER_20140630170559" w:val="RemoveTocBookmarks,RunningHeaders"/>
    <w:docVar w:name="WAFER_20140630170559_GUID" w:val="a36765fc-3309-4489-9a11-5b874c20d50b"/>
    <w:docVar w:name="WAFER_20140630170848" w:val="RemoveTocBookmarks,RunningHeaders"/>
    <w:docVar w:name="WAFER_20140630170848_GUID" w:val="a8e2b761-c903-4c2c-85e0-5026f20670e4"/>
    <w:docVar w:name="WAFER_20150414151033" w:val="ResetPageSize,UpdateArrangement,UpdateNTable"/>
    <w:docVar w:name="WAFER_20150414151033_GUID" w:val="a34f8568-801b-402b-8d0f-5effbae48f03"/>
    <w:docVar w:name="WAFER_20151105123736" w:val="UpdateStyles,UsedStyles"/>
    <w:docVar w:name="WAFER_20151105123736_GUID" w:val="3ce5933b-4c35-4cd5-978b-5013e0139cbb"/>
    <w:docVar w:name="WAFER_20170208155836" w:val="RemoveTocBookmarks,RemoveUnusedBookmarks,RemoveLanguageTags,UsedStyles,ResetPageSize"/>
    <w:docVar w:name="WAFER_20170208155836_GUID" w:val="49bc0dda-ee02-4cd7-8c47-6054202e0286"/>
    <w:docVar w:name="WAFER_20180216105838" w:val="RemoveTocBookmarks,RemoveUnusedBookmarks,RemoveLanguageTags,UsedStyles,ResetPageSize"/>
    <w:docVar w:name="WAFER_20180216105838_GUID" w:val="e86a15db-9c5f-45d7-8b16-1d8cf0163571"/>
    <w:docVar w:name="WAFER_20180426120024" w:val="RemoveTocBookmarks,RemoveUnusedBookmarks,RemoveLanguageTags,UsedStyles,ResetPageSize,RemoveCustomizations"/>
    <w:docVar w:name="WAFER_20180426120024_GUID" w:val="9e9a78d8-f620-4916-8831-2f9af6e2081f"/>
    <w:docVar w:name="WAFER_20190828113052" w:val="RemoveTocBookmarks,RemoveUnusedBookmarks,RemoveLanguageTags,ResetPageSize,RunningHeaders,UpdateStyles,UsedStyles"/>
    <w:docVar w:name="WAFER_20190828113052_GUID" w:val="b014ba0c-ec47-4ee8-9ca7-a5ff8dee9b0d"/>
    <w:docVar w:name="WAFER_20200608110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10511_GUID" w:val="7253b864-7969-4c6f-bec9-4392535540ed"/>
    <w:docVar w:name="WAFER_20200616150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50220_GUID" w:val="78773235-194e-462d-9745-a1d2cd2e5c0f"/>
    <w:docVar w:name="WAFER_202106211014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1101413_GUID" w:val="4d088c24-7f5e-405b-a829-d40ecf6d103a"/>
    <w:docVar w:name="WAFER_202106231429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42938_GUID" w:val="91497390-d74e-48fc-83a2-c06284e6feef"/>
  </w:docVars>
  <w:rsids>
    <w:rsidRoot w:val="002278A3"/>
    <w:rsid w:val="000A3B5D"/>
    <w:rsid w:val="002278A3"/>
    <w:rsid w:val="00235079"/>
    <w:rsid w:val="00337D71"/>
    <w:rsid w:val="003A01FB"/>
    <w:rsid w:val="003C5C80"/>
    <w:rsid w:val="00496485"/>
    <w:rsid w:val="00542018"/>
    <w:rsid w:val="005B3872"/>
    <w:rsid w:val="005C7478"/>
    <w:rsid w:val="006023C5"/>
    <w:rsid w:val="00721035"/>
    <w:rsid w:val="00834A65"/>
    <w:rsid w:val="00960D09"/>
    <w:rsid w:val="00AF0614"/>
    <w:rsid w:val="00B2604C"/>
    <w:rsid w:val="00B50BFA"/>
    <w:rsid w:val="00B6634F"/>
    <w:rsid w:val="00B92DAC"/>
    <w:rsid w:val="00BF2D12"/>
    <w:rsid w:val="00C003E2"/>
    <w:rsid w:val="00C05E54"/>
    <w:rsid w:val="00C10FC0"/>
    <w:rsid w:val="00CB0801"/>
    <w:rsid w:val="00FF1C7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F6CFB1B9-0824-4A25-9922-FE74351B8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2.png"/><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4677</Words>
  <Characters>22918</Characters>
  <Application>Microsoft Office Word</Application>
  <DocSecurity>0</DocSecurity>
  <Lines>848</Lines>
  <Paragraphs>563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(Electricity Generation and Retail Corporation) (Charges) By-laws 2006 - 04-h0-00</dc:title>
  <dc:subject/>
  <dc:creator/>
  <cp:keywords/>
  <dc:description/>
  <cp:lastModifiedBy>Master Repository Process</cp:lastModifiedBy>
  <cp:revision>4</cp:revision>
  <cp:lastPrinted>2019-06-24T07:01:00Z</cp:lastPrinted>
  <dcterms:created xsi:type="dcterms:W3CDTF">2021-06-30T01:35:00Z</dcterms:created>
  <dcterms:modified xsi:type="dcterms:W3CDTF">2021-06-30T01:35:00Z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1225-46</vt:lpwstr>
  </property>
  <property fmtid="{D5CDD505-2E9C-101B-9397-08002B2CF9AE}" pid="3" name="OwlsUID">
    <vt:i4>38407</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4</vt:lpwstr>
  </property>
  <property fmtid="{D5CDD505-2E9C-101B-9397-08002B2CF9AE}" pid="7" name="AsAtDate">
    <vt:lpwstr>01 Jul 2021</vt:lpwstr>
  </property>
  <property fmtid="{D5CDD505-2E9C-101B-9397-08002B2CF9AE}" pid="8" name="Suffix">
    <vt:lpwstr>04-h0-00</vt:lpwstr>
  </property>
  <property fmtid="{D5CDD505-2E9C-101B-9397-08002B2CF9AE}" pid="9" name="CommencementDate">
    <vt:lpwstr>20210701</vt:lpwstr>
  </property>
</Properties>
</file>