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3B4" w:rsidRDefault="001E63B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E63B4" w:rsidRDefault="001E63B4">
      <w:pPr>
        <w:pStyle w:val="PrincipalActRegPage1"/>
      </w:pPr>
      <w:r>
        <w:fldChar w:fldCharType="begin"/>
      </w:r>
      <w:r>
        <w:instrText xml:space="preserve"> STYLEREF "PrincipalAct_Reg</w:instrText>
      </w:r>
      <w:r>
        <w:fldChar w:fldCharType="separate"/>
      </w:r>
      <w:r w:rsidR="004A036E">
        <w:rPr>
          <w:noProof/>
        </w:rPr>
        <w:t>Energy Operators (Powers) Act 1979</w:t>
      </w:r>
      <w:r>
        <w:fldChar w:fldCharType="end"/>
      </w:r>
    </w:p>
    <w:p w:rsidR="001E63B4" w:rsidRDefault="001E63B4">
      <w:pPr>
        <w:pStyle w:val="NameofActRegPage1"/>
        <w:spacing w:before="1800" w:after="4200"/>
        <w:outlineLvl w:val="0"/>
      </w:pPr>
      <w:r>
        <w:fldChar w:fldCharType="begin"/>
      </w:r>
      <w:r>
        <w:instrText xml:space="preserve"> STYLEREF "Name Of Act/Reg"</w:instrText>
      </w:r>
      <w:r>
        <w:fldChar w:fldCharType="separate"/>
      </w:r>
      <w:r w:rsidR="004A036E">
        <w:rPr>
          <w:noProof/>
        </w:rPr>
        <w:t>Energy Operators (Regional Power Corporation) (Charges) By-laws 2006</w:t>
      </w:r>
      <w:r>
        <w:fldChar w:fldCharType="end"/>
      </w:r>
    </w:p>
    <w:p w:rsidR="001E63B4" w:rsidRDefault="001E63B4">
      <w:pPr>
        <w:jc w:val="center"/>
        <w:sectPr w:rsidR="001E63B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F38A5" w:rsidRDefault="00DF38A5">
      <w:pPr>
        <w:pStyle w:val="WA"/>
      </w:pPr>
      <w:r>
        <w:lastRenderedPageBreak/>
        <w:t>Western Australia</w:t>
      </w:r>
    </w:p>
    <w:p w:rsidR="001E63B4" w:rsidRDefault="001E63B4">
      <w:pPr>
        <w:pStyle w:val="NameofActRegPage1"/>
      </w:pPr>
      <w:r>
        <w:fldChar w:fldCharType="begin"/>
      </w:r>
      <w:r>
        <w:instrText xml:space="preserve"> STYLEREF "Name Of Act/Reg"</w:instrText>
      </w:r>
      <w:r>
        <w:fldChar w:fldCharType="separate"/>
      </w:r>
      <w:r w:rsidR="004A036E">
        <w:rPr>
          <w:noProof/>
        </w:rPr>
        <w:t>Energy Operators (Regional Power Corporation) (Charges) By-laws 2006</w:t>
      </w:r>
      <w:r>
        <w:fldChar w:fldCharType="end"/>
      </w:r>
    </w:p>
    <w:p w:rsidR="001E63B4" w:rsidRDefault="001E63B4">
      <w:pPr>
        <w:pStyle w:val="Arrangement"/>
      </w:pPr>
      <w:r>
        <w:t>Contents</w:t>
      </w:r>
    </w:p>
    <w:p w:rsidR="0060671D" w:rsidRDefault="001E63B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0671D">
        <w:t>1.</w:t>
      </w:r>
      <w:r w:rsidR="0060671D">
        <w:tab/>
        <w:t>Citation</w:t>
      </w:r>
      <w:r w:rsidR="0060671D">
        <w:tab/>
      </w:r>
      <w:r w:rsidR="0060671D">
        <w:fldChar w:fldCharType="begin"/>
      </w:r>
      <w:r w:rsidR="0060671D">
        <w:instrText xml:space="preserve"> PAGEREF _Toc75855930 \h </w:instrText>
      </w:r>
      <w:r w:rsidR="0060671D">
        <w:fldChar w:fldCharType="separate"/>
      </w:r>
      <w:r w:rsidR="004A036E">
        <w:t>1</w:t>
      </w:r>
      <w:r w:rsidR="0060671D">
        <w:fldChar w:fldCharType="end"/>
      </w:r>
    </w:p>
    <w:p w:rsidR="0060671D" w:rsidRDefault="0060671D">
      <w:pPr>
        <w:pStyle w:val="TOC8"/>
        <w:rPr>
          <w:rFonts w:asciiTheme="minorHAnsi" w:eastAsiaTheme="minorEastAsia" w:hAnsiTheme="minorHAnsi" w:cstheme="minorBidi"/>
          <w:szCs w:val="22"/>
        </w:rPr>
      </w:pPr>
      <w:r>
        <w:t>2.</w:t>
      </w:r>
      <w:r>
        <w:tab/>
        <w:t>Commencement</w:t>
      </w:r>
      <w:r>
        <w:tab/>
      </w:r>
      <w:r>
        <w:fldChar w:fldCharType="begin"/>
      </w:r>
      <w:r>
        <w:instrText xml:space="preserve"> PAGEREF _Toc75855931 \h </w:instrText>
      </w:r>
      <w:r>
        <w:fldChar w:fldCharType="separate"/>
      </w:r>
      <w:r w:rsidR="004A036E">
        <w:t>1</w:t>
      </w:r>
      <w:r>
        <w:fldChar w:fldCharType="end"/>
      </w:r>
    </w:p>
    <w:p w:rsidR="0060671D" w:rsidRDefault="0060671D">
      <w:pPr>
        <w:pStyle w:val="TOC8"/>
        <w:rPr>
          <w:rFonts w:asciiTheme="minorHAnsi" w:eastAsiaTheme="minorEastAsia" w:hAnsiTheme="minorHAnsi" w:cstheme="minorBidi"/>
          <w:szCs w:val="22"/>
        </w:rPr>
      </w:pPr>
      <w:r>
        <w:t>3.</w:t>
      </w:r>
      <w:r>
        <w:tab/>
      </w:r>
      <w:r w:rsidRPr="004A3B64">
        <w:rPr>
          <w:snapToGrid w:val="0"/>
        </w:rPr>
        <w:t>Terms used</w:t>
      </w:r>
      <w:r>
        <w:tab/>
      </w:r>
      <w:r>
        <w:fldChar w:fldCharType="begin"/>
      </w:r>
      <w:r>
        <w:instrText xml:space="preserve"> PAGEREF _Toc75855932 \h </w:instrText>
      </w:r>
      <w:r>
        <w:fldChar w:fldCharType="separate"/>
      </w:r>
      <w:r w:rsidR="004A036E">
        <w:t>1</w:t>
      </w:r>
      <w:r>
        <w:fldChar w:fldCharType="end"/>
      </w:r>
    </w:p>
    <w:p w:rsidR="0060671D" w:rsidRDefault="0060671D">
      <w:pPr>
        <w:pStyle w:val="TOC8"/>
        <w:rPr>
          <w:rFonts w:asciiTheme="minorHAnsi" w:eastAsiaTheme="minorEastAsia" w:hAnsiTheme="minorHAnsi" w:cstheme="minorBidi"/>
          <w:szCs w:val="22"/>
        </w:rPr>
      </w:pPr>
      <w:r>
        <w:t>4.</w:t>
      </w:r>
      <w:r>
        <w:tab/>
      </w:r>
      <w:r w:rsidRPr="004A3B64">
        <w:rPr>
          <w:snapToGrid w:val="0"/>
        </w:rPr>
        <w:t>Electricity charges</w:t>
      </w:r>
      <w:r>
        <w:tab/>
      </w:r>
      <w:r>
        <w:fldChar w:fldCharType="begin"/>
      </w:r>
      <w:r>
        <w:instrText xml:space="preserve"> PAGEREF _Toc75855933 \h </w:instrText>
      </w:r>
      <w:r>
        <w:fldChar w:fldCharType="separate"/>
      </w:r>
      <w:r w:rsidR="004A036E">
        <w:t>2</w:t>
      </w:r>
      <w:r>
        <w:fldChar w:fldCharType="end"/>
      </w:r>
    </w:p>
    <w:p w:rsidR="0060671D" w:rsidRDefault="0060671D">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_Toc75855934 \h </w:instrText>
      </w:r>
      <w:r>
        <w:fldChar w:fldCharType="separate"/>
      </w:r>
      <w:r w:rsidR="004A036E">
        <w:t>3</w:t>
      </w:r>
      <w:r>
        <w:fldChar w:fldCharType="end"/>
      </w:r>
    </w:p>
    <w:p w:rsidR="0060671D" w:rsidRDefault="0060671D">
      <w:pPr>
        <w:pStyle w:val="TOC8"/>
        <w:rPr>
          <w:rFonts w:asciiTheme="minorHAnsi" w:eastAsiaTheme="minorEastAsia" w:hAnsiTheme="minorHAnsi" w:cstheme="minorBidi"/>
          <w:szCs w:val="22"/>
        </w:rPr>
      </w:pPr>
      <w:r>
        <w:t>6.</w:t>
      </w:r>
      <w:r>
        <w:tab/>
        <w:t>Meter rental</w:t>
      </w:r>
      <w:r>
        <w:tab/>
      </w:r>
      <w:r>
        <w:fldChar w:fldCharType="begin"/>
      </w:r>
      <w:r>
        <w:instrText xml:space="preserve"> PAGEREF _Toc75855935 \h </w:instrText>
      </w:r>
      <w:r>
        <w:fldChar w:fldCharType="separate"/>
      </w:r>
      <w:r w:rsidR="004A036E">
        <w:t>3</w:t>
      </w:r>
      <w:r>
        <w:fldChar w:fldCharType="end"/>
      </w:r>
    </w:p>
    <w:p w:rsidR="0060671D" w:rsidRDefault="0060671D">
      <w:pPr>
        <w:pStyle w:val="TOC8"/>
        <w:rPr>
          <w:rFonts w:asciiTheme="minorHAnsi" w:eastAsiaTheme="minorEastAsia" w:hAnsiTheme="minorHAnsi" w:cstheme="minorBidi"/>
          <w:szCs w:val="22"/>
        </w:rPr>
      </w:pPr>
      <w:r>
        <w:t>7.</w:t>
      </w:r>
      <w:r>
        <w:tab/>
        <w:t>Fees</w:t>
      </w:r>
      <w:r>
        <w:tab/>
      </w:r>
      <w:r>
        <w:fldChar w:fldCharType="begin"/>
      </w:r>
      <w:r>
        <w:instrText xml:space="preserve"> PAGEREF _Toc75855936 \h </w:instrText>
      </w:r>
      <w:r>
        <w:fldChar w:fldCharType="separate"/>
      </w:r>
      <w:r w:rsidR="004A036E">
        <w:t>4</w:t>
      </w:r>
      <w:r>
        <w:fldChar w:fldCharType="end"/>
      </w:r>
    </w:p>
    <w:p w:rsidR="0060671D" w:rsidRDefault="0060671D">
      <w:pPr>
        <w:pStyle w:val="TOC8"/>
        <w:rPr>
          <w:rFonts w:asciiTheme="minorHAnsi" w:eastAsiaTheme="minorEastAsia" w:hAnsiTheme="minorHAnsi" w:cstheme="minorBidi"/>
          <w:szCs w:val="22"/>
        </w:rPr>
      </w:pPr>
      <w:r>
        <w:t>8.</w:t>
      </w:r>
      <w:r>
        <w:tab/>
        <w:t>Payment</w:t>
      </w:r>
      <w:r>
        <w:tab/>
      </w:r>
      <w:r>
        <w:fldChar w:fldCharType="begin"/>
      </w:r>
      <w:r>
        <w:instrText xml:space="preserve"> PAGEREF _Toc75855937 \h </w:instrText>
      </w:r>
      <w:r>
        <w:fldChar w:fldCharType="separate"/>
      </w:r>
      <w:r w:rsidR="004A036E">
        <w:t>4</w:t>
      </w:r>
      <w:r>
        <w:fldChar w:fldCharType="end"/>
      </w:r>
    </w:p>
    <w:p w:rsidR="0060671D" w:rsidRDefault="0060671D">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_Toc75855938 \h </w:instrText>
      </w:r>
      <w:r>
        <w:fldChar w:fldCharType="separate"/>
      </w:r>
      <w:r w:rsidR="004A036E">
        <w:t>4</w:t>
      </w:r>
      <w:r>
        <w:fldChar w:fldCharType="end"/>
      </w:r>
    </w:p>
    <w:p w:rsidR="0060671D" w:rsidRDefault="0060671D">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_Toc75855939 \h </w:instrText>
      </w:r>
      <w:r>
        <w:fldChar w:fldCharType="separate"/>
      </w:r>
      <w:r w:rsidR="004A036E">
        <w:t>5</w:t>
      </w:r>
      <w:r>
        <w:fldChar w:fldCharType="end"/>
      </w:r>
    </w:p>
    <w:p w:rsidR="0060671D" w:rsidRDefault="0060671D">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_Toc75855940 \h </w:instrText>
      </w:r>
      <w:r>
        <w:fldChar w:fldCharType="separate"/>
      </w:r>
      <w:r w:rsidR="004A036E">
        <w:t>5</w:t>
      </w:r>
      <w:r>
        <w:fldChar w:fldCharType="end"/>
      </w:r>
    </w:p>
    <w:p w:rsidR="0060671D" w:rsidRDefault="0060671D">
      <w:pPr>
        <w:pStyle w:val="TOC2"/>
        <w:tabs>
          <w:tab w:val="right" w:leader="dot" w:pos="7077"/>
        </w:tabs>
        <w:rPr>
          <w:rFonts w:asciiTheme="minorHAnsi" w:eastAsiaTheme="minorEastAsia" w:hAnsiTheme="minorHAnsi" w:cstheme="minorBidi"/>
          <w:b w:val="0"/>
          <w:sz w:val="22"/>
          <w:szCs w:val="22"/>
        </w:rPr>
      </w:pPr>
      <w:r>
        <w:t>Schedule 1 — Supply charges</w:t>
      </w:r>
    </w:p>
    <w:p w:rsidR="0060671D" w:rsidRDefault="0060671D">
      <w:pPr>
        <w:pStyle w:val="TOC4"/>
        <w:tabs>
          <w:tab w:val="right" w:leader="dot" w:pos="7077"/>
        </w:tabs>
        <w:rPr>
          <w:rFonts w:asciiTheme="minorHAnsi" w:eastAsiaTheme="minorEastAsia" w:hAnsiTheme="minorHAnsi" w:cstheme="minorBidi"/>
          <w:b w:val="0"/>
          <w:szCs w:val="22"/>
        </w:rPr>
      </w:pPr>
      <w:r>
        <w:t>Division 1 — Tariffs other than MyPower tariffs</w:t>
      </w:r>
    </w:p>
    <w:p w:rsidR="0060671D" w:rsidRDefault="0060671D">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_Toc75855943 \h </w:instrText>
      </w:r>
      <w:r>
        <w:fldChar w:fldCharType="separate"/>
      </w:r>
      <w:r w:rsidR="004A036E">
        <w:t>6</w:t>
      </w:r>
      <w:r>
        <w:fldChar w:fldCharType="end"/>
      </w:r>
    </w:p>
    <w:p w:rsidR="0060671D" w:rsidRDefault="0060671D">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_Toc75855944 \h </w:instrText>
      </w:r>
      <w:r>
        <w:fldChar w:fldCharType="separate"/>
      </w:r>
      <w:r w:rsidR="004A036E">
        <w:t>6</w:t>
      </w:r>
      <w:r>
        <w:fldChar w:fldCharType="end"/>
      </w:r>
    </w:p>
    <w:p w:rsidR="0060671D" w:rsidRDefault="0060671D">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_Toc75855945 \h </w:instrText>
      </w:r>
      <w:r>
        <w:fldChar w:fldCharType="separate"/>
      </w:r>
      <w:r w:rsidR="004A036E">
        <w:t>7</w:t>
      </w:r>
      <w:r>
        <w:fldChar w:fldCharType="end"/>
      </w:r>
    </w:p>
    <w:p w:rsidR="0060671D" w:rsidRDefault="0060671D">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_Toc75855946 \h </w:instrText>
      </w:r>
      <w:r>
        <w:fldChar w:fldCharType="separate"/>
      </w:r>
      <w:r w:rsidR="004A036E">
        <w:t>7</w:t>
      </w:r>
      <w:r>
        <w:fldChar w:fldCharType="end"/>
      </w:r>
    </w:p>
    <w:p w:rsidR="0060671D" w:rsidRDefault="0060671D">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_Toc75855947 \h </w:instrText>
      </w:r>
      <w:r>
        <w:fldChar w:fldCharType="separate"/>
      </w:r>
      <w:r w:rsidR="004A036E">
        <w:t>8</w:t>
      </w:r>
      <w:r>
        <w:fldChar w:fldCharType="end"/>
      </w:r>
    </w:p>
    <w:p w:rsidR="0060671D" w:rsidRDefault="0060671D">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_Toc75855948 \h </w:instrText>
      </w:r>
      <w:r>
        <w:fldChar w:fldCharType="separate"/>
      </w:r>
      <w:r w:rsidR="004A036E">
        <w:t>9</w:t>
      </w:r>
      <w:r>
        <w:fldChar w:fldCharType="end"/>
      </w:r>
    </w:p>
    <w:p w:rsidR="0060671D" w:rsidRDefault="0060671D">
      <w:pPr>
        <w:pStyle w:val="TOC4"/>
        <w:tabs>
          <w:tab w:val="right" w:leader="dot" w:pos="7077"/>
        </w:tabs>
        <w:rPr>
          <w:rFonts w:asciiTheme="minorHAnsi" w:eastAsiaTheme="minorEastAsia" w:hAnsiTheme="minorHAnsi" w:cstheme="minorBidi"/>
          <w:b w:val="0"/>
          <w:szCs w:val="22"/>
        </w:rPr>
      </w:pPr>
      <w:r>
        <w:t>Division 2 — MyPower tariffs</w:t>
      </w:r>
    </w:p>
    <w:p w:rsidR="0060671D" w:rsidRDefault="0060671D">
      <w:pPr>
        <w:pStyle w:val="TOC8"/>
        <w:rPr>
          <w:rFonts w:asciiTheme="minorHAnsi" w:eastAsiaTheme="minorEastAsia" w:hAnsiTheme="minorHAnsi" w:cstheme="minorBidi"/>
          <w:szCs w:val="22"/>
        </w:rPr>
      </w:pPr>
      <w:r>
        <w:t>7.</w:t>
      </w:r>
      <w:r>
        <w:tab/>
        <w:t>Terms used</w:t>
      </w:r>
      <w:r>
        <w:tab/>
      </w:r>
      <w:r>
        <w:fldChar w:fldCharType="begin"/>
      </w:r>
      <w:r>
        <w:instrText xml:space="preserve"> PAGEREF _Toc75855950 \h </w:instrText>
      </w:r>
      <w:r>
        <w:fldChar w:fldCharType="separate"/>
      </w:r>
      <w:r w:rsidR="004A036E">
        <w:t>9</w:t>
      </w:r>
      <w:r>
        <w:fldChar w:fldCharType="end"/>
      </w:r>
    </w:p>
    <w:p w:rsidR="0060671D" w:rsidRDefault="0060671D">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_Toc75855951 \h </w:instrText>
      </w:r>
      <w:r>
        <w:fldChar w:fldCharType="separate"/>
      </w:r>
      <w:r w:rsidR="004A036E">
        <w:t>10</w:t>
      </w:r>
      <w:r>
        <w:fldChar w:fldCharType="end"/>
      </w:r>
    </w:p>
    <w:p w:rsidR="0060671D" w:rsidRDefault="0060671D">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_Toc75855952 \h </w:instrText>
      </w:r>
      <w:r>
        <w:fldChar w:fldCharType="separate"/>
      </w:r>
      <w:r w:rsidR="004A036E">
        <w:t>12</w:t>
      </w:r>
      <w:r>
        <w:fldChar w:fldCharType="end"/>
      </w:r>
    </w:p>
    <w:p w:rsidR="0060671D" w:rsidRDefault="0060671D">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_Toc75855953 \h </w:instrText>
      </w:r>
      <w:r>
        <w:fldChar w:fldCharType="separate"/>
      </w:r>
      <w:r w:rsidR="004A036E">
        <w:t>15</w:t>
      </w:r>
      <w:r>
        <w:fldChar w:fldCharType="end"/>
      </w:r>
    </w:p>
    <w:p w:rsidR="0060671D" w:rsidRDefault="0060671D">
      <w:pPr>
        <w:pStyle w:val="TOC2"/>
        <w:tabs>
          <w:tab w:val="right" w:leader="dot" w:pos="7077"/>
        </w:tabs>
        <w:rPr>
          <w:rFonts w:asciiTheme="minorHAnsi" w:eastAsiaTheme="minorEastAsia" w:hAnsiTheme="minorHAnsi" w:cstheme="minorBidi"/>
          <w:b w:val="0"/>
          <w:sz w:val="22"/>
          <w:szCs w:val="22"/>
        </w:rPr>
      </w:pPr>
      <w:r>
        <w:t>Schedule 2 — Unmetered supply</w:t>
      </w:r>
    </w:p>
    <w:p w:rsidR="0060671D" w:rsidRDefault="0060671D">
      <w:pPr>
        <w:pStyle w:val="TOC4"/>
        <w:tabs>
          <w:tab w:val="right" w:leader="dot" w:pos="7077"/>
        </w:tabs>
        <w:rPr>
          <w:rFonts w:asciiTheme="minorHAnsi" w:eastAsiaTheme="minorEastAsia" w:hAnsiTheme="minorHAnsi" w:cstheme="minorBidi"/>
          <w:b w:val="0"/>
          <w:szCs w:val="22"/>
        </w:rPr>
      </w:pPr>
      <w:r>
        <w:t>Division 1 — Street lighting</w:t>
      </w:r>
    </w:p>
    <w:p w:rsidR="0060671D" w:rsidRDefault="0060671D">
      <w:pPr>
        <w:pStyle w:val="TOC4"/>
        <w:tabs>
          <w:tab w:val="right" w:leader="dot" w:pos="7077"/>
        </w:tabs>
        <w:rPr>
          <w:rFonts w:asciiTheme="minorHAnsi" w:eastAsiaTheme="minorEastAsia" w:hAnsiTheme="minorHAnsi" w:cstheme="minorBidi"/>
          <w:b w:val="0"/>
          <w:szCs w:val="22"/>
        </w:rPr>
      </w:pPr>
      <w:r>
        <w:t>Division 2 — Miscellaneous</w:t>
      </w:r>
    </w:p>
    <w:p w:rsidR="0060671D" w:rsidRDefault="0060671D">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_Toc75855957 \h </w:instrText>
      </w:r>
      <w:r>
        <w:fldChar w:fldCharType="separate"/>
      </w:r>
      <w:r w:rsidR="004A036E">
        <w:t>18</w:t>
      </w:r>
      <w:r>
        <w:fldChar w:fldCharType="end"/>
      </w:r>
    </w:p>
    <w:p w:rsidR="0060671D" w:rsidRDefault="0060671D">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_Toc75855958 \h </w:instrText>
      </w:r>
      <w:r>
        <w:fldChar w:fldCharType="separate"/>
      </w:r>
      <w:r w:rsidR="004A036E">
        <w:t>18</w:t>
      </w:r>
      <w:r>
        <w:fldChar w:fldCharType="end"/>
      </w:r>
    </w:p>
    <w:p w:rsidR="0060671D" w:rsidRDefault="0060671D">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_Toc75855959 \h </w:instrText>
      </w:r>
      <w:r>
        <w:fldChar w:fldCharType="separate"/>
      </w:r>
      <w:r w:rsidR="004A036E">
        <w:t>18</w:t>
      </w:r>
      <w:r>
        <w:fldChar w:fldCharType="end"/>
      </w:r>
    </w:p>
    <w:p w:rsidR="0060671D" w:rsidRDefault="0060671D">
      <w:pPr>
        <w:pStyle w:val="TOC2"/>
        <w:tabs>
          <w:tab w:val="right" w:leader="dot" w:pos="7077"/>
        </w:tabs>
        <w:rPr>
          <w:rFonts w:asciiTheme="minorHAnsi" w:eastAsiaTheme="minorEastAsia" w:hAnsiTheme="minorHAnsi" w:cstheme="minorBidi"/>
          <w:b w:val="0"/>
          <w:sz w:val="22"/>
          <w:szCs w:val="22"/>
        </w:rPr>
      </w:pPr>
      <w:r>
        <w:t>Schedule 3 — Meter rentals</w:t>
      </w:r>
    </w:p>
    <w:p w:rsidR="0060671D" w:rsidRDefault="0060671D">
      <w:pPr>
        <w:pStyle w:val="TOC2"/>
        <w:tabs>
          <w:tab w:val="right" w:leader="dot" w:pos="7077"/>
        </w:tabs>
        <w:rPr>
          <w:rFonts w:asciiTheme="minorHAnsi" w:eastAsiaTheme="minorEastAsia" w:hAnsiTheme="minorHAnsi" w:cstheme="minorBidi"/>
          <w:b w:val="0"/>
          <w:sz w:val="22"/>
          <w:szCs w:val="22"/>
        </w:rPr>
      </w:pPr>
      <w:r>
        <w:t>Schedule 4 — Fees</w:t>
      </w:r>
    </w:p>
    <w:p w:rsidR="0060671D" w:rsidRDefault="0060671D">
      <w:pPr>
        <w:pStyle w:val="TOC2"/>
        <w:tabs>
          <w:tab w:val="right" w:leader="dot" w:pos="7077"/>
        </w:tabs>
        <w:rPr>
          <w:rFonts w:asciiTheme="minorHAnsi" w:eastAsiaTheme="minorEastAsia" w:hAnsiTheme="minorHAnsi" w:cstheme="minorBidi"/>
          <w:b w:val="0"/>
          <w:sz w:val="22"/>
          <w:szCs w:val="22"/>
        </w:rPr>
      </w:pPr>
      <w:r>
        <w:t>Notes</w:t>
      </w:r>
    </w:p>
    <w:p w:rsidR="0060671D" w:rsidRDefault="0060671D" w:rsidP="0060671D">
      <w:pPr>
        <w:pStyle w:val="TOC8"/>
        <w:rPr>
          <w:rFonts w:asciiTheme="minorHAnsi" w:eastAsiaTheme="minorEastAsia" w:hAnsiTheme="minorHAnsi" w:cstheme="minorBidi"/>
          <w:szCs w:val="22"/>
        </w:rPr>
      </w:pPr>
      <w:r>
        <w:tab/>
        <w:t>Compilation table</w:t>
      </w:r>
      <w:r>
        <w:tab/>
      </w:r>
      <w:r>
        <w:fldChar w:fldCharType="begin"/>
      </w:r>
      <w:r>
        <w:instrText xml:space="preserve"> PAGEREF _Toc75855963 \h </w:instrText>
      </w:r>
      <w:r>
        <w:fldChar w:fldCharType="separate"/>
      </w:r>
      <w:r w:rsidR="004A036E">
        <w:t>22</w:t>
      </w:r>
      <w:r>
        <w:fldChar w:fldCharType="end"/>
      </w:r>
    </w:p>
    <w:p w:rsidR="0060671D" w:rsidRDefault="0060671D">
      <w:pPr>
        <w:pStyle w:val="TOC2"/>
        <w:tabs>
          <w:tab w:val="right" w:leader="dot" w:pos="7077"/>
        </w:tabs>
        <w:rPr>
          <w:rFonts w:asciiTheme="minorHAnsi" w:eastAsiaTheme="minorEastAsia" w:hAnsiTheme="minorHAnsi" w:cstheme="minorBidi"/>
          <w:b w:val="0"/>
          <w:sz w:val="22"/>
          <w:szCs w:val="22"/>
        </w:rPr>
      </w:pPr>
      <w:r>
        <w:t>Defined terms</w:t>
      </w:r>
    </w:p>
    <w:p w:rsidR="001E63B4" w:rsidRDefault="001E63B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E63B4" w:rsidRDefault="001E63B4">
      <w:pPr>
        <w:pStyle w:val="NoteHeading"/>
        <w:sectPr w:rsidR="001E63B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E63B4" w:rsidRDefault="001E63B4">
      <w:pPr>
        <w:pStyle w:val="PrincipalActReg"/>
      </w:pPr>
      <w:r>
        <w:lastRenderedPageBreak/>
        <w:t>Energy Operators (Powers) Act 1979</w:t>
      </w:r>
    </w:p>
    <w:p w:rsidR="001E63B4" w:rsidRDefault="001E63B4">
      <w:pPr>
        <w:pStyle w:val="NameofActReg"/>
      </w:pPr>
      <w:r>
        <w:t>Energy Operators (Regional Power Corporation) (Charges) By</w:t>
      </w:r>
      <w:r>
        <w:noBreakHyphen/>
        <w:t>laws 2006</w:t>
      </w:r>
    </w:p>
    <w:p w:rsidR="001E63B4" w:rsidRDefault="001E63B4">
      <w:pPr>
        <w:pStyle w:val="Heading5"/>
      </w:pPr>
      <w:bookmarkStart w:id="3" w:name="_Toc75855930"/>
      <w:r>
        <w:rPr>
          <w:rStyle w:val="CharSectno"/>
        </w:rPr>
        <w:t>1</w:t>
      </w:r>
      <w:r>
        <w:t>.</w:t>
      </w:r>
      <w:r>
        <w:tab/>
        <w:t>Citation</w:t>
      </w:r>
      <w:bookmarkEnd w:id="3"/>
    </w:p>
    <w:p w:rsidR="001E63B4" w:rsidRDefault="001E63B4">
      <w:pPr>
        <w:pStyle w:val="Subsection"/>
      </w:pPr>
      <w:r>
        <w:tab/>
      </w:r>
      <w:r>
        <w:tab/>
        <w:t>These by</w:t>
      </w:r>
      <w:r>
        <w:noBreakHyphen/>
        <w:t xml:space="preserve">laws are the </w:t>
      </w:r>
      <w:r>
        <w:rPr>
          <w:i/>
        </w:rPr>
        <w:t>Energy Operators (Regional Power Corporation) (Charges) By</w:t>
      </w:r>
      <w:r>
        <w:rPr>
          <w:i/>
        </w:rPr>
        <w:noBreakHyphen/>
        <w:t>laws 2006</w:t>
      </w:r>
      <w:r>
        <w:t>.</w:t>
      </w:r>
    </w:p>
    <w:p w:rsidR="001E63B4" w:rsidRDefault="001E63B4">
      <w:pPr>
        <w:pStyle w:val="Heading5"/>
      </w:pPr>
      <w:bookmarkStart w:id="4" w:name="_Toc75855931"/>
      <w:r>
        <w:rPr>
          <w:rStyle w:val="CharSectno"/>
        </w:rPr>
        <w:t>2</w:t>
      </w:r>
      <w:r>
        <w:t>.</w:t>
      </w:r>
      <w:r>
        <w:tab/>
        <w:t>Commencement</w:t>
      </w:r>
      <w:bookmarkEnd w:id="4"/>
    </w:p>
    <w:p w:rsidR="001E63B4" w:rsidRDefault="001E63B4">
      <w:pPr>
        <w:pStyle w:val="Subsection"/>
      </w:pPr>
      <w:r>
        <w:tab/>
      </w:r>
      <w:r>
        <w:tab/>
        <w:t>These by</w:t>
      </w:r>
      <w:r>
        <w:noBreakHyphen/>
        <w:t>laws come into operation on 1 April 2006.</w:t>
      </w:r>
    </w:p>
    <w:p w:rsidR="001E63B4" w:rsidRDefault="001E63B4">
      <w:pPr>
        <w:pStyle w:val="Heading5"/>
        <w:rPr>
          <w:snapToGrid w:val="0"/>
        </w:rPr>
      </w:pPr>
      <w:bookmarkStart w:id="5" w:name="_Toc75855932"/>
      <w:r>
        <w:rPr>
          <w:rStyle w:val="CharSectno"/>
        </w:rPr>
        <w:t>3</w:t>
      </w:r>
      <w:r>
        <w:t>.</w:t>
      </w:r>
      <w:r>
        <w:tab/>
      </w:r>
      <w:r>
        <w:rPr>
          <w:snapToGrid w:val="0"/>
        </w:rPr>
        <w:t>Terms used</w:t>
      </w:r>
      <w:bookmarkEnd w:id="5"/>
    </w:p>
    <w:p w:rsidR="001E63B4" w:rsidRDefault="001E63B4">
      <w:pPr>
        <w:pStyle w:val="Subsection"/>
        <w:rPr>
          <w:snapToGrid w:val="0"/>
        </w:rPr>
      </w:pPr>
      <w:r>
        <w:rPr>
          <w:snapToGrid w:val="0"/>
        </w:rPr>
        <w:tab/>
      </w:r>
      <w:r>
        <w:rPr>
          <w:snapToGrid w:val="0"/>
        </w:rPr>
        <w:tab/>
        <w:t>In these by</w:t>
      </w:r>
      <w:r>
        <w:rPr>
          <w:snapToGrid w:val="0"/>
        </w:rPr>
        <w:noBreakHyphen/>
        <w:t xml:space="preserve">laws, unless the contrary intention appears — </w:t>
      </w:r>
    </w:p>
    <w:p w:rsidR="001E63B4" w:rsidRDefault="001E63B4">
      <w:pPr>
        <w:pStyle w:val="Defstart"/>
      </w:pPr>
      <w:r>
        <w:rPr>
          <w:b/>
        </w:rPr>
        <w:tab/>
      </w:r>
      <w:r>
        <w:rPr>
          <w:rStyle w:val="CharDefText"/>
        </w:rPr>
        <w:t>corporation</w:t>
      </w:r>
      <w:r>
        <w:t xml:space="preserve"> means the body established by the </w:t>
      </w:r>
      <w:r>
        <w:rPr>
          <w:i/>
        </w:rPr>
        <w:t>Electricity Corporations Act 2005</w:t>
      </w:r>
      <w:r>
        <w:t xml:space="preserve"> section 4(1)(d);</w:t>
      </w:r>
    </w:p>
    <w:p w:rsidR="001E63B4" w:rsidRDefault="001E63B4">
      <w:pPr>
        <w:pStyle w:val="Defstart"/>
      </w:pPr>
      <w:r>
        <w:rPr>
          <w:b/>
        </w:rPr>
        <w:tab/>
      </w:r>
      <w:r>
        <w:rPr>
          <w:rStyle w:val="CharDefText"/>
        </w:rPr>
        <w:t>dwelling</w:t>
      </w:r>
      <w:r>
        <w:t xml:space="preserve"> means a house, flat, home unit or other place of residence used solely for residential purposes;</w:t>
      </w:r>
    </w:p>
    <w:p w:rsidR="001E63B4" w:rsidRDefault="001E63B4">
      <w:pPr>
        <w:pStyle w:val="Defstart"/>
      </w:pPr>
      <w:r>
        <w:tab/>
      </w:r>
      <w:r>
        <w:rPr>
          <w:rStyle w:val="CharDefText"/>
        </w:rPr>
        <w:t>permitted surcharge</w:t>
      </w:r>
      <w:r>
        <w:t>, in relation to a payment, has the meaning given in RBA Standard No 3 of 2016;</w:t>
      </w:r>
    </w:p>
    <w:p w:rsidR="001E63B4" w:rsidRDefault="001E63B4">
      <w:pPr>
        <w:pStyle w:val="Defstart"/>
      </w:pPr>
      <w:r>
        <w:tab/>
      </w:r>
      <w:r>
        <w:rPr>
          <w:rStyle w:val="CharDefText"/>
        </w:rPr>
        <w:t>RBA cash rate</w:t>
      </w:r>
      <w:r>
        <w:t xml:space="preserve"> means the percentage (or maximum percentage) specified by the Reserve Bank of Australia as the Cash Rate Target;</w:t>
      </w:r>
    </w:p>
    <w:p w:rsidR="001E63B4" w:rsidRDefault="001E63B4">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rsidR="001E63B4" w:rsidRDefault="001E63B4">
      <w:pPr>
        <w:pStyle w:val="Subsection"/>
        <w:spacing w:before="80"/>
      </w:pPr>
      <w:r>
        <w:tab/>
      </w:r>
      <w:r>
        <w:tab/>
      </w:r>
      <w:r>
        <w:rPr>
          <w:rStyle w:val="CharDefText"/>
        </w:rPr>
        <w:t>residential tariff</w:t>
      </w:r>
      <w:r>
        <w:t xml:space="preserve"> means Tariff A2 or a MyPower residential tariff as defined in Schedule 1 clause 8(1);</w:t>
      </w:r>
    </w:p>
    <w:p w:rsidR="001E63B4" w:rsidRDefault="001E63B4">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rsidR="001E63B4" w:rsidRDefault="001E63B4">
      <w:pPr>
        <w:pStyle w:val="Defstart"/>
      </w:pPr>
      <w:r>
        <w:rPr>
          <w:b/>
        </w:rPr>
        <w:tab/>
      </w:r>
      <w:r>
        <w:rPr>
          <w:rStyle w:val="CharDefText"/>
        </w:rPr>
        <w:t>unit</w:t>
      </w:r>
      <w:r>
        <w:t>, in relation to a charge for electricity, means one kilowatt hour.</w:t>
      </w:r>
    </w:p>
    <w:p w:rsidR="001E63B4" w:rsidRDefault="001E63B4">
      <w:pPr>
        <w:pStyle w:val="Footnotesection"/>
      </w:pPr>
      <w:r>
        <w:tab/>
        <w:t>[By</w:t>
      </w:r>
      <w:r>
        <w:noBreakHyphen/>
        <w:t>law 3 amended: Gazette 30 Mar 2009 p. 1000; 29 Jun 2012 p. 2900; 22 Aug 2014 p. 3017; 22 Dec 2017 p. 5979; 26 Jun 2018 p. 2362.]</w:t>
      </w:r>
    </w:p>
    <w:p w:rsidR="001E63B4" w:rsidRDefault="001E63B4">
      <w:pPr>
        <w:pStyle w:val="Ednotesection"/>
      </w:pPr>
      <w:r>
        <w:t>[</w:t>
      </w:r>
      <w:r>
        <w:rPr>
          <w:b/>
        </w:rPr>
        <w:t>4A.</w:t>
      </w:r>
      <w:r>
        <w:tab/>
        <w:t>Deleted: Gazette 22 Aug 2014 p. 3017.]</w:t>
      </w:r>
    </w:p>
    <w:p w:rsidR="001E63B4" w:rsidRDefault="001E63B4">
      <w:pPr>
        <w:pStyle w:val="Heading5"/>
        <w:rPr>
          <w:snapToGrid w:val="0"/>
        </w:rPr>
      </w:pPr>
      <w:bookmarkStart w:id="6" w:name="_Toc75855933"/>
      <w:r>
        <w:rPr>
          <w:rStyle w:val="CharSectno"/>
        </w:rPr>
        <w:t>4</w:t>
      </w:r>
      <w:r>
        <w:t>.</w:t>
      </w:r>
      <w:r>
        <w:tab/>
      </w:r>
      <w:r>
        <w:rPr>
          <w:snapToGrid w:val="0"/>
        </w:rPr>
        <w:t>Electricity charges</w:t>
      </w:r>
      <w:bookmarkEnd w:id="6"/>
    </w:p>
    <w:p w:rsidR="001E63B4" w:rsidRDefault="001E63B4">
      <w:pPr>
        <w:pStyle w:val="Subsection"/>
      </w:pPr>
      <w:r>
        <w:tab/>
        <w:t>(1A)</w:t>
      </w:r>
      <w:r>
        <w:tab/>
        <w:t xml:space="preserve">In this </w:t>
      </w:r>
      <w:r>
        <w:rPr>
          <w:snapToGrid w:val="0"/>
        </w:rPr>
        <w:t>by</w:t>
      </w:r>
      <w:r>
        <w:rPr>
          <w:snapToGrid w:val="0"/>
        </w:rPr>
        <w:noBreakHyphen/>
        <w:t>law</w:t>
      </w:r>
      <w:r>
        <w:t xml:space="preserve"> — </w:t>
      </w:r>
    </w:p>
    <w:p w:rsidR="001E63B4" w:rsidRDefault="001E63B4">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rsidR="001E63B4" w:rsidRDefault="001E63B4">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rsidR="001E63B4" w:rsidRDefault="001E63B4">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rsidR="001E63B4" w:rsidRDefault="001E63B4">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rsidR="001E63B4" w:rsidRDefault="001E63B4">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rsidR="001E63B4" w:rsidRDefault="001E63B4">
      <w:pPr>
        <w:pStyle w:val="Subsection"/>
      </w:pPr>
      <w:r>
        <w:tab/>
        <w:t>(2)</w:t>
      </w:r>
      <w:r>
        <w:tab/>
        <w:t>The charges to be paid by consumers for the unmetered supply of street lighting by the corporation are those specified in Schedule 2 Division 1.</w:t>
      </w:r>
    </w:p>
    <w:p w:rsidR="001E63B4" w:rsidRDefault="001E63B4">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rsidR="001E63B4" w:rsidRDefault="001E63B4">
      <w:pPr>
        <w:pStyle w:val="Footnotesection"/>
        <w:ind w:left="890" w:hanging="890"/>
      </w:pPr>
      <w:r>
        <w:tab/>
        <w:t>[By</w:t>
      </w:r>
      <w:r>
        <w:noBreakHyphen/>
        <w:t>law 4 amended: Gazette 30 Aug 2013 p. 4093-4; 26 Jun 2015 p. 2247</w:t>
      </w:r>
      <w:r>
        <w:noBreakHyphen/>
        <w:t>8.]</w:t>
      </w:r>
    </w:p>
    <w:p w:rsidR="001E63B4" w:rsidRDefault="001E63B4">
      <w:pPr>
        <w:pStyle w:val="Heading5"/>
      </w:pPr>
      <w:bookmarkStart w:id="7" w:name="_Toc75855934"/>
      <w:r>
        <w:rPr>
          <w:rStyle w:val="CharSectno"/>
        </w:rPr>
        <w:t>5</w:t>
      </w:r>
      <w:r>
        <w:t>.</w:t>
      </w:r>
      <w:r>
        <w:tab/>
        <w:t>Application of residential tariffs</w:t>
      </w:r>
      <w:bookmarkEnd w:id="7"/>
    </w:p>
    <w:p w:rsidR="001E63B4" w:rsidRDefault="001E63B4">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rsidR="001E63B4" w:rsidRDefault="001E63B4">
      <w:pPr>
        <w:pStyle w:val="Indenta"/>
        <w:rPr>
          <w:snapToGrid w:val="0"/>
        </w:rPr>
      </w:pPr>
      <w:r>
        <w:rPr>
          <w:snapToGrid w:val="0"/>
        </w:rPr>
        <w:tab/>
        <w:t>(a)</w:t>
      </w:r>
      <w:r>
        <w:rPr>
          <w:snapToGrid w:val="0"/>
        </w:rPr>
        <w:tab/>
        <w:t>the premises supplied consist of a dwelling; and</w:t>
      </w:r>
    </w:p>
    <w:p w:rsidR="001E63B4" w:rsidRDefault="001E63B4">
      <w:pPr>
        <w:pStyle w:val="Indenta"/>
        <w:rPr>
          <w:snapToGrid w:val="0"/>
        </w:rPr>
      </w:pPr>
      <w:r>
        <w:rPr>
          <w:snapToGrid w:val="0"/>
        </w:rPr>
        <w:tab/>
        <w:t>(b)</w:t>
      </w:r>
      <w:r>
        <w:rPr>
          <w:snapToGrid w:val="0"/>
        </w:rPr>
        <w:tab/>
        <w:t>the supply is not used for any industrial, commercial, business, or general purpose.</w:t>
      </w:r>
    </w:p>
    <w:p w:rsidR="001E63B4" w:rsidRDefault="001E63B4">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rsidR="001E63B4" w:rsidRDefault="001E63B4">
      <w:pPr>
        <w:pStyle w:val="Footnotesection"/>
        <w:ind w:left="890" w:hanging="890"/>
      </w:pPr>
      <w:r>
        <w:tab/>
        <w:t>[By</w:t>
      </w:r>
      <w:r>
        <w:noBreakHyphen/>
        <w:t>law 5 amended: Gazette 22 Dec 2017 p. 5979.]</w:t>
      </w:r>
    </w:p>
    <w:p w:rsidR="001E63B4" w:rsidRDefault="001E63B4">
      <w:pPr>
        <w:pStyle w:val="Heading5"/>
      </w:pPr>
      <w:bookmarkStart w:id="8" w:name="_Toc75855935"/>
      <w:r>
        <w:rPr>
          <w:rStyle w:val="CharSectno"/>
        </w:rPr>
        <w:t>6</w:t>
      </w:r>
      <w:r>
        <w:t>.</w:t>
      </w:r>
      <w:r>
        <w:tab/>
        <w:t>Meter rental</w:t>
      </w:r>
      <w:bookmarkEnd w:id="8"/>
    </w:p>
    <w:p w:rsidR="001E63B4" w:rsidRDefault="001E63B4">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rsidR="001E63B4" w:rsidRDefault="001E63B4">
      <w:pPr>
        <w:pStyle w:val="Subsection"/>
        <w:rPr>
          <w:snapToGrid w:val="0"/>
        </w:rPr>
      </w:pPr>
      <w:r>
        <w:rPr>
          <w:snapToGrid w:val="0"/>
        </w:rPr>
        <w:tab/>
        <w:t>(2)</w:t>
      </w:r>
      <w:r>
        <w:rPr>
          <w:snapToGrid w:val="0"/>
        </w:rPr>
        <w:tab/>
        <w:t>Sub</w:t>
      </w:r>
      <w:r>
        <w:rPr>
          <w:snapToGrid w:val="0"/>
        </w:rPr>
        <w:noBreakHyphen/>
        <w:t xml:space="preserve">bylaw (1) does not apply to a consumer if — </w:t>
      </w:r>
    </w:p>
    <w:p w:rsidR="001E63B4" w:rsidRDefault="001E63B4">
      <w:pPr>
        <w:pStyle w:val="Indenta"/>
        <w:rPr>
          <w:snapToGrid w:val="0"/>
        </w:rPr>
      </w:pPr>
      <w:r>
        <w:rPr>
          <w:snapToGrid w:val="0"/>
        </w:rPr>
        <w:tab/>
        <w:t>(a)</w:t>
      </w:r>
      <w:r>
        <w:rPr>
          <w:snapToGrid w:val="0"/>
        </w:rPr>
        <w:tab/>
        <w:t>the premises supplied consist of a dwelling; and</w:t>
      </w:r>
    </w:p>
    <w:p w:rsidR="001E63B4" w:rsidRDefault="001E63B4">
      <w:pPr>
        <w:pStyle w:val="Indenta"/>
        <w:rPr>
          <w:snapToGrid w:val="0"/>
        </w:rPr>
      </w:pPr>
      <w:r>
        <w:rPr>
          <w:snapToGrid w:val="0"/>
        </w:rPr>
        <w:tab/>
        <w:t>(b)</w:t>
      </w:r>
      <w:r>
        <w:rPr>
          <w:snapToGrid w:val="0"/>
        </w:rPr>
        <w:tab/>
        <w:t>the supply is not used for any industrial, commercial, business, or general purpose; and</w:t>
      </w:r>
    </w:p>
    <w:p w:rsidR="001E63B4" w:rsidRDefault="001E63B4">
      <w:pPr>
        <w:pStyle w:val="Indenta"/>
        <w:rPr>
          <w:snapToGrid w:val="0"/>
        </w:rPr>
      </w:pPr>
      <w:r>
        <w:rPr>
          <w:snapToGrid w:val="0"/>
        </w:rPr>
        <w:tab/>
        <w:t>(c)</w:t>
      </w:r>
      <w:r>
        <w:rPr>
          <w:snapToGrid w:val="0"/>
        </w:rPr>
        <w:tab/>
        <w:t>the master account is supplied under the residential tariff.</w:t>
      </w:r>
    </w:p>
    <w:p w:rsidR="001E63B4" w:rsidRDefault="001E63B4">
      <w:pPr>
        <w:pStyle w:val="Heading5"/>
      </w:pPr>
      <w:bookmarkStart w:id="9" w:name="_Toc75855936"/>
      <w:r>
        <w:rPr>
          <w:rStyle w:val="CharSectno"/>
        </w:rPr>
        <w:lastRenderedPageBreak/>
        <w:t>7</w:t>
      </w:r>
      <w:r>
        <w:t>.</w:t>
      </w:r>
      <w:r>
        <w:tab/>
        <w:t>Fees</w:t>
      </w:r>
      <w:bookmarkEnd w:id="9"/>
    </w:p>
    <w:p w:rsidR="001E63B4" w:rsidRDefault="001E63B4">
      <w:pPr>
        <w:pStyle w:val="Subsection"/>
        <w:rPr>
          <w:snapToGrid w:val="0"/>
        </w:rPr>
      </w:pPr>
      <w:r>
        <w:rPr>
          <w:snapToGrid w:val="0"/>
        </w:rPr>
        <w:tab/>
      </w:r>
      <w:r>
        <w:rPr>
          <w:snapToGrid w:val="0"/>
        </w:rPr>
        <w:tab/>
        <w:t>The fees specified in Schedule 4 are payable in respect of the matters specified in that Schedule.</w:t>
      </w:r>
    </w:p>
    <w:p w:rsidR="001E63B4" w:rsidRDefault="001E63B4">
      <w:pPr>
        <w:pStyle w:val="Heading5"/>
      </w:pPr>
      <w:bookmarkStart w:id="10" w:name="_Toc75855937"/>
      <w:r>
        <w:rPr>
          <w:rStyle w:val="CharSectno"/>
        </w:rPr>
        <w:t>8</w:t>
      </w:r>
      <w:r>
        <w:t>.</w:t>
      </w:r>
      <w:r>
        <w:tab/>
        <w:t>Payment</w:t>
      </w:r>
      <w:bookmarkEnd w:id="10"/>
    </w:p>
    <w:p w:rsidR="001E63B4" w:rsidRDefault="001E63B4">
      <w:pPr>
        <w:pStyle w:val="Subsection"/>
      </w:pPr>
      <w:r>
        <w:tab/>
        <w:t>(1)</w:t>
      </w:r>
      <w:r>
        <w:tab/>
        <w:t>In this by</w:t>
      </w:r>
      <w:r>
        <w:noBreakHyphen/>
        <w:t xml:space="preserve">law — </w:t>
      </w:r>
    </w:p>
    <w:p w:rsidR="001E63B4" w:rsidRDefault="001E63B4">
      <w:pPr>
        <w:pStyle w:val="Defstart"/>
      </w:pPr>
      <w:r>
        <w:rPr>
          <w:b/>
        </w:rPr>
        <w:tab/>
      </w:r>
      <w:r>
        <w:rPr>
          <w:rStyle w:val="CharDefText"/>
        </w:rPr>
        <w:t>relevant period</w:t>
      </w:r>
      <w:r>
        <w:t xml:space="preserve"> means — </w:t>
      </w:r>
    </w:p>
    <w:p w:rsidR="001E63B4" w:rsidRDefault="001E63B4">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rsidR="001E63B4" w:rsidRDefault="001E63B4">
      <w:pPr>
        <w:pStyle w:val="Defpara"/>
      </w:pPr>
      <w:r>
        <w:tab/>
        <w:t>(b)</w:t>
      </w:r>
      <w:r>
        <w:tab/>
        <w:t>in any other case, the period of 14 days after payment is requested by the corporation.</w:t>
      </w:r>
    </w:p>
    <w:p w:rsidR="001E63B4" w:rsidRDefault="001E63B4">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rsidR="001E63B4" w:rsidRDefault="001E63B4">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rsidR="001E63B4" w:rsidRDefault="001E63B4">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rsidR="001E63B4" w:rsidRDefault="001E63B4">
      <w:pPr>
        <w:pStyle w:val="Footnotesection"/>
      </w:pPr>
      <w:r>
        <w:tab/>
        <w:t>[By</w:t>
      </w:r>
      <w:r>
        <w:noBreakHyphen/>
        <w:t>law 8 amended: Gazette 30 Mar 2009 p. 1000.]</w:t>
      </w:r>
    </w:p>
    <w:p w:rsidR="001E63B4" w:rsidRDefault="001E63B4">
      <w:pPr>
        <w:pStyle w:val="Ednotesection"/>
      </w:pPr>
      <w:r>
        <w:t>[</w:t>
      </w:r>
      <w:r>
        <w:rPr>
          <w:b/>
        </w:rPr>
        <w:t>9.</w:t>
      </w:r>
      <w:r>
        <w:tab/>
        <w:t>Deleted: Gazette 21 Sep 2012 p. 4423.]</w:t>
      </w:r>
    </w:p>
    <w:p w:rsidR="001E63B4" w:rsidRDefault="001E63B4">
      <w:pPr>
        <w:pStyle w:val="Heading5"/>
      </w:pPr>
      <w:bookmarkStart w:id="11" w:name="_Toc75855938"/>
      <w:r>
        <w:rPr>
          <w:rStyle w:val="CharSectno"/>
        </w:rPr>
        <w:t>10</w:t>
      </w:r>
      <w:r>
        <w:t>.</w:t>
      </w:r>
      <w:r>
        <w:tab/>
        <w:t>Calculation of charges</w:t>
      </w:r>
      <w:bookmarkEnd w:id="11"/>
    </w:p>
    <w:p w:rsidR="001E63B4" w:rsidRDefault="001E63B4">
      <w:pPr>
        <w:pStyle w:val="Subsection"/>
        <w:rPr>
          <w:snapToGrid w:val="0"/>
        </w:rPr>
      </w:pPr>
      <w:r>
        <w:rPr>
          <w:snapToGrid w:val="0"/>
        </w:rPr>
        <w:tab/>
        <w:t>(1)</w:t>
      </w:r>
      <w:r>
        <w:rPr>
          <w:snapToGrid w:val="0"/>
        </w:rPr>
        <w:tab/>
        <w:t xml:space="preserve">Where a charge per unit specified in Schedule 1 depends on the number of units consumed per day the charge per unit is to be </w:t>
      </w:r>
      <w:r>
        <w:rPr>
          <w:snapToGrid w:val="0"/>
        </w:rPr>
        <w:lastRenderedPageBreak/>
        <w:t>based on the average daily consumption in the accounting period.</w:t>
      </w:r>
    </w:p>
    <w:p w:rsidR="001E63B4" w:rsidRDefault="001E63B4">
      <w:pPr>
        <w:pStyle w:val="Ednotesubsection"/>
      </w:pPr>
      <w:r>
        <w:tab/>
        <w:t>[(2), (3)</w:t>
      </w:r>
      <w:r>
        <w:tab/>
        <w:t>deleted]</w:t>
      </w:r>
    </w:p>
    <w:p w:rsidR="001E63B4" w:rsidRDefault="001E63B4">
      <w:pPr>
        <w:pStyle w:val="Footnotesection"/>
      </w:pPr>
      <w:r>
        <w:tab/>
        <w:t>[By-law 10 amended: Gazette 27 Jun 2014 p. 2320; 21 Jun 2019 p. 2128.]</w:t>
      </w:r>
    </w:p>
    <w:p w:rsidR="001E63B4" w:rsidRDefault="001E63B4">
      <w:pPr>
        <w:pStyle w:val="Heading5"/>
      </w:pPr>
      <w:bookmarkStart w:id="12" w:name="_Toc75855939"/>
      <w:r>
        <w:rPr>
          <w:rStyle w:val="CharSectno"/>
        </w:rPr>
        <w:t>11</w:t>
      </w:r>
      <w:r>
        <w:t>.</w:t>
      </w:r>
      <w:r>
        <w:tab/>
        <w:t>Changes in rates</w:t>
      </w:r>
      <w:bookmarkEnd w:id="12"/>
    </w:p>
    <w:p w:rsidR="001E63B4" w:rsidRDefault="001E63B4">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rsidR="001E63B4" w:rsidRDefault="001E63B4">
      <w:pPr>
        <w:pStyle w:val="Heading5"/>
      </w:pPr>
      <w:bookmarkStart w:id="13" w:name="_Toc75855940"/>
      <w:r>
        <w:rPr>
          <w:rStyle w:val="CharSectno"/>
        </w:rPr>
        <w:t>12</w:t>
      </w:r>
      <w:r>
        <w:t>.</w:t>
      </w:r>
      <w:r>
        <w:tab/>
        <w:t>Prescribed rate of interest for s. 62(16) of Act</w:t>
      </w:r>
      <w:bookmarkEnd w:id="13"/>
    </w:p>
    <w:p w:rsidR="001E63B4" w:rsidRDefault="001E63B4">
      <w:pPr>
        <w:pStyle w:val="Subsection"/>
      </w:pPr>
      <w:r>
        <w:tab/>
        <w:t>(1)</w:t>
      </w:r>
      <w:r>
        <w:tab/>
        <w:t>In this by</w:t>
      </w:r>
      <w:r>
        <w:noBreakHyphen/>
        <w:t xml:space="preserve">law — </w:t>
      </w:r>
    </w:p>
    <w:p w:rsidR="001E63B4" w:rsidRDefault="001E63B4">
      <w:pPr>
        <w:pStyle w:val="Defstart"/>
      </w:pPr>
      <w:r>
        <w:tab/>
      </w:r>
      <w:r>
        <w:rPr>
          <w:rStyle w:val="CharDefText"/>
        </w:rPr>
        <w:t>interest period</w:t>
      </w:r>
      <w:r>
        <w:t xml:space="preserve"> means the period in respect of which payment is made or credit is given.</w:t>
      </w:r>
    </w:p>
    <w:p w:rsidR="001E63B4" w:rsidRDefault="001E63B4">
      <w:pPr>
        <w:pStyle w:val="Subsection"/>
      </w:pPr>
      <w:r>
        <w:tab/>
        <w:t>(2)</w:t>
      </w:r>
      <w:r>
        <w:tab/>
        <w:t xml:space="preserve">For the purposes of section 62(16) of the Act, the rate at which interest is to be paid, or given credit for, by the corporation is — </w:t>
      </w:r>
    </w:p>
    <w:p w:rsidR="001E63B4" w:rsidRDefault="001E63B4">
      <w:pPr>
        <w:pStyle w:val="Indenta"/>
      </w:pPr>
      <w:r>
        <w:tab/>
        <w:t>(a)</w:t>
      </w:r>
      <w:r>
        <w:tab/>
        <w:t>the rate that is equal to the RBA cash rate for the interest period; or</w:t>
      </w:r>
    </w:p>
    <w:p w:rsidR="001E63B4" w:rsidRDefault="001E63B4">
      <w:pPr>
        <w:pStyle w:val="Indenta"/>
      </w:pPr>
      <w:r>
        <w:tab/>
        <w:t>(b)</w:t>
      </w:r>
      <w:r>
        <w:tab/>
        <w:t>if there is more than one RBA cash rate for the interest period — the rate that is equal to the average of the RBA cash rates for that period.</w:t>
      </w:r>
    </w:p>
    <w:p w:rsidR="001E63B4" w:rsidRDefault="001E63B4">
      <w:pPr>
        <w:pStyle w:val="Footnotesection"/>
      </w:pPr>
      <w:r>
        <w:tab/>
        <w:t>[By</w:t>
      </w:r>
      <w:r>
        <w:noBreakHyphen/>
        <w:t>law 12 inserted: Gazette 30 Mar 2009 p. 1000</w:t>
      </w:r>
      <w:r>
        <w:noBreakHyphen/>
        <w:t>1.]</w:t>
      </w:r>
    </w:p>
    <w:p w:rsidR="001E63B4" w:rsidRDefault="001E63B4">
      <w:pPr>
        <w:sectPr w:rsidR="001E63B4">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CF3E97" w:rsidRDefault="00CF3E97" w:rsidP="00CF3E97">
      <w:pPr>
        <w:pStyle w:val="yScheduleHeading"/>
      </w:pPr>
      <w:bookmarkStart w:id="14" w:name="_Toc75781356"/>
      <w:bookmarkStart w:id="15" w:name="_Toc75781519"/>
      <w:bookmarkStart w:id="16" w:name="_Toc75855906"/>
      <w:bookmarkStart w:id="17" w:name="_Toc75855941"/>
      <w:bookmarkStart w:id="18" w:name="_Toc75774389"/>
      <w:r w:rsidRPr="00F95696">
        <w:rPr>
          <w:rStyle w:val="CharSchNo"/>
        </w:rPr>
        <w:lastRenderedPageBreak/>
        <w:t>Schedule 1</w:t>
      </w:r>
      <w:r>
        <w:t> — </w:t>
      </w:r>
      <w:r w:rsidRPr="00F95696">
        <w:rPr>
          <w:rStyle w:val="CharSchText"/>
        </w:rPr>
        <w:t>Supply charges</w:t>
      </w:r>
      <w:bookmarkEnd w:id="14"/>
      <w:bookmarkEnd w:id="15"/>
      <w:bookmarkEnd w:id="16"/>
      <w:bookmarkEnd w:id="17"/>
    </w:p>
    <w:p w:rsidR="00CF3E97" w:rsidRDefault="00CF3E97" w:rsidP="00CF3E97">
      <w:pPr>
        <w:pStyle w:val="yShoulderClause"/>
      </w:pPr>
      <w:r>
        <w:t>[bl. 3, 4(1) and 10(1)]</w:t>
      </w:r>
    </w:p>
    <w:p w:rsidR="00CF3E97" w:rsidRDefault="00CF3E97" w:rsidP="00CF3E97">
      <w:pPr>
        <w:pStyle w:val="yFootnoteheading"/>
      </w:pPr>
      <w:r>
        <w:tab/>
        <w:t>[Heading inserted: SL 2021/110 bl. 4.]</w:t>
      </w:r>
    </w:p>
    <w:p w:rsidR="00CF3E97" w:rsidRDefault="00CF3E97" w:rsidP="00CF3E97">
      <w:pPr>
        <w:pStyle w:val="yHeading3"/>
      </w:pPr>
      <w:bookmarkStart w:id="19" w:name="_Toc75781357"/>
      <w:bookmarkStart w:id="20" w:name="_Toc75781520"/>
      <w:bookmarkStart w:id="21" w:name="_Toc75855907"/>
      <w:bookmarkStart w:id="22" w:name="_Toc75855942"/>
      <w:r w:rsidRPr="00F95696">
        <w:rPr>
          <w:rStyle w:val="CharSDivNo"/>
        </w:rPr>
        <w:t>Division 1</w:t>
      </w:r>
      <w:r>
        <w:t> — </w:t>
      </w:r>
      <w:r w:rsidRPr="00F95696">
        <w:rPr>
          <w:rStyle w:val="CharSDivText"/>
        </w:rPr>
        <w:t>Tariffs other than MyPower tariffs</w:t>
      </w:r>
      <w:bookmarkEnd w:id="19"/>
      <w:bookmarkEnd w:id="20"/>
      <w:bookmarkEnd w:id="21"/>
      <w:bookmarkEnd w:id="22"/>
    </w:p>
    <w:p w:rsidR="00CF3E97" w:rsidRDefault="00CF3E97" w:rsidP="00CF3E97">
      <w:pPr>
        <w:pStyle w:val="yFootnoteheading"/>
      </w:pPr>
      <w:r>
        <w:tab/>
        <w:t>[Heading inserted: SL 2021/110 bl. 4.]</w:t>
      </w:r>
    </w:p>
    <w:p w:rsidR="00CF3E97" w:rsidRDefault="00CF3E97" w:rsidP="00CF3E97">
      <w:pPr>
        <w:pStyle w:val="yHeading5"/>
      </w:pPr>
      <w:bookmarkStart w:id="23" w:name="_Toc75855943"/>
      <w:r>
        <w:rPr>
          <w:rStyle w:val="CharSClsNo"/>
        </w:rPr>
        <w:t>1</w:t>
      </w:r>
      <w:r>
        <w:t>.</w:t>
      </w:r>
      <w:r>
        <w:tab/>
        <w:t>Tariff L</w:t>
      </w:r>
      <w:r w:rsidRPr="00CF3224">
        <w:t>2 (</w:t>
      </w:r>
      <w:r>
        <w:t>general supply — low/medium voltage tariff)</w:t>
      </w:r>
      <w:bookmarkEnd w:id="23"/>
    </w:p>
    <w:p w:rsidR="00CF3E97" w:rsidRDefault="00CF3E97" w:rsidP="00CF3E97">
      <w:pPr>
        <w:pStyle w:val="ySubsection"/>
      </w:pPr>
      <w:r>
        <w:tab/>
        <w:t>(1)</w:t>
      </w:r>
      <w:r>
        <w:tab/>
        <w:t>Tariff L2 is available for low/medium voltage supply.</w:t>
      </w:r>
    </w:p>
    <w:p w:rsidR="00CF3E97" w:rsidRDefault="00CF3E97" w:rsidP="00CF3E97">
      <w:pPr>
        <w:pStyle w:val="ySubsection"/>
      </w:pPr>
      <w:r>
        <w:tab/>
        <w:t>(2)</w:t>
      </w:r>
      <w:r>
        <w:tab/>
        <w:t xml:space="preserve">Tariff L2 comprises — </w:t>
      </w:r>
    </w:p>
    <w:p w:rsidR="00CF3E97" w:rsidRDefault="00CF3E97" w:rsidP="00CF3E97">
      <w:pPr>
        <w:pStyle w:val="yIndenta"/>
      </w:pPr>
      <w:r>
        <w:tab/>
        <w:t>(a)</w:t>
      </w:r>
      <w:r>
        <w:tab/>
        <w:t>a fixed charge at the rate of $1.8770 per day; and</w:t>
      </w:r>
    </w:p>
    <w:p w:rsidR="00CF3E97" w:rsidRDefault="00CF3E97" w:rsidP="00CF3E97">
      <w:pPr>
        <w:pStyle w:val="yIndenta"/>
      </w:pPr>
      <w:r>
        <w:tab/>
        <w:t>(b)</w:t>
      </w:r>
      <w:r>
        <w:tab/>
        <w:t xml:space="preserve">a charge for metered consumption at the rate of — </w:t>
      </w:r>
    </w:p>
    <w:p w:rsidR="00CF3E97" w:rsidRDefault="00CF3E97" w:rsidP="00CF3E97">
      <w:pPr>
        <w:pStyle w:val="yIndenti0"/>
      </w:pPr>
      <w:r>
        <w:tab/>
        <w:t>(i)</w:t>
      </w:r>
      <w:r>
        <w:tab/>
        <w:t xml:space="preserve">29.2089 </w:t>
      </w:r>
      <w:r w:rsidRPr="00CF3224">
        <w:t>cents</w:t>
      </w:r>
      <w:r>
        <w:t xml:space="preserve"> per unit for the first 1 650 units per day; and</w:t>
      </w:r>
    </w:p>
    <w:p w:rsidR="00CF3E97" w:rsidRDefault="00CF3E97" w:rsidP="00CF3E97">
      <w:pPr>
        <w:pStyle w:val="yIndenti0"/>
      </w:pPr>
      <w:r>
        <w:tab/>
        <w:t>(ii)</w:t>
      </w:r>
      <w:r>
        <w:tab/>
        <w:t xml:space="preserve">32.9320 </w:t>
      </w:r>
      <w:r w:rsidRPr="00CF3224">
        <w:t>cents</w:t>
      </w:r>
      <w:r>
        <w:t xml:space="preserve"> per unit for all units exceeding 1 650 units per day.</w:t>
      </w:r>
    </w:p>
    <w:p w:rsidR="00CF3E97" w:rsidRDefault="00CF3E97" w:rsidP="00CF3E97">
      <w:pPr>
        <w:pStyle w:val="ySubsection"/>
      </w:pPr>
      <w:r>
        <w:tab/>
        <w:t>(3)</w:t>
      </w:r>
      <w:r>
        <w:tab/>
        <w:t>Tariff L2 is available subject to the condition that the consumer satisfies the corporation that the amount of electricity supplied to the consumer’s premises will be less than 50 MW hours per annum.</w:t>
      </w:r>
    </w:p>
    <w:p w:rsidR="00AF5FFC" w:rsidRDefault="00AF5FFC" w:rsidP="00AF5FFC">
      <w:pPr>
        <w:pStyle w:val="yFootnotesection"/>
      </w:pPr>
      <w:r>
        <w:tab/>
        <w:t>[Clause 1 inserted: SL 2021/110 bl. 4.]</w:t>
      </w:r>
    </w:p>
    <w:p w:rsidR="00CF3E97" w:rsidRDefault="00CF3E97" w:rsidP="00CF3E97">
      <w:pPr>
        <w:pStyle w:val="yHeading5"/>
      </w:pPr>
      <w:bookmarkStart w:id="24" w:name="_Toc75855944"/>
      <w:r>
        <w:rPr>
          <w:rStyle w:val="CharSClsNo"/>
        </w:rPr>
        <w:t>2</w:t>
      </w:r>
      <w:r>
        <w:t>.</w:t>
      </w:r>
      <w:r>
        <w:tab/>
        <w:t>Tariff L</w:t>
      </w:r>
      <w:r w:rsidRPr="00CF3224">
        <w:t>4 (</w:t>
      </w:r>
      <w:r>
        <w:t>general supply — low/medium voltage tariff)</w:t>
      </w:r>
      <w:bookmarkEnd w:id="24"/>
      <w:r>
        <w:t xml:space="preserve"> </w:t>
      </w:r>
    </w:p>
    <w:p w:rsidR="00CF3E97" w:rsidRDefault="00CF3E97" w:rsidP="00CF3E97">
      <w:pPr>
        <w:pStyle w:val="ySubsection"/>
      </w:pPr>
      <w:r>
        <w:tab/>
        <w:t>(1)</w:t>
      </w:r>
      <w:r>
        <w:tab/>
        <w:t>Tariff L4 is available for low/medium voltage supply.</w:t>
      </w:r>
    </w:p>
    <w:p w:rsidR="00CF3E97" w:rsidRDefault="00CF3E97" w:rsidP="00CF3E97">
      <w:pPr>
        <w:pStyle w:val="ySubsection"/>
      </w:pPr>
      <w:r>
        <w:tab/>
        <w:t>(2)</w:t>
      </w:r>
      <w:r>
        <w:tab/>
        <w:t xml:space="preserve">Tariff L4 comprises — </w:t>
      </w:r>
    </w:p>
    <w:p w:rsidR="00CF3E97" w:rsidRDefault="00CF3E97" w:rsidP="00CF3E97">
      <w:pPr>
        <w:pStyle w:val="yIndenta"/>
      </w:pPr>
      <w:r>
        <w:tab/>
        <w:t>(a)</w:t>
      </w:r>
      <w:r>
        <w:tab/>
        <w:t>a fixed charge at the rate of $1.9066 per day; and</w:t>
      </w:r>
    </w:p>
    <w:p w:rsidR="00CF3E97" w:rsidRDefault="00CF3E97" w:rsidP="00CF3E97">
      <w:pPr>
        <w:pStyle w:val="yIndenta"/>
      </w:pPr>
      <w:r>
        <w:tab/>
        <w:t>(b)</w:t>
      </w:r>
      <w:r>
        <w:tab/>
        <w:t xml:space="preserve">a charge for metered consumption at the rate of — </w:t>
      </w:r>
    </w:p>
    <w:p w:rsidR="00CF3E97" w:rsidRDefault="00CF3E97" w:rsidP="00CF3E97">
      <w:pPr>
        <w:pStyle w:val="yIndenti0"/>
      </w:pPr>
      <w:r>
        <w:tab/>
        <w:t>(i)</w:t>
      </w:r>
      <w:r>
        <w:tab/>
        <w:t>38.7263</w:t>
      </w:r>
      <w:r>
        <w:rPr>
          <w:szCs w:val="22"/>
        </w:rPr>
        <w:t xml:space="preserve"> </w:t>
      </w:r>
      <w:r w:rsidRPr="00CF3224">
        <w:t>cents</w:t>
      </w:r>
      <w:r>
        <w:t xml:space="preserve"> per unit for the first 1 650 units per day; and</w:t>
      </w:r>
    </w:p>
    <w:p w:rsidR="00CF3E97" w:rsidRDefault="00CF3E97" w:rsidP="00CF3E97">
      <w:pPr>
        <w:pStyle w:val="yIndenti0"/>
      </w:pPr>
      <w:r>
        <w:tab/>
        <w:t>(ii)</w:t>
      </w:r>
      <w:r>
        <w:tab/>
        <w:t>32.8605</w:t>
      </w:r>
      <w:r>
        <w:rPr>
          <w:szCs w:val="22"/>
        </w:rPr>
        <w:t xml:space="preserve"> </w:t>
      </w:r>
      <w:r w:rsidRPr="00CF3224">
        <w:t>cents</w:t>
      </w:r>
      <w:r>
        <w:t xml:space="preserve"> per unit for all units exceeding 1 650 units per day.</w:t>
      </w:r>
    </w:p>
    <w:p w:rsidR="00CF3E97" w:rsidRDefault="00CF3E97" w:rsidP="00CF3E97">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rsidR="00AF5FFC" w:rsidRDefault="00AF5FFC" w:rsidP="00AF5FFC">
      <w:pPr>
        <w:pStyle w:val="yFootnotesection"/>
      </w:pPr>
      <w:r>
        <w:tab/>
        <w:t>[Clause 2 inserted: SL 2021/110 bl. 4.]</w:t>
      </w:r>
    </w:p>
    <w:p w:rsidR="00CF3E97" w:rsidRDefault="00CF3E97" w:rsidP="00CF3E97">
      <w:pPr>
        <w:pStyle w:val="yHeading5"/>
      </w:pPr>
      <w:bookmarkStart w:id="25" w:name="_Toc75855945"/>
      <w:r>
        <w:rPr>
          <w:rStyle w:val="CharSClsNo"/>
        </w:rPr>
        <w:t>3</w:t>
      </w:r>
      <w:r>
        <w:t>.</w:t>
      </w:r>
      <w:r>
        <w:tab/>
        <w:t>Tariff A</w:t>
      </w:r>
      <w:r w:rsidRPr="00CF3224">
        <w:t>2 (</w:t>
      </w:r>
      <w:r>
        <w:t>residential tariff)</w:t>
      </w:r>
      <w:bookmarkEnd w:id="25"/>
    </w:p>
    <w:p w:rsidR="00CF3E97" w:rsidRDefault="00CF3E97" w:rsidP="00CF3E97">
      <w:pPr>
        <w:pStyle w:val="ySubsection"/>
      </w:pPr>
      <w:r>
        <w:tab/>
        <w:t>(1)</w:t>
      </w:r>
      <w:r>
        <w:tab/>
        <w:t>Tariff A2 is available for residential use only.</w:t>
      </w:r>
    </w:p>
    <w:p w:rsidR="00CF3E97" w:rsidRDefault="00CF3E97" w:rsidP="00CF3E97">
      <w:pPr>
        <w:pStyle w:val="ySubsection"/>
      </w:pPr>
      <w:r>
        <w:tab/>
        <w:t>(2)</w:t>
      </w:r>
      <w:r>
        <w:tab/>
        <w:t xml:space="preserve">Tariff A2 comprises — </w:t>
      </w:r>
    </w:p>
    <w:p w:rsidR="00CF3E97" w:rsidRDefault="00CF3E97" w:rsidP="00CF3E97">
      <w:pPr>
        <w:pStyle w:val="yIndenta"/>
      </w:pPr>
      <w:r>
        <w:tab/>
        <w:t>(a)</w:t>
      </w:r>
      <w:r>
        <w:tab/>
        <w:t>a fixed charge at the rate of $1.0514 per day or, for multiple dwellings supplied through 1 metered supply point, a fixed charge at the rate of —</w:t>
      </w:r>
    </w:p>
    <w:p w:rsidR="00CF3E97" w:rsidRDefault="00CF3E97" w:rsidP="00CF3E97">
      <w:pPr>
        <w:pStyle w:val="yIndenti0"/>
      </w:pPr>
      <w:r>
        <w:tab/>
        <w:t>(i)</w:t>
      </w:r>
      <w:r>
        <w:tab/>
        <w:t>$1.0514 per day for the first dwelling; and</w:t>
      </w:r>
    </w:p>
    <w:p w:rsidR="00CF3E97" w:rsidRDefault="00CF3E97" w:rsidP="00CF3E97">
      <w:pPr>
        <w:pStyle w:val="yIndenti0"/>
      </w:pPr>
      <w:r>
        <w:tab/>
        <w:t>(ii)</w:t>
      </w:r>
      <w:r>
        <w:tab/>
        <w:t xml:space="preserve">41.8017 </w:t>
      </w:r>
      <w:r w:rsidRPr="00CF3224">
        <w:t>cents</w:t>
      </w:r>
      <w:r>
        <w:t xml:space="preserve"> per day for each additional dwelling;</w:t>
      </w:r>
    </w:p>
    <w:p w:rsidR="00CF3E97" w:rsidRDefault="00CF3E97" w:rsidP="00CF3E97">
      <w:pPr>
        <w:pStyle w:val="yIndenta"/>
      </w:pPr>
      <w:r>
        <w:tab/>
      </w:r>
      <w:r>
        <w:tab/>
        <w:t>and</w:t>
      </w:r>
    </w:p>
    <w:p w:rsidR="00CF3E97" w:rsidRDefault="00CF3E97" w:rsidP="00CF3E97">
      <w:pPr>
        <w:pStyle w:val="yIndenta"/>
      </w:pPr>
      <w:r>
        <w:tab/>
        <w:t>(b)</w:t>
      </w:r>
      <w:r>
        <w:tab/>
        <w:t xml:space="preserve">a charge for metered consumption at the rate of 29.3273 </w:t>
      </w:r>
      <w:r w:rsidRPr="00CF3224">
        <w:t>cents</w:t>
      </w:r>
      <w:r>
        <w:t xml:space="preserve"> per unit.</w:t>
      </w:r>
    </w:p>
    <w:p w:rsidR="00AF5FFC" w:rsidRDefault="00AF5FFC" w:rsidP="00AF5FFC">
      <w:pPr>
        <w:pStyle w:val="yFootnotesection"/>
      </w:pPr>
      <w:r>
        <w:tab/>
        <w:t>[Clause 3 inserted: SL 2021/110 bl. 4.]</w:t>
      </w:r>
    </w:p>
    <w:p w:rsidR="00CF3E97" w:rsidRDefault="00CF3E97" w:rsidP="00CF3E97">
      <w:pPr>
        <w:pStyle w:val="yHeading5"/>
      </w:pPr>
      <w:bookmarkStart w:id="26" w:name="_Toc75855946"/>
      <w:r>
        <w:rPr>
          <w:rStyle w:val="CharSClsNo"/>
        </w:rPr>
        <w:t>4</w:t>
      </w:r>
      <w:r>
        <w:t>.</w:t>
      </w:r>
      <w:r>
        <w:tab/>
        <w:t>Tariff C</w:t>
      </w:r>
      <w:r w:rsidRPr="00CF3224">
        <w:t>2 (</w:t>
      </w:r>
      <w:r>
        <w:t>special community service tariff)</w:t>
      </w:r>
      <w:bookmarkEnd w:id="26"/>
    </w:p>
    <w:p w:rsidR="00CF3E97" w:rsidRDefault="00CF3E97" w:rsidP="00CF3E97">
      <w:pPr>
        <w:pStyle w:val="ySubsection"/>
      </w:pPr>
      <w:r>
        <w:tab/>
        <w:t>(1)</w:t>
      </w:r>
      <w:r>
        <w:tab/>
        <w:t>Tariff C2 is available for small voluntary and charitable organisations, subject to the conditions listed in subclause (3).</w:t>
      </w:r>
    </w:p>
    <w:p w:rsidR="00CF3E97" w:rsidRDefault="00CF3E97" w:rsidP="00CF3E97">
      <w:pPr>
        <w:pStyle w:val="ySubsection"/>
      </w:pPr>
      <w:r>
        <w:tab/>
        <w:t>(2)</w:t>
      </w:r>
      <w:r>
        <w:tab/>
        <w:t xml:space="preserve">Tariff C2 comprises — </w:t>
      </w:r>
    </w:p>
    <w:p w:rsidR="00CF3E97" w:rsidRDefault="00CF3E97" w:rsidP="00CF3E97">
      <w:pPr>
        <w:pStyle w:val="yIndenta"/>
      </w:pPr>
      <w:r>
        <w:tab/>
        <w:t>(a)</w:t>
      </w:r>
      <w:r>
        <w:tab/>
        <w:t>a fixed charge at the rate of $1.0145 per day; and</w:t>
      </w:r>
    </w:p>
    <w:p w:rsidR="00CF3E97" w:rsidRDefault="00CF3E97" w:rsidP="00CF3E97">
      <w:pPr>
        <w:pStyle w:val="yIndenta"/>
      </w:pPr>
      <w:r>
        <w:tab/>
        <w:t>(b)</w:t>
      </w:r>
      <w:r>
        <w:tab/>
        <w:t xml:space="preserve">a charge for metered consumption at the rate of — </w:t>
      </w:r>
    </w:p>
    <w:p w:rsidR="00CF3E97" w:rsidRDefault="00CF3E97" w:rsidP="00CF3E97">
      <w:pPr>
        <w:pStyle w:val="yIndenti0"/>
      </w:pPr>
      <w:r>
        <w:tab/>
        <w:t>(i)</w:t>
      </w:r>
      <w:r>
        <w:tab/>
        <w:t xml:space="preserve">23.7035 </w:t>
      </w:r>
      <w:r w:rsidRPr="00CF3224">
        <w:t>cents</w:t>
      </w:r>
      <w:r>
        <w:t xml:space="preserve"> per unit for the first 20 units per day; and</w:t>
      </w:r>
    </w:p>
    <w:p w:rsidR="00CF3E97" w:rsidRDefault="00CF3E97" w:rsidP="00CF3E97">
      <w:pPr>
        <w:pStyle w:val="yIndenti0"/>
      </w:pPr>
      <w:r>
        <w:tab/>
        <w:t>(ii)</w:t>
      </w:r>
      <w:r>
        <w:tab/>
        <w:t xml:space="preserve">25.2900 </w:t>
      </w:r>
      <w:r w:rsidRPr="00CF3224">
        <w:t>cents</w:t>
      </w:r>
      <w:r>
        <w:t xml:space="preserve"> per unit for the next 1 630 units per day; and</w:t>
      </w:r>
    </w:p>
    <w:p w:rsidR="00CF3E97" w:rsidRDefault="00CF3E97" w:rsidP="00CF3E97">
      <w:pPr>
        <w:pStyle w:val="yIndenti0"/>
      </w:pPr>
      <w:r>
        <w:tab/>
        <w:t>(iii)</w:t>
      </w:r>
      <w:r>
        <w:tab/>
        <w:t xml:space="preserve">24.1230 </w:t>
      </w:r>
      <w:r w:rsidRPr="00CF3224">
        <w:t>cents</w:t>
      </w:r>
      <w:r>
        <w:t xml:space="preserve"> per unit for all units exceeding 1 650 units per day.</w:t>
      </w:r>
    </w:p>
    <w:p w:rsidR="00CF3E97" w:rsidRDefault="00CF3E97" w:rsidP="00CF3E97">
      <w:pPr>
        <w:pStyle w:val="ySubsection"/>
      </w:pPr>
      <w:r>
        <w:tab/>
        <w:t>(3)</w:t>
      </w:r>
      <w:r>
        <w:tab/>
        <w:t xml:space="preserve">Tariff C2 is available subject to the following conditions — </w:t>
      </w:r>
    </w:p>
    <w:p w:rsidR="00CF3E97" w:rsidRDefault="00CF3E97" w:rsidP="00CF3E97">
      <w:pPr>
        <w:pStyle w:val="yIndenta"/>
      </w:pPr>
      <w:r>
        <w:tab/>
        <w:t>(a)</w:t>
      </w:r>
      <w:r>
        <w:tab/>
        <w:t>the consumer must be a direct customer of the corporation;</w:t>
      </w:r>
    </w:p>
    <w:p w:rsidR="00CF3E97" w:rsidRDefault="00CF3E97" w:rsidP="00CF3E97">
      <w:pPr>
        <w:pStyle w:val="yIndenta"/>
      </w:pPr>
      <w:r>
        <w:lastRenderedPageBreak/>
        <w:tab/>
        <w:t>(b)</w:t>
      </w:r>
      <w:r>
        <w:tab/>
        <w:t>the consumer must be a voluntary, non</w:t>
      </w:r>
      <w:r>
        <w:noBreakHyphen/>
        <w:t>profit making organisation;</w:t>
      </w:r>
    </w:p>
    <w:p w:rsidR="00CF3E97" w:rsidRDefault="00CF3E97" w:rsidP="00CF3E97">
      <w:pPr>
        <w:pStyle w:val="yIndenta"/>
      </w:pPr>
      <w:r>
        <w:tab/>
        <w:t>(c)</w:t>
      </w:r>
      <w:r>
        <w:tab/>
        <w:t xml:space="preserve">the consumer must be endorsed as exempt from income tax under the </w:t>
      </w:r>
      <w:r w:rsidRPr="00CF3224">
        <w:rPr>
          <w:i/>
        </w:rPr>
        <w:t xml:space="preserve">Income Tax Assessment Act 1997 </w:t>
      </w:r>
      <w:r w:rsidRPr="00CF3224">
        <w:t>(</w:t>
      </w:r>
      <w:r>
        <w:t>Commonwealth) Subdivision 50</w:t>
      </w:r>
      <w:r>
        <w:noBreakHyphen/>
        <w:t>B;</w:t>
      </w:r>
    </w:p>
    <w:p w:rsidR="00CF3E97" w:rsidRDefault="00CF3E97" w:rsidP="00CF3E97">
      <w:pPr>
        <w:pStyle w:val="yIndenta"/>
      </w:pPr>
      <w:r>
        <w:tab/>
        <w:t>(d)</w:t>
      </w:r>
      <w:r>
        <w:tab/>
        <w:t>the consumer must provide a public service, which is available to any member of the public without discrimination;</w:t>
      </w:r>
    </w:p>
    <w:p w:rsidR="00CF3E97" w:rsidRDefault="00CF3E97" w:rsidP="00CF3E97">
      <w:pPr>
        <w:pStyle w:val="yIndenta"/>
      </w:pPr>
      <w:r>
        <w:tab/>
        <w:t>(e)</w:t>
      </w:r>
      <w:r>
        <w:tab/>
        <w:t>the consumer must not be a Commonwealth, State or local government department, instrumentality or agency;</w:t>
      </w:r>
    </w:p>
    <w:p w:rsidR="00CF3E97" w:rsidRDefault="00CF3E97" w:rsidP="00CF3E97">
      <w:pPr>
        <w:pStyle w:val="yIndenta"/>
      </w:pPr>
      <w:r>
        <w:tab/>
        <w:t>(f)</w:t>
      </w:r>
      <w:r>
        <w:tab/>
        <w:t>the consumer must not receive the major part of its funding from any organisation mentioned in paragraph (e).</w:t>
      </w:r>
    </w:p>
    <w:p w:rsidR="00CF3E97" w:rsidRDefault="00CF3E97" w:rsidP="00CF3E97">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rsidR="00AF5FFC" w:rsidRDefault="00AF5FFC" w:rsidP="00AF5FFC">
      <w:pPr>
        <w:pStyle w:val="yFootnotesection"/>
      </w:pPr>
      <w:r>
        <w:tab/>
        <w:t>[Clause 4 inserted: SL 2021/110 bl. 4.]</w:t>
      </w:r>
    </w:p>
    <w:p w:rsidR="00CF3E97" w:rsidRDefault="00CF3E97" w:rsidP="00CF3E97">
      <w:pPr>
        <w:pStyle w:val="yHeading5"/>
      </w:pPr>
      <w:bookmarkStart w:id="27" w:name="_Toc75855947"/>
      <w:r>
        <w:rPr>
          <w:rStyle w:val="CharSClsNo"/>
        </w:rPr>
        <w:t>5</w:t>
      </w:r>
      <w:r>
        <w:t>.</w:t>
      </w:r>
      <w:r>
        <w:tab/>
        <w:t>Tariff D</w:t>
      </w:r>
      <w:r w:rsidRPr="00CF3224">
        <w:t>2 (</w:t>
      </w:r>
      <w:r>
        <w:t>special tariff for certain premises)</w:t>
      </w:r>
      <w:bookmarkEnd w:id="27"/>
    </w:p>
    <w:p w:rsidR="00CF3E97" w:rsidRDefault="00CF3E97" w:rsidP="00CF3E97">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rsidR="00CF3E97" w:rsidRDefault="00CF3E97" w:rsidP="00CF3E97">
      <w:pPr>
        <w:pStyle w:val="ySubsection"/>
      </w:pPr>
      <w:r>
        <w:tab/>
        <w:t>(2)</w:t>
      </w:r>
      <w:r>
        <w:tab/>
        <w:t xml:space="preserve">Tariff D2 comprises — </w:t>
      </w:r>
    </w:p>
    <w:p w:rsidR="00CF3E97" w:rsidRDefault="00CF3E97" w:rsidP="00CF3E97">
      <w:pPr>
        <w:pStyle w:val="yIndenta"/>
      </w:pPr>
      <w:r>
        <w:tab/>
        <w:t>(a)</w:t>
      </w:r>
      <w:r>
        <w:tab/>
        <w:t>a fixed charge at the rate of $1.0007 per day; and</w:t>
      </w:r>
    </w:p>
    <w:p w:rsidR="00CF3E97" w:rsidRDefault="00CF3E97" w:rsidP="00CF3E97">
      <w:pPr>
        <w:pStyle w:val="yIndenta"/>
      </w:pPr>
      <w:r>
        <w:tab/>
        <w:t>(b)</w:t>
      </w:r>
      <w:r>
        <w:tab/>
        <w:t xml:space="preserve">if under subclause (3) there is deemed to be more than 1 equivalent domestic residence in the premises — a charge of 37.1009 </w:t>
      </w:r>
      <w:r w:rsidRPr="00CF3224">
        <w:t>cents</w:t>
      </w:r>
      <w:r>
        <w:t xml:space="preserve"> per day for each equivalent domestic residence except the first that is deemed to be in the premises; and</w:t>
      </w:r>
    </w:p>
    <w:p w:rsidR="00CF3E97" w:rsidRDefault="00CF3E97" w:rsidP="00CF3E97">
      <w:pPr>
        <w:pStyle w:val="yIndenta"/>
      </w:pPr>
      <w:r>
        <w:tab/>
        <w:t>(c)</w:t>
      </w:r>
      <w:r>
        <w:tab/>
        <w:t xml:space="preserve">a charge for metered consumption at the rate of 25.4249 </w:t>
      </w:r>
      <w:r w:rsidRPr="00CF3224">
        <w:t>cents</w:t>
      </w:r>
      <w:r>
        <w:t xml:space="preserve"> per unit.</w:t>
      </w:r>
    </w:p>
    <w:p w:rsidR="00CF3E97" w:rsidRDefault="00CF3E97" w:rsidP="00CF3E97">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rsidR="00AF5FFC" w:rsidRDefault="00AF5FFC" w:rsidP="00AF5FFC">
      <w:pPr>
        <w:pStyle w:val="yFootnotesection"/>
      </w:pPr>
      <w:r>
        <w:lastRenderedPageBreak/>
        <w:tab/>
        <w:t>[Clause 5 inserted: SL 2021/110 bl. 4.]</w:t>
      </w:r>
    </w:p>
    <w:p w:rsidR="00CF3E97" w:rsidRDefault="00CF3E97" w:rsidP="00CF3E97">
      <w:pPr>
        <w:pStyle w:val="yHeading5"/>
      </w:pPr>
      <w:bookmarkStart w:id="28" w:name="_Toc75855948"/>
      <w:r>
        <w:rPr>
          <w:rStyle w:val="CharSClsNo"/>
        </w:rPr>
        <w:t>6</w:t>
      </w:r>
      <w:r>
        <w:t>.</w:t>
      </w:r>
      <w:r>
        <w:tab/>
        <w:t>Tariff K</w:t>
      </w:r>
      <w:r w:rsidRPr="00CF3224">
        <w:t>2 (</w:t>
      </w:r>
      <w:r>
        <w:t>general supply with residential tariff)</w:t>
      </w:r>
      <w:bookmarkEnd w:id="28"/>
    </w:p>
    <w:p w:rsidR="00CF3E97" w:rsidRDefault="00CF3E97" w:rsidP="00CF3E97">
      <w:pPr>
        <w:pStyle w:val="ySubsection"/>
      </w:pPr>
      <w:r>
        <w:tab/>
        <w:t>(1)</w:t>
      </w:r>
      <w:r>
        <w:tab/>
        <w:t>Tariff K2 is available for premises where the circuit wiring is not separate and the electricity is used partly for general purposes and partly for residential purposes.</w:t>
      </w:r>
    </w:p>
    <w:p w:rsidR="00CF3E97" w:rsidRDefault="00CF3E97" w:rsidP="00CF3E97">
      <w:pPr>
        <w:pStyle w:val="ySubsection"/>
      </w:pPr>
      <w:r>
        <w:tab/>
        <w:t>(2)</w:t>
      </w:r>
      <w:r>
        <w:tab/>
        <w:t xml:space="preserve">Tariff K2 comprises — </w:t>
      </w:r>
    </w:p>
    <w:p w:rsidR="00CF3E97" w:rsidRDefault="00CF3E97" w:rsidP="00CF3E97">
      <w:pPr>
        <w:pStyle w:val="yIndenta"/>
      </w:pPr>
      <w:r>
        <w:tab/>
        <w:t>(a)</w:t>
      </w:r>
      <w:r>
        <w:tab/>
        <w:t>a fixed charge at the rate of $1.8553 per day; and</w:t>
      </w:r>
    </w:p>
    <w:p w:rsidR="00CF3E97" w:rsidRDefault="00CF3E97" w:rsidP="00CF3E97">
      <w:pPr>
        <w:pStyle w:val="yIndenta"/>
      </w:pPr>
      <w:r>
        <w:tab/>
        <w:t>(b)</w:t>
      </w:r>
      <w:r>
        <w:tab/>
        <w:t>a charge for metered consumption at the rate of —</w:t>
      </w:r>
    </w:p>
    <w:p w:rsidR="00CF3E97" w:rsidRDefault="00CF3E97" w:rsidP="00CF3E97">
      <w:pPr>
        <w:pStyle w:val="yIndenti0"/>
      </w:pPr>
      <w:r>
        <w:tab/>
        <w:t>(i)</w:t>
      </w:r>
      <w:r>
        <w:tab/>
        <w:t xml:space="preserve">30.6376 </w:t>
      </w:r>
      <w:r w:rsidRPr="00CF3224">
        <w:t>cents</w:t>
      </w:r>
      <w:r>
        <w:t xml:space="preserve"> per unit for the first 20 units per day; and</w:t>
      </w:r>
    </w:p>
    <w:p w:rsidR="00CF3E97" w:rsidRDefault="00CF3E97" w:rsidP="00CF3E97">
      <w:pPr>
        <w:pStyle w:val="yIndenti0"/>
      </w:pPr>
      <w:r>
        <w:tab/>
        <w:t>(ii)</w:t>
      </w:r>
      <w:r>
        <w:tab/>
        <w:t xml:space="preserve">28.8719 </w:t>
      </w:r>
      <w:r w:rsidRPr="00CF3224">
        <w:t>cents</w:t>
      </w:r>
      <w:r>
        <w:t xml:space="preserve"> per unit for the next 1 630 units per day; and</w:t>
      </w:r>
    </w:p>
    <w:p w:rsidR="00CF3E97" w:rsidRDefault="00CF3E97" w:rsidP="00CF3E97">
      <w:pPr>
        <w:pStyle w:val="yIndenti0"/>
      </w:pPr>
      <w:r>
        <w:tab/>
        <w:t>(iii)</w:t>
      </w:r>
      <w:r>
        <w:tab/>
        <w:t xml:space="preserve">32.5520 </w:t>
      </w:r>
      <w:r w:rsidRPr="00CF3224">
        <w:t>cents</w:t>
      </w:r>
      <w:r>
        <w:t xml:space="preserve"> per unit for all units exceeding 1 650 units per day.</w:t>
      </w:r>
    </w:p>
    <w:p w:rsidR="00AF5FFC" w:rsidRDefault="00AF5FFC" w:rsidP="00AF5FFC">
      <w:pPr>
        <w:pStyle w:val="yFootnotesection"/>
      </w:pPr>
      <w:r>
        <w:tab/>
        <w:t>[Clause 6 inserted: SL 2021/110 bl. 4.]</w:t>
      </w:r>
    </w:p>
    <w:p w:rsidR="00CF3E97" w:rsidRDefault="00CF3E97" w:rsidP="00CF3E97">
      <w:pPr>
        <w:pStyle w:val="yHeading3"/>
      </w:pPr>
      <w:bookmarkStart w:id="29" w:name="_Toc75781364"/>
      <w:bookmarkStart w:id="30" w:name="_Toc75781527"/>
      <w:bookmarkStart w:id="31" w:name="_Toc75855914"/>
      <w:bookmarkStart w:id="32" w:name="_Toc75855949"/>
      <w:r w:rsidRPr="00F95696">
        <w:rPr>
          <w:rStyle w:val="CharSDivNo"/>
        </w:rPr>
        <w:t>Division 2</w:t>
      </w:r>
      <w:r>
        <w:t> — </w:t>
      </w:r>
      <w:r w:rsidRPr="00F95696">
        <w:rPr>
          <w:rStyle w:val="CharSDivText"/>
        </w:rPr>
        <w:t>MyPower tariffs</w:t>
      </w:r>
      <w:bookmarkEnd w:id="29"/>
      <w:bookmarkEnd w:id="30"/>
      <w:bookmarkEnd w:id="31"/>
      <w:bookmarkEnd w:id="32"/>
    </w:p>
    <w:p w:rsidR="00CF3E97" w:rsidRDefault="00CF3E97" w:rsidP="00CF3E97">
      <w:pPr>
        <w:pStyle w:val="yFootnoteheading"/>
      </w:pPr>
      <w:r>
        <w:tab/>
        <w:t>[Heading inserted: SL 2021/110 bl. 4.]</w:t>
      </w:r>
    </w:p>
    <w:p w:rsidR="00CF3E97" w:rsidRDefault="00CF3E97" w:rsidP="00CF3E97">
      <w:pPr>
        <w:pStyle w:val="yHeading5"/>
      </w:pPr>
      <w:bookmarkStart w:id="33" w:name="_Toc75855950"/>
      <w:r>
        <w:t>7.</w:t>
      </w:r>
      <w:r>
        <w:tab/>
        <w:t>Terms used</w:t>
      </w:r>
      <w:bookmarkEnd w:id="33"/>
    </w:p>
    <w:p w:rsidR="00CF3E97" w:rsidRDefault="00CF3E97" w:rsidP="00CF3E97">
      <w:pPr>
        <w:pStyle w:val="ySubsection"/>
      </w:pPr>
      <w:r>
        <w:tab/>
        <w:t>(1)</w:t>
      </w:r>
      <w:r>
        <w:tab/>
        <w:t xml:space="preserve">In this Division — </w:t>
      </w:r>
    </w:p>
    <w:p w:rsidR="00CF3E97" w:rsidRDefault="00CF3E97" w:rsidP="00CF3E97">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rsidR="00CF3E97" w:rsidRDefault="00CF3E97" w:rsidP="00CF3E97">
      <w:pPr>
        <w:pStyle w:val="yDefstart"/>
      </w:pPr>
      <w:r>
        <w:tab/>
      </w:r>
      <w:r>
        <w:rPr>
          <w:rStyle w:val="CharDefText"/>
        </w:rPr>
        <w:t>MyPower tariff</w:t>
      </w:r>
      <w:r>
        <w:t xml:space="preserve"> means — </w:t>
      </w:r>
    </w:p>
    <w:p w:rsidR="00CF3E97" w:rsidRDefault="00CF3E97" w:rsidP="00CF3E97">
      <w:pPr>
        <w:pStyle w:val="yDefpara"/>
      </w:pPr>
      <w:r>
        <w:tab/>
        <w:t>(a)</w:t>
      </w:r>
      <w:r>
        <w:tab/>
        <w:t>a MyPower residential tariff as defined in clause 8(1); or</w:t>
      </w:r>
    </w:p>
    <w:p w:rsidR="00CF3E97" w:rsidRDefault="00CF3E97" w:rsidP="00CF3E97">
      <w:pPr>
        <w:pStyle w:val="yDefpara"/>
      </w:pPr>
      <w:r>
        <w:tab/>
        <w:t>(b)</w:t>
      </w:r>
      <w:r>
        <w:tab/>
        <w:t>a MyPower non</w:t>
      </w:r>
      <w:r>
        <w:noBreakHyphen/>
        <w:t>residential tariff as defined in clause 9(1);</w:t>
      </w:r>
    </w:p>
    <w:p w:rsidR="00CF3E97" w:rsidRDefault="00CF3E97" w:rsidP="00CF3E97">
      <w:pPr>
        <w:pStyle w:val="yDefstart"/>
      </w:pPr>
      <w:r>
        <w:tab/>
      </w:r>
      <w:r>
        <w:rPr>
          <w:rStyle w:val="CharDefText"/>
        </w:rPr>
        <w:t>peak day</w:t>
      </w:r>
      <w:r>
        <w:t xml:space="preserve"> means — </w:t>
      </w:r>
    </w:p>
    <w:p w:rsidR="00CF3E97" w:rsidRDefault="00CF3E97" w:rsidP="00CF3E97">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rsidR="00CF3E97" w:rsidRDefault="00CF3E97" w:rsidP="00CF3E97">
      <w:pPr>
        <w:pStyle w:val="yDefpara"/>
        <w:rPr>
          <w:rStyle w:val="DraftersNotes"/>
          <w:b w:val="0"/>
          <w:i w:val="0"/>
        </w:rPr>
      </w:pPr>
      <w:r>
        <w:lastRenderedPageBreak/>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rsidR="00CF3E97" w:rsidRDefault="00CF3E97" w:rsidP="00CF3E97">
      <w:pPr>
        <w:pStyle w:val="yDefstart"/>
      </w:pPr>
      <w:r>
        <w:tab/>
      </w:r>
      <w:r>
        <w:rPr>
          <w:rStyle w:val="CharDefText"/>
        </w:rPr>
        <w:t>peak period</w:t>
      </w:r>
      <w:r>
        <w:t xml:space="preserve"> means — </w:t>
      </w:r>
    </w:p>
    <w:p w:rsidR="00CF3E97" w:rsidRDefault="00CF3E97" w:rsidP="00CF3E97">
      <w:pPr>
        <w:pStyle w:val="yDefpara"/>
      </w:pPr>
      <w:r>
        <w:tab/>
        <w:t>(a)</w:t>
      </w:r>
      <w:r>
        <w:tab/>
        <w:t>in relation to electricity supplied otherwise than as described in paragraph (b) — a period beginning on 1 December in a year and ending on 30 April in the following year; or</w:t>
      </w:r>
    </w:p>
    <w:p w:rsidR="00CF3E97" w:rsidRDefault="00CF3E97" w:rsidP="00CF3E97">
      <w:pPr>
        <w:pStyle w:val="yDefpara"/>
        <w:rPr>
          <w:rStyle w:val="DraftersNotes"/>
          <w:b w:val="0"/>
          <w:i w:val="0"/>
        </w:rPr>
      </w:pPr>
      <w:r>
        <w:tab/>
        <w:t>(b)</w:t>
      </w:r>
      <w:r>
        <w:tab/>
        <w:t>in relation to electricity supplied on the Esperance network — a period beginning on 1 July in a year and ending on 31 March in the following year, but excluding the months of September, October, November and December;</w:t>
      </w:r>
    </w:p>
    <w:p w:rsidR="00CF3E97" w:rsidRDefault="00CF3E97" w:rsidP="00CF3E97">
      <w:pPr>
        <w:pStyle w:val="yDefstart"/>
      </w:pPr>
      <w:r>
        <w:tab/>
      </w:r>
      <w:r>
        <w:rPr>
          <w:rStyle w:val="CharDefText"/>
        </w:rPr>
        <w:t>peak time</w:t>
      </w:r>
      <w:r>
        <w:t xml:space="preserve"> means a period beginning at 1</w:t>
      </w:r>
      <w:r w:rsidRPr="00CF3224">
        <w:t xml:space="preserve"> pm </w:t>
      </w:r>
      <w:r>
        <w:t>and ending at 8 pm.</w:t>
      </w:r>
    </w:p>
    <w:p w:rsidR="00CF3E97" w:rsidRDefault="00CF3E97" w:rsidP="00CF3E97">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rsidR="00CF3E97" w:rsidRDefault="00CF3E97" w:rsidP="00CF3E97">
      <w:pPr>
        <w:pStyle w:val="yIndenta"/>
      </w:pPr>
      <w:r>
        <w:tab/>
        <w:t>(a)</w:t>
      </w:r>
      <w:r>
        <w:tab/>
        <w:t>on the relevant day, electricity has been supplied to the consumer at the premises at a MyPower tariff for 14 or fewer continuous days; or</w:t>
      </w:r>
    </w:p>
    <w:p w:rsidR="00CF3E97" w:rsidRDefault="00CF3E97" w:rsidP="00CF3E97">
      <w:pPr>
        <w:pStyle w:val="yIndenta"/>
      </w:pPr>
      <w:r>
        <w:tab/>
        <w:t>(b)</w:t>
      </w:r>
      <w:r>
        <w:tab/>
        <w:t>the corporation considers that on the relevant day the consumer was affected by an emergency event (for example, a cyclone or bushfire).</w:t>
      </w:r>
    </w:p>
    <w:p w:rsidR="00AF5FFC" w:rsidRDefault="00AF5FFC" w:rsidP="00AF5FFC">
      <w:pPr>
        <w:pStyle w:val="yFootnotesection"/>
      </w:pPr>
      <w:r>
        <w:tab/>
        <w:t>[Clause 7 inserted: SL 2021/110 bl. 4.]</w:t>
      </w:r>
    </w:p>
    <w:p w:rsidR="00CF3E97" w:rsidRDefault="00CF3E97" w:rsidP="00CF3E97">
      <w:pPr>
        <w:pStyle w:val="yHeading5"/>
      </w:pPr>
      <w:bookmarkStart w:id="34" w:name="_Toc75855951"/>
      <w:r>
        <w:t>8.</w:t>
      </w:r>
      <w:r>
        <w:tab/>
        <w:t>MyPower residential tariffs</w:t>
      </w:r>
      <w:bookmarkEnd w:id="34"/>
    </w:p>
    <w:p w:rsidR="00CF3E97" w:rsidRDefault="00CF3E97" w:rsidP="00CF3E97">
      <w:pPr>
        <w:pStyle w:val="ySubsection"/>
      </w:pPr>
      <w:r>
        <w:tab/>
        <w:t>(1)</w:t>
      </w:r>
      <w:r>
        <w:tab/>
        <w:t xml:space="preserve">Each tariff determined under this clause (a </w:t>
      </w:r>
      <w:r>
        <w:rPr>
          <w:rStyle w:val="CharDefText"/>
        </w:rPr>
        <w:t>MyPower residential tariff</w:t>
      </w:r>
      <w:r>
        <w:t xml:space="preserve">) is available only — </w:t>
      </w:r>
    </w:p>
    <w:p w:rsidR="00CF3E97" w:rsidRDefault="00CF3E97" w:rsidP="00CF3E97">
      <w:pPr>
        <w:pStyle w:val="yIndenta"/>
      </w:pPr>
      <w:r>
        <w:tab/>
        <w:t>(a)</w:t>
      </w:r>
      <w:r>
        <w:tab/>
        <w:t>for residential use; and</w:t>
      </w:r>
    </w:p>
    <w:p w:rsidR="00CF3E97" w:rsidRDefault="00CF3E97" w:rsidP="00CF3E97">
      <w:pPr>
        <w:pStyle w:val="yIndenta"/>
      </w:pPr>
      <w:r>
        <w:tab/>
        <w:t>(b)</w:t>
      </w:r>
      <w:r>
        <w:tab/>
        <w:t>if the consumer has elected to be supplied electricity at premises at the MyPower residential tariff (subject to subclause (5)).</w:t>
      </w:r>
    </w:p>
    <w:p w:rsidR="00CF3E97" w:rsidRDefault="00CF3E97" w:rsidP="00CF3E97">
      <w:pPr>
        <w:pStyle w:val="ySubsection"/>
      </w:pPr>
      <w:r>
        <w:tab/>
        <w:t>(2)</w:t>
      </w:r>
      <w:r>
        <w:tab/>
        <w:t xml:space="preserve">Each MyPower residential tariff comprises the following charges — </w:t>
      </w:r>
    </w:p>
    <w:p w:rsidR="00CF3E97" w:rsidRDefault="00CF3E97" w:rsidP="00CF3E97">
      <w:pPr>
        <w:pStyle w:val="yIndenta"/>
      </w:pPr>
      <w:r>
        <w:tab/>
        <w:t>(a)</w:t>
      </w:r>
      <w:r>
        <w:tab/>
        <w:t>a fixed charge at the applicable rate; and</w:t>
      </w:r>
    </w:p>
    <w:p w:rsidR="00CF3E97" w:rsidRDefault="00CF3E97" w:rsidP="00CF3E97">
      <w:pPr>
        <w:pStyle w:val="yIndenta"/>
      </w:pPr>
      <w:r>
        <w:lastRenderedPageBreak/>
        <w:tab/>
        <w:t>(b)</w:t>
      </w:r>
      <w:r>
        <w:tab/>
        <w:t>a charge for metered consumption at the applicable rate.</w:t>
      </w:r>
    </w:p>
    <w:p w:rsidR="00CF3E97" w:rsidRDefault="00CF3E97" w:rsidP="00CF3E97">
      <w:pPr>
        <w:pStyle w:val="ySubsection"/>
      </w:pPr>
      <w:r>
        <w:tab/>
        <w:t>(3)</w:t>
      </w:r>
      <w:r>
        <w:tab/>
        <w:t xml:space="preserve">Each MyPower residential tariff is available subject to the following conditions — </w:t>
      </w:r>
    </w:p>
    <w:p w:rsidR="00CF3E97" w:rsidRDefault="00CF3E97" w:rsidP="00CF3E97">
      <w:pPr>
        <w:pStyle w:val="yIndenta"/>
      </w:pPr>
      <w:r>
        <w:tab/>
        <w:t>(a)</w:t>
      </w:r>
      <w:r>
        <w:tab/>
        <w:t>the consumer must satisfy the eligibility criteria set out in clause 10;</w:t>
      </w:r>
    </w:p>
    <w:p w:rsidR="00CF3E97" w:rsidRDefault="00CF3E97" w:rsidP="00CF3E97">
      <w:pPr>
        <w:pStyle w:val="yIndenta"/>
      </w:pPr>
      <w:r>
        <w:tab/>
        <w:t>(b)</w:t>
      </w:r>
      <w:r>
        <w:tab/>
        <w:t>the consumer must not exceed the applicable peak allowance at the relevant premises on 4 or more peak days in a peak period.</w:t>
      </w:r>
    </w:p>
    <w:p w:rsidR="00CF3E97" w:rsidRDefault="00CF3E97" w:rsidP="00CF3E97">
      <w:pPr>
        <w:pStyle w:val="ySubsection"/>
      </w:pPr>
      <w:r>
        <w:tab/>
        <w:t>(4)</w:t>
      </w:r>
      <w:r>
        <w:tab/>
        <w:t>For each MyPower residential tariff, the applicable rates of the fixed charge and metered consumption charge, and the applicable peak allowance, are to be determined under the Table.</w:t>
      </w:r>
    </w:p>
    <w:p w:rsidR="00CF3E97" w:rsidRDefault="00CF3E97" w:rsidP="00CF3E97">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rsidR="00CF3E97" w:rsidTr="001E63B4">
        <w:trPr>
          <w:cantSplit/>
          <w:tblHeader/>
        </w:trPr>
        <w:tc>
          <w:tcPr>
            <w:tcW w:w="1276" w:type="dxa"/>
          </w:tcPr>
          <w:p w:rsidR="00CF3E97" w:rsidRDefault="00CF3E97" w:rsidP="001E63B4">
            <w:pPr>
              <w:pStyle w:val="yTableNAm"/>
              <w:keepNext/>
              <w:rPr>
                <w:b/>
              </w:rPr>
            </w:pPr>
            <w:r>
              <w:rPr>
                <w:b/>
              </w:rPr>
              <w:t>Tariff name</w:t>
            </w:r>
          </w:p>
        </w:tc>
        <w:tc>
          <w:tcPr>
            <w:tcW w:w="1417" w:type="dxa"/>
          </w:tcPr>
          <w:p w:rsidR="00CF3E97" w:rsidRDefault="00CF3E97" w:rsidP="001E63B4">
            <w:pPr>
              <w:pStyle w:val="yTableNAm"/>
              <w:keepNext/>
              <w:rPr>
                <w:b/>
              </w:rPr>
            </w:pPr>
            <w:r>
              <w:rPr>
                <w:b/>
              </w:rPr>
              <w:t>Rate of fixed charge</w:t>
            </w:r>
          </w:p>
        </w:tc>
        <w:tc>
          <w:tcPr>
            <w:tcW w:w="1560" w:type="dxa"/>
          </w:tcPr>
          <w:p w:rsidR="00CF3E97" w:rsidRDefault="00CF3E97" w:rsidP="001E63B4">
            <w:pPr>
              <w:pStyle w:val="yTableNAm"/>
              <w:keepNext/>
              <w:rPr>
                <w:b/>
              </w:rPr>
            </w:pPr>
            <w:r>
              <w:rPr>
                <w:b/>
              </w:rPr>
              <w:t>Rate of metered consumption charge</w:t>
            </w:r>
          </w:p>
        </w:tc>
        <w:tc>
          <w:tcPr>
            <w:tcW w:w="1275" w:type="dxa"/>
          </w:tcPr>
          <w:p w:rsidR="00CF3E97" w:rsidRDefault="00CF3E97" w:rsidP="001E63B4">
            <w:pPr>
              <w:pStyle w:val="yTableNAm"/>
              <w:keepNext/>
              <w:rPr>
                <w:b/>
              </w:rPr>
            </w:pPr>
            <w:r>
              <w:rPr>
                <w:b/>
              </w:rPr>
              <w:t>Peak allowance</w:t>
            </w:r>
          </w:p>
        </w:tc>
      </w:tr>
      <w:tr w:rsidR="00CF3E97" w:rsidTr="001E63B4">
        <w:trPr>
          <w:cantSplit/>
        </w:trPr>
        <w:tc>
          <w:tcPr>
            <w:tcW w:w="1276" w:type="dxa"/>
          </w:tcPr>
          <w:p w:rsidR="00CF3E97" w:rsidRDefault="00CF3E97" w:rsidP="001E63B4">
            <w:pPr>
              <w:pStyle w:val="yTableNAm"/>
            </w:pPr>
            <w:r>
              <w:t>MyPower residential 1.5 fixed plan price</w:t>
            </w:r>
          </w:p>
        </w:tc>
        <w:tc>
          <w:tcPr>
            <w:tcW w:w="1417" w:type="dxa"/>
          </w:tcPr>
          <w:p w:rsidR="00CF3E97" w:rsidRDefault="00CF3E97" w:rsidP="001E63B4">
            <w:pPr>
              <w:pStyle w:val="yTableNAm"/>
            </w:pPr>
            <w:r>
              <w:t>$1.150013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1.5 units per hour</w:t>
            </w:r>
          </w:p>
        </w:tc>
      </w:tr>
      <w:tr w:rsidR="00CF3E97" w:rsidTr="001E63B4">
        <w:trPr>
          <w:cantSplit/>
        </w:trPr>
        <w:tc>
          <w:tcPr>
            <w:tcW w:w="1276" w:type="dxa"/>
          </w:tcPr>
          <w:p w:rsidR="00CF3E97" w:rsidRDefault="00CF3E97" w:rsidP="001E63B4">
            <w:pPr>
              <w:pStyle w:val="yTableNAm"/>
            </w:pPr>
            <w:r>
              <w:t>MyPower residential 3 fixed plan price</w:t>
            </w:r>
          </w:p>
        </w:tc>
        <w:tc>
          <w:tcPr>
            <w:tcW w:w="1417" w:type="dxa"/>
          </w:tcPr>
          <w:p w:rsidR="00CF3E97" w:rsidRDefault="00CF3E97" w:rsidP="001E63B4">
            <w:pPr>
              <w:pStyle w:val="yTableNAm"/>
            </w:pPr>
            <w:r>
              <w:t>$2.488586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3 units </w:t>
            </w:r>
            <w:r>
              <w:br/>
              <w:t>per hour</w:t>
            </w:r>
          </w:p>
        </w:tc>
      </w:tr>
      <w:tr w:rsidR="00CF3E97" w:rsidTr="001E63B4">
        <w:trPr>
          <w:cantSplit/>
        </w:trPr>
        <w:tc>
          <w:tcPr>
            <w:tcW w:w="1276" w:type="dxa"/>
          </w:tcPr>
          <w:p w:rsidR="00CF3E97" w:rsidRDefault="00CF3E97" w:rsidP="001E63B4">
            <w:pPr>
              <w:pStyle w:val="yTableNAm"/>
            </w:pPr>
            <w:r>
              <w:t>MyPower residential 5 fixed plan price</w:t>
            </w:r>
          </w:p>
        </w:tc>
        <w:tc>
          <w:tcPr>
            <w:tcW w:w="1417" w:type="dxa"/>
          </w:tcPr>
          <w:p w:rsidR="00CF3E97" w:rsidRDefault="00CF3E97" w:rsidP="001E63B4">
            <w:pPr>
              <w:pStyle w:val="yTableNAm"/>
            </w:pPr>
            <w:r>
              <w:t>$5.035744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5 units </w:t>
            </w:r>
            <w:r>
              <w:br/>
              <w:t>per hour</w:t>
            </w:r>
          </w:p>
        </w:tc>
      </w:tr>
      <w:tr w:rsidR="00CF3E97" w:rsidTr="001E63B4">
        <w:trPr>
          <w:cantSplit/>
        </w:trPr>
        <w:tc>
          <w:tcPr>
            <w:tcW w:w="1276" w:type="dxa"/>
          </w:tcPr>
          <w:p w:rsidR="00CF3E97" w:rsidRDefault="00CF3E97" w:rsidP="001E63B4">
            <w:pPr>
              <w:pStyle w:val="yTableNAm"/>
            </w:pPr>
            <w:r>
              <w:t>MyPower residential 7 fixed plan price</w:t>
            </w:r>
          </w:p>
        </w:tc>
        <w:tc>
          <w:tcPr>
            <w:tcW w:w="1417" w:type="dxa"/>
          </w:tcPr>
          <w:p w:rsidR="00CF3E97" w:rsidRDefault="00CF3E97" w:rsidP="001E63B4">
            <w:pPr>
              <w:pStyle w:val="yTableNAm"/>
            </w:pPr>
            <w:r>
              <w:t>$8.294070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7 units </w:t>
            </w:r>
            <w:r>
              <w:br/>
              <w:t>per hour</w:t>
            </w:r>
          </w:p>
        </w:tc>
      </w:tr>
      <w:tr w:rsidR="00CF3E97" w:rsidTr="001E63B4">
        <w:trPr>
          <w:cantSplit/>
        </w:trPr>
        <w:tc>
          <w:tcPr>
            <w:tcW w:w="1276" w:type="dxa"/>
          </w:tcPr>
          <w:p w:rsidR="00CF3E97" w:rsidRDefault="00CF3E97" w:rsidP="001E63B4">
            <w:pPr>
              <w:pStyle w:val="yTableNAm"/>
            </w:pPr>
            <w:r>
              <w:lastRenderedPageBreak/>
              <w:t>MyPower residential 10 fixed plan price</w:t>
            </w:r>
          </w:p>
        </w:tc>
        <w:tc>
          <w:tcPr>
            <w:tcW w:w="1417" w:type="dxa"/>
          </w:tcPr>
          <w:p w:rsidR="00CF3E97" w:rsidRDefault="00CF3E97" w:rsidP="001E63B4">
            <w:pPr>
              <w:pStyle w:val="yTableNAm"/>
            </w:pPr>
            <w:r>
              <w:t>$12.520256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10 units</w:t>
            </w:r>
            <w:r>
              <w:br/>
              <w:t>per hour</w:t>
            </w:r>
          </w:p>
        </w:tc>
      </w:tr>
      <w:tr w:rsidR="00CF3E97" w:rsidTr="001E63B4">
        <w:trPr>
          <w:cantSplit/>
        </w:trPr>
        <w:tc>
          <w:tcPr>
            <w:tcW w:w="1276" w:type="dxa"/>
          </w:tcPr>
          <w:p w:rsidR="00CF3E97" w:rsidRDefault="00CF3E97" w:rsidP="001E63B4">
            <w:pPr>
              <w:pStyle w:val="yTableNAm"/>
            </w:pPr>
            <w:r>
              <w:t>MyPower residential 15 fixed plan price</w:t>
            </w:r>
          </w:p>
        </w:tc>
        <w:tc>
          <w:tcPr>
            <w:tcW w:w="1417" w:type="dxa"/>
          </w:tcPr>
          <w:p w:rsidR="00CF3E97" w:rsidRDefault="00CF3E97" w:rsidP="001E63B4">
            <w:pPr>
              <w:pStyle w:val="yTableNAm"/>
            </w:pPr>
            <w:r>
              <w:t>$25.495296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15 units</w:t>
            </w:r>
            <w:r>
              <w:br/>
              <w:t>per hour</w:t>
            </w:r>
          </w:p>
        </w:tc>
      </w:tr>
    </w:tbl>
    <w:p w:rsidR="00CF3E97" w:rsidRDefault="00CF3E97" w:rsidP="00CF3E97">
      <w:pPr>
        <w:pStyle w:val="ySubsection"/>
      </w:pPr>
      <w:r>
        <w:tab/>
        <w:t>(5)</w:t>
      </w:r>
      <w:r>
        <w:tab/>
        <w:t xml:space="preserve">Without limiting subclause (3)(b), if a consumer to whom electricity is supplied at premises at a MyPower residential tariff (the </w:t>
      </w:r>
      <w:r>
        <w:rPr>
          <w:rStyle w:val="CharDefText"/>
        </w:rPr>
        <w:t>original tariff</w:t>
      </w:r>
      <w:r>
        <w:t xml:space="preserve">) has exceeded the applicable peak allowance for the original tariff at those premises on 4 or more peak days in a peak period — </w:t>
      </w:r>
    </w:p>
    <w:p w:rsidR="00CF3E97" w:rsidRDefault="00CF3E97" w:rsidP="00CF3E97">
      <w:pPr>
        <w:pStyle w:val="yIndenta"/>
      </w:pPr>
      <w:r>
        <w:tab/>
        <w:t>(a)</w:t>
      </w:r>
      <w:r>
        <w:tab/>
        <w:t>on and from the day (</w:t>
      </w:r>
      <w:r w:rsidRPr="00CF3224">
        <w:rPr>
          <w:rStyle w:val="CharDefText"/>
        </w:rPr>
        <w:t>transfer day</w:t>
      </w:r>
      <w:r w:rsidRPr="00CF3224">
        <w:t>)</w:t>
      </w:r>
      <w:r>
        <w:t xml:space="preserve"> after the </w:t>
      </w:r>
      <w:r w:rsidRPr="00CF3224">
        <w:t>4</w:t>
      </w:r>
      <w:r w:rsidRPr="00CF3224">
        <w:rPr>
          <w:vertAlign w:val="superscript"/>
        </w:rPr>
        <w:t>th</w:t>
      </w:r>
      <w:r w:rsidRPr="00CF3224">
        <w:t xml:space="preserve"> </w:t>
      </w:r>
      <w:r>
        <w:t>of those days, the corporation may instead supply electricity to the consumer at the premises at the MyPower residential tariff (if any) that is immediately below the original tariff in the Table to subclause (4</w:t>
      </w:r>
      <w:r w:rsidRPr="00CF3224">
        <w:t>) (</w:t>
      </w:r>
      <w:r>
        <w:t>and the applicable peak allowance is adjusted accordingly); and</w:t>
      </w:r>
    </w:p>
    <w:p w:rsidR="00CF3E97" w:rsidRDefault="00CF3E97" w:rsidP="00CF3E97">
      <w:pPr>
        <w:pStyle w:val="yIndenta"/>
      </w:pPr>
      <w:r>
        <w:tab/>
        <w:t>(b)</w:t>
      </w:r>
      <w:r>
        <w:tab/>
        <w:t>the consumer cannot, in the period of 12 months beginning on transfer day, elect to be supplied electricity at those premises at the original tariff or any other MyPower residential tariff that is above the original tariff in the Table to subclause (4).</w:t>
      </w:r>
    </w:p>
    <w:p w:rsidR="00AF5FFC" w:rsidRDefault="00AF5FFC" w:rsidP="00AF5FFC">
      <w:pPr>
        <w:pStyle w:val="yFootnotesection"/>
      </w:pPr>
      <w:r>
        <w:tab/>
        <w:t>[Clause 8 inserted: SL 2021/110 bl. 4.]</w:t>
      </w:r>
    </w:p>
    <w:p w:rsidR="00CF3E97" w:rsidRDefault="00CF3E97" w:rsidP="00CF3E97">
      <w:pPr>
        <w:pStyle w:val="yHeading5"/>
      </w:pPr>
      <w:bookmarkStart w:id="35" w:name="_Toc75855952"/>
      <w:r>
        <w:t>9.</w:t>
      </w:r>
      <w:r>
        <w:tab/>
        <w:t>MyPower non</w:t>
      </w:r>
      <w:r>
        <w:noBreakHyphen/>
        <w:t>residential tariffs</w:t>
      </w:r>
      <w:bookmarkEnd w:id="35"/>
    </w:p>
    <w:p w:rsidR="00CF3E97" w:rsidRDefault="00CF3E97" w:rsidP="00CF3E97">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rsidR="00CF3E97" w:rsidRDefault="00CF3E97" w:rsidP="00CF3E97">
      <w:pPr>
        <w:pStyle w:val="yIndenta"/>
      </w:pPr>
      <w:r>
        <w:tab/>
        <w:t>(a)</w:t>
      </w:r>
      <w:r>
        <w:tab/>
        <w:t>for non</w:t>
      </w:r>
      <w:r>
        <w:noBreakHyphen/>
        <w:t>residential use; and</w:t>
      </w:r>
    </w:p>
    <w:p w:rsidR="00CF3E97" w:rsidRDefault="00CF3E97" w:rsidP="00CF3E97">
      <w:pPr>
        <w:pStyle w:val="yIndenta"/>
      </w:pPr>
      <w:r>
        <w:tab/>
        <w:t>(b)</w:t>
      </w:r>
      <w:r>
        <w:tab/>
        <w:t>if the consumer has elected to be supplied electricity at premises at the MyPower non</w:t>
      </w:r>
      <w:r>
        <w:noBreakHyphen/>
        <w:t>residential tariff (subject to subclause (5)).</w:t>
      </w:r>
    </w:p>
    <w:p w:rsidR="00CF3E97" w:rsidRDefault="00CF3E97" w:rsidP="00CF3E97">
      <w:pPr>
        <w:pStyle w:val="ySubsection"/>
      </w:pPr>
      <w:r>
        <w:lastRenderedPageBreak/>
        <w:tab/>
        <w:t>(2)</w:t>
      </w:r>
      <w:r>
        <w:tab/>
        <w:t>Each MyPower non</w:t>
      </w:r>
      <w:r>
        <w:noBreakHyphen/>
        <w:t xml:space="preserve">residential tariff comprises the following charges — </w:t>
      </w:r>
    </w:p>
    <w:p w:rsidR="00CF3E97" w:rsidRDefault="00CF3E97" w:rsidP="00CF3E97">
      <w:pPr>
        <w:pStyle w:val="yIndenta"/>
      </w:pPr>
      <w:r>
        <w:tab/>
        <w:t>(a)</w:t>
      </w:r>
      <w:r>
        <w:tab/>
        <w:t>a fixed charge at the applicable rate; and</w:t>
      </w:r>
    </w:p>
    <w:p w:rsidR="00CF3E97" w:rsidRDefault="00CF3E97" w:rsidP="00CF3E97">
      <w:pPr>
        <w:pStyle w:val="yIndenta"/>
      </w:pPr>
      <w:r>
        <w:tab/>
        <w:t>(b)</w:t>
      </w:r>
      <w:r>
        <w:tab/>
        <w:t>a charge for metered consumption at the applicable rate.</w:t>
      </w:r>
    </w:p>
    <w:p w:rsidR="00CF3E97" w:rsidRDefault="00CF3E97" w:rsidP="00CF3E97">
      <w:pPr>
        <w:pStyle w:val="ySubsection"/>
      </w:pPr>
      <w:r>
        <w:tab/>
        <w:t>(3)</w:t>
      </w:r>
      <w:r>
        <w:tab/>
        <w:t>Each MyPower non</w:t>
      </w:r>
      <w:r>
        <w:noBreakHyphen/>
        <w:t xml:space="preserve">residential tariff is available subject to the following conditions — </w:t>
      </w:r>
    </w:p>
    <w:p w:rsidR="00CF3E97" w:rsidRDefault="00CF3E97" w:rsidP="00CF3E97">
      <w:pPr>
        <w:pStyle w:val="yIndenta"/>
      </w:pPr>
      <w:r>
        <w:tab/>
        <w:t>(a)</w:t>
      </w:r>
      <w:r>
        <w:tab/>
        <w:t>the consumer must satisfy the eligibility criteria set out in clause 10;</w:t>
      </w:r>
    </w:p>
    <w:p w:rsidR="00CF3E97" w:rsidRDefault="00CF3E97" w:rsidP="00CF3E97">
      <w:pPr>
        <w:pStyle w:val="yIndenta"/>
      </w:pPr>
      <w:r>
        <w:tab/>
        <w:t>(b)</w:t>
      </w:r>
      <w:r>
        <w:tab/>
        <w:t>the consumer must not exceed the applicable peak allowance at the relevant premises on 4 or more peak days in a peak period.</w:t>
      </w:r>
    </w:p>
    <w:p w:rsidR="00CF3E97" w:rsidRDefault="00CF3E97" w:rsidP="00CF3E97">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rsidR="00CF3E97" w:rsidRDefault="00CF3E97" w:rsidP="00CF3E97">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rsidR="00CF3E97" w:rsidTr="001E63B4">
        <w:trPr>
          <w:cantSplit/>
          <w:tblHeader/>
        </w:trPr>
        <w:tc>
          <w:tcPr>
            <w:tcW w:w="1276" w:type="dxa"/>
          </w:tcPr>
          <w:p w:rsidR="00CF3E97" w:rsidRDefault="00CF3E97" w:rsidP="001E63B4">
            <w:pPr>
              <w:pStyle w:val="yTableNAm"/>
              <w:rPr>
                <w:b/>
              </w:rPr>
            </w:pPr>
            <w:r>
              <w:rPr>
                <w:b/>
              </w:rPr>
              <w:t>Tariff name</w:t>
            </w:r>
          </w:p>
        </w:tc>
        <w:tc>
          <w:tcPr>
            <w:tcW w:w="1417" w:type="dxa"/>
          </w:tcPr>
          <w:p w:rsidR="00CF3E97" w:rsidRDefault="00CF3E97" w:rsidP="001E63B4">
            <w:pPr>
              <w:pStyle w:val="yTableNAm"/>
              <w:rPr>
                <w:b/>
              </w:rPr>
            </w:pPr>
            <w:r>
              <w:rPr>
                <w:b/>
              </w:rPr>
              <w:t>Rate of fixed charge</w:t>
            </w:r>
          </w:p>
        </w:tc>
        <w:tc>
          <w:tcPr>
            <w:tcW w:w="1560" w:type="dxa"/>
          </w:tcPr>
          <w:p w:rsidR="00CF3E97" w:rsidRDefault="00CF3E97" w:rsidP="001E63B4">
            <w:pPr>
              <w:pStyle w:val="yTableNAm"/>
              <w:rPr>
                <w:b/>
              </w:rPr>
            </w:pPr>
            <w:r>
              <w:rPr>
                <w:b/>
              </w:rPr>
              <w:t>Rate of metered consumption charge</w:t>
            </w:r>
          </w:p>
        </w:tc>
        <w:tc>
          <w:tcPr>
            <w:tcW w:w="1275" w:type="dxa"/>
          </w:tcPr>
          <w:p w:rsidR="00CF3E97" w:rsidRDefault="00CF3E97" w:rsidP="001E63B4">
            <w:pPr>
              <w:pStyle w:val="yTableNAm"/>
              <w:rPr>
                <w:b/>
              </w:rPr>
            </w:pPr>
            <w:r>
              <w:rPr>
                <w:b/>
              </w:rPr>
              <w:t>Peak allowance</w:t>
            </w:r>
          </w:p>
        </w:tc>
      </w:tr>
      <w:tr w:rsidR="00CF3E97" w:rsidTr="001E63B4">
        <w:trPr>
          <w:cantSplit/>
        </w:trPr>
        <w:tc>
          <w:tcPr>
            <w:tcW w:w="1276" w:type="dxa"/>
          </w:tcPr>
          <w:p w:rsidR="00CF3E97" w:rsidRDefault="00CF3E97" w:rsidP="001E63B4">
            <w:pPr>
              <w:pStyle w:val="yTableNAm"/>
            </w:pPr>
            <w:r>
              <w:t>MyPower business 3 fixed plan price</w:t>
            </w:r>
          </w:p>
        </w:tc>
        <w:tc>
          <w:tcPr>
            <w:tcW w:w="1417" w:type="dxa"/>
          </w:tcPr>
          <w:p w:rsidR="00CF3E97" w:rsidRDefault="00CF3E97" w:rsidP="001E63B4">
            <w:pPr>
              <w:pStyle w:val="yTableNAm"/>
            </w:pPr>
            <w:r>
              <w:t>$2.798068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3 units </w:t>
            </w:r>
            <w:r>
              <w:br/>
              <w:t>per hour</w:t>
            </w:r>
          </w:p>
        </w:tc>
      </w:tr>
      <w:tr w:rsidR="00CF3E97" w:rsidTr="001E63B4">
        <w:trPr>
          <w:cantSplit/>
        </w:trPr>
        <w:tc>
          <w:tcPr>
            <w:tcW w:w="1276" w:type="dxa"/>
          </w:tcPr>
          <w:p w:rsidR="00CF3E97" w:rsidRDefault="00CF3E97" w:rsidP="001E63B4">
            <w:pPr>
              <w:pStyle w:val="yTableNAm"/>
            </w:pPr>
            <w:r>
              <w:t>MyPower business 5 fixed plan price</w:t>
            </w:r>
          </w:p>
        </w:tc>
        <w:tc>
          <w:tcPr>
            <w:tcW w:w="1417" w:type="dxa"/>
          </w:tcPr>
          <w:p w:rsidR="00CF3E97" w:rsidRDefault="00CF3E97" w:rsidP="001E63B4">
            <w:pPr>
              <w:pStyle w:val="yTableNAm"/>
            </w:pPr>
            <w:r>
              <w:t>$6.578193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5 units </w:t>
            </w:r>
            <w:r>
              <w:br/>
              <w:t>per hour</w:t>
            </w:r>
          </w:p>
        </w:tc>
      </w:tr>
      <w:tr w:rsidR="00CF3E97" w:rsidTr="001E63B4">
        <w:trPr>
          <w:cantSplit/>
        </w:trPr>
        <w:tc>
          <w:tcPr>
            <w:tcW w:w="1276" w:type="dxa"/>
          </w:tcPr>
          <w:p w:rsidR="00CF3E97" w:rsidRDefault="00CF3E97" w:rsidP="001E63B4">
            <w:pPr>
              <w:pStyle w:val="yTableNAm"/>
            </w:pPr>
            <w:r>
              <w:t>MyPower business 7 fixed plan price</w:t>
            </w:r>
          </w:p>
        </w:tc>
        <w:tc>
          <w:tcPr>
            <w:tcW w:w="1417" w:type="dxa"/>
          </w:tcPr>
          <w:p w:rsidR="00CF3E97" w:rsidRDefault="00CF3E97" w:rsidP="001E63B4">
            <w:pPr>
              <w:pStyle w:val="yTableNAm"/>
            </w:pPr>
            <w:r>
              <w:t>$11.742590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 xml:space="preserve">7 units </w:t>
            </w:r>
            <w:r>
              <w:br/>
              <w:t>per hour</w:t>
            </w:r>
          </w:p>
        </w:tc>
      </w:tr>
      <w:tr w:rsidR="00CF3E97" w:rsidTr="001E63B4">
        <w:trPr>
          <w:cantSplit/>
        </w:trPr>
        <w:tc>
          <w:tcPr>
            <w:tcW w:w="1276" w:type="dxa"/>
          </w:tcPr>
          <w:p w:rsidR="00CF3E97" w:rsidRDefault="00CF3E97" w:rsidP="001E63B4">
            <w:pPr>
              <w:pStyle w:val="yTableNAm"/>
            </w:pPr>
            <w:r>
              <w:lastRenderedPageBreak/>
              <w:t>MyPower business 10 fixed plan price</w:t>
            </w:r>
          </w:p>
        </w:tc>
        <w:tc>
          <w:tcPr>
            <w:tcW w:w="1417" w:type="dxa"/>
          </w:tcPr>
          <w:p w:rsidR="00CF3E97" w:rsidRDefault="00CF3E97" w:rsidP="001E63B4">
            <w:pPr>
              <w:pStyle w:val="yTableNAm"/>
            </w:pPr>
            <w:r>
              <w:t>$17.436449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10 units</w:t>
            </w:r>
            <w:r>
              <w:br/>
              <w:t>per hour</w:t>
            </w:r>
          </w:p>
        </w:tc>
      </w:tr>
      <w:tr w:rsidR="00CF3E97" w:rsidTr="001E63B4">
        <w:trPr>
          <w:cantSplit/>
        </w:trPr>
        <w:tc>
          <w:tcPr>
            <w:tcW w:w="1276" w:type="dxa"/>
          </w:tcPr>
          <w:p w:rsidR="00CF3E97" w:rsidRDefault="00CF3E97" w:rsidP="001E63B4">
            <w:pPr>
              <w:pStyle w:val="yTableNAm"/>
            </w:pPr>
            <w:r>
              <w:t>MyPower business 15 fixed plan price</w:t>
            </w:r>
          </w:p>
        </w:tc>
        <w:tc>
          <w:tcPr>
            <w:tcW w:w="1417" w:type="dxa"/>
          </w:tcPr>
          <w:p w:rsidR="00CF3E97" w:rsidRDefault="00CF3E97" w:rsidP="001E63B4">
            <w:pPr>
              <w:pStyle w:val="yTableNAm"/>
            </w:pPr>
            <w:r>
              <w:t>$26.820761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15 units</w:t>
            </w:r>
            <w:r>
              <w:br/>
              <w:t>per hour</w:t>
            </w:r>
          </w:p>
        </w:tc>
      </w:tr>
      <w:tr w:rsidR="00CF3E97" w:rsidTr="001E63B4">
        <w:trPr>
          <w:cantSplit/>
        </w:trPr>
        <w:tc>
          <w:tcPr>
            <w:tcW w:w="1276" w:type="dxa"/>
          </w:tcPr>
          <w:p w:rsidR="00CF3E97" w:rsidRDefault="00CF3E97" w:rsidP="001E63B4">
            <w:pPr>
              <w:pStyle w:val="yTableNAm"/>
            </w:pPr>
            <w:r>
              <w:t>MyPower business 20 fixed plan price</w:t>
            </w:r>
          </w:p>
        </w:tc>
        <w:tc>
          <w:tcPr>
            <w:tcW w:w="1417" w:type="dxa"/>
          </w:tcPr>
          <w:p w:rsidR="00CF3E97" w:rsidRDefault="00CF3E97" w:rsidP="001E63B4">
            <w:pPr>
              <w:pStyle w:val="yTableNAm"/>
            </w:pPr>
            <w:r>
              <w:t>$45.416184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20 units</w:t>
            </w:r>
            <w:r>
              <w:br/>
              <w:t>per hour</w:t>
            </w:r>
          </w:p>
        </w:tc>
      </w:tr>
      <w:tr w:rsidR="00CF3E97" w:rsidTr="001E63B4">
        <w:trPr>
          <w:cantSplit/>
        </w:trPr>
        <w:tc>
          <w:tcPr>
            <w:tcW w:w="1276" w:type="dxa"/>
          </w:tcPr>
          <w:p w:rsidR="00CF3E97" w:rsidRDefault="00CF3E97" w:rsidP="001E63B4">
            <w:pPr>
              <w:pStyle w:val="yTableNAm"/>
            </w:pPr>
            <w:r>
              <w:t>MyPower business 25 fixed plan price</w:t>
            </w:r>
          </w:p>
        </w:tc>
        <w:tc>
          <w:tcPr>
            <w:tcW w:w="1417" w:type="dxa"/>
          </w:tcPr>
          <w:p w:rsidR="00CF3E97" w:rsidRDefault="00CF3E97" w:rsidP="001E63B4">
            <w:pPr>
              <w:pStyle w:val="yTableNAm"/>
            </w:pPr>
            <w:r>
              <w:t>$46.735620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25 units</w:t>
            </w:r>
            <w:r>
              <w:br/>
              <w:t>per hour</w:t>
            </w:r>
          </w:p>
        </w:tc>
      </w:tr>
      <w:tr w:rsidR="00CF3E97" w:rsidTr="001E63B4">
        <w:trPr>
          <w:cantSplit/>
        </w:trPr>
        <w:tc>
          <w:tcPr>
            <w:tcW w:w="1276" w:type="dxa"/>
          </w:tcPr>
          <w:p w:rsidR="00CF3E97" w:rsidRDefault="00CF3E97" w:rsidP="001E63B4">
            <w:pPr>
              <w:pStyle w:val="yTableNAm"/>
            </w:pPr>
            <w:r>
              <w:t>MyPower business 30 fixed plan price</w:t>
            </w:r>
          </w:p>
        </w:tc>
        <w:tc>
          <w:tcPr>
            <w:tcW w:w="1417" w:type="dxa"/>
          </w:tcPr>
          <w:p w:rsidR="00CF3E97" w:rsidRDefault="00CF3E97" w:rsidP="001E63B4">
            <w:pPr>
              <w:pStyle w:val="yTableNAm"/>
            </w:pPr>
            <w:r>
              <w:t>$64.333485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30 units</w:t>
            </w:r>
            <w:r>
              <w:br/>
              <w:t>per hour</w:t>
            </w:r>
          </w:p>
        </w:tc>
      </w:tr>
      <w:tr w:rsidR="00CF3E97" w:rsidTr="001E63B4">
        <w:trPr>
          <w:cantSplit/>
        </w:trPr>
        <w:tc>
          <w:tcPr>
            <w:tcW w:w="1276" w:type="dxa"/>
          </w:tcPr>
          <w:p w:rsidR="00CF3E97" w:rsidRDefault="00CF3E97" w:rsidP="001E63B4">
            <w:pPr>
              <w:pStyle w:val="yTableNAm"/>
            </w:pPr>
            <w:r>
              <w:t>MyPower business 35 fixed plan price</w:t>
            </w:r>
          </w:p>
        </w:tc>
        <w:tc>
          <w:tcPr>
            <w:tcW w:w="1417" w:type="dxa"/>
          </w:tcPr>
          <w:p w:rsidR="00CF3E97" w:rsidRDefault="00CF3E97" w:rsidP="001E63B4">
            <w:pPr>
              <w:pStyle w:val="yTableNAm"/>
            </w:pPr>
            <w:r>
              <w:t>$68.649542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35 units</w:t>
            </w:r>
            <w:r>
              <w:br/>
              <w:t>per hour</w:t>
            </w:r>
          </w:p>
        </w:tc>
      </w:tr>
      <w:tr w:rsidR="00CF3E97" w:rsidTr="001E63B4">
        <w:trPr>
          <w:cantSplit/>
        </w:trPr>
        <w:tc>
          <w:tcPr>
            <w:tcW w:w="1276" w:type="dxa"/>
          </w:tcPr>
          <w:p w:rsidR="00CF3E97" w:rsidRDefault="00CF3E97" w:rsidP="001E63B4">
            <w:pPr>
              <w:pStyle w:val="yTableNAm"/>
            </w:pPr>
            <w:r>
              <w:t>MyPower business 40 fixed plan price</w:t>
            </w:r>
          </w:p>
        </w:tc>
        <w:tc>
          <w:tcPr>
            <w:tcW w:w="1417" w:type="dxa"/>
          </w:tcPr>
          <w:p w:rsidR="00CF3E97" w:rsidRDefault="00CF3E97" w:rsidP="001E63B4">
            <w:pPr>
              <w:pStyle w:val="yTableNAm"/>
            </w:pPr>
            <w:r>
              <w:t>$93.771402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40 units</w:t>
            </w:r>
            <w:r>
              <w:br/>
              <w:t>per hour</w:t>
            </w:r>
          </w:p>
        </w:tc>
      </w:tr>
      <w:tr w:rsidR="00CF3E97" w:rsidTr="001E63B4">
        <w:trPr>
          <w:cantSplit/>
        </w:trPr>
        <w:tc>
          <w:tcPr>
            <w:tcW w:w="1276" w:type="dxa"/>
          </w:tcPr>
          <w:p w:rsidR="00CF3E97" w:rsidRDefault="00CF3E97" w:rsidP="001E63B4">
            <w:pPr>
              <w:pStyle w:val="yTableNAm"/>
            </w:pPr>
            <w:r>
              <w:lastRenderedPageBreak/>
              <w:t>MyPower business 50 fixed plan price</w:t>
            </w:r>
          </w:p>
        </w:tc>
        <w:tc>
          <w:tcPr>
            <w:tcW w:w="1417" w:type="dxa"/>
          </w:tcPr>
          <w:p w:rsidR="00CF3E97" w:rsidRDefault="00CF3E97" w:rsidP="001E63B4">
            <w:pPr>
              <w:pStyle w:val="yTableNAm"/>
            </w:pPr>
            <w:r>
              <w:t>$129.737657 per day</w:t>
            </w:r>
          </w:p>
        </w:tc>
        <w:tc>
          <w:tcPr>
            <w:tcW w:w="1560" w:type="dxa"/>
          </w:tcPr>
          <w:p w:rsidR="00CF3E97" w:rsidRDefault="00CF3E97" w:rsidP="001E63B4">
            <w:pPr>
              <w:pStyle w:val="yTableNAm"/>
            </w:pPr>
            <w:r>
              <w:t>$0.100000</w:t>
            </w:r>
            <w:r>
              <w:br/>
              <w:t>per unit</w:t>
            </w:r>
          </w:p>
        </w:tc>
        <w:tc>
          <w:tcPr>
            <w:tcW w:w="1275" w:type="dxa"/>
          </w:tcPr>
          <w:p w:rsidR="00CF3E97" w:rsidRDefault="00CF3E97" w:rsidP="001E63B4">
            <w:pPr>
              <w:pStyle w:val="yTableNAm"/>
            </w:pPr>
            <w:r>
              <w:t>50 units</w:t>
            </w:r>
            <w:r>
              <w:br/>
              <w:t>per hour</w:t>
            </w:r>
          </w:p>
        </w:tc>
      </w:tr>
    </w:tbl>
    <w:p w:rsidR="00CF3E97" w:rsidRDefault="00CF3E97" w:rsidP="00CF3E97">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xml:space="preserve">) has exceeded the applicable peak allowance for the original tariff at those premises on 4 or more peak days in a peak period — </w:t>
      </w:r>
    </w:p>
    <w:p w:rsidR="00CF3E97" w:rsidRDefault="00CF3E97" w:rsidP="00CF3E97">
      <w:pPr>
        <w:pStyle w:val="yIndenta"/>
      </w:pPr>
      <w:r>
        <w:tab/>
        <w:t>(a)</w:t>
      </w:r>
      <w:r>
        <w:tab/>
        <w:t>on and from the day (</w:t>
      </w:r>
      <w:r w:rsidRPr="00CF3224">
        <w:rPr>
          <w:rStyle w:val="CharDefText"/>
        </w:rPr>
        <w:t>transfer day</w:t>
      </w:r>
      <w:r w:rsidRPr="00CF3224">
        <w:t>)</w:t>
      </w:r>
      <w:r>
        <w:t xml:space="preserve"> after the </w:t>
      </w:r>
      <w:r w:rsidRPr="00CF3224">
        <w:t>4</w:t>
      </w:r>
      <w:r w:rsidRPr="00CF3224">
        <w:rPr>
          <w:vertAlign w:val="superscript"/>
        </w:rPr>
        <w:t>th</w:t>
      </w:r>
      <w:r w:rsidRPr="00CF3224">
        <w:t xml:space="preserve"> </w:t>
      </w:r>
      <w:r>
        <w:t>of those days, the corporation may instead supply electricity to the consumer at the premises at the MyPower non</w:t>
      </w:r>
      <w:r>
        <w:noBreakHyphen/>
        <w:t>residential tariff (if any) that is immediately below the original tariff in the Table to subclause (4</w:t>
      </w:r>
      <w:r w:rsidRPr="00CF3224">
        <w:t>) (</w:t>
      </w:r>
      <w:r>
        <w:t>and the applicable peak allowance is adjusted accordingly); and</w:t>
      </w:r>
    </w:p>
    <w:p w:rsidR="00CF3E97" w:rsidRDefault="00CF3E97" w:rsidP="00CF3E97">
      <w:pPr>
        <w:pStyle w:val="yIndenta"/>
      </w:pPr>
      <w:r>
        <w:tab/>
        <w:t>(b)</w:t>
      </w:r>
      <w:r>
        <w:tab/>
        <w:t>the consumer cannot, in the period of 12 months beginning on transfer day, elect to be supplied electricity at those premises at the original tariff or any other MyPower non</w:t>
      </w:r>
      <w:r>
        <w:noBreakHyphen/>
        <w:t>residential tariff that is above the original tariff in the Table to subclause (4).</w:t>
      </w:r>
    </w:p>
    <w:p w:rsidR="00AF5FFC" w:rsidRDefault="00AF5FFC" w:rsidP="00AF5FFC">
      <w:pPr>
        <w:pStyle w:val="yFootnotesection"/>
      </w:pPr>
      <w:r>
        <w:tab/>
        <w:t>[Clause 9 inserted: SL 2021/110 bl. 4.]</w:t>
      </w:r>
    </w:p>
    <w:p w:rsidR="00CF3E97" w:rsidRDefault="00CF3E97" w:rsidP="00CF3E97">
      <w:pPr>
        <w:pStyle w:val="yHeading5"/>
      </w:pPr>
      <w:bookmarkStart w:id="36" w:name="_Toc75855953"/>
      <w:r>
        <w:t>10.</w:t>
      </w:r>
      <w:r>
        <w:tab/>
        <w:t>Eligibility criteria for MyPower tariffs</w:t>
      </w:r>
      <w:bookmarkEnd w:id="36"/>
    </w:p>
    <w:p w:rsidR="00CF3E97" w:rsidRDefault="00CF3E97" w:rsidP="00CF3E97">
      <w:pPr>
        <w:pStyle w:val="ySubsection"/>
      </w:pPr>
      <w:r>
        <w:tab/>
        <w:t>(1)</w:t>
      </w:r>
      <w:r>
        <w:tab/>
        <w:t>This clause sets out the eligibility criteria that apply to MyPower tariffs for the purposes of clauses 8(3)(a) and 9(3)(a).</w:t>
      </w:r>
    </w:p>
    <w:p w:rsidR="00CF3E97" w:rsidRDefault="00CF3E97" w:rsidP="00CF3E97">
      <w:pPr>
        <w:pStyle w:val="ySubsection"/>
      </w:pPr>
      <w:r>
        <w:tab/>
        <w:t>(2)</w:t>
      </w:r>
      <w:r>
        <w:tab/>
        <w:t xml:space="preserve">The consumer must — </w:t>
      </w:r>
    </w:p>
    <w:p w:rsidR="00CF3E97" w:rsidRDefault="00CF3E97" w:rsidP="00CF3E97">
      <w:pPr>
        <w:pStyle w:val="yIndenta"/>
      </w:pPr>
      <w:r>
        <w:tab/>
        <w:t>(a)</w:t>
      </w:r>
      <w:r>
        <w:tab/>
        <w:t>download and maintain the corporation’s mobile application (as provided by the corporation from time to time) on the consumer’s mobile phone or another device; or</w:t>
      </w:r>
    </w:p>
    <w:p w:rsidR="00CF3E97" w:rsidRDefault="00CF3E97" w:rsidP="00CF3E97">
      <w:pPr>
        <w:pStyle w:val="yIndenta"/>
      </w:pPr>
      <w:r>
        <w:lastRenderedPageBreak/>
        <w:tab/>
        <w:t>(b)</w:t>
      </w:r>
      <w:r>
        <w:tab/>
        <w:t>create and maintain an account on the corporation’s online consumer facility (as provided by the corporation from time to time).</w:t>
      </w:r>
    </w:p>
    <w:p w:rsidR="00CF3E97" w:rsidRDefault="00CF3E97" w:rsidP="00CF3E97">
      <w:pPr>
        <w:pStyle w:val="ySubsection"/>
      </w:pPr>
      <w:r>
        <w:tab/>
        <w:t>(3)</w:t>
      </w:r>
      <w:r>
        <w:tab/>
        <w:t xml:space="preserve">The consumer must agree to receive and remain capable of receiving — </w:t>
      </w:r>
    </w:p>
    <w:p w:rsidR="00CF3E97" w:rsidRDefault="00CF3E97" w:rsidP="00CF3E97">
      <w:pPr>
        <w:pStyle w:val="yIndenta"/>
      </w:pPr>
      <w:r>
        <w:tab/>
        <w:t>(a)</w:t>
      </w:r>
      <w:r>
        <w:tab/>
        <w:t>text message alerts from the corporation at a mobile phone number nominated by the consumer; and</w:t>
      </w:r>
    </w:p>
    <w:p w:rsidR="00CF3E97" w:rsidRDefault="00CF3E97" w:rsidP="00CF3E97">
      <w:pPr>
        <w:pStyle w:val="yIndenta"/>
      </w:pPr>
      <w:r>
        <w:tab/>
        <w:t>(b)</w:t>
      </w:r>
      <w:r>
        <w:tab/>
        <w:t>bills from the corporation at an email address nominated by the consumer.</w:t>
      </w:r>
    </w:p>
    <w:p w:rsidR="00CF3E97" w:rsidRDefault="00CF3E97" w:rsidP="00CF3E97">
      <w:pPr>
        <w:pStyle w:val="ySubsection"/>
      </w:pPr>
      <w:r>
        <w:tab/>
        <w:t>(4)</w:t>
      </w:r>
      <w:r>
        <w:tab/>
        <w:t>The consumer must not, in the 12</w:t>
      </w:r>
      <w:r>
        <w:noBreakHyphen/>
        <w:t xml:space="preserve">month period immediately before electing to be supplied electricity at premises at a MyPower tariff as referred to in clause 8(1)(b) or 9(1)(b), have elected — </w:t>
      </w:r>
    </w:p>
    <w:p w:rsidR="00CF3E97" w:rsidRDefault="00CF3E97" w:rsidP="00CF3E97">
      <w:pPr>
        <w:pStyle w:val="yIndenta"/>
      </w:pPr>
      <w:r>
        <w:tab/>
        <w:t>(a)</w:t>
      </w:r>
      <w:r>
        <w:tab/>
        <w:t>to cease to be charged for the supply of electricity at those premises at a MyPower tariff; and</w:t>
      </w:r>
    </w:p>
    <w:p w:rsidR="00CF3E97" w:rsidRDefault="00CF3E97" w:rsidP="00CF3E97">
      <w:pPr>
        <w:pStyle w:val="yIndenta"/>
      </w:pPr>
      <w:r>
        <w:tab/>
        <w:t>(b)</w:t>
      </w:r>
      <w:r>
        <w:tab/>
        <w:t>instead to be charged for the supply of electricity at those premises at a tariff set out in Division 1.</w:t>
      </w:r>
    </w:p>
    <w:p w:rsidR="003A6A66" w:rsidRDefault="00AF5FFC" w:rsidP="00AF5FFC">
      <w:pPr>
        <w:pStyle w:val="yFootnotesection"/>
      </w:pPr>
      <w:r>
        <w:tab/>
        <w:t>[Clause 1</w:t>
      </w:r>
      <w:r w:rsidR="000F482B">
        <w:t>0</w:t>
      </w:r>
      <w:r>
        <w:t xml:space="preserve"> inserted: SL 2021/110 bl. 4.]</w:t>
      </w:r>
    </w:p>
    <w:p w:rsidR="00CF3E97" w:rsidRDefault="00CF3E97" w:rsidP="00CF3E97">
      <w:pPr>
        <w:pStyle w:val="yScheduleHeading"/>
      </w:pPr>
      <w:bookmarkStart w:id="37" w:name="_Toc75781369"/>
      <w:bookmarkStart w:id="38" w:name="_Toc75781532"/>
      <w:bookmarkStart w:id="39" w:name="_Toc75855919"/>
      <w:bookmarkStart w:id="40" w:name="_Toc75855954"/>
      <w:r w:rsidRPr="00F95696">
        <w:rPr>
          <w:rStyle w:val="CharSchNo"/>
        </w:rPr>
        <w:lastRenderedPageBreak/>
        <w:t>Schedule 2</w:t>
      </w:r>
      <w:r>
        <w:t> — </w:t>
      </w:r>
      <w:r w:rsidRPr="00F95696">
        <w:rPr>
          <w:rStyle w:val="CharSchText"/>
        </w:rPr>
        <w:t>Unmetered supply</w:t>
      </w:r>
      <w:bookmarkEnd w:id="37"/>
      <w:bookmarkEnd w:id="38"/>
      <w:bookmarkEnd w:id="39"/>
      <w:bookmarkEnd w:id="40"/>
    </w:p>
    <w:p w:rsidR="00CF3E97" w:rsidRDefault="00CF3E97" w:rsidP="00CF3E97">
      <w:pPr>
        <w:pStyle w:val="yShoulderClause"/>
      </w:pPr>
      <w:r>
        <w:t>[bl. 4(2) and (3)]</w:t>
      </w:r>
    </w:p>
    <w:p w:rsidR="006A189E" w:rsidRDefault="006A189E" w:rsidP="006A189E">
      <w:pPr>
        <w:pStyle w:val="yFootnoteheading"/>
      </w:pPr>
      <w:r>
        <w:tab/>
        <w:t>[Heading inserted: SL 2021/110 bl. 4.]</w:t>
      </w:r>
    </w:p>
    <w:p w:rsidR="00CF3E97" w:rsidRDefault="00CF3E97" w:rsidP="00CF3E97">
      <w:pPr>
        <w:pStyle w:val="yHeading3"/>
      </w:pPr>
      <w:bookmarkStart w:id="41" w:name="_Toc75781370"/>
      <w:bookmarkStart w:id="42" w:name="_Toc75781533"/>
      <w:bookmarkStart w:id="43" w:name="_Toc75855920"/>
      <w:bookmarkStart w:id="44" w:name="_Toc75855955"/>
      <w:r w:rsidRPr="00F95696">
        <w:rPr>
          <w:rStyle w:val="CharSDivNo"/>
        </w:rPr>
        <w:t>Division 1</w:t>
      </w:r>
      <w:r>
        <w:t> — </w:t>
      </w:r>
      <w:r w:rsidRPr="00F95696">
        <w:rPr>
          <w:rStyle w:val="CharSDivText"/>
        </w:rPr>
        <w:t>Street lighting</w:t>
      </w:r>
      <w:bookmarkEnd w:id="41"/>
      <w:bookmarkEnd w:id="42"/>
      <w:bookmarkEnd w:id="43"/>
      <w:bookmarkEnd w:id="44"/>
    </w:p>
    <w:p w:rsidR="006A189E" w:rsidRDefault="006A189E" w:rsidP="006A189E">
      <w:pPr>
        <w:pStyle w:val="yFootnoteheading"/>
      </w:pPr>
      <w:r>
        <w:tab/>
        <w:t>[Heading inserted: SL 2021/110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rsidR="00CF3E97" w:rsidTr="001E63B4">
        <w:trPr>
          <w:cantSplit/>
          <w:tblHeader/>
        </w:trPr>
        <w:tc>
          <w:tcPr>
            <w:tcW w:w="567" w:type="dxa"/>
            <w:tcBorders>
              <w:top w:val="single" w:sz="4" w:space="0" w:color="auto"/>
              <w:bottom w:val="single" w:sz="4" w:space="0" w:color="auto"/>
            </w:tcBorders>
          </w:tcPr>
          <w:p w:rsidR="00CF3E97" w:rsidRDefault="00CF3E97" w:rsidP="001E63B4">
            <w:pPr>
              <w:pStyle w:val="yTableNAm"/>
            </w:pPr>
            <w:r>
              <w:rPr>
                <w:b/>
                <w:bCs/>
                <w:sz w:val="16"/>
                <w:szCs w:val="16"/>
              </w:rPr>
              <w:t>Item</w:t>
            </w:r>
          </w:p>
        </w:tc>
        <w:tc>
          <w:tcPr>
            <w:tcW w:w="851" w:type="dxa"/>
            <w:gridSpan w:val="2"/>
            <w:tcBorders>
              <w:top w:val="single" w:sz="4" w:space="0" w:color="auto"/>
              <w:bottom w:val="single" w:sz="4" w:space="0" w:color="auto"/>
            </w:tcBorders>
          </w:tcPr>
          <w:p w:rsidR="00CF3E97" w:rsidRDefault="00CF3E97" w:rsidP="001E63B4">
            <w:pPr>
              <w:pStyle w:val="yTableNAm"/>
            </w:pPr>
            <w:r>
              <w:rPr>
                <w:b/>
                <w:bCs/>
                <w:sz w:val="16"/>
                <w:szCs w:val="16"/>
              </w:rPr>
              <w:t>Wattage</w:t>
            </w:r>
          </w:p>
        </w:tc>
        <w:tc>
          <w:tcPr>
            <w:tcW w:w="992" w:type="dxa"/>
            <w:tcBorders>
              <w:top w:val="single" w:sz="4" w:space="0" w:color="auto"/>
              <w:bottom w:val="single" w:sz="4" w:space="0" w:color="auto"/>
            </w:tcBorders>
          </w:tcPr>
          <w:p w:rsidR="00CF3E97" w:rsidRDefault="00CF3E97" w:rsidP="001E63B4">
            <w:pPr>
              <w:pStyle w:val="yTableNAm"/>
            </w:pPr>
            <w:r>
              <w:rPr>
                <w:b/>
                <w:bCs/>
                <w:sz w:val="16"/>
                <w:szCs w:val="16"/>
              </w:rPr>
              <w:t>Type</w:t>
            </w:r>
          </w:p>
        </w:tc>
        <w:tc>
          <w:tcPr>
            <w:tcW w:w="1512" w:type="dxa"/>
            <w:gridSpan w:val="2"/>
            <w:tcBorders>
              <w:top w:val="single" w:sz="4" w:space="0" w:color="auto"/>
              <w:bottom w:val="single" w:sz="4" w:space="0" w:color="auto"/>
            </w:tcBorders>
          </w:tcPr>
          <w:p w:rsidR="00CF3E97" w:rsidRDefault="00CF3E97" w:rsidP="001E63B4">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r>
            <w:r w:rsidRPr="00CF3224">
              <w:rPr>
                <w:b/>
                <w:bCs/>
                <w:spacing w:val="-4"/>
                <w:sz w:val="16"/>
                <w:szCs w:val="16"/>
              </w:rPr>
              <w:t>Cents</w:t>
            </w:r>
            <w:r>
              <w:rPr>
                <w:b/>
                <w:bCs/>
                <w:spacing w:val="-4"/>
                <w:sz w:val="16"/>
                <w:szCs w:val="16"/>
              </w:rPr>
              <w:t xml:space="preserve"> per day</w:t>
            </w:r>
          </w:p>
        </w:tc>
        <w:tc>
          <w:tcPr>
            <w:tcW w:w="1512" w:type="dxa"/>
            <w:tcBorders>
              <w:top w:val="single" w:sz="4" w:space="0" w:color="auto"/>
              <w:bottom w:val="single" w:sz="4" w:space="0" w:color="auto"/>
            </w:tcBorders>
          </w:tcPr>
          <w:p w:rsidR="00CF3E97" w:rsidRDefault="00CF3E97" w:rsidP="001E63B4">
            <w:pPr>
              <w:pStyle w:val="yTableNAm"/>
            </w:pPr>
            <w:r>
              <w:rPr>
                <w:b/>
                <w:bCs/>
                <w:spacing w:val="-8"/>
                <w:sz w:val="16"/>
                <w:szCs w:val="16"/>
              </w:rPr>
              <w:t>1.15</w:t>
            </w:r>
            <w:r w:rsidRPr="00CF3224">
              <w:rPr>
                <w:b/>
                <w:bCs/>
                <w:spacing w:val="-8"/>
                <w:sz w:val="16"/>
                <w:szCs w:val="16"/>
              </w:rPr>
              <w:t xml:space="preserve"> am </w:t>
            </w:r>
            <w:r>
              <w:rPr>
                <w:b/>
                <w:bCs/>
                <w:spacing w:val="-8"/>
                <w:sz w:val="16"/>
                <w:szCs w:val="16"/>
              </w:rPr>
              <w:t>Switch</w:t>
            </w:r>
            <w:r>
              <w:rPr>
                <w:b/>
                <w:bCs/>
                <w:spacing w:val="-8"/>
                <w:sz w:val="16"/>
                <w:szCs w:val="16"/>
              </w:rPr>
              <w:noBreakHyphen/>
              <w:t xml:space="preserve">off </w:t>
            </w:r>
            <w:r w:rsidRPr="00CF3224">
              <w:rPr>
                <w:b/>
                <w:bCs/>
                <w:spacing w:val="-8"/>
                <w:sz w:val="16"/>
                <w:szCs w:val="16"/>
              </w:rPr>
              <w:t>Cents</w:t>
            </w:r>
            <w:r>
              <w:rPr>
                <w:b/>
                <w:bCs/>
                <w:spacing w:val="-8"/>
                <w:sz w:val="16"/>
                <w:szCs w:val="16"/>
              </w:rPr>
              <w:t xml:space="preserve"> per day</w:t>
            </w:r>
          </w:p>
        </w:tc>
        <w:tc>
          <w:tcPr>
            <w:tcW w:w="1370" w:type="dxa"/>
            <w:tcBorders>
              <w:top w:val="single" w:sz="4" w:space="0" w:color="auto"/>
              <w:bottom w:val="single" w:sz="4" w:space="0" w:color="auto"/>
            </w:tcBorders>
          </w:tcPr>
          <w:p w:rsidR="00CF3E97" w:rsidRDefault="00CF3E97" w:rsidP="001E63B4">
            <w:pPr>
              <w:pStyle w:val="yTableNAm"/>
            </w:pPr>
            <w:r>
              <w:rPr>
                <w:b/>
                <w:bCs/>
                <w:spacing w:val="-8"/>
                <w:sz w:val="16"/>
                <w:szCs w:val="16"/>
              </w:rPr>
              <w:t>Dawn Switch</w:t>
            </w:r>
            <w:r>
              <w:rPr>
                <w:b/>
                <w:bCs/>
                <w:spacing w:val="-8"/>
                <w:sz w:val="16"/>
                <w:szCs w:val="16"/>
              </w:rPr>
              <w:noBreakHyphen/>
              <w:t xml:space="preserve">off </w:t>
            </w:r>
            <w:r w:rsidRPr="00CF3224">
              <w:rPr>
                <w:b/>
                <w:bCs/>
                <w:spacing w:val="-8"/>
                <w:sz w:val="16"/>
                <w:szCs w:val="16"/>
              </w:rPr>
              <w:t>Cents</w:t>
            </w:r>
            <w:r>
              <w:rPr>
                <w:b/>
                <w:bCs/>
                <w:spacing w:val="-8"/>
                <w:sz w:val="16"/>
                <w:szCs w:val="16"/>
              </w:rPr>
              <w:t xml:space="preserve"> per day</w:t>
            </w:r>
          </w:p>
        </w:tc>
      </w:tr>
      <w:tr w:rsidR="00CF3E97" w:rsidTr="001E63B4">
        <w:trPr>
          <w:cantSplit/>
        </w:trPr>
        <w:tc>
          <w:tcPr>
            <w:tcW w:w="6804" w:type="dxa"/>
            <w:gridSpan w:val="8"/>
          </w:tcPr>
          <w:p w:rsidR="00CF3E97" w:rsidRPr="00CF3224" w:rsidRDefault="00CF3E97" w:rsidP="001E63B4">
            <w:pPr>
              <w:pStyle w:val="yTableNAm"/>
            </w:pPr>
            <w:r w:rsidRPr="00CF3224">
              <w:rPr>
                <w:b/>
                <w:i/>
                <w:iCs/>
                <w:sz w:val="16"/>
                <w:szCs w:val="16"/>
              </w:rPr>
              <w:t>Street lighting on current offer and for existing services</w:t>
            </w:r>
          </w:p>
        </w:tc>
      </w:tr>
      <w:tr w:rsidR="00CF3E97" w:rsidTr="001E63B4">
        <w:trPr>
          <w:cantSplit/>
        </w:trPr>
        <w:tc>
          <w:tcPr>
            <w:tcW w:w="567" w:type="dxa"/>
          </w:tcPr>
          <w:p w:rsidR="00CF3E97" w:rsidRDefault="00CF3E97" w:rsidP="001E63B4">
            <w:pPr>
              <w:pStyle w:val="yTableNAm"/>
            </w:pPr>
            <w:r>
              <w:rPr>
                <w:sz w:val="16"/>
                <w:szCs w:val="16"/>
              </w:rPr>
              <w:t>Z.01</w:t>
            </w:r>
          </w:p>
        </w:tc>
        <w:tc>
          <w:tcPr>
            <w:tcW w:w="709" w:type="dxa"/>
          </w:tcPr>
          <w:p w:rsidR="00CF3E97" w:rsidRDefault="00CF3E97" w:rsidP="001E63B4">
            <w:pPr>
              <w:pStyle w:val="yTableNAm"/>
            </w:pPr>
            <w:r>
              <w:rPr>
                <w:sz w:val="16"/>
                <w:szCs w:val="16"/>
              </w:rPr>
              <w:t>50</w:t>
            </w:r>
          </w:p>
        </w:tc>
        <w:tc>
          <w:tcPr>
            <w:tcW w:w="1276" w:type="dxa"/>
            <w:gridSpan w:val="3"/>
          </w:tcPr>
          <w:p w:rsidR="00CF3E97" w:rsidRDefault="00CF3E97" w:rsidP="001E63B4">
            <w:pPr>
              <w:pStyle w:val="yTableNAm"/>
            </w:pPr>
            <w:r>
              <w:rPr>
                <w:sz w:val="16"/>
                <w:szCs w:val="16"/>
              </w:rPr>
              <w:t>Mercury vapour</w:t>
            </w:r>
          </w:p>
        </w:tc>
        <w:tc>
          <w:tcPr>
            <w:tcW w:w="1370" w:type="dxa"/>
          </w:tcPr>
          <w:p w:rsidR="00CF3E97" w:rsidRDefault="00CF3E97" w:rsidP="001E63B4">
            <w:pPr>
              <w:pStyle w:val="yTableNAm"/>
              <w:rPr>
                <w:sz w:val="16"/>
                <w:szCs w:val="16"/>
              </w:rPr>
            </w:pPr>
            <w:r>
              <w:rPr>
                <w:sz w:val="16"/>
                <w:szCs w:val="16"/>
              </w:rPr>
              <w:t>52.3309</w:t>
            </w:r>
          </w:p>
        </w:tc>
        <w:tc>
          <w:tcPr>
            <w:tcW w:w="1512" w:type="dxa"/>
          </w:tcPr>
          <w:p w:rsidR="00CF3E97" w:rsidRDefault="00CF3E97" w:rsidP="001E63B4">
            <w:pPr>
              <w:pStyle w:val="yTableNAm"/>
              <w:rPr>
                <w:sz w:val="16"/>
                <w:szCs w:val="16"/>
              </w:rPr>
            </w:pPr>
            <w:r>
              <w:rPr>
                <w:sz w:val="16"/>
                <w:szCs w:val="16"/>
              </w:rPr>
              <w:t>53.3574</w:t>
            </w:r>
          </w:p>
        </w:tc>
        <w:tc>
          <w:tcPr>
            <w:tcW w:w="1370" w:type="dxa"/>
          </w:tcPr>
          <w:p w:rsidR="00CF3E97" w:rsidRDefault="00CF3E97" w:rsidP="001E63B4">
            <w:pPr>
              <w:pStyle w:val="yTableNAm"/>
              <w:rPr>
                <w:sz w:val="16"/>
                <w:szCs w:val="16"/>
              </w:rPr>
            </w:pPr>
            <w:r>
              <w:rPr>
                <w:sz w:val="16"/>
                <w:szCs w:val="16"/>
              </w:rPr>
              <w:t>57.1840</w:t>
            </w:r>
          </w:p>
        </w:tc>
      </w:tr>
      <w:tr w:rsidR="00CF3E97" w:rsidTr="001E63B4">
        <w:trPr>
          <w:cantSplit/>
        </w:trPr>
        <w:tc>
          <w:tcPr>
            <w:tcW w:w="567" w:type="dxa"/>
          </w:tcPr>
          <w:p w:rsidR="00CF3E97" w:rsidRDefault="00CF3E97" w:rsidP="001E63B4">
            <w:pPr>
              <w:pStyle w:val="yTableNAm"/>
            </w:pPr>
            <w:r>
              <w:rPr>
                <w:sz w:val="16"/>
                <w:szCs w:val="16"/>
              </w:rPr>
              <w:t>Z.02</w:t>
            </w:r>
          </w:p>
        </w:tc>
        <w:tc>
          <w:tcPr>
            <w:tcW w:w="709" w:type="dxa"/>
          </w:tcPr>
          <w:p w:rsidR="00CF3E97" w:rsidRDefault="00CF3E97" w:rsidP="001E63B4">
            <w:pPr>
              <w:pStyle w:val="yTableNAm"/>
            </w:pPr>
            <w:r>
              <w:rPr>
                <w:sz w:val="16"/>
                <w:szCs w:val="16"/>
              </w:rPr>
              <w:t>80</w:t>
            </w:r>
          </w:p>
        </w:tc>
        <w:tc>
          <w:tcPr>
            <w:tcW w:w="1276" w:type="dxa"/>
            <w:gridSpan w:val="3"/>
          </w:tcPr>
          <w:p w:rsidR="00CF3E97" w:rsidRDefault="00CF3E97" w:rsidP="001E63B4">
            <w:pPr>
              <w:pStyle w:val="yTableNAm"/>
            </w:pPr>
            <w:r>
              <w:rPr>
                <w:sz w:val="16"/>
                <w:szCs w:val="16"/>
              </w:rPr>
              <w:t>Mercury vapour</w:t>
            </w:r>
          </w:p>
        </w:tc>
        <w:tc>
          <w:tcPr>
            <w:tcW w:w="1370" w:type="dxa"/>
          </w:tcPr>
          <w:p w:rsidR="00CF3E97" w:rsidRDefault="00CF3E97" w:rsidP="001E63B4">
            <w:pPr>
              <w:pStyle w:val="yTableNAm"/>
              <w:rPr>
                <w:sz w:val="16"/>
                <w:szCs w:val="16"/>
              </w:rPr>
            </w:pPr>
            <w:r>
              <w:rPr>
                <w:sz w:val="16"/>
                <w:szCs w:val="16"/>
              </w:rPr>
              <w:t>57.4380</w:t>
            </w:r>
          </w:p>
        </w:tc>
        <w:tc>
          <w:tcPr>
            <w:tcW w:w="1512" w:type="dxa"/>
          </w:tcPr>
          <w:p w:rsidR="00CF3E97" w:rsidRDefault="00CF3E97" w:rsidP="001E63B4">
            <w:pPr>
              <w:pStyle w:val="yTableNAm"/>
              <w:rPr>
                <w:sz w:val="16"/>
                <w:szCs w:val="16"/>
              </w:rPr>
            </w:pPr>
            <w:r>
              <w:rPr>
                <w:sz w:val="16"/>
                <w:szCs w:val="16"/>
              </w:rPr>
              <w:t>58.6768</w:t>
            </w:r>
          </w:p>
        </w:tc>
        <w:tc>
          <w:tcPr>
            <w:tcW w:w="1370" w:type="dxa"/>
          </w:tcPr>
          <w:p w:rsidR="00CF3E97" w:rsidRDefault="00CF3E97" w:rsidP="001E63B4">
            <w:pPr>
              <w:pStyle w:val="yTableNAm"/>
              <w:rPr>
                <w:sz w:val="16"/>
                <w:szCs w:val="16"/>
              </w:rPr>
            </w:pPr>
            <w:r>
              <w:rPr>
                <w:sz w:val="16"/>
                <w:szCs w:val="16"/>
              </w:rPr>
              <w:t>63.7010</w:t>
            </w:r>
          </w:p>
        </w:tc>
      </w:tr>
      <w:tr w:rsidR="00CF3E97" w:rsidTr="001E63B4">
        <w:trPr>
          <w:cantSplit/>
        </w:trPr>
        <w:tc>
          <w:tcPr>
            <w:tcW w:w="567" w:type="dxa"/>
          </w:tcPr>
          <w:p w:rsidR="00CF3E97" w:rsidRDefault="00CF3E97" w:rsidP="001E63B4">
            <w:pPr>
              <w:pStyle w:val="yTableNAm"/>
            </w:pPr>
            <w:r>
              <w:rPr>
                <w:sz w:val="16"/>
                <w:szCs w:val="16"/>
              </w:rPr>
              <w:t>Z.03</w:t>
            </w:r>
          </w:p>
        </w:tc>
        <w:tc>
          <w:tcPr>
            <w:tcW w:w="709" w:type="dxa"/>
          </w:tcPr>
          <w:p w:rsidR="00CF3E97" w:rsidRDefault="00CF3E97" w:rsidP="001E63B4">
            <w:pPr>
              <w:pStyle w:val="yTableNAm"/>
            </w:pPr>
            <w:r>
              <w:rPr>
                <w:sz w:val="16"/>
                <w:szCs w:val="16"/>
              </w:rPr>
              <w:t>125</w:t>
            </w:r>
          </w:p>
        </w:tc>
        <w:tc>
          <w:tcPr>
            <w:tcW w:w="1276" w:type="dxa"/>
            <w:gridSpan w:val="3"/>
          </w:tcPr>
          <w:p w:rsidR="00CF3E97" w:rsidRDefault="00CF3E97" w:rsidP="001E63B4">
            <w:pPr>
              <w:pStyle w:val="yTableNAm"/>
            </w:pPr>
            <w:r>
              <w:rPr>
                <w:sz w:val="16"/>
                <w:szCs w:val="16"/>
              </w:rPr>
              <w:t>Mercury vapour</w:t>
            </w:r>
          </w:p>
        </w:tc>
        <w:tc>
          <w:tcPr>
            <w:tcW w:w="1370" w:type="dxa"/>
          </w:tcPr>
          <w:p w:rsidR="00CF3E97" w:rsidRDefault="00CF3E97" w:rsidP="001E63B4">
            <w:pPr>
              <w:pStyle w:val="yTableNAm"/>
              <w:rPr>
                <w:sz w:val="16"/>
                <w:szCs w:val="16"/>
              </w:rPr>
            </w:pPr>
            <w:r>
              <w:rPr>
                <w:sz w:val="16"/>
                <w:szCs w:val="16"/>
              </w:rPr>
              <w:t>65.0872</w:t>
            </w:r>
          </w:p>
        </w:tc>
        <w:tc>
          <w:tcPr>
            <w:tcW w:w="1512" w:type="dxa"/>
          </w:tcPr>
          <w:p w:rsidR="00CF3E97" w:rsidRDefault="00CF3E97" w:rsidP="001E63B4">
            <w:pPr>
              <w:pStyle w:val="yTableNAm"/>
              <w:rPr>
                <w:sz w:val="16"/>
                <w:szCs w:val="16"/>
              </w:rPr>
            </w:pPr>
            <w:r>
              <w:rPr>
                <w:sz w:val="16"/>
                <w:szCs w:val="16"/>
              </w:rPr>
              <w:t>67.1003</w:t>
            </w:r>
          </w:p>
        </w:tc>
        <w:tc>
          <w:tcPr>
            <w:tcW w:w="1370" w:type="dxa"/>
          </w:tcPr>
          <w:p w:rsidR="00CF3E97" w:rsidRDefault="00CF3E97" w:rsidP="001E63B4">
            <w:pPr>
              <w:pStyle w:val="yTableNAm"/>
              <w:rPr>
                <w:sz w:val="16"/>
                <w:szCs w:val="16"/>
              </w:rPr>
            </w:pPr>
            <w:r>
              <w:rPr>
                <w:sz w:val="16"/>
                <w:szCs w:val="16"/>
              </w:rPr>
              <w:t>74.5895</w:t>
            </w:r>
          </w:p>
        </w:tc>
      </w:tr>
      <w:tr w:rsidR="00CF3E97" w:rsidTr="001E63B4">
        <w:trPr>
          <w:cantSplit/>
        </w:trPr>
        <w:tc>
          <w:tcPr>
            <w:tcW w:w="567" w:type="dxa"/>
          </w:tcPr>
          <w:p w:rsidR="00CF3E97" w:rsidRDefault="00CF3E97" w:rsidP="001E63B4">
            <w:pPr>
              <w:pStyle w:val="yTableNAm"/>
            </w:pPr>
            <w:r>
              <w:rPr>
                <w:sz w:val="16"/>
                <w:szCs w:val="16"/>
              </w:rPr>
              <w:t>Z.07</w:t>
            </w:r>
          </w:p>
        </w:tc>
        <w:tc>
          <w:tcPr>
            <w:tcW w:w="709" w:type="dxa"/>
          </w:tcPr>
          <w:p w:rsidR="00CF3E97" w:rsidRDefault="00CF3E97" w:rsidP="001E63B4">
            <w:pPr>
              <w:pStyle w:val="yTableNAm"/>
            </w:pPr>
            <w:r>
              <w:rPr>
                <w:sz w:val="16"/>
                <w:szCs w:val="16"/>
              </w:rPr>
              <w:t>250</w:t>
            </w:r>
          </w:p>
        </w:tc>
        <w:tc>
          <w:tcPr>
            <w:tcW w:w="1276" w:type="dxa"/>
            <w:gridSpan w:val="3"/>
          </w:tcPr>
          <w:p w:rsidR="00CF3E97" w:rsidRDefault="00CF3E97" w:rsidP="001E63B4">
            <w:pPr>
              <w:pStyle w:val="yTableNAm"/>
            </w:pPr>
            <w:r>
              <w:rPr>
                <w:sz w:val="16"/>
                <w:szCs w:val="16"/>
              </w:rPr>
              <w:t>Mercury vapour</w:t>
            </w:r>
          </w:p>
        </w:tc>
        <w:tc>
          <w:tcPr>
            <w:tcW w:w="1370" w:type="dxa"/>
          </w:tcPr>
          <w:p w:rsidR="00CF3E97" w:rsidRDefault="00CF3E97" w:rsidP="001E63B4">
            <w:pPr>
              <w:pStyle w:val="yTableNAm"/>
              <w:rPr>
                <w:sz w:val="16"/>
                <w:szCs w:val="16"/>
              </w:rPr>
            </w:pPr>
            <w:r>
              <w:rPr>
                <w:sz w:val="16"/>
                <w:szCs w:val="16"/>
              </w:rPr>
              <w:t>77.1635</w:t>
            </w:r>
          </w:p>
        </w:tc>
        <w:tc>
          <w:tcPr>
            <w:tcW w:w="1512" w:type="dxa"/>
          </w:tcPr>
          <w:p w:rsidR="00CF3E97" w:rsidRDefault="00CF3E97" w:rsidP="001E63B4">
            <w:pPr>
              <w:pStyle w:val="yTableNAm"/>
              <w:rPr>
                <w:sz w:val="16"/>
                <w:szCs w:val="16"/>
              </w:rPr>
            </w:pPr>
            <w:r>
              <w:rPr>
                <w:sz w:val="16"/>
                <w:szCs w:val="16"/>
              </w:rPr>
              <w:t>80.8587</w:t>
            </w:r>
          </w:p>
        </w:tc>
        <w:tc>
          <w:tcPr>
            <w:tcW w:w="1370" w:type="dxa"/>
          </w:tcPr>
          <w:p w:rsidR="00CF3E97" w:rsidRDefault="00CF3E97" w:rsidP="001E63B4">
            <w:pPr>
              <w:pStyle w:val="yTableNAm"/>
              <w:rPr>
                <w:sz w:val="16"/>
                <w:szCs w:val="16"/>
              </w:rPr>
            </w:pPr>
            <w:r>
              <w:rPr>
                <w:sz w:val="16"/>
                <w:szCs w:val="16"/>
              </w:rPr>
              <w:t>94.7710</w:t>
            </w:r>
          </w:p>
        </w:tc>
      </w:tr>
      <w:tr w:rsidR="00CF3E97" w:rsidTr="001E63B4">
        <w:trPr>
          <w:cantSplit/>
        </w:trPr>
        <w:tc>
          <w:tcPr>
            <w:tcW w:w="567" w:type="dxa"/>
          </w:tcPr>
          <w:p w:rsidR="00CF3E97" w:rsidRDefault="00CF3E97" w:rsidP="001E63B4">
            <w:pPr>
              <w:pStyle w:val="yTableNAm"/>
            </w:pPr>
            <w:r>
              <w:rPr>
                <w:sz w:val="16"/>
                <w:szCs w:val="16"/>
              </w:rPr>
              <w:t>Z.10</w:t>
            </w:r>
          </w:p>
        </w:tc>
        <w:tc>
          <w:tcPr>
            <w:tcW w:w="709" w:type="dxa"/>
          </w:tcPr>
          <w:p w:rsidR="00CF3E97" w:rsidRDefault="00CF3E97" w:rsidP="001E63B4">
            <w:pPr>
              <w:pStyle w:val="yTableNAm"/>
            </w:pPr>
            <w:r>
              <w:rPr>
                <w:sz w:val="16"/>
                <w:szCs w:val="16"/>
              </w:rPr>
              <w:t>400</w:t>
            </w:r>
          </w:p>
        </w:tc>
        <w:tc>
          <w:tcPr>
            <w:tcW w:w="1276" w:type="dxa"/>
            <w:gridSpan w:val="3"/>
          </w:tcPr>
          <w:p w:rsidR="00CF3E97" w:rsidRDefault="00CF3E97" w:rsidP="001E63B4">
            <w:pPr>
              <w:pStyle w:val="yTableNAm"/>
            </w:pPr>
            <w:r>
              <w:rPr>
                <w:sz w:val="16"/>
                <w:szCs w:val="16"/>
              </w:rPr>
              <w:t>Mercury vapour</w:t>
            </w:r>
          </w:p>
        </w:tc>
        <w:tc>
          <w:tcPr>
            <w:tcW w:w="1370" w:type="dxa"/>
          </w:tcPr>
          <w:p w:rsidR="00CF3E97" w:rsidRDefault="00CF3E97" w:rsidP="001E63B4">
            <w:pPr>
              <w:pStyle w:val="yTableNAm"/>
              <w:rPr>
                <w:sz w:val="16"/>
                <w:szCs w:val="16"/>
              </w:rPr>
            </w:pPr>
            <w:r>
              <w:rPr>
                <w:sz w:val="16"/>
                <w:szCs w:val="16"/>
              </w:rPr>
              <w:t>88.6104</w:t>
            </w:r>
          </w:p>
        </w:tc>
        <w:tc>
          <w:tcPr>
            <w:tcW w:w="1512" w:type="dxa"/>
          </w:tcPr>
          <w:p w:rsidR="00CF3E97" w:rsidRDefault="00CF3E97" w:rsidP="001E63B4">
            <w:pPr>
              <w:pStyle w:val="yTableNAm"/>
              <w:rPr>
                <w:sz w:val="16"/>
                <w:szCs w:val="16"/>
              </w:rPr>
            </w:pPr>
            <w:r>
              <w:rPr>
                <w:sz w:val="16"/>
                <w:szCs w:val="16"/>
              </w:rPr>
              <w:t>92.4422</w:t>
            </w:r>
          </w:p>
        </w:tc>
        <w:tc>
          <w:tcPr>
            <w:tcW w:w="1370" w:type="dxa"/>
          </w:tcPr>
          <w:p w:rsidR="00CF3E97" w:rsidRDefault="00CF3E97" w:rsidP="001E63B4">
            <w:pPr>
              <w:pStyle w:val="yTableNAm"/>
              <w:rPr>
                <w:sz w:val="16"/>
                <w:szCs w:val="16"/>
              </w:rPr>
            </w:pPr>
            <w:r>
              <w:rPr>
                <w:sz w:val="16"/>
                <w:szCs w:val="16"/>
              </w:rPr>
              <w:t>121.0433</w:t>
            </w:r>
          </w:p>
        </w:tc>
      </w:tr>
      <w:tr w:rsidR="00CF3E97" w:rsidTr="001E63B4">
        <w:trPr>
          <w:cantSplit/>
        </w:trPr>
        <w:tc>
          <w:tcPr>
            <w:tcW w:w="567" w:type="dxa"/>
          </w:tcPr>
          <w:p w:rsidR="00CF3E97" w:rsidRDefault="00CF3E97" w:rsidP="001E63B4">
            <w:pPr>
              <w:pStyle w:val="yTableNAm"/>
            </w:pPr>
            <w:r>
              <w:rPr>
                <w:sz w:val="16"/>
                <w:szCs w:val="16"/>
              </w:rPr>
              <w:t>Z.13</w:t>
            </w:r>
          </w:p>
        </w:tc>
        <w:tc>
          <w:tcPr>
            <w:tcW w:w="709" w:type="dxa"/>
          </w:tcPr>
          <w:p w:rsidR="00CF3E97" w:rsidRDefault="00CF3E97" w:rsidP="001E63B4">
            <w:pPr>
              <w:pStyle w:val="yTableNAm"/>
            </w:pPr>
            <w:r>
              <w:rPr>
                <w:sz w:val="16"/>
                <w:szCs w:val="16"/>
              </w:rPr>
              <w:t>150</w:t>
            </w:r>
          </w:p>
        </w:tc>
        <w:tc>
          <w:tcPr>
            <w:tcW w:w="1276" w:type="dxa"/>
            <w:gridSpan w:val="3"/>
          </w:tcPr>
          <w:p w:rsidR="00CF3E97" w:rsidRDefault="00CF3E97" w:rsidP="001E63B4">
            <w:pPr>
              <w:pStyle w:val="yTableNAm"/>
            </w:pPr>
            <w:r>
              <w:rPr>
                <w:sz w:val="16"/>
                <w:szCs w:val="16"/>
              </w:rPr>
              <w:t>High pressure sodium</w:t>
            </w:r>
          </w:p>
        </w:tc>
        <w:tc>
          <w:tcPr>
            <w:tcW w:w="1370" w:type="dxa"/>
          </w:tcPr>
          <w:p w:rsidR="00CF3E97" w:rsidRDefault="00CF3E97" w:rsidP="001E63B4">
            <w:pPr>
              <w:pStyle w:val="yTableNAm"/>
              <w:rPr>
                <w:sz w:val="16"/>
                <w:szCs w:val="16"/>
              </w:rPr>
            </w:pPr>
            <w:r>
              <w:rPr>
                <w:sz w:val="16"/>
                <w:szCs w:val="16"/>
              </w:rPr>
              <w:t>64.9462</w:t>
            </w:r>
          </w:p>
        </w:tc>
        <w:tc>
          <w:tcPr>
            <w:tcW w:w="1512" w:type="dxa"/>
          </w:tcPr>
          <w:p w:rsidR="00CF3E97" w:rsidRDefault="00CF3E97" w:rsidP="001E63B4">
            <w:pPr>
              <w:pStyle w:val="yTableNAm"/>
              <w:rPr>
                <w:sz w:val="16"/>
                <w:szCs w:val="16"/>
              </w:rPr>
            </w:pPr>
            <w:r>
              <w:rPr>
                <w:sz w:val="16"/>
                <w:szCs w:val="16"/>
              </w:rPr>
              <w:t>67.1108</w:t>
            </w:r>
          </w:p>
        </w:tc>
        <w:tc>
          <w:tcPr>
            <w:tcW w:w="1370" w:type="dxa"/>
          </w:tcPr>
          <w:p w:rsidR="00CF3E97" w:rsidRDefault="00CF3E97" w:rsidP="001E63B4">
            <w:pPr>
              <w:pStyle w:val="yTableNAm"/>
              <w:rPr>
                <w:sz w:val="16"/>
                <w:szCs w:val="16"/>
              </w:rPr>
            </w:pPr>
            <w:r>
              <w:rPr>
                <w:sz w:val="16"/>
                <w:szCs w:val="16"/>
              </w:rPr>
              <w:t>76.7520</w:t>
            </w:r>
          </w:p>
        </w:tc>
      </w:tr>
      <w:tr w:rsidR="00CF3E97" w:rsidTr="001E63B4">
        <w:trPr>
          <w:cantSplit/>
        </w:trPr>
        <w:tc>
          <w:tcPr>
            <w:tcW w:w="567" w:type="dxa"/>
          </w:tcPr>
          <w:p w:rsidR="00CF3E97" w:rsidRDefault="00CF3E97" w:rsidP="001E63B4">
            <w:pPr>
              <w:pStyle w:val="yTableNAm"/>
            </w:pPr>
            <w:r>
              <w:rPr>
                <w:sz w:val="16"/>
                <w:szCs w:val="16"/>
              </w:rPr>
              <w:t>Z.15</w:t>
            </w:r>
          </w:p>
        </w:tc>
        <w:tc>
          <w:tcPr>
            <w:tcW w:w="709" w:type="dxa"/>
          </w:tcPr>
          <w:p w:rsidR="00CF3E97" w:rsidRDefault="00CF3E97" w:rsidP="001E63B4">
            <w:pPr>
              <w:pStyle w:val="yTableNAm"/>
            </w:pPr>
            <w:r>
              <w:rPr>
                <w:sz w:val="16"/>
                <w:szCs w:val="16"/>
              </w:rPr>
              <w:t>250</w:t>
            </w:r>
          </w:p>
        </w:tc>
        <w:tc>
          <w:tcPr>
            <w:tcW w:w="1276" w:type="dxa"/>
            <w:gridSpan w:val="3"/>
          </w:tcPr>
          <w:p w:rsidR="00CF3E97" w:rsidRDefault="00CF3E97" w:rsidP="001E63B4">
            <w:pPr>
              <w:pStyle w:val="yTableNAm"/>
            </w:pPr>
            <w:r>
              <w:rPr>
                <w:sz w:val="16"/>
                <w:szCs w:val="16"/>
              </w:rPr>
              <w:t>High pressure sodium</w:t>
            </w:r>
          </w:p>
        </w:tc>
        <w:tc>
          <w:tcPr>
            <w:tcW w:w="1370" w:type="dxa"/>
          </w:tcPr>
          <w:p w:rsidR="00CF3E97" w:rsidRDefault="00CF3E97" w:rsidP="001E63B4">
            <w:pPr>
              <w:pStyle w:val="yTableNAm"/>
              <w:rPr>
                <w:sz w:val="16"/>
                <w:szCs w:val="16"/>
              </w:rPr>
            </w:pPr>
            <w:r>
              <w:rPr>
                <w:sz w:val="16"/>
                <w:szCs w:val="16"/>
              </w:rPr>
              <w:t>79.4121</w:t>
            </w:r>
          </w:p>
        </w:tc>
        <w:tc>
          <w:tcPr>
            <w:tcW w:w="1512" w:type="dxa"/>
          </w:tcPr>
          <w:p w:rsidR="00CF3E97" w:rsidRDefault="00CF3E97" w:rsidP="001E63B4">
            <w:pPr>
              <w:pStyle w:val="yTableNAm"/>
              <w:rPr>
                <w:sz w:val="16"/>
                <w:szCs w:val="16"/>
              </w:rPr>
            </w:pPr>
            <w:r>
              <w:rPr>
                <w:sz w:val="16"/>
                <w:szCs w:val="16"/>
              </w:rPr>
              <w:t>83.4075</w:t>
            </w:r>
          </w:p>
        </w:tc>
        <w:tc>
          <w:tcPr>
            <w:tcW w:w="1370" w:type="dxa"/>
          </w:tcPr>
          <w:p w:rsidR="00CF3E97" w:rsidRDefault="00CF3E97" w:rsidP="001E63B4">
            <w:pPr>
              <w:pStyle w:val="yTableNAm"/>
              <w:rPr>
                <w:sz w:val="16"/>
                <w:szCs w:val="16"/>
              </w:rPr>
            </w:pPr>
            <w:r>
              <w:rPr>
                <w:sz w:val="16"/>
                <w:szCs w:val="16"/>
              </w:rPr>
              <w:t>98.6586</w:t>
            </w:r>
          </w:p>
        </w:tc>
      </w:tr>
      <w:tr w:rsidR="00CF3E97" w:rsidTr="001E63B4">
        <w:trPr>
          <w:cantSplit/>
        </w:trPr>
        <w:tc>
          <w:tcPr>
            <w:tcW w:w="567" w:type="dxa"/>
          </w:tcPr>
          <w:p w:rsidR="00CF3E97" w:rsidRDefault="00CF3E97" w:rsidP="001E63B4">
            <w:pPr>
              <w:pStyle w:val="yTableNAm"/>
            </w:pPr>
            <w:r>
              <w:rPr>
                <w:sz w:val="16"/>
                <w:szCs w:val="16"/>
              </w:rPr>
              <w:t>Z.18</w:t>
            </w:r>
          </w:p>
        </w:tc>
        <w:tc>
          <w:tcPr>
            <w:tcW w:w="709" w:type="dxa"/>
          </w:tcPr>
          <w:p w:rsidR="00CF3E97" w:rsidRDefault="00CF3E97" w:rsidP="001E63B4">
            <w:pPr>
              <w:pStyle w:val="yTableNAm"/>
            </w:pPr>
            <w:r>
              <w:rPr>
                <w:sz w:val="16"/>
                <w:szCs w:val="16"/>
              </w:rPr>
              <w:t>per kW</w:t>
            </w:r>
          </w:p>
        </w:tc>
        <w:tc>
          <w:tcPr>
            <w:tcW w:w="1276" w:type="dxa"/>
            <w:gridSpan w:val="3"/>
          </w:tcPr>
          <w:p w:rsidR="00CF3E97" w:rsidRDefault="00CF3E97" w:rsidP="001E63B4">
            <w:pPr>
              <w:pStyle w:val="yTableNAm"/>
            </w:pPr>
            <w:r>
              <w:rPr>
                <w:sz w:val="16"/>
                <w:szCs w:val="16"/>
              </w:rPr>
              <w:t>Auxiliary lighting in public places</w:t>
            </w:r>
          </w:p>
        </w:tc>
        <w:tc>
          <w:tcPr>
            <w:tcW w:w="1370" w:type="dxa"/>
          </w:tcPr>
          <w:p w:rsidR="00CF3E97" w:rsidRDefault="00CF3E97" w:rsidP="001E63B4">
            <w:pPr>
              <w:pStyle w:val="yTableNAm"/>
              <w:rPr>
                <w:sz w:val="16"/>
                <w:szCs w:val="16"/>
              </w:rPr>
            </w:pPr>
            <w:r>
              <w:rPr>
                <w:sz w:val="16"/>
                <w:szCs w:val="16"/>
              </w:rPr>
              <w:t>Not applicable</w:t>
            </w:r>
          </w:p>
        </w:tc>
        <w:tc>
          <w:tcPr>
            <w:tcW w:w="1512" w:type="dxa"/>
          </w:tcPr>
          <w:p w:rsidR="00CF3E97" w:rsidRDefault="00CF3E97" w:rsidP="001E63B4">
            <w:pPr>
              <w:pStyle w:val="yTableNAm"/>
              <w:rPr>
                <w:sz w:val="16"/>
                <w:szCs w:val="16"/>
              </w:rPr>
            </w:pPr>
            <w:r>
              <w:rPr>
                <w:sz w:val="16"/>
                <w:szCs w:val="16"/>
              </w:rPr>
              <w:t>Not applicable</w:t>
            </w:r>
          </w:p>
        </w:tc>
        <w:tc>
          <w:tcPr>
            <w:tcW w:w="1370" w:type="dxa"/>
          </w:tcPr>
          <w:p w:rsidR="00CF3E97" w:rsidRDefault="00CF3E97" w:rsidP="001E63B4">
            <w:pPr>
              <w:pStyle w:val="yTableNAm"/>
              <w:rPr>
                <w:sz w:val="16"/>
                <w:szCs w:val="16"/>
              </w:rPr>
            </w:pPr>
            <w:r>
              <w:rPr>
                <w:sz w:val="16"/>
                <w:szCs w:val="16"/>
              </w:rPr>
              <w:t>287.6071</w:t>
            </w:r>
          </w:p>
        </w:tc>
      </w:tr>
      <w:tr w:rsidR="00CF3E97" w:rsidTr="001E63B4">
        <w:trPr>
          <w:cantSplit/>
        </w:trPr>
        <w:tc>
          <w:tcPr>
            <w:tcW w:w="567" w:type="dxa"/>
          </w:tcPr>
          <w:p w:rsidR="00CF3E97" w:rsidRDefault="00CF3E97" w:rsidP="001E63B4">
            <w:pPr>
              <w:pStyle w:val="yTableNAm"/>
              <w:rPr>
                <w:sz w:val="16"/>
                <w:szCs w:val="16"/>
              </w:rPr>
            </w:pPr>
            <w:r>
              <w:rPr>
                <w:sz w:val="16"/>
                <w:szCs w:val="16"/>
              </w:rPr>
              <w:t>Z.59</w:t>
            </w:r>
          </w:p>
        </w:tc>
        <w:tc>
          <w:tcPr>
            <w:tcW w:w="709" w:type="dxa"/>
          </w:tcPr>
          <w:p w:rsidR="00CF3E97" w:rsidRDefault="00CF3E97" w:rsidP="001E63B4">
            <w:pPr>
              <w:pStyle w:val="yTableNAm"/>
              <w:rPr>
                <w:sz w:val="16"/>
                <w:szCs w:val="16"/>
              </w:rPr>
            </w:pPr>
            <w:r>
              <w:rPr>
                <w:sz w:val="16"/>
                <w:szCs w:val="16"/>
              </w:rPr>
              <w:t>66</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53.4347</w:t>
            </w:r>
          </w:p>
        </w:tc>
        <w:tc>
          <w:tcPr>
            <w:tcW w:w="1512" w:type="dxa"/>
            <w:vAlign w:val="bottom"/>
          </w:tcPr>
          <w:p w:rsidR="00CF3E97" w:rsidRDefault="00CF3E97" w:rsidP="001E63B4">
            <w:pPr>
              <w:pStyle w:val="yTableNAm"/>
              <w:rPr>
                <w:sz w:val="16"/>
                <w:szCs w:val="16"/>
              </w:rPr>
            </w:pPr>
            <w:r>
              <w:rPr>
                <w:sz w:val="16"/>
                <w:szCs w:val="16"/>
              </w:rPr>
              <w:t>54.4842</w:t>
            </w:r>
          </w:p>
        </w:tc>
        <w:tc>
          <w:tcPr>
            <w:tcW w:w="1370" w:type="dxa"/>
          </w:tcPr>
          <w:p w:rsidR="00CF3E97" w:rsidRDefault="00CF3E97" w:rsidP="001E63B4">
            <w:pPr>
              <w:pStyle w:val="yTableNAm"/>
              <w:rPr>
                <w:sz w:val="16"/>
                <w:szCs w:val="16"/>
              </w:rPr>
            </w:pPr>
            <w:r>
              <w:rPr>
                <w:sz w:val="16"/>
                <w:szCs w:val="16"/>
              </w:rPr>
              <w:t>57.7749</w:t>
            </w:r>
          </w:p>
        </w:tc>
      </w:tr>
      <w:tr w:rsidR="00CF3E97" w:rsidTr="001E63B4">
        <w:trPr>
          <w:cantSplit/>
        </w:trPr>
        <w:tc>
          <w:tcPr>
            <w:tcW w:w="567" w:type="dxa"/>
          </w:tcPr>
          <w:p w:rsidR="00CF3E97" w:rsidRDefault="00CF3E97" w:rsidP="001E63B4">
            <w:pPr>
              <w:pStyle w:val="yTableNAm"/>
              <w:rPr>
                <w:sz w:val="16"/>
                <w:szCs w:val="16"/>
              </w:rPr>
            </w:pPr>
            <w:r>
              <w:rPr>
                <w:sz w:val="16"/>
                <w:szCs w:val="16"/>
              </w:rPr>
              <w:t>Z.60</w:t>
            </w:r>
          </w:p>
        </w:tc>
        <w:tc>
          <w:tcPr>
            <w:tcW w:w="709" w:type="dxa"/>
          </w:tcPr>
          <w:p w:rsidR="00CF3E97" w:rsidRDefault="00CF3E97" w:rsidP="001E63B4">
            <w:pPr>
              <w:pStyle w:val="yTableNAm"/>
              <w:rPr>
                <w:sz w:val="16"/>
                <w:szCs w:val="16"/>
              </w:rPr>
            </w:pPr>
            <w:r>
              <w:rPr>
                <w:sz w:val="16"/>
                <w:szCs w:val="16"/>
              </w:rPr>
              <w:t>132</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65.1331</w:t>
            </w:r>
          </w:p>
        </w:tc>
        <w:tc>
          <w:tcPr>
            <w:tcW w:w="1512" w:type="dxa"/>
            <w:vAlign w:val="bottom"/>
          </w:tcPr>
          <w:p w:rsidR="00CF3E97" w:rsidRDefault="00CF3E97" w:rsidP="001E63B4">
            <w:pPr>
              <w:pStyle w:val="yTableNAm"/>
              <w:rPr>
                <w:sz w:val="16"/>
                <w:szCs w:val="16"/>
              </w:rPr>
            </w:pPr>
            <w:r>
              <w:rPr>
                <w:sz w:val="16"/>
                <w:szCs w:val="16"/>
              </w:rPr>
              <w:t>67.7871</w:t>
            </w:r>
          </w:p>
        </w:tc>
        <w:tc>
          <w:tcPr>
            <w:tcW w:w="1370" w:type="dxa"/>
          </w:tcPr>
          <w:p w:rsidR="00CF3E97" w:rsidRDefault="00CF3E97" w:rsidP="001E63B4">
            <w:pPr>
              <w:pStyle w:val="yTableNAm"/>
              <w:rPr>
                <w:sz w:val="16"/>
                <w:szCs w:val="16"/>
              </w:rPr>
            </w:pPr>
            <w:r>
              <w:rPr>
                <w:sz w:val="16"/>
                <w:szCs w:val="16"/>
              </w:rPr>
              <w:t>79.2499</w:t>
            </w:r>
          </w:p>
        </w:tc>
      </w:tr>
      <w:tr w:rsidR="00CF3E97" w:rsidTr="001E63B4">
        <w:trPr>
          <w:cantSplit/>
        </w:trPr>
        <w:tc>
          <w:tcPr>
            <w:tcW w:w="567" w:type="dxa"/>
          </w:tcPr>
          <w:p w:rsidR="00CF3E97" w:rsidRDefault="00CF3E97" w:rsidP="001E63B4">
            <w:pPr>
              <w:pStyle w:val="yTableNAm"/>
              <w:rPr>
                <w:sz w:val="16"/>
                <w:szCs w:val="16"/>
              </w:rPr>
            </w:pPr>
            <w:r>
              <w:rPr>
                <w:sz w:val="16"/>
                <w:szCs w:val="16"/>
              </w:rPr>
              <w:t>Z.61</w:t>
            </w:r>
          </w:p>
        </w:tc>
        <w:tc>
          <w:tcPr>
            <w:tcW w:w="709" w:type="dxa"/>
          </w:tcPr>
          <w:p w:rsidR="00CF3E97" w:rsidRDefault="00CF3E97" w:rsidP="001E63B4">
            <w:pPr>
              <w:pStyle w:val="yTableNAm"/>
              <w:rPr>
                <w:sz w:val="16"/>
                <w:szCs w:val="16"/>
              </w:rPr>
            </w:pPr>
            <w:r>
              <w:rPr>
                <w:sz w:val="16"/>
                <w:szCs w:val="16"/>
              </w:rPr>
              <w:t>198</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67.2581</w:t>
            </w:r>
          </w:p>
        </w:tc>
        <w:tc>
          <w:tcPr>
            <w:tcW w:w="1512" w:type="dxa"/>
            <w:vAlign w:val="bottom"/>
          </w:tcPr>
          <w:p w:rsidR="00CF3E97" w:rsidRDefault="00CF3E97" w:rsidP="001E63B4">
            <w:pPr>
              <w:pStyle w:val="yTableNAm"/>
              <w:rPr>
                <w:sz w:val="16"/>
                <w:szCs w:val="16"/>
              </w:rPr>
            </w:pPr>
            <w:r>
              <w:rPr>
                <w:sz w:val="16"/>
                <w:szCs w:val="16"/>
              </w:rPr>
              <w:t>70.7088</w:t>
            </w:r>
          </w:p>
        </w:tc>
        <w:tc>
          <w:tcPr>
            <w:tcW w:w="1370" w:type="dxa"/>
          </w:tcPr>
          <w:p w:rsidR="00CF3E97" w:rsidRDefault="00CF3E97" w:rsidP="001E63B4">
            <w:pPr>
              <w:pStyle w:val="yTableNAm"/>
              <w:rPr>
                <w:sz w:val="16"/>
                <w:szCs w:val="16"/>
              </w:rPr>
            </w:pPr>
            <w:r>
              <w:rPr>
                <w:sz w:val="16"/>
                <w:szCs w:val="16"/>
              </w:rPr>
              <w:t>85.6240</w:t>
            </w:r>
          </w:p>
        </w:tc>
      </w:tr>
      <w:tr w:rsidR="00CF3E97" w:rsidTr="001E63B4">
        <w:trPr>
          <w:cantSplit/>
        </w:trPr>
        <w:tc>
          <w:tcPr>
            <w:tcW w:w="567" w:type="dxa"/>
          </w:tcPr>
          <w:p w:rsidR="00CF3E97" w:rsidRDefault="00CF3E97" w:rsidP="001E63B4">
            <w:pPr>
              <w:pStyle w:val="yTableNAm"/>
              <w:rPr>
                <w:sz w:val="16"/>
                <w:szCs w:val="16"/>
              </w:rPr>
            </w:pPr>
            <w:r>
              <w:rPr>
                <w:sz w:val="16"/>
                <w:szCs w:val="16"/>
              </w:rPr>
              <w:t>Z.62</w:t>
            </w:r>
          </w:p>
        </w:tc>
        <w:tc>
          <w:tcPr>
            <w:tcW w:w="709" w:type="dxa"/>
          </w:tcPr>
          <w:p w:rsidR="00CF3E97" w:rsidRDefault="00CF3E97" w:rsidP="001E63B4">
            <w:pPr>
              <w:pStyle w:val="yTableNAm"/>
              <w:rPr>
                <w:sz w:val="16"/>
                <w:szCs w:val="16"/>
              </w:rPr>
            </w:pPr>
            <w:r>
              <w:rPr>
                <w:sz w:val="16"/>
                <w:szCs w:val="16"/>
              </w:rPr>
              <w:t>25</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50.9732</w:t>
            </w:r>
          </w:p>
        </w:tc>
        <w:tc>
          <w:tcPr>
            <w:tcW w:w="1512" w:type="dxa"/>
            <w:vAlign w:val="bottom"/>
          </w:tcPr>
          <w:p w:rsidR="00CF3E97" w:rsidRDefault="00CF3E97" w:rsidP="001E63B4">
            <w:pPr>
              <w:pStyle w:val="yTableNAm"/>
              <w:rPr>
                <w:sz w:val="16"/>
                <w:szCs w:val="16"/>
              </w:rPr>
            </w:pPr>
            <w:r>
              <w:rPr>
                <w:sz w:val="16"/>
                <w:szCs w:val="16"/>
              </w:rPr>
              <w:t>51.4304</w:t>
            </w:r>
          </w:p>
        </w:tc>
        <w:tc>
          <w:tcPr>
            <w:tcW w:w="1370" w:type="dxa"/>
          </w:tcPr>
          <w:p w:rsidR="00CF3E97" w:rsidRDefault="00CF3E97" w:rsidP="001E63B4">
            <w:pPr>
              <w:pStyle w:val="yTableNAm"/>
              <w:rPr>
                <w:sz w:val="16"/>
                <w:szCs w:val="16"/>
              </w:rPr>
            </w:pPr>
            <w:r>
              <w:rPr>
                <w:sz w:val="16"/>
                <w:szCs w:val="16"/>
              </w:rPr>
              <w:t>52.4750</w:t>
            </w:r>
          </w:p>
        </w:tc>
      </w:tr>
      <w:tr w:rsidR="00CF3E97" w:rsidTr="001E63B4">
        <w:trPr>
          <w:cantSplit/>
        </w:trPr>
        <w:tc>
          <w:tcPr>
            <w:tcW w:w="567" w:type="dxa"/>
          </w:tcPr>
          <w:p w:rsidR="00CF3E97" w:rsidRDefault="00CF3E97" w:rsidP="001E63B4">
            <w:pPr>
              <w:pStyle w:val="yTableNAm"/>
              <w:rPr>
                <w:sz w:val="16"/>
                <w:szCs w:val="16"/>
              </w:rPr>
            </w:pPr>
            <w:r>
              <w:rPr>
                <w:sz w:val="16"/>
                <w:szCs w:val="16"/>
              </w:rPr>
              <w:t>Z.63</w:t>
            </w:r>
          </w:p>
        </w:tc>
        <w:tc>
          <w:tcPr>
            <w:tcW w:w="709" w:type="dxa"/>
          </w:tcPr>
          <w:p w:rsidR="00CF3E97" w:rsidRDefault="00CF3E97" w:rsidP="001E63B4">
            <w:pPr>
              <w:pStyle w:val="yTableNAm"/>
              <w:rPr>
                <w:sz w:val="16"/>
                <w:szCs w:val="16"/>
              </w:rPr>
            </w:pPr>
            <w:r>
              <w:rPr>
                <w:sz w:val="16"/>
                <w:szCs w:val="16"/>
              </w:rPr>
              <w:t>120</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60.7436</w:t>
            </w:r>
          </w:p>
        </w:tc>
        <w:tc>
          <w:tcPr>
            <w:tcW w:w="1512" w:type="dxa"/>
            <w:vAlign w:val="bottom"/>
          </w:tcPr>
          <w:p w:rsidR="00CF3E97" w:rsidRDefault="00CF3E97" w:rsidP="001E63B4">
            <w:pPr>
              <w:pStyle w:val="yTableNAm"/>
              <w:rPr>
                <w:sz w:val="16"/>
                <w:szCs w:val="16"/>
              </w:rPr>
            </w:pPr>
            <w:r>
              <w:rPr>
                <w:sz w:val="16"/>
                <w:szCs w:val="16"/>
              </w:rPr>
              <w:t>62.3703</w:t>
            </w:r>
          </w:p>
        </w:tc>
        <w:tc>
          <w:tcPr>
            <w:tcW w:w="1370" w:type="dxa"/>
          </w:tcPr>
          <w:p w:rsidR="00CF3E97" w:rsidRDefault="00CF3E97" w:rsidP="001E63B4">
            <w:pPr>
              <w:pStyle w:val="yTableNAm"/>
              <w:rPr>
                <w:sz w:val="16"/>
                <w:szCs w:val="16"/>
              </w:rPr>
            </w:pPr>
            <w:r>
              <w:rPr>
                <w:sz w:val="16"/>
                <w:szCs w:val="16"/>
              </w:rPr>
              <w:t>69.6843</w:t>
            </w:r>
          </w:p>
        </w:tc>
      </w:tr>
      <w:tr w:rsidR="00CF3E97" w:rsidTr="001E63B4">
        <w:trPr>
          <w:cantSplit/>
        </w:trPr>
        <w:tc>
          <w:tcPr>
            <w:tcW w:w="567" w:type="dxa"/>
          </w:tcPr>
          <w:p w:rsidR="00CF3E97" w:rsidRDefault="00CF3E97" w:rsidP="001E63B4">
            <w:pPr>
              <w:pStyle w:val="yTableNAm"/>
              <w:rPr>
                <w:sz w:val="16"/>
                <w:szCs w:val="16"/>
              </w:rPr>
            </w:pPr>
            <w:r>
              <w:rPr>
                <w:sz w:val="16"/>
                <w:szCs w:val="16"/>
              </w:rPr>
              <w:t>Z.64</w:t>
            </w:r>
          </w:p>
        </w:tc>
        <w:tc>
          <w:tcPr>
            <w:tcW w:w="709" w:type="dxa"/>
          </w:tcPr>
          <w:p w:rsidR="00CF3E97" w:rsidRDefault="00CF3E97" w:rsidP="001E63B4">
            <w:pPr>
              <w:pStyle w:val="yTableNAm"/>
              <w:rPr>
                <w:sz w:val="16"/>
                <w:szCs w:val="16"/>
              </w:rPr>
            </w:pPr>
            <w:r>
              <w:rPr>
                <w:sz w:val="16"/>
                <w:szCs w:val="16"/>
              </w:rPr>
              <w:t>180</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67.1248</w:t>
            </w:r>
          </w:p>
        </w:tc>
        <w:tc>
          <w:tcPr>
            <w:tcW w:w="1512" w:type="dxa"/>
            <w:vAlign w:val="bottom"/>
          </w:tcPr>
          <w:p w:rsidR="00CF3E97" w:rsidRDefault="00CF3E97" w:rsidP="001E63B4">
            <w:pPr>
              <w:pStyle w:val="yTableNAm"/>
              <w:rPr>
                <w:sz w:val="16"/>
                <w:szCs w:val="16"/>
              </w:rPr>
            </w:pPr>
            <w:r>
              <w:rPr>
                <w:sz w:val="16"/>
                <w:szCs w:val="16"/>
              </w:rPr>
              <w:t>70.5419</w:t>
            </w:r>
          </w:p>
        </w:tc>
        <w:tc>
          <w:tcPr>
            <w:tcW w:w="1370" w:type="dxa"/>
          </w:tcPr>
          <w:p w:rsidR="00CF3E97" w:rsidRDefault="00CF3E97" w:rsidP="001E63B4">
            <w:pPr>
              <w:pStyle w:val="yTableNAm"/>
              <w:rPr>
                <w:sz w:val="16"/>
                <w:szCs w:val="16"/>
              </w:rPr>
            </w:pPr>
            <w:r>
              <w:rPr>
                <w:sz w:val="16"/>
                <w:szCs w:val="16"/>
              </w:rPr>
              <w:t>85.3138</w:t>
            </w:r>
          </w:p>
        </w:tc>
      </w:tr>
      <w:tr w:rsidR="00CF3E97" w:rsidTr="001E63B4">
        <w:trPr>
          <w:cantSplit/>
        </w:trPr>
        <w:tc>
          <w:tcPr>
            <w:tcW w:w="567" w:type="dxa"/>
          </w:tcPr>
          <w:p w:rsidR="00CF3E97" w:rsidRDefault="00CF3E97" w:rsidP="001E63B4">
            <w:pPr>
              <w:pStyle w:val="yTableNAm"/>
              <w:rPr>
                <w:sz w:val="16"/>
                <w:szCs w:val="16"/>
              </w:rPr>
            </w:pPr>
            <w:r>
              <w:rPr>
                <w:sz w:val="16"/>
                <w:szCs w:val="16"/>
              </w:rPr>
              <w:t>Z.65</w:t>
            </w:r>
          </w:p>
        </w:tc>
        <w:tc>
          <w:tcPr>
            <w:tcW w:w="709" w:type="dxa"/>
          </w:tcPr>
          <w:p w:rsidR="00CF3E97" w:rsidRDefault="00CF3E97" w:rsidP="001E63B4">
            <w:pPr>
              <w:pStyle w:val="yTableNAm"/>
              <w:rPr>
                <w:sz w:val="16"/>
                <w:szCs w:val="16"/>
              </w:rPr>
            </w:pPr>
            <w:r>
              <w:rPr>
                <w:sz w:val="16"/>
                <w:szCs w:val="16"/>
              </w:rPr>
              <w:t>18</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50.0429</w:t>
            </w:r>
          </w:p>
        </w:tc>
        <w:tc>
          <w:tcPr>
            <w:tcW w:w="1512" w:type="dxa"/>
            <w:vAlign w:val="bottom"/>
          </w:tcPr>
          <w:p w:rsidR="00CF3E97" w:rsidRDefault="00CF3E97" w:rsidP="001E63B4">
            <w:pPr>
              <w:pStyle w:val="yTableNAm"/>
              <w:rPr>
                <w:sz w:val="16"/>
                <w:szCs w:val="16"/>
              </w:rPr>
            </w:pPr>
            <w:r>
              <w:rPr>
                <w:sz w:val="16"/>
                <w:szCs w:val="16"/>
              </w:rPr>
              <w:t>50.2888</w:t>
            </w:r>
          </w:p>
        </w:tc>
        <w:tc>
          <w:tcPr>
            <w:tcW w:w="1370" w:type="dxa"/>
          </w:tcPr>
          <w:p w:rsidR="00CF3E97" w:rsidRDefault="00CF3E97" w:rsidP="001E63B4">
            <w:pPr>
              <w:pStyle w:val="yTableNAm"/>
              <w:rPr>
                <w:sz w:val="16"/>
                <w:szCs w:val="16"/>
              </w:rPr>
            </w:pPr>
            <w:r>
              <w:rPr>
                <w:sz w:val="16"/>
                <w:szCs w:val="16"/>
              </w:rPr>
              <w:t>50.5532</w:t>
            </w:r>
          </w:p>
        </w:tc>
      </w:tr>
      <w:tr w:rsidR="00CF3E97" w:rsidTr="001E63B4">
        <w:trPr>
          <w:cantSplit/>
        </w:trPr>
        <w:tc>
          <w:tcPr>
            <w:tcW w:w="567" w:type="dxa"/>
          </w:tcPr>
          <w:p w:rsidR="00CF3E97" w:rsidRDefault="00CF3E97" w:rsidP="001E63B4">
            <w:pPr>
              <w:pStyle w:val="yTableNAm"/>
              <w:rPr>
                <w:sz w:val="16"/>
                <w:szCs w:val="16"/>
              </w:rPr>
            </w:pPr>
            <w:r>
              <w:rPr>
                <w:sz w:val="16"/>
                <w:szCs w:val="16"/>
              </w:rPr>
              <w:t>Z.66</w:t>
            </w:r>
          </w:p>
        </w:tc>
        <w:tc>
          <w:tcPr>
            <w:tcW w:w="709" w:type="dxa"/>
          </w:tcPr>
          <w:p w:rsidR="00CF3E97" w:rsidRDefault="00CF3E97" w:rsidP="001E63B4">
            <w:pPr>
              <w:pStyle w:val="yTableNAm"/>
              <w:rPr>
                <w:sz w:val="16"/>
                <w:szCs w:val="16"/>
              </w:rPr>
            </w:pPr>
            <w:r>
              <w:rPr>
                <w:sz w:val="16"/>
                <w:szCs w:val="16"/>
              </w:rPr>
              <w:t>20</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50.1958</w:t>
            </w:r>
          </w:p>
        </w:tc>
        <w:tc>
          <w:tcPr>
            <w:tcW w:w="1512" w:type="dxa"/>
            <w:vAlign w:val="bottom"/>
          </w:tcPr>
          <w:p w:rsidR="00CF3E97" w:rsidRDefault="00CF3E97" w:rsidP="001E63B4">
            <w:pPr>
              <w:pStyle w:val="yTableNAm"/>
              <w:rPr>
                <w:sz w:val="16"/>
                <w:szCs w:val="16"/>
              </w:rPr>
            </w:pPr>
            <w:r>
              <w:rPr>
                <w:sz w:val="16"/>
                <w:szCs w:val="16"/>
              </w:rPr>
              <w:t>50.4765</w:t>
            </w:r>
          </w:p>
        </w:tc>
        <w:tc>
          <w:tcPr>
            <w:tcW w:w="1370" w:type="dxa"/>
          </w:tcPr>
          <w:p w:rsidR="00CF3E97" w:rsidRDefault="00CF3E97" w:rsidP="001E63B4">
            <w:pPr>
              <w:pStyle w:val="yTableNAm"/>
              <w:rPr>
                <w:sz w:val="16"/>
                <w:szCs w:val="16"/>
              </w:rPr>
            </w:pPr>
            <w:r>
              <w:rPr>
                <w:sz w:val="16"/>
                <w:szCs w:val="16"/>
              </w:rPr>
              <w:t>50.8691</w:t>
            </w:r>
          </w:p>
        </w:tc>
      </w:tr>
      <w:tr w:rsidR="00CF3E97" w:rsidTr="001E63B4">
        <w:trPr>
          <w:cantSplit/>
        </w:trPr>
        <w:tc>
          <w:tcPr>
            <w:tcW w:w="567" w:type="dxa"/>
          </w:tcPr>
          <w:p w:rsidR="00CF3E97" w:rsidRDefault="00CF3E97" w:rsidP="001E63B4">
            <w:pPr>
              <w:pStyle w:val="yTableNAm"/>
              <w:rPr>
                <w:sz w:val="16"/>
                <w:szCs w:val="16"/>
              </w:rPr>
            </w:pPr>
            <w:r>
              <w:rPr>
                <w:sz w:val="16"/>
                <w:szCs w:val="16"/>
              </w:rPr>
              <w:t>Z.67</w:t>
            </w:r>
          </w:p>
        </w:tc>
        <w:tc>
          <w:tcPr>
            <w:tcW w:w="709" w:type="dxa"/>
          </w:tcPr>
          <w:p w:rsidR="00CF3E97" w:rsidRDefault="00CF3E97" w:rsidP="001E63B4">
            <w:pPr>
              <w:pStyle w:val="yTableNAm"/>
              <w:rPr>
                <w:sz w:val="16"/>
                <w:szCs w:val="16"/>
              </w:rPr>
            </w:pPr>
            <w:r>
              <w:rPr>
                <w:sz w:val="16"/>
                <w:szCs w:val="16"/>
              </w:rPr>
              <w:t>53</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52.9493</w:t>
            </w:r>
          </w:p>
        </w:tc>
        <w:tc>
          <w:tcPr>
            <w:tcW w:w="1512" w:type="dxa"/>
            <w:vAlign w:val="bottom"/>
          </w:tcPr>
          <w:p w:rsidR="00CF3E97" w:rsidRDefault="00CF3E97" w:rsidP="001E63B4">
            <w:pPr>
              <w:pStyle w:val="yTableNAm"/>
              <w:rPr>
                <w:sz w:val="16"/>
                <w:szCs w:val="16"/>
              </w:rPr>
            </w:pPr>
            <w:r>
              <w:rPr>
                <w:sz w:val="16"/>
                <w:szCs w:val="16"/>
              </w:rPr>
              <w:t>53.8845</w:t>
            </w:r>
          </w:p>
        </w:tc>
        <w:tc>
          <w:tcPr>
            <w:tcW w:w="1370" w:type="dxa"/>
          </w:tcPr>
          <w:p w:rsidR="00CF3E97" w:rsidRDefault="00CF3E97" w:rsidP="001E63B4">
            <w:pPr>
              <w:pStyle w:val="yTableNAm"/>
              <w:rPr>
                <w:sz w:val="16"/>
                <w:szCs w:val="16"/>
              </w:rPr>
            </w:pPr>
            <w:r>
              <w:rPr>
                <w:sz w:val="16"/>
                <w:szCs w:val="16"/>
              </w:rPr>
              <w:t>56.7402</w:t>
            </w:r>
          </w:p>
        </w:tc>
      </w:tr>
      <w:tr w:rsidR="00CF3E97" w:rsidTr="001E63B4">
        <w:trPr>
          <w:cantSplit/>
        </w:trPr>
        <w:tc>
          <w:tcPr>
            <w:tcW w:w="567" w:type="dxa"/>
          </w:tcPr>
          <w:p w:rsidR="00CF3E97" w:rsidRDefault="00CF3E97" w:rsidP="001E63B4">
            <w:pPr>
              <w:pStyle w:val="yTableNAm"/>
              <w:rPr>
                <w:sz w:val="16"/>
                <w:szCs w:val="16"/>
              </w:rPr>
            </w:pPr>
            <w:r>
              <w:rPr>
                <w:sz w:val="16"/>
                <w:szCs w:val="16"/>
              </w:rPr>
              <w:t>Z.68</w:t>
            </w:r>
          </w:p>
        </w:tc>
        <w:tc>
          <w:tcPr>
            <w:tcW w:w="709" w:type="dxa"/>
          </w:tcPr>
          <w:p w:rsidR="00CF3E97" w:rsidRDefault="00CF3E97" w:rsidP="001E63B4">
            <w:pPr>
              <w:pStyle w:val="yTableNAm"/>
              <w:rPr>
                <w:sz w:val="16"/>
                <w:szCs w:val="16"/>
              </w:rPr>
            </w:pPr>
            <w:r>
              <w:rPr>
                <w:sz w:val="16"/>
                <w:szCs w:val="16"/>
              </w:rPr>
              <w:t>80</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54.0119</w:t>
            </w:r>
          </w:p>
        </w:tc>
        <w:tc>
          <w:tcPr>
            <w:tcW w:w="1512" w:type="dxa"/>
            <w:vAlign w:val="bottom"/>
          </w:tcPr>
          <w:p w:rsidR="00CF3E97" w:rsidRDefault="00CF3E97" w:rsidP="001E63B4">
            <w:pPr>
              <w:pStyle w:val="yTableNAm"/>
              <w:rPr>
                <w:sz w:val="16"/>
                <w:szCs w:val="16"/>
              </w:rPr>
            </w:pPr>
            <w:r>
              <w:rPr>
                <w:sz w:val="16"/>
                <w:szCs w:val="16"/>
              </w:rPr>
              <w:t>55.1973</w:t>
            </w:r>
          </w:p>
        </w:tc>
        <w:tc>
          <w:tcPr>
            <w:tcW w:w="1370" w:type="dxa"/>
          </w:tcPr>
          <w:p w:rsidR="00CF3E97" w:rsidRDefault="00CF3E97" w:rsidP="001E63B4">
            <w:pPr>
              <w:pStyle w:val="yTableNAm"/>
              <w:rPr>
                <w:sz w:val="16"/>
                <w:szCs w:val="16"/>
              </w:rPr>
            </w:pPr>
            <w:r>
              <w:rPr>
                <w:sz w:val="16"/>
                <w:szCs w:val="16"/>
              </w:rPr>
              <w:t>59.0054</w:t>
            </w:r>
          </w:p>
        </w:tc>
      </w:tr>
      <w:tr w:rsidR="00CF3E97" w:rsidTr="001E63B4">
        <w:trPr>
          <w:cantSplit/>
        </w:trPr>
        <w:tc>
          <w:tcPr>
            <w:tcW w:w="567" w:type="dxa"/>
          </w:tcPr>
          <w:p w:rsidR="00CF3E97" w:rsidRDefault="00CF3E97" w:rsidP="001E63B4">
            <w:pPr>
              <w:pStyle w:val="yTableNAm"/>
              <w:rPr>
                <w:sz w:val="16"/>
                <w:szCs w:val="16"/>
              </w:rPr>
            </w:pPr>
            <w:r>
              <w:rPr>
                <w:sz w:val="16"/>
                <w:szCs w:val="16"/>
              </w:rPr>
              <w:t>Z.69</w:t>
            </w:r>
          </w:p>
        </w:tc>
        <w:tc>
          <w:tcPr>
            <w:tcW w:w="709" w:type="dxa"/>
          </w:tcPr>
          <w:p w:rsidR="00CF3E97" w:rsidRDefault="00CF3E97" w:rsidP="001E63B4">
            <w:pPr>
              <w:pStyle w:val="yTableNAm"/>
              <w:rPr>
                <w:sz w:val="16"/>
                <w:szCs w:val="16"/>
              </w:rPr>
            </w:pPr>
            <w:r>
              <w:rPr>
                <w:sz w:val="16"/>
                <w:szCs w:val="16"/>
              </w:rPr>
              <w:t>160</w:t>
            </w:r>
          </w:p>
        </w:tc>
        <w:tc>
          <w:tcPr>
            <w:tcW w:w="1276" w:type="dxa"/>
            <w:gridSpan w:val="3"/>
          </w:tcPr>
          <w:p w:rsidR="00CF3E97" w:rsidRDefault="00CF3E97" w:rsidP="001E63B4">
            <w:pPr>
              <w:pStyle w:val="yTableNAm"/>
              <w:rPr>
                <w:sz w:val="16"/>
                <w:szCs w:val="16"/>
              </w:rPr>
            </w:pPr>
            <w:r>
              <w:rPr>
                <w:sz w:val="16"/>
                <w:szCs w:val="16"/>
              </w:rPr>
              <w:t>LED</w:t>
            </w:r>
          </w:p>
        </w:tc>
        <w:tc>
          <w:tcPr>
            <w:tcW w:w="1370" w:type="dxa"/>
          </w:tcPr>
          <w:p w:rsidR="00CF3E97" w:rsidRDefault="00CF3E97" w:rsidP="001E63B4">
            <w:pPr>
              <w:pStyle w:val="yTableNAm"/>
              <w:rPr>
                <w:sz w:val="16"/>
                <w:szCs w:val="16"/>
              </w:rPr>
            </w:pPr>
            <w:r>
              <w:rPr>
                <w:sz w:val="16"/>
                <w:szCs w:val="16"/>
              </w:rPr>
              <w:t>62.4601</w:t>
            </w:r>
          </w:p>
        </w:tc>
        <w:tc>
          <w:tcPr>
            <w:tcW w:w="1512" w:type="dxa"/>
            <w:vAlign w:val="bottom"/>
          </w:tcPr>
          <w:p w:rsidR="00CF3E97" w:rsidRDefault="00CF3E97" w:rsidP="001E63B4">
            <w:pPr>
              <w:pStyle w:val="yTableNAm"/>
              <w:rPr>
                <w:sz w:val="16"/>
                <w:szCs w:val="16"/>
              </w:rPr>
            </w:pPr>
            <w:r>
              <w:rPr>
                <w:sz w:val="16"/>
                <w:szCs w:val="16"/>
              </w:rPr>
              <w:t>64.4886</w:t>
            </w:r>
          </w:p>
        </w:tc>
        <w:tc>
          <w:tcPr>
            <w:tcW w:w="1370" w:type="dxa"/>
          </w:tcPr>
          <w:p w:rsidR="00CF3E97" w:rsidRDefault="00CF3E97" w:rsidP="001E63B4">
            <w:pPr>
              <w:pStyle w:val="yTableNAm"/>
              <w:rPr>
                <w:sz w:val="16"/>
                <w:szCs w:val="16"/>
              </w:rPr>
            </w:pPr>
            <w:r>
              <w:rPr>
                <w:sz w:val="16"/>
                <w:szCs w:val="16"/>
              </w:rPr>
              <w:t>73.4250</w:t>
            </w:r>
          </w:p>
        </w:tc>
      </w:tr>
      <w:tr w:rsidR="00CF3E97" w:rsidTr="001E63B4">
        <w:trPr>
          <w:cantSplit/>
        </w:trPr>
        <w:tc>
          <w:tcPr>
            <w:tcW w:w="6804" w:type="dxa"/>
            <w:gridSpan w:val="8"/>
          </w:tcPr>
          <w:p w:rsidR="00CF3E97" w:rsidRPr="00CF3224" w:rsidRDefault="00CF3E97" w:rsidP="0060671D">
            <w:pPr>
              <w:pStyle w:val="yTableNAm"/>
              <w:keepNext/>
            </w:pPr>
            <w:r w:rsidRPr="00CF3224">
              <w:rPr>
                <w:b/>
                <w:i/>
                <w:iCs/>
                <w:sz w:val="16"/>
                <w:szCs w:val="16"/>
              </w:rPr>
              <w:lastRenderedPageBreak/>
              <w:t>Street lighting for existing services only</w:t>
            </w:r>
          </w:p>
        </w:tc>
      </w:tr>
      <w:tr w:rsidR="00CF3E97" w:rsidTr="001E63B4">
        <w:trPr>
          <w:cantSplit/>
        </w:trPr>
        <w:tc>
          <w:tcPr>
            <w:tcW w:w="567" w:type="dxa"/>
          </w:tcPr>
          <w:p w:rsidR="00CF3E97" w:rsidRDefault="00CF3E97" w:rsidP="0060671D">
            <w:pPr>
              <w:pStyle w:val="yTableNAm"/>
              <w:keepNext/>
            </w:pPr>
            <w:r>
              <w:rPr>
                <w:sz w:val="16"/>
                <w:szCs w:val="16"/>
              </w:rPr>
              <w:t>Z.52</w:t>
            </w:r>
          </w:p>
        </w:tc>
        <w:tc>
          <w:tcPr>
            <w:tcW w:w="851" w:type="dxa"/>
            <w:gridSpan w:val="2"/>
          </w:tcPr>
          <w:p w:rsidR="00CF3E97" w:rsidRDefault="00CF3E97" w:rsidP="0060671D">
            <w:pPr>
              <w:pStyle w:val="yTableNAm"/>
              <w:keepNext/>
            </w:pPr>
            <w:r>
              <w:rPr>
                <w:sz w:val="16"/>
                <w:szCs w:val="16"/>
              </w:rPr>
              <w:t>100</w:t>
            </w:r>
          </w:p>
        </w:tc>
        <w:tc>
          <w:tcPr>
            <w:tcW w:w="1134" w:type="dxa"/>
            <w:gridSpan w:val="2"/>
          </w:tcPr>
          <w:p w:rsidR="00CF3E97" w:rsidRDefault="00CF3E97" w:rsidP="0060671D">
            <w:pPr>
              <w:pStyle w:val="yTableNAm"/>
              <w:keepNext/>
            </w:pPr>
            <w:r>
              <w:rPr>
                <w:sz w:val="16"/>
                <w:szCs w:val="16"/>
              </w:rPr>
              <w:t>Incandescent</w:t>
            </w:r>
          </w:p>
        </w:tc>
        <w:tc>
          <w:tcPr>
            <w:tcW w:w="1370" w:type="dxa"/>
          </w:tcPr>
          <w:p w:rsidR="00CF3E97" w:rsidRDefault="00CF3E97" w:rsidP="0060671D">
            <w:pPr>
              <w:pStyle w:val="yTableNAm"/>
              <w:keepNext/>
              <w:rPr>
                <w:sz w:val="16"/>
                <w:szCs w:val="16"/>
              </w:rPr>
            </w:pPr>
            <w:r>
              <w:rPr>
                <w:sz w:val="16"/>
                <w:szCs w:val="16"/>
              </w:rPr>
              <w:t>38.8491</w:t>
            </w:r>
          </w:p>
        </w:tc>
        <w:tc>
          <w:tcPr>
            <w:tcW w:w="1512" w:type="dxa"/>
          </w:tcPr>
          <w:p w:rsidR="00CF3E97" w:rsidRDefault="00CF3E97" w:rsidP="0060671D">
            <w:pPr>
              <w:pStyle w:val="yTableNAm"/>
              <w:keepNext/>
              <w:rPr>
                <w:sz w:val="16"/>
                <w:szCs w:val="16"/>
              </w:rPr>
            </w:pPr>
            <w:r>
              <w:rPr>
                <w:sz w:val="16"/>
                <w:szCs w:val="16"/>
              </w:rPr>
              <w:t>40.3054</w:t>
            </w:r>
          </w:p>
        </w:tc>
        <w:tc>
          <w:tcPr>
            <w:tcW w:w="1370" w:type="dxa"/>
          </w:tcPr>
          <w:p w:rsidR="00CF3E97" w:rsidRDefault="00CF3E97" w:rsidP="0060671D">
            <w:pPr>
              <w:pStyle w:val="yTableNAm"/>
              <w:keepNext/>
              <w:rPr>
                <w:sz w:val="16"/>
                <w:szCs w:val="16"/>
              </w:rPr>
            </w:pPr>
            <w:r>
              <w:rPr>
                <w:sz w:val="16"/>
                <w:szCs w:val="16"/>
              </w:rPr>
              <w:t>44.3728</w:t>
            </w:r>
          </w:p>
        </w:tc>
      </w:tr>
      <w:tr w:rsidR="00CF3E97" w:rsidTr="001E63B4">
        <w:trPr>
          <w:cantSplit/>
        </w:trPr>
        <w:tc>
          <w:tcPr>
            <w:tcW w:w="567" w:type="dxa"/>
            <w:tcBorders>
              <w:bottom w:val="single" w:sz="4" w:space="0" w:color="auto"/>
            </w:tcBorders>
          </w:tcPr>
          <w:p w:rsidR="00CF3E97" w:rsidRDefault="00CF3E97" w:rsidP="0060671D">
            <w:pPr>
              <w:pStyle w:val="yTableNAm"/>
              <w:keepNext/>
            </w:pPr>
            <w:r>
              <w:rPr>
                <w:sz w:val="16"/>
                <w:szCs w:val="16"/>
              </w:rPr>
              <w:t>Z.56</w:t>
            </w:r>
          </w:p>
        </w:tc>
        <w:tc>
          <w:tcPr>
            <w:tcW w:w="851" w:type="dxa"/>
            <w:gridSpan w:val="2"/>
            <w:tcBorders>
              <w:bottom w:val="single" w:sz="4" w:space="0" w:color="auto"/>
            </w:tcBorders>
          </w:tcPr>
          <w:p w:rsidR="00CF3E97" w:rsidRDefault="00CF3E97" w:rsidP="0060671D">
            <w:pPr>
              <w:pStyle w:val="yTableNAm"/>
              <w:keepNext/>
            </w:pPr>
            <w:r>
              <w:rPr>
                <w:sz w:val="16"/>
                <w:szCs w:val="16"/>
              </w:rPr>
              <w:t>40</w:t>
            </w:r>
          </w:p>
        </w:tc>
        <w:tc>
          <w:tcPr>
            <w:tcW w:w="1134" w:type="dxa"/>
            <w:gridSpan w:val="2"/>
            <w:tcBorders>
              <w:bottom w:val="single" w:sz="4" w:space="0" w:color="auto"/>
            </w:tcBorders>
          </w:tcPr>
          <w:p w:rsidR="00CF3E97" w:rsidRDefault="00CF3E97" w:rsidP="0060671D">
            <w:pPr>
              <w:pStyle w:val="yTableNAm"/>
              <w:keepNext/>
            </w:pPr>
            <w:r>
              <w:rPr>
                <w:sz w:val="16"/>
                <w:szCs w:val="16"/>
              </w:rPr>
              <w:t>Fluorescent</w:t>
            </w:r>
          </w:p>
        </w:tc>
        <w:tc>
          <w:tcPr>
            <w:tcW w:w="1370" w:type="dxa"/>
            <w:tcBorders>
              <w:bottom w:val="single" w:sz="4" w:space="0" w:color="auto"/>
            </w:tcBorders>
          </w:tcPr>
          <w:p w:rsidR="00CF3E97" w:rsidRDefault="00CF3E97" w:rsidP="0060671D">
            <w:pPr>
              <w:pStyle w:val="yTableNAm"/>
              <w:keepNext/>
              <w:rPr>
                <w:sz w:val="16"/>
                <w:szCs w:val="16"/>
              </w:rPr>
            </w:pPr>
            <w:r>
              <w:rPr>
                <w:sz w:val="16"/>
                <w:szCs w:val="16"/>
              </w:rPr>
              <w:t>50.8809</w:t>
            </w:r>
          </w:p>
        </w:tc>
        <w:tc>
          <w:tcPr>
            <w:tcW w:w="1512" w:type="dxa"/>
            <w:tcBorders>
              <w:bottom w:val="single" w:sz="4" w:space="0" w:color="auto"/>
            </w:tcBorders>
          </w:tcPr>
          <w:p w:rsidR="00CF3E97" w:rsidRDefault="00CF3E97" w:rsidP="0060671D">
            <w:pPr>
              <w:pStyle w:val="yTableNAm"/>
              <w:keepNext/>
              <w:rPr>
                <w:sz w:val="16"/>
                <w:szCs w:val="16"/>
              </w:rPr>
            </w:pPr>
            <w:r>
              <w:rPr>
                <w:sz w:val="16"/>
                <w:szCs w:val="16"/>
              </w:rPr>
              <w:t>51.5795</w:t>
            </w:r>
          </w:p>
        </w:tc>
        <w:tc>
          <w:tcPr>
            <w:tcW w:w="1370" w:type="dxa"/>
            <w:tcBorders>
              <w:bottom w:val="single" w:sz="4" w:space="0" w:color="auto"/>
            </w:tcBorders>
          </w:tcPr>
          <w:p w:rsidR="00CF3E97" w:rsidRDefault="00CF3E97" w:rsidP="0060671D">
            <w:pPr>
              <w:pStyle w:val="yTableNAm"/>
              <w:keepNext/>
              <w:rPr>
                <w:sz w:val="16"/>
                <w:szCs w:val="16"/>
              </w:rPr>
            </w:pPr>
            <w:r>
              <w:rPr>
                <w:sz w:val="16"/>
                <w:szCs w:val="16"/>
              </w:rPr>
              <w:t>54.1664</w:t>
            </w:r>
          </w:p>
        </w:tc>
      </w:tr>
    </w:tbl>
    <w:p w:rsidR="00F95696" w:rsidRPr="00F95696" w:rsidRDefault="00F95696" w:rsidP="00F95696">
      <w:pPr>
        <w:pStyle w:val="yFootnotesection"/>
      </w:pPr>
      <w:bookmarkStart w:id="45" w:name="_Toc75781371"/>
      <w:bookmarkStart w:id="46" w:name="_Toc75781534"/>
      <w:r>
        <w:tab/>
        <w:t>[Division 1 inserted: SL 2021/110 bl. 4.]</w:t>
      </w:r>
    </w:p>
    <w:p w:rsidR="00CF3E97" w:rsidRDefault="00CF3E97" w:rsidP="00CF3E97">
      <w:pPr>
        <w:pStyle w:val="yHeading3"/>
      </w:pPr>
      <w:bookmarkStart w:id="47" w:name="_Toc75855921"/>
      <w:bookmarkStart w:id="48" w:name="_Toc75855956"/>
      <w:r w:rsidRPr="00F95696">
        <w:rPr>
          <w:rStyle w:val="CharSDivNo"/>
        </w:rPr>
        <w:t>Division 2</w:t>
      </w:r>
      <w:r>
        <w:t> — </w:t>
      </w:r>
      <w:r w:rsidRPr="00F95696">
        <w:rPr>
          <w:rStyle w:val="CharSDivText"/>
        </w:rPr>
        <w:t>Miscellaneous</w:t>
      </w:r>
      <w:bookmarkEnd w:id="45"/>
      <w:bookmarkEnd w:id="46"/>
      <w:bookmarkEnd w:id="47"/>
      <w:bookmarkEnd w:id="48"/>
    </w:p>
    <w:p w:rsidR="006A189E" w:rsidRDefault="006A189E" w:rsidP="006A189E">
      <w:pPr>
        <w:pStyle w:val="yFootnoteheading"/>
      </w:pPr>
      <w:r>
        <w:tab/>
        <w:t>[Heading inserted: SL 2021/110 bl. 4.]</w:t>
      </w:r>
    </w:p>
    <w:p w:rsidR="00CF3E97" w:rsidRDefault="00CF3E97" w:rsidP="00CF3E97">
      <w:pPr>
        <w:pStyle w:val="yHeading5"/>
      </w:pPr>
      <w:bookmarkStart w:id="49" w:name="_Toc75855957"/>
      <w:r>
        <w:rPr>
          <w:rStyle w:val="CharSClsNo"/>
        </w:rPr>
        <w:t>1</w:t>
      </w:r>
      <w:r>
        <w:t>.</w:t>
      </w:r>
      <w:r>
        <w:tab/>
        <w:t>Traffic light installation</w:t>
      </w:r>
      <w:bookmarkEnd w:id="49"/>
    </w:p>
    <w:p w:rsidR="00CF3E97" w:rsidRDefault="00CF3E97" w:rsidP="00CF3E97">
      <w:pPr>
        <w:pStyle w:val="ySubsection"/>
      </w:pPr>
      <w:r>
        <w:tab/>
      </w:r>
      <w:r>
        <w:tab/>
        <w:t xml:space="preserve">Supply of electricity to traffic light installations comprises a charge of </w:t>
      </w:r>
      <w:r>
        <w:rPr>
          <w:szCs w:val="22"/>
        </w:rPr>
        <w:t xml:space="preserve">$7.9244 </w:t>
      </w:r>
      <w:r>
        <w:t>per day per kW of installed wattage.</w:t>
      </w:r>
    </w:p>
    <w:p w:rsidR="000F482B" w:rsidRDefault="000F482B" w:rsidP="000F482B">
      <w:pPr>
        <w:pStyle w:val="yFootnotesection"/>
      </w:pPr>
      <w:r>
        <w:tab/>
        <w:t>[Clause 1 inserted: SL 2021/110 bl. 4.]</w:t>
      </w:r>
    </w:p>
    <w:p w:rsidR="00CF3E97" w:rsidRDefault="00CF3E97" w:rsidP="00CF3E97">
      <w:pPr>
        <w:pStyle w:val="yHeading5"/>
      </w:pPr>
      <w:bookmarkStart w:id="50" w:name="_Toc75855958"/>
      <w:r>
        <w:rPr>
          <w:rStyle w:val="CharSClsNo"/>
        </w:rPr>
        <w:t>2</w:t>
      </w:r>
      <w:r>
        <w:t>.</w:t>
      </w:r>
      <w:r>
        <w:tab/>
        <w:t>Public telephone facility</w:t>
      </w:r>
      <w:bookmarkEnd w:id="50"/>
    </w:p>
    <w:p w:rsidR="00CF3E97" w:rsidRDefault="00CF3E97" w:rsidP="00CF3E97">
      <w:pPr>
        <w:pStyle w:val="ySubsection"/>
      </w:pPr>
      <w:r>
        <w:tab/>
      </w:r>
      <w:r>
        <w:tab/>
        <w:t xml:space="preserve">Supply of electricity to a standard public telephone facility where supply is not independently metered comprises a charge of 67.7400 </w:t>
      </w:r>
      <w:r w:rsidRPr="00CF3224">
        <w:t>cents</w:t>
      </w:r>
      <w:r>
        <w:t xml:space="preserve"> per day.</w:t>
      </w:r>
    </w:p>
    <w:p w:rsidR="000F482B" w:rsidRDefault="000F482B" w:rsidP="000F482B">
      <w:pPr>
        <w:pStyle w:val="yFootnotesection"/>
      </w:pPr>
      <w:r>
        <w:tab/>
        <w:t>[Clause 2 inserted: SL 2021/110 bl. 4.]</w:t>
      </w:r>
    </w:p>
    <w:p w:rsidR="00CF3E97" w:rsidRDefault="00CF3E97" w:rsidP="00CF3E97">
      <w:pPr>
        <w:pStyle w:val="yHeading5"/>
      </w:pPr>
      <w:bookmarkStart w:id="51" w:name="_Toc75855959"/>
      <w:r>
        <w:rPr>
          <w:rStyle w:val="CharSClsNo"/>
        </w:rPr>
        <w:t>3</w:t>
      </w:r>
      <w:r>
        <w:t>.</w:t>
      </w:r>
      <w:r>
        <w:tab/>
        <w:t>Railway crossing</w:t>
      </w:r>
      <w:bookmarkEnd w:id="51"/>
    </w:p>
    <w:p w:rsidR="00CF3E97" w:rsidRDefault="00CF3E97" w:rsidP="00CF3E97">
      <w:pPr>
        <w:pStyle w:val="ySubsection"/>
      </w:pPr>
      <w:r>
        <w:tab/>
      </w:r>
      <w:r>
        <w:tab/>
        <w:t>Supply of electricity to standard railway crossing lights comprises a charge of 86.5672</w:t>
      </w:r>
      <w:r>
        <w:rPr>
          <w:szCs w:val="22"/>
        </w:rPr>
        <w:t xml:space="preserve"> </w:t>
      </w:r>
      <w:r w:rsidRPr="00CF3224">
        <w:t>cents</w:t>
      </w:r>
      <w:r>
        <w:t xml:space="preserve"> per day.</w:t>
      </w:r>
    </w:p>
    <w:p w:rsidR="009C66B7" w:rsidRDefault="009C66B7" w:rsidP="009C66B7">
      <w:pPr>
        <w:pStyle w:val="yFootnotesection"/>
      </w:pPr>
      <w:r>
        <w:tab/>
        <w:t>[Clause 3 inserted: SL 2021/110 bl. 4.]</w:t>
      </w:r>
    </w:p>
    <w:p w:rsidR="001E63B4" w:rsidRDefault="001E63B4">
      <w:pPr>
        <w:pStyle w:val="yScheduleHeading"/>
      </w:pPr>
      <w:bookmarkStart w:id="52" w:name="_Toc75774407"/>
      <w:bookmarkStart w:id="53" w:name="_Toc75781376"/>
      <w:bookmarkStart w:id="54" w:name="_Toc75781539"/>
      <w:bookmarkStart w:id="55" w:name="_Toc75855925"/>
      <w:bookmarkStart w:id="56" w:name="_Toc75855960"/>
      <w:bookmarkEnd w:id="18"/>
      <w:r>
        <w:rPr>
          <w:rStyle w:val="CharSchNo"/>
        </w:rPr>
        <w:lastRenderedPageBreak/>
        <w:t>Schedule 3</w:t>
      </w:r>
      <w:r>
        <w:rPr>
          <w:rStyle w:val="CharSDivNo"/>
        </w:rPr>
        <w:t> </w:t>
      </w:r>
      <w:r>
        <w:t>—</w:t>
      </w:r>
      <w:r>
        <w:rPr>
          <w:rStyle w:val="CharSDivText"/>
        </w:rPr>
        <w:t> </w:t>
      </w:r>
      <w:r>
        <w:rPr>
          <w:rStyle w:val="CharSchText"/>
        </w:rPr>
        <w:t>Meter rentals</w:t>
      </w:r>
      <w:bookmarkEnd w:id="52"/>
      <w:bookmarkEnd w:id="53"/>
      <w:bookmarkEnd w:id="54"/>
      <w:bookmarkEnd w:id="55"/>
      <w:bookmarkEnd w:id="56"/>
    </w:p>
    <w:p w:rsidR="001E63B4" w:rsidRDefault="001E63B4">
      <w:pPr>
        <w:pStyle w:val="yShoulderClause"/>
      </w:pPr>
      <w:r>
        <w:t>[bl. 6(1)]</w:t>
      </w:r>
    </w:p>
    <w:p w:rsidR="001E63B4" w:rsidRDefault="001E63B4">
      <w:pPr>
        <w:pStyle w:val="yFootnoteheading"/>
      </w:pPr>
      <w:r>
        <w:tab/>
        <w:t>[Heading inserted: SL 2020/78 bl. 4.]</w:t>
      </w:r>
    </w:p>
    <w:p w:rsidR="001E63B4" w:rsidRDefault="001E63B4">
      <w:pPr>
        <w:pStyle w:val="ySubsection"/>
      </w:pPr>
      <w:r>
        <w:tab/>
      </w:r>
      <w:r>
        <w:tab/>
        <w:t>The rental payable in respect of a subsidiary meter is 16.60 cents per day.</w:t>
      </w:r>
    </w:p>
    <w:p w:rsidR="001E63B4" w:rsidRDefault="001E63B4">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rsidR="001E63B4" w:rsidRDefault="001E63B4">
      <w:pPr>
        <w:pStyle w:val="yFootnotesection"/>
      </w:pPr>
      <w:r>
        <w:tab/>
        <w:t>[Schedule 3 inserted: SL 2020/78 bl. 4.]</w:t>
      </w:r>
    </w:p>
    <w:p w:rsidR="001E63B4" w:rsidRDefault="001E63B4">
      <w:pPr>
        <w:pStyle w:val="yScheduleHeading"/>
      </w:pPr>
      <w:bookmarkStart w:id="57" w:name="_Toc75774408"/>
      <w:bookmarkStart w:id="58" w:name="_Toc75781377"/>
      <w:bookmarkStart w:id="59" w:name="_Toc75781540"/>
      <w:bookmarkStart w:id="60" w:name="_Toc75855926"/>
      <w:bookmarkStart w:id="61" w:name="_Toc75855961"/>
      <w:r>
        <w:rPr>
          <w:rStyle w:val="CharSchNo"/>
        </w:rPr>
        <w:lastRenderedPageBreak/>
        <w:t>Schedule 4</w:t>
      </w:r>
      <w:r>
        <w:t> — </w:t>
      </w:r>
      <w:r>
        <w:rPr>
          <w:rStyle w:val="CharSchText"/>
        </w:rPr>
        <w:t>Fees</w:t>
      </w:r>
      <w:bookmarkEnd w:id="57"/>
      <w:bookmarkEnd w:id="58"/>
      <w:bookmarkEnd w:id="59"/>
      <w:bookmarkEnd w:id="60"/>
      <w:bookmarkEnd w:id="61"/>
    </w:p>
    <w:p w:rsidR="001E63B4" w:rsidRDefault="001E63B4">
      <w:pPr>
        <w:pStyle w:val="yShoulderClause"/>
      </w:pPr>
      <w:r>
        <w:t>[bl. 7]</w:t>
      </w:r>
    </w:p>
    <w:p w:rsidR="001E63B4" w:rsidRDefault="001E63B4">
      <w:pPr>
        <w:pStyle w:val="yFootnoteheading"/>
        <w:spacing w:after="120"/>
      </w:pPr>
      <w:r>
        <w:tab/>
        <w:t>[Heading inserted: SL 2020/78 bl. 4.]</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rsidR="001E63B4">
        <w:trPr>
          <w:cantSplit/>
          <w:tblHeader/>
        </w:trPr>
        <w:tc>
          <w:tcPr>
            <w:tcW w:w="567" w:type="dxa"/>
            <w:tcBorders>
              <w:top w:val="single" w:sz="4" w:space="0" w:color="auto"/>
              <w:bottom w:val="single" w:sz="4" w:space="0" w:color="auto"/>
            </w:tcBorders>
          </w:tcPr>
          <w:p w:rsidR="001E63B4" w:rsidRDefault="001E63B4">
            <w:pPr>
              <w:pStyle w:val="yTableNAm"/>
              <w:spacing w:after="80"/>
            </w:pPr>
          </w:p>
        </w:tc>
        <w:tc>
          <w:tcPr>
            <w:tcW w:w="5245" w:type="dxa"/>
            <w:tcBorders>
              <w:top w:val="single" w:sz="4" w:space="0" w:color="auto"/>
              <w:bottom w:val="single" w:sz="4" w:space="0" w:color="auto"/>
            </w:tcBorders>
          </w:tcPr>
          <w:p w:rsidR="001E63B4" w:rsidRDefault="001E63B4">
            <w:pPr>
              <w:pStyle w:val="yTableNAm"/>
            </w:pPr>
            <w:r>
              <w:rPr>
                <w:b/>
                <w:iCs/>
              </w:rPr>
              <w:t>Description of fee</w:t>
            </w:r>
          </w:p>
        </w:tc>
        <w:tc>
          <w:tcPr>
            <w:tcW w:w="1276" w:type="dxa"/>
            <w:tcBorders>
              <w:top w:val="single" w:sz="4" w:space="0" w:color="auto"/>
              <w:bottom w:val="single" w:sz="4" w:space="0" w:color="auto"/>
            </w:tcBorders>
          </w:tcPr>
          <w:p w:rsidR="001E63B4" w:rsidRDefault="001E63B4">
            <w:pPr>
              <w:pStyle w:val="yTableNAm"/>
            </w:pPr>
            <w:r>
              <w:rPr>
                <w:b/>
                <w:iCs/>
              </w:rPr>
              <w:t>Amount</w:t>
            </w:r>
          </w:p>
        </w:tc>
      </w:tr>
      <w:tr w:rsidR="001E63B4">
        <w:trPr>
          <w:cantSplit/>
        </w:trPr>
        <w:tc>
          <w:tcPr>
            <w:tcW w:w="567" w:type="dxa"/>
            <w:tcBorders>
              <w:top w:val="single" w:sz="4" w:space="0" w:color="auto"/>
            </w:tcBorders>
          </w:tcPr>
          <w:p w:rsidR="001E63B4" w:rsidRDefault="001E63B4">
            <w:pPr>
              <w:pStyle w:val="yTableNAm"/>
            </w:pPr>
            <w:r>
              <w:t>1.</w:t>
            </w:r>
          </w:p>
        </w:tc>
        <w:tc>
          <w:tcPr>
            <w:tcW w:w="5245" w:type="dxa"/>
            <w:tcBorders>
              <w:top w:val="single" w:sz="4" w:space="0" w:color="auto"/>
            </w:tcBorders>
          </w:tcPr>
          <w:p w:rsidR="001E63B4" w:rsidRDefault="001E63B4">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rsidR="001E63B4" w:rsidRDefault="001E63B4">
            <w:pPr>
              <w:pStyle w:val="yTableNAm"/>
            </w:pPr>
            <w:r>
              <w:rPr>
                <w:bCs/>
                <w:iCs/>
              </w:rPr>
              <w:t>$24.00</w:t>
            </w:r>
          </w:p>
        </w:tc>
      </w:tr>
      <w:tr w:rsidR="001E63B4">
        <w:trPr>
          <w:cantSplit/>
        </w:trPr>
        <w:tc>
          <w:tcPr>
            <w:tcW w:w="567" w:type="dxa"/>
          </w:tcPr>
          <w:p w:rsidR="001E63B4" w:rsidRDefault="001E63B4">
            <w:pPr>
              <w:pStyle w:val="yTableNAm"/>
            </w:pPr>
            <w:r>
              <w:t>2.</w:t>
            </w:r>
          </w:p>
        </w:tc>
        <w:tc>
          <w:tcPr>
            <w:tcW w:w="5245" w:type="dxa"/>
          </w:tcPr>
          <w:p w:rsidR="001E63B4" w:rsidRDefault="001E63B4">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rsidR="001E63B4" w:rsidRDefault="001E63B4">
            <w:pPr>
              <w:pStyle w:val="yTableNAm"/>
            </w:pPr>
            <w:r>
              <w:t>$914.00</w:t>
            </w:r>
          </w:p>
        </w:tc>
      </w:tr>
      <w:tr w:rsidR="001E63B4">
        <w:trPr>
          <w:cantSplit/>
        </w:trPr>
        <w:tc>
          <w:tcPr>
            <w:tcW w:w="567" w:type="dxa"/>
          </w:tcPr>
          <w:p w:rsidR="001E63B4" w:rsidRDefault="001E63B4">
            <w:pPr>
              <w:pStyle w:val="yTableNAm"/>
            </w:pPr>
            <w:r>
              <w:t>3.</w:t>
            </w:r>
          </w:p>
        </w:tc>
        <w:tc>
          <w:tcPr>
            <w:tcW w:w="5245" w:type="dxa"/>
          </w:tcPr>
          <w:p w:rsidR="001E63B4" w:rsidRDefault="001E63B4">
            <w:pPr>
              <w:pStyle w:val="yTableNAm"/>
            </w:pPr>
            <w:r>
              <w:t>Temporary supply connection — </w:t>
            </w:r>
          </w:p>
          <w:p w:rsidR="001E63B4" w:rsidRDefault="001E63B4">
            <w:pPr>
              <w:pStyle w:val="yTableNAm"/>
              <w:tabs>
                <w:tab w:val="clear" w:pos="567"/>
                <w:tab w:val="left" w:pos="199"/>
                <w:tab w:val="left" w:pos="624"/>
                <w:tab w:val="right" w:leader="dot" w:pos="5160"/>
              </w:tabs>
              <w:ind w:left="624" w:right="-85" w:hanging="624"/>
            </w:pPr>
            <w:r>
              <w:tab/>
              <w:t>(a)</w:t>
            </w:r>
            <w:r>
              <w:tab/>
              <w:t xml:space="preserve">single phase (overhead) </w:t>
            </w:r>
            <w:r>
              <w:tab/>
            </w:r>
          </w:p>
          <w:p w:rsidR="001E63B4" w:rsidRDefault="001E63B4">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rsidR="001E63B4" w:rsidRDefault="001E63B4">
            <w:pPr>
              <w:pStyle w:val="yTableNAm"/>
            </w:pPr>
          </w:p>
          <w:p w:rsidR="001E63B4" w:rsidRDefault="001E63B4">
            <w:pPr>
              <w:pStyle w:val="yTableNAm"/>
            </w:pPr>
            <w:r>
              <w:t>$915.00</w:t>
            </w:r>
          </w:p>
          <w:p w:rsidR="001E63B4" w:rsidRDefault="001E63B4">
            <w:pPr>
              <w:pStyle w:val="yTableNAm"/>
            </w:pPr>
            <w:r>
              <w:t>$915.00</w:t>
            </w:r>
          </w:p>
        </w:tc>
      </w:tr>
      <w:tr w:rsidR="001E63B4">
        <w:trPr>
          <w:cantSplit/>
        </w:trPr>
        <w:tc>
          <w:tcPr>
            <w:tcW w:w="567" w:type="dxa"/>
          </w:tcPr>
          <w:p w:rsidR="001E63B4" w:rsidRDefault="001E63B4">
            <w:pPr>
              <w:pStyle w:val="yTableNAm"/>
            </w:pPr>
            <w:r>
              <w:t>4.</w:t>
            </w:r>
          </w:p>
        </w:tc>
        <w:tc>
          <w:tcPr>
            <w:tcW w:w="5245" w:type="dxa"/>
          </w:tcPr>
          <w:p w:rsidR="001E63B4" w:rsidRDefault="001E63B4">
            <w:pPr>
              <w:pStyle w:val="yTableNAm"/>
            </w:pPr>
            <w:r>
              <w:t>Meter testing — </w:t>
            </w:r>
          </w:p>
          <w:p w:rsidR="001E63B4" w:rsidRDefault="001E63B4">
            <w:pPr>
              <w:pStyle w:val="yTableNAm"/>
              <w:tabs>
                <w:tab w:val="clear" w:pos="567"/>
                <w:tab w:val="left" w:pos="199"/>
                <w:tab w:val="left" w:pos="624"/>
                <w:tab w:val="right" w:leader="dot" w:pos="5160"/>
              </w:tabs>
              <w:ind w:left="624" w:right="-85" w:hanging="624"/>
            </w:pPr>
            <w:r>
              <w:tab/>
              <w:t>(a)</w:t>
            </w:r>
            <w:r>
              <w:tab/>
              <w:t xml:space="preserve">standard meter testing fee </w:t>
            </w:r>
            <w:r>
              <w:tab/>
            </w:r>
          </w:p>
          <w:p w:rsidR="001E63B4" w:rsidRDefault="001E63B4">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rsidR="001E63B4" w:rsidRDefault="001E63B4">
            <w:pPr>
              <w:pStyle w:val="yTableNAm"/>
            </w:pPr>
          </w:p>
          <w:p w:rsidR="001E63B4" w:rsidRDefault="001E63B4">
            <w:pPr>
              <w:pStyle w:val="yTableNAm"/>
            </w:pPr>
            <w:r>
              <w:t>$247.20</w:t>
            </w:r>
          </w:p>
          <w:p w:rsidR="001E63B4" w:rsidRDefault="001E63B4">
            <w:pPr>
              <w:pStyle w:val="yTableNAm"/>
            </w:pPr>
            <w:r>
              <w:t>$154.40</w:t>
            </w:r>
          </w:p>
        </w:tc>
      </w:tr>
      <w:tr w:rsidR="001E63B4">
        <w:trPr>
          <w:cantSplit/>
        </w:trPr>
        <w:tc>
          <w:tcPr>
            <w:tcW w:w="567" w:type="dxa"/>
          </w:tcPr>
          <w:p w:rsidR="001E63B4" w:rsidRDefault="001E63B4">
            <w:pPr>
              <w:pStyle w:val="yTableNAm"/>
            </w:pPr>
            <w:r>
              <w:t>5.</w:t>
            </w:r>
          </w:p>
        </w:tc>
        <w:tc>
          <w:tcPr>
            <w:tcW w:w="5245" w:type="dxa"/>
          </w:tcPr>
          <w:p w:rsidR="001E63B4" w:rsidRDefault="001E63B4">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rsidR="001E63B4" w:rsidRDefault="0060671D">
            <w:pPr>
              <w:pStyle w:val="yTableNAm"/>
            </w:pPr>
            <w:r>
              <w:t>$611.20</w:t>
            </w:r>
          </w:p>
        </w:tc>
      </w:tr>
      <w:tr w:rsidR="001E63B4">
        <w:trPr>
          <w:cantSplit/>
        </w:trPr>
        <w:tc>
          <w:tcPr>
            <w:tcW w:w="567" w:type="dxa"/>
          </w:tcPr>
          <w:p w:rsidR="001E63B4" w:rsidRDefault="001E63B4">
            <w:pPr>
              <w:pStyle w:val="yTableNAm"/>
            </w:pPr>
            <w:r>
              <w:t>6.</w:t>
            </w:r>
          </w:p>
        </w:tc>
        <w:tc>
          <w:tcPr>
            <w:tcW w:w="5245" w:type="dxa"/>
          </w:tcPr>
          <w:p w:rsidR="001E63B4" w:rsidRDefault="001E63B4">
            <w:pPr>
              <w:pStyle w:val="yTableNAm"/>
              <w:tabs>
                <w:tab w:val="clear" w:pos="567"/>
                <w:tab w:val="right" w:leader="dot" w:pos="5160"/>
              </w:tabs>
              <w:ind w:right="-85"/>
            </w:pPr>
            <w:r>
              <w:t xml:space="preserve">Overdue account notices </w:t>
            </w:r>
            <w:r>
              <w:tab/>
            </w:r>
          </w:p>
        </w:tc>
        <w:tc>
          <w:tcPr>
            <w:tcW w:w="1276" w:type="dxa"/>
          </w:tcPr>
          <w:p w:rsidR="001E63B4" w:rsidRDefault="001E63B4">
            <w:pPr>
              <w:pStyle w:val="yTableNAm"/>
            </w:pPr>
            <w:r>
              <w:rPr>
                <w:szCs w:val="22"/>
              </w:rPr>
              <w:t>$5.80</w:t>
            </w:r>
          </w:p>
        </w:tc>
      </w:tr>
      <w:tr w:rsidR="001E63B4">
        <w:trPr>
          <w:cantSplit/>
        </w:trPr>
        <w:tc>
          <w:tcPr>
            <w:tcW w:w="567" w:type="dxa"/>
          </w:tcPr>
          <w:p w:rsidR="001E63B4" w:rsidRDefault="001E63B4">
            <w:pPr>
              <w:pStyle w:val="yTableNAm"/>
            </w:pPr>
            <w:r>
              <w:t>7.</w:t>
            </w:r>
          </w:p>
        </w:tc>
        <w:tc>
          <w:tcPr>
            <w:tcW w:w="5245" w:type="dxa"/>
          </w:tcPr>
          <w:p w:rsidR="001E63B4" w:rsidRDefault="001E63B4">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rsidR="001E63B4" w:rsidRDefault="001E63B4">
            <w:pPr>
              <w:pStyle w:val="yTableNAm"/>
            </w:pPr>
            <w:r>
              <w:t>$27.50</w:t>
            </w:r>
          </w:p>
        </w:tc>
      </w:tr>
      <w:tr w:rsidR="001E63B4">
        <w:trPr>
          <w:cantSplit/>
        </w:trPr>
        <w:tc>
          <w:tcPr>
            <w:tcW w:w="567" w:type="dxa"/>
          </w:tcPr>
          <w:p w:rsidR="001E63B4" w:rsidRDefault="001E63B4">
            <w:pPr>
              <w:pStyle w:val="yTableNAm"/>
              <w:keepNext/>
            </w:pPr>
            <w:r>
              <w:t>8.</w:t>
            </w:r>
          </w:p>
        </w:tc>
        <w:tc>
          <w:tcPr>
            <w:tcW w:w="5245" w:type="dxa"/>
          </w:tcPr>
          <w:p w:rsidR="001E63B4" w:rsidRDefault="001E63B4">
            <w:pPr>
              <w:pStyle w:val="yTableNAm"/>
              <w:keepNext/>
            </w:pPr>
            <w:r>
              <w:t>A transaction fee where a consumer makes a payment to the corporation by means of a credit card or debit card</w:t>
            </w:r>
          </w:p>
        </w:tc>
        <w:tc>
          <w:tcPr>
            <w:tcW w:w="1276" w:type="dxa"/>
          </w:tcPr>
          <w:p w:rsidR="001E63B4" w:rsidRDefault="001E63B4">
            <w:pPr>
              <w:pStyle w:val="yTableNAm"/>
              <w:keepNext/>
            </w:pPr>
            <w:r>
              <w:t>The permitted surcharge for the payment</w:t>
            </w:r>
          </w:p>
        </w:tc>
      </w:tr>
      <w:tr w:rsidR="001E63B4">
        <w:trPr>
          <w:cantSplit/>
        </w:trPr>
        <w:tc>
          <w:tcPr>
            <w:tcW w:w="567" w:type="dxa"/>
          </w:tcPr>
          <w:p w:rsidR="001E63B4" w:rsidRDefault="001E63B4">
            <w:pPr>
              <w:pStyle w:val="yTableNAm"/>
            </w:pPr>
            <w:r>
              <w:t>9.</w:t>
            </w:r>
          </w:p>
        </w:tc>
        <w:tc>
          <w:tcPr>
            <w:tcW w:w="5245" w:type="dxa"/>
          </w:tcPr>
          <w:p w:rsidR="001E63B4" w:rsidRDefault="001E63B4">
            <w:pPr>
              <w:pStyle w:val="yTableNAm"/>
              <w:tabs>
                <w:tab w:val="clear" w:pos="567"/>
                <w:tab w:val="right" w:leader="dot" w:pos="5160"/>
              </w:tabs>
              <w:ind w:right="-85"/>
            </w:pPr>
            <w:r>
              <w:t xml:space="preserve">Remote configurations </w:t>
            </w:r>
            <w:r>
              <w:tab/>
            </w:r>
          </w:p>
        </w:tc>
        <w:tc>
          <w:tcPr>
            <w:tcW w:w="1276" w:type="dxa"/>
          </w:tcPr>
          <w:p w:rsidR="001E63B4" w:rsidRDefault="001E63B4">
            <w:pPr>
              <w:pStyle w:val="yTableNAm"/>
            </w:pPr>
            <w:r>
              <w:t>$26.30</w:t>
            </w:r>
          </w:p>
        </w:tc>
      </w:tr>
      <w:tr w:rsidR="001E63B4">
        <w:trPr>
          <w:cantSplit/>
        </w:trPr>
        <w:tc>
          <w:tcPr>
            <w:tcW w:w="567" w:type="dxa"/>
          </w:tcPr>
          <w:p w:rsidR="001E63B4" w:rsidRDefault="001E63B4">
            <w:pPr>
              <w:pStyle w:val="yTableNAm"/>
            </w:pPr>
            <w:r>
              <w:t>10.</w:t>
            </w:r>
          </w:p>
        </w:tc>
        <w:tc>
          <w:tcPr>
            <w:tcW w:w="5245" w:type="dxa"/>
          </w:tcPr>
          <w:p w:rsidR="001E63B4" w:rsidRDefault="001E63B4">
            <w:pPr>
              <w:pStyle w:val="yTableNAm"/>
              <w:tabs>
                <w:tab w:val="clear" w:pos="567"/>
                <w:tab w:val="right" w:leader="dot" w:pos="5160"/>
              </w:tabs>
              <w:ind w:right="-85"/>
            </w:pPr>
            <w:r>
              <w:t xml:space="preserve">Meter damage fee </w:t>
            </w:r>
            <w:r>
              <w:tab/>
            </w:r>
          </w:p>
        </w:tc>
        <w:tc>
          <w:tcPr>
            <w:tcW w:w="1276" w:type="dxa"/>
          </w:tcPr>
          <w:p w:rsidR="001E63B4" w:rsidRDefault="001E63B4">
            <w:pPr>
              <w:pStyle w:val="yTableNAm"/>
            </w:pPr>
            <w:r>
              <w:t>$851.00</w:t>
            </w:r>
          </w:p>
        </w:tc>
      </w:tr>
      <w:tr w:rsidR="001E63B4">
        <w:trPr>
          <w:cantSplit/>
        </w:trPr>
        <w:tc>
          <w:tcPr>
            <w:tcW w:w="567" w:type="dxa"/>
          </w:tcPr>
          <w:p w:rsidR="001E63B4" w:rsidRDefault="001E63B4">
            <w:pPr>
              <w:pStyle w:val="yTableNAm"/>
            </w:pPr>
            <w:r>
              <w:t>11.</w:t>
            </w:r>
          </w:p>
        </w:tc>
        <w:tc>
          <w:tcPr>
            <w:tcW w:w="5245" w:type="dxa"/>
          </w:tcPr>
          <w:p w:rsidR="001E63B4" w:rsidRDefault="001E63B4">
            <w:pPr>
              <w:pStyle w:val="yTableNAm"/>
              <w:tabs>
                <w:tab w:val="clear" w:pos="567"/>
                <w:tab w:val="right" w:leader="dot" w:pos="5160"/>
              </w:tabs>
              <w:ind w:right="-85"/>
            </w:pPr>
            <w:r>
              <w:t xml:space="preserve">Remote connection or disconnection </w:t>
            </w:r>
            <w:r>
              <w:tab/>
            </w:r>
          </w:p>
        </w:tc>
        <w:tc>
          <w:tcPr>
            <w:tcW w:w="1276" w:type="dxa"/>
          </w:tcPr>
          <w:p w:rsidR="001E63B4" w:rsidRDefault="001E63B4">
            <w:pPr>
              <w:pStyle w:val="yTableNAm"/>
            </w:pPr>
            <w:r>
              <w:t>$6.20</w:t>
            </w:r>
          </w:p>
        </w:tc>
      </w:tr>
      <w:tr w:rsidR="001E63B4">
        <w:trPr>
          <w:cantSplit/>
        </w:trPr>
        <w:tc>
          <w:tcPr>
            <w:tcW w:w="567" w:type="dxa"/>
          </w:tcPr>
          <w:p w:rsidR="001E63B4" w:rsidRDefault="001E63B4">
            <w:pPr>
              <w:pStyle w:val="yTableNAm"/>
            </w:pPr>
            <w:r>
              <w:t>12.</w:t>
            </w:r>
          </w:p>
        </w:tc>
        <w:tc>
          <w:tcPr>
            <w:tcW w:w="5245" w:type="dxa"/>
          </w:tcPr>
          <w:p w:rsidR="001E63B4" w:rsidRDefault="001E63B4">
            <w:pPr>
              <w:pStyle w:val="yTableNAm"/>
              <w:tabs>
                <w:tab w:val="clear" w:pos="567"/>
                <w:tab w:val="right" w:leader="dot" w:pos="5160"/>
              </w:tabs>
              <w:ind w:right="-85"/>
            </w:pPr>
            <w:r>
              <w:t xml:space="preserve">Paper bill fee </w:t>
            </w:r>
            <w:r>
              <w:tab/>
            </w:r>
          </w:p>
        </w:tc>
        <w:tc>
          <w:tcPr>
            <w:tcW w:w="1276" w:type="dxa"/>
          </w:tcPr>
          <w:p w:rsidR="001E63B4" w:rsidRDefault="001E63B4">
            <w:pPr>
              <w:pStyle w:val="yTableNAm"/>
            </w:pPr>
            <w:r>
              <w:t>$1.20</w:t>
            </w:r>
          </w:p>
        </w:tc>
      </w:tr>
      <w:tr w:rsidR="001E63B4">
        <w:trPr>
          <w:cantSplit/>
        </w:trPr>
        <w:tc>
          <w:tcPr>
            <w:tcW w:w="567" w:type="dxa"/>
            <w:tcBorders>
              <w:bottom w:val="single" w:sz="4" w:space="0" w:color="auto"/>
            </w:tcBorders>
          </w:tcPr>
          <w:p w:rsidR="001E63B4" w:rsidRDefault="001E63B4">
            <w:pPr>
              <w:pStyle w:val="yTableNAm"/>
              <w:keepNext/>
            </w:pPr>
            <w:r>
              <w:lastRenderedPageBreak/>
              <w:t>13.</w:t>
            </w:r>
          </w:p>
        </w:tc>
        <w:tc>
          <w:tcPr>
            <w:tcW w:w="5245" w:type="dxa"/>
            <w:tcBorders>
              <w:bottom w:val="single" w:sz="4" w:space="0" w:color="auto"/>
            </w:tcBorders>
          </w:tcPr>
          <w:p w:rsidR="001E63B4" w:rsidRDefault="001E63B4">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rsidR="001E63B4" w:rsidRDefault="001E63B4">
            <w:pPr>
              <w:pStyle w:val="yTableNAm"/>
              <w:keepNext/>
            </w:pPr>
            <w:r>
              <w:t>$2.54</w:t>
            </w:r>
          </w:p>
        </w:tc>
      </w:tr>
    </w:tbl>
    <w:p w:rsidR="001E63B4" w:rsidRDefault="001E63B4">
      <w:pPr>
        <w:pStyle w:val="yFootnotesection"/>
      </w:pPr>
      <w:r>
        <w:tab/>
        <w:t>[Schedule 4 inserted: SL 2020/78 bl. 4</w:t>
      </w:r>
      <w:r w:rsidR="0060671D">
        <w:t>; amended: SL 2021/110 bl. 5</w:t>
      </w:r>
      <w:r>
        <w:t>.]</w:t>
      </w:r>
    </w:p>
    <w:p w:rsidR="001E63B4" w:rsidRDefault="001E63B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E63B4" w:rsidRDefault="001E63B4">
      <w:pPr>
        <w:sectPr w:rsidR="001E63B4">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rsidR="001E63B4" w:rsidRDefault="001E63B4">
      <w:pPr>
        <w:pStyle w:val="nHeading2"/>
      </w:pPr>
      <w:bookmarkStart w:id="62" w:name="_Toc75774409"/>
      <w:bookmarkStart w:id="63" w:name="_Toc75781378"/>
      <w:bookmarkStart w:id="64" w:name="_Toc75781541"/>
      <w:bookmarkStart w:id="65" w:name="_Toc75855927"/>
      <w:bookmarkStart w:id="66" w:name="_Toc75855962"/>
      <w:r>
        <w:lastRenderedPageBreak/>
        <w:t>Notes</w:t>
      </w:r>
      <w:bookmarkEnd w:id="62"/>
      <w:bookmarkEnd w:id="63"/>
      <w:bookmarkEnd w:id="64"/>
      <w:bookmarkEnd w:id="65"/>
      <w:bookmarkEnd w:id="66"/>
    </w:p>
    <w:p w:rsidR="001E63B4" w:rsidRDefault="001E63B4">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w:t>
      </w:r>
    </w:p>
    <w:p w:rsidR="001E63B4" w:rsidRDefault="001E63B4">
      <w:pPr>
        <w:pStyle w:val="nHeading3"/>
      </w:pPr>
      <w:bookmarkStart w:id="67" w:name="_Toc75855963"/>
      <w:r>
        <w:t>Compilation table</w:t>
      </w:r>
      <w:bookmarkEnd w:id="6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E63B4" w:rsidTr="00C71B6F">
        <w:trPr>
          <w:cantSplit/>
          <w:tblHeader/>
        </w:trPr>
        <w:tc>
          <w:tcPr>
            <w:tcW w:w="3119" w:type="dxa"/>
          </w:tcPr>
          <w:p w:rsidR="001E63B4" w:rsidRDefault="001E63B4">
            <w:pPr>
              <w:pStyle w:val="nTable"/>
              <w:spacing w:after="40"/>
              <w:rPr>
                <w:b/>
              </w:rPr>
            </w:pPr>
            <w:r>
              <w:rPr>
                <w:b/>
              </w:rPr>
              <w:t>Citation</w:t>
            </w:r>
          </w:p>
        </w:tc>
        <w:tc>
          <w:tcPr>
            <w:tcW w:w="1276" w:type="dxa"/>
          </w:tcPr>
          <w:p w:rsidR="001E63B4" w:rsidRDefault="001E63B4">
            <w:pPr>
              <w:pStyle w:val="nTable"/>
              <w:spacing w:after="40"/>
              <w:rPr>
                <w:b/>
              </w:rPr>
            </w:pPr>
            <w:r>
              <w:rPr>
                <w:b/>
              </w:rPr>
              <w:t>Published</w:t>
            </w:r>
          </w:p>
        </w:tc>
        <w:tc>
          <w:tcPr>
            <w:tcW w:w="2693" w:type="dxa"/>
          </w:tcPr>
          <w:p w:rsidR="001E63B4" w:rsidRDefault="001E63B4">
            <w:pPr>
              <w:pStyle w:val="nTable"/>
              <w:spacing w:after="40"/>
              <w:rPr>
                <w:b/>
              </w:rPr>
            </w:pPr>
            <w:r>
              <w:rPr>
                <w:b/>
              </w:rPr>
              <w:t>Commencement</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rsidR="001E63B4" w:rsidRDefault="001E63B4">
            <w:pPr>
              <w:pStyle w:val="nTable"/>
              <w:keepNext/>
              <w:keepLines/>
              <w:spacing w:after="40"/>
            </w:pPr>
            <w:r>
              <w:t>31 Mar 2006 p. 1279</w:t>
            </w:r>
            <w:r>
              <w:noBreakHyphen/>
              <w:t>97</w:t>
            </w:r>
          </w:p>
        </w:tc>
        <w:tc>
          <w:tcPr>
            <w:tcW w:w="2693" w:type="dxa"/>
          </w:tcPr>
          <w:p w:rsidR="001E63B4" w:rsidRDefault="001E63B4">
            <w:pPr>
              <w:pStyle w:val="nTable"/>
              <w:keepNext/>
              <w:keepLines/>
              <w:spacing w:after="40"/>
            </w:pPr>
            <w:r>
              <w:t>1 Apr 2006 (see bl. 2)</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rsidR="001E63B4" w:rsidRDefault="001E63B4">
            <w:pPr>
              <w:pStyle w:val="nTable"/>
              <w:keepLines/>
              <w:spacing w:after="40"/>
            </w:pPr>
            <w:r>
              <w:t>29 Jun 2007 p. 3192</w:t>
            </w:r>
            <w:r>
              <w:noBreakHyphen/>
              <w:t>3</w:t>
            </w:r>
          </w:p>
        </w:tc>
        <w:tc>
          <w:tcPr>
            <w:tcW w:w="2693" w:type="dxa"/>
          </w:tcPr>
          <w:p w:rsidR="001E63B4" w:rsidRDefault="001E63B4">
            <w:pPr>
              <w:pStyle w:val="nTable"/>
              <w:keepLines/>
              <w:spacing w:after="40"/>
            </w:pPr>
            <w:r>
              <w:t>bl. 1 and 2: 29 Jun 2007 (see bl. 2(a));</w:t>
            </w:r>
            <w:r>
              <w:br/>
              <w:t>By</w:t>
            </w:r>
            <w:r>
              <w:noBreakHyphen/>
              <w:t>laws other than bl. 1 and 2: 1 Jul 2007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rsidR="001E63B4" w:rsidRDefault="001E63B4">
            <w:pPr>
              <w:pStyle w:val="nTable"/>
              <w:keepLines/>
              <w:spacing w:after="40"/>
            </w:pPr>
            <w:r>
              <w:t>30 </w:t>
            </w:r>
            <w:r>
              <w:rPr>
                <w:noProof/>
                <w:snapToGrid w:val="0"/>
              </w:rPr>
              <w:t>Mar</w:t>
            </w:r>
            <w:r>
              <w:t> 2009 p. 997</w:t>
            </w:r>
            <w:r>
              <w:noBreakHyphen/>
              <w:t>1017</w:t>
            </w:r>
          </w:p>
        </w:tc>
        <w:tc>
          <w:tcPr>
            <w:tcW w:w="2693" w:type="dxa"/>
          </w:tcPr>
          <w:p w:rsidR="001E63B4" w:rsidRDefault="001E63B4">
            <w:pPr>
              <w:pStyle w:val="nTable"/>
              <w:keepLines/>
              <w:spacing w:after="40"/>
            </w:pPr>
            <w:r>
              <w:rPr>
                <w:iCs/>
                <w:noProof/>
                <w:snapToGrid w:val="0"/>
              </w:rPr>
              <w:t>bl. </w:t>
            </w:r>
            <w:r>
              <w:t>1 and 2: 30 Mar 2009 (see bl. 2(a));</w:t>
            </w:r>
            <w:r>
              <w:br/>
              <w:t>bl. 3 and Pt. 2: 1 Apr 2009 (see bl. 2(b));</w:t>
            </w:r>
            <w:r>
              <w:br/>
              <w:t>Pt. 3: 1 Jul 2009 (see bl. 2(c))</w:t>
            </w:r>
          </w:p>
        </w:tc>
      </w:tr>
      <w:tr w:rsidR="001E63B4" w:rsidTr="00C71B6F">
        <w:tblPrEx>
          <w:tblBorders>
            <w:top w:val="none" w:sz="0" w:space="0" w:color="auto"/>
            <w:bottom w:val="none" w:sz="0" w:space="0" w:color="auto"/>
            <w:insideH w:val="none" w:sz="0" w:space="0" w:color="auto"/>
          </w:tblBorders>
        </w:tblPrEx>
        <w:trPr>
          <w:cantSplit/>
        </w:trPr>
        <w:tc>
          <w:tcPr>
            <w:tcW w:w="7088" w:type="dxa"/>
            <w:gridSpan w:val="3"/>
          </w:tcPr>
          <w:p w:rsidR="001E63B4" w:rsidRDefault="001E63B4">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rsidR="001E63B4" w:rsidRDefault="001E63B4">
            <w:pPr>
              <w:pStyle w:val="nTable"/>
              <w:keepLines/>
              <w:spacing w:after="40"/>
            </w:pPr>
            <w:r>
              <w:t>26 Mar 2010 p. 1171-89</w:t>
            </w:r>
          </w:p>
        </w:tc>
        <w:tc>
          <w:tcPr>
            <w:tcW w:w="2693" w:type="dxa"/>
          </w:tcPr>
          <w:p w:rsidR="001E63B4" w:rsidRDefault="001E63B4">
            <w:pPr>
              <w:pStyle w:val="nTable"/>
              <w:keepLines/>
              <w:spacing w:after="40"/>
            </w:pPr>
            <w:r>
              <w:t>Pt. 1: 26 Mar 2010 (see bl. 2(a));</w:t>
            </w:r>
            <w:r>
              <w:br/>
              <w:t>Pt. 2: 1 Apr 2010 (see bl. 2(b));</w:t>
            </w:r>
            <w:r>
              <w:br/>
              <w:t>Pt. 3: 1 Jul 2010 (see bl. 2(c))</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rsidR="001E63B4" w:rsidRDefault="001E63B4">
            <w:pPr>
              <w:pStyle w:val="nTable"/>
              <w:keepLines/>
              <w:spacing w:after="40"/>
            </w:pPr>
            <w:r>
              <w:t>24 Jun 2011 p. 2495</w:t>
            </w:r>
            <w:r>
              <w:noBreakHyphen/>
              <w:t>8</w:t>
            </w:r>
          </w:p>
        </w:tc>
        <w:tc>
          <w:tcPr>
            <w:tcW w:w="2693" w:type="dxa"/>
          </w:tcPr>
          <w:p w:rsidR="001E63B4" w:rsidRDefault="001E63B4">
            <w:pPr>
              <w:pStyle w:val="nTable"/>
              <w:keepLines/>
              <w:spacing w:after="40"/>
            </w:pPr>
            <w:r>
              <w:t>bl. 1 and 2: 24 Jun 2011 (see bl. 2(a));</w:t>
            </w:r>
            <w:r>
              <w:br/>
              <w:t>By</w:t>
            </w:r>
            <w:r>
              <w:noBreakHyphen/>
              <w:t>laws other than bl. 1 and 2: 1 Jul 2011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noProof/>
                <w:snapToGrid w:val="0"/>
              </w:rPr>
            </w:pPr>
            <w:r>
              <w:rPr>
                <w:i/>
                <w:noProof/>
                <w:snapToGrid w:val="0"/>
              </w:rPr>
              <w:t>Energy Operators (Regional Power Corporation) (Charges) Amendment By laws 2012</w:t>
            </w:r>
          </w:p>
        </w:tc>
        <w:tc>
          <w:tcPr>
            <w:tcW w:w="1276" w:type="dxa"/>
          </w:tcPr>
          <w:p w:rsidR="001E63B4" w:rsidRDefault="001E63B4">
            <w:pPr>
              <w:pStyle w:val="nTable"/>
              <w:keepLines/>
              <w:spacing w:after="40"/>
            </w:pPr>
            <w:r>
              <w:t>29 Jun 2012 p. 2899-911</w:t>
            </w:r>
          </w:p>
        </w:tc>
        <w:tc>
          <w:tcPr>
            <w:tcW w:w="2693" w:type="dxa"/>
          </w:tcPr>
          <w:p w:rsidR="001E63B4" w:rsidRDefault="001E63B4">
            <w:pPr>
              <w:pStyle w:val="nTable"/>
              <w:keepLines/>
              <w:spacing w:after="40"/>
            </w:pPr>
            <w:r>
              <w:t>bl. 1 and 2: 29 Jun 2012 (see bl. 2(a));</w:t>
            </w:r>
            <w:r>
              <w:br/>
              <w:t>By</w:t>
            </w:r>
            <w:r>
              <w:noBreakHyphen/>
              <w:t>laws other than bl. 1 and 2: 1 Jul 2012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noProof/>
                <w:snapToGrid w:val="0"/>
              </w:rPr>
            </w:pPr>
            <w:r>
              <w:rPr>
                <w:i/>
                <w:noProof/>
                <w:snapToGrid w:val="0"/>
              </w:rPr>
              <w:t>Energy Operators (Regional Power Corporation) (Charges) Amendment By laws (No. 2) 2012</w:t>
            </w:r>
          </w:p>
        </w:tc>
        <w:tc>
          <w:tcPr>
            <w:tcW w:w="1276" w:type="dxa"/>
          </w:tcPr>
          <w:p w:rsidR="001E63B4" w:rsidRDefault="001E63B4">
            <w:pPr>
              <w:pStyle w:val="nTable"/>
              <w:keepLines/>
              <w:spacing w:after="40"/>
            </w:pPr>
            <w:r>
              <w:t>21 Sep 2012 p. 4423</w:t>
            </w:r>
          </w:p>
        </w:tc>
        <w:tc>
          <w:tcPr>
            <w:tcW w:w="2693" w:type="dxa"/>
          </w:tcPr>
          <w:p w:rsidR="001E63B4" w:rsidRDefault="001E63B4">
            <w:pPr>
              <w:pStyle w:val="nTable"/>
              <w:keepLines/>
              <w:spacing w:after="40"/>
            </w:pPr>
            <w:r>
              <w:t>bl. 1 and 2: 21 Sep 2012 (see bl. 2(a));</w:t>
            </w:r>
            <w:r>
              <w:br/>
              <w:t>By</w:t>
            </w:r>
            <w:r>
              <w:noBreakHyphen/>
              <w:t>laws other than bl. 1 and 2: 1 Oct 2012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tcPr>
          <w:p w:rsidR="001E63B4" w:rsidRDefault="001E63B4">
            <w:pPr>
              <w:pStyle w:val="nTable"/>
              <w:keepLines/>
              <w:spacing w:after="40"/>
              <w:rPr>
                <w:i/>
                <w:noProof/>
                <w:snapToGrid w:val="0"/>
              </w:rPr>
            </w:pPr>
            <w:r>
              <w:rPr>
                <w:i/>
                <w:noProof/>
                <w:snapToGrid w:val="0"/>
              </w:rPr>
              <w:t>Energy Operators (Regional Power Corporation) (Charges) Amendment By-laws 2013</w:t>
            </w:r>
          </w:p>
        </w:tc>
        <w:tc>
          <w:tcPr>
            <w:tcW w:w="1276" w:type="dxa"/>
          </w:tcPr>
          <w:p w:rsidR="001E63B4" w:rsidRDefault="001E63B4">
            <w:pPr>
              <w:pStyle w:val="nTable"/>
              <w:keepLines/>
              <w:spacing w:after="40"/>
            </w:pPr>
            <w:r>
              <w:t>14 Jun 2013 p. 2223-7</w:t>
            </w:r>
          </w:p>
        </w:tc>
        <w:tc>
          <w:tcPr>
            <w:tcW w:w="2693" w:type="dxa"/>
          </w:tcPr>
          <w:p w:rsidR="001E63B4" w:rsidRDefault="001E63B4">
            <w:pPr>
              <w:pStyle w:val="nTable"/>
              <w:keepLines/>
              <w:spacing w:after="40"/>
            </w:pPr>
            <w:r>
              <w:t>bl. 1 and 2: 14 Jun 2013 (see bl. 2(a));</w:t>
            </w:r>
            <w:r>
              <w:br/>
              <w:t>By</w:t>
            </w:r>
            <w:r>
              <w:noBreakHyphen/>
              <w:t>laws other than bl. 1 and 2: 1 Jul 2013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rsidR="001E63B4" w:rsidRDefault="001E63B4">
            <w:pPr>
              <w:pStyle w:val="nTable"/>
              <w:keepLines/>
              <w:spacing w:after="40"/>
            </w:pPr>
            <w:r>
              <w:t>30 Aug 2013 p. 4093-6</w:t>
            </w:r>
          </w:p>
        </w:tc>
        <w:tc>
          <w:tcPr>
            <w:tcW w:w="2693" w:type="dxa"/>
            <w:shd w:val="clear" w:color="auto" w:fill="auto"/>
          </w:tcPr>
          <w:p w:rsidR="001E63B4" w:rsidRDefault="001E63B4">
            <w:pPr>
              <w:pStyle w:val="nTable"/>
              <w:keepLines/>
              <w:spacing w:after="40"/>
            </w:pPr>
            <w:r>
              <w:t>bl. 1 and 2: 30 Aug 2013 (see bl. 2(a));</w:t>
            </w:r>
            <w:r>
              <w:br/>
              <w:t>By</w:t>
            </w:r>
            <w:r>
              <w:noBreakHyphen/>
              <w:t>laws other than bl. 1 and 2: 1 Sep 2013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rsidR="001E63B4" w:rsidRDefault="001E63B4">
            <w:pPr>
              <w:pStyle w:val="nTable"/>
              <w:keepLines/>
              <w:spacing w:after="40"/>
            </w:pPr>
            <w:r>
              <w:t>27 Jun 2014 p. 2319-26</w:t>
            </w:r>
          </w:p>
        </w:tc>
        <w:tc>
          <w:tcPr>
            <w:tcW w:w="2693" w:type="dxa"/>
            <w:shd w:val="clear" w:color="auto" w:fill="auto"/>
          </w:tcPr>
          <w:p w:rsidR="001E63B4" w:rsidRDefault="001E63B4">
            <w:pPr>
              <w:pStyle w:val="nTable"/>
              <w:keepLines/>
              <w:spacing w:after="40"/>
            </w:pPr>
            <w:r>
              <w:t>bl. 1 and 2: 27 Jun 2014 (see bl. 2(a));</w:t>
            </w:r>
            <w:r>
              <w:br/>
              <w:t>By</w:t>
            </w:r>
            <w:r>
              <w:noBreakHyphen/>
              <w:t>laws other than bl. 1 and 2: 1 Jul 2014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rsidR="001E63B4" w:rsidRDefault="001E63B4">
            <w:pPr>
              <w:pStyle w:val="nTable"/>
              <w:keepLines/>
              <w:spacing w:after="40"/>
            </w:pPr>
            <w:r>
              <w:t>22 Aug 2014 p. 3017</w:t>
            </w:r>
            <w:r>
              <w:noBreakHyphen/>
              <w:t>23</w:t>
            </w:r>
          </w:p>
        </w:tc>
        <w:tc>
          <w:tcPr>
            <w:tcW w:w="2693" w:type="dxa"/>
            <w:shd w:val="clear" w:color="auto" w:fill="auto"/>
          </w:tcPr>
          <w:p w:rsidR="001E63B4" w:rsidRDefault="001E63B4">
            <w:pPr>
              <w:pStyle w:val="nTable"/>
              <w:keepLines/>
              <w:spacing w:after="40"/>
            </w:pPr>
            <w:r>
              <w:t>bl. 1 and 2: 22 Aug 2014 (see bl. 2(a));</w:t>
            </w:r>
            <w:r>
              <w:br/>
              <w:t>By</w:t>
            </w:r>
            <w:r>
              <w:noBreakHyphen/>
              <w:t>laws other than bl. 1 and 2: 1 Sep 2014 (see bl. 2(b))</w:t>
            </w:r>
          </w:p>
        </w:tc>
      </w:tr>
      <w:tr w:rsidR="001E63B4" w:rsidTr="00C71B6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E63B4" w:rsidRDefault="001E63B4">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rsidR="001E63B4" w:rsidRDefault="001E63B4">
            <w:pPr>
              <w:pStyle w:val="nTable"/>
              <w:keepLines/>
              <w:spacing w:after="40"/>
              <w:rPr>
                <w:b/>
                <w:bCs/>
                <w:iCs/>
                <w:noProof/>
                <w:snapToGrid w:val="0"/>
              </w:rPr>
            </w:pPr>
            <w:r>
              <w:t>26 Jun 2015 p. 2247</w:t>
            </w:r>
            <w:r>
              <w:noBreakHyphen/>
              <w:t>52</w:t>
            </w:r>
          </w:p>
        </w:tc>
        <w:tc>
          <w:tcPr>
            <w:tcW w:w="2693" w:type="dxa"/>
            <w:shd w:val="clear" w:color="auto" w:fill="auto"/>
          </w:tcPr>
          <w:p w:rsidR="001E63B4" w:rsidRDefault="001E63B4">
            <w:pPr>
              <w:pStyle w:val="nTable"/>
              <w:keepLines/>
              <w:spacing w:after="40"/>
              <w:rPr>
                <w:b/>
                <w:bCs/>
                <w:iCs/>
                <w:noProof/>
                <w:snapToGrid w:val="0"/>
              </w:rPr>
            </w:pPr>
            <w:r>
              <w:t>bl. 1 and 2: 26 Jun 2015 (see bl. 2(a));</w:t>
            </w:r>
            <w:r>
              <w:br/>
              <w:t>By</w:t>
            </w:r>
            <w:r>
              <w:noBreakHyphen/>
              <w:t>laws other than bl. 1 and 2: 1 Jul 2015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rsidR="001E63B4" w:rsidRDefault="001E63B4">
            <w:pPr>
              <w:pStyle w:val="nTable"/>
              <w:keepLines/>
              <w:spacing w:after="40"/>
            </w:pPr>
            <w:r>
              <w:t>28 Jun 2016 p. 2626</w:t>
            </w:r>
            <w:r>
              <w:noBreakHyphen/>
              <w:t>8</w:t>
            </w:r>
          </w:p>
        </w:tc>
        <w:tc>
          <w:tcPr>
            <w:tcW w:w="2693" w:type="dxa"/>
            <w:shd w:val="clear" w:color="auto" w:fill="auto"/>
          </w:tcPr>
          <w:p w:rsidR="001E63B4" w:rsidRDefault="001E63B4">
            <w:pPr>
              <w:pStyle w:val="nTable"/>
              <w:keepLines/>
              <w:spacing w:after="40"/>
            </w:pPr>
            <w:r>
              <w:t>bl. 1 and 2: 28 Jun 2016 (see bl. 2(a));</w:t>
            </w:r>
            <w:r>
              <w:br/>
              <w:t>By</w:t>
            </w:r>
            <w:r>
              <w:noBreakHyphen/>
              <w:t>laws other than bl. 1 and 2: 1 Jul 2016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rsidR="001E63B4" w:rsidRDefault="001E63B4">
            <w:pPr>
              <w:pStyle w:val="nTable"/>
              <w:keepLines/>
              <w:spacing w:after="40"/>
            </w:pPr>
            <w:r>
              <w:t>31 Aug 2016 p. 3707</w:t>
            </w:r>
            <w:r>
              <w:noBreakHyphen/>
              <w:t>10</w:t>
            </w:r>
          </w:p>
        </w:tc>
        <w:tc>
          <w:tcPr>
            <w:tcW w:w="2693" w:type="dxa"/>
            <w:shd w:val="clear" w:color="auto" w:fill="auto"/>
          </w:tcPr>
          <w:p w:rsidR="001E63B4" w:rsidRDefault="001E63B4">
            <w:pPr>
              <w:pStyle w:val="nTable"/>
              <w:keepLines/>
              <w:spacing w:after="40"/>
            </w:pPr>
            <w:r>
              <w:t>bl. 1 and 2: 31 Aug 2016 (see bl. 2(a));</w:t>
            </w:r>
            <w:r>
              <w:br/>
              <w:t>By</w:t>
            </w:r>
            <w:r>
              <w:noBreakHyphen/>
              <w:t>laws other than bl. 1 and 2: 1 Sep 2016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rsidR="001E63B4" w:rsidRDefault="001E63B4">
            <w:pPr>
              <w:pStyle w:val="nTable"/>
              <w:keepLines/>
              <w:spacing w:after="40"/>
            </w:pPr>
            <w:r>
              <w:t>27 Jun 2017 p. 3419</w:t>
            </w:r>
            <w:r>
              <w:noBreakHyphen/>
              <w:t>24</w:t>
            </w:r>
          </w:p>
        </w:tc>
        <w:tc>
          <w:tcPr>
            <w:tcW w:w="2693" w:type="dxa"/>
            <w:shd w:val="clear" w:color="auto" w:fill="auto"/>
          </w:tcPr>
          <w:p w:rsidR="001E63B4" w:rsidRDefault="001E63B4">
            <w:pPr>
              <w:pStyle w:val="nTable"/>
              <w:keepLines/>
              <w:spacing w:after="40"/>
            </w:pPr>
            <w:r>
              <w:t>bl. 1 and 2: 27 Jun 2017 (see bl. 2(a));</w:t>
            </w:r>
            <w:r>
              <w:br/>
              <w:t>By-laws other than bl. 1 and 2: 1 Jul 2017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rsidR="001E63B4" w:rsidRDefault="001E63B4">
            <w:pPr>
              <w:pStyle w:val="nTable"/>
              <w:keepLines/>
              <w:spacing w:after="40"/>
            </w:pPr>
            <w:r>
              <w:t>30 Jun 2017 p. 3562</w:t>
            </w:r>
            <w:r>
              <w:noBreakHyphen/>
              <w:t>4</w:t>
            </w:r>
          </w:p>
        </w:tc>
        <w:tc>
          <w:tcPr>
            <w:tcW w:w="2693" w:type="dxa"/>
            <w:shd w:val="clear" w:color="auto" w:fill="auto"/>
          </w:tcPr>
          <w:p w:rsidR="001E63B4" w:rsidRDefault="001E63B4">
            <w:pPr>
              <w:pStyle w:val="nTable"/>
              <w:keepLines/>
              <w:spacing w:after="40"/>
            </w:pPr>
            <w:r>
              <w:t>bl. 1 and 2: 30 Jun 2017 (see bl. 2(a));</w:t>
            </w:r>
            <w:r>
              <w:br/>
              <w:t>By-laws other than bl. 1 and 2: 1 Jul 2017 (see bl. 2(b)(i))</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rsidR="001E63B4" w:rsidRDefault="001E63B4">
            <w:pPr>
              <w:pStyle w:val="nTable"/>
              <w:keepLines/>
              <w:spacing w:after="40"/>
            </w:pPr>
            <w:r>
              <w:t>22 Dec 2017 p. 5978</w:t>
            </w:r>
            <w:r>
              <w:noBreakHyphen/>
              <w:t>83</w:t>
            </w:r>
          </w:p>
        </w:tc>
        <w:tc>
          <w:tcPr>
            <w:tcW w:w="2693" w:type="dxa"/>
            <w:shd w:val="clear" w:color="auto" w:fill="auto"/>
          </w:tcPr>
          <w:p w:rsidR="001E63B4" w:rsidRDefault="001E63B4">
            <w:pPr>
              <w:pStyle w:val="nTable"/>
              <w:keepLines/>
              <w:spacing w:after="40"/>
            </w:pPr>
            <w:r>
              <w:t>bl. 1 and 2: 22 Dec 2017 (see bl. 2(a));</w:t>
            </w:r>
            <w:r>
              <w:br/>
              <w:t>By-laws other than bl. 1 and 2: 1 Jan 2018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rsidR="001E63B4" w:rsidRDefault="001E63B4">
            <w:pPr>
              <w:pStyle w:val="nTable"/>
              <w:keepLines/>
              <w:spacing w:after="40"/>
            </w:pPr>
            <w:r>
              <w:t>26 Jun 2018 p. 2361</w:t>
            </w:r>
            <w:r>
              <w:noBreakHyphen/>
              <w:t>71</w:t>
            </w:r>
          </w:p>
        </w:tc>
        <w:tc>
          <w:tcPr>
            <w:tcW w:w="2693" w:type="dxa"/>
            <w:shd w:val="clear" w:color="auto" w:fill="auto"/>
          </w:tcPr>
          <w:p w:rsidR="001E63B4" w:rsidRDefault="001E63B4">
            <w:pPr>
              <w:pStyle w:val="nTable"/>
              <w:keepLines/>
              <w:spacing w:after="40"/>
            </w:pPr>
            <w:r>
              <w:t>bl. 1 and 2: 26 Jun 2018 (see bl. 2(a));</w:t>
            </w:r>
            <w:r>
              <w:br/>
              <w:t>By-laws other than bl. 1 and 2: 1 Jul 2018 (see bl. 2(b))</w:t>
            </w:r>
          </w:p>
        </w:tc>
      </w:tr>
      <w:tr w:rsidR="001E63B4" w:rsidTr="00C71B6F">
        <w:trPr>
          <w:cantSplit/>
        </w:trPr>
        <w:tc>
          <w:tcPr>
            <w:tcW w:w="3119" w:type="dxa"/>
            <w:tcBorders>
              <w:bottom w:val="nil"/>
            </w:tcBorders>
            <w:shd w:val="clear" w:color="auto" w:fill="auto"/>
          </w:tcPr>
          <w:p w:rsidR="001E63B4" w:rsidRDefault="001E63B4">
            <w:pPr>
              <w:pStyle w:val="nTable"/>
              <w:keepLines/>
              <w:spacing w:after="40"/>
              <w:rPr>
                <w:i/>
              </w:rPr>
            </w:pPr>
            <w:r>
              <w:rPr>
                <w:i/>
              </w:rPr>
              <w:lastRenderedPageBreak/>
              <w:t>Energy Operators (Regional Power Corporation) (Charges) Amendment By</w:t>
            </w:r>
            <w:r>
              <w:rPr>
                <w:i/>
              </w:rPr>
              <w:noBreakHyphen/>
              <w:t>laws 2019</w:t>
            </w:r>
          </w:p>
        </w:tc>
        <w:tc>
          <w:tcPr>
            <w:tcW w:w="1276" w:type="dxa"/>
            <w:tcBorders>
              <w:bottom w:val="nil"/>
            </w:tcBorders>
            <w:shd w:val="clear" w:color="auto" w:fill="auto"/>
          </w:tcPr>
          <w:p w:rsidR="001E63B4" w:rsidRDefault="001E63B4">
            <w:pPr>
              <w:pStyle w:val="nTable"/>
              <w:keepLines/>
              <w:spacing w:after="40"/>
            </w:pPr>
            <w:r>
              <w:t>21 Jun 2019 p. 2127</w:t>
            </w:r>
            <w:r>
              <w:noBreakHyphen/>
              <w:t>36</w:t>
            </w:r>
          </w:p>
        </w:tc>
        <w:tc>
          <w:tcPr>
            <w:tcW w:w="2693" w:type="dxa"/>
            <w:tcBorders>
              <w:bottom w:val="nil"/>
            </w:tcBorders>
            <w:shd w:val="clear" w:color="auto" w:fill="auto"/>
          </w:tcPr>
          <w:p w:rsidR="001E63B4" w:rsidRDefault="001E63B4">
            <w:pPr>
              <w:pStyle w:val="nTable"/>
              <w:keepLines/>
              <w:spacing w:after="40"/>
            </w:pPr>
            <w:r>
              <w:t>bl. 1 and 2: 21 Jun 2019 (see bl. 2(a));</w:t>
            </w:r>
            <w:r>
              <w:br/>
              <w:t>By-laws other than bl. 1 and 2: 1 Jul 2019 (see bl. 2(b))</w:t>
            </w:r>
          </w:p>
        </w:tc>
      </w:tr>
      <w:tr w:rsidR="001E63B4" w:rsidTr="00C71B6F">
        <w:tblPrEx>
          <w:tblBorders>
            <w:top w:val="none" w:sz="0" w:space="0" w:color="auto"/>
            <w:bottom w:val="none" w:sz="0" w:space="0" w:color="auto"/>
            <w:insideH w:val="none" w:sz="0" w:space="0" w:color="auto"/>
          </w:tblBorders>
        </w:tblPrEx>
        <w:trPr>
          <w:cantSplit/>
        </w:trPr>
        <w:tc>
          <w:tcPr>
            <w:tcW w:w="3119" w:type="dxa"/>
            <w:shd w:val="clear" w:color="auto" w:fill="auto"/>
          </w:tcPr>
          <w:p w:rsidR="001E63B4" w:rsidRDefault="001E63B4">
            <w:pPr>
              <w:pStyle w:val="nTable"/>
              <w:keepLines/>
              <w:spacing w:after="40"/>
              <w:rPr>
                <w:i/>
              </w:rPr>
            </w:pPr>
            <w:r>
              <w:rPr>
                <w:i/>
              </w:rPr>
              <w:t>Energy Operators (Regional Power Corporation) (Charges) Amendment By-laws 2020</w:t>
            </w:r>
          </w:p>
        </w:tc>
        <w:tc>
          <w:tcPr>
            <w:tcW w:w="1276" w:type="dxa"/>
            <w:shd w:val="clear" w:color="auto" w:fill="auto"/>
          </w:tcPr>
          <w:p w:rsidR="001E63B4" w:rsidRDefault="001E63B4">
            <w:pPr>
              <w:pStyle w:val="nTable"/>
              <w:keepLines/>
              <w:spacing w:after="40"/>
            </w:pPr>
            <w:r>
              <w:t>SL 2020/78 9 Jun 2020</w:t>
            </w:r>
          </w:p>
        </w:tc>
        <w:tc>
          <w:tcPr>
            <w:tcW w:w="2693" w:type="dxa"/>
            <w:shd w:val="clear" w:color="auto" w:fill="auto"/>
          </w:tcPr>
          <w:p w:rsidR="001E63B4" w:rsidRDefault="001E63B4">
            <w:pPr>
              <w:pStyle w:val="nTable"/>
              <w:keepLines/>
              <w:spacing w:after="40"/>
            </w:pPr>
            <w:r>
              <w:t>bl. 1 and 2: 9 Jun 2020 (see bl. 2(a));</w:t>
            </w:r>
            <w:r>
              <w:br/>
              <w:t>By-laws other than bl. 1 and 2: 1 Jul 2020 (see bl. 2(b))</w:t>
            </w:r>
          </w:p>
        </w:tc>
      </w:tr>
      <w:tr w:rsidR="00BF13F8" w:rsidTr="00C71B6F">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rsidR="00BF13F8" w:rsidRDefault="00BF13F8" w:rsidP="00BF13F8">
            <w:pPr>
              <w:pStyle w:val="nTable"/>
              <w:keepLines/>
              <w:spacing w:after="40"/>
              <w:rPr>
                <w:i/>
              </w:rPr>
            </w:pPr>
            <w:r>
              <w:rPr>
                <w:i/>
              </w:rPr>
              <w:t>Energy Operators (Regional Power Corporation) (Charges) Amendment By-laws 2021</w:t>
            </w:r>
          </w:p>
        </w:tc>
        <w:tc>
          <w:tcPr>
            <w:tcW w:w="1276" w:type="dxa"/>
            <w:tcBorders>
              <w:bottom w:val="single" w:sz="8" w:space="0" w:color="auto"/>
            </w:tcBorders>
            <w:shd w:val="clear" w:color="auto" w:fill="auto"/>
          </w:tcPr>
          <w:p w:rsidR="00BF13F8" w:rsidRDefault="00BF13F8" w:rsidP="00BF13F8">
            <w:pPr>
              <w:pStyle w:val="nTable"/>
              <w:keepLines/>
              <w:spacing w:after="40"/>
            </w:pPr>
            <w:r>
              <w:t>SL 2021/110 29 Jun 2021</w:t>
            </w:r>
          </w:p>
        </w:tc>
        <w:tc>
          <w:tcPr>
            <w:tcW w:w="2693" w:type="dxa"/>
            <w:tcBorders>
              <w:bottom w:val="single" w:sz="8" w:space="0" w:color="auto"/>
            </w:tcBorders>
            <w:shd w:val="clear" w:color="auto" w:fill="auto"/>
          </w:tcPr>
          <w:p w:rsidR="00BF13F8" w:rsidRDefault="00BF13F8" w:rsidP="00BF13F8">
            <w:pPr>
              <w:pStyle w:val="nTable"/>
              <w:keepLines/>
              <w:spacing w:after="40"/>
            </w:pPr>
            <w:r>
              <w:t>bl. 1 and 2: 29 Jun 2021 (see bl. 2(a));</w:t>
            </w:r>
            <w:r>
              <w:br/>
              <w:t>By-laws other than bl. 1 and 2: 1 Jul 2021 (see bl. 2(b))</w:t>
            </w:r>
          </w:p>
        </w:tc>
      </w:tr>
    </w:tbl>
    <w:p w:rsidR="001E63B4" w:rsidRDefault="001E63B4"/>
    <w:p w:rsidR="001E63B4" w:rsidRDefault="001E63B4">
      <w:pPr>
        <w:sectPr w:rsidR="001E63B4">
          <w:headerReference w:type="even" r:id="rId27"/>
          <w:headerReference w:type="default" r:id="rId28"/>
          <w:pgSz w:w="11907" w:h="16840" w:code="9"/>
          <w:pgMar w:top="2376" w:right="2404" w:bottom="3544" w:left="2404" w:header="720" w:footer="3380" w:gutter="0"/>
          <w:cols w:space="720"/>
          <w:noEndnote/>
          <w:docGrid w:linePitch="326"/>
        </w:sectPr>
      </w:pPr>
    </w:p>
    <w:p w:rsidR="00EF0335" w:rsidRDefault="00EF0335">
      <w:pPr>
        <w:pStyle w:val="nHeading2"/>
        <w:rPr>
          <w:sz w:val="28"/>
        </w:rPr>
      </w:pPr>
      <w:r>
        <w:rPr>
          <w:sz w:val="28"/>
        </w:rPr>
        <w:lastRenderedPageBreak/>
        <w:t>Defined terms</w:t>
      </w:r>
    </w:p>
    <w:p w:rsidR="00EF0335" w:rsidRDefault="00EF0335">
      <w:pPr>
        <w:ind w:left="850" w:right="850"/>
        <w:jc w:val="center"/>
        <w:rPr>
          <w:i/>
          <w:sz w:val="18"/>
        </w:rPr>
      </w:pPr>
    </w:p>
    <w:p w:rsidR="00EF0335" w:rsidRDefault="00EF0335">
      <w:pPr>
        <w:ind w:left="850" w:right="850"/>
        <w:jc w:val="center"/>
        <w:rPr>
          <w:i/>
          <w:sz w:val="18"/>
        </w:rPr>
      </w:pPr>
      <w:r>
        <w:rPr>
          <w:i/>
          <w:sz w:val="18"/>
        </w:rPr>
        <w:t>[This is a list of terms defined and the provisions where they are defined.  The list is not part of the law.]</w:t>
      </w:r>
    </w:p>
    <w:p w:rsidR="00EF0335" w:rsidRDefault="00EF0335">
      <w:pPr>
        <w:pBdr>
          <w:bottom w:val="single" w:sz="4" w:space="1" w:color="auto"/>
        </w:pBdr>
        <w:tabs>
          <w:tab w:val="right" w:pos="7070"/>
        </w:tabs>
        <w:ind w:left="578"/>
        <w:rPr>
          <w:b/>
          <w:sz w:val="20"/>
        </w:rPr>
      </w:pPr>
      <w:r>
        <w:rPr>
          <w:b/>
          <w:sz w:val="20"/>
        </w:rPr>
        <w:t>Defined term</w:t>
      </w:r>
      <w:r>
        <w:rPr>
          <w:b/>
          <w:sz w:val="20"/>
        </w:rPr>
        <w:tab/>
        <w:t>Provision(s)</w:t>
      </w:r>
    </w:p>
    <w:p w:rsidR="001E63B4" w:rsidRDefault="00EF0335" w:rsidP="00EF0335">
      <w:pPr>
        <w:pStyle w:val="DefinedTerms"/>
      </w:pPr>
      <w:r>
        <w:t>corporation</w:t>
      </w:r>
      <w:r>
        <w:tab/>
        <w:t>3</w:t>
      </w:r>
    </w:p>
    <w:p w:rsidR="00EF0335" w:rsidRDefault="00EF0335" w:rsidP="00EF0335">
      <w:pPr>
        <w:pStyle w:val="DefinedTerms"/>
      </w:pPr>
      <w:r>
        <w:t>dwelling</w:t>
      </w:r>
      <w:r>
        <w:tab/>
        <w:t>3</w:t>
      </w:r>
    </w:p>
    <w:p w:rsidR="00EF0335" w:rsidRDefault="00EF0335" w:rsidP="00EF0335">
      <w:pPr>
        <w:pStyle w:val="DefinedTerms"/>
      </w:pPr>
      <w:r>
        <w:t>Esperance network</w:t>
      </w:r>
      <w:r>
        <w:tab/>
        <w:t>Sch. 1 cl. 7(1)</w:t>
      </w:r>
    </w:p>
    <w:p w:rsidR="00EF0335" w:rsidRDefault="00EF0335" w:rsidP="00EF0335">
      <w:pPr>
        <w:pStyle w:val="DefinedTerms"/>
      </w:pPr>
      <w:r>
        <w:t>exceeds the applicable peak allowance</w:t>
      </w:r>
      <w:r>
        <w:tab/>
        <w:t>Sch. 1 cl. 7(2)</w:t>
      </w:r>
    </w:p>
    <w:p w:rsidR="00EF0335" w:rsidRDefault="00EF0335" w:rsidP="00EF0335">
      <w:pPr>
        <w:pStyle w:val="DefinedTerms"/>
      </w:pPr>
      <w:r>
        <w:t>interest period</w:t>
      </w:r>
      <w:r>
        <w:tab/>
        <w:t>12(1)</w:t>
      </w:r>
    </w:p>
    <w:p w:rsidR="00EF0335" w:rsidRDefault="00EF0335" w:rsidP="00EF0335">
      <w:pPr>
        <w:pStyle w:val="DefinedTerms"/>
      </w:pPr>
      <w:r>
        <w:t>MyPower non-residential tariff</w:t>
      </w:r>
      <w:r>
        <w:tab/>
        <w:t>Sch. 1 cl. 9(1)</w:t>
      </w:r>
    </w:p>
    <w:p w:rsidR="00EF0335" w:rsidRDefault="00EF0335" w:rsidP="00EF0335">
      <w:pPr>
        <w:pStyle w:val="DefinedTerms"/>
      </w:pPr>
      <w:r>
        <w:t>MyPower residential tariff</w:t>
      </w:r>
      <w:r>
        <w:tab/>
        <w:t>Sch. 1 cl. 8(1)</w:t>
      </w:r>
    </w:p>
    <w:p w:rsidR="00EF0335" w:rsidRDefault="00EF0335" w:rsidP="00EF0335">
      <w:pPr>
        <w:pStyle w:val="DefinedTerms"/>
      </w:pPr>
      <w:r>
        <w:t>MyPower tariff</w:t>
      </w:r>
      <w:r>
        <w:tab/>
        <w:t>Sch. 1 cl. 7(1)</w:t>
      </w:r>
    </w:p>
    <w:p w:rsidR="00EF0335" w:rsidRDefault="00EF0335" w:rsidP="00EF0335">
      <w:pPr>
        <w:pStyle w:val="DefinedTerms"/>
      </w:pPr>
      <w:r>
        <w:t>North West interconnected system</w:t>
      </w:r>
      <w:r>
        <w:tab/>
        <w:t>4(1A), 4(2A)</w:t>
      </w:r>
    </w:p>
    <w:p w:rsidR="00EF0335" w:rsidRDefault="00EF0335" w:rsidP="00EF0335">
      <w:pPr>
        <w:pStyle w:val="DefinedTerms"/>
      </w:pPr>
      <w:r>
        <w:t>original tariff</w:t>
      </w:r>
      <w:r>
        <w:tab/>
        <w:t>Sch. 1 cl. 8(5) and 9(5)</w:t>
      </w:r>
    </w:p>
    <w:p w:rsidR="00EF0335" w:rsidRDefault="00EF0335" w:rsidP="00EF0335">
      <w:pPr>
        <w:pStyle w:val="DefinedTerms"/>
      </w:pPr>
      <w:r>
        <w:t>peak day</w:t>
      </w:r>
      <w:r>
        <w:tab/>
        <w:t>Sch. 1 cl. 7(1)</w:t>
      </w:r>
    </w:p>
    <w:p w:rsidR="00EF0335" w:rsidRDefault="00EF0335" w:rsidP="00EF0335">
      <w:pPr>
        <w:pStyle w:val="DefinedTerms"/>
      </w:pPr>
      <w:r>
        <w:t>peak period</w:t>
      </w:r>
      <w:r>
        <w:tab/>
        <w:t>Sch. 1 cl. 7(1)</w:t>
      </w:r>
    </w:p>
    <w:p w:rsidR="00EF0335" w:rsidRDefault="00EF0335" w:rsidP="00EF0335">
      <w:pPr>
        <w:pStyle w:val="DefinedTerms"/>
      </w:pPr>
      <w:r>
        <w:t>peak time</w:t>
      </w:r>
      <w:r>
        <w:tab/>
        <w:t>Sch. 1 cl. 7(1)</w:t>
      </w:r>
    </w:p>
    <w:p w:rsidR="00EF0335" w:rsidRDefault="00EF0335" w:rsidP="00EF0335">
      <w:pPr>
        <w:pStyle w:val="DefinedTerms"/>
      </w:pPr>
      <w:r>
        <w:t>permitted surcharge</w:t>
      </w:r>
      <w:r>
        <w:tab/>
        <w:t>3</w:t>
      </w:r>
    </w:p>
    <w:p w:rsidR="00EF0335" w:rsidRDefault="00EF0335" w:rsidP="00EF0335">
      <w:pPr>
        <w:pStyle w:val="DefinedTerms"/>
      </w:pPr>
      <w:r>
        <w:t>RBA cash rate</w:t>
      </w:r>
      <w:r>
        <w:tab/>
        <w:t>3</w:t>
      </w:r>
    </w:p>
    <w:p w:rsidR="00EF0335" w:rsidRDefault="00EF0335" w:rsidP="00EF0335">
      <w:pPr>
        <w:pStyle w:val="DefinedTerms"/>
      </w:pPr>
      <w:r>
        <w:t>RBA Standard No. 3 of 2016</w:t>
      </w:r>
      <w:r>
        <w:tab/>
        <w:t>3</w:t>
      </w:r>
    </w:p>
    <w:p w:rsidR="00EF0335" w:rsidRDefault="00EF0335" w:rsidP="00EF0335">
      <w:pPr>
        <w:pStyle w:val="DefinedTerms"/>
      </w:pPr>
      <w:r>
        <w:t>regional non-integrated system</w:t>
      </w:r>
      <w:r>
        <w:tab/>
        <w:t>4(1A)</w:t>
      </w:r>
    </w:p>
    <w:p w:rsidR="00EF0335" w:rsidRDefault="00EF0335" w:rsidP="00EF0335">
      <w:pPr>
        <w:pStyle w:val="DefinedTerms"/>
      </w:pPr>
      <w:r>
        <w:t>relevant period</w:t>
      </w:r>
      <w:r>
        <w:tab/>
        <w:t>8(1)</w:t>
      </w:r>
    </w:p>
    <w:p w:rsidR="00EF0335" w:rsidRDefault="00EF0335" w:rsidP="00EF0335">
      <w:pPr>
        <w:pStyle w:val="DefinedTerms"/>
      </w:pPr>
      <w:r>
        <w:t>residential tariff</w:t>
      </w:r>
      <w:r>
        <w:tab/>
        <w:t>3</w:t>
      </w:r>
    </w:p>
    <w:p w:rsidR="00EF0335" w:rsidRDefault="00EF0335" w:rsidP="00EF0335">
      <w:pPr>
        <w:pStyle w:val="DefinedTerms"/>
      </w:pPr>
      <w:r>
        <w:t>South West interconnected system</w:t>
      </w:r>
      <w:r>
        <w:tab/>
        <w:t>4(1A)</w:t>
      </w:r>
    </w:p>
    <w:p w:rsidR="00EF0335" w:rsidRDefault="00EF0335" w:rsidP="00EF0335">
      <w:pPr>
        <w:pStyle w:val="DefinedTerms"/>
      </w:pPr>
      <w:r>
        <w:t>Tariff</w:t>
      </w:r>
      <w:r>
        <w:tab/>
        <w:t>3</w:t>
      </w:r>
    </w:p>
    <w:p w:rsidR="00EF0335" w:rsidRDefault="00EF0335" w:rsidP="00EF0335">
      <w:pPr>
        <w:pStyle w:val="DefinedTerms"/>
      </w:pPr>
      <w:r>
        <w:t>transfer day</w:t>
      </w:r>
      <w:r>
        <w:tab/>
        <w:t>Sch. 1 cl. 8(5) and 9(5)</w:t>
      </w:r>
    </w:p>
    <w:p w:rsidR="00EF0335" w:rsidRDefault="00EF0335" w:rsidP="00EF0335">
      <w:pPr>
        <w:pStyle w:val="DefinedTerms"/>
      </w:pPr>
      <w:r>
        <w:t>unit</w:t>
      </w:r>
      <w:r>
        <w:tab/>
        <w:t>3</w:t>
      </w:r>
    </w:p>
    <w:p w:rsidR="00EF0335" w:rsidRDefault="00EF0335" w:rsidP="00EF0335"/>
    <w:p w:rsidR="00EF0335" w:rsidRDefault="00EF0335">
      <w:pPr>
        <w:sectPr w:rsidR="00EF0335">
          <w:headerReference w:type="even" r:id="rId29"/>
          <w:headerReference w:type="default" r:id="rId30"/>
          <w:pgSz w:w="11907" w:h="16840" w:code="9"/>
          <w:pgMar w:top="2381" w:right="2409" w:bottom="3543" w:left="2409" w:header="720" w:footer="3380" w:gutter="0"/>
          <w:cols w:space="720"/>
          <w:noEndnote/>
          <w:docGrid w:linePitch="326"/>
        </w:sectPr>
      </w:pPr>
    </w:p>
    <w:p w:rsidR="001E63B4" w:rsidRDefault="001E63B4"/>
    <w:sectPr w:rsidR="001E63B4">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696" w:rsidRDefault="00F95696">
      <w:pPr>
        <w:rPr>
          <w:b/>
          <w:sz w:val="28"/>
        </w:rPr>
      </w:pPr>
      <w:r>
        <w:rPr>
          <w:b/>
          <w:sz w:val="28"/>
        </w:rPr>
        <w:t>Endnotes</w:t>
      </w:r>
    </w:p>
    <w:p w:rsidR="00F95696" w:rsidRDefault="00F95696">
      <w:pPr>
        <w:spacing w:after="240"/>
        <w:rPr>
          <w:rFonts w:ascii="Times" w:hAnsi="Times"/>
          <w:sz w:val="18"/>
        </w:rPr>
      </w:pPr>
      <w:r>
        <w:rPr>
          <w:sz w:val="20"/>
        </w:rPr>
        <w:t>[For ease of reference detach these notes and read them alongside the draft.]</w:t>
      </w:r>
    </w:p>
    <w:p w:rsidR="00F95696" w:rsidRDefault="00F95696"/>
  </w:endnote>
  <w:endnote w:type="continuationSeparator" w:id="0">
    <w:p w:rsidR="00F95696" w:rsidRDefault="00F95696">
      <w:pPr>
        <w:pStyle w:val="Footer"/>
      </w:pPr>
    </w:p>
    <w:p w:rsidR="00F95696" w:rsidRDefault="00F95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Bdr>
        <w:bottom w:val="single" w:sz="4" w:space="1" w:color="auto"/>
      </w:pBdr>
      <w:rPr>
        <w:sz w:val="20"/>
      </w:rPr>
    </w:pPr>
  </w:p>
  <w:p w:rsidR="00F95696" w:rsidRDefault="00F956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036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036E">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95696" w:rsidRDefault="00F9569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696" w:rsidRDefault="00F95696">
      <w:r>
        <w:separator/>
      </w:r>
    </w:p>
  </w:footnote>
  <w:footnote w:type="continuationSeparator" w:id="0">
    <w:p w:rsidR="00F95696" w:rsidRDefault="00F95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36E" w:rsidRDefault="004A0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36E" w:rsidRDefault="004A03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5696">
      <w:trPr>
        <w:cantSplit/>
        <w:jc w:val="center"/>
      </w:trPr>
      <w:tc>
        <w:tcPr>
          <w:tcW w:w="7258" w:type="dxa"/>
          <w:gridSpan w:val="2"/>
        </w:tcPr>
        <w:p w:rsidR="00F95696" w:rsidRDefault="00F95696">
          <w:pPr>
            <w:pStyle w:val="Header"/>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1548" w:type="dxa"/>
        </w:tcPr>
        <w:p w:rsidR="00F95696" w:rsidRDefault="00F95696">
          <w:pPr>
            <w:pStyle w:val="Header"/>
            <w:spacing w:before="40"/>
          </w:pPr>
        </w:p>
      </w:tc>
      <w:tc>
        <w:tcPr>
          <w:tcW w:w="5715" w:type="dxa"/>
        </w:tcPr>
        <w:p w:rsidR="00F95696" w:rsidRDefault="00F95696">
          <w:pPr>
            <w:pStyle w:val="Header"/>
            <w:spacing w:before="40"/>
          </w:pPr>
        </w:p>
      </w:tc>
    </w:tr>
    <w:tr w:rsidR="00F95696">
      <w:trPr>
        <w:jc w:val="center"/>
      </w:trPr>
      <w:tc>
        <w:tcPr>
          <w:tcW w:w="1548" w:type="dxa"/>
        </w:tcPr>
        <w:p w:rsidR="00F95696" w:rsidRDefault="00F95696">
          <w:pPr>
            <w:pStyle w:val="Header"/>
            <w:spacing w:before="40"/>
          </w:pPr>
        </w:p>
      </w:tc>
      <w:tc>
        <w:tcPr>
          <w:tcW w:w="5715" w:type="dxa"/>
        </w:tcPr>
        <w:p w:rsidR="00F95696" w:rsidRDefault="00F95696">
          <w:pPr>
            <w:pStyle w:val="Header"/>
            <w:spacing w:before="40"/>
          </w:pPr>
        </w:p>
      </w:tc>
    </w:tr>
    <w:tr w:rsidR="00F95696">
      <w:trPr>
        <w:cantSplit/>
        <w:jc w:val="center"/>
      </w:trPr>
      <w:tc>
        <w:tcPr>
          <w:tcW w:w="7258" w:type="dxa"/>
          <w:gridSpan w:val="2"/>
        </w:tcPr>
        <w:p w:rsidR="00F95696" w:rsidRDefault="00F95696">
          <w:pPr>
            <w:pStyle w:val="Header"/>
            <w:spacing w:before="40"/>
          </w:pPr>
          <w:r>
            <w:t>Contents</w:t>
          </w:r>
        </w:p>
      </w:tc>
    </w:tr>
  </w:tbl>
  <w:p w:rsidR="00F95696" w:rsidRDefault="00F9569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5696">
      <w:trPr>
        <w:cantSplit/>
        <w:jc w:val="center"/>
      </w:trPr>
      <w:tc>
        <w:tcPr>
          <w:tcW w:w="7258" w:type="dxa"/>
          <w:gridSpan w:val="2"/>
        </w:tcPr>
        <w:p w:rsidR="00F95696" w:rsidRDefault="00F95696">
          <w:pPr>
            <w:pStyle w:val="Header"/>
            <w:ind w:right="17"/>
            <w:jc w:val="right"/>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5715" w:type="dxa"/>
        </w:tcPr>
        <w:p w:rsidR="00F95696" w:rsidRDefault="00F95696">
          <w:pPr>
            <w:pStyle w:val="Header"/>
            <w:spacing w:before="40"/>
            <w:jc w:val="right"/>
          </w:pPr>
        </w:p>
      </w:tc>
      <w:tc>
        <w:tcPr>
          <w:tcW w:w="1548" w:type="dxa"/>
        </w:tcPr>
        <w:p w:rsidR="00F95696" w:rsidRDefault="00F95696">
          <w:pPr>
            <w:pStyle w:val="Header"/>
            <w:spacing w:before="40"/>
            <w:ind w:right="17"/>
            <w:jc w:val="right"/>
          </w:pPr>
        </w:p>
      </w:tc>
    </w:tr>
    <w:tr w:rsidR="00F95696">
      <w:trPr>
        <w:jc w:val="center"/>
      </w:trPr>
      <w:tc>
        <w:tcPr>
          <w:tcW w:w="5715" w:type="dxa"/>
        </w:tcPr>
        <w:p w:rsidR="00F95696" w:rsidRDefault="00F95696">
          <w:pPr>
            <w:pStyle w:val="Header"/>
            <w:spacing w:before="40"/>
            <w:jc w:val="right"/>
          </w:pPr>
        </w:p>
      </w:tc>
      <w:tc>
        <w:tcPr>
          <w:tcW w:w="1548" w:type="dxa"/>
        </w:tcPr>
        <w:p w:rsidR="00F95696" w:rsidRDefault="00F95696">
          <w:pPr>
            <w:pStyle w:val="Header"/>
            <w:spacing w:before="40"/>
            <w:ind w:right="17"/>
            <w:jc w:val="right"/>
          </w:pPr>
        </w:p>
      </w:tc>
    </w:tr>
    <w:tr w:rsidR="00F95696">
      <w:trPr>
        <w:cantSplit/>
        <w:jc w:val="center"/>
      </w:trPr>
      <w:tc>
        <w:tcPr>
          <w:tcW w:w="7258" w:type="dxa"/>
          <w:gridSpan w:val="2"/>
        </w:tcPr>
        <w:p w:rsidR="00F95696" w:rsidRDefault="00F95696">
          <w:pPr>
            <w:pStyle w:val="Header"/>
            <w:spacing w:before="40"/>
            <w:ind w:right="17"/>
            <w:jc w:val="right"/>
          </w:pPr>
          <w:r>
            <w:t>Contents</w:t>
          </w:r>
        </w:p>
      </w:tc>
    </w:tr>
  </w:tbl>
  <w:p w:rsidR="00F95696" w:rsidRDefault="00F9569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5696">
      <w:trPr>
        <w:cantSplit/>
        <w:jc w:val="center"/>
      </w:trPr>
      <w:tc>
        <w:tcPr>
          <w:tcW w:w="7263" w:type="dxa"/>
          <w:gridSpan w:val="2"/>
        </w:tcPr>
        <w:p w:rsidR="00F95696" w:rsidRDefault="00F95696">
          <w:pPr>
            <w:pStyle w:val="Header"/>
          </w:pPr>
          <w:r>
            <w:rPr>
              <w:b/>
              <w:i/>
            </w:rPr>
            <w:fldChar w:fldCharType="begin"/>
          </w:r>
          <w:r>
            <w:rPr>
              <w:b/>
              <w:i/>
            </w:rPr>
            <w:instrText>STYLEREF "Name of Act/Reg"</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1548" w:type="dxa"/>
        </w:tcPr>
        <w:p w:rsidR="00F95696" w:rsidRDefault="00F95696">
          <w:pPr>
            <w:pStyle w:val="Header"/>
            <w:spacing w:before="40"/>
          </w:pPr>
          <w:r>
            <w:rPr>
              <w:b/>
            </w:rPr>
            <w:fldChar w:fldCharType="begin"/>
          </w:r>
          <w:r>
            <w:rPr>
              <w:b/>
            </w:rPr>
            <w:instrText>STYLEREF CharPartNo</w:instrText>
          </w:r>
          <w:r>
            <w:rPr>
              <w:b/>
            </w:rPr>
            <w:fldChar w:fldCharType="end"/>
          </w:r>
        </w:p>
      </w:tc>
      <w:tc>
        <w:tcPr>
          <w:tcW w:w="5715" w:type="dxa"/>
          <w:vAlign w:val="bottom"/>
        </w:tcPr>
        <w:p w:rsidR="00F95696" w:rsidRDefault="00F95696">
          <w:pPr>
            <w:pStyle w:val="Header"/>
            <w:spacing w:before="40"/>
          </w:pPr>
          <w:r>
            <w:fldChar w:fldCharType="begin"/>
          </w:r>
          <w:r>
            <w:instrText xml:space="preserve"> styleref CharPartText </w:instrText>
          </w:r>
          <w:r>
            <w:fldChar w:fldCharType="end"/>
          </w:r>
        </w:p>
      </w:tc>
    </w:tr>
    <w:tr w:rsidR="00F95696">
      <w:trPr>
        <w:jc w:val="center"/>
      </w:trPr>
      <w:tc>
        <w:tcPr>
          <w:tcW w:w="1548" w:type="dxa"/>
        </w:tcPr>
        <w:p w:rsidR="00F95696" w:rsidRDefault="00F95696">
          <w:pPr>
            <w:pStyle w:val="Header"/>
            <w:spacing w:before="40"/>
          </w:pPr>
          <w:r>
            <w:rPr>
              <w:b/>
            </w:rPr>
            <w:fldChar w:fldCharType="begin"/>
          </w:r>
          <w:r>
            <w:rPr>
              <w:b/>
            </w:rPr>
            <w:instrText>STYLEREF CharDivNo</w:instrText>
          </w:r>
          <w:r>
            <w:rPr>
              <w:b/>
            </w:rPr>
            <w:fldChar w:fldCharType="end"/>
          </w:r>
        </w:p>
      </w:tc>
      <w:tc>
        <w:tcPr>
          <w:tcW w:w="5715" w:type="dxa"/>
          <w:vAlign w:val="bottom"/>
        </w:tcPr>
        <w:p w:rsidR="00F95696" w:rsidRDefault="00F95696">
          <w:pPr>
            <w:pStyle w:val="Header"/>
            <w:spacing w:before="40"/>
          </w:pPr>
          <w:r>
            <w:fldChar w:fldCharType="begin"/>
          </w:r>
          <w:r>
            <w:instrText xml:space="preserve"> styleref CharDivText </w:instrText>
          </w:r>
          <w:r>
            <w:fldChar w:fldCharType="end"/>
          </w:r>
        </w:p>
      </w:tc>
    </w:tr>
    <w:tr w:rsidR="00F95696">
      <w:trPr>
        <w:cantSplit/>
        <w:jc w:val="center"/>
      </w:trPr>
      <w:tc>
        <w:tcPr>
          <w:tcW w:w="7263" w:type="dxa"/>
          <w:gridSpan w:val="2"/>
        </w:tcPr>
        <w:p w:rsidR="00F95696" w:rsidRDefault="00F95696">
          <w:pPr>
            <w:pStyle w:val="Header"/>
            <w:spacing w:before="40"/>
          </w:pPr>
          <w:r>
            <w:rPr>
              <w:b/>
            </w:rPr>
            <w:t xml:space="preserve">bl. </w:t>
          </w:r>
          <w:r>
            <w:rPr>
              <w:b/>
            </w:rPr>
            <w:fldChar w:fldCharType="begin"/>
          </w:r>
          <w:r>
            <w:rPr>
              <w:b/>
            </w:rPr>
            <w:instrText>STYLEREF CharSectNo</w:instrText>
          </w:r>
          <w:r>
            <w:rPr>
              <w:b/>
            </w:rPr>
            <w:fldChar w:fldCharType="separate"/>
          </w:r>
          <w:r w:rsidR="004A036E">
            <w:rPr>
              <w:b/>
            </w:rPr>
            <w:t>1</w:t>
          </w:r>
          <w:r>
            <w:rPr>
              <w:b/>
            </w:rPr>
            <w:fldChar w:fldCharType="end"/>
          </w:r>
        </w:p>
      </w:tc>
    </w:tr>
  </w:tbl>
  <w:p w:rsidR="00F95696" w:rsidRDefault="00F9569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5696">
      <w:trPr>
        <w:cantSplit/>
        <w:jc w:val="center"/>
      </w:trPr>
      <w:tc>
        <w:tcPr>
          <w:tcW w:w="7263" w:type="dxa"/>
          <w:gridSpan w:val="2"/>
        </w:tcPr>
        <w:p w:rsidR="00F95696" w:rsidRDefault="00F95696">
          <w:pPr>
            <w:pStyle w:val="Header"/>
            <w:ind w:right="17"/>
            <w:jc w:val="right"/>
          </w:pPr>
          <w:r>
            <w:rPr>
              <w:b/>
              <w:i/>
            </w:rPr>
            <w:fldChar w:fldCharType="begin"/>
          </w:r>
          <w:r>
            <w:rPr>
              <w:b/>
              <w:i/>
            </w:rPr>
            <w:instrText>STYLEREF "Name of Act/Reg"</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5715" w:type="dxa"/>
          <w:vAlign w:val="bottom"/>
        </w:tcPr>
        <w:p w:rsidR="00F95696" w:rsidRDefault="00F95696">
          <w:pPr>
            <w:pStyle w:val="Header"/>
            <w:spacing w:before="40"/>
            <w:jc w:val="right"/>
          </w:pPr>
          <w:r>
            <w:fldChar w:fldCharType="begin"/>
          </w:r>
          <w:r>
            <w:instrText xml:space="preserve"> styleref CharPartText </w:instrText>
          </w:r>
          <w:r>
            <w:fldChar w:fldCharType="end"/>
          </w:r>
        </w:p>
      </w:tc>
      <w:tc>
        <w:tcPr>
          <w:tcW w:w="1548" w:type="dxa"/>
        </w:tcPr>
        <w:p w:rsidR="00F95696" w:rsidRDefault="00F95696">
          <w:pPr>
            <w:pStyle w:val="Header"/>
            <w:spacing w:before="40"/>
            <w:ind w:right="17"/>
            <w:jc w:val="right"/>
          </w:pPr>
          <w:r>
            <w:rPr>
              <w:b/>
            </w:rPr>
            <w:fldChar w:fldCharType="begin"/>
          </w:r>
          <w:r>
            <w:rPr>
              <w:b/>
            </w:rPr>
            <w:instrText>STYLEREF CharPartNo</w:instrText>
          </w:r>
          <w:r>
            <w:rPr>
              <w:b/>
            </w:rPr>
            <w:fldChar w:fldCharType="end"/>
          </w:r>
        </w:p>
      </w:tc>
    </w:tr>
    <w:tr w:rsidR="00F95696">
      <w:trPr>
        <w:jc w:val="center"/>
      </w:trPr>
      <w:tc>
        <w:tcPr>
          <w:tcW w:w="5715" w:type="dxa"/>
          <w:vAlign w:val="bottom"/>
        </w:tcPr>
        <w:p w:rsidR="00F95696" w:rsidRDefault="00F95696">
          <w:pPr>
            <w:pStyle w:val="Header"/>
            <w:spacing w:before="40"/>
            <w:jc w:val="right"/>
          </w:pPr>
          <w:r>
            <w:fldChar w:fldCharType="begin"/>
          </w:r>
          <w:r>
            <w:instrText xml:space="preserve"> styleref CharDivText </w:instrText>
          </w:r>
          <w:r>
            <w:fldChar w:fldCharType="end"/>
          </w:r>
        </w:p>
      </w:tc>
      <w:tc>
        <w:tcPr>
          <w:tcW w:w="1548" w:type="dxa"/>
        </w:tcPr>
        <w:p w:rsidR="00F95696" w:rsidRDefault="00F95696">
          <w:pPr>
            <w:pStyle w:val="Header"/>
            <w:spacing w:before="40"/>
            <w:ind w:right="17"/>
            <w:jc w:val="right"/>
          </w:pPr>
          <w:r>
            <w:rPr>
              <w:b/>
            </w:rPr>
            <w:fldChar w:fldCharType="begin"/>
          </w:r>
          <w:r>
            <w:rPr>
              <w:b/>
            </w:rPr>
            <w:instrText>STYLEREF CharDivNo</w:instrText>
          </w:r>
          <w:r>
            <w:rPr>
              <w:b/>
            </w:rPr>
            <w:fldChar w:fldCharType="end"/>
          </w:r>
        </w:p>
      </w:tc>
    </w:tr>
    <w:tr w:rsidR="00F95696">
      <w:trPr>
        <w:cantSplit/>
        <w:jc w:val="center"/>
      </w:trPr>
      <w:tc>
        <w:tcPr>
          <w:tcW w:w="7263" w:type="dxa"/>
          <w:gridSpan w:val="2"/>
        </w:tcPr>
        <w:p w:rsidR="00F95696" w:rsidRDefault="00F95696">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4A036E">
            <w:rPr>
              <w:b/>
            </w:rPr>
            <w:t>1</w:t>
          </w:r>
          <w:r>
            <w:rPr>
              <w:b/>
            </w:rPr>
            <w:fldChar w:fldCharType="end"/>
          </w:r>
        </w:p>
      </w:tc>
    </w:tr>
  </w:tbl>
  <w:p w:rsidR="00F95696" w:rsidRDefault="00F9569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5696">
      <w:trPr>
        <w:cantSplit/>
        <w:jc w:val="center"/>
      </w:trPr>
      <w:tc>
        <w:tcPr>
          <w:tcW w:w="7258" w:type="dxa"/>
          <w:gridSpan w:val="2"/>
        </w:tcPr>
        <w:p w:rsidR="00F95696" w:rsidRDefault="00F95696">
          <w:pPr>
            <w:pStyle w:val="Header"/>
          </w:pPr>
          <w:r>
            <w:rPr>
              <w:b/>
              <w:i/>
            </w:rPr>
            <w:fldChar w:fldCharType="begin"/>
          </w:r>
          <w:r>
            <w:rPr>
              <w:b/>
              <w:i/>
            </w:rPr>
            <w:instrText>STYLEREF "Name of Act/Reg"</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1548" w:type="dxa"/>
        </w:tcPr>
        <w:p w:rsidR="00F95696" w:rsidRDefault="00F95696">
          <w:pPr>
            <w:pStyle w:val="Header"/>
            <w:spacing w:before="40"/>
          </w:pPr>
          <w:r>
            <w:rPr>
              <w:b/>
            </w:rPr>
            <w:fldChar w:fldCharType="begin"/>
          </w:r>
          <w:r>
            <w:rPr>
              <w:b/>
            </w:rPr>
            <w:instrText>styleref CharSchno</w:instrText>
          </w:r>
          <w:r>
            <w:rPr>
              <w:b/>
            </w:rPr>
            <w:fldChar w:fldCharType="end"/>
          </w:r>
        </w:p>
      </w:tc>
      <w:tc>
        <w:tcPr>
          <w:tcW w:w="5715" w:type="dxa"/>
        </w:tcPr>
        <w:p w:rsidR="00F95696" w:rsidRDefault="00F95696">
          <w:pPr>
            <w:pStyle w:val="Header"/>
            <w:spacing w:before="40"/>
          </w:pPr>
          <w:r>
            <w:fldChar w:fldCharType="begin"/>
          </w:r>
          <w:r>
            <w:instrText>styleref CharSchText</w:instrText>
          </w:r>
          <w:r>
            <w:fldChar w:fldCharType="end"/>
          </w:r>
        </w:p>
      </w:tc>
    </w:tr>
    <w:tr w:rsidR="00F95696">
      <w:trPr>
        <w:jc w:val="center"/>
      </w:trPr>
      <w:tc>
        <w:tcPr>
          <w:tcW w:w="1548" w:type="dxa"/>
        </w:tcPr>
        <w:p w:rsidR="00F95696" w:rsidRDefault="00F9569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F95696" w:rsidRDefault="00F95696">
          <w:pPr>
            <w:pStyle w:val="Header"/>
            <w:spacing w:before="40"/>
          </w:pPr>
          <w:r>
            <w:fldChar w:fldCharType="begin"/>
          </w:r>
          <w:r>
            <w:instrText xml:space="preserve"> styleref CharSDivText </w:instrText>
          </w:r>
          <w:r>
            <w:fldChar w:fldCharType="end"/>
          </w:r>
        </w:p>
      </w:tc>
    </w:tr>
    <w:tr w:rsidR="00F95696">
      <w:trPr>
        <w:jc w:val="center"/>
      </w:trPr>
      <w:tc>
        <w:tcPr>
          <w:tcW w:w="1548" w:type="dxa"/>
        </w:tcPr>
        <w:p w:rsidR="00F95696" w:rsidRDefault="00F95696">
          <w:pPr>
            <w:pStyle w:val="Header"/>
            <w:spacing w:before="40"/>
          </w:pPr>
        </w:p>
      </w:tc>
      <w:tc>
        <w:tcPr>
          <w:tcW w:w="5715" w:type="dxa"/>
        </w:tcPr>
        <w:p w:rsidR="00F95696" w:rsidRDefault="00F95696">
          <w:pPr>
            <w:pStyle w:val="Header"/>
            <w:spacing w:before="40"/>
          </w:pPr>
        </w:p>
      </w:tc>
    </w:tr>
  </w:tbl>
  <w:p w:rsidR="00F95696" w:rsidRDefault="00F9569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95696">
      <w:trPr>
        <w:cantSplit/>
        <w:jc w:val="center"/>
      </w:trPr>
      <w:tc>
        <w:tcPr>
          <w:tcW w:w="7263" w:type="dxa"/>
          <w:gridSpan w:val="2"/>
        </w:tcPr>
        <w:p w:rsidR="00F95696" w:rsidRDefault="00F95696">
          <w:pPr>
            <w:pStyle w:val="Header"/>
            <w:ind w:right="17"/>
            <w:jc w:val="right"/>
          </w:pPr>
          <w:r>
            <w:rPr>
              <w:b/>
              <w:i/>
            </w:rPr>
            <w:fldChar w:fldCharType="begin"/>
          </w:r>
          <w:r>
            <w:rPr>
              <w:b/>
              <w:i/>
            </w:rPr>
            <w:instrText>Styleref "Name of Act/Reg"</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5715" w:type="dxa"/>
          <w:vAlign w:val="bottom"/>
        </w:tcPr>
        <w:p w:rsidR="00F95696" w:rsidRDefault="00F95696">
          <w:pPr>
            <w:pStyle w:val="Header"/>
            <w:spacing w:before="40"/>
            <w:jc w:val="right"/>
          </w:pPr>
          <w:r>
            <w:fldChar w:fldCharType="begin"/>
          </w:r>
          <w:r>
            <w:instrText>styleref CharSchText</w:instrText>
          </w:r>
          <w:r>
            <w:fldChar w:fldCharType="end"/>
          </w:r>
        </w:p>
      </w:tc>
      <w:tc>
        <w:tcPr>
          <w:tcW w:w="1548" w:type="dxa"/>
        </w:tcPr>
        <w:p w:rsidR="00F95696" w:rsidRDefault="00F95696">
          <w:pPr>
            <w:pStyle w:val="Header"/>
            <w:spacing w:before="40"/>
            <w:ind w:right="17"/>
            <w:jc w:val="right"/>
          </w:pPr>
          <w:r>
            <w:rPr>
              <w:b/>
            </w:rPr>
            <w:fldChar w:fldCharType="begin"/>
          </w:r>
          <w:r>
            <w:rPr>
              <w:b/>
            </w:rPr>
            <w:instrText>styleref CharSchno</w:instrText>
          </w:r>
          <w:r>
            <w:rPr>
              <w:b/>
            </w:rPr>
            <w:fldChar w:fldCharType="end"/>
          </w:r>
        </w:p>
      </w:tc>
    </w:tr>
    <w:tr w:rsidR="00F95696">
      <w:trPr>
        <w:jc w:val="center"/>
      </w:trPr>
      <w:tc>
        <w:tcPr>
          <w:tcW w:w="5715" w:type="dxa"/>
        </w:tcPr>
        <w:p w:rsidR="00F95696" w:rsidRDefault="00F95696">
          <w:pPr>
            <w:pStyle w:val="Header"/>
            <w:spacing w:before="40"/>
            <w:jc w:val="right"/>
          </w:pPr>
          <w:r>
            <w:fldChar w:fldCharType="begin"/>
          </w:r>
          <w:r>
            <w:instrText xml:space="preserve"> styleref CharSDivText </w:instrText>
          </w:r>
          <w:r>
            <w:fldChar w:fldCharType="end"/>
          </w:r>
        </w:p>
      </w:tc>
      <w:tc>
        <w:tcPr>
          <w:tcW w:w="1548" w:type="dxa"/>
        </w:tcPr>
        <w:p w:rsidR="00F95696" w:rsidRDefault="00F9569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95696">
      <w:trPr>
        <w:jc w:val="center"/>
      </w:trPr>
      <w:tc>
        <w:tcPr>
          <w:tcW w:w="5715" w:type="dxa"/>
        </w:tcPr>
        <w:p w:rsidR="00F95696" w:rsidRDefault="00F95696">
          <w:pPr>
            <w:pStyle w:val="Header"/>
            <w:spacing w:before="40"/>
            <w:jc w:val="right"/>
          </w:pPr>
        </w:p>
      </w:tc>
      <w:tc>
        <w:tcPr>
          <w:tcW w:w="1548" w:type="dxa"/>
        </w:tcPr>
        <w:p w:rsidR="00F95696" w:rsidRDefault="00F95696">
          <w:pPr>
            <w:pStyle w:val="Header"/>
            <w:spacing w:before="40"/>
            <w:ind w:right="17"/>
            <w:jc w:val="right"/>
          </w:pPr>
        </w:p>
      </w:tc>
    </w:tr>
  </w:tbl>
  <w:p w:rsidR="00F95696" w:rsidRDefault="00F9569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5696">
      <w:trPr>
        <w:cantSplit/>
        <w:jc w:val="center"/>
      </w:trPr>
      <w:tc>
        <w:tcPr>
          <w:tcW w:w="7258" w:type="dxa"/>
          <w:gridSpan w:val="2"/>
        </w:tcPr>
        <w:p w:rsidR="00F95696" w:rsidRDefault="00F95696">
          <w:pPr>
            <w:pStyle w:val="Header"/>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1548" w:type="dxa"/>
        </w:tcPr>
        <w:p w:rsidR="00F95696" w:rsidRDefault="00F95696">
          <w:pPr>
            <w:pStyle w:val="Header"/>
            <w:spacing w:before="40"/>
          </w:pPr>
          <w:r>
            <w:rPr>
              <w:b/>
            </w:rPr>
            <w:fldChar w:fldCharType="begin"/>
          </w:r>
          <w:r>
            <w:rPr>
              <w:b/>
            </w:rPr>
            <w:instrText xml:space="preserve"> STYLEREF "nHeading 2" </w:instrText>
          </w:r>
          <w:r>
            <w:rPr>
              <w:b/>
            </w:rPr>
            <w:fldChar w:fldCharType="separate"/>
          </w:r>
          <w:r w:rsidR="004A036E">
            <w:rPr>
              <w:b/>
            </w:rPr>
            <w:t>Notes</w:t>
          </w:r>
          <w:r>
            <w:rPr>
              <w:b/>
            </w:rPr>
            <w:fldChar w:fldCharType="end"/>
          </w:r>
        </w:p>
      </w:tc>
      <w:tc>
        <w:tcPr>
          <w:tcW w:w="5715" w:type="dxa"/>
        </w:tcPr>
        <w:p w:rsidR="00F95696" w:rsidRDefault="00F95696">
          <w:pPr>
            <w:pStyle w:val="Header"/>
            <w:spacing w:before="40"/>
          </w:pPr>
          <w:r>
            <w:fldChar w:fldCharType="begin"/>
          </w:r>
          <w:r>
            <w:instrText xml:space="preserve"> STYLEREF "nHeading 3" </w:instrText>
          </w:r>
          <w:r>
            <w:fldChar w:fldCharType="separate"/>
          </w:r>
          <w:r w:rsidR="004A036E">
            <w:t>Compilation table</w:t>
          </w:r>
          <w:r>
            <w:fldChar w:fldCharType="end"/>
          </w:r>
        </w:p>
      </w:tc>
    </w:tr>
    <w:tr w:rsidR="00F95696">
      <w:trPr>
        <w:jc w:val="center"/>
      </w:trPr>
      <w:tc>
        <w:tcPr>
          <w:tcW w:w="1548" w:type="dxa"/>
        </w:tcPr>
        <w:p w:rsidR="00F95696" w:rsidRDefault="00F95696">
          <w:pPr>
            <w:pStyle w:val="Header"/>
            <w:spacing w:before="40"/>
          </w:pPr>
        </w:p>
      </w:tc>
      <w:tc>
        <w:tcPr>
          <w:tcW w:w="5715" w:type="dxa"/>
        </w:tcPr>
        <w:p w:rsidR="00F95696" w:rsidRDefault="00F95696">
          <w:pPr>
            <w:pStyle w:val="Header"/>
            <w:spacing w:before="40"/>
          </w:pPr>
        </w:p>
      </w:tc>
    </w:tr>
    <w:tr w:rsidR="00F95696">
      <w:trPr>
        <w:cantSplit/>
        <w:jc w:val="center"/>
      </w:trPr>
      <w:tc>
        <w:tcPr>
          <w:tcW w:w="7258" w:type="dxa"/>
          <w:gridSpan w:val="2"/>
        </w:tcPr>
        <w:p w:rsidR="00F95696" w:rsidRDefault="00F95696">
          <w:pPr>
            <w:pStyle w:val="Header"/>
            <w:spacing w:before="40"/>
          </w:pPr>
        </w:p>
      </w:tc>
    </w:tr>
  </w:tbl>
  <w:p w:rsidR="00F95696" w:rsidRDefault="00F9569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5696">
      <w:trPr>
        <w:cantSplit/>
        <w:jc w:val="center"/>
      </w:trPr>
      <w:tc>
        <w:tcPr>
          <w:tcW w:w="7258" w:type="dxa"/>
          <w:gridSpan w:val="2"/>
        </w:tcPr>
        <w:p w:rsidR="00F95696" w:rsidRDefault="00F95696">
          <w:pPr>
            <w:pStyle w:val="Header"/>
            <w:ind w:right="17"/>
            <w:jc w:val="right"/>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5715" w:type="dxa"/>
        </w:tcPr>
        <w:p w:rsidR="00F95696" w:rsidRDefault="00F95696">
          <w:pPr>
            <w:pStyle w:val="Header"/>
            <w:spacing w:before="40"/>
            <w:jc w:val="right"/>
          </w:pPr>
          <w:r>
            <w:fldChar w:fldCharType="begin"/>
          </w:r>
          <w:r>
            <w:instrText xml:space="preserve"> STYLEREF "nHeading 3" </w:instrText>
          </w:r>
          <w:r>
            <w:fldChar w:fldCharType="separate"/>
          </w:r>
          <w:r w:rsidR="004A036E">
            <w:t>Compilation table</w:t>
          </w:r>
          <w:r>
            <w:fldChar w:fldCharType="end"/>
          </w:r>
        </w:p>
      </w:tc>
      <w:tc>
        <w:tcPr>
          <w:tcW w:w="1548" w:type="dxa"/>
        </w:tcPr>
        <w:p w:rsidR="00F95696" w:rsidRDefault="00F95696">
          <w:pPr>
            <w:pStyle w:val="Header"/>
            <w:spacing w:before="40"/>
            <w:ind w:right="17"/>
            <w:jc w:val="right"/>
          </w:pPr>
          <w:r>
            <w:rPr>
              <w:b/>
            </w:rPr>
            <w:fldChar w:fldCharType="begin"/>
          </w:r>
          <w:r>
            <w:rPr>
              <w:b/>
            </w:rPr>
            <w:instrText xml:space="preserve"> STYLEREF "nHeading 2" </w:instrText>
          </w:r>
          <w:r>
            <w:rPr>
              <w:b/>
            </w:rPr>
            <w:fldChar w:fldCharType="separate"/>
          </w:r>
          <w:r w:rsidR="004A036E">
            <w:rPr>
              <w:b/>
            </w:rPr>
            <w:t>Notes</w:t>
          </w:r>
          <w:r>
            <w:rPr>
              <w:b/>
            </w:rPr>
            <w:fldChar w:fldCharType="end"/>
          </w:r>
        </w:p>
      </w:tc>
    </w:tr>
    <w:tr w:rsidR="00F95696">
      <w:trPr>
        <w:jc w:val="center"/>
      </w:trPr>
      <w:tc>
        <w:tcPr>
          <w:tcW w:w="5715" w:type="dxa"/>
        </w:tcPr>
        <w:p w:rsidR="00F95696" w:rsidRDefault="00F95696">
          <w:pPr>
            <w:pStyle w:val="Header"/>
            <w:spacing w:before="40"/>
            <w:jc w:val="right"/>
          </w:pPr>
        </w:p>
      </w:tc>
      <w:tc>
        <w:tcPr>
          <w:tcW w:w="1548" w:type="dxa"/>
        </w:tcPr>
        <w:p w:rsidR="00F95696" w:rsidRDefault="00F95696">
          <w:pPr>
            <w:pStyle w:val="Header"/>
            <w:spacing w:before="40"/>
            <w:ind w:right="17"/>
            <w:jc w:val="right"/>
          </w:pPr>
        </w:p>
      </w:tc>
    </w:tr>
    <w:tr w:rsidR="00F95696">
      <w:trPr>
        <w:cantSplit/>
        <w:jc w:val="center"/>
      </w:trPr>
      <w:tc>
        <w:tcPr>
          <w:tcW w:w="7258" w:type="dxa"/>
          <w:gridSpan w:val="2"/>
        </w:tcPr>
        <w:p w:rsidR="00F95696" w:rsidRDefault="00F95696">
          <w:pPr>
            <w:pStyle w:val="Header"/>
            <w:spacing w:before="40"/>
            <w:ind w:right="17"/>
            <w:jc w:val="right"/>
          </w:pPr>
        </w:p>
      </w:tc>
    </w:tr>
  </w:tbl>
  <w:p w:rsidR="00F95696" w:rsidRDefault="00F95696">
    <w:pPr>
      <w:pStyle w:val="Header"/>
      <w:pBdr>
        <w:top w:val="single" w:sz="4" w:space="1" w:color="auto"/>
      </w:pBdr>
    </w:pPr>
    <w:bookmarkStart w:id="68" w:name="Compilation"/>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95696">
      <w:trPr>
        <w:cantSplit/>
        <w:jc w:val="center"/>
      </w:trPr>
      <w:tc>
        <w:tcPr>
          <w:tcW w:w="7263" w:type="dxa"/>
          <w:gridSpan w:val="2"/>
        </w:tcPr>
        <w:p w:rsidR="00F95696" w:rsidRDefault="00F95696">
          <w:pPr>
            <w:pStyle w:val="Header"/>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1348" w:type="dxa"/>
        </w:tcPr>
        <w:p w:rsidR="00F95696" w:rsidRDefault="00F95696">
          <w:pPr>
            <w:pStyle w:val="Header"/>
            <w:spacing w:before="40"/>
          </w:pPr>
        </w:p>
      </w:tc>
      <w:tc>
        <w:tcPr>
          <w:tcW w:w="5915" w:type="dxa"/>
        </w:tcPr>
        <w:p w:rsidR="00F95696" w:rsidRDefault="00F95696">
          <w:pPr>
            <w:pStyle w:val="Header"/>
            <w:spacing w:before="40"/>
          </w:pPr>
        </w:p>
      </w:tc>
    </w:tr>
    <w:tr w:rsidR="00F95696">
      <w:trPr>
        <w:jc w:val="center"/>
      </w:trPr>
      <w:tc>
        <w:tcPr>
          <w:tcW w:w="1348" w:type="dxa"/>
        </w:tcPr>
        <w:p w:rsidR="00F95696" w:rsidRDefault="00F95696">
          <w:pPr>
            <w:pStyle w:val="Header"/>
            <w:spacing w:before="40"/>
          </w:pPr>
        </w:p>
      </w:tc>
      <w:tc>
        <w:tcPr>
          <w:tcW w:w="5915" w:type="dxa"/>
        </w:tcPr>
        <w:p w:rsidR="00F95696" w:rsidRDefault="00F95696">
          <w:pPr>
            <w:pStyle w:val="Header"/>
            <w:spacing w:before="40"/>
          </w:pPr>
        </w:p>
      </w:tc>
    </w:tr>
    <w:tr w:rsidR="00F95696">
      <w:trPr>
        <w:cantSplit/>
        <w:jc w:val="center"/>
      </w:trPr>
      <w:tc>
        <w:tcPr>
          <w:tcW w:w="7263" w:type="dxa"/>
          <w:gridSpan w:val="2"/>
        </w:tcPr>
        <w:p w:rsidR="00F95696" w:rsidRDefault="00F95696">
          <w:pPr>
            <w:pStyle w:val="Header"/>
            <w:spacing w:before="40"/>
          </w:pPr>
          <w:r>
            <w:t>Defined terms</w:t>
          </w:r>
        </w:p>
      </w:tc>
    </w:tr>
  </w:tbl>
  <w:p w:rsidR="00F95696" w:rsidRDefault="00F9569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95696">
      <w:trPr>
        <w:cantSplit/>
        <w:jc w:val="center"/>
      </w:trPr>
      <w:tc>
        <w:tcPr>
          <w:tcW w:w="7263" w:type="dxa"/>
          <w:gridSpan w:val="2"/>
        </w:tcPr>
        <w:p w:rsidR="00F95696" w:rsidRDefault="00F95696">
          <w:pPr>
            <w:pStyle w:val="Header"/>
            <w:spacing w:before="40"/>
            <w:ind w:right="17"/>
            <w:jc w:val="right"/>
          </w:pPr>
          <w:r>
            <w:rPr>
              <w:b/>
              <w:i/>
            </w:rPr>
            <w:fldChar w:fldCharType="begin"/>
          </w:r>
          <w:r>
            <w:rPr>
              <w:b/>
              <w:i/>
            </w:rPr>
            <w:instrText xml:space="preserve"> STYLEREF "Name of Act/Reg" </w:instrText>
          </w:r>
          <w:r>
            <w:rPr>
              <w:b/>
              <w:i/>
            </w:rPr>
            <w:fldChar w:fldCharType="separate"/>
          </w:r>
          <w:r w:rsidR="004A036E">
            <w:rPr>
              <w:b/>
              <w:i/>
            </w:rPr>
            <w:t>Energy Operators (Regional Power Corporation) (Charges) By-laws 2006</w:t>
          </w:r>
          <w:r>
            <w:rPr>
              <w:b/>
              <w:i/>
            </w:rPr>
            <w:fldChar w:fldCharType="end"/>
          </w:r>
        </w:p>
      </w:tc>
    </w:tr>
    <w:tr w:rsidR="00F95696">
      <w:trPr>
        <w:jc w:val="center"/>
      </w:trPr>
      <w:tc>
        <w:tcPr>
          <w:tcW w:w="5884" w:type="dxa"/>
        </w:tcPr>
        <w:p w:rsidR="00F95696" w:rsidRDefault="00F95696">
          <w:pPr>
            <w:pStyle w:val="Header"/>
            <w:spacing w:before="40"/>
            <w:jc w:val="right"/>
          </w:pPr>
        </w:p>
      </w:tc>
      <w:tc>
        <w:tcPr>
          <w:tcW w:w="1379" w:type="dxa"/>
        </w:tcPr>
        <w:p w:rsidR="00F95696" w:rsidRDefault="00F95696">
          <w:pPr>
            <w:pStyle w:val="Header"/>
            <w:spacing w:before="40"/>
            <w:ind w:right="17"/>
            <w:jc w:val="right"/>
          </w:pPr>
        </w:p>
      </w:tc>
    </w:tr>
    <w:tr w:rsidR="00F95696">
      <w:trPr>
        <w:jc w:val="center"/>
      </w:trPr>
      <w:tc>
        <w:tcPr>
          <w:tcW w:w="5884" w:type="dxa"/>
        </w:tcPr>
        <w:p w:rsidR="00F95696" w:rsidRDefault="00F95696">
          <w:pPr>
            <w:pStyle w:val="Header"/>
            <w:spacing w:before="40"/>
            <w:jc w:val="right"/>
          </w:pPr>
        </w:p>
      </w:tc>
      <w:tc>
        <w:tcPr>
          <w:tcW w:w="1379" w:type="dxa"/>
        </w:tcPr>
        <w:p w:rsidR="00F95696" w:rsidRDefault="00F95696">
          <w:pPr>
            <w:pStyle w:val="Header"/>
            <w:spacing w:before="40"/>
            <w:ind w:right="17"/>
            <w:jc w:val="right"/>
          </w:pPr>
        </w:p>
      </w:tc>
    </w:tr>
    <w:tr w:rsidR="00F95696">
      <w:trPr>
        <w:cantSplit/>
        <w:jc w:val="center"/>
      </w:trPr>
      <w:tc>
        <w:tcPr>
          <w:tcW w:w="7263" w:type="dxa"/>
          <w:gridSpan w:val="2"/>
        </w:tcPr>
        <w:p w:rsidR="00F95696" w:rsidRDefault="00F95696">
          <w:pPr>
            <w:pStyle w:val="Header"/>
            <w:spacing w:before="40"/>
            <w:ind w:right="17"/>
            <w:jc w:val="right"/>
          </w:pPr>
          <w:r>
            <w:t>Defined terms</w:t>
          </w:r>
        </w:p>
      </w:tc>
    </w:tr>
  </w:tbl>
  <w:p w:rsidR="00F95696" w:rsidRDefault="00F95696">
    <w:pPr>
      <w:pStyle w:val="Header"/>
      <w:pBdr>
        <w:top w:val="single" w:sz="4" w:space="1" w:color="auto"/>
      </w:pBdr>
    </w:pPr>
    <w:bookmarkStart w:id="69" w:name="DefinedTerms"/>
    <w:bookmarkEnd w:id="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696" w:rsidRDefault="00F95696">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20451"/>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s>
  <w:rsids>
    <w:rsidRoot w:val="00DF38A5"/>
    <w:rsid w:val="00042113"/>
    <w:rsid w:val="000F482B"/>
    <w:rsid w:val="001E63B4"/>
    <w:rsid w:val="003A6A66"/>
    <w:rsid w:val="003B090D"/>
    <w:rsid w:val="004A036E"/>
    <w:rsid w:val="0060671D"/>
    <w:rsid w:val="00650DFE"/>
    <w:rsid w:val="006A189E"/>
    <w:rsid w:val="006D31C4"/>
    <w:rsid w:val="00835773"/>
    <w:rsid w:val="008840C9"/>
    <w:rsid w:val="008A683E"/>
    <w:rsid w:val="008B1116"/>
    <w:rsid w:val="009C54CD"/>
    <w:rsid w:val="009C66B7"/>
    <w:rsid w:val="00AF5FFC"/>
    <w:rsid w:val="00B72FD8"/>
    <w:rsid w:val="00BF13F8"/>
    <w:rsid w:val="00C06980"/>
    <w:rsid w:val="00C71B6F"/>
    <w:rsid w:val="00CF3E97"/>
    <w:rsid w:val="00DC25D1"/>
    <w:rsid w:val="00DF38A5"/>
    <w:rsid w:val="00EF0335"/>
    <w:rsid w:val="00F956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BDCE5-BFD3-4560-A2FF-52B0C426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5412</Words>
  <Characters>26631</Characters>
  <Application>Microsoft Office Word</Application>
  <DocSecurity>0</DocSecurity>
  <Lines>1157</Lines>
  <Paragraphs>762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2006 - 02-m0-00</dc:title>
  <dc:subject/>
  <dc:creator/>
  <cp:keywords/>
  <dc:description/>
  <cp:lastModifiedBy>Master Repository Process</cp:lastModifiedBy>
  <cp:revision>4</cp:revision>
  <cp:lastPrinted>2019-06-24T07:21:00Z</cp:lastPrinted>
  <dcterms:created xsi:type="dcterms:W3CDTF">2021-06-30T02:01:00Z</dcterms:created>
  <dcterms:modified xsi:type="dcterms:W3CDTF">2021-06-30T02:01:00Z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2021</vt:lpwstr>
  </property>
  <property fmtid="{D5CDD505-2E9C-101B-9397-08002B2CF9AE}" pid="8" name="Suffix">
    <vt:lpwstr>02-m0-00</vt:lpwstr>
  </property>
  <property fmtid="{D5CDD505-2E9C-101B-9397-08002B2CF9AE}" pid="9" name="CommencementDate">
    <vt:lpwstr>20210701</vt:lpwstr>
  </property>
</Properties>
</file>