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_Toc172810467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_Toc172810468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_Toc172810469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_Toc172810470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_Toc172810471 \h </w:instrText>
      </w:r>
      <w:r>
        <w:fldChar w:fldCharType="separate"/>
      </w:r>
      <w:r>
        <w:t>4</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_Toc172810472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_Toc172810473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_Toc172810474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_Toc172810475 \h </w:instrText>
      </w:r>
      <w:r>
        <w:fldChar w:fldCharType="separate"/>
      </w:r>
      <w:r>
        <w:t>6</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_Toc172810476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_Toc172810477 \h </w:instrText>
      </w:r>
      <w:r>
        <w:fldChar w:fldCharType="separate"/>
      </w:r>
      <w:r>
        <w:t>7</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_Toc172810478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_Toc172810480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_Toc172810481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_Toc172810482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_Toc172810483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_Toc172810484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_Toc172810485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_Toc172810487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_Toc172810488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_Toc172810489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_Toc172810490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_Toc172810491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_Toc172810494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_Toc172810495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_Toc172810496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_Toc172810498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_Toc172810499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_Toc172810501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_Toc172810502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_Toc172810504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_Toc172810505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_Toc172810506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_Toc172810507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_Toc172810508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_Toc172810510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_Toc172810511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_Toc172810512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_Toc172810513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_Toc172810516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_Toc172810517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2" w:name="_Toc75423153"/>
      <w:bookmarkStart w:id="3" w:name="_Toc75423590"/>
      <w:bookmarkStart w:id="4" w:name="_Toc75423644"/>
      <w:bookmarkStart w:id="5" w:name="_Toc75439880"/>
      <w:bookmarkStart w:id="6" w:name="_Toc75439933"/>
      <w:bookmarkStart w:id="7" w:name="_Toc75789934"/>
      <w:bookmarkStart w:id="8" w:name="_Toc75790032"/>
      <w:bookmarkStart w:id="9" w:name="_Toc172810413"/>
      <w:bookmarkStart w:id="10" w:name="_Toc172810466"/>
      <w:r>
        <w:rPr>
          <w:rStyle w:val="CharPartNo"/>
        </w:rPr>
        <w:t>Part 1</w:t>
      </w:r>
      <w:r>
        <w:rPr>
          <w:rStyle w:val="CharDivNo"/>
        </w:rPr>
        <w:t> </w:t>
      </w:r>
      <w:r>
        <w:t>—</w:t>
      </w:r>
      <w:r>
        <w:rPr>
          <w:rStyle w:val="CharDivText"/>
        </w:rPr>
        <w:t> </w:t>
      </w:r>
      <w:r>
        <w:rPr>
          <w:rStyle w:val="CharPartText"/>
        </w:rPr>
        <w:t>Preliminary and application</w:t>
      </w:r>
      <w:bookmarkEnd w:id="2"/>
      <w:bookmarkEnd w:id="3"/>
      <w:bookmarkEnd w:id="4"/>
      <w:bookmarkEnd w:id="5"/>
      <w:bookmarkEnd w:id="6"/>
      <w:bookmarkEnd w:id="7"/>
      <w:bookmarkEnd w:id="8"/>
      <w:bookmarkEnd w:id="9"/>
      <w:bookmarkEnd w:id="10"/>
    </w:p>
    <w:p>
      <w:pPr>
        <w:pStyle w:val="Heading5"/>
      </w:pPr>
      <w:bookmarkStart w:id="11" w:name="_Toc172810467"/>
      <w:r>
        <w:rPr>
          <w:rStyle w:val="CharSectno"/>
        </w:rPr>
        <w:t>1</w:t>
      </w:r>
      <w:r>
        <w:t>.</w:t>
      </w:r>
      <w:r>
        <w:tab/>
        <w:t>Citation</w:t>
      </w:r>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Police Force (Member Testing) Regulations 2011</w:t>
      </w:r>
      <w:r>
        <w:t>.</w:t>
      </w:r>
    </w:p>
    <w:p>
      <w:pPr>
        <w:pStyle w:val="Heading5"/>
      </w:pPr>
      <w:bookmarkStart w:id="13" w:name="_Toc172810468"/>
      <w:r>
        <w:rPr>
          <w:rStyle w:val="CharSectno"/>
        </w:rPr>
        <w:t>2</w:t>
      </w:r>
      <w:r>
        <w:t>.</w:t>
      </w:r>
      <w:r>
        <w:tab/>
        <w:t>Commencement</w:t>
      </w:r>
      <w:bookmarkEnd w:id="13"/>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4" w:name="_Toc172810469"/>
      <w:r>
        <w:rPr>
          <w:rStyle w:val="CharSectno"/>
        </w:rPr>
        <w:t>3</w:t>
      </w:r>
      <w:r>
        <w:t>.</w:t>
      </w:r>
      <w:r>
        <w:tab/>
        <w:t>Terms used</w:t>
      </w:r>
      <w:bookmarkEnd w:id="14"/>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pPr>
      <w:r>
        <w:tab/>
      </w:r>
      <w:r>
        <w:rPr>
          <w:rStyle w:val="CharDefText"/>
        </w:rPr>
        <w:t>authorised person</w:t>
      </w:r>
      <w:r>
        <w:t xml:space="preserve"> has the meaning given in the </w:t>
      </w:r>
      <w:r>
        <w:rPr>
          <w:i/>
        </w:rPr>
        <w:t>Road Traffic Act 1974</w:t>
      </w:r>
      <w:r>
        <w:t xml:space="preserve"> section 65;</w:t>
      </w:r>
    </w:p>
    <w:p>
      <w:pPr>
        <w:pStyle w:val="Defstart"/>
      </w:pPr>
      <w:r>
        <w:lastRenderedPageBreak/>
        <w:tab/>
      </w:r>
      <w:r>
        <w:rPr>
          <w:rStyle w:val="CharDefText"/>
        </w:rPr>
        <w:t>confirmed adverse test result for alcohol</w:t>
      </w:r>
      <w:r>
        <w:t xml:space="preserve"> means analysis of a sample of breath carried out using breath analysing equipment showing the concentration of alcohol in a person’s blood to be 0.02 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(Western Australia) in the medical profession;</w:t>
      </w:r>
    </w:p>
    <w:p>
      <w:pPr>
        <w:pStyle w:val="Defstart"/>
      </w:pPr>
      <w:r>
        <w:lastRenderedPageBreak/>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lastRenderedPageBreak/>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 xml:space="preserve">; </w:t>
      </w:r>
    </w:p>
    <w:p>
      <w:pPr>
        <w:pStyle w:val="Defstart"/>
      </w:pPr>
      <w:r>
        <w:tab/>
      </w:r>
      <w:r>
        <w:rPr>
          <w:rStyle w:val="CharDefText"/>
        </w:rPr>
        <w:t>preliminary test</w:t>
      </w:r>
      <w:r>
        <w:t>.</w:t>
      </w:r>
    </w:p>
    <w:p>
      <w:pPr>
        <w:pStyle w:val="Footnotesection"/>
      </w:pPr>
      <w:r>
        <w:tab/>
        <w:t>[Regulation 3 amended: Gazette 16 Feb 2018 p. 472; 17 Aug 2018 p. 2898; 13 Nov 2018 p. 4436; SL 2021/99 r. 4.]</w:t>
      </w:r>
    </w:p>
    <w:p>
      <w:pPr>
        <w:pStyle w:val="Heading5"/>
      </w:pPr>
      <w:bookmarkStart w:id="15" w:name="_Toc172810470"/>
      <w:r>
        <w:rPr>
          <w:rStyle w:val="CharSectno"/>
        </w:rPr>
        <w:t>4</w:t>
      </w:r>
      <w:r>
        <w:t>.</w:t>
      </w:r>
      <w:r>
        <w:tab/>
        <w:t>Application of these regulations</w:t>
      </w:r>
      <w:bookmarkEnd w:id="15"/>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6" w:name="_Toc172810471"/>
      <w:r>
        <w:rPr>
          <w:rStyle w:val="CharSectno"/>
        </w:rPr>
        <w:t>5</w:t>
      </w:r>
      <w:r>
        <w:t>.</w:t>
      </w:r>
      <w:r>
        <w:tab/>
        <w:t>Approved persons</w:t>
      </w:r>
      <w:bookmarkEnd w:id="16"/>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lastRenderedPageBreak/>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7" w:name="_Toc172810472"/>
      <w:r>
        <w:rPr>
          <w:rStyle w:val="CharSectno"/>
        </w:rPr>
        <w:t>6</w:t>
      </w:r>
      <w:r>
        <w:t>.</w:t>
      </w:r>
      <w:r>
        <w:tab/>
        <w:t>Approved sample collectors</w:t>
      </w:r>
      <w:bookmarkEnd w:id="17"/>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18" w:name="_Toc172810473"/>
      <w:r>
        <w:rPr>
          <w:rStyle w:val="CharSectno"/>
        </w:rPr>
        <w:lastRenderedPageBreak/>
        <w:t>7</w:t>
      </w:r>
      <w:r>
        <w:t>.</w:t>
      </w:r>
      <w:r>
        <w:tab/>
        <w:t>When testing may be carried out — random</w:t>
      </w:r>
      <w:bookmarkEnd w:id="18"/>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9" w:name="_Toc172810474"/>
      <w:r>
        <w:rPr>
          <w:rStyle w:val="CharSectno"/>
        </w:rPr>
        <w:t>8</w:t>
      </w:r>
      <w:r>
        <w:t>.</w:t>
      </w:r>
      <w:r>
        <w:tab/>
        <w:t>When testing may be carried out — targeted</w:t>
      </w:r>
      <w:bookmarkEnd w:id="19"/>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20" w:name="_Toc172810475"/>
      <w:r>
        <w:rPr>
          <w:rStyle w:val="CharSectno"/>
        </w:rPr>
        <w:t>9</w:t>
      </w:r>
      <w:r>
        <w:t>.</w:t>
      </w:r>
      <w:r>
        <w:tab/>
        <w:t>When testing may be carried out — mandated</w:t>
      </w:r>
      <w:bookmarkEnd w:id="20"/>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lastRenderedPageBreak/>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21" w:name="_Toc172810476"/>
      <w:r>
        <w:rPr>
          <w:rStyle w:val="CharSectno"/>
        </w:rPr>
        <w:t>10</w:t>
      </w:r>
      <w:r>
        <w:t>.</w:t>
      </w:r>
      <w:r>
        <w:tab/>
        <w:t>Commissioner may declare drugs or substances to be targeted drugs</w:t>
      </w:r>
      <w:bookmarkEnd w:id="21"/>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22" w:name="_Toc172810477"/>
      <w:r>
        <w:rPr>
          <w:rStyle w:val="CharSectno"/>
        </w:rPr>
        <w:t>11</w:t>
      </w:r>
      <w:r>
        <w:t>.</w:t>
      </w:r>
      <w:r>
        <w:tab/>
        <w:t>Commissioner may declare substances to be masking agents</w:t>
      </w:r>
      <w:bookmarkEnd w:id="22"/>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23" w:name="_Toc172810478"/>
      <w:r>
        <w:rPr>
          <w:rStyle w:val="CharSectno"/>
        </w:rPr>
        <w:lastRenderedPageBreak/>
        <w:t>12</w:t>
      </w:r>
      <w:r>
        <w:t>.</w:t>
      </w:r>
      <w:r>
        <w:tab/>
        <w:t>Commissioner may approve collection procedures for alcohol and drug testing</w:t>
      </w:r>
      <w:bookmarkEnd w:id="23"/>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and preliminary test apparatus)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Footnotesection"/>
      </w:pPr>
      <w:r>
        <w:tab/>
        <w:t>[Regulation 12 amended: SL 2021/99 r. 5.]</w:t>
      </w:r>
    </w:p>
    <w:p>
      <w:pPr>
        <w:pStyle w:val="Heading2"/>
      </w:pPr>
      <w:bookmarkStart w:id="24" w:name="_Toc75423166"/>
      <w:bookmarkStart w:id="25" w:name="_Toc75423603"/>
      <w:bookmarkStart w:id="26" w:name="_Toc75423657"/>
      <w:bookmarkStart w:id="27" w:name="_Toc75439893"/>
      <w:bookmarkStart w:id="28" w:name="_Toc75439946"/>
      <w:bookmarkStart w:id="29" w:name="_Toc75789947"/>
      <w:bookmarkStart w:id="30" w:name="_Toc75790045"/>
      <w:bookmarkStart w:id="31" w:name="_Toc172810426"/>
      <w:bookmarkStart w:id="32" w:name="_Toc172810479"/>
      <w:r>
        <w:rPr>
          <w:rStyle w:val="CharPartNo"/>
        </w:rPr>
        <w:lastRenderedPageBreak/>
        <w:t>Part 2</w:t>
      </w:r>
      <w:r>
        <w:rPr>
          <w:rStyle w:val="CharDivNo"/>
        </w:rPr>
        <w:t> </w:t>
      </w:r>
      <w:r>
        <w:t>—</w:t>
      </w:r>
      <w:r>
        <w:rPr>
          <w:rStyle w:val="CharDivText"/>
        </w:rPr>
        <w:t> </w:t>
      </w:r>
      <w:r>
        <w:rPr>
          <w:rStyle w:val="CharPartText"/>
        </w:rPr>
        <w:t>Testing for alcohol</w:t>
      </w:r>
      <w:bookmarkEnd w:id="24"/>
      <w:bookmarkEnd w:id="25"/>
      <w:bookmarkEnd w:id="26"/>
      <w:bookmarkEnd w:id="27"/>
      <w:bookmarkEnd w:id="28"/>
      <w:bookmarkEnd w:id="29"/>
      <w:bookmarkEnd w:id="30"/>
      <w:bookmarkEnd w:id="31"/>
      <w:bookmarkEnd w:id="32"/>
    </w:p>
    <w:p>
      <w:pPr>
        <w:pStyle w:val="Heading5"/>
      </w:pPr>
      <w:bookmarkStart w:id="33" w:name="_Toc172810480"/>
      <w:r>
        <w:rPr>
          <w:rStyle w:val="CharSectno"/>
        </w:rPr>
        <w:t>13</w:t>
      </w:r>
      <w:r>
        <w:t>.</w:t>
      </w:r>
      <w:r>
        <w:tab/>
        <w:t>Requirement to submit sample of breath for preliminary analysis</w:t>
      </w:r>
      <w:bookmarkEnd w:id="33"/>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34" w:name="_Toc172810481"/>
      <w:r>
        <w:rPr>
          <w:rStyle w:val="CharSectno"/>
        </w:rPr>
        <w:t>14</w:t>
      </w:r>
      <w:r>
        <w:t>.</w:t>
      </w:r>
      <w:r>
        <w:tab/>
        <w:t>Requirement to confirm identity</w:t>
      </w:r>
      <w:bookmarkEnd w:id="34"/>
    </w:p>
    <w:p>
      <w:pPr>
        <w:pStyle w:val="Subsection"/>
      </w:pPr>
      <w:r>
        <w:tab/>
      </w:r>
      <w:r>
        <w:tab/>
        <w:t>A selected member must confirm his or her identity by showing police identification at the time of providing a sample for alcohol testing.</w:t>
      </w:r>
    </w:p>
    <w:p>
      <w:pPr>
        <w:pStyle w:val="Heading5"/>
      </w:pPr>
      <w:bookmarkStart w:id="35" w:name="_Toc172810482"/>
      <w:r>
        <w:rPr>
          <w:rStyle w:val="CharSectno"/>
        </w:rPr>
        <w:t>15</w:t>
      </w:r>
      <w:r>
        <w:t>.</w:t>
      </w:r>
      <w:r>
        <w:tab/>
        <w:t>Requirement to submit further sample of breath</w:t>
      </w:r>
      <w:bookmarkEnd w:id="35"/>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lastRenderedPageBreak/>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Footnotesection"/>
      </w:pPr>
      <w:r>
        <w:tab/>
        <w:t>[Regulation 15 amended: SL 2021/99 r. 6.]</w:t>
      </w:r>
    </w:p>
    <w:p>
      <w:pPr>
        <w:pStyle w:val="Heading5"/>
      </w:pPr>
      <w:bookmarkStart w:id="36" w:name="_Toc172810483"/>
      <w:r>
        <w:rPr>
          <w:rStyle w:val="CharSectno"/>
        </w:rPr>
        <w:t>16</w:t>
      </w:r>
      <w:r>
        <w:t>.</w:t>
      </w:r>
      <w:r>
        <w:tab/>
        <w:t>Breath analysis form to be completed</w:t>
      </w:r>
      <w:bookmarkEnd w:id="36"/>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37" w:name="_Toc172810484"/>
      <w:r>
        <w:rPr>
          <w:rStyle w:val="CharSectno"/>
        </w:rPr>
        <w:t>17</w:t>
      </w:r>
      <w:r>
        <w:t>.</w:t>
      </w:r>
      <w:r>
        <w:tab/>
        <w:t>Requirement to submit sample of urine or blood under certain circumstances</w:t>
      </w:r>
      <w:bookmarkEnd w:id="37"/>
    </w:p>
    <w:p>
      <w:pPr>
        <w:pStyle w:val="Subsection"/>
      </w:pPr>
      <w:r>
        <w:tab/>
        <w:t>(1)</w:t>
      </w:r>
      <w:r>
        <w:tab/>
        <w:t xml:space="preserve">Where an approved person might require a selected member to provide a sample of breath for analysis by an authorised person </w:t>
      </w:r>
      <w:r>
        <w:lastRenderedPageBreak/>
        <w:t>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38" w:name="_Toc172810485"/>
      <w:r>
        <w:rPr>
          <w:rStyle w:val="CharSectno"/>
        </w:rPr>
        <w:t>18</w:t>
      </w:r>
      <w:r>
        <w:t>.</w:t>
      </w:r>
      <w:r>
        <w:tab/>
        <w:t>Incapacity to provide sample</w:t>
      </w:r>
      <w:bookmarkEnd w:id="38"/>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9" w:name="_Toc75423173"/>
      <w:bookmarkStart w:id="40" w:name="_Toc75423610"/>
      <w:bookmarkStart w:id="41" w:name="_Toc75423664"/>
      <w:bookmarkStart w:id="42" w:name="_Toc75439900"/>
      <w:bookmarkStart w:id="43" w:name="_Toc75439953"/>
      <w:bookmarkStart w:id="44" w:name="_Toc75789954"/>
      <w:bookmarkStart w:id="45" w:name="_Toc75790052"/>
      <w:bookmarkStart w:id="46" w:name="_Toc172810433"/>
      <w:bookmarkStart w:id="47" w:name="_Toc172810486"/>
      <w:r>
        <w:rPr>
          <w:rStyle w:val="CharPartNo"/>
        </w:rPr>
        <w:lastRenderedPageBreak/>
        <w:t>Part 3</w:t>
      </w:r>
      <w:r>
        <w:rPr>
          <w:rStyle w:val="CharDivNo"/>
        </w:rPr>
        <w:t> </w:t>
      </w:r>
      <w:r>
        <w:t>—</w:t>
      </w:r>
      <w:r>
        <w:rPr>
          <w:rStyle w:val="CharDivText"/>
        </w:rPr>
        <w:t> </w:t>
      </w:r>
      <w:r>
        <w:rPr>
          <w:rStyle w:val="CharPartText"/>
        </w:rPr>
        <w:t>Testing for drugs</w:t>
      </w:r>
      <w:bookmarkEnd w:id="39"/>
      <w:bookmarkEnd w:id="40"/>
      <w:bookmarkEnd w:id="41"/>
      <w:bookmarkEnd w:id="42"/>
      <w:bookmarkEnd w:id="43"/>
      <w:bookmarkEnd w:id="44"/>
      <w:bookmarkEnd w:id="45"/>
      <w:bookmarkEnd w:id="46"/>
      <w:bookmarkEnd w:id="47"/>
    </w:p>
    <w:p>
      <w:pPr>
        <w:pStyle w:val="Heading5"/>
      </w:pPr>
      <w:bookmarkStart w:id="48" w:name="_Toc172810487"/>
      <w:r>
        <w:rPr>
          <w:rStyle w:val="CharSectno"/>
        </w:rPr>
        <w:t>19</w:t>
      </w:r>
      <w:r>
        <w:t>.</w:t>
      </w:r>
      <w:r>
        <w:tab/>
        <w:t>Requirement to submit sample for drug testing</w:t>
      </w:r>
      <w:bookmarkEnd w:id="48"/>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49" w:name="_Toc172810488"/>
      <w:r>
        <w:rPr>
          <w:rStyle w:val="CharSectno"/>
        </w:rPr>
        <w:t>20</w:t>
      </w:r>
      <w:r>
        <w:t>.</w:t>
      </w:r>
      <w:r>
        <w:tab/>
        <w:t>Requirement to confirm identity</w:t>
      </w:r>
      <w:bookmarkEnd w:id="49"/>
    </w:p>
    <w:p>
      <w:pPr>
        <w:pStyle w:val="Subsection"/>
      </w:pPr>
      <w:r>
        <w:tab/>
      </w:r>
      <w:r>
        <w:tab/>
        <w:t>A selected member must confirm his or her identity by showing police identification at the time of providing a sample for drug testing.</w:t>
      </w:r>
    </w:p>
    <w:p>
      <w:pPr>
        <w:pStyle w:val="Heading5"/>
      </w:pPr>
      <w:bookmarkStart w:id="50" w:name="_Toc172810489"/>
      <w:r>
        <w:rPr>
          <w:rStyle w:val="CharSectno"/>
        </w:rPr>
        <w:lastRenderedPageBreak/>
        <w:t>21</w:t>
      </w:r>
      <w:r>
        <w:t>.</w:t>
      </w:r>
      <w:r>
        <w:tab/>
        <w:t>Incapacity to provide sample</w:t>
      </w:r>
      <w:bookmarkEnd w:id="50"/>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51" w:name="_Toc172810490"/>
      <w:r>
        <w:rPr>
          <w:rStyle w:val="CharSectno"/>
        </w:rPr>
        <w:t>22</w:t>
      </w:r>
      <w:r>
        <w:t>.</w:t>
      </w:r>
      <w:r>
        <w:tab/>
        <w:t>Requirement to submit further sample for drug testing</w:t>
      </w:r>
      <w:bookmarkEnd w:id="51"/>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52" w:name="_Toc172810491"/>
      <w:r>
        <w:rPr>
          <w:rStyle w:val="CharSectno"/>
        </w:rPr>
        <w:t>23</w:t>
      </w:r>
      <w:r>
        <w:t>.</w:t>
      </w:r>
      <w:r>
        <w:tab/>
        <w:t>Drugs analyst to report result to Commissioner</w:t>
      </w:r>
      <w:bookmarkEnd w:id="52"/>
    </w:p>
    <w:p>
      <w:pPr>
        <w:pStyle w:val="Subsection"/>
      </w:pPr>
      <w:r>
        <w:tab/>
      </w:r>
      <w:r>
        <w:tab/>
        <w:t xml:space="preserve">Where a drugs analyst carries out an analysis of a sample following a presumptive positive test result for drugs, the drugs analyst is to provide a written result of that analysis to the </w:t>
      </w:r>
      <w:r>
        <w:lastRenderedPageBreak/>
        <w:t>Commissioner, whether or not that analysis resulted in a confirmed adverse test result for drugs.</w:t>
      </w:r>
    </w:p>
    <w:p>
      <w:pPr>
        <w:pStyle w:val="Footnotesection"/>
      </w:pPr>
      <w:r>
        <w:tab/>
        <w:t>[Regulation 23 amended: Gazette 17 Aug 2018 p. 2900.]</w:t>
      </w:r>
    </w:p>
    <w:p>
      <w:pPr>
        <w:pStyle w:val="Heading2"/>
      </w:pPr>
      <w:bookmarkStart w:id="53" w:name="_Toc75423179"/>
      <w:bookmarkStart w:id="54" w:name="_Toc75423616"/>
      <w:bookmarkStart w:id="55" w:name="_Toc75423670"/>
      <w:bookmarkStart w:id="56" w:name="_Toc75439906"/>
      <w:bookmarkStart w:id="57" w:name="_Toc75439959"/>
      <w:bookmarkStart w:id="58" w:name="_Toc75789960"/>
      <w:bookmarkStart w:id="59" w:name="_Toc75790058"/>
      <w:bookmarkStart w:id="60" w:name="_Toc172810439"/>
      <w:bookmarkStart w:id="61" w:name="_Toc172810492"/>
      <w:r>
        <w:rPr>
          <w:rStyle w:val="CharPartNo"/>
        </w:rPr>
        <w:lastRenderedPageBreak/>
        <w:t>Part 4</w:t>
      </w:r>
      <w:r>
        <w:t> — </w:t>
      </w:r>
      <w:r>
        <w:rPr>
          <w:rStyle w:val="CharPartText"/>
        </w:rPr>
        <w:t>Recall to, and remaining on, duty</w:t>
      </w:r>
      <w:bookmarkEnd w:id="53"/>
      <w:bookmarkEnd w:id="54"/>
      <w:bookmarkEnd w:id="55"/>
      <w:bookmarkEnd w:id="56"/>
      <w:bookmarkEnd w:id="57"/>
      <w:bookmarkEnd w:id="58"/>
      <w:bookmarkEnd w:id="59"/>
      <w:bookmarkEnd w:id="60"/>
      <w:bookmarkEnd w:id="61"/>
    </w:p>
    <w:p>
      <w:pPr>
        <w:pStyle w:val="Heading3"/>
      </w:pPr>
      <w:bookmarkStart w:id="62" w:name="_Toc75423180"/>
      <w:bookmarkStart w:id="63" w:name="_Toc75423617"/>
      <w:bookmarkStart w:id="64" w:name="_Toc75423671"/>
      <w:bookmarkStart w:id="65" w:name="_Toc75439907"/>
      <w:bookmarkStart w:id="66" w:name="_Toc75439960"/>
      <w:bookmarkStart w:id="67" w:name="_Toc75789961"/>
      <w:bookmarkStart w:id="68" w:name="_Toc75790059"/>
      <w:bookmarkStart w:id="69" w:name="_Toc172810440"/>
      <w:bookmarkStart w:id="70" w:name="_Toc172810493"/>
      <w:r>
        <w:rPr>
          <w:rStyle w:val="CharDivNo"/>
        </w:rPr>
        <w:t>Division 1</w:t>
      </w:r>
      <w:r>
        <w:t> — </w:t>
      </w:r>
      <w:r>
        <w:rPr>
          <w:rStyle w:val="CharDivText"/>
        </w:rPr>
        <w:t>Critical incident</w:t>
      </w:r>
      <w:bookmarkEnd w:id="62"/>
      <w:bookmarkEnd w:id="63"/>
      <w:bookmarkEnd w:id="64"/>
      <w:bookmarkEnd w:id="65"/>
      <w:bookmarkEnd w:id="66"/>
      <w:bookmarkEnd w:id="67"/>
      <w:bookmarkEnd w:id="68"/>
      <w:bookmarkEnd w:id="69"/>
      <w:bookmarkEnd w:id="70"/>
    </w:p>
    <w:p>
      <w:pPr>
        <w:pStyle w:val="Heading5"/>
      </w:pPr>
      <w:bookmarkStart w:id="71" w:name="_Toc172810494"/>
      <w:r>
        <w:rPr>
          <w:rStyle w:val="CharSectno"/>
        </w:rPr>
        <w:t>24</w:t>
      </w:r>
      <w:r>
        <w:t>.</w:t>
      </w:r>
      <w:r>
        <w:tab/>
        <w:t>Remain on duty — alcohol and drug testing</w:t>
      </w:r>
      <w:bookmarkEnd w:id="71"/>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72" w:name="_Toc172810495"/>
      <w:r>
        <w:rPr>
          <w:rStyle w:val="CharSectno"/>
        </w:rPr>
        <w:t>25</w:t>
      </w:r>
      <w:r>
        <w:t>.</w:t>
      </w:r>
      <w:r>
        <w:tab/>
        <w:t>Recall to duty — drug testing</w:t>
      </w:r>
      <w:bookmarkEnd w:id="72"/>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73" w:name="_Toc172810496"/>
      <w:r>
        <w:rPr>
          <w:rStyle w:val="CharSectno"/>
        </w:rPr>
        <w:t>26</w:t>
      </w:r>
      <w:r>
        <w:t>.</w:t>
      </w:r>
      <w:r>
        <w:tab/>
        <w:t>Recall to duty — alcohol testing</w:t>
      </w:r>
      <w:bookmarkEnd w:id="7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74" w:name="_Toc75423184"/>
      <w:bookmarkStart w:id="75" w:name="_Toc75423621"/>
      <w:bookmarkStart w:id="76" w:name="_Toc75423675"/>
      <w:bookmarkStart w:id="77" w:name="_Toc75439911"/>
      <w:bookmarkStart w:id="78" w:name="_Toc75439964"/>
      <w:bookmarkStart w:id="79" w:name="_Toc75789965"/>
      <w:bookmarkStart w:id="80" w:name="_Toc75790063"/>
      <w:bookmarkStart w:id="81" w:name="_Toc172810444"/>
      <w:bookmarkStart w:id="82" w:name="_Toc172810497"/>
      <w:r>
        <w:rPr>
          <w:rStyle w:val="CharDivNo"/>
        </w:rPr>
        <w:lastRenderedPageBreak/>
        <w:t>Division 2</w:t>
      </w:r>
      <w:r>
        <w:t> — </w:t>
      </w:r>
      <w:r>
        <w:rPr>
          <w:rStyle w:val="CharDivText"/>
        </w:rPr>
        <w:t>Other testing</w:t>
      </w:r>
      <w:bookmarkEnd w:id="74"/>
      <w:bookmarkEnd w:id="75"/>
      <w:bookmarkEnd w:id="76"/>
      <w:bookmarkEnd w:id="77"/>
      <w:bookmarkEnd w:id="78"/>
      <w:bookmarkEnd w:id="79"/>
      <w:bookmarkEnd w:id="80"/>
      <w:bookmarkEnd w:id="81"/>
      <w:bookmarkEnd w:id="82"/>
    </w:p>
    <w:p>
      <w:pPr>
        <w:pStyle w:val="Heading5"/>
      </w:pPr>
      <w:bookmarkStart w:id="83" w:name="_Toc172810498"/>
      <w:r>
        <w:rPr>
          <w:rStyle w:val="CharSectno"/>
        </w:rPr>
        <w:t>27</w:t>
      </w:r>
      <w:r>
        <w:t>.</w:t>
      </w:r>
      <w:r>
        <w:tab/>
        <w:t>Remain on duty — alcohol and drug testing</w:t>
      </w:r>
      <w:bookmarkEnd w:id="83"/>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84" w:name="_Toc172810499"/>
      <w:r>
        <w:rPr>
          <w:rStyle w:val="CharSectno"/>
        </w:rPr>
        <w:t>28</w:t>
      </w:r>
      <w:r>
        <w:t>.</w:t>
      </w:r>
      <w:r>
        <w:tab/>
        <w:t>Recall to duty — drug testing</w:t>
      </w:r>
      <w:bookmarkEnd w:id="84"/>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85" w:name="_Toc75423187"/>
      <w:bookmarkStart w:id="86" w:name="_Toc75423624"/>
      <w:bookmarkStart w:id="87" w:name="_Toc75423678"/>
      <w:bookmarkStart w:id="88" w:name="_Toc75439914"/>
      <w:bookmarkStart w:id="89" w:name="_Toc75439967"/>
      <w:bookmarkStart w:id="90" w:name="_Toc75789968"/>
      <w:bookmarkStart w:id="91" w:name="_Toc75790066"/>
      <w:bookmarkStart w:id="92" w:name="_Toc172810447"/>
      <w:bookmarkStart w:id="93" w:name="_Toc172810500"/>
      <w:r>
        <w:rPr>
          <w:rStyle w:val="CharPartNo"/>
        </w:rPr>
        <w:lastRenderedPageBreak/>
        <w:t>Part 5</w:t>
      </w:r>
      <w:r>
        <w:rPr>
          <w:rStyle w:val="CharDivNo"/>
        </w:rPr>
        <w:t> </w:t>
      </w:r>
      <w:r>
        <w:t>—</w:t>
      </w:r>
      <w:r>
        <w:rPr>
          <w:rStyle w:val="CharDivText"/>
        </w:rPr>
        <w:t> </w:t>
      </w:r>
      <w:r>
        <w:rPr>
          <w:rStyle w:val="CharPartText"/>
        </w:rPr>
        <w:t>Self reporting</w:t>
      </w:r>
      <w:bookmarkEnd w:id="85"/>
      <w:bookmarkEnd w:id="86"/>
      <w:bookmarkEnd w:id="87"/>
      <w:bookmarkEnd w:id="88"/>
      <w:bookmarkEnd w:id="89"/>
      <w:bookmarkEnd w:id="90"/>
      <w:bookmarkEnd w:id="91"/>
      <w:bookmarkEnd w:id="92"/>
      <w:bookmarkEnd w:id="93"/>
    </w:p>
    <w:p>
      <w:pPr>
        <w:pStyle w:val="Heading5"/>
      </w:pPr>
      <w:bookmarkStart w:id="94" w:name="_Toc172810501"/>
      <w:r>
        <w:rPr>
          <w:rStyle w:val="CharSectno"/>
        </w:rPr>
        <w:t>29</w:t>
      </w:r>
      <w:r>
        <w:t>.</w:t>
      </w:r>
      <w:r>
        <w:tab/>
        <w:t>Involuntary or accidental alcohol consumption</w:t>
      </w:r>
      <w:bookmarkEnd w:id="94"/>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95" w:name="_Toc172810502"/>
      <w:r>
        <w:rPr>
          <w:rStyle w:val="CharSectno"/>
        </w:rPr>
        <w:t>30</w:t>
      </w:r>
      <w:r>
        <w:t>.</w:t>
      </w:r>
      <w:r>
        <w:tab/>
        <w:t>Involuntary or accidental drug ingestion</w:t>
      </w:r>
      <w:bookmarkEnd w:id="95"/>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96" w:name="_Toc75423190"/>
      <w:bookmarkStart w:id="97" w:name="_Toc75423627"/>
      <w:bookmarkStart w:id="98" w:name="_Toc75423681"/>
      <w:bookmarkStart w:id="99" w:name="_Toc75439917"/>
      <w:bookmarkStart w:id="100" w:name="_Toc75439970"/>
      <w:bookmarkStart w:id="101" w:name="_Toc75789971"/>
      <w:bookmarkStart w:id="102" w:name="_Toc75790069"/>
      <w:bookmarkStart w:id="103" w:name="_Toc172810450"/>
      <w:bookmarkStart w:id="104" w:name="_Toc172810503"/>
      <w:r>
        <w:rPr>
          <w:rStyle w:val="CharPartNo"/>
        </w:rPr>
        <w:lastRenderedPageBreak/>
        <w:t>Part 6</w:t>
      </w:r>
      <w:r>
        <w:t> — </w:t>
      </w:r>
      <w:r>
        <w:rPr>
          <w:rStyle w:val="CharPartText"/>
        </w:rPr>
        <w:t>Adverse test results</w:t>
      </w:r>
      <w:bookmarkEnd w:id="96"/>
      <w:bookmarkEnd w:id="97"/>
      <w:bookmarkEnd w:id="98"/>
      <w:bookmarkEnd w:id="99"/>
      <w:bookmarkEnd w:id="100"/>
      <w:bookmarkEnd w:id="101"/>
      <w:bookmarkEnd w:id="102"/>
      <w:bookmarkEnd w:id="103"/>
      <w:bookmarkEnd w:id="104"/>
    </w:p>
    <w:p>
      <w:pPr>
        <w:pStyle w:val="Heading5"/>
      </w:pPr>
      <w:bookmarkStart w:id="105" w:name="_Toc172810504"/>
      <w:r>
        <w:rPr>
          <w:rStyle w:val="CharSectno"/>
        </w:rPr>
        <w:t>31</w:t>
      </w:r>
      <w:r>
        <w:t>.</w:t>
      </w:r>
      <w:r>
        <w:tab/>
        <w:t>Adverse testing outcome — alcohol (0.02)</w:t>
      </w:r>
      <w:bookmarkEnd w:id="105"/>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Footnotesection"/>
      </w:pPr>
      <w:r>
        <w:tab/>
        <w:t>[Regulation 31 amended: SL 2021/99 r. 7.]</w:t>
      </w:r>
    </w:p>
    <w:p>
      <w:pPr>
        <w:pStyle w:val="Heading5"/>
      </w:pPr>
      <w:bookmarkStart w:id="106" w:name="_Toc172810505"/>
      <w:r>
        <w:rPr>
          <w:rStyle w:val="CharSectno"/>
        </w:rPr>
        <w:t>32</w:t>
      </w:r>
      <w:r>
        <w:t>.</w:t>
      </w:r>
      <w:r>
        <w:tab/>
        <w:t>Adverse testing outcome — drugs</w:t>
      </w:r>
      <w:bookmarkEnd w:id="106"/>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 xml:space="preserve">in the case of a test for testosterone, the preliminary analysis of the member’s sample returns a presumptive positive test result for drugs and that member subsequently returns a confirmed adverse test result for drugs indicating that the amount of testosterone present </w:t>
      </w:r>
      <w:r>
        <w:lastRenderedPageBreak/>
        <w:t>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07" w:name="_Toc172810506"/>
      <w:r>
        <w:rPr>
          <w:rStyle w:val="CharSectno"/>
        </w:rPr>
        <w:t>33</w:t>
      </w:r>
      <w:r>
        <w:t>.</w:t>
      </w:r>
      <w:r>
        <w:tab/>
        <w:t>Independent testing</w:t>
      </w:r>
      <w:bookmarkEnd w:id="107"/>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08" w:name="_Toc172810507"/>
      <w:r>
        <w:rPr>
          <w:rStyle w:val="CharSectno"/>
        </w:rPr>
        <w:t>34</w:t>
      </w:r>
      <w:r>
        <w:t>.</w:t>
      </w:r>
      <w:r>
        <w:tab/>
        <w:t>Consequences of an adverse testing outcome — alcohol</w:t>
      </w:r>
      <w:bookmarkEnd w:id="108"/>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lastRenderedPageBreak/>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09" w:name="_Toc172810508"/>
      <w:r>
        <w:rPr>
          <w:rStyle w:val="CharSectno"/>
        </w:rPr>
        <w:t>35</w:t>
      </w:r>
      <w:r>
        <w:t>.</w:t>
      </w:r>
      <w:r>
        <w:tab/>
        <w:t>Consequences of an adverse testing outcome — drugs</w:t>
      </w:r>
      <w:bookmarkEnd w:id="109"/>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lastRenderedPageBreak/>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110" w:name="_Toc75423196"/>
      <w:bookmarkStart w:id="111" w:name="_Toc75423633"/>
      <w:bookmarkStart w:id="112" w:name="_Toc75423687"/>
      <w:bookmarkStart w:id="113" w:name="_Toc75439923"/>
      <w:bookmarkStart w:id="114" w:name="_Toc75439976"/>
      <w:bookmarkStart w:id="115" w:name="_Toc75789977"/>
      <w:bookmarkStart w:id="116" w:name="_Toc75790075"/>
      <w:bookmarkStart w:id="117" w:name="_Toc172810456"/>
      <w:bookmarkStart w:id="118" w:name="_Toc172810509"/>
      <w:r>
        <w:rPr>
          <w:rStyle w:val="CharPartNo"/>
        </w:rPr>
        <w:lastRenderedPageBreak/>
        <w:t>Part 7</w:t>
      </w:r>
      <w:r>
        <w:t> — </w:t>
      </w:r>
      <w:r>
        <w:rPr>
          <w:rStyle w:val="CharPartText"/>
        </w:rPr>
        <w:t>Other offences</w:t>
      </w:r>
      <w:bookmarkEnd w:id="110"/>
      <w:bookmarkEnd w:id="111"/>
      <w:bookmarkEnd w:id="112"/>
      <w:bookmarkEnd w:id="113"/>
      <w:bookmarkEnd w:id="114"/>
      <w:bookmarkEnd w:id="115"/>
      <w:bookmarkEnd w:id="116"/>
      <w:bookmarkEnd w:id="117"/>
      <w:bookmarkEnd w:id="118"/>
    </w:p>
    <w:p>
      <w:pPr>
        <w:pStyle w:val="Heading5"/>
      </w:pPr>
      <w:bookmarkStart w:id="119" w:name="_Toc172810510"/>
      <w:r>
        <w:rPr>
          <w:rStyle w:val="CharSectno"/>
        </w:rPr>
        <w:t>36</w:t>
      </w:r>
      <w:r>
        <w:t>.</w:t>
      </w:r>
      <w:r>
        <w:tab/>
        <w:t>Refusal</w:t>
      </w:r>
      <w:bookmarkEnd w:id="119"/>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when required to do so under these regulations.</w:t>
      </w:r>
    </w:p>
    <w:p>
      <w:pPr>
        <w:pStyle w:val="Subsection"/>
      </w:pPr>
      <w:r>
        <w:tab/>
        <w:t>(4)</w:t>
      </w:r>
      <w:r>
        <w:tab/>
        <w:t>A member must provide a sample of blood, urine, oral fluid or hair when required to do so under these regulations.</w:t>
      </w:r>
    </w:p>
    <w:p>
      <w:pPr>
        <w:pStyle w:val="Footnotesection"/>
      </w:pPr>
      <w:r>
        <w:tab/>
        <w:t>[Regulation 36 amended: SL 2021/99 r. 8.]</w:t>
      </w:r>
    </w:p>
    <w:p>
      <w:pPr>
        <w:pStyle w:val="Heading5"/>
      </w:pPr>
      <w:bookmarkStart w:id="120" w:name="_Toc172810511"/>
      <w:r>
        <w:rPr>
          <w:rStyle w:val="CharSectno"/>
        </w:rPr>
        <w:t>37</w:t>
      </w:r>
      <w:r>
        <w:t>.</w:t>
      </w:r>
      <w:r>
        <w:tab/>
        <w:t>Avoidance</w:t>
      </w:r>
      <w:bookmarkEnd w:id="120"/>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that member must not provide 2 or more invalid samples unless there is a written medical explanation for the invalidity of those samples.</w:t>
      </w:r>
    </w:p>
    <w:p>
      <w:pPr>
        <w:pStyle w:val="Subsection"/>
      </w:pPr>
      <w:r>
        <w:tab/>
        <w:t>(3)</w:t>
      </w:r>
      <w:r>
        <w:tab/>
        <w:t xml:space="preserve">If a member is subject to a requirement under these regulations to provide a sample of blood, urine, oral fluid or hair, that member must not provide 2 or more invalid samples unless </w:t>
      </w:r>
      <w:r>
        <w:lastRenderedPageBreak/>
        <w:t>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Footnotesection"/>
      </w:pPr>
      <w:r>
        <w:tab/>
        <w:t>[Regulation 37 amended: SL 2021/99 r. 9.]</w:t>
      </w:r>
    </w:p>
    <w:p>
      <w:pPr>
        <w:pStyle w:val="Heading5"/>
      </w:pPr>
      <w:bookmarkStart w:id="121" w:name="_Toc172810512"/>
      <w:r>
        <w:rPr>
          <w:rStyle w:val="CharSectno"/>
        </w:rPr>
        <w:t>38</w:t>
      </w:r>
      <w:r>
        <w:t>.</w:t>
      </w:r>
      <w:r>
        <w:tab/>
        <w:t>Tampering</w:t>
      </w:r>
      <w:bookmarkEnd w:id="121"/>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122" w:name="_Toc172810513"/>
      <w:r>
        <w:rPr>
          <w:rStyle w:val="CharSectno"/>
        </w:rPr>
        <w:t>39</w:t>
      </w:r>
      <w:r>
        <w:t>.</w:t>
      </w:r>
      <w:r>
        <w:tab/>
        <w:t>Sanction for offences</w:t>
      </w:r>
      <w:bookmarkEnd w:id="122"/>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23" w:name="_Toc75423201"/>
      <w:bookmarkStart w:id="124" w:name="_Toc75423638"/>
      <w:bookmarkStart w:id="125" w:name="_Toc75423692"/>
      <w:bookmarkStart w:id="126" w:name="_Toc75439928"/>
      <w:bookmarkStart w:id="127" w:name="_Toc75439981"/>
      <w:bookmarkStart w:id="128" w:name="_Toc75789982"/>
      <w:bookmarkStart w:id="129" w:name="_Toc75790080"/>
      <w:bookmarkStart w:id="130" w:name="_Toc172810461"/>
      <w:bookmarkStart w:id="131" w:name="_Toc172810514"/>
      <w:r>
        <w:rPr>
          <w:rStyle w:val="CharSchNo"/>
        </w:rPr>
        <w:lastRenderedPageBreak/>
        <w:t>Schedule 1</w:t>
      </w:r>
      <w:r>
        <w:rPr>
          <w:rStyle w:val="CharSDivNo"/>
        </w:rPr>
        <w:t> </w:t>
      </w:r>
      <w:r>
        <w:t>—</w:t>
      </w:r>
      <w:r>
        <w:rPr>
          <w:rStyle w:val="CharSDivText"/>
        </w:rPr>
        <w:t> </w:t>
      </w:r>
      <w:r>
        <w:rPr>
          <w:rStyle w:val="CharSchText"/>
        </w:rPr>
        <w:t>Forms</w:t>
      </w:r>
      <w:bookmarkEnd w:id="123"/>
      <w:bookmarkEnd w:id="124"/>
      <w:bookmarkEnd w:id="125"/>
      <w:bookmarkEnd w:id="126"/>
      <w:bookmarkEnd w:id="127"/>
      <w:bookmarkEnd w:id="128"/>
      <w:bookmarkEnd w:id="129"/>
      <w:bookmarkEnd w:id="130"/>
      <w:bookmarkEnd w:id="131"/>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lastRenderedPageBreak/>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lastRenderedPageBreak/>
        <w:t>Form 2</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lastRenderedPageBreak/>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type w:val="continuous"/>
          <w:pgSz w:w="11907" w:h="16840" w:code="9"/>
          <w:pgMar w:top="2381" w:right="2410" w:bottom="3544" w:left="2410" w:header="720" w:footer="3380" w:gutter="0"/>
          <w:cols w:space="720"/>
          <w:docGrid w:linePitch="78"/>
        </w:sectPr>
      </w:pPr>
    </w:p>
    <w:p>
      <w:pPr>
        <w:pStyle w:val="nHeading2"/>
      </w:pPr>
      <w:bookmarkStart w:id="133" w:name="_Toc75423639"/>
      <w:bookmarkStart w:id="134" w:name="_Toc75423693"/>
      <w:bookmarkStart w:id="135" w:name="_Toc75439929"/>
      <w:bookmarkStart w:id="136" w:name="_Toc75439982"/>
      <w:bookmarkStart w:id="137" w:name="_Toc75789983"/>
      <w:bookmarkStart w:id="138" w:name="_Toc75790081"/>
      <w:bookmarkStart w:id="139" w:name="_Toc172810462"/>
      <w:bookmarkStart w:id="140" w:name="_Toc172810515"/>
      <w:bookmarkStart w:id="141" w:name="_Toc75423204"/>
      <w:r>
        <w:lastRenderedPageBreak/>
        <w:t>Notes</w:t>
      </w:r>
      <w:bookmarkEnd w:id="133"/>
      <w:bookmarkEnd w:id="134"/>
      <w:bookmarkEnd w:id="135"/>
      <w:bookmarkEnd w:id="136"/>
      <w:bookmarkEnd w:id="137"/>
      <w:bookmarkEnd w:id="138"/>
      <w:bookmarkEnd w:id="139"/>
      <w:bookmarkEnd w:id="140"/>
    </w:p>
    <w:p>
      <w:pPr>
        <w:pStyle w:val="nStatement"/>
      </w:pPr>
      <w:r>
        <w:t xml:space="preserve">This is a compilation of the </w:t>
      </w:r>
      <w:r>
        <w:rPr>
          <w:i/>
          <w:noProof/>
        </w:rPr>
        <w:t>Police Force (Member Testing) Regulations 2011</w:t>
      </w:r>
      <w:r>
        <w:t xml:space="preserve"> and includes amendments made by other written laws</w:t>
      </w:r>
      <w:r>
        <w:rPr>
          <w:vertAlign w:val="superscript"/>
        </w:rPr>
        <w:t> 1</w:t>
      </w:r>
      <w:r>
        <w:t>. For provisions that have come into operation, and for information about any reprints, see the compilation table.</w:t>
      </w:r>
    </w:p>
    <w:p>
      <w:pPr>
        <w:pStyle w:val="nHeading3"/>
      </w:pPr>
      <w:bookmarkStart w:id="142" w:name="_Toc172810516"/>
      <w:r>
        <w:t>Compilation table</w:t>
      </w:r>
      <w:bookmarkEnd w:id="1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gridSpan w:val="2"/>
            <w:tcBorders>
              <w:bottom w:val="nil"/>
            </w:tcBorders>
          </w:tcPr>
          <w:p>
            <w:pPr>
              <w:pStyle w:val="nTable"/>
              <w:spacing w:after="40"/>
              <w:rPr>
                <w:i/>
              </w:rPr>
            </w:pPr>
            <w:r>
              <w:rPr>
                <w:i/>
              </w:rPr>
              <w:t>Police Force (Member Testing) Regulations 2011</w:t>
            </w:r>
          </w:p>
        </w:tc>
        <w:tc>
          <w:tcPr>
            <w:tcW w:w="1276" w:type="dxa"/>
            <w:gridSpan w:val="2"/>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gridSpan w:val="2"/>
            <w:tcBorders>
              <w:top w:val="nil"/>
              <w:bottom w:val="nil"/>
            </w:tcBorders>
          </w:tcPr>
          <w:p>
            <w:pPr>
              <w:pStyle w:val="nTable"/>
              <w:spacing w:after="40"/>
              <w:rPr>
                <w:i/>
              </w:rPr>
            </w:pPr>
            <w:r>
              <w:rPr>
                <w:i/>
              </w:rPr>
              <w:t>Police Force (Member Testing) Amendment Regulations 2018</w:t>
            </w:r>
          </w:p>
        </w:tc>
        <w:tc>
          <w:tcPr>
            <w:tcW w:w="1276" w:type="dxa"/>
            <w:gridSpan w:val="2"/>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gridSpan w:val="2"/>
            <w:tcBorders>
              <w:top w:val="nil"/>
              <w:bottom w:val="nil"/>
            </w:tcBorders>
          </w:tcPr>
          <w:p>
            <w:pPr>
              <w:pStyle w:val="nTable"/>
              <w:spacing w:after="40"/>
              <w:rPr>
                <w:i/>
              </w:rPr>
            </w:pPr>
            <w:r>
              <w:rPr>
                <w:i/>
              </w:rPr>
              <w:t>Police Force (Member Testing) Amendment Regulations (No. 2) 2018</w:t>
            </w:r>
          </w:p>
        </w:tc>
        <w:tc>
          <w:tcPr>
            <w:tcW w:w="1276" w:type="dxa"/>
            <w:gridSpan w:val="2"/>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r>
        <w:tc>
          <w:tcPr>
            <w:tcW w:w="3118" w:type="dxa"/>
            <w:gridSpan w:val="2"/>
            <w:tcBorders>
              <w:top w:val="nil"/>
              <w:bottom w:val="nil"/>
            </w:tcBorders>
          </w:tcPr>
          <w:p>
            <w:pPr>
              <w:pStyle w:val="nTable"/>
              <w:spacing w:after="40"/>
              <w:rPr>
                <w:i/>
              </w:rPr>
            </w:pPr>
            <w:r>
              <w:rPr>
                <w:i/>
              </w:rPr>
              <w:t>Police Force (Member Testing) Amendment Regulations (No. 3) 2018</w:t>
            </w:r>
          </w:p>
        </w:tc>
        <w:tc>
          <w:tcPr>
            <w:tcW w:w="1276" w:type="dxa"/>
            <w:gridSpan w:val="2"/>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bCs/>
                <w:snapToGrid w:val="0"/>
                <w:spacing w:val="-2"/>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c>
          <w:tcPr>
            <w:tcW w:w="7087"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Police Force (Member Testing) Regulations 2011</w:t>
            </w:r>
            <w:r>
              <w:rPr>
                <w:b/>
                <w:snapToGrid w:val="0"/>
              </w:rPr>
              <w:t xml:space="preserve"> as at 15 Feb 2019</w:t>
            </w:r>
            <w:r>
              <w:rPr>
                <w:snapToGrid w:val="0"/>
              </w:rPr>
              <w:t xml:space="preserve"> (includes amendments listed above)</w:t>
            </w:r>
          </w:p>
        </w:tc>
      </w:tr>
      <w:tr>
        <w:tc>
          <w:tcPr>
            <w:tcW w:w="3091" w:type="dxa"/>
            <w:tcBorders>
              <w:top w:val="nil"/>
              <w:bottom w:val="single" w:sz="8" w:space="0" w:color="auto"/>
            </w:tcBorders>
            <w:shd w:val="clear" w:color="auto" w:fill="auto"/>
          </w:tcPr>
          <w:p>
            <w:pPr>
              <w:pStyle w:val="nTable"/>
              <w:spacing w:after="40"/>
              <w:rPr>
                <w:snapToGrid w:val="0"/>
              </w:rPr>
            </w:pPr>
            <w:r>
              <w:rPr>
                <w:i/>
              </w:rPr>
              <w:t>Police Force (Member Testing) Amendment Regulations 2021</w:t>
            </w:r>
          </w:p>
        </w:tc>
        <w:tc>
          <w:tcPr>
            <w:tcW w:w="1276" w:type="dxa"/>
            <w:gridSpan w:val="2"/>
            <w:tcBorders>
              <w:top w:val="nil"/>
              <w:bottom w:val="single" w:sz="8" w:space="0" w:color="auto"/>
            </w:tcBorders>
            <w:shd w:val="clear" w:color="auto" w:fill="auto"/>
          </w:tcPr>
          <w:p>
            <w:pPr>
              <w:pStyle w:val="nTable"/>
              <w:spacing w:after="40"/>
              <w:rPr>
                <w:snapToGrid w:val="0"/>
              </w:rPr>
            </w:pPr>
            <w:r>
              <w:rPr>
                <w:snapToGrid w:val="0"/>
              </w:rPr>
              <w:t>SL 2021/99 25 Jun 2021</w:t>
            </w:r>
          </w:p>
        </w:tc>
        <w:tc>
          <w:tcPr>
            <w:tcW w:w="2720" w:type="dxa"/>
            <w:gridSpan w:val="2"/>
            <w:tcBorders>
              <w:top w:val="nil"/>
              <w:bottom w:val="single" w:sz="8" w:space="0" w:color="auto"/>
            </w:tcBorders>
            <w:shd w:val="clear" w:color="auto" w:fill="auto"/>
          </w:tcPr>
          <w:p>
            <w:pPr>
              <w:pStyle w:val="nTable"/>
              <w:spacing w:after="40"/>
              <w:rPr>
                <w:snapToGrid w:val="0"/>
              </w:rPr>
            </w:pPr>
            <w:r>
              <w:rPr>
                <w:snapToGrid w:val="0"/>
              </w:rPr>
              <w:t>r. 1 and 2: 25 Jun 2021 (see r. 2(a));</w:t>
            </w:r>
            <w:r>
              <w:rPr>
                <w:snapToGrid w:val="0"/>
              </w:rPr>
              <w:br/>
              <w:t>Regulations other than r. 1 and 2: 1 Jul 2021 (see r. 2(b) and SL 2021/54 cl. 2(c))</w:t>
            </w:r>
          </w:p>
        </w:tc>
      </w:tr>
    </w:tbl>
    <w:p>
      <w:pPr>
        <w:pStyle w:val="nHeading3"/>
      </w:pPr>
      <w:bookmarkStart w:id="143" w:name="_Toc172810517"/>
      <w:r>
        <w:t>Other notes</w:t>
      </w:r>
      <w:bookmarkEnd w:id="143"/>
    </w:p>
    <w:p>
      <w:pPr>
        <w:pStyle w:val="nNote"/>
      </w:pPr>
      <w:r>
        <w:rPr>
          <w:vertAlign w:val="superscript"/>
        </w:rPr>
        <w:t>1</w:t>
      </w:r>
      <w:r>
        <w:tab/>
        <w:t xml:space="preserve">The </w:t>
      </w:r>
      <w:r>
        <w:rPr>
          <w:i/>
        </w:rPr>
        <w:t>Police Regulations Amendment (Poisons) Regulations 2016 </w:t>
      </w:r>
      <w:r>
        <w:t>Pt. 3 (published 17 Jan 2017 p. 412</w:t>
      </w:r>
      <w:r>
        <w:noBreakHyphen/>
        <w:t xml:space="preserve">17) is of no effect as those amending regulations were made by the Governor.  Regulations made under the </w:t>
      </w:r>
      <w:r>
        <w:rPr>
          <w:i/>
        </w:rPr>
        <w:t>Police Act 1892</w:t>
      </w:r>
      <w:r>
        <w:t xml:space="preserve"> section 9 must be made by the Commissioner of Police with the approval of the Minister. The amendments in the </w:t>
      </w:r>
      <w:r>
        <w:rPr>
          <w:i/>
        </w:rPr>
        <w:t>Police Regulations Amendment (Poisons) Regulations 2016</w:t>
      </w:r>
      <w:r>
        <w:t xml:space="preserve"> Pt. 3 are therefore not included in the compilation of the principal regulations.</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45" w:name="_Toc75423643"/>
      <w:bookmarkStart w:id="146" w:name="_Toc75423697"/>
      <w:bookmarkStart w:id="147" w:name="_Toc75439932"/>
      <w:bookmarkStart w:id="148" w:name="_Toc75439985"/>
      <w:bookmarkStart w:id="149" w:name="_Toc75789986"/>
      <w:bookmarkStart w:id="150" w:name="_Toc75790084"/>
      <w:bookmarkStart w:id="151" w:name="_Toc172810465"/>
      <w:bookmarkStart w:id="152" w:name="_Toc172810518"/>
      <w:r>
        <w:rPr>
          <w:sz w:val="28"/>
        </w:rPr>
        <w:lastRenderedPageBreak/>
        <w:t>Defined terms</w:t>
      </w:r>
      <w:bookmarkEnd w:id="141"/>
      <w:bookmarkEnd w:id="145"/>
      <w:bookmarkEnd w:id="146"/>
      <w:bookmarkEnd w:id="147"/>
      <w:bookmarkEnd w:id="148"/>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sample type</w:t>
      </w:r>
      <w:r>
        <w:tab/>
        <w:t>6(1A)</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4625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C0F10B" w14:textId="70B9B140" w:rsidR="003A042E" w:rsidRDefault="003A04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55C3">
                        <w:rPr>
                          <w:sz w:val="16"/>
                        </w:rPr>
                        <w:t>2021</w:t>
                      </w:r>
                      <w:r>
                        <w:rPr>
                          <w:sz w:val="16"/>
                        </w:rPr>
                        <w:fldChar w:fldCharType="end"/>
                      </w:r>
                      <w:r>
                        <w:rPr>
                          <w:sz w:val="16"/>
                        </w:rPr>
                        <w:t>.</w:t>
                      </w:r>
                    </w:p>
                    <w:p w14:paraId="4AEC3A64" w14:textId="77777777" w:rsidR="003A042E" w:rsidRDefault="003A04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88F0DB" w14:textId="73F9D61C" w:rsidR="003A042E" w:rsidRDefault="003A04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55C3">
                        <w:rPr>
                          <w:sz w:val="16"/>
                        </w:rPr>
                        <w:t>2021</w:t>
                      </w:r>
                      <w:r>
                        <w:rPr>
                          <w:sz w:val="16"/>
                        </w:rPr>
                        <w:fldChar w:fldCharType="end"/>
                      </w:r>
                      <w:r>
                        <w:rPr>
                          <w:sz w:val="16"/>
                        </w:rPr>
                        <w:t>.</w:t>
                      </w:r>
                    </w:p>
                    <w:p w14:paraId="178CFC4B" w14:textId="77777777" w:rsidR="003A042E" w:rsidRDefault="003A04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31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 w:name="WAFER_20210624103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103119_GUID" w:val="3f14ad83-0dec-40b7-8ef6-10a77e366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4452B70A-3EF0-4D21-97B7-3930958B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6FC7F-226F-41F7-934B-167B9FDC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6333</Words>
  <Characters>33191</Characters>
  <Application>Microsoft Office Word</Application>
  <DocSecurity>0</DocSecurity>
  <Lines>873</Lines>
  <Paragraphs>534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2011 - 01-b0-01</dc:title>
  <dc:subject/>
  <dc:creator/>
  <cp:keywords/>
  <dc:description/>
  <cp:lastModifiedBy>Master Repository Process</cp:lastModifiedBy>
  <cp:revision>4</cp:revision>
  <cp:lastPrinted>2019-02-22T01:44:00Z</cp:lastPrinted>
  <dcterms:created xsi:type="dcterms:W3CDTF">2025-06-04T04:24:00Z</dcterms:created>
  <dcterms:modified xsi:type="dcterms:W3CDTF">2025-06-04T04:24:00Z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AsAtDate">
    <vt:lpwstr>01 Jul 2021</vt:lpwstr>
  </property>
  <property fmtid="{D5CDD505-2E9C-101B-9397-08002B2CF9AE}" pid="7" name="Suffix">
    <vt:lpwstr>01-b0-01</vt:lpwstr>
  </property>
  <property fmtid="{D5CDD505-2E9C-101B-9397-08002B2CF9AE}" pid="8" name="Official">
    <vt:lpwstr/>
  </property>
  <property fmtid="{D5CDD505-2E9C-101B-9397-08002B2CF9AE}" pid="9" name="CommencementDate">
    <vt:lpwstr>20210701</vt:lpwstr>
  </property>
  <property fmtid="{D5CDD505-2E9C-101B-9397-08002B2CF9AE}" pid="10" name="CommencementAsAt">
    <vt:filetime>2021-06-30T16:00:00Z</vt:filetime>
  </property>
  <property fmtid="{D5CDD505-2E9C-101B-9397-08002B2CF9AE}" pid="11" name="CommencementYear">
    <vt:lpwstr>2021</vt:lpwstr>
  </property>
</Properties>
</file>