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5758" w:rsidRDefault="00425758">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425758" w:rsidRDefault="00425758">
      <w:pPr>
        <w:pStyle w:val="PrincipalActRegPage1"/>
      </w:pPr>
      <w:r>
        <w:fldChar w:fldCharType="begin"/>
      </w:r>
      <w:r>
        <w:instrText xml:space="preserve"> STYLEREF "PrincipalAct_Reg</w:instrText>
      </w:r>
      <w:r>
        <w:fldChar w:fldCharType="separate"/>
      </w:r>
      <w:r w:rsidR="00FC1D84">
        <w:rPr>
          <w:noProof/>
        </w:rPr>
        <w:t>Supreme Court Act 1935</w:t>
      </w:r>
      <w:r>
        <w:fldChar w:fldCharType="end"/>
      </w:r>
    </w:p>
    <w:p w:rsidR="00425758" w:rsidRDefault="00425758">
      <w:pPr>
        <w:pStyle w:val="NameofActRegPage1"/>
        <w:spacing w:before="1800" w:after="4200"/>
        <w:outlineLvl w:val="0"/>
      </w:pPr>
      <w:r>
        <w:fldChar w:fldCharType="begin"/>
      </w:r>
      <w:r>
        <w:instrText xml:space="preserve"> STYLEREF "Name Of Act/Reg"</w:instrText>
      </w:r>
      <w:r>
        <w:fldChar w:fldCharType="separate"/>
      </w:r>
      <w:r w:rsidR="00FC1D84">
        <w:rPr>
          <w:noProof/>
        </w:rPr>
        <w:t>Rules of the Supreme Court 1971</w:t>
      </w:r>
      <w:r>
        <w:fldChar w:fldCharType="end"/>
      </w:r>
    </w:p>
    <w:p w:rsidR="00425758" w:rsidRDefault="00425758">
      <w:pPr>
        <w:jc w:val="center"/>
        <w:rPr>
          <w:b/>
        </w:rPr>
        <w:sectPr w:rsidR="00425758">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380" w:gutter="0"/>
          <w:pgNumType w:fmt="lowerRoman" w:start="1"/>
          <w:cols w:space="720"/>
          <w:noEndnote/>
          <w:titlePg/>
          <w:docGrid w:linePitch="326"/>
        </w:sectPr>
      </w:pPr>
    </w:p>
    <w:p w:rsidR="00D7537E" w:rsidRDefault="00D7537E">
      <w:pPr>
        <w:pStyle w:val="WA"/>
      </w:pPr>
      <w:r>
        <w:lastRenderedPageBreak/>
        <w:t>Western Australia</w:t>
      </w:r>
    </w:p>
    <w:p w:rsidR="00425758" w:rsidRDefault="00425758">
      <w:pPr>
        <w:pStyle w:val="NameofActRegPage1"/>
      </w:pPr>
      <w:r>
        <w:fldChar w:fldCharType="begin"/>
      </w:r>
      <w:r>
        <w:instrText xml:space="preserve"> STYLEREF "Name Of Act/Reg"</w:instrText>
      </w:r>
      <w:r>
        <w:fldChar w:fldCharType="separate"/>
      </w:r>
      <w:r w:rsidR="00FC1D84">
        <w:rPr>
          <w:noProof/>
        </w:rPr>
        <w:t>Rules of the Supreme Court 1971</w:t>
      </w:r>
      <w:r>
        <w:fldChar w:fldCharType="end"/>
      </w:r>
    </w:p>
    <w:p w:rsidR="00425758" w:rsidRDefault="00425758">
      <w:pPr>
        <w:pStyle w:val="Arrangement"/>
      </w:pPr>
      <w:r>
        <w:t>Contents</w:t>
      </w:r>
    </w:p>
    <w:p w:rsidR="006169FD" w:rsidRDefault="00425758">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6169FD">
        <w:t>Order 1 — Application, elimination of delay and forms</w:t>
      </w:r>
    </w:p>
    <w:p w:rsidR="006169FD" w:rsidRDefault="006169FD">
      <w:pPr>
        <w:pStyle w:val="TOC8"/>
        <w:rPr>
          <w:rFonts w:asciiTheme="minorHAnsi" w:eastAsiaTheme="minorEastAsia" w:hAnsiTheme="minorHAnsi" w:cstheme="minorBidi"/>
          <w:szCs w:val="22"/>
        </w:rPr>
      </w:pPr>
      <w:r>
        <w:t>1</w:t>
      </w:r>
      <w:r w:rsidRPr="00AA3DF9">
        <w:rPr>
          <w:snapToGrid w:val="0"/>
        </w:rPr>
        <w:t>.</w:t>
      </w:r>
      <w:r w:rsidRPr="00AA3DF9">
        <w:rPr>
          <w:snapToGrid w:val="0"/>
        </w:rPr>
        <w:tab/>
        <w:t>Short title</w:t>
      </w:r>
      <w:r>
        <w:tab/>
      </w:r>
      <w:r>
        <w:fldChar w:fldCharType="begin"/>
      </w:r>
      <w:r>
        <w:instrText xml:space="preserve"> PAGEREF _Toc75862720 \h </w:instrText>
      </w:r>
      <w:r>
        <w:fldChar w:fldCharType="separate"/>
      </w:r>
      <w:r w:rsidR="00FC1D84">
        <w:t>1</w:t>
      </w:r>
      <w:r>
        <w:fldChar w:fldCharType="end"/>
      </w:r>
    </w:p>
    <w:p w:rsidR="006169FD" w:rsidRDefault="006169FD">
      <w:pPr>
        <w:pStyle w:val="TOC8"/>
        <w:rPr>
          <w:rFonts w:asciiTheme="minorHAnsi" w:eastAsiaTheme="minorEastAsia" w:hAnsiTheme="minorHAnsi" w:cstheme="minorBidi"/>
          <w:szCs w:val="22"/>
        </w:rPr>
      </w:pPr>
      <w:r>
        <w:t>2</w:t>
      </w:r>
      <w:r w:rsidRPr="00AA3DF9">
        <w:rPr>
          <w:snapToGrid w:val="0"/>
        </w:rPr>
        <w:t>.</w:t>
      </w:r>
      <w:r w:rsidRPr="00AA3DF9">
        <w:rPr>
          <w:snapToGrid w:val="0"/>
        </w:rPr>
        <w:tab/>
        <w:t>Commencement and saving</w:t>
      </w:r>
      <w:r>
        <w:tab/>
      </w:r>
      <w:r>
        <w:fldChar w:fldCharType="begin"/>
      </w:r>
      <w:r>
        <w:instrText xml:space="preserve"> PAGEREF _Toc75862721 \h </w:instrText>
      </w:r>
      <w:r>
        <w:fldChar w:fldCharType="separate"/>
      </w:r>
      <w:r w:rsidR="00FC1D84">
        <w:t>1</w:t>
      </w:r>
      <w:r>
        <w:fldChar w:fldCharType="end"/>
      </w:r>
    </w:p>
    <w:p w:rsidR="006169FD" w:rsidRDefault="006169FD">
      <w:pPr>
        <w:pStyle w:val="TOC8"/>
        <w:rPr>
          <w:rFonts w:asciiTheme="minorHAnsi" w:eastAsiaTheme="minorEastAsia" w:hAnsiTheme="minorHAnsi" w:cstheme="minorBidi"/>
          <w:szCs w:val="22"/>
        </w:rPr>
      </w:pPr>
      <w:r>
        <w:t>3</w:t>
      </w:r>
      <w:r w:rsidRPr="00AA3DF9">
        <w:rPr>
          <w:snapToGrid w:val="0"/>
        </w:rPr>
        <w:t>.</w:t>
      </w:r>
      <w:r w:rsidRPr="00AA3DF9">
        <w:rPr>
          <w:snapToGrid w:val="0"/>
        </w:rPr>
        <w:tab/>
        <w:t>Certain proceedings excluded</w:t>
      </w:r>
      <w:r>
        <w:tab/>
      </w:r>
      <w:r>
        <w:fldChar w:fldCharType="begin"/>
      </w:r>
      <w:r>
        <w:instrText xml:space="preserve"> PAGEREF _Toc75862722 \h </w:instrText>
      </w:r>
      <w:r>
        <w:fldChar w:fldCharType="separate"/>
      </w:r>
      <w:r w:rsidR="00FC1D84">
        <w:t>2</w:t>
      </w:r>
      <w:r>
        <w:fldChar w:fldCharType="end"/>
      </w:r>
    </w:p>
    <w:p w:rsidR="006169FD" w:rsidRDefault="006169FD">
      <w:pPr>
        <w:pStyle w:val="TOC8"/>
        <w:rPr>
          <w:rFonts w:asciiTheme="minorHAnsi" w:eastAsiaTheme="minorEastAsia" w:hAnsiTheme="minorHAnsi" w:cstheme="minorBidi"/>
          <w:szCs w:val="22"/>
        </w:rPr>
      </w:pPr>
      <w:r>
        <w:t>3A</w:t>
      </w:r>
      <w:r w:rsidRPr="00AA3DF9">
        <w:rPr>
          <w:snapToGrid w:val="0"/>
        </w:rPr>
        <w:t>.</w:t>
      </w:r>
      <w:r w:rsidRPr="00AA3DF9">
        <w:rPr>
          <w:snapToGrid w:val="0"/>
        </w:rPr>
        <w:tab/>
        <w:t>Inherent powers not affected</w:t>
      </w:r>
      <w:r>
        <w:tab/>
      </w:r>
      <w:r>
        <w:fldChar w:fldCharType="begin"/>
      </w:r>
      <w:r>
        <w:instrText xml:space="preserve"> PAGEREF _Toc75862723 \h </w:instrText>
      </w:r>
      <w:r>
        <w:fldChar w:fldCharType="separate"/>
      </w:r>
      <w:r w:rsidR="00FC1D84">
        <w:t>3</w:t>
      </w:r>
      <w:r>
        <w:fldChar w:fldCharType="end"/>
      </w:r>
    </w:p>
    <w:p w:rsidR="006169FD" w:rsidRDefault="006169FD">
      <w:pPr>
        <w:pStyle w:val="TOC8"/>
        <w:rPr>
          <w:rFonts w:asciiTheme="minorHAnsi" w:eastAsiaTheme="minorEastAsia" w:hAnsiTheme="minorHAnsi" w:cstheme="minorBidi"/>
          <w:szCs w:val="22"/>
        </w:rPr>
      </w:pPr>
      <w:r>
        <w:t>4</w:t>
      </w:r>
      <w:r w:rsidRPr="00AA3DF9">
        <w:rPr>
          <w:snapToGrid w:val="0"/>
        </w:rPr>
        <w:t>.</w:t>
      </w:r>
      <w:r w:rsidRPr="00AA3DF9">
        <w:rPr>
          <w:snapToGrid w:val="0"/>
        </w:rPr>
        <w:tab/>
        <w:t>Terms used</w:t>
      </w:r>
      <w:r>
        <w:tab/>
      </w:r>
      <w:r>
        <w:fldChar w:fldCharType="begin"/>
      </w:r>
      <w:r>
        <w:instrText xml:space="preserve"> PAGEREF _Toc75862724 \h </w:instrText>
      </w:r>
      <w:r>
        <w:fldChar w:fldCharType="separate"/>
      </w:r>
      <w:r w:rsidR="00FC1D84">
        <w:t>3</w:t>
      </w:r>
      <w:r>
        <w:fldChar w:fldCharType="end"/>
      </w:r>
    </w:p>
    <w:p w:rsidR="006169FD" w:rsidRDefault="006169FD">
      <w:pPr>
        <w:pStyle w:val="TOC8"/>
        <w:rPr>
          <w:rFonts w:asciiTheme="minorHAnsi" w:eastAsiaTheme="minorEastAsia" w:hAnsiTheme="minorHAnsi" w:cstheme="minorBidi"/>
          <w:szCs w:val="22"/>
        </w:rPr>
      </w:pPr>
      <w:r>
        <w:t>4A</w:t>
      </w:r>
      <w:r w:rsidRPr="00AA3DF9">
        <w:rPr>
          <w:snapToGrid w:val="0"/>
        </w:rPr>
        <w:t>.</w:t>
      </w:r>
      <w:r w:rsidRPr="00AA3DF9">
        <w:rPr>
          <w:snapToGrid w:val="0"/>
        </w:rPr>
        <w:tab/>
        <w:t>Delays, elimination of</w:t>
      </w:r>
      <w:r>
        <w:tab/>
      </w:r>
      <w:r>
        <w:fldChar w:fldCharType="begin"/>
      </w:r>
      <w:r>
        <w:instrText xml:space="preserve"> PAGEREF _Toc75862725 \h </w:instrText>
      </w:r>
      <w:r>
        <w:fldChar w:fldCharType="separate"/>
      </w:r>
      <w:r w:rsidR="00FC1D84">
        <w:t>7</w:t>
      </w:r>
      <w:r>
        <w:fldChar w:fldCharType="end"/>
      </w:r>
    </w:p>
    <w:p w:rsidR="006169FD" w:rsidRDefault="006169FD">
      <w:pPr>
        <w:pStyle w:val="TOC8"/>
        <w:rPr>
          <w:rFonts w:asciiTheme="minorHAnsi" w:eastAsiaTheme="minorEastAsia" w:hAnsiTheme="minorHAnsi" w:cstheme="minorBidi"/>
          <w:szCs w:val="22"/>
        </w:rPr>
      </w:pPr>
      <w:r>
        <w:t>4B</w:t>
      </w:r>
      <w:r w:rsidRPr="00AA3DF9">
        <w:rPr>
          <w:snapToGrid w:val="0"/>
        </w:rPr>
        <w:t>.</w:t>
      </w:r>
      <w:r w:rsidRPr="00AA3DF9">
        <w:rPr>
          <w:snapToGrid w:val="0"/>
        </w:rPr>
        <w:tab/>
        <w:t>Case flow management, use and objects of</w:t>
      </w:r>
      <w:r>
        <w:tab/>
      </w:r>
      <w:r>
        <w:fldChar w:fldCharType="begin"/>
      </w:r>
      <w:r>
        <w:instrText xml:space="preserve"> PAGEREF _Toc75862726 \h </w:instrText>
      </w:r>
      <w:r>
        <w:fldChar w:fldCharType="separate"/>
      </w:r>
      <w:r w:rsidR="00FC1D84">
        <w:t>7</w:t>
      </w:r>
      <w:r>
        <w:fldChar w:fldCharType="end"/>
      </w:r>
    </w:p>
    <w:p w:rsidR="006169FD" w:rsidRDefault="006169FD">
      <w:pPr>
        <w:pStyle w:val="TOC8"/>
        <w:rPr>
          <w:rFonts w:asciiTheme="minorHAnsi" w:eastAsiaTheme="minorEastAsia" w:hAnsiTheme="minorHAnsi" w:cstheme="minorBidi"/>
          <w:szCs w:val="22"/>
        </w:rPr>
      </w:pPr>
      <w:r>
        <w:t>4C</w:t>
      </w:r>
      <w:r w:rsidRPr="00AA3DF9">
        <w:rPr>
          <w:snapToGrid w:val="0"/>
        </w:rPr>
        <w:t>.</w:t>
      </w:r>
      <w:r w:rsidRPr="00AA3DF9">
        <w:rPr>
          <w:snapToGrid w:val="0"/>
        </w:rPr>
        <w:tab/>
        <w:t>Parties to notify settlement</w:t>
      </w:r>
      <w:r>
        <w:tab/>
      </w:r>
      <w:r>
        <w:fldChar w:fldCharType="begin"/>
      </w:r>
      <w:r>
        <w:instrText xml:space="preserve"> PAGEREF _Toc75862727 \h </w:instrText>
      </w:r>
      <w:r>
        <w:fldChar w:fldCharType="separate"/>
      </w:r>
      <w:r w:rsidR="00FC1D84">
        <w:t>8</w:t>
      </w:r>
      <w:r>
        <w:fldChar w:fldCharType="end"/>
      </w:r>
    </w:p>
    <w:p w:rsidR="006169FD" w:rsidRDefault="006169FD">
      <w:pPr>
        <w:pStyle w:val="TOC8"/>
        <w:rPr>
          <w:rFonts w:asciiTheme="minorHAnsi" w:eastAsiaTheme="minorEastAsia" w:hAnsiTheme="minorHAnsi" w:cstheme="minorBidi"/>
          <w:szCs w:val="22"/>
        </w:rPr>
      </w:pPr>
      <w:r>
        <w:t>6</w:t>
      </w:r>
      <w:r w:rsidRPr="00AA3DF9">
        <w:rPr>
          <w:snapToGrid w:val="0"/>
        </w:rPr>
        <w:t>.</w:t>
      </w:r>
      <w:r w:rsidRPr="00AA3DF9">
        <w:rPr>
          <w:snapToGrid w:val="0"/>
        </w:rPr>
        <w:tab/>
        <w:t>Forms</w:t>
      </w:r>
      <w:r>
        <w:tab/>
      </w:r>
      <w:r>
        <w:fldChar w:fldCharType="begin"/>
      </w:r>
      <w:r>
        <w:instrText xml:space="preserve"> PAGEREF _Toc75862728 \h </w:instrText>
      </w:r>
      <w:r>
        <w:fldChar w:fldCharType="separate"/>
      </w:r>
      <w:r w:rsidR="00FC1D84">
        <w:t>8</w:t>
      </w:r>
      <w:r>
        <w:fldChar w:fldCharType="end"/>
      </w:r>
    </w:p>
    <w:p w:rsidR="006169FD" w:rsidRDefault="006169FD">
      <w:pPr>
        <w:pStyle w:val="TOC8"/>
        <w:rPr>
          <w:rFonts w:asciiTheme="minorHAnsi" w:eastAsiaTheme="minorEastAsia" w:hAnsiTheme="minorHAnsi" w:cstheme="minorBidi"/>
          <w:szCs w:val="22"/>
        </w:rPr>
      </w:pPr>
      <w:r>
        <w:t>6A.</w:t>
      </w:r>
      <w:r>
        <w:tab/>
        <w:t xml:space="preserve">Forms under </w:t>
      </w:r>
      <w:r w:rsidRPr="00AA3DF9">
        <w:rPr>
          <w:i/>
        </w:rPr>
        <w:t>Restraining Orders Act 1997</w:t>
      </w:r>
      <w:r>
        <w:tab/>
      </w:r>
      <w:r>
        <w:fldChar w:fldCharType="begin"/>
      </w:r>
      <w:r>
        <w:instrText xml:space="preserve"> PAGEREF _Toc75862729 \h </w:instrText>
      </w:r>
      <w:r>
        <w:fldChar w:fldCharType="separate"/>
      </w:r>
      <w:r w:rsidR="00FC1D84">
        <w:t>8</w:t>
      </w:r>
      <w:r>
        <w:fldChar w:fldCharType="end"/>
      </w:r>
    </w:p>
    <w:p w:rsidR="006169FD" w:rsidRDefault="006169FD">
      <w:pPr>
        <w:pStyle w:val="TOC8"/>
        <w:rPr>
          <w:rFonts w:asciiTheme="minorHAnsi" w:eastAsiaTheme="minorEastAsia" w:hAnsiTheme="minorHAnsi" w:cstheme="minorBidi"/>
          <w:szCs w:val="22"/>
        </w:rPr>
      </w:pPr>
      <w:r>
        <w:t>7.</w:t>
      </w:r>
      <w:r>
        <w:tab/>
        <w:t>Court fees</w:t>
      </w:r>
      <w:r>
        <w:tab/>
      </w:r>
      <w:r>
        <w:fldChar w:fldCharType="begin"/>
      </w:r>
      <w:r>
        <w:instrText xml:space="preserve"> PAGEREF _Toc75862730 \h </w:instrText>
      </w:r>
      <w:r>
        <w:fldChar w:fldCharType="separate"/>
      </w:r>
      <w:r w:rsidR="00FC1D84">
        <w:t>9</w:t>
      </w:r>
      <w:r>
        <w:fldChar w:fldCharType="end"/>
      </w:r>
    </w:p>
    <w:p w:rsidR="006169FD" w:rsidRDefault="006169FD">
      <w:pPr>
        <w:pStyle w:val="TOC8"/>
        <w:rPr>
          <w:rFonts w:asciiTheme="minorHAnsi" w:eastAsiaTheme="minorEastAsia" w:hAnsiTheme="minorHAnsi" w:cstheme="minorBidi"/>
          <w:szCs w:val="22"/>
        </w:rPr>
      </w:pPr>
      <w:r>
        <w:t>8.</w:t>
      </w:r>
      <w:r>
        <w:tab/>
        <w:t>Documents given to authorised users or Court by means of ECMS</w:t>
      </w:r>
      <w:r>
        <w:tab/>
      </w:r>
      <w:r>
        <w:fldChar w:fldCharType="begin"/>
      </w:r>
      <w:r>
        <w:instrText xml:space="preserve"> PAGEREF _Toc75862731 \h </w:instrText>
      </w:r>
      <w:r>
        <w:fldChar w:fldCharType="separate"/>
      </w:r>
      <w:r w:rsidR="00FC1D84">
        <w:t>9</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2 — Effect of non</w:t>
      </w:r>
      <w:r>
        <w:noBreakHyphen/>
        <w:t>compliance</w:t>
      </w:r>
    </w:p>
    <w:p w:rsidR="006169FD" w:rsidRDefault="006169FD">
      <w:pPr>
        <w:pStyle w:val="TOC8"/>
        <w:rPr>
          <w:rFonts w:asciiTheme="minorHAnsi" w:eastAsiaTheme="minorEastAsia" w:hAnsiTheme="minorHAnsi" w:cstheme="minorBidi"/>
          <w:szCs w:val="22"/>
        </w:rPr>
      </w:pPr>
      <w:r>
        <w:t>1</w:t>
      </w:r>
      <w:r w:rsidRPr="00AA3DF9">
        <w:rPr>
          <w:snapToGrid w:val="0"/>
        </w:rPr>
        <w:t>.</w:t>
      </w:r>
      <w:r w:rsidRPr="00AA3DF9">
        <w:rPr>
          <w:snapToGrid w:val="0"/>
        </w:rPr>
        <w:tab/>
        <w:t>Non</w:t>
      </w:r>
      <w:r w:rsidRPr="00AA3DF9">
        <w:rPr>
          <w:snapToGrid w:val="0"/>
        </w:rPr>
        <w:noBreakHyphen/>
        <w:t>compliance with rules</w:t>
      </w:r>
      <w:r>
        <w:tab/>
      </w:r>
      <w:r>
        <w:fldChar w:fldCharType="begin"/>
      </w:r>
      <w:r>
        <w:instrText xml:space="preserve"> PAGEREF _Toc75862733 \h </w:instrText>
      </w:r>
      <w:r>
        <w:fldChar w:fldCharType="separate"/>
      </w:r>
      <w:r w:rsidR="00FC1D84">
        <w:t>10</w:t>
      </w:r>
      <w:r>
        <w:fldChar w:fldCharType="end"/>
      </w:r>
    </w:p>
    <w:p w:rsidR="006169FD" w:rsidRDefault="006169FD">
      <w:pPr>
        <w:pStyle w:val="TOC8"/>
        <w:rPr>
          <w:rFonts w:asciiTheme="minorHAnsi" w:eastAsiaTheme="minorEastAsia" w:hAnsiTheme="minorHAnsi" w:cstheme="minorBidi"/>
          <w:szCs w:val="22"/>
        </w:rPr>
      </w:pPr>
      <w:r>
        <w:t>2</w:t>
      </w:r>
      <w:r w:rsidRPr="00AA3DF9">
        <w:rPr>
          <w:snapToGrid w:val="0"/>
        </w:rPr>
        <w:t>.</w:t>
      </w:r>
      <w:r w:rsidRPr="00AA3DF9">
        <w:rPr>
          <w:snapToGrid w:val="0"/>
        </w:rPr>
        <w:tab/>
        <w:t>Application to set aside for irregularity</w:t>
      </w:r>
      <w:r>
        <w:tab/>
      </w:r>
      <w:r>
        <w:fldChar w:fldCharType="begin"/>
      </w:r>
      <w:r>
        <w:instrText xml:space="preserve"> PAGEREF _Toc75862734 \h </w:instrText>
      </w:r>
      <w:r>
        <w:fldChar w:fldCharType="separate"/>
      </w:r>
      <w:r w:rsidR="00FC1D84">
        <w:t>10</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3 — Time</w:t>
      </w:r>
    </w:p>
    <w:p w:rsidR="006169FD" w:rsidRDefault="006169FD">
      <w:pPr>
        <w:pStyle w:val="TOC8"/>
        <w:rPr>
          <w:rFonts w:asciiTheme="minorHAnsi" w:eastAsiaTheme="minorEastAsia" w:hAnsiTheme="minorHAnsi" w:cstheme="minorBidi"/>
          <w:szCs w:val="22"/>
        </w:rPr>
      </w:pPr>
      <w:r>
        <w:t>1</w:t>
      </w:r>
      <w:r w:rsidRPr="00AA3DF9">
        <w:rPr>
          <w:snapToGrid w:val="0"/>
        </w:rPr>
        <w:t>.</w:t>
      </w:r>
      <w:r w:rsidRPr="00AA3DF9">
        <w:rPr>
          <w:snapToGrid w:val="0"/>
        </w:rPr>
        <w:tab/>
        <w:t>Term used: month</w:t>
      </w:r>
      <w:r>
        <w:tab/>
      </w:r>
      <w:r>
        <w:fldChar w:fldCharType="begin"/>
      </w:r>
      <w:r>
        <w:instrText xml:space="preserve"> PAGEREF _Toc75862736 \h </w:instrText>
      </w:r>
      <w:r>
        <w:fldChar w:fldCharType="separate"/>
      </w:r>
      <w:r w:rsidR="00FC1D84">
        <w:t>12</w:t>
      </w:r>
      <w:r>
        <w:fldChar w:fldCharType="end"/>
      </w:r>
    </w:p>
    <w:p w:rsidR="006169FD" w:rsidRDefault="006169FD">
      <w:pPr>
        <w:pStyle w:val="TOC8"/>
        <w:rPr>
          <w:rFonts w:asciiTheme="minorHAnsi" w:eastAsiaTheme="minorEastAsia" w:hAnsiTheme="minorHAnsi" w:cstheme="minorBidi"/>
          <w:szCs w:val="22"/>
        </w:rPr>
      </w:pPr>
      <w:r>
        <w:t>2</w:t>
      </w:r>
      <w:r w:rsidRPr="00AA3DF9">
        <w:rPr>
          <w:snapToGrid w:val="0"/>
        </w:rPr>
        <w:t>.</w:t>
      </w:r>
      <w:r w:rsidRPr="00AA3DF9">
        <w:rPr>
          <w:snapToGrid w:val="0"/>
        </w:rPr>
        <w:tab/>
        <w:t>Reckoning periods of time</w:t>
      </w:r>
      <w:r>
        <w:tab/>
      </w:r>
      <w:r>
        <w:fldChar w:fldCharType="begin"/>
      </w:r>
      <w:r>
        <w:instrText xml:space="preserve"> PAGEREF _Toc75862737 \h </w:instrText>
      </w:r>
      <w:r>
        <w:fldChar w:fldCharType="separate"/>
      </w:r>
      <w:r w:rsidR="00FC1D84">
        <w:t>12</w:t>
      </w:r>
      <w:r>
        <w:fldChar w:fldCharType="end"/>
      </w:r>
    </w:p>
    <w:p w:rsidR="006169FD" w:rsidRDefault="006169FD">
      <w:pPr>
        <w:pStyle w:val="TOC8"/>
        <w:rPr>
          <w:rFonts w:asciiTheme="minorHAnsi" w:eastAsiaTheme="minorEastAsia" w:hAnsiTheme="minorHAnsi" w:cstheme="minorBidi"/>
          <w:szCs w:val="22"/>
        </w:rPr>
      </w:pPr>
      <w:r>
        <w:t>3</w:t>
      </w:r>
      <w:r w:rsidRPr="00AA3DF9">
        <w:rPr>
          <w:snapToGrid w:val="0"/>
        </w:rPr>
        <w:t>.</w:t>
      </w:r>
      <w:r w:rsidRPr="00AA3DF9">
        <w:rPr>
          <w:snapToGrid w:val="0"/>
        </w:rPr>
        <w:tab/>
        <w:t>Period between 24 Dec and 15 Jan excluded when computing time</w:t>
      </w:r>
      <w:r>
        <w:tab/>
      </w:r>
      <w:r>
        <w:fldChar w:fldCharType="begin"/>
      </w:r>
      <w:r>
        <w:instrText xml:space="preserve"> PAGEREF _Toc75862738 \h </w:instrText>
      </w:r>
      <w:r>
        <w:fldChar w:fldCharType="separate"/>
      </w:r>
      <w:r w:rsidR="00FC1D84">
        <w:t>12</w:t>
      </w:r>
      <w:r>
        <w:fldChar w:fldCharType="end"/>
      </w:r>
    </w:p>
    <w:p w:rsidR="006169FD" w:rsidRDefault="006169FD">
      <w:pPr>
        <w:pStyle w:val="TOC8"/>
        <w:rPr>
          <w:rFonts w:asciiTheme="minorHAnsi" w:eastAsiaTheme="minorEastAsia" w:hAnsiTheme="minorHAnsi" w:cstheme="minorBidi"/>
          <w:szCs w:val="22"/>
        </w:rPr>
      </w:pPr>
      <w:r>
        <w:t>4</w:t>
      </w:r>
      <w:r w:rsidRPr="00AA3DF9">
        <w:rPr>
          <w:snapToGrid w:val="0"/>
        </w:rPr>
        <w:t>.</w:t>
      </w:r>
      <w:r w:rsidRPr="00AA3DF9">
        <w:rPr>
          <w:snapToGrid w:val="0"/>
        </w:rPr>
        <w:tab/>
        <w:t>Time expiring on day Central Office closed, effect of</w:t>
      </w:r>
      <w:r>
        <w:tab/>
      </w:r>
      <w:r>
        <w:fldChar w:fldCharType="begin"/>
      </w:r>
      <w:r>
        <w:instrText xml:space="preserve"> PAGEREF _Toc75862739 \h </w:instrText>
      </w:r>
      <w:r>
        <w:fldChar w:fldCharType="separate"/>
      </w:r>
      <w:r w:rsidR="00FC1D84">
        <w:t>13</w:t>
      </w:r>
      <w:r>
        <w:fldChar w:fldCharType="end"/>
      </w:r>
    </w:p>
    <w:p w:rsidR="006169FD" w:rsidRDefault="006169FD">
      <w:pPr>
        <w:pStyle w:val="TOC8"/>
        <w:rPr>
          <w:rFonts w:asciiTheme="minorHAnsi" w:eastAsiaTheme="minorEastAsia" w:hAnsiTheme="minorHAnsi" w:cstheme="minorBidi"/>
          <w:szCs w:val="22"/>
        </w:rPr>
      </w:pPr>
      <w:r>
        <w:t>5</w:t>
      </w:r>
      <w:r w:rsidRPr="00AA3DF9">
        <w:rPr>
          <w:snapToGrid w:val="0"/>
        </w:rPr>
        <w:t>.</w:t>
      </w:r>
      <w:r w:rsidRPr="00AA3DF9">
        <w:rPr>
          <w:snapToGrid w:val="0"/>
        </w:rPr>
        <w:tab/>
        <w:t>Extending and abridging time</w:t>
      </w:r>
      <w:r>
        <w:tab/>
      </w:r>
      <w:r>
        <w:fldChar w:fldCharType="begin"/>
      </w:r>
      <w:r>
        <w:instrText xml:space="preserve"> PAGEREF _Toc75862740 \h </w:instrText>
      </w:r>
      <w:r>
        <w:fldChar w:fldCharType="separate"/>
      </w:r>
      <w:r w:rsidR="00FC1D84">
        <w:t>13</w:t>
      </w:r>
      <w:r>
        <w:fldChar w:fldCharType="end"/>
      </w:r>
    </w:p>
    <w:p w:rsidR="006169FD" w:rsidRDefault="006169FD">
      <w:pPr>
        <w:pStyle w:val="TOC8"/>
        <w:rPr>
          <w:rFonts w:asciiTheme="minorHAnsi" w:eastAsiaTheme="minorEastAsia" w:hAnsiTheme="minorHAnsi" w:cstheme="minorBidi"/>
          <w:szCs w:val="22"/>
        </w:rPr>
      </w:pPr>
      <w:r>
        <w:lastRenderedPageBreak/>
        <w:t>6</w:t>
      </w:r>
      <w:r w:rsidRPr="00AA3DF9">
        <w:rPr>
          <w:snapToGrid w:val="0"/>
        </w:rPr>
        <w:t>.</w:t>
      </w:r>
      <w:r w:rsidRPr="00AA3DF9">
        <w:rPr>
          <w:snapToGrid w:val="0"/>
        </w:rPr>
        <w:tab/>
        <w:t>Extension of time where security ordered</w:t>
      </w:r>
      <w:r>
        <w:tab/>
      </w:r>
      <w:r>
        <w:fldChar w:fldCharType="begin"/>
      </w:r>
      <w:r>
        <w:instrText xml:space="preserve"> PAGEREF _Toc75862741 \h </w:instrText>
      </w:r>
      <w:r>
        <w:fldChar w:fldCharType="separate"/>
      </w:r>
      <w:r w:rsidR="00FC1D84">
        <w:t>13</w:t>
      </w:r>
      <w:r>
        <w:fldChar w:fldCharType="end"/>
      </w:r>
    </w:p>
    <w:p w:rsidR="006169FD" w:rsidRDefault="006169FD">
      <w:pPr>
        <w:pStyle w:val="TOC8"/>
        <w:rPr>
          <w:rFonts w:asciiTheme="minorHAnsi" w:eastAsiaTheme="minorEastAsia" w:hAnsiTheme="minorHAnsi" w:cstheme="minorBidi"/>
          <w:szCs w:val="22"/>
        </w:rPr>
      </w:pPr>
      <w:r>
        <w:t>7</w:t>
      </w:r>
      <w:r w:rsidRPr="00AA3DF9">
        <w:rPr>
          <w:snapToGrid w:val="0"/>
        </w:rPr>
        <w:t>.</w:t>
      </w:r>
      <w:r w:rsidRPr="00AA3DF9">
        <w:rPr>
          <w:snapToGrid w:val="0"/>
        </w:rPr>
        <w:tab/>
        <w:t>Notice of intention to proceed after year’s delay</w:t>
      </w:r>
      <w:r>
        <w:tab/>
      </w:r>
      <w:r>
        <w:fldChar w:fldCharType="begin"/>
      </w:r>
      <w:r>
        <w:instrText xml:space="preserve"> PAGEREF _Toc75862742 \h </w:instrText>
      </w:r>
      <w:r>
        <w:fldChar w:fldCharType="separate"/>
      </w:r>
      <w:r w:rsidR="00FC1D84">
        <w:t>14</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4A</w:t>
      </w:r>
      <w:r w:rsidRPr="00AA3DF9">
        <w:rPr>
          <w:b w:val="0"/>
        </w:rPr>
        <w:t> </w:t>
      </w:r>
      <w:r>
        <w:t>—</w:t>
      </w:r>
      <w:r w:rsidRPr="00AA3DF9">
        <w:rPr>
          <w:b w:val="0"/>
        </w:rPr>
        <w:t> </w:t>
      </w:r>
      <w:r>
        <w:t>Case management</w:t>
      </w:r>
    </w:p>
    <w:p w:rsidR="006169FD" w:rsidRDefault="006169FD">
      <w:pPr>
        <w:pStyle w:val="TOC4"/>
        <w:tabs>
          <w:tab w:val="right" w:leader="dot" w:pos="7077"/>
        </w:tabs>
        <w:rPr>
          <w:rFonts w:asciiTheme="minorHAnsi" w:eastAsiaTheme="minorEastAsia" w:hAnsiTheme="minorHAnsi" w:cstheme="minorBidi"/>
          <w:b w:val="0"/>
          <w:szCs w:val="22"/>
        </w:rPr>
      </w:pPr>
      <w:r>
        <w:t>Division 1 — Preliminary matters</w:t>
      </w:r>
    </w:p>
    <w:p w:rsidR="006169FD" w:rsidRDefault="006169FD">
      <w:pPr>
        <w:pStyle w:val="TOC8"/>
        <w:rPr>
          <w:rFonts w:asciiTheme="minorHAnsi" w:eastAsiaTheme="minorEastAsia" w:hAnsiTheme="minorHAnsi" w:cstheme="minorBidi"/>
          <w:szCs w:val="22"/>
        </w:rPr>
      </w:pPr>
      <w:r>
        <w:t>1.</w:t>
      </w:r>
      <w:r>
        <w:tab/>
        <w:t>Terms used</w:t>
      </w:r>
      <w:r>
        <w:tab/>
      </w:r>
      <w:r>
        <w:fldChar w:fldCharType="begin"/>
      </w:r>
      <w:r>
        <w:instrText xml:space="preserve"> PAGEREF _Toc75862745 \h </w:instrText>
      </w:r>
      <w:r>
        <w:fldChar w:fldCharType="separate"/>
      </w:r>
      <w:r w:rsidR="00FC1D84">
        <w:t>15</w:t>
      </w:r>
      <w:r>
        <w:fldChar w:fldCharType="end"/>
      </w:r>
    </w:p>
    <w:p w:rsidR="006169FD" w:rsidRDefault="006169FD">
      <w:pPr>
        <w:pStyle w:val="TOC8"/>
        <w:rPr>
          <w:rFonts w:asciiTheme="minorHAnsi" w:eastAsiaTheme="minorEastAsia" w:hAnsiTheme="minorHAnsi" w:cstheme="minorBidi"/>
          <w:szCs w:val="22"/>
        </w:rPr>
      </w:pPr>
      <w:r>
        <w:t>2.</w:t>
      </w:r>
      <w:r>
        <w:tab/>
        <w:t>Term used: case management direction</w:t>
      </w:r>
      <w:r>
        <w:tab/>
      </w:r>
      <w:r>
        <w:fldChar w:fldCharType="begin"/>
      </w:r>
      <w:r>
        <w:instrText xml:space="preserve"> PAGEREF _Toc75862746 \h </w:instrText>
      </w:r>
      <w:r>
        <w:fldChar w:fldCharType="separate"/>
      </w:r>
      <w:r w:rsidR="00FC1D84">
        <w:t>15</w:t>
      </w:r>
      <w:r>
        <w:fldChar w:fldCharType="end"/>
      </w:r>
    </w:p>
    <w:p w:rsidR="006169FD" w:rsidRDefault="006169FD">
      <w:pPr>
        <w:pStyle w:val="TOC8"/>
        <w:rPr>
          <w:rFonts w:asciiTheme="minorHAnsi" w:eastAsiaTheme="minorEastAsia" w:hAnsiTheme="minorHAnsi" w:cstheme="minorBidi"/>
          <w:szCs w:val="22"/>
        </w:rPr>
      </w:pPr>
      <w:r>
        <w:t>3.</w:t>
      </w:r>
      <w:r>
        <w:tab/>
        <w:t>Term used: enforcement order</w:t>
      </w:r>
      <w:r>
        <w:tab/>
      </w:r>
      <w:r>
        <w:fldChar w:fldCharType="begin"/>
      </w:r>
      <w:r>
        <w:instrText xml:space="preserve"> PAGEREF _Toc75862747 \h </w:instrText>
      </w:r>
      <w:r>
        <w:fldChar w:fldCharType="separate"/>
      </w:r>
      <w:r w:rsidR="00FC1D84">
        <w:t>20</w:t>
      </w:r>
      <w:r>
        <w:fldChar w:fldCharType="end"/>
      </w:r>
    </w:p>
    <w:p w:rsidR="006169FD" w:rsidRDefault="006169FD">
      <w:pPr>
        <w:pStyle w:val="TOC8"/>
        <w:rPr>
          <w:rFonts w:asciiTheme="minorHAnsi" w:eastAsiaTheme="minorEastAsia" w:hAnsiTheme="minorHAnsi" w:cstheme="minorBidi"/>
          <w:szCs w:val="22"/>
        </w:rPr>
      </w:pPr>
      <w:r>
        <w:t>4.</w:t>
      </w:r>
      <w:r>
        <w:tab/>
        <w:t>Inconsistencies with other rules</w:t>
      </w:r>
      <w:r>
        <w:tab/>
      </w:r>
      <w:r>
        <w:fldChar w:fldCharType="begin"/>
      </w:r>
      <w:r>
        <w:instrText xml:space="preserve"> PAGEREF _Toc75862748 \h </w:instrText>
      </w:r>
      <w:r>
        <w:fldChar w:fldCharType="separate"/>
      </w:r>
      <w:r w:rsidR="00FC1D84">
        <w:t>20</w:t>
      </w:r>
      <w:r>
        <w:fldChar w:fldCharType="end"/>
      </w:r>
    </w:p>
    <w:p w:rsidR="006169FD" w:rsidRDefault="006169FD">
      <w:pPr>
        <w:pStyle w:val="TOC4"/>
        <w:tabs>
          <w:tab w:val="right" w:leader="dot" w:pos="7077"/>
        </w:tabs>
        <w:rPr>
          <w:rFonts w:asciiTheme="minorHAnsi" w:eastAsiaTheme="minorEastAsia" w:hAnsiTheme="minorHAnsi" w:cstheme="minorBidi"/>
          <w:b w:val="0"/>
          <w:szCs w:val="22"/>
        </w:rPr>
      </w:pPr>
      <w:r>
        <w:t>Division 2 — Provisions applicable to all cases</w:t>
      </w:r>
    </w:p>
    <w:p w:rsidR="006169FD" w:rsidRDefault="006169FD">
      <w:pPr>
        <w:pStyle w:val="TOC8"/>
        <w:rPr>
          <w:rFonts w:asciiTheme="minorHAnsi" w:eastAsiaTheme="minorEastAsia" w:hAnsiTheme="minorHAnsi" w:cstheme="minorBidi"/>
          <w:szCs w:val="22"/>
        </w:rPr>
      </w:pPr>
      <w:r>
        <w:t>4A.</w:t>
      </w:r>
      <w:r>
        <w:tab/>
        <w:t>Case management conferences</w:t>
      </w:r>
      <w:r>
        <w:tab/>
      </w:r>
      <w:r>
        <w:fldChar w:fldCharType="begin"/>
      </w:r>
      <w:r>
        <w:instrText xml:space="preserve"> PAGEREF _Toc75862750 \h </w:instrText>
      </w:r>
      <w:r>
        <w:fldChar w:fldCharType="separate"/>
      </w:r>
      <w:r w:rsidR="00FC1D84">
        <w:t>20</w:t>
      </w:r>
      <w:r>
        <w:fldChar w:fldCharType="end"/>
      </w:r>
    </w:p>
    <w:p w:rsidR="006169FD" w:rsidRDefault="006169FD">
      <w:pPr>
        <w:pStyle w:val="TOC8"/>
        <w:rPr>
          <w:rFonts w:asciiTheme="minorHAnsi" w:eastAsiaTheme="minorEastAsia" w:hAnsiTheme="minorHAnsi" w:cstheme="minorBidi"/>
          <w:szCs w:val="22"/>
        </w:rPr>
      </w:pPr>
      <w:r>
        <w:t>5.</w:t>
      </w:r>
      <w:r>
        <w:tab/>
        <w:t>Case manager may review case at any time</w:t>
      </w:r>
      <w:r>
        <w:tab/>
      </w:r>
      <w:r>
        <w:fldChar w:fldCharType="begin"/>
      </w:r>
      <w:r>
        <w:instrText xml:space="preserve"> PAGEREF _Toc75862751 \h </w:instrText>
      </w:r>
      <w:r>
        <w:fldChar w:fldCharType="separate"/>
      </w:r>
      <w:r w:rsidR="00FC1D84">
        <w:t>21</w:t>
      </w:r>
      <w:r>
        <w:fldChar w:fldCharType="end"/>
      </w:r>
    </w:p>
    <w:p w:rsidR="006169FD" w:rsidRDefault="006169FD">
      <w:pPr>
        <w:pStyle w:val="TOC8"/>
        <w:rPr>
          <w:rFonts w:asciiTheme="minorHAnsi" w:eastAsiaTheme="minorEastAsia" w:hAnsiTheme="minorHAnsi" w:cstheme="minorBidi"/>
          <w:szCs w:val="22"/>
        </w:rPr>
      </w:pPr>
      <w:r>
        <w:t>5A.</w:t>
      </w:r>
      <w:r>
        <w:tab/>
        <w:t>Requesting interlocutory orders and case management directions</w:t>
      </w:r>
      <w:r>
        <w:tab/>
      </w:r>
      <w:r>
        <w:fldChar w:fldCharType="begin"/>
      </w:r>
      <w:r>
        <w:instrText xml:space="preserve"> PAGEREF _Toc75862752 \h </w:instrText>
      </w:r>
      <w:r>
        <w:fldChar w:fldCharType="separate"/>
      </w:r>
      <w:r w:rsidR="00FC1D84">
        <w:t>22</w:t>
      </w:r>
      <w:r>
        <w:fldChar w:fldCharType="end"/>
      </w:r>
    </w:p>
    <w:p w:rsidR="006169FD" w:rsidRDefault="006169FD">
      <w:pPr>
        <w:pStyle w:val="TOC8"/>
        <w:rPr>
          <w:rFonts w:asciiTheme="minorHAnsi" w:eastAsiaTheme="minorEastAsia" w:hAnsiTheme="minorHAnsi" w:cstheme="minorBidi"/>
          <w:szCs w:val="22"/>
        </w:rPr>
      </w:pPr>
      <w:r>
        <w:t>5B.</w:t>
      </w:r>
      <w:r>
        <w:tab/>
        <w:t>Request under r. 5A by letter</w:t>
      </w:r>
      <w:r>
        <w:tab/>
      </w:r>
      <w:r>
        <w:fldChar w:fldCharType="begin"/>
      </w:r>
      <w:r>
        <w:instrText xml:space="preserve"> PAGEREF _Toc75862753 \h </w:instrText>
      </w:r>
      <w:r>
        <w:fldChar w:fldCharType="separate"/>
      </w:r>
      <w:r w:rsidR="00FC1D84">
        <w:t>22</w:t>
      </w:r>
      <w:r>
        <w:fldChar w:fldCharType="end"/>
      </w:r>
    </w:p>
    <w:p w:rsidR="006169FD" w:rsidRDefault="006169FD">
      <w:pPr>
        <w:pStyle w:val="TOC8"/>
        <w:rPr>
          <w:rFonts w:asciiTheme="minorHAnsi" w:eastAsiaTheme="minorEastAsia" w:hAnsiTheme="minorHAnsi" w:cstheme="minorBidi"/>
          <w:szCs w:val="22"/>
        </w:rPr>
      </w:pPr>
      <w:r>
        <w:t>5C.</w:t>
      </w:r>
      <w:r>
        <w:tab/>
        <w:t>Request under r. 5A at case management conference or hearing</w:t>
      </w:r>
      <w:r>
        <w:tab/>
      </w:r>
      <w:r>
        <w:fldChar w:fldCharType="begin"/>
      </w:r>
      <w:r>
        <w:instrText xml:space="preserve"> PAGEREF _Toc75862754 \h </w:instrText>
      </w:r>
      <w:r>
        <w:fldChar w:fldCharType="separate"/>
      </w:r>
      <w:r w:rsidR="00FC1D84">
        <w:t>24</w:t>
      </w:r>
      <w:r>
        <w:fldChar w:fldCharType="end"/>
      </w:r>
    </w:p>
    <w:p w:rsidR="006169FD" w:rsidRDefault="006169FD">
      <w:pPr>
        <w:pStyle w:val="TOC8"/>
        <w:rPr>
          <w:rFonts w:asciiTheme="minorHAnsi" w:eastAsiaTheme="minorEastAsia" w:hAnsiTheme="minorHAnsi" w:cstheme="minorBidi"/>
          <w:szCs w:val="22"/>
        </w:rPr>
      </w:pPr>
      <w:r>
        <w:t>6.</w:t>
      </w:r>
      <w:r>
        <w:tab/>
        <w:t>Timetables</w:t>
      </w:r>
      <w:r>
        <w:tab/>
      </w:r>
      <w:r>
        <w:fldChar w:fldCharType="begin"/>
      </w:r>
      <w:r>
        <w:instrText xml:space="preserve"> PAGEREF _Toc75862755 \h </w:instrText>
      </w:r>
      <w:r>
        <w:fldChar w:fldCharType="separate"/>
      </w:r>
      <w:r w:rsidR="00FC1D84">
        <w:t>24</w:t>
      </w:r>
      <w:r>
        <w:fldChar w:fldCharType="end"/>
      </w:r>
    </w:p>
    <w:p w:rsidR="006169FD" w:rsidRDefault="006169FD">
      <w:pPr>
        <w:pStyle w:val="TOC8"/>
        <w:rPr>
          <w:rFonts w:asciiTheme="minorHAnsi" w:eastAsiaTheme="minorEastAsia" w:hAnsiTheme="minorHAnsi" w:cstheme="minorBidi"/>
          <w:szCs w:val="22"/>
        </w:rPr>
      </w:pPr>
      <w:r>
        <w:t>7.</w:t>
      </w:r>
      <w:r>
        <w:tab/>
        <w:t>Attendance at proceedings under this Order</w:t>
      </w:r>
      <w:r>
        <w:tab/>
      </w:r>
      <w:r>
        <w:fldChar w:fldCharType="begin"/>
      </w:r>
      <w:r>
        <w:instrText xml:space="preserve"> PAGEREF _Toc75862756 \h </w:instrText>
      </w:r>
      <w:r>
        <w:fldChar w:fldCharType="separate"/>
      </w:r>
      <w:r w:rsidR="00FC1D84">
        <w:t>25</w:t>
      </w:r>
      <w:r>
        <w:fldChar w:fldCharType="end"/>
      </w:r>
    </w:p>
    <w:p w:rsidR="006169FD" w:rsidRDefault="006169FD">
      <w:pPr>
        <w:pStyle w:val="TOC8"/>
        <w:rPr>
          <w:rFonts w:asciiTheme="minorHAnsi" w:eastAsiaTheme="minorEastAsia" w:hAnsiTheme="minorHAnsi" w:cstheme="minorBidi"/>
          <w:szCs w:val="22"/>
        </w:rPr>
      </w:pPr>
      <w:r>
        <w:t>8.</w:t>
      </w:r>
      <w:r>
        <w:tab/>
        <w:t>Conferences of parties with mediator</w:t>
      </w:r>
      <w:r>
        <w:tab/>
      </w:r>
      <w:r>
        <w:fldChar w:fldCharType="begin"/>
      </w:r>
      <w:r>
        <w:instrText xml:space="preserve"> PAGEREF _Toc75862757 \h </w:instrText>
      </w:r>
      <w:r>
        <w:fldChar w:fldCharType="separate"/>
      </w:r>
      <w:r w:rsidR="00FC1D84">
        <w:t>26</w:t>
      </w:r>
      <w:r>
        <w:fldChar w:fldCharType="end"/>
      </w:r>
    </w:p>
    <w:p w:rsidR="006169FD" w:rsidRDefault="006169FD">
      <w:pPr>
        <w:pStyle w:val="TOC8"/>
        <w:rPr>
          <w:rFonts w:asciiTheme="minorHAnsi" w:eastAsiaTheme="minorEastAsia" w:hAnsiTheme="minorHAnsi" w:cstheme="minorBidi"/>
          <w:szCs w:val="22"/>
        </w:rPr>
      </w:pPr>
      <w:r>
        <w:t>9.</w:t>
      </w:r>
      <w:r>
        <w:tab/>
        <w:t>Referees</w:t>
      </w:r>
      <w:r>
        <w:tab/>
      </w:r>
      <w:r>
        <w:fldChar w:fldCharType="begin"/>
      </w:r>
      <w:r>
        <w:instrText xml:space="preserve"> PAGEREF _Toc75862758 \h </w:instrText>
      </w:r>
      <w:r>
        <w:fldChar w:fldCharType="separate"/>
      </w:r>
      <w:r w:rsidR="00FC1D84">
        <w:t>27</w:t>
      </w:r>
      <w:r>
        <w:fldChar w:fldCharType="end"/>
      </w:r>
    </w:p>
    <w:p w:rsidR="006169FD" w:rsidRDefault="006169FD">
      <w:pPr>
        <w:pStyle w:val="TOC4"/>
        <w:tabs>
          <w:tab w:val="right" w:leader="dot" w:pos="7077"/>
        </w:tabs>
        <w:rPr>
          <w:rFonts w:asciiTheme="minorHAnsi" w:eastAsiaTheme="minorEastAsia" w:hAnsiTheme="minorHAnsi" w:cstheme="minorBidi"/>
          <w:b w:val="0"/>
          <w:szCs w:val="22"/>
        </w:rPr>
      </w:pPr>
      <w:r>
        <w:t>Division 3 — Cases on the CMC List</w:t>
      </w:r>
    </w:p>
    <w:p w:rsidR="006169FD" w:rsidRDefault="006169FD">
      <w:pPr>
        <w:pStyle w:val="TOC8"/>
        <w:rPr>
          <w:rFonts w:asciiTheme="minorHAnsi" w:eastAsiaTheme="minorEastAsia" w:hAnsiTheme="minorHAnsi" w:cstheme="minorBidi"/>
          <w:szCs w:val="22"/>
        </w:rPr>
      </w:pPr>
      <w:r>
        <w:t>10.</w:t>
      </w:r>
      <w:r>
        <w:tab/>
        <w:t>Application of this Division</w:t>
      </w:r>
      <w:r>
        <w:tab/>
      </w:r>
      <w:r>
        <w:fldChar w:fldCharType="begin"/>
      </w:r>
      <w:r>
        <w:instrText xml:space="preserve"> PAGEREF _Toc75862760 \h </w:instrText>
      </w:r>
      <w:r>
        <w:fldChar w:fldCharType="separate"/>
      </w:r>
      <w:r w:rsidR="00FC1D84">
        <w:t>28</w:t>
      </w:r>
      <w:r>
        <w:fldChar w:fldCharType="end"/>
      </w:r>
    </w:p>
    <w:p w:rsidR="006169FD" w:rsidRDefault="006169FD">
      <w:pPr>
        <w:pStyle w:val="TOC8"/>
        <w:rPr>
          <w:rFonts w:asciiTheme="minorHAnsi" w:eastAsiaTheme="minorEastAsia" w:hAnsiTheme="minorHAnsi" w:cstheme="minorBidi"/>
          <w:szCs w:val="22"/>
        </w:rPr>
      </w:pPr>
      <w:r>
        <w:t>11.</w:t>
      </w:r>
      <w:r>
        <w:tab/>
        <w:t>Cases on CMC List</w:t>
      </w:r>
      <w:r>
        <w:tab/>
      </w:r>
      <w:r>
        <w:fldChar w:fldCharType="begin"/>
      </w:r>
      <w:r>
        <w:instrText xml:space="preserve"> PAGEREF _Toc75862761 \h </w:instrText>
      </w:r>
      <w:r>
        <w:fldChar w:fldCharType="separate"/>
      </w:r>
      <w:r w:rsidR="00FC1D84">
        <w:t>29</w:t>
      </w:r>
      <w:r>
        <w:fldChar w:fldCharType="end"/>
      </w:r>
    </w:p>
    <w:p w:rsidR="006169FD" w:rsidRDefault="006169FD">
      <w:pPr>
        <w:pStyle w:val="TOC8"/>
        <w:rPr>
          <w:rFonts w:asciiTheme="minorHAnsi" w:eastAsiaTheme="minorEastAsia" w:hAnsiTheme="minorHAnsi" w:cstheme="minorBidi"/>
          <w:szCs w:val="22"/>
        </w:rPr>
      </w:pPr>
      <w:r>
        <w:t>12.</w:t>
      </w:r>
      <w:r>
        <w:tab/>
        <w:t>Headings to documents</w:t>
      </w:r>
      <w:r>
        <w:tab/>
      </w:r>
      <w:r>
        <w:fldChar w:fldCharType="begin"/>
      </w:r>
      <w:r>
        <w:instrText xml:space="preserve"> PAGEREF _Toc75862762 \h </w:instrText>
      </w:r>
      <w:r>
        <w:fldChar w:fldCharType="separate"/>
      </w:r>
      <w:r w:rsidR="00FC1D84">
        <w:t>29</w:t>
      </w:r>
      <w:r>
        <w:fldChar w:fldCharType="end"/>
      </w:r>
    </w:p>
    <w:p w:rsidR="006169FD" w:rsidRDefault="006169FD">
      <w:pPr>
        <w:pStyle w:val="TOC8"/>
        <w:rPr>
          <w:rFonts w:asciiTheme="minorHAnsi" w:eastAsiaTheme="minorEastAsia" w:hAnsiTheme="minorHAnsi" w:cstheme="minorBidi"/>
          <w:szCs w:val="22"/>
        </w:rPr>
      </w:pPr>
      <w:r>
        <w:t>13.</w:t>
      </w:r>
      <w:r>
        <w:tab/>
        <w:t>CMC List case manager may direct case to be on or taken off CMC List</w:t>
      </w:r>
      <w:r>
        <w:tab/>
      </w:r>
      <w:r>
        <w:fldChar w:fldCharType="begin"/>
      </w:r>
      <w:r>
        <w:instrText xml:space="preserve"> PAGEREF _Toc75862763 \h </w:instrText>
      </w:r>
      <w:r>
        <w:fldChar w:fldCharType="separate"/>
      </w:r>
      <w:r w:rsidR="00FC1D84">
        <w:t>30</w:t>
      </w:r>
      <w:r>
        <w:fldChar w:fldCharType="end"/>
      </w:r>
    </w:p>
    <w:p w:rsidR="006169FD" w:rsidRDefault="006169FD">
      <w:pPr>
        <w:pStyle w:val="TOC8"/>
        <w:rPr>
          <w:rFonts w:asciiTheme="minorHAnsi" w:eastAsiaTheme="minorEastAsia" w:hAnsiTheme="minorHAnsi" w:cstheme="minorBidi"/>
          <w:szCs w:val="22"/>
        </w:rPr>
      </w:pPr>
      <w:r>
        <w:t>14.</w:t>
      </w:r>
      <w:r>
        <w:tab/>
        <w:t>Requesting case be put on CMC List</w:t>
      </w:r>
      <w:r>
        <w:tab/>
      </w:r>
      <w:r>
        <w:fldChar w:fldCharType="begin"/>
      </w:r>
      <w:r>
        <w:instrText xml:space="preserve"> PAGEREF _Toc75862764 \h </w:instrText>
      </w:r>
      <w:r>
        <w:fldChar w:fldCharType="separate"/>
      </w:r>
      <w:r w:rsidR="00FC1D84">
        <w:t>30</w:t>
      </w:r>
      <w:r>
        <w:fldChar w:fldCharType="end"/>
      </w:r>
    </w:p>
    <w:p w:rsidR="006169FD" w:rsidRDefault="006169FD">
      <w:pPr>
        <w:pStyle w:val="TOC8"/>
        <w:rPr>
          <w:rFonts w:asciiTheme="minorHAnsi" w:eastAsiaTheme="minorEastAsia" w:hAnsiTheme="minorHAnsi" w:cstheme="minorBidi"/>
          <w:szCs w:val="22"/>
        </w:rPr>
      </w:pPr>
      <w:r>
        <w:t>14A.</w:t>
      </w:r>
      <w:r>
        <w:tab/>
        <w:t>Strategic conferences</w:t>
      </w:r>
      <w:r>
        <w:tab/>
      </w:r>
      <w:r>
        <w:fldChar w:fldCharType="begin"/>
      </w:r>
      <w:r>
        <w:instrText xml:space="preserve"> PAGEREF _Toc75862765 \h </w:instrText>
      </w:r>
      <w:r>
        <w:fldChar w:fldCharType="separate"/>
      </w:r>
      <w:r w:rsidR="00FC1D84">
        <w:t>31</w:t>
      </w:r>
      <w:r>
        <w:fldChar w:fldCharType="end"/>
      </w:r>
    </w:p>
    <w:p w:rsidR="006169FD" w:rsidRDefault="006169FD">
      <w:pPr>
        <w:pStyle w:val="TOC8"/>
        <w:rPr>
          <w:rFonts w:asciiTheme="minorHAnsi" w:eastAsiaTheme="minorEastAsia" w:hAnsiTheme="minorHAnsi" w:cstheme="minorBidi"/>
          <w:szCs w:val="22"/>
        </w:rPr>
      </w:pPr>
      <w:r>
        <w:t>15.</w:t>
      </w:r>
      <w:r>
        <w:tab/>
        <w:t>Interlocutory hearings</w:t>
      </w:r>
      <w:r>
        <w:tab/>
      </w:r>
      <w:r>
        <w:fldChar w:fldCharType="begin"/>
      </w:r>
      <w:r>
        <w:instrText xml:space="preserve"> PAGEREF _Toc75862766 \h </w:instrText>
      </w:r>
      <w:r>
        <w:fldChar w:fldCharType="separate"/>
      </w:r>
      <w:r w:rsidR="00FC1D84">
        <w:t>31</w:t>
      </w:r>
      <w:r>
        <w:fldChar w:fldCharType="end"/>
      </w:r>
    </w:p>
    <w:p w:rsidR="006169FD" w:rsidRDefault="006169FD">
      <w:pPr>
        <w:pStyle w:val="TOC4"/>
        <w:tabs>
          <w:tab w:val="right" w:leader="dot" w:pos="7077"/>
        </w:tabs>
        <w:rPr>
          <w:rFonts w:asciiTheme="minorHAnsi" w:eastAsiaTheme="minorEastAsia" w:hAnsiTheme="minorHAnsi" w:cstheme="minorBidi"/>
          <w:b w:val="0"/>
          <w:szCs w:val="22"/>
        </w:rPr>
      </w:pPr>
      <w:r>
        <w:t>Division 4 — Cases not on the CMC List</w:t>
      </w:r>
    </w:p>
    <w:p w:rsidR="006169FD" w:rsidRDefault="006169FD">
      <w:pPr>
        <w:pStyle w:val="TOC8"/>
        <w:rPr>
          <w:rFonts w:asciiTheme="minorHAnsi" w:eastAsiaTheme="minorEastAsia" w:hAnsiTheme="minorHAnsi" w:cstheme="minorBidi"/>
          <w:szCs w:val="22"/>
        </w:rPr>
      </w:pPr>
      <w:r>
        <w:t>16.</w:t>
      </w:r>
      <w:r>
        <w:tab/>
        <w:t>Application of this Division</w:t>
      </w:r>
      <w:r>
        <w:tab/>
      </w:r>
      <w:r>
        <w:fldChar w:fldCharType="begin"/>
      </w:r>
      <w:r>
        <w:instrText xml:space="preserve"> PAGEREF _Toc75862768 \h </w:instrText>
      </w:r>
      <w:r>
        <w:fldChar w:fldCharType="separate"/>
      </w:r>
      <w:r w:rsidR="00FC1D84">
        <w:t>32</w:t>
      </w:r>
      <w:r>
        <w:fldChar w:fldCharType="end"/>
      </w:r>
    </w:p>
    <w:p w:rsidR="006169FD" w:rsidRDefault="006169FD">
      <w:pPr>
        <w:pStyle w:val="TOC8"/>
        <w:rPr>
          <w:rFonts w:asciiTheme="minorHAnsi" w:eastAsiaTheme="minorEastAsia" w:hAnsiTheme="minorHAnsi" w:cstheme="minorBidi"/>
          <w:szCs w:val="22"/>
        </w:rPr>
      </w:pPr>
      <w:r>
        <w:t>18.</w:t>
      </w:r>
      <w:r>
        <w:tab/>
        <w:t>Case management conferences for cases not on CMC List</w:t>
      </w:r>
      <w:r>
        <w:tab/>
      </w:r>
      <w:r>
        <w:fldChar w:fldCharType="begin"/>
      </w:r>
      <w:r>
        <w:instrText xml:space="preserve"> PAGEREF _Toc75862769 \h </w:instrText>
      </w:r>
      <w:r>
        <w:fldChar w:fldCharType="separate"/>
      </w:r>
      <w:r w:rsidR="00FC1D84">
        <w:t>32</w:t>
      </w:r>
      <w:r>
        <w:fldChar w:fldCharType="end"/>
      </w:r>
    </w:p>
    <w:p w:rsidR="006169FD" w:rsidRDefault="006169FD">
      <w:pPr>
        <w:pStyle w:val="TOC8"/>
        <w:rPr>
          <w:rFonts w:asciiTheme="minorHAnsi" w:eastAsiaTheme="minorEastAsia" w:hAnsiTheme="minorHAnsi" w:cstheme="minorBidi"/>
          <w:szCs w:val="22"/>
        </w:rPr>
      </w:pPr>
      <w:r>
        <w:t>19.</w:t>
      </w:r>
      <w:r>
        <w:tab/>
        <w:t>Powers of case manager at case management conferences for cases not on CMC List</w:t>
      </w:r>
      <w:r>
        <w:tab/>
      </w:r>
      <w:r>
        <w:fldChar w:fldCharType="begin"/>
      </w:r>
      <w:r>
        <w:instrText xml:space="preserve"> PAGEREF _Toc75862770 \h </w:instrText>
      </w:r>
      <w:r>
        <w:fldChar w:fldCharType="separate"/>
      </w:r>
      <w:r w:rsidR="00FC1D84">
        <w:t>34</w:t>
      </w:r>
      <w:r>
        <w:fldChar w:fldCharType="end"/>
      </w:r>
    </w:p>
    <w:p w:rsidR="006169FD" w:rsidRDefault="006169FD">
      <w:pPr>
        <w:pStyle w:val="TOC8"/>
        <w:rPr>
          <w:rFonts w:asciiTheme="minorHAnsi" w:eastAsiaTheme="minorEastAsia" w:hAnsiTheme="minorHAnsi" w:cstheme="minorBidi"/>
          <w:szCs w:val="22"/>
        </w:rPr>
      </w:pPr>
      <w:r>
        <w:t>20.</w:t>
      </w:r>
      <w:r>
        <w:tab/>
        <w:t>Listing conference</w:t>
      </w:r>
      <w:r>
        <w:tab/>
      </w:r>
      <w:r>
        <w:fldChar w:fldCharType="begin"/>
      </w:r>
      <w:r>
        <w:instrText xml:space="preserve"> PAGEREF _Toc75862771 \h </w:instrText>
      </w:r>
      <w:r>
        <w:fldChar w:fldCharType="separate"/>
      </w:r>
      <w:r w:rsidR="00FC1D84">
        <w:t>35</w:t>
      </w:r>
      <w:r>
        <w:fldChar w:fldCharType="end"/>
      </w:r>
    </w:p>
    <w:p w:rsidR="006169FD" w:rsidRDefault="006169FD">
      <w:pPr>
        <w:pStyle w:val="TOC4"/>
        <w:tabs>
          <w:tab w:val="right" w:leader="dot" w:pos="7077"/>
        </w:tabs>
        <w:rPr>
          <w:rFonts w:asciiTheme="minorHAnsi" w:eastAsiaTheme="minorEastAsia" w:hAnsiTheme="minorHAnsi" w:cstheme="minorBidi"/>
          <w:b w:val="0"/>
          <w:szCs w:val="22"/>
        </w:rPr>
      </w:pPr>
      <w:r>
        <w:t>Division 5 — Inactive Cases List</w:t>
      </w:r>
    </w:p>
    <w:p w:rsidR="006169FD" w:rsidRDefault="006169FD">
      <w:pPr>
        <w:pStyle w:val="TOC8"/>
        <w:rPr>
          <w:rFonts w:asciiTheme="minorHAnsi" w:eastAsiaTheme="minorEastAsia" w:hAnsiTheme="minorHAnsi" w:cstheme="minorBidi"/>
          <w:szCs w:val="22"/>
        </w:rPr>
      </w:pPr>
      <w:r>
        <w:t>21.</w:t>
      </w:r>
      <w:r>
        <w:tab/>
        <w:t>Term used: Inactive Cases List</w:t>
      </w:r>
      <w:r>
        <w:tab/>
      </w:r>
      <w:r>
        <w:fldChar w:fldCharType="begin"/>
      </w:r>
      <w:r>
        <w:instrText xml:space="preserve"> PAGEREF _Toc75862773 \h </w:instrText>
      </w:r>
      <w:r>
        <w:fldChar w:fldCharType="separate"/>
      </w:r>
      <w:r w:rsidR="00FC1D84">
        <w:t>36</w:t>
      </w:r>
      <w:r>
        <w:fldChar w:fldCharType="end"/>
      </w:r>
    </w:p>
    <w:p w:rsidR="006169FD" w:rsidRDefault="006169FD">
      <w:pPr>
        <w:pStyle w:val="TOC8"/>
        <w:rPr>
          <w:rFonts w:asciiTheme="minorHAnsi" w:eastAsiaTheme="minorEastAsia" w:hAnsiTheme="minorHAnsi" w:cstheme="minorBidi"/>
          <w:szCs w:val="22"/>
        </w:rPr>
      </w:pPr>
      <w:r>
        <w:lastRenderedPageBreak/>
        <w:t>22.</w:t>
      </w:r>
      <w:r>
        <w:tab/>
        <w:t>Case manager may direct party to show cause</w:t>
      </w:r>
      <w:r>
        <w:tab/>
      </w:r>
      <w:r>
        <w:fldChar w:fldCharType="begin"/>
      </w:r>
      <w:r>
        <w:instrText xml:space="preserve"> PAGEREF _Toc75862774 \h </w:instrText>
      </w:r>
      <w:r>
        <w:fldChar w:fldCharType="separate"/>
      </w:r>
      <w:r w:rsidR="00FC1D84">
        <w:t>36</w:t>
      </w:r>
      <w:r>
        <w:fldChar w:fldCharType="end"/>
      </w:r>
    </w:p>
    <w:p w:rsidR="006169FD" w:rsidRDefault="006169FD">
      <w:pPr>
        <w:pStyle w:val="TOC8"/>
        <w:rPr>
          <w:rFonts w:asciiTheme="minorHAnsi" w:eastAsiaTheme="minorEastAsia" w:hAnsiTheme="minorHAnsi" w:cstheme="minorBidi"/>
          <w:szCs w:val="22"/>
        </w:rPr>
      </w:pPr>
      <w:r>
        <w:t>23.</w:t>
      </w:r>
      <w:r>
        <w:tab/>
        <w:t>Springing order that case be put on Inactive Cases List</w:t>
      </w:r>
      <w:r>
        <w:tab/>
      </w:r>
      <w:r>
        <w:fldChar w:fldCharType="begin"/>
      </w:r>
      <w:r>
        <w:instrText xml:space="preserve"> PAGEREF _Toc75862775 \h </w:instrText>
      </w:r>
      <w:r>
        <w:fldChar w:fldCharType="separate"/>
      </w:r>
      <w:r w:rsidR="00FC1D84">
        <w:t>36</w:t>
      </w:r>
      <w:r>
        <w:fldChar w:fldCharType="end"/>
      </w:r>
    </w:p>
    <w:p w:rsidR="006169FD" w:rsidRDefault="006169FD">
      <w:pPr>
        <w:pStyle w:val="TOC8"/>
        <w:rPr>
          <w:rFonts w:asciiTheme="minorHAnsi" w:eastAsiaTheme="minorEastAsia" w:hAnsiTheme="minorHAnsi" w:cstheme="minorBidi"/>
          <w:szCs w:val="22"/>
        </w:rPr>
      </w:pPr>
      <w:r>
        <w:t>24.</w:t>
      </w:r>
      <w:r>
        <w:tab/>
        <w:t>Cases inactive for 12 months deemed inactive</w:t>
      </w:r>
      <w:r>
        <w:tab/>
      </w:r>
      <w:r>
        <w:fldChar w:fldCharType="begin"/>
      </w:r>
      <w:r>
        <w:instrText xml:space="preserve"> PAGEREF _Toc75862776 \h </w:instrText>
      </w:r>
      <w:r>
        <w:fldChar w:fldCharType="separate"/>
      </w:r>
      <w:r w:rsidR="00FC1D84">
        <w:t>37</w:t>
      </w:r>
      <w:r>
        <w:fldChar w:fldCharType="end"/>
      </w:r>
    </w:p>
    <w:p w:rsidR="006169FD" w:rsidRDefault="006169FD">
      <w:pPr>
        <w:pStyle w:val="TOC8"/>
        <w:rPr>
          <w:rFonts w:asciiTheme="minorHAnsi" w:eastAsiaTheme="minorEastAsia" w:hAnsiTheme="minorHAnsi" w:cstheme="minorBidi"/>
          <w:szCs w:val="22"/>
        </w:rPr>
      </w:pPr>
      <w:r>
        <w:t>25.</w:t>
      </w:r>
      <w:r>
        <w:tab/>
        <w:t>Parties to be notified of case being on Inactive Cases List</w:t>
      </w:r>
      <w:r>
        <w:tab/>
      </w:r>
      <w:r>
        <w:fldChar w:fldCharType="begin"/>
      </w:r>
      <w:r>
        <w:instrText xml:space="preserve"> PAGEREF _Toc75862777 \h </w:instrText>
      </w:r>
      <w:r>
        <w:fldChar w:fldCharType="separate"/>
      </w:r>
      <w:r w:rsidR="00FC1D84">
        <w:t>37</w:t>
      </w:r>
      <w:r>
        <w:fldChar w:fldCharType="end"/>
      </w:r>
    </w:p>
    <w:p w:rsidR="006169FD" w:rsidRDefault="006169FD">
      <w:pPr>
        <w:pStyle w:val="TOC8"/>
        <w:rPr>
          <w:rFonts w:asciiTheme="minorHAnsi" w:eastAsiaTheme="minorEastAsia" w:hAnsiTheme="minorHAnsi" w:cstheme="minorBidi"/>
          <w:szCs w:val="22"/>
        </w:rPr>
      </w:pPr>
      <w:r>
        <w:t>26.</w:t>
      </w:r>
      <w:r>
        <w:tab/>
        <w:t>Consequences of case being on Inactive Cases List</w:t>
      </w:r>
      <w:r>
        <w:tab/>
      </w:r>
      <w:r>
        <w:fldChar w:fldCharType="begin"/>
      </w:r>
      <w:r>
        <w:instrText xml:space="preserve"> PAGEREF _Toc75862778 \h </w:instrText>
      </w:r>
      <w:r>
        <w:fldChar w:fldCharType="separate"/>
      </w:r>
      <w:r w:rsidR="00FC1D84">
        <w:t>37</w:t>
      </w:r>
      <w:r>
        <w:fldChar w:fldCharType="end"/>
      </w:r>
    </w:p>
    <w:p w:rsidR="006169FD" w:rsidRDefault="006169FD">
      <w:pPr>
        <w:pStyle w:val="TOC8"/>
        <w:rPr>
          <w:rFonts w:asciiTheme="minorHAnsi" w:eastAsiaTheme="minorEastAsia" w:hAnsiTheme="minorHAnsi" w:cstheme="minorBidi"/>
          <w:szCs w:val="22"/>
        </w:rPr>
      </w:pPr>
      <w:r>
        <w:t>27.</w:t>
      </w:r>
      <w:r>
        <w:tab/>
        <w:t>Removing cases from Inactive Cases List</w:t>
      </w:r>
      <w:r>
        <w:tab/>
      </w:r>
      <w:r>
        <w:fldChar w:fldCharType="begin"/>
      </w:r>
      <w:r>
        <w:instrText xml:space="preserve"> PAGEREF _Toc75862779 \h </w:instrText>
      </w:r>
      <w:r>
        <w:fldChar w:fldCharType="separate"/>
      </w:r>
      <w:r w:rsidR="00FC1D84">
        <w:t>38</w:t>
      </w:r>
      <w:r>
        <w:fldChar w:fldCharType="end"/>
      </w:r>
    </w:p>
    <w:p w:rsidR="006169FD" w:rsidRDefault="006169FD">
      <w:pPr>
        <w:pStyle w:val="TOC8"/>
        <w:rPr>
          <w:rFonts w:asciiTheme="minorHAnsi" w:eastAsiaTheme="minorEastAsia" w:hAnsiTheme="minorHAnsi" w:cstheme="minorBidi"/>
          <w:szCs w:val="22"/>
        </w:rPr>
      </w:pPr>
      <w:r>
        <w:t>28.</w:t>
      </w:r>
      <w:r>
        <w:tab/>
        <w:t>Certain cases taken to have been dismissed</w:t>
      </w:r>
      <w:r>
        <w:tab/>
      </w:r>
      <w:r>
        <w:fldChar w:fldCharType="begin"/>
      </w:r>
      <w:r>
        <w:instrText xml:space="preserve"> PAGEREF _Toc75862780 \h </w:instrText>
      </w:r>
      <w:r>
        <w:fldChar w:fldCharType="separate"/>
      </w:r>
      <w:r w:rsidR="00FC1D84">
        <w:t>38</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4 — Mode of commencing proceedings: applications in pending proceedings</w:t>
      </w:r>
    </w:p>
    <w:p w:rsidR="006169FD" w:rsidRDefault="006169FD">
      <w:pPr>
        <w:pStyle w:val="TOC8"/>
        <w:rPr>
          <w:rFonts w:asciiTheme="minorHAnsi" w:eastAsiaTheme="minorEastAsia" w:hAnsiTheme="minorHAnsi" w:cstheme="minorBidi"/>
          <w:szCs w:val="22"/>
        </w:rPr>
      </w:pPr>
      <w:r>
        <w:t>1</w:t>
      </w:r>
      <w:r w:rsidRPr="00AA3DF9">
        <w:rPr>
          <w:snapToGrid w:val="0"/>
        </w:rPr>
        <w:t>.</w:t>
      </w:r>
      <w:r w:rsidRPr="00AA3DF9">
        <w:rPr>
          <w:snapToGrid w:val="0"/>
        </w:rPr>
        <w:tab/>
        <w:t>Commencing civil proceedings</w:t>
      </w:r>
      <w:r>
        <w:tab/>
      </w:r>
      <w:r>
        <w:fldChar w:fldCharType="begin"/>
      </w:r>
      <w:r>
        <w:instrText xml:space="preserve"> PAGEREF _Toc75862782 \h </w:instrText>
      </w:r>
      <w:r>
        <w:fldChar w:fldCharType="separate"/>
      </w:r>
      <w:r w:rsidR="00FC1D84">
        <w:t>40</w:t>
      </w:r>
      <w:r>
        <w:fldChar w:fldCharType="end"/>
      </w:r>
    </w:p>
    <w:p w:rsidR="006169FD" w:rsidRDefault="006169FD">
      <w:pPr>
        <w:pStyle w:val="TOC8"/>
        <w:rPr>
          <w:rFonts w:asciiTheme="minorHAnsi" w:eastAsiaTheme="minorEastAsia" w:hAnsiTheme="minorHAnsi" w:cstheme="minorBidi"/>
          <w:szCs w:val="22"/>
        </w:rPr>
      </w:pPr>
      <w:r>
        <w:t>2.</w:t>
      </w:r>
      <w:r>
        <w:tab/>
        <w:t>Applications in pending proceedings</w:t>
      </w:r>
      <w:r>
        <w:tab/>
      </w:r>
      <w:r>
        <w:fldChar w:fldCharType="begin"/>
      </w:r>
      <w:r>
        <w:instrText xml:space="preserve"> PAGEREF _Toc75862783 \h </w:instrText>
      </w:r>
      <w:r>
        <w:fldChar w:fldCharType="separate"/>
      </w:r>
      <w:r w:rsidR="00FC1D84">
        <w:t>40</w:t>
      </w:r>
      <w:r>
        <w:fldChar w:fldCharType="end"/>
      </w:r>
    </w:p>
    <w:p w:rsidR="006169FD" w:rsidRDefault="006169FD">
      <w:pPr>
        <w:pStyle w:val="TOC8"/>
        <w:rPr>
          <w:rFonts w:asciiTheme="minorHAnsi" w:eastAsiaTheme="minorEastAsia" w:hAnsiTheme="minorHAnsi" w:cstheme="minorBidi"/>
          <w:szCs w:val="22"/>
        </w:rPr>
      </w:pPr>
      <w:r>
        <w:t>3</w:t>
      </w:r>
      <w:r w:rsidRPr="00AA3DF9">
        <w:rPr>
          <w:snapToGrid w:val="0"/>
        </w:rPr>
        <w:t>.</w:t>
      </w:r>
      <w:r w:rsidRPr="00AA3DF9">
        <w:rPr>
          <w:snapToGrid w:val="0"/>
        </w:rPr>
        <w:tab/>
        <w:t>Individual may act in person or by solicitor; body corporate must act by solicitor</w:t>
      </w:r>
      <w:r>
        <w:tab/>
      </w:r>
      <w:r>
        <w:fldChar w:fldCharType="begin"/>
      </w:r>
      <w:r>
        <w:instrText xml:space="preserve"> PAGEREF _Toc75862784 \h </w:instrText>
      </w:r>
      <w:r>
        <w:fldChar w:fldCharType="separate"/>
      </w:r>
      <w:r w:rsidR="00FC1D84">
        <w:t>40</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4AA — Mortgage actions</w:t>
      </w:r>
    </w:p>
    <w:p w:rsidR="006169FD" w:rsidRDefault="006169FD">
      <w:pPr>
        <w:pStyle w:val="TOC8"/>
        <w:rPr>
          <w:rFonts w:asciiTheme="minorHAnsi" w:eastAsiaTheme="minorEastAsia" w:hAnsiTheme="minorHAnsi" w:cstheme="minorBidi"/>
          <w:szCs w:val="22"/>
        </w:rPr>
      </w:pPr>
      <w:r>
        <w:t>1.</w:t>
      </w:r>
      <w:r>
        <w:tab/>
        <w:t>Terms used</w:t>
      </w:r>
      <w:r>
        <w:tab/>
      </w:r>
      <w:r>
        <w:fldChar w:fldCharType="begin"/>
      </w:r>
      <w:r>
        <w:instrText xml:space="preserve"> PAGEREF _Toc75862786 \h </w:instrText>
      </w:r>
      <w:r>
        <w:fldChar w:fldCharType="separate"/>
      </w:r>
      <w:r w:rsidR="00FC1D84">
        <w:t>41</w:t>
      </w:r>
      <w:r>
        <w:fldChar w:fldCharType="end"/>
      </w:r>
    </w:p>
    <w:p w:rsidR="006169FD" w:rsidRDefault="006169FD">
      <w:pPr>
        <w:pStyle w:val="TOC8"/>
        <w:rPr>
          <w:rFonts w:asciiTheme="minorHAnsi" w:eastAsiaTheme="minorEastAsia" w:hAnsiTheme="minorHAnsi" w:cstheme="minorBidi"/>
          <w:szCs w:val="22"/>
        </w:rPr>
      </w:pPr>
      <w:r>
        <w:t>2.</w:t>
      </w:r>
      <w:r>
        <w:tab/>
        <w:t>Application</w:t>
      </w:r>
      <w:r>
        <w:tab/>
      </w:r>
      <w:r>
        <w:fldChar w:fldCharType="begin"/>
      </w:r>
      <w:r>
        <w:instrText xml:space="preserve"> PAGEREF _Toc75862787 \h </w:instrText>
      </w:r>
      <w:r>
        <w:fldChar w:fldCharType="separate"/>
      </w:r>
      <w:r w:rsidR="00FC1D84">
        <w:t>41</w:t>
      </w:r>
      <w:r>
        <w:fldChar w:fldCharType="end"/>
      </w:r>
    </w:p>
    <w:p w:rsidR="006169FD" w:rsidRDefault="006169FD">
      <w:pPr>
        <w:pStyle w:val="TOC8"/>
        <w:rPr>
          <w:rFonts w:asciiTheme="minorHAnsi" w:eastAsiaTheme="minorEastAsia" w:hAnsiTheme="minorHAnsi" w:cstheme="minorBidi"/>
          <w:szCs w:val="22"/>
        </w:rPr>
      </w:pPr>
      <w:r>
        <w:t>3.</w:t>
      </w:r>
      <w:r>
        <w:tab/>
        <w:t>Commencing mortgage actions</w:t>
      </w:r>
      <w:r>
        <w:tab/>
      </w:r>
      <w:r>
        <w:fldChar w:fldCharType="begin"/>
      </w:r>
      <w:r>
        <w:instrText xml:space="preserve"> PAGEREF _Toc75862788 \h </w:instrText>
      </w:r>
      <w:r>
        <w:fldChar w:fldCharType="separate"/>
      </w:r>
      <w:r w:rsidR="00FC1D84">
        <w:t>42</w:t>
      </w:r>
      <w:r>
        <w:fldChar w:fldCharType="end"/>
      </w:r>
    </w:p>
    <w:p w:rsidR="006169FD" w:rsidRDefault="006169FD">
      <w:pPr>
        <w:pStyle w:val="TOC8"/>
        <w:rPr>
          <w:rFonts w:asciiTheme="minorHAnsi" w:eastAsiaTheme="minorEastAsia" w:hAnsiTheme="minorHAnsi" w:cstheme="minorBidi"/>
          <w:szCs w:val="22"/>
        </w:rPr>
      </w:pPr>
      <w:r>
        <w:t>4.</w:t>
      </w:r>
      <w:r>
        <w:tab/>
        <w:t>Transitional provision for former Order 62A</w:t>
      </w:r>
      <w:r>
        <w:tab/>
      </w:r>
      <w:r>
        <w:fldChar w:fldCharType="begin"/>
      </w:r>
      <w:r>
        <w:instrText xml:space="preserve"> PAGEREF _Toc75862789 \h </w:instrText>
      </w:r>
      <w:r>
        <w:fldChar w:fldCharType="separate"/>
      </w:r>
      <w:r w:rsidR="00FC1D84">
        <w:t>42</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5 — Writs of summons</w:t>
      </w:r>
    </w:p>
    <w:p w:rsidR="006169FD" w:rsidRDefault="006169FD">
      <w:pPr>
        <w:pStyle w:val="TOC8"/>
        <w:rPr>
          <w:rFonts w:asciiTheme="minorHAnsi" w:eastAsiaTheme="minorEastAsia" w:hAnsiTheme="minorHAnsi" w:cstheme="minorBidi"/>
          <w:szCs w:val="22"/>
        </w:rPr>
      </w:pPr>
      <w:r>
        <w:t>1</w:t>
      </w:r>
      <w:r w:rsidRPr="00AA3DF9">
        <w:rPr>
          <w:snapToGrid w:val="0"/>
        </w:rPr>
        <w:t>.</w:t>
      </w:r>
      <w:r w:rsidRPr="00AA3DF9">
        <w:rPr>
          <w:snapToGrid w:val="0"/>
        </w:rPr>
        <w:tab/>
        <w:t>Form of writ</w:t>
      </w:r>
      <w:r>
        <w:tab/>
      </w:r>
      <w:r>
        <w:fldChar w:fldCharType="begin"/>
      </w:r>
      <w:r>
        <w:instrText xml:space="preserve"> PAGEREF _Toc75862791 \h </w:instrText>
      </w:r>
      <w:r>
        <w:fldChar w:fldCharType="separate"/>
      </w:r>
      <w:r w:rsidR="00FC1D84">
        <w:t>44</w:t>
      </w:r>
      <w:r>
        <w:fldChar w:fldCharType="end"/>
      </w:r>
    </w:p>
    <w:p w:rsidR="006169FD" w:rsidRDefault="006169FD">
      <w:pPr>
        <w:pStyle w:val="TOC8"/>
        <w:rPr>
          <w:rFonts w:asciiTheme="minorHAnsi" w:eastAsiaTheme="minorEastAsia" w:hAnsiTheme="minorHAnsi" w:cstheme="minorBidi"/>
          <w:szCs w:val="22"/>
        </w:rPr>
      </w:pPr>
      <w:r>
        <w:t>2.</w:t>
      </w:r>
      <w:r>
        <w:tab/>
        <w:t>Writ for service outside WA, form of</w:t>
      </w:r>
      <w:r>
        <w:tab/>
      </w:r>
      <w:r>
        <w:fldChar w:fldCharType="begin"/>
      </w:r>
      <w:r>
        <w:instrText xml:space="preserve"> PAGEREF _Toc75862792 \h </w:instrText>
      </w:r>
      <w:r>
        <w:fldChar w:fldCharType="separate"/>
      </w:r>
      <w:r w:rsidR="00FC1D84">
        <w:t>44</w:t>
      </w:r>
      <w:r>
        <w:fldChar w:fldCharType="end"/>
      </w:r>
    </w:p>
    <w:p w:rsidR="006169FD" w:rsidRDefault="006169FD">
      <w:pPr>
        <w:pStyle w:val="TOC8"/>
        <w:rPr>
          <w:rFonts w:asciiTheme="minorHAnsi" w:eastAsiaTheme="minorEastAsia" w:hAnsiTheme="minorHAnsi" w:cstheme="minorBidi"/>
          <w:szCs w:val="22"/>
        </w:rPr>
      </w:pPr>
      <w:r>
        <w:t>3</w:t>
      </w:r>
      <w:r w:rsidRPr="00AA3DF9">
        <w:rPr>
          <w:snapToGrid w:val="0"/>
        </w:rPr>
        <w:t>.</w:t>
      </w:r>
      <w:r w:rsidRPr="00AA3DF9">
        <w:rPr>
          <w:snapToGrid w:val="0"/>
        </w:rPr>
        <w:tab/>
        <w:t>Place of trial to be shown</w:t>
      </w:r>
      <w:r>
        <w:tab/>
      </w:r>
      <w:r>
        <w:fldChar w:fldCharType="begin"/>
      </w:r>
      <w:r>
        <w:instrText xml:space="preserve"> PAGEREF _Toc75862793 \h </w:instrText>
      </w:r>
      <w:r>
        <w:fldChar w:fldCharType="separate"/>
      </w:r>
      <w:r w:rsidR="00FC1D84">
        <w:t>44</w:t>
      </w:r>
      <w:r>
        <w:fldChar w:fldCharType="end"/>
      </w:r>
    </w:p>
    <w:p w:rsidR="006169FD" w:rsidRDefault="006169FD">
      <w:pPr>
        <w:pStyle w:val="TOC8"/>
        <w:rPr>
          <w:rFonts w:asciiTheme="minorHAnsi" w:eastAsiaTheme="minorEastAsia" w:hAnsiTheme="minorHAnsi" w:cstheme="minorBidi"/>
          <w:szCs w:val="22"/>
        </w:rPr>
      </w:pPr>
      <w:r>
        <w:t>4</w:t>
      </w:r>
      <w:r w:rsidRPr="00AA3DF9">
        <w:rPr>
          <w:snapToGrid w:val="0"/>
        </w:rPr>
        <w:t>.</w:t>
      </w:r>
      <w:r w:rsidRPr="00AA3DF9">
        <w:rPr>
          <w:snapToGrid w:val="0"/>
        </w:rPr>
        <w:tab/>
        <w:t>Place of issue</w:t>
      </w:r>
      <w:r>
        <w:tab/>
      </w:r>
      <w:r>
        <w:fldChar w:fldCharType="begin"/>
      </w:r>
      <w:r>
        <w:instrText xml:space="preserve"> PAGEREF _Toc75862794 \h </w:instrText>
      </w:r>
      <w:r>
        <w:fldChar w:fldCharType="separate"/>
      </w:r>
      <w:r w:rsidR="00FC1D84">
        <w:t>44</w:t>
      </w:r>
      <w:r>
        <w:fldChar w:fldCharType="end"/>
      </w:r>
    </w:p>
    <w:p w:rsidR="006169FD" w:rsidRDefault="006169FD">
      <w:pPr>
        <w:pStyle w:val="TOC8"/>
        <w:rPr>
          <w:rFonts w:asciiTheme="minorHAnsi" w:eastAsiaTheme="minorEastAsia" w:hAnsiTheme="minorHAnsi" w:cstheme="minorBidi"/>
          <w:szCs w:val="22"/>
        </w:rPr>
      </w:pPr>
      <w:r>
        <w:t>5</w:t>
      </w:r>
      <w:r w:rsidRPr="00AA3DF9">
        <w:rPr>
          <w:snapToGrid w:val="0"/>
        </w:rPr>
        <w:t>.</w:t>
      </w:r>
      <w:r w:rsidRPr="00AA3DF9">
        <w:rPr>
          <w:snapToGrid w:val="0"/>
        </w:rPr>
        <w:tab/>
        <w:t>Preparation of writ</w:t>
      </w:r>
      <w:r>
        <w:tab/>
      </w:r>
      <w:r>
        <w:fldChar w:fldCharType="begin"/>
      </w:r>
      <w:r>
        <w:instrText xml:space="preserve"> PAGEREF _Toc75862795 \h </w:instrText>
      </w:r>
      <w:r>
        <w:fldChar w:fldCharType="separate"/>
      </w:r>
      <w:r w:rsidR="00FC1D84">
        <w:t>44</w:t>
      </w:r>
      <w:r>
        <w:fldChar w:fldCharType="end"/>
      </w:r>
    </w:p>
    <w:p w:rsidR="006169FD" w:rsidRDefault="006169FD">
      <w:pPr>
        <w:pStyle w:val="TOC8"/>
        <w:rPr>
          <w:rFonts w:asciiTheme="minorHAnsi" w:eastAsiaTheme="minorEastAsia" w:hAnsiTheme="minorHAnsi" w:cstheme="minorBidi"/>
          <w:szCs w:val="22"/>
        </w:rPr>
      </w:pPr>
      <w:r>
        <w:t>6</w:t>
      </w:r>
      <w:r w:rsidRPr="00AA3DF9">
        <w:rPr>
          <w:snapToGrid w:val="0"/>
        </w:rPr>
        <w:t>.</w:t>
      </w:r>
      <w:r w:rsidRPr="00AA3DF9">
        <w:rPr>
          <w:snapToGrid w:val="0"/>
        </w:rPr>
        <w:tab/>
        <w:t>Sealing of writ</w:t>
      </w:r>
      <w:r>
        <w:tab/>
      </w:r>
      <w:r>
        <w:fldChar w:fldCharType="begin"/>
      </w:r>
      <w:r>
        <w:instrText xml:space="preserve"> PAGEREF _Toc75862796 \h </w:instrText>
      </w:r>
      <w:r>
        <w:fldChar w:fldCharType="separate"/>
      </w:r>
      <w:r w:rsidR="00FC1D84">
        <w:t>44</w:t>
      </w:r>
      <w:r>
        <w:fldChar w:fldCharType="end"/>
      </w:r>
    </w:p>
    <w:p w:rsidR="006169FD" w:rsidRDefault="006169FD">
      <w:pPr>
        <w:pStyle w:val="TOC8"/>
        <w:rPr>
          <w:rFonts w:asciiTheme="minorHAnsi" w:eastAsiaTheme="minorEastAsia" w:hAnsiTheme="minorHAnsi" w:cstheme="minorBidi"/>
          <w:szCs w:val="22"/>
        </w:rPr>
      </w:pPr>
      <w:r>
        <w:t>7</w:t>
      </w:r>
      <w:r w:rsidRPr="00AA3DF9">
        <w:rPr>
          <w:snapToGrid w:val="0"/>
        </w:rPr>
        <w:t>.</w:t>
      </w:r>
      <w:r w:rsidRPr="00AA3DF9">
        <w:rPr>
          <w:snapToGrid w:val="0"/>
        </w:rPr>
        <w:tab/>
        <w:t>Copy to be left with officer</w:t>
      </w:r>
      <w:r>
        <w:tab/>
      </w:r>
      <w:r>
        <w:fldChar w:fldCharType="begin"/>
      </w:r>
      <w:r>
        <w:instrText xml:space="preserve"> PAGEREF _Toc75862797 \h </w:instrText>
      </w:r>
      <w:r>
        <w:fldChar w:fldCharType="separate"/>
      </w:r>
      <w:r w:rsidR="00FC1D84">
        <w:t>44</w:t>
      </w:r>
      <w:r>
        <w:fldChar w:fldCharType="end"/>
      </w:r>
    </w:p>
    <w:p w:rsidR="006169FD" w:rsidRDefault="006169FD">
      <w:pPr>
        <w:pStyle w:val="TOC8"/>
        <w:rPr>
          <w:rFonts w:asciiTheme="minorHAnsi" w:eastAsiaTheme="minorEastAsia" w:hAnsiTheme="minorHAnsi" w:cstheme="minorBidi"/>
          <w:szCs w:val="22"/>
        </w:rPr>
      </w:pPr>
      <w:r>
        <w:t>8.</w:t>
      </w:r>
      <w:r>
        <w:tab/>
        <w:t>Writ to be recorded when issued</w:t>
      </w:r>
      <w:r>
        <w:tab/>
      </w:r>
      <w:r>
        <w:fldChar w:fldCharType="begin"/>
      </w:r>
      <w:r>
        <w:instrText xml:space="preserve"> PAGEREF _Toc75862798 \h </w:instrText>
      </w:r>
      <w:r>
        <w:fldChar w:fldCharType="separate"/>
      </w:r>
      <w:r w:rsidR="00FC1D84">
        <w:t>45</w:t>
      </w:r>
      <w:r>
        <w:fldChar w:fldCharType="end"/>
      </w:r>
    </w:p>
    <w:p w:rsidR="006169FD" w:rsidRDefault="006169FD">
      <w:pPr>
        <w:pStyle w:val="TOC8"/>
        <w:rPr>
          <w:rFonts w:asciiTheme="minorHAnsi" w:eastAsiaTheme="minorEastAsia" w:hAnsiTheme="minorHAnsi" w:cstheme="minorBidi"/>
          <w:szCs w:val="22"/>
        </w:rPr>
      </w:pPr>
      <w:r>
        <w:t>9.</w:t>
      </w:r>
      <w:r>
        <w:tab/>
        <w:t>Writ for service outside Australia, leave to issue needed</w:t>
      </w:r>
      <w:r>
        <w:tab/>
      </w:r>
      <w:r>
        <w:fldChar w:fldCharType="begin"/>
      </w:r>
      <w:r>
        <w:instrText xml:space="preserve"> PAGEREF _Toc75862799 \h </w:instrText>
      </w:r>
      <w:r>
        <w:fldChar w:fldCharType="separate"/>
      </w:r>
      <w:r w:rsidR="00FC1D84">
        <w:t>45</w:t>
      </w:r>
      <w:r>
        <w:fldChar w:fldCharType="end"/>
      </w:r>
    </w:p>
    <w:p w:rsidR="006169FD" w:rsidRDefault="006169FD">
      <w:pPr>
        <w:pStyle w:val="TOC8"/>
        <w:rPr>
          <w:rFonts w:asciiTheme="minorHAnsi" w:eastAsiaTheme="minorEastAsia" w:hAnsiTheme="minorHAnsi" w:cstheme="minorBidi"/>
          <w:szCs w:val="22"/>
        </w:rPr>
      </w:pPr>
      <w:r>
        <w:t>10</w:t>
      </w:r>
      <w:r w:rsidRPr="00AA3DF9">
        <w:rPr>
          <w:snapToGrid w:val="0"/>
        </w:rPr>
        <w:t>.</w:t>
      </w:r>
      <w:r w:rsidRPr="00AA3DF9">
        <w:rPr>
          <w:snapToGrid w:val="0"/>
        </w:rPr>
        <w:tab/>
        <w:t>All writs to be in name of Chief Justice or Senior Puisne Judge</w:t>
      </w:r>
      <w:r>
        <w:tab/>
      </w:r>
      <w:r>
        <w:fldChar w:fldCharType="begin"/>
      </w:r>
      <w:r>
        <w:instrText xml:space="preserve"> PAGEREF _Toc75862800 \h </w:instrText>
      </w:r>
      <w:r>
        <w:fldChar w:fldCharType="separate"/>
      </w:r>
      <w:r w:rsidR="00FC1D84">
        <w:t>45</w:t>
      </w:r>
      <w:r>
        <w:fldChar w:fldCharType="end"/>
      </w:r>
    </w:p>
    <w:p w:rsidR="006169FD" w:rsidRDefault="006169FD">
      <w:pPr>
        <w:pStyle w:val="TOC8"/>
        <w:rPr>
          <w:rFonts w:asciiTheme="minorHAnsi" w:eastAsiaTheme="minorEastAsia" w:hAnsiTheme="minorHAnsi" w:cstheme="minorBidi"/>
          <w:szCs w:val="22"/>
        </w:rPr>
      </w:pPr>
      <w:r>
        <w:t>11</w:t>
      </w:r>
      <w:r w:rsidRPr="00AA3DF9">
        <w:rPr>
          <w:snapToGrid w:val="0"/>
        </w:rPr>
        <w:t>.</w:t>
      </w:r>
      <w:r w:rsidRPr="00AA3DF9">
        <w:rPr>
          <w:snapToGrid w:val="0"/>
        </w:rPr>
        <w:tab/>
        <w:t>Time for appearance to be stated in writ</w:t>
      </w:r>
      <w:r>
        <w:tab/>
      </w:r>
      <w:r>
        <w:fldChar w:fldCharType="begin"/>
      </w:r>
      <w:r>
        <w:instrText xml:space="preserve"> PAGEREF _Toc75862801 \h </w:instrText>
      </w:r>
      <w:r>
        <w:fldChar w:fldCharType="separate"/>
      </w:r>
      <w:r w:rsidR="00FC1D84">
        <w:t>45</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lastRenderedPageBreak/>
        <w:t>Order 6 — Indorsement of claim: other indorsements</w:t>
      </w:r>
    </w:p>
    <w:p w:rsidR="006169FD" w:rsidRDefault="006169FD">
      <w:pPr>
        <w:pStyle w:val="TOC8"/>
        <w:rPr>
          <w:rFonts w:asciiTheme="minorHAnsi" w:eastAsiaTheme="minorEastAsia" w:hAnsiTheme="minorHAnsi" w:cstheme="minorBidi"/>
          <w:szCs w:val="22"/>
        </w:rPr>
      </w:pPr>
      <w:r>
        <w:t>1</w:t>
      </w:r>
      <w:r w:rsidRPr="00AA3DF9">
        <w:rPr>
          <w:snapToGrid w:val="0"/>
        </w:rPr>
        <w:t>.</w:t>
      </w:r>
      <w:r w:rsidRPr="00AA3DF9">
        <w:rPr>
          <w:snapToGrid w:val="0"/>
        </w:rPr>
        <w:tab/>
        <w:t>Nature of claim etc. to be indorsed on writ</w:t>
      </w:r>
      <w:r>
        <w:tab/>
      </w:r>
      <w:r>
        <w:fldChar w:fldCharType="begin"/>
      </w:r>
      <w:r>
        <w:instrText xml:space="preserve"> PAGEREF _Toc75862803 \h </w:instrText>
      </w:r>
      <w:r>
        <w:fldChar w:fldCharType="separate"/>
      </w:r>
      <w:r w:rsidR="00FC1D84">
        <w:t>47</w:t>
      </w:r>
      <w:r>
        <w:fldChar w:fldCharType="end"/>
      </w:r>
    </w:p>
    <w:p w:rsidR="006169FD" w:rsidRDefault="006169FD">
      <w:pPr>
        <w:pStyle w:val="TOC8"/>
        <w:rPr>
          <w:rFonts w:asciiTheme="minorHAnsi" w:eastAsiaTheme="minorEastAsia" w:hAnsiTheme="minorHAnsi" w:cstheme="minorBidi"/>
          <w:szCs w:val="22"/>
        </w:rPr>
      </w:pPr>
      <w:r>
        <w:t>2</w:t>
      </w:r>
      <w:r w:rsidRPr="00AA3DF9">
        <w:rPr>
          <w:snapToGrid w:val="0"/>
        </w:rPr>
        <w:t>.</w:t>
      </w:r>
      <w:r w:rsidRPr="00AA3DF9">
        <w:rPr>
          <w:snapToGrid w:val="0"/>
        </w:rPr>
        <w:tab/>
        <w:t>Action for defamation by publication</w:t>
      </w:r>
      <w:r>
        <w:tab/>
      </w:r>
      <w:r>
        <w:fldChar w:fldCharType="begin"/>
      </w:r>
      <w:r>
        <w:instrText xml:space="preserve"> PAGEREF _Toc75862804 \h </w:instrText>
      </w:r>
      <w:r>
        <w:fldChar w:fldCharType="separate"/>
      </w:r>
      <w:r w:rsidR="00FC1D84">
        <w:t>47</w:t>
      </w:r>
      <w:r>
        <w:fldChar w:fldCharType="end"/>
      </w:r>
    </w:p>
    <w:p w:rsidR="006169FD" w:rsidRDefault="006169FD">
      <w:pPr>
        <w:pStyle w:val="TOC8"/>
        <w:rPr>
          <w:rFonts w:asciiTheme="minorHAnsi" w:eastAsiaTheme="minorEastAsia" w:hAnsiTheme="minorHAnsi" w:cstheme="minorBidi"/>
          <w:szCs w:val="22"/>
        </w:rPr>
      </w:pPr>
      <w:r>
        <w:t>3</w:t>
      </w:r>
      <w:r w:rsidRPr="00AA3DF9">
        <w:rPr>
          <w:snapToGrid w:val="0"/>
        </w:rPr>
        <w:t>.</w:t>
      </w:r>
      <w:r w:rsidRPr="00AA3DF9">
        <w:rPr>
          <w:snapToGrid w:val="0"/>
        </w:rPr>
        <w:tab/>
        <w:t>Statement of claim may be indorsed on writ in some actions</w:t>
      </w:r>
      <w:r>
        <w:tab/>
      </w:r>
      <w:r>
        <w:fldChar w:fldCharType="begin"/>
      </w:r>
      <w:r>
        <w:instrText xml:space="preserve"> PAGEREF _Toc75862805 \h </w:instrText>
      </w:r>
      <w:r>
        <w:fldChar w:fldCharType="separate"/>
      </w:r>
      <w:r w:rsidR="00FC1D84">
        <w:t>47</w:t>
      </w:r>
      <w:r>
        <w:fldChar w:fldCharType="end"/>
      </w:r>
    </w:p>
    <w:p w:rsidR="006169FD" w:rsidRDefault="006169FD">
      <w:pPr>
        <w:pStyle w:val="TOC8"/>
        <w:rPr>
          <w:rFonts w:asciiTheme="minorHAnsi" w:eastAsiaTheme="minorEastAsia" w:hAnsiTheme="minorHAnsi" w:cstheme="minorBidi"/>
          <w:szCs w:val="22"/>
        </w:rPr>
      </w:pPr>
      <w:r>
        <w:t>4</w:t>
      </w:r>
      <w:r w:rsidRPr="00AA3DF9">
        <w:rPr>
          <w:snapToGrid w:val="0"/>
        </w:rPr>
        <w:t>.</w:t>
      </w:r>
      <w:r w:rsidRPr="00AA3DF9">
        <w:rPr>
          <w:snapToGrid w:val="0"/>
        </w:rPr>
        <w:tab/>
        <w:t>Claim for liquidated demand, indorsements required for, costs etc.</w:t>
      </w:r>
      <w:r>
        <w:tab/>
      </w:r>
      <w:r>
        <w:fldChar w:fldCharType="begin"/>
      </w:r>
      <w:r>
        <w:instrText xml:space="preserve"> PAGEREF _Toc75862806 \h </w:instrText>
      </w:r>
      <w:r>
        <w:fldChar w:fldCharType="separate"/>
      </w:r>
      <w:r w:rsidR="00FC1D84">
        <w:t>47</w:t>
      </w:r>
      <w:r>
        <w:fldChar w:fldCharType="end"/>
      </w:r>
    </w:p>
    <w:p w:rsidR="006169FD" w:rsidRDefault="006169FD">
      <w:pPr>
        <w:pStyle w:val="TOC8"/>
        <w:rPr>
          <w:rFonts w:asciiTheme="minorHAnsi" w:eastAsiaTheme="minorEastAsia" w:hAnsiTheme="minorHAnsi" w:cstheme="minorBidi"/>
          <w:szCs w:val="22"/>
        </w:rPr>
      </w:pPr>
      <w:r>
        <w:t>5</w:t>
      </w:r>
      <w:r w:rsidRPr="00AA3DF9">
        <w:rPr>
          <w:snapToGrid w:val="0"/>
        </w:rPr>
        <w:t>.</w:t>
      </w:r>
      <w:r w:rsidRPr="00AA3DF9">
        <w:rPr>
          <w:snapToGrid w:val="0"/>
        </w:rPr>
        <w:tab/>
        <w:t>Representative character</w:t>
      </w:r>
      <w:r>
        <w:tab/>
      </w:r>
      <w:r>
        <w:fldChar w:fldCharType="begin"/>
      </w:r>
      <w:r>
        <w:instrText xml:space="preserve"> PAGEREF _Toc75862807 \h </w:instrText>
      </w:r>
      <w:r>
        <w:fldChar w:fldCharType="separate"/>
      </w:r>
      <w:r w:rsidR="00FC1D84">
        <w:t>48</w:t>
      </w:r>
      <w:r>
        <w:fldChar w:fldCharType="end"/>
      </w:r>
    </w:p>
    <w:p w:rsidR="006169FD" w:rsidRDefault="006169FD">
      <w:pPr>
        <w:pStyle w:val="TOC8"/>
        <w:rPr>
          <w:rFonts w:asciiTheme="minorHAnsi" w:eastAsiaTheme="minorEastAsia" w:hAnsiTheme="minorHAnsi" w:cstheme="minorBidi"/>
          <w:szCs w:val="22"/>
        </w:rPr>
      </w:pPr>
      <w:r>
        <w:t>6</w:t>
      </w:r>
      <w:r w:rsidRPr="00AA3DF9">
        <w:rPr>
          <w:snapToGrid w:val="0"/>
        </w:rPr>
        <w:t>.</w:t>
      </w:r>
      <w:r w:rsidRPr="00AA3DF9">
        <w:rPr>
          <w:snapToGrid w:val="0"/>
        </w:rPr>
        <w:tab/>
        <w:t>Claim for account</w:t>
      </w:r>
      <w:r>
        <w:tab/>
      </w:r>
      <w:r>
        <w:fldChar w:fldCharType="begin"/>
      </w:r>
      <w:r>
        <w:instrText xml:space="preserve"> PAGEREF _Toc75862808 \h </w:instrText>
      </w:r>
      <w:r>
        <w:fldChar w:fldCharType="separate"/>
      </w:r>
      <w:r w:rsidR="00FC1D84">
        <w:t>48</w:t>
      </w:r>
      <w:r>
        <w:fldChar w:fldCharType="end"/>
      </w:r>
    </w:p>
    <w:p w:rsidR="006169FD" w:rsidRDefault="006169FD">
      <w:pPr>
        <w:pStyle w:val="TOC8"/>
        <w:rPr>
          <w:rFonts w:asciiTheme="minorHAnsi" w:eastAsiaTheme="minorEastAsia" w:hAnsiTheme="minorHAnsi" w:cstheme="minorBidi"/>
          <w:szCs w:val="22"/>
        </w:rPr>
      </w:pPr>
      <w:r>
        <w:t>7.</w:t>
      </w:r>
      <w:r>
        <w:tab/>
        <w:t>Writ etc. to state contact details</w:t>
      </w:r>
      <w:r>
        <w:tab/>
      </w:r>
      <w:r>
        <w:fldChar w:fldCharType="begin"/>
      </w:r>
      <w:r>
        <w:instrText xml:space="preserve"> PAGEREF _Toc75862809 \h </w:instrText>
      </w:r>
      <w:r>
        <w:fldChar w:fldCharType="separate"/>
      </w:r>
      <w:r w:rsidR="00FC1D84">
        <w:t>48</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7 — Duration and renewal of writ: concurrent writs</w:t>
      </w:r>
    </w:p>
    <w:p w:rsidR="006169FD" w:rsidRDefault="006169FD">
      <w:pPr>
        <w:pStyle w:val="TOC8"/>
        <w:rPr>
          <w:rFonts w:asciiTheme="minorHAnsi" w:eastAsiaTheme="minorEastAsia" w:hAnsiTheme="minorHAnsi" w:cstheme="minorBidi"/>
          <w:szCs w:val="22"/>
        </w:rPr>
      </w:pPr>
      <w:r>
        <w:t>1</w:t>
      </w:r>
      <w:r w:rsidRPr="00AA3DF9">
        <w:rPr>
          <w:snapToGrid w:val="0"/>
        </w:rPr>
        <w:t>.</w:t>
      </w:r>
      <w:r w:rsidRPr="00AA3DF9">
        <w:rPr>
          <w:snapToGrid w:val="0"/>
        </w:rPr>
        <w:tab/>
        <w:t>Duration and renewal of writ</w:t>
      </w:r>
      <w:r>
        <w:tab/>
      </w:r>
      <w:r>
        <w:fldChar w:fldCharType="begin"/>
      </w:r>
      <w:r>
        <w:instrText xml:space="preserve"> PAGEREF _Toc75862811 \h </w:instrText>
      </w:r>
      <w:r>
        <w:fldChar w:fldCharType="separate"/>
      </w:r>
      <w:r w:rsidR="00FC1D84">
        <w:t>49</w:t>
      </w:r>
      <w:r>
        <w:fldChar w:fldCharType="end"/>
      </w:r>
    </w:p>
    <w:p w:rsidR="006169FD" w:rsidRDefault="006169FD">
      <w:pPr>
        <w:pStyle w:val="TOC8"/>
        <w:rPr>
          <w:rFonts w:asciiTheme="minorHAnsi" w:eastAsiaTheme="minorEastAsia" w:hAnsiTheme="minorHAnsi" w:cstheme="minorBidi"/>
          <w:szCs w:val="22"/>
        </w:rPr>
      </w:pPr>
      <w:r>
        <w:t>2</w:t>
      </w:r>
      <w:r w:rsidRPr="00AA3DF9">
        <w:rPr>
          <w:snapToGrid w:val="0"/>
        </w:rPr>
        <w:t>.</w:t>
      </w:r>
      <w:r w:rsidRPr="00AA3DF9">
        <w:rPr>
          <w:snapToGrid w:val="0"/>
        </w:rPr>
        <w:tab/>
        <w:t>Proof of extension of validity of writ</w:t>
      </w:r>
      <w:r>
        <w:tab/>
      </w:r>
      <w:r>
        <w:fldChar w:fldCharType="begin"/>
      </w:r>
      <w:r>
        <w:instrText xml:space="preserve"> PAGEREF _Toc75862812 \h </w:instrText>
      </w:r>
      <w:r>
        <w:fldChar w:fldCharType="separate"/>
      </w:r>
      <w:r w:rsidR="00FC1D84">
        <w:t>49</w:t>
      </w:r>
      <w:r>
        <w:fldChar w:fldCharType="end"/>
      </w:r>
    </w:p>
    <w:p w:rsidR="006169FD" w:rsidRDefault="006169FD">
      <w:pPr>
        <w:pStyle w:val="TOC8"/>
        <w:rPr>
          <w:rFonts w:asciiTheme="minorHAnsi" w:eastAsiaTheme="minorEastAsia" w:hAnsiTheme="minorHAnsi" w:cstheme="minorBidi"/>
          <w:szCs w:val="22"/>
        </w:rPr>
      </w:pPr>
      <w:r>
        <w:t>3</w:t>
      </w:r>
      <w:r w:rsidRPr="00AA3DF9">
        <w:rPr>
          <w:snapToGrid w:val="0"/>
        </w:rPr>
        <w:t>.</w:t>
      </w:r>
      <w:r w:rsidRPr="00AA3DF9">
        <w:rPr>
          <w:snapToGrid w:val="0"/>
        </w:rPr>
        <w:tab/>
        <w:t>Concurrent writs</w:t>
      </w:r>
      <w:r>
        <w:tab/>
      </w:r>
      <w:r>
        <w:fldChar w:fldCharType="begin"/>
      </w:r>
      <w:r>
        <w:instrText xml:space="preserve"> PAGEREF _Toc75862813 \h </w:instrText>
      </w:r>
      <w:r>
        <w:fldChar w:fldCharType="separate"/>
      </w:r>
      <w:r w:rsidR="00FC1D84">
        <w:t>50</w:t>
      </w:r>
      <w:r>
        <w:fldChar w:fldCharType="end"/>
      </w:r>
    </w:p>
    <w:p w:rsidR="006169FD" w:rsidRDefault="006169FD">
      <w:pPr>
        <w:pStyle w:val="TOC8"/>
        <w:rPr>
          <w:rFonts w:asciiTheme="minorHAnsi" w:eastAsiaTheme="minorEastAsia" w:hAnsiTheme="minorHAnsi" w:cstheme="minorBidi"/>
          <w:szCs w:val="22"/>
        </w:rPr>
      </w:pPr>
      <w:r>
        <w:t>4</w:t>
      </w:r>
      <w:r w:rsidRPr="00AA3DF9">
        <w:rPr>
          <w:snapToGrid w:val="0"/>
        </w:rPr>
        <w:t>.</w:t>
      </w:r>
      <w:r w:rsidRPr="00AA3DF9">
        <w:rPr>
          <w:snapToGrid w:val="0"/>
        </w:rPr>
        <w:tab/>
        <w:t>Unserved writs may be struck out</w:t>
      </w:r>
      <w:r>
        <w:tab/>
      </w:r>
      <w:r>
        <w:fldChar w:fldCharType="begin"/>
      </w:r>
      <w:r>
        <w:instrText xml:space="preserve"> PAGEREF _Toc75862814 \h </w:instrText>
      </w:r>
      <w:r>
        <w:fldChar w:fldCharType="separate"/>
      </w:r>
      <w:r w:rsidR="00FC1D84">
        <w:t>51</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8 — Disclosure by solicitors: change of solicitors</w:t>
      </w:r>
    </w:p>
    <w:p w:rsidR="006169FD" w:rsidRDefault="006169FD">
      <w:pPr>
        <w:pStyle w:val="TOC8"/>
        <w:rPr>
          <w:rFonts w:asciiTheme="minorHAnsi" w:eastAsiaTheme="minorEastAsia" w:hAnsiTheme="minorHAnsi" w:cstheme="minorBidi"/>
          <w:szCs w:val="22"/>
        </w:rPr>
      </w:pPr>
      <w:r>
        <w:t>1</w:t>
      </w:r>
      <w:r w:rsidRPr="00AA3DF9">
        <w:rPr>
          <w:snapToGrid w:val="0"/>
        </w:rPr>
        <w:t>.</w:t>
      </w:r>
      <w:r w:rsidRPr="00AA3DF9">
        <w:rPr>
          <w:snapToGrid w:val="0"/>
        </w:rPr>
        <w:tab/>
        <w:t>Solicitor to declare, if required to, whether writ issued by him</w:t>
      </w:r>
      <w:r>
        <w:tab/>
      </w:r>
      <w:r>
        <w:fldChar w:fldCharType="begin"/>
      </w:r>
      <w:r>
        <w:instrText xml:space="preserve"> PAGEREF _Toc75862816 \h </w:instrText>
      </w:r>
      <w:r>
        <w:fldChar w:fldCharType="separate"/>
      </w:r>
      <w:r w:rsidR="00FC1D84">
        <w:t>52</w:t>
      </w:r>
      <w:r>
        <w:fldChar w:fldCharType="end"/>
      </w:r>
    </w:p>
    <w:p w:rsidR="006169FD" w:rsidRDefault="006169FD">
      <w:pPr>
        <w:pStyle w:val="TOC8"/>
        <w:rPr>
          <w:rFonts w:asciiTheme="minorHAnsi" w:eastAsiaTheme="minorEastAsia" w:hAnsiTheme="minorHAnsi" w:cstheme="minorBidi"/>
          <w:szCs w:val="22"/>
        </w:rPr>
      </w:pPr>
      <w:r>
        <w:t>2</w:t>
      </w:r>
      <w:r w:rsidRPr="00AA3DF9">
        <w:rPr>
          <w:snapToGrid w:val="0"/>
        </w:rPr>
        <w:t>.</w:t>
      </w:r>
      <w:r w:rsidRPr="00AA3DF9">
        <w:rPr>
          <w:snapToGrid w:val="0"/>
        </w:rPr>
        <w:tab/>
        <w:t>Change of solicitor</w:t>
      </w:r>
      <w:r>
        <w:tab/>
      </w:r>
      <w:r>
        <w:fldChar w:fldCharType="begin"/>
      </w:r>
      <w:r>
        <w:instrText xml:space="preserve"> PAGEREF _Toc75862817 \h </w:instrText>
      </w:r>
      <w:r>
        <w:fldChar w:fldCharType="separate"/>
      </w:r>
      <w:r w:rsidR="00FC1D84">
        <w:t>52</w:t>
      </w:r>
      <w:r>
        <w:fldChar w:fldCharType="end"/>
      </w:r>
    </w:p>
    <w:p w:rsidR="006169FD" w:rsidRDefault="006169FD">
      <w:pPr>
        <w:pStyle w:val="TOC8"/>
        <w:rPr>
          <w:rFonts w:asciiTheme="minorHAnsi" w:eastAsiaTheme="minorEastAsia" w:hAnsiTheme="minorHAnsi" w:cstheme="minorBidi"/>
          <w:szCs w:val="22"/>
        </w:rPr>
      </w:pPr>
      <w:r>
        <w:t>4</w:t>
      </w:r>
      <w:r w:rsidRPr="00AA3DF9">
        <w:rPr>
          <w:snapToGrid w:val="0"/>
        </w:rPr>
        <w:t>.</w:t>
      </w:r>
      <w:r w:rsidRPr="00AA3DF9">
        <w:rPr>
          <w:snapToGrid w:val="0"/>
        </w:rPr>
        <w:tab/>
        <w:t>Appointment of solicitor by self-represented person</w:t>
      </w:r>
      <w:r>
        <w:tab/>
      </w:r>
      <w:r>
        <w:fldChar w:fldCharType="begin"/>
      </w:r>
      <w:r>
        <w:instrText xml:space="preserve"> PAGEREF _Toc75862818 \h </w:instrText>
      </w:r>
      <w:r>
        <w:fldChar w:fldCharType="separate"/>
      </w:r>
      <w:r w:rsidR="00FC1D84">
        <w:t>53</w:t>
      </w:r>
      <w:r>
        <w:fldChar w:fldCharType="end"/>
      </w:r>
    </w:p>
    <w:p w:rsidR="006169FD" w:rsidRDefault="006169FD">
      <w:pPr>
        <w:pStyle w:val="TOC8"/>
        <w:rPr>
          <w:rFonts w:asciiTheme="minorHAnsi" w:eastAsiaTheme="minorEastAsia" w:hAnsiTheme="minorHAnsi" w:cstheme="minorBidi"/>
          <w:szCs w:val="22"/>
        </w:rPr>
      </w:pPr>
      <w:r>
        <w:t>5</w:t>
      </w:r>
      <w:r w:rsidRPr="00AA3DF9">
        <w:rPr>
          <w:snapToGrid w:val="0"/>
        </w:rPr>
        <w:t>.</w:t>
      </w:r>
      <w:r w:rsidRPr="00AA3DF9">
        <w:rPr>
          <w:snapToGrid w:val="0"/>
        </w:rPr>
        <w:tab/>
        <w:t>Intention to act in person, notice of</w:t>
      </w:r>
      <w:r>
        <w:tab/>
      </w:r>
      <w:r>
        <w:fldChar w:fldCharType="begin"/>
      </w:r>
      <w:r>
        <w:instrText xml:space="preserve"> PAGEREF _Toc75862819 \h </w:instrText>
      </w:r>
      <w:r>
        <w:fldChar w:fldCharType="separate"/>
      </w:r>
      <w:r w:rsidR="00FC1D84">
        <w:t>53</w:t>
      </w:r>
      <w:r>
        <w:fldChar w:fldCharType="end"/>
      </w:r>
    </w:p>
    <w:p w:rsidR="006169FD" w:rsidRDefault="006169FD">
      <w:pPr>
        <w:pStyle w:val="TOC8"/>
        <w:rPr>
          <w:rFonts w:asciiTheme="minorHAnsi" w:eastAsiaTheme="minorEastAsia" w:hAnsiTheme="minorHAnsi" w:cstheme="minorBidi"/>
          <w:szCs w:val="22"/>
        </w:rPr>
      </w:pPr>
      <w:r>
        <w:t>5A.</w:t>
      </w:r>
      <w:r>
        <w:tab/>
        <w:t>Form and content of notices</w:t>
      </w:r>
      <w:r>
        <w:tab/>
      </w:r>
      <w:r>
        <w:fldChar w:fldCharType="begin"/>
      </w:r>
      <w:r>
        <w:instrText xml:space="preserve"> PAGEREF _Toc75862820 \h </w:instrText>
      </w:r>
      <w:r>
        <w:fldChar w:fldCharType="separate"/>
      </w:r>
      <w:r w:rsidR="00FC1D84">
        <w:t>53</w:t>
      </w:r>
      <w:r>
        <w:fldChar w:fldCharType="end"/>
      </w:r>
    </w:p>
    <w:p w:rsidR="006169FD" w:rsidRDefault="006169FD">
      <w:pPr>
        <w:pStyle w:val="TOC8"/>
        <w:rPr>
          <w:rFonts w:asciiTheme="minorHAnsi" w:eastAsiaTheme="minorEastAsia" w:hAnsiTheme="minorHAnsi" w:cstheme="minorBidi"/>
          <w:szCs w:val="22"/>
        </w:rPr>
      </w:pPr>
      <w:r>
        <w:t>6</w:t>
      </w:r>
      <w:r w:rsidRPr="00AA3DF9">
        <w:rPr>
          <w:snapToGrid w:val="0"/>
        </w:rPr>
        <w:t>.</w:t>
      </w:r>
      <w:r w:rsidRPr="00AA3DF9">
        <w:rPr>
          <w:snapToGrid w:val="0"/>
        </w:rPr>
        <w:tab/>
        <w:t>Removal of solicitor from record</w:t>
      </w:r>
      <w:r>
        <w:tab/>
      </w:r>
      <w:r>
        <w:fldChar w:fldCharType="begin"/>
      </w:r>
      <w:r>
        <w:instrText xml:space="preserve"> PAGEREF _Toc75862821 \h </w:instrText>
      </w:r>
      <w:r>
        <w:fldChar w:fldCharType="separate"/>
      </w:r>
      <w:r w:rsidR="00FC1D84">
        <w:t>53</w:t>
      </w:r>
      <w:r>
        <w:fldChar w:fldCharType="end"/>
      </w:r>
    </w:p>
    <w:p w:rsidR="006169FD" w:rsidRDefault="006169FD">
      <w:pPr>
        <w:pStyle w:val="TOC8"/>
        <w:rPr>
          <w:rFonts w:asciiTheme="minorHAnsi" w:eastAsiaTheme="minorEastAsia" w:hAnsiTheme="minorHAnsi" w:cstheme="minorBidi"/>
          <w:szCs w:val="22"/>
        </w:rPr>
      </w:pPr>
      <w:r>
        <w:t>7</w:t>
      </w:r>
      <w:r w:rsidRPr="00AA3DF9">
        <w:rPr>
          <w:snapToGrid w:val="0"/>
        </w:rPr>
        <w:t>.</w:t>
      </w:r>
      <w:r w:rsidRPr="00AA3DF9">
        <w:rPr>
          <w:snapToGrid w:val="0"/>
        </w:rPr>
        <w:tab/>
        <w:t>Withdrawal of solicitor who has ceased to act for party</w:t>
      </w:r>
      <w:r>
        <w:tab/>
      </w:r>
      <w:r>
        <w:fldChar w:fldCharType="begin"/>
      </w:r>
      <w:r>
        <w:instrText xml:space="preserve"> PAGEREF _Toc75862822 \h </w:instrText>
      </w:r>
      <w:r>
        <w:fldChar w:fldCharType="separate"/>
      </w:r>
      <w:r w:rsidR="00FC1D84">
        <w:t>54</w:t>
      </w:r>
      <w:r>
        <w:fldChar w:fldCharType="end"/>
      </w:r>
    </w:p>
    <w:p w:rsidR="006169FD" w:rsidRDefault="006169FD">
      <w:pPr>
        <w:pStyle w:val="TOC8"/>
        <w:rPr>
          <w:rFonts w:asciiTheme="minorHAnsi" w:eastAsiaTheme="minorEastAsia" w:hAnsiTheme="minorHAnsi" w:cstheme="minorBidi"/>
          <w:szCs w:val="22"/>
        </w:rPr>
      </w:pPr>
      <w:r>
        <w:t>8</w:t>
      </w:r>
      <w:r w:rsidRPr="00AA3DF9">
        <w:rPr>
          <w:snapToGrid w:val="0"/>
        </w:rPr>
        <w:t>.</w:t>
      </w:r>
      <w:r w:rsidRPr="00AA3DF9">
        <w:rPr>
          <w:snapToGrid w:val="0"/>
        </w:rPr>
        <w:tab/>
        <w:t>Effect of order made under this Order</w:t>
      </w:r>
      <w:r>
        <w:tab/>
      </w:r>
      <w:r>
        <w:fldChar w:fldCharType="begin"/>
      </w:r>
      <w:r>
        <w:instrText xml:space="preserve"> PAGEREF _Toc75862823 \h </w:instrText>
      </w:r>
      <w:r>
        <w:fldChar w:fldCharType="separate"/>
      </w:r>
      <w:r w:rsidR="00FC1D84">
        <w:t>55</w:t>
      </w:r>
      <w:r>
        <w:fldChar w:fldCharType="end"/>
      </w:r>
    </w:p>
    <w:p w:rsidR="006169FD" w:rsidRDefault="006169FD">
      <w:pPr>
        <w:pStyle w:val="TOC8"/>
        <w:rPr>
          <w:rFonts w:asciiTheme="minorHAnsi" w:eastAsiaTheme="minorEastAsia" w:hAnsiTheme="minorHAnsi" w:cstheme="minorBidi"/>
          <w:szCs w:val="22"/>
        </w:rPr>
      </w:pPr>
      <w:r>
        <w:t>9.</w:t>
      </w:r>
      <w:r>
        <w:tab/>
        <w:t>Service details of party whose solicitor is removed</w:t>
      </w:r>
      <w:r>
        <w:tab/>
      </w:r>
      <w:r>
        <w:fldChar w:fldCharType="begin"/>
      </w:r>
      <w:r>
        <w:instrText xml:space="preserve"> PAGEREF _Toc75862824 \h </w:instrText>
      </w:r>
      <w:r>
        <w:fldChar w:fldCharType="separate"/>
      </w:r>
      <w:r w:rsidR="00FC1D84">
        <w:t>55</w:t>
      </w:r>
      <w:r>
        <w:fldChar w:fldCharType="end"/>
      </w:r>
    </w:p>
    <w:p w:rsidR="006169FD" w:rsidRDefault="006169FD">
      <w:pPr>
        <w:pStyle w:val="TOC8"/>
        <w:rPr>
          <w:rFonts w:asciiTheme="minorHAnsi" w:eastAsiaTheme="minorEastAsia" w:hAnsiTheme="minorHAnsi" w:cstheme="minorBidi"/>
          <w:szCs w:val="22"/>
        </w:rPr>
      </w:pPr>
      <w:r>
        <w:t>11</w:t>
      </w:r>
      <w:r w:rsidRPr="00AA3DF9">
        <w:rPr>
          <w:snapToGrid w:val="0"/>
        </w:rPr>
        <w:t>.</w:t>
      </w:r>
      <w:r w:rsidRPr="00AA3DF9">
        <w:rPr>
          <w:snapToGrid w:val="0"/>
        </w:rPr>
        <w:tab/>
        <w:t>Solicitor not to act for adverse parties</w:t>
      </w:r>
      <w:r>
        <w:tab/>
      </w:r>
      <w:r>
        <w:fldChar w:fldCharType="begin"/>
      </w:r>
      <w:r>
        <w:instrText xml:space="preserve"> PAGEREF _Toc75862825 \h </w:instrText>
      </w:r>
      <w:r>
        <w:fldChar w:fldCharType="separate"/>
      </w:r>
      <w:r w:rsidR="00FC1D84">
        <w:t>56</w:t>
      </w:r>
      <w:r>
        <w:fldChar w:fldCharType="end"/>
      </w:r>
    </w:p>
    <w:p w:rsidR="006169FD" w:rsidRDefault="006169FD">
      <w:pPr>
        <w:pStyle w:val="TOC8"/>
        <w:rPr>
          <w:rFonts w:asciiTheme="minorHAnsi" w:eastAsiaTheme="minorEastAsia" w:hAnsiTheme="minorHAnsi" w:cstheme="minorBidi"/>
          <w:szCs w:val="22"/>
        </w:rPr>
      </w:pPr>
      <w:r>
        <w:t>12</w:t>
      </w:r>
      <w:r w:rsidRPr="00AA3DF9">
        <w:rPr>
          <w:snapToGrid w:val="0"/>
        </w:rPr>
        <w:t>.</w:t>
      </w:r>
      <w:r w:rsidRPr="00AA3DF9">
        <w:rPr>
          <w:snapToGrid w:val="0"/>
        </w:rPr>
        <w:tab/>
        <w:t>Practitioner or clerk not to be security</w:t>
      </w:r>
      <w:r>
        <w:tab/>
      </w:r>
      <w:r>
        <w:fldChar w:fldCharType="begin"/>
      </w:r>
      <w:r>
        <w:instrText xml:space="preserve"> PAGEREF _Toc75862826 \h </w:instrText>
      </w:r>
      <w:r>
        <w:fldChar w:fldCharType="separate"/>
      </w:r>
      <w:r w:rsidR="00FC1D84">
        <w:t>56</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9A — Interested non</w:t>
      </w:r>
      <w:r>
        <w:noBreakHyphen/>
        <w:t>parties</w:t>
      </w:r>
    </w:p>
    <w:p w:rsidR="006169FD" w:rsidRDefault="006169FD">
      <w:pPr>
        <w:pStyle w:val="TOC8"/>
        <w:rPr>
          <w:rFonts w:asciiTheme="minorHAnsi" w:eastAsiaTheme="minorEastAsia" w:hAnsiTheme="minorHAnsi" w:cstheme="minorBidi"/>
          <w:szCs w:val="22"/>
        </w:rPr>
      </w:pPr>
      <w:r>
        <w:t>1.</w:t>
      </w:r>
      <w:r>
        <w:tab/>
        <w:t>Term used: interested non</w:t>
      </w:r>
      <w:r>
        <w:noBreakHyphen/>
        <w:t>party</w:t>
      </w:r>
      <w:r>
        <w:tab/>
      </w:r>
      <w:r>
        <w:fldChar w:fldCharType="begin"/>
      </w:r>
      <w:r>
        <w:instrText xml:space="preserve"> PAGEREF _Toc75862828 \h </w:instrText>
      </w:r>
      <w:r>
        <w:fldChar w:fldCharType="separate"/>
      </w:r>
      <w:r w:rsidR="00FC1D84">
        <w:t>57</w:t>
      </w:r>
      <w:r>
        <w:fldChar w:fldCharType="end"/>
      </w:r>
    </w:p>
    <w:p w:rsidR="006169FD" w:rsidRDefault="006169FD">
      <w:pPr>
        <w:pStyle w:val="TOC8"/>
        <w:rPr>
          <w:rFonts w:asciiTheme="minorHAnsi" w:eastAsiaTheme="minorEastAsia" w:hAnsiTheme="minorHAnsi" w:cstheme="minorBidi"/>
          <w:szCs w:val="22"/>
        </w:rPr>
      </w:pPr>
      <w:r>
        <w:t>2.</w:t>
      </w:r>
      <w:r>
        <w:tab/>
        <w:t>Parties to advise identity of interested non</w:t>
      </w:r>
      <w:r>
        <w:noBreakHyphen/>
        <w:t>parties</w:t>
      </w:r>
      <w:r>
        <w:tab/>
      </w:r>
      <w:r>
        <w:fldChar w:fldCharType="begin"/>
      </w:r>
      <w:r>
        <w:instrText xml:space="preserve"> PAGEREF _Toc75862829 \h </w:instrText>
      </w:r>
      <w:r>
        <w:fldChar w:fldCharType="separate"/>
      </w:r>
      <w:r w:rsidR="00FC1D84">
        <w:t>57</w:t>
      </w:r>
      <w:r>
        <w:fldChar w:fldCharType="end"/>
      </w:r>
    </w:p>
    <w:p w:rsidR="006169FD" w:rsidRDefault="006169FD">
      <w:pPr>
        <w:pStyle w:val="TOC8"/>
        <w:rPr>
          <w:rFonts w:asciiTheme="minorHAnsi" w:eastAsiaTheme="minorEastAsia" w:hAnsiTheme="minorHAnsi" w:cstheme="minorBidi"/>
          <w:szCs w:val="22"/>
        </w:rPr>
      </w:pPr>
      <w:r>
        <w:lastRenderedPageBreak/>
        <w:t>3.</w:t>
      </w:r>
      <w:r>
        <w:tab/>
        <w:t>Duties of interested non</w:t>
      </w:r>
      <w:r>
        <w:noBreakHyphen/>
        <w:t>party</w:t>
      </w:r>
      <w:r>
        <w:tab/>
      </w:r>
      <w:r>
        <w:fldChar w:fldCharType="begin"/>
      </w:r>
      <w:r>
        <w:instrText xml:space="preserve"> PAGEREF _Toc75862830 \h </w:instrText>
      </w:r>
      <w:r>
        <w:fldChar w:fldCharType="separate"/>
      </w:r>
      <w:r w:rsidR="00FC1D84">
        <w:t>57</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9 — Service of originating process: general provisions</w:t>
      </w:r>
    </w:p>
    <w:p w:rsidR="006169FD" w:rsidRDefault="006169FD">
      <w:pPr>
        <w:pStyle w:val="TOC8"/>
        <w:rPr>
          <w:rFonts w:asciiTheme="minorHAnsi" w:eastAsiaTheme="minorEastAsia" w:hAnsiTheme="minorHAnsi" w:cstheme="minorBidi"/>
          <w:szCs w:val="22"/>
        </w:rPr>
      </w:pPr>
      <w:r>
        <w:t>1</w:t>
      </w:r>
      <w:r w:rsidRPr="00AA3DF9">
        <w:rPr>
          <w:snapToGrid w:val="0"/>
        </w:rPr>
        <w:t>.</w:t>
      </w:r>
      <w:r w:rsidRPr="00AA3DF9">
        <w:rPr>
          <w:snapToGrid w:val="0"/>
        </w:rPr>
        <w:tab/>
        <w:t>Service of writ, general provisions</w:t>
      </w:r>
      <w:r>
        <w:tab/>
      </w:r>
      <w:r>
        <w:fldChar w:fldCharType="begin"/>
      </w:r>
      <w:r>
        <w:instrText xml:space="preserve"> PAGEREF _Toc75862832 \h </w:instrText>
      </w:r>
      <w:r>
        <w:fldChar w:fldCharType="separate"/>
      </w:r>
      <w:r w:rsidR="00FC1D84">
        <w:t>59</w:t>
      </w:r>
      <w:r>
        <w:fldChar w:fldCharType="end"/>
      </w:r>
    </w:p>
    <w:p w:rsidR="006169FD" w:rsidRDefault="006169FD">
      <w:pPr>
        <w:pStyle w:val="TOC8"/>
        <w:rPr>
          <w:rFonts w:asciiTheme="minorHAnsi" w:eastAsiaTheme="minorEastAsia" w:hAnsiTheme="minorHAnsi" w:cstheme="minorBidi"/>
          <w:szCs w:val="22"/>
        </w:rPr>
      </w:pPr>
      <w:r>
        <w:t>2</w:t>
      </w:r>
      <w:r w:rsidRPr="00AA3DF9">
        <w:rPr>
          <w:snapToGrid w:val="0"/>
        </w:rPr>
        <w:t>.</w:t>
      </w:r>
      <w:r w:rsidRPr="00AA3DF9">
        <w:rPr>
          <w:snapToGrid w:val="0"/>
        </w:rPr>
        <w:tab/>
        <w:t>Service of writ as to contract on agent of principal who is outside WA</w:t>
      </w:r>
      <w:r>
        <w:tab/>
      </w:r>
      <w:r>
        <w:fldChar w:fldCharType="begin"/>
      </w:r>
      <w:r>
        <w:instrText xml:space="preserve"> PAGEREF _Toc75862833 \h </w:instrText>
      </w:r>
      <w:r>
        <w:fldChar w:fldCharType="separate"/>
      </w:r>
      <w:r w:rsidR="00FC1D84">
        <w:t>60</w:t>
      </w:r>
      <w:r>
        <w:fldChar w:fldCharType="end"/>
      </w:r>
    </w:p>
    <w:p w:rsidR="006169FD" w:rsidRDefault="006169FD">
      <w:pPr>
        <w:pStyle w:val="TOC8"/>
        <w:rPr>
          <w:rFonts w:asciiTheme="minorHAnsi" w:eastAsiaTheme="minorEastAsia" w:hAnsiTheme="minorHAnsi" w:cstheme="minorBidi"/>
          <w:szCs w:val="22"/>
        </w:rPr>
      </w:pPr>
      <w:r>
        <w:t>3</w:t>
      </w:r>
      <w:r w:rsidRPr="00AA3DF9">
        <w:rPr>
          <w:snapToGrid w:val="0"/>
        </w:rPr>
        <w:t>.</w:t>
      </w:r>
      <w:r w:rsidRPr="00AA3DF9">
        <w:rPr>
          <w:snapToGrid w:val="0"/>
        </w:rPr>
        <w:tab/>
        <w:t>Serving writ in accordance with contract, effect of</w:t>
      </w:r>
      <w:r>
        <w:tab/>
      </w:r>
      <w:r>
        <w:fldChar w:fldCharType="begin"/>
      </w:r>
      <w:r>
        <w:instrText xml:space="preserve"> PAGEREF _Toc75862834 \h </w:instrText>
      </w:r>
      <w:r>
        <w:fldChar w:fldCharType="separate"/>
      </w:r>
      <w:r w:rsidR="00FC1D84">
        <w:t>60</w:t>
      </w:r>
      <w:r>
        <w:fldChar w:fldCharType="end"/>
      </w:r>
    </w:p>
    <w:p w:rsidR="006169FD" w:rsidRDefault="006169FD">
      <w:pPr>
        <w:pStyle w:val="TOC8"/>
        <w:rPr>
          <w:rFonts w:asciiTheme="minorHAnsi" w:eastAsiaTheme="minorEastAsia" w:hAnsiTheme="minorHAnsi" w:cstheme="minorBidi"/>
          <w:szCs w:val="22"/>
        </w:rPr>
      </w:pPr>
      <w:r>
        <w:t>4</w:t>
      </w:r>
      <w:r w:rsidRPr="00AA3DF9">
        <w:rPr>
          <w:snapToGrid w:val="0"/>
        </w:rPr>
        <w:t>.</w:t>
      </w:r>
      <w:r w:rsidRPr="00AA3DF9">
        <w:rPr>
          <w:snapToGrid w:val="0"/>
        </w:rPr>
        <w:tab/>
        <w:t>Writ for possession of land where no person in possession, service of</w:t>
      </w:r>
      <w:r>
        <w:tab/>
      </w:r>
      <w:r>
        <w:fldChar w:fldCharType="begin"/>
      </w:r>
      <w:r>
        <w:instrText xml:space="preserve"> PAGEREF _Toc75862835 \h </w:instrText>
      </w:r>
      <w:r>
        <w:fldChar w:fldCharType="separate"/>
      </w:r>
      <w:r w:rsidR="00FC1D84">
        <w:t>61</w:t>
      </w:r>
      <w:r>
        <w:fldChar w:fldCharType="end"/>
      </w:r>
    </w:p>
    <w:p w:rsidR="006169FD" w:rsidRDefault="006169FD">
      <w:pPr>
        <w:pStyle w:val="TOC8"/>
        <w:rPr>
          <w:rFonts w:asciiTheme="minorHAnsi" w:eastAsiaTheme="minorEastAsia" w:hAnsiTheme="minorHAnsi" w:cstheme="minorBidi"/>
          <w:szCs w:val="22"/>
        </w:rPr>
      </w:pPr>
      <w:r>
        <w:t>5</w:t>
      </w:r>
      <w:r w:rsidRPr="00AA3DF9">
        <w:rPr>
          <w:snapToGrid w:val="0"/>
        </w:rPr>
        <w:t>.</w:t>
      </w:r>
      <w:r w:rsidRPr="00AA3DF9">
        <w:rPr>
          <w:snapToGrid w:val="0"/>
        </w:rPr>
        <w:tab/>
        <w:t>Service of other originating process</w:t>
      </w:r>
      <w:r>
        <w:tab/>
      </w:r>
      <w:r>
        <w:fldChar w:fldCharType="begin"/>
      </w:r>
      <w:r>
        <w:instrText xml:space="preserve"> PAGEREF _Toc75862836 \h </w:instrText>
      </w:r>
      <w:r>
        <w:fldChar w:fldCharType="separate"/>
      </w:r>
      <w:r w:rsidR="00FC1D84">
        <w:t>62</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10 — Service out of the jurisdiction</w:t>
      </w:r>
    </w:p>
    <w:p w:rsidR="006169FD" w:rsidRDefault="006169FD">
      <w:pPr>
        <w:pStyle w:val="TOC8"/>
        <w:rPr>
          <w:rFonts w:asciiTheme="minorHAnsi" w:eastAsiaTheme="minorEastAsia" w:hAnsiTheme="minorHAnsi" w:cstheme="minorBidi"/>
          <w:szCs w:val="22"/>
        </w:rPr>
      </w:pPr>
      <w:r>
        <w:t>1A.</w:t>
      </w:r>
      <w:r>
        <w:tab/>
        <w:t>When leave to serve is required; application of r. 9 to 11</w:t>
      </w:r>
      <w:r>
        <w:tab/>
      </w:r>
      <w:r>
        <w:fldChar w:fldCharType="begin"/>
      </w:r>
      <w:r>
        <w:instrText xml:space="preserve"> PAGEREF _Toc75862838 \h </w:instrText>
      </w:r>
      <w:r>
        <w:fldChar w:fldCharType="separate"/>
      </w:r>
      <w:r w:rsidR="00FC1D84">
        <w:t>63</w:t>
      </w:r>
      <w:r>
        <w:fldChar w:fldCharType="end"/>
      </w:r>
    </w:p>
    <w:p w:rsidR="006169FD" w:rsidRDefault="006169FD">
      <w:pPr>
        <w:pStyle w:val="TOC8"/>
        <w:rPr>
          <w:rFonts w:asciiTheme="minorHAnsi" w:eastAsiaTheme="minorEastAsia" w:hAnsiTheme="minorHAnsi" w:cstheme="minorBidi"/>
          <w:szCs w:val="22"/>
        </w:rPr>
      </w:pPr>
      <w:r>
        <w:t>1</w:t>
      </w:r>
      <w:r w:rsidRPr="00AA3DF9">
        <w:rPr>
          <w:snapToGrid w:val="0"/>
        </w:rPr>
        <w:t>.</w:t>
      </w:r>
      <w:r w:rsidRPr="00AA3DF9">
        <w:rPr>
          <w:snapToGrid w:val="0"/>
        </w:rPr>
        <w:tab/>
        <w:t>When service out of jurisdiction is permissible</w:t>
      </w:r>
      <w:r>
        <w:tab/>
      </w:r>
      <w:r>
        <w:fldChar w:fldCharType="begin"/>
      </w:r>
      <w:r>
        <w:instrText xml:space="preserve"> PAGEREF _Toc75862839 \h </w:instrText>
      </w:r>
      <w:r>
        <w:fldChar w:fldCharType="separate"/>
      </w:r>
      <w:r w:rsidR="00FC1D84">
        <w:t>63</w:t>
      </w:r>
      <w:r>
        <w:fldChar w:fldCharType="end"/>
      </w:r>
    </w:p>
    <w:p w:rsidR="006169FD" w:rsidRDefault="006169FD">
      <w:pPr>
        <w:pStyle w:val="TOC8"/>
        <w:rPr>
          <w:rFonts w:asciiTheme="minorHAnsi" w:eastAsiaTheme="minorEastAsia" w:hAnsiTheme="minorHAnsi" w:cstheme="minorBidi"/>
          <w:szCs w:val="22"/>
        </w:rPr>
      </w:pPr>
      <w:r>
        <w:t>2</w:t>
      </w:r>
      <w:r w:rsidRPr="00AA3DF9">
        <w:rPr>
          <w:snapToGrid w:val="0"/>
        </w:rPr>
        <w:t>.</w:t>
      </w:r>
      <w:r w:rsidRPr="00AA3DF9">
        <w:rPr>
          <w:snapToGrid w:val="0"/>
        </w:rPr>
        <w:tab/>
        <w:t>Service out of jurisdiction of writ etc. as to contract</w:t>
      </w:r>
      <w:r>
        <w:tab/>
      </w:r>
      <w:r>
        <w:fldChar w:fldCharType="begin"/>
      </w:r>
      <w:r>
        <w:instrText xml:space="preserve"> PAGEREF _Toc75862840 \h </w:instrText>
      </w:r>
      <w:r>
        <w:fldChar w:fldCharType="separate"/>
      </w:r>
      <w:r w:rsidR="00FC1D84">
        <w:t>66</w:t>
      </w:r>
      <w:r>
        <w:fldChar w:fldCharType="end"/>
      </w:r>
    </w:p>
    <w:p w:rsidR="006169FD" w:rsidRDefault="006169FD">
      <w:pPr>
        <w:pStyle w:val="TOC8"/>
        <w:rPr>
          <w:rFonts w:asciiTheme="minorHAnsi" w:eastAsiaTheme="minorEastAsia" w:hAnsiTheme="minorHAnsi" w:cstheme="minorBidi"/>
          <w:szCs w:val="22"/>
        </w:rPr>
      </w:pPr>
      <w:r>
        <w:t>4</w:t>
      </w:r>
      <w:r w:rsidRPr="00AA3DF9">
        <w:rPr>
          <w:snapToGrid w:val="0"/>
        </w:rPr>
        <w:t>.</w:t>
      </w:r>
      <w:r w:rsidRPr="00AA3DF9">
        <w:rPr>
          <w:snapToGrid w:val="0"/>
        </w:rPr>
        <w:tab/>
        <w:t>Application for leave under r. 1 or 2</w:t>
      </w:r>
      <w:r>
        <w:tab/>
      </w:r>
      <w:r>
        <w:fldChar w:fldCharType="begin"/>
      </w:r>
      <w:r>
        <w:instrText xml:space="preserve"> PAGEREF _Toc75862841 \h </w:instrText>
      </w:r>
      <w:r>
        <w:fldChar w:fldCharType="separate"/>
      </w:r>
      <w:r w:rsidR="00FC1D84">
        <w:t>66</w:t>
      </w:r>
      <w:r>
        <w:fldChar w:fldCharType="end"/>
      </w:r>
    </w:p>
    <w:p w:rsidR="006169FD" w:rsidRDefault="006169FD">
      <w:pPr>
        <w:pStyle w:val="TOC8"/>
        <w:rPr>
          <w:rFonts w:asciiTheme="minorHAnsi" w:eastAsiaTheme="minorEastAsia" w:hAnsiTheme="minorHAnsi" w:cstheme="minorBidi"/>
          <w:szCs w:val="22"/>
        </w:rPr>
      </w:pPr>
      <w:r>
        <w:t>5.</w:t>
      </w:r>
      <w:r>
        <w:tab/>
        <w:t>Time for appearance</w:t>
      </w:r>
      <w:r>
        <w:tab/>
      </w:r>
      <w:r>
        <w:fldChar w:fldCharType="begin"/>
      </w:r>
      <w:r>
        <w:instrText xml:space="preserve"> PAGEREF _Toc75862842 \h </w:instrText>
      </w:r>
      <w:r>
        <w:fldChar w:fldCharType="separate"/>
      </w:r>
      <w:r w:rsidR="00FC1D84">
        <w:t>66</w:t>
      </w:r>
      <w:r>
        <w:fldChar w:fldCharType="end"/>
      </w:r>
    </w:p>
    <w:p w:rsidR="006169FD" w:rsidRDefault="006169FD">
      <w:pPr>
        <w:pStyle w:val="TOC8"/>
        <w:rPr>
          <w:rFonts w:asciiTheme="minorHAnsi" w:eastAsiaTheme="minorEastAsia" w:hAnsiTheme="minorHAnsi" w:cstheme="minorBidi"/>
          <w:szCs w:val="22"/>
        </w:rPr>
      </w:pPr>
      <w:r>
        <w:t>7.</w:t>
      </w:r>
      <w:r>
        <w:tab/>
        <w:t>Other documents, service of outside Australia</w:t>
      </w:r>
      <w:r>
        <w:tab/>
      </w:r>
      <w:r>
        <w:fldChar w:fldCharType="begin"/>
      </w:r>
      <w:r>
        <w:instrText xml:space="preserve"> PAGEREF _Toc75862843 \h </w:instrText>
      </w:r>
      <w:r>
        <w:fldChar w:fldCharType="separate"/>
      </w:r>
      <w:r w:rsidR="00FC1D84">
        <w:t>67</w:t>
      </w:r>
      <w:r>
        <w:fldChar w:fldCharType="end"/>
      </w:r>
    </w:p>
    <w:p w:rsidR="006169FD" w:rsidRDefault="006169FD">
      <w:pPr>
        <w:pStyle w:val="TOC8"/>
        <w:rPr>
          <w:rFonts w:asciiTheme="minorHAnsi" w:eastAsiaTheme="minorEastAsia" w:hAnsiTheme="minorHAnsi" w:cstheme="minorBidi"/>
          <w:szCs w:val="22"/>
        </w:rPr>
      </w:pPr>
      <w:r>
        <w:t>8</w:t>
      </w:r>
      <w:r w:rsidRPr="00AA3DF9">
        <w:rPr>
          <w:snapToGrid w:val="0"/>
        </w:rPr>
        <w:t>.</w:t>
      </w:r>
      <w:r w:rsidRPr="00AA3DF9">
        <w:rPr>
          <w:snapToGrid w:val="0"/>
        </w:rPr>
        <w:tab/>
        <w:t>Saving of existing practice</w:t>
      </w:r>
      <w:r>
        <w:tab/>
      </w:r>
      <w:r>
        <w:fldChar w:fldCharType="begin"/>
      </w:r>
      <w:r>
        <w:instrText xml:space="preserve"> PAGEREF _Toc75862844 \h </w:instrText>
      </w:r>
      <w:r>
        <w:fldChar w:fldCharType="separate"/>
      </w:r>
      <w:r w:rsidR="00FC1D84">
        <w:t>67</w:t>
      </w:r>
      <w:r>
        <w:fldChar w:fldCharType="end"/>
      </w:r>
    </w:p>
    <w:p w:rsidR="006169FD" w:rsidRDefault="006169FD">
      <w:pPr>
        <w:pStyle w:val="TOC8"/>
        <w:rPr>
          <w:rFonts w:asciiTheme="minorHAnsi" w:eastAsiaTheme="minorEastAsia" w:hAnsiTheme="minorHAnsi" w:cstheme="minorBidi"/>
          <w:szCs w:val="22"/>
        </w:rPr>
      </w:pPr>
      <w:r>
        <w:t>9</w:t>
      </w:r>
      <w:r w:rsidRPr="00AA3DF9">
        <w:rPr>
          <w:snapToGrid w:val="0"/>
        </w:rPr>
        <w:t>.</w:t>
      </w:r>
      <w:r w:rsidRPr="00AA3DF9">
        <w:rPr>
          <w:snapToGrid w:val="0"/>
        </w:rPr>
        <w:tab/>
        <w:t>Service abroad through foreign or diplomatic officials</w:t>
      </w:r>
      <w:r>
        <w:tab/>
      </w:r>
      <w:r>
        <w:fldChar w:fldCharType="begin"/>
      </w:r>
      <w:r>
        <w:instrText xml:space="preserve"> PAGEREF _Toc75862845 \h </w:instrText>
      </w:r>
      <w:r>
        <w:fldChar w:fldCharType="separate"/>
      </w:r>
      <w:r w:rsidR="00FC1D84">
        <w:t>67</w:t>
      </w:r>
      <w:r>
        <w:fldChar w:fldCharType="end"/>
      </w:r>
    </w:p>
    <w:p w:rsidR="006169FD" w:rsidRDefault="006169FD">
      <w:pPr>
        <w:pStyle w:val="TOC8"/>
        <w:rPr>
          <w:rFonts w:asciiTheme="minorHAnsi" w:eastAsiaTheme="minorEastAsia" w:hAnsiTheme="minorHAnsi" w:cstheme="minorBidi"/>
          <w:szCs w:val="22"/>
        </w:rPr>
      </w:pPr>
      <w:r>
        <w:t>10</w:t>
      </w:r>
      <w:r w:rsidRPr="00AA3DF9">
        <w:rPr>
          <w:snapToGrid w:val="0"/>
        </w:rPr>
        <w:t>.</w:t>
      </w:r>
      <w:r w:rsidRPr="00AA3DF9">
        <w:rPr>
          <w:snapToGrid w:val="0"/>
        </w:rPr>
        <w:tab/>
        <w:t>Service abroad, general and saving provisions</w:t>
      </w:r>
      <w:r>
        <w:tab/>
      </w:r>
      <w:r>
        <w:fldChar w:fldCharType="begin"/>
      </w:r>
      <w:r>
        <w:instrText xml:space="preserve"> PAGEREF _Toc75862846 \h </w:instrText>
      </w:r>
      <w:r>
        <w:fldChar w:fldCharType="separate"/>
      </w:r>
      <w:r w:rsidR="00FC1D84">
        <w:t>69</w:t>
      </w:r>
      <w:r>
        <w:fldChar w:fldCharType="end"/>
      </w:r>
    </w:p>
    <w:p w:rsidR="006169FD" w:rsidRDefault="006169FD">
      <w:pPr>
        <w:pStyle w:val="TOC8"/>
        <w:rPr>
          <w:rFonts w:asciiTheme="minorHAnsi" w:eastAsiaTheme="minorEastAsia" w:hAnsiTheme="minorHAnsi" w:cstheme="minorBidi"/>
          <w:szCs w:val="22"/>
        </w:rPr>
      </w:pPr>
      <w:r>
        <w:t>11</w:t>
      </w:r>
      <w:r w:rsidRPr="00AA3DF9">
        <w:rPr>
          <w:snapToGrid w:val="0"/>
        </w:rPr>
        <w:t>.</w:t>
      </w:r>
      <w:r w:rsidRPr="00AA3DF9">
        <w:rPr>
          <w:snapToGrid w:val="0"/>
        </w:rPr>
        <w:tab/>
        <w:t>Undertaking to pay expenses of service</w:t>
      </w:r>
      <w:r>
        <w:tab/>
      </w:r>
      <w:r>
        <w:fldChar w:fldCharType="begin"/>
      </w:r>
      <w:r>
        <w:instrText xml:space="preserve"> PAGEREF _Toc75862847 \h </w:instrText>
      </w:r>
      <w:r>
        <w:fldChar w:fldCharType="separate"/>
      </w:r>
      <w:r w:rsidR="00FC1D84">
        <w:t>70</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11 — Service of foreign process</w:t>
      </w:r>
    </w:p>
    <w:p w:rsidR="006169FD" w:rsidRDefault="006169FD">
      <w:pPr>
        <w:pStyle w:val="TOC8"/>
        <w:rPr>
          <w:rFonts w:asciiTheme="minorHAnsi" w:eastAsiaTheme="minorEastAsia" w:hAnsiTheme="minorHAnsi" w:cstheme="minorBidi"/>
          <w:szCs w:val="22"/>
        </w:rPr>
      </w:pPr>
      <w:r>
        <w:t>1</w:t>
      </w:r>
      <w:r w:rsidRPr="00AA3DF9">
        <w:rPr>
          <w:snapToGrid w:val="0"/>
        </w:rPr>
        <w:t>.</w:t>
      </w:r>
      <w:r w:rsidRPr="00AA3DF9">
        <w:rPr>
          <w:snapToGrid w:val="0"/>
        </w:rPr>
        <w:tab/>
        <w:t>Terms used</w:t>
      </w:r>
      <w:r>
        <w:tab/>
      </w:r>
      <w:r>
        <w:fldChar w:fldCharType="begin"/>
      </w:r>
      <w:r>
        <w:instrText xml:space="preserve"> PAGEREF _Toc75862849 \h </w:instrText>
      </w:r>
      <w:r>
        <w:fldChar w:fldCharType="separate"/>
      </w:r>
      <w:r w:rsidR="00FC1D84">
        <w:t>71</w:t>
      </w:r>
      <w:r>
        <w:fldChar w:fldCharType="end"/>
      </w:r>
    </w:p>
    <w:p w:rsidR="006169FD" w:rsidRDefault="006169FD">
      <w:pPr>
        <w:pStyle w:val="TOC8"/>
        <w:rPr>
          <w:rFonts w:asciiTheme="minorHAnsi" w:eastAsiaTheme="minorEastAsia" w:hAnsiTheme="minorHAnsi" w:cstheme="minorBidi"/>
          <w:szCs w:val="22"/>
        </w:rPr>
      </w:pPr>
      <w:r>
        <w:t>2A.</w:t>
      </w:r>
      <w:r>
        <w:tab/>
        <w:t>Application of this Order</w:t>
      </w:r>
      <w:r>
        <w:tab/>
      </w:r>
      <w:r>
        <w:fldChar w:fldCharType="begin"/>
      </w:r>
      <w:r>
        <w:instrText xml:space="preserve"> PAGEREF _Toc75862850 \h </w:instrText>
      </w:r>
      <w:r>
        <w:fldChar w:fldCharType="separate"/>
      </w:r>
      <w:r w:rsidR="00FC1D84">
        <w:t>71</w:t>
      </w:r>
      <w:r>
        <w:fldChar w:fldCharType="end"/>
      </w:r>
    </w:p>
    <w:p w:rsidR="006169FD" w:rsidRDefault="006169FD">
      <w:pPr>
        <w:pStyle w:val="TOC8"/>
        <w:rPr>
          <w:rFonts w:asciiTheme="minorHAnsi" w:eastAsiaTheme="minorEastAsia" w:hAnsiTheme="minorHAnsi" w:cstheme="minorBidi"/>
          <w:szCs w:val="22"/>
        </w:rPr>
      </w:pPr>
      <w:r>
        <w:t>2</w:t>
      </w:r>
      <w:r w:rsidRPr="00AA3DF9">
        <w:rPr>
          <w:snapToGrid w:val="0"/>
        </w:rPr>
        <w:t>.</w:t>
      </w:r>
      <w:r w:rsidRPr="00AA3DF9">
        <w:rPr>
          <w:snapToGrid w:val="0"/>
        </w:rPr>
        <w:tab/>
        <w:t>Service pursuant to letter of request for service</w:t>
      </w:r>
      <w:r>
        <w:tab/>
      </w:r>
      <w:r>
        <w:fldChar w:fldCharType="begin"/>
      </w:r>
      <w:r>
        <w:instrText xml:space="preserve"> PAGEREF _Toc75862851 \h </w:instrText>
      </w:r>
      <w:r>
        <w:fldChar w:fldCharType="separate"/>
      </w:r>
      <w:r w:rsidR="00FC1D84">
        <w:t>71</w:t>
      </w:r>
      <w:r>
        <w:fldChar w:fldCharType="end"/>
      </w:r>
    </w:p>
    <w:p w:rsidR="006169FD" w:rsidRDefault="006169FD">
      <w:pPr>
        <w:pStyle w:val="TOC8"/>
        <w:rPr>
          <w:rFonts w:asciiTheme="minorHAnsi" w:eastAsiaTheme="minorEastAsia" w:hAnsiTheme="minorHAnsi" w:cstheme="minorBidi"/>
          <w:szCs w:val="22"/>
        </w:rPr>
      </w:pPr>
      <w:r>
        <w:t>3</w:t>
      </w:r>
      <w:r w:rsidRPr="00AA3DF9">
        <w:rPr>
          <w:snapToGrid w:val="0"/>
        </w:rPr>
        <w:t>.</w:t>
      </w:r>
      <w:r w:rsidRPr="00AA3DF9">
        <w:rPr>
          <w:snapToGrid w:val="0"/>
        </w:rPr>
        <w:tab/>
        <w:t>Service under Convention</w:t>
      </w:r>
      <w:r>
        <w:tab/>
      </w:r>
      <w:r>
        <w:fldChar w:fldCharType="begin"/>
      </w:r>
      <w:r>
        <w:instrText xml:space="preserve"> PAGEREF _Toc75862852 \h </w:instrText>
      </w:r>
      <w:r>
        <w:fldChar w:fldCharType="separate"/>
      </w:r>
      <w:r w:rsidR="00FC1D84">
        <w:t>72</w:t>
      </w:r>
      <w:r>
        <w:fldChar w:fldCharType="end"/>
      </w:r>
    </w:p>
    <w:p w:rsidR="006169FD" w:rsidRDefault="006169FD">
      <w:pPr>
        <w:pStyle w:val="TOC8"/>
        <w:rPr>
          <w:rFonts w:asciiTheme="minorHAnsi" w:eastAsiaTheme="minorEastAsia" w:hAnsiTheme="minorHAnsi" w:cstheme="minorBidi"/>
          <w:szCs w:val="22"/>
        </w:rPr>
      </w:pPr>
      <w:r>
        <w:t>4</w:t>
      </w:r>
      <w:r w:rsidRPr="00AA3DF9">
        <w:rPr>
          <w:snapToGrid w:val="0"/>
        </w:rPr>
        <w:t>.</w:t>
      </w:r>
      <w:r w:rsidRPr="00AA3DF9">
        <w:rPr>
          <w:snapToGrid w:val="0"/>
        </w:rPr>
        <w:tab/>
        <w:t>Service to be through sheriff</w:t>
      </w:r>
      <w:r>
        <w:tab/>
      </w:r>
      <w:r>
        <w:fldChar w:fldCharType="begin"/>
      </w:r>
      <w:r>
        <w:instrText xml:space="preserve"> PAGEREF _Toc75862853 \h </w:instrText>
      </w:r>
      <w:r>
        <w:fldChar w:fldCharType="separate"/>
      </w:r>
      <w:r w:rsidR="00FC1D84">
        <w:t>73</w:t>
      </w:r>
      <w:r>
        <w:fldChar w:fldCharType="end"/>
      </w:r>
    </w:p>
    <w:p w:rsidR="006169FD" w:rsidRDefault="006169FD">
      <w:pPr>
        <w:pStyle w:val="TOC8"/>
        <w:rPr>
          <w:rFonts w:asciiTheme="minorHAnsi" w:eastAsiaTheme="minorEastAsia" w:hAnsiTheme="minorHAnsi" w:cstheme="minorBidi"/>
          <w:szCs w:val="22"/>
        </w:rPr>
      </w:pPr>
      <w:r>
        <w:t>5</w:t>
      </w:r>
      <w:r w:rsidRPr="00AA3DF9">
        <w:rPr>
          <w:snapToGrid w:val="0"/>
        </w:rPr>
        <w:t>.</w:t>
      </w:r>
      <w:r w:rsidRPr="00AA3DF9">
        <w:rPr>
          <w:snapToGrid w:val="0"/>
        </w:rPr>
        <w:tab/>
        <w:t>Consequential orders</w:t>
      </w:r>
      <w:r>
        <w:tab/>
      </w:r>
      <w:r>
        <w:fldChar w:fldCharType="begin"/>
      </w:r>
      <w:r>
        <w:instrText xml:space="preserve"> PAGEREF _Toc75862854 \h </w:instrText>
      </w:r>
      <w:r>
        <w:fldChar w:fldCharType="separate"/>
      </w:r>
      <w:r w:rsidR="00FC1D84">
        <w:t>74</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lastRenderedPageBreak/>
        <w:t>Order 11A</w:t>
      </w:r>
      <w:r w:rsidRPr="00AA3DF9">
        <w:rPr>
          <w:b w:val="0"/>
        </w:rPr>
        <w:t> </w:t>
      </w:r>
      <w:r>
        <w:t>—</w:t>
      </w:r>
      <w:r w:rsidRPr="00AA3DF9">
        <w:rPr>
          <w:b w:val="0"/>
        </w:rPr>
        <w:t> </w:t>
      </w:r>
      <w:r>
        <w:t>Service under the Hague Convention</w:t>
      </w:r>
    </w:p>
    <w:p w:rsidR="006169FD" w:rsidRDefault="006169FD">
      <w:pPr>
        <w:pStyle w:val="TOC4"/>
        <w:tabs>
          <w:tab w:val="right" w:leader="dot" w:pos="7077"/>
        </w:tabs>
        <w:rPr>
          <w:rFonts w:asciiTheme="minorHAnsi" w:eastAsiaTheme="minorEastAsia" w:hAnsiTheme="minorHAnsi" w:cstheme="minorBidi"/>
          <w:b w:val="0"/>
          <w:szCs w:val="22"/>
        </w:rPr>
      </w:pPr>
      <w:r>
        <w:t>Division 1 — Preliminary</w:t>
      </w:r>
    </w:p>
    <w:p w:rsidR="006169FD" w:rsidRDefault="006169FD">
      <w:pPr>
        <w:pStyle w:val="TOC8"/>
        <w:rPr>
          <w:rFonts w:asciiTheme="minorHAnsi" w:eastAsiaTheme="minorEastAsia" w:hAnsiTheme="minorHAnsi" w:cstheme="minorBidi"/>
          <w:szCs w:val="22"/>
        </w:rPr>
      </w:pPr>
      <w:r>
        <w:t>1.</w:t>
      </w:r>
      <w:r>
        <w:tab/>
        <w:t>Terms used</w:t>
      </w:r>
      <w:r>
        <w:tab/>
      </w:r>
      <w:r>
        <w:fldChar w:fldCharType="begin"/>
      </w:r>
      <w:r>
        <w:instrText xml:space="preserve"> PAGEREF _Toc75862857 \h </w:instrText>
      </w:r>
      <w:r>
        <w:fldChar w:fldCharType="separate"/>
      </w:r>
      <w:r w:rsidR="00FC1D84">
        <w:t>75</w:t>
      </w:r>
      <w:r>
        <w:fldChar w:fldCharType="end"/>
      </w:r>
    </w:p>
    <w:p w:rsidR="006169FD" w:rsidRDefault="006169FD">
      <w:pPr>
        <w:pStyle w:val="TOC8"/>
        <w:rPr>
          <w:rFonts w:asciiTheme="minorHAnsi" w:eastAsiaTheme="minorEastAsia" w:hAnsiTheme="minorHAnsi" w:cstheme="minorBidi"/>
          <w:szCs w:val="22"/>
        </w:rPr>
      </w:pPr>
      <w:r>
        <w:t>2.</w:t>
      </w:r>
      <w:r>
        <w:tab/>
        <w:t>Provisions of this Order to prevail</w:t>
      </w:r>
      <w:r>
        <w:tab/>
      </w:r>
      <w:r>
        <w:fldChar w:fldCharType="begin"/>
      </w:r>
      <w:r>
        <w:instrText xml:space="preserve"> PAGEREF _Toc75862858 \h </w:instrText>
      </w:r>
      <w:r>
        <w:fldChar w:fldCharType="separate"/>
      </w:r>
      <w:r w:rsidR="00FC1D84">
        <w:t>77</w:t>
      </w:r>
      <w:r>
        <w:fldChar w:fldCharType="end"/>
      </w:r>
    </w:p>
    <w:p w:rsidR="006169FD" w:rsidRDefault="006169FD">
      <w:pPr>
        <w:pStyle w:val="TOC4"/>
        <w:tabs>
          <w:tab w:val="right" w:leader="dot" w:pos="7077"/>
        </w:tabs>
        <w:rPr>
          <w:rFonts w:asciiTheme="minorHAnsi" w:eastAsiaTheme="minorEastAsia" w:hAnsiTheme="minorHAnsi" w:cstheme="minorBidi"/>
          <w:b w:val="0"/>
          <w:szCs w:val="22"/>
        </w:rPr>
      </w:pPr>
      <w:r>
        <w:t>Division 2 — Service abroad of local judicial documents</w:t>
      </w:r>
    </w:p>
    <w:p w:rsidR="006169FD" w:rsidRDefault="006169FD">
      <w:pPr>
        <w:pStyle w:val="TOC8"/>
        <w:rPr>
          <w:rFonts w:asciiTheme="minorHAnsi" w:eastAsiaTheme="minorEastAsia" w:hAnsiTheme="minorHAnsi" w:cstheme="minorBidi"/>
          <w:szCs w:val="22"/>
        </w:rPr>
      </w:pPr>
      <w:r>
        <w:t>3.</w:t>
      </w:r>
      <w:r>
        <w:tab/>
        <w:t>Application of this Division</w:t>
      </w:r>
      <w:r>
        <w:tab/>
      </w:r>
      <w:r>
        <w:fldChar w:fldCharType="begin"/>
      </w:r>
      <w:r>
        <w:instrText xml:space="preserve"> PAGEREF _Toc75862860 \h </w:instrText>
      </w:r>
      <w:r>
        <w:fldChar w:fldCharType="separate"/>
      </w:r>
      <w:r w:rsidR="00FC1D84">
        <w:t>77</w:t>
      </w:r>
      <w:r>
        <w:fldChar w:fldCharType="end"/>
      </w:r>
    </w:p>
    <w:p w:rsidR="006169FD" w:rsidRDefault="006169FD">
      <w:pPr>
        <w:pStyle w:val="TOC8"/>
        <w:rPr>
          <w:rFonts w:asciiTheme="minorHAnsi" w:eastAsiaTheme="minorEastAsia" w:hAnsiTheme="minorHAnsi" w:cstheme="minorBidi"/>
          <w:szCs w:val="22"/>
        </w:rPr>
      </w:pPr>
      <w:r>
        <w:t>4.</w:t>
      </w:r>
      <w:r>
        <w:tab/>
        <w:t>Application for request for service abroad</w:t>
      </w:r>
      <w:r>
        <w:tab/>
      </w:r>
      <w:r>
        <w:fldChar w:fldCharType="begin"/>
      </w:r>
      <w:r>
        <w:instrText xml:space="preserve"> PAGEREF _Toc75862861 \h </w:instrText>
      </w:r>
      <w:r>
        <w:fldChar w:fldCharType="separate"/>
      </w:r>
      <w:r w:rsidR="00FC1D84">
        <w:t>78</w:t>
      </w:r>
      <w:r>
        <w:fldChar w:fldCharType="end"/>
      </w:r>
    </w:p>
    <w:p w:rsidR="006169FD" w:rsidRDefault="006169FD">
      <w:pPr>
        <w:pStyle w:val="TOC8"/>
        <w:rPr>
          <w:rFonts w:asciiTheme="minorHAnsi" w:eastAsiaTheme="minorEastAsia" w:hAnsiTheme="minorHAnsi" w:cstheme="minorBidi"/>
          <w:szCs w:val="22"/>
        </w:rPr>
      </w:pPr>
      <w:r>
        <w:t>5.</w:t>
      </w:r>
      <w:r>
        <w:tab/>
        <w:t>How application to be dealt with</w:t>
      </w:r>
      <w:r>
        <w:tab/>
      </w:r>
      <w:r>
        <w:fldChar w:fldCharType="begin"/>
      </w:r>
      <w:r>
        <w:instrText xml:space="preserve"> PAGEREF _Toc75862862 \h </w:instrText>
      </w:r>
      <w:r>
        <w:fldChar w:fldCharType="separate"/>
      </w:r>
      <w:r w:rsidR="00FC1D84">
        <w:t>80</w:t>
      </w:r>
      <w:r>
        <w:fldChar w:fldCharType="end"/>
      </w:r>
    </w:p>
    <w:p w:rsidR="006169FD" w:rsidRDefault="006169FD">
      <w:pPr>
        <w:pStyle w:val="TOC8"/>
        <w:rPr>
          <w:rFonts w:asciiTheme="minorHAnsi" w:eastAsiaTheme="minorEastAsia" w:hAnsiTheme="minorHAnsi" w:cstheme="minorBidi"/>
          <w:szCs w:val="22"/>
        </w:rPr>
      </w:pPr>
      <w:r>
        <w:t>6.</w:t>
      </w:r>
      <w:r>
        <w:tab/>
        <w:t>Procedure on receipt of certificate of service</w:t>
      </w:r>
      <w:r>
        <w:tab/>
      </w:r>
      <w:r>
        <w:fldChar w:fldCharType="begin"/>
      </w:r>
      <w:r>
        <w:instrText xml:space="preserve"> PAGEREF _Toc75862863 \h </w:instrText>
      </w:r>
      <w:r>
        <w:fldChar w:fldCharType="separate"/>
      </w:r>
      <w:r w:rsidR="00FC1D84">
        <w:t>81</w:t>
      </w:r>
      <w:r>
        <w:fldChar w:fldCharType="end"/>
      </w:r>
    </w:p>
    <w:p w:rsidR="006169FD" w:rsidRDefault="006169FD">
      <w:pPr>
        <w:pStyle w:val="TOC8"/>
        <w:rPr>
          <w:rFonts w:asciiTheme="minorHAnsi" w:eastAsiaTheme="minorEastAsia" w:hAnsiTheme="minorHAnsi" w:cstheme="minorBidi"/>
          <w:szCs w:val="22"/>
        </w:rPr>
      </w:pPr>
      <w:r>
        <w:t>7.</w:t>
      </w:r>
      <w:r>
        <w:tab/>
        <w:t>Payment of costs</w:t>
      </w:r>
      <w:r>
        <w:tab/>
      </w:r>
      <w:r>
        <w:fldChar w:fldCharType="begin"/>
      </w:r>
      <w:r>
        <w:instrText xml:space="preserve"> PAGEREF _Toc75862864 \h </w:instrText>
      </w:r>
      <w:r>
        <w:fldChar w:fldCharType="separate"/>
      </w:r>
      <w:r w:rsidR="00FC1D84">
        <w:t>82</w:t>
      </w:r>
      <w:r>
        <w:fldChar w:fldCharType="end"/>
      </w:r>
    </w:p>
    <w:p w:rsidR="006169FD" w:rsidRDefault="006169FD">
      <w:pPr>
        <w:pStyle w:val="TOC8"/>
        <w:rPr>
          <w:rFonts w:asciiTheme="minorHAnsi" w:eastAsiaTheme="minorEastAsia" w:hAnsiTheme="minorHAnsi" w:cstheme="minorBidi"/>
          <w:szCs w:val="22"/>
        </w:rPr>
      </w:pPr>
      <w:r>
        <w:t>8.</w:t>
      </w:r>
      <w:r>
        <w:tab/>
        <w:t>Evidence of service</w:t>
      </w:r>
      <w:r>
        <w:tab/>
      </w:r>
      <w:r>
        <w:fldChar w:fldCharType="begin"/>
      </w:r>
      <w:r>
        <w:instrText xml:space="preserve"> PAGEREF _Toc75862865 \h </w:instrText>
      </w:r>
      <w:r>
        <w:fldChar w:fldCharType="separate"/>
      </w:r>
      <w:r w:rsidR="00FC1D84">
        <w:t>83</w:t>
      </w:r>
      <w:r>
        <w:fldChar w:fldCharType="end"/>
      </w:r>
    </w:p>
    <w:p w:rsidR="006169FD" w:rsidRDefault="006169FD">
      <w:pPr>
        <w:pStyle w:val="TOC4"/>
        <w:tabs>
          <w:tab w:val="right" w:leader="dot" w:pos="7077"/>
        </w:tabs>
        <w:rPr>
          <w:rFonts w:asciiTheme="minorHAnsi" w:eastAsiaTheme="minorEastAsia" w:hAnsiTheme="minorHAnsi" w:cstheme="minorBidi"/>
          <w:b w:val="0"/>
          <w:szCs w:val="22"/>
        </w:rPr>
      </w:pPr>
      <w:r>
        <w:t>Division 3 — Default judgment following service abroad of initiating process</w:t>
      </w:r>
    </w:p>
    <w:p w:rsidR="006169FD" w:rsidRDefault="006169FD">
      <w:pPr>
        <w:pStyle w:val="TOC8"/>
        <w:rPr>
          <w:rFonts w:asciiTheme="minorHAnsi" w:eastAsiaTheme="minorEastAsia" w:hAnsiTheme="minorHAnsi" w:cstheme="minorBidi"/>
          <w:szCs w:val="22"/>
        </w:rPr>
      </w:pPr>
      <w:r>
        <w:t>9.</w:t>
      </w:r>
      <w:r>
        <w:tab/>
        <w:t>Application of this Division</w:t>
      </w:r>
      <w:r>
        <w:tab/>
      </w:r>
      <w:r>
        <w:fldChar w:fldCharType="begin"/>
      </w:r>
      <w:r>
        <w:instrText xml:space="preserve"> PAGEREF _Toc75862867 \h </w:instrText>
      </w:r>
      <w:r>
        <w:fldChar w:fldCharType="separate"/>
      </w:r>
      <w:r w:rsidR="00FC1D84">
        <w:t>83</w:t>
      </w:r>
      <w:r>
        <w:fldChar w:fldCharType="end"/>
      </w:r>
    </w:p>
    <w:p w:rsidR="006169FD" w:rsidRDefault="006169FD">
      <w:pPr>
        <w:pStyle w:val="TOC8"/>
        <w:rPr>
          <w:rFonts w:asciiTheme="minorHAnsi" w:eastAsiaTheme="minorEastAsia" w:hAnsiTheme="minorHAnsi" w:cstheme="minorBidi"/>
          <w:szCs w:val="22"/>
        </w:rPr>
      </w:pPr>
      <w:r>
        <w:t>10.</w:t>
      </w:r>
      <w:r>
        <w:tab/>
        <w:t>Restriction on power to enter default judgment if certificate of service filed</w:t>
      </w:r>
      <w:r>
        <w:tab/>
      </w:r>
      <w:r>
        <w:fldChar w:fldCharType="begin"/>
      </w:r>
      <w:r>
        <w:instrText xml:space="preserve"> PAGEREF _Toc75862868 \h </w:instrText>
      </w:r>
      <w:r>
        <w:fldChar w:fldCharType="separate"/>
      </w:r>
      <w:r w:rsidR="00FC1D84">
        <w:t>83</w:t>
      </w:r>
      <w:r>
        <w:fldChar w:fldCharType="end"/>
      </w:r>
    </w:p>
    <w:p w:rsidR="006169FD" w:rsidRDefault="006169FD">
      <w:pPr>
        <w:pStyle w:val="TOC8"/>
        <w:rPr>
          <w:rFonts w:asciiTheme="minorHAnsi" w:eastAsiaTheme="minorEastAsia" w:hAnsiTheme="minorHAnsi" w:cstheme="minorBidi"/>
          <w:szCs w:val="22"/>
        </w:rPr>
      </w:pPr>
      <w:r>
        <w:t>11.</w:t>
      </w:r>
      <w:r>
        <w:tab/>
        <w:t>Restriction on power to enter default judgment if certificate of service not filed</w:t>
      </w:r>
      <w:r>
        <w:tab/>
      </w:r>
      <w:r>
        <w:fldChar w:fldCharType="begin"/>
      </w:r>
      <w:r>
        <w:instrText xml:space="preserve"> PAGEREF _Toc75862869 \h </w:instrText>
      </w:r>
      <w:r>
        <w:fldChar w:fldCharType="separate"/>
      </w:r>
      <w:r w:rsidR="00FC1D84">
        <w:t>85</w:t>
      </w:r>
      <w:r>
        <w:fldChar w:fldCharType="end"/>
      </w:r>
    </w:p>
    <w:p w:rsidR="006169FD" w:rsidRDefault="006169FD">
      <w:pPr>
        <w:pStyle w:val="TOC8"/>
        <w:rPr>
          <w:rFonts w:asciiTheme="minorHAnsi" w:eastAsiaTheme="minorEastAsia" w:hAnsiTheme="minorHAnsi" w:cstheme="minorBidi"/>
          <w:szCs w:val="22"/>
        </w:rPr>
      </w:pPr>
      <w:r>
        <w:t>12.</w:t>
      </w:r>
      <w:r>
        <w:tab/>
        <w:t>Setting aside judgment in default of appearance</w:t>
      </w:r>
      <w:r>
        <w:tab/>
      </w:r>
      <w:r>
        <w:fldChar w:fldCharType="begin"/>
      </w:r>
      <w:r>
        <w:instrText xml:space="preserve"> PAGEREF _Toc75862870 \h </w:instrText>
      </w:r>
      <w:r>
        <w:fldChar w:fldCharType="separate"/>
      </w:r>
      <w:r w:rsidR="00FC1D84">
        <w:t>85</w:t>
      </w:r>
      <w:r>
        <w:fldChar w:fldCharType="end"/>
      </w:r>
    </w:p>
    <w:p w:rsidR="006169FD" w:rsidRDefault="006169FD">
      <w:pPr>
        <w:pStyle w:val="TOC4"/>
        <w:tabs>
          <w:tab w:val="right" w:leader="dot" w:pos="7077"/>
        </w:tabs>
        <w:rPr>
          <w:rFonts w:asciiTheme="minorHAnsi" w:eastAsiaTheme="minorEastAsia" w:hAnsiTheme="minorHAnsi" w:cstheme="minorBidi"/>
          <w:b w:val="0"/>
          <w:szCs w:val="22"/>
        </w:rPr>
      </w:pPr>
      <w:r>
        <w:t>Division 4 — Local service of foreign judicial documents</w:t>
      </w:r>
    </w:p>
    <w:p w:rsidR="006169FD" w:rsidRDefault="006169FD">
      <w:pPr>
        <w:pStyle w:val="TOC8"/>
        <w:rPr>
          <w:rFonts w:asciiTheme="minorHAnsi" w:eastAsiaTheme="minorEastAsia" w:hAnsiTheme="minorHAnsi" w:cstheme="minorBidi"/>
          <w:szCs w:val="22"/>
        </w:rPr>
      </w:pPr>
      <w:r>
        <w:t>13.</w:t>
      </w:r>
      <w:r>
        <w:tab/>
        <w:t>Application of this Division</w:t>
      </w:r>
      <w:r>
        <w:tab/>
      </w:r>
      <w:r>
        <w:fldChar w:fldCharType="begin"/>
      </w:r>
      <w:r>
        <w:instrText xml:space="preserve"> PAGEREF _Toc75862872 \h </w:instrText>
      </w:r>
      <w:r>
        <w:fldChar w:fldCharType="separate"/>
      </w:r>
      <w:r w:rsidR="00FC1D84">
        <w:t>86</w:t>
      </w:r>
      <w:r>
        <w:fldChar w:fldCharType="end"/>
      </w:r>
    </w:p>
    <w:p w:rsidR="006169FD" w:rsidRDefault="006169FD">
      <w:pPr>
        <w:pStyle w:val="TOC8"/>
        <w:rPr>
          <w:rFonts w:asciiTheme="minorHAnsi" w:eastAsiaTheme="minorEastAsia" w:hAnsiTheme="minorHAnsi" w:cstheme="minorBidi"/>
          <w:szCs w:val="22"/>
        </w:rPr>
      </w:pPr>
      <w:r>
        <w:t>14.</w:t>
      </w:r>
      <w:r>
        <w:tab/>
        <w:t>Certain documents to be referred back to Attorney</w:t>
      </w:r>
      <w:r>
        <w:noBreakHyphen/>
        <w:t>General’s Department of Commonwealth</w:t>
      </w:r>
      <w:r>
        <w:tab/>
      </w:r>
      <w:r>
        <w:fldChar w:fldCharType="begin"/>
      </w:r>
      <w:r>
        <w:instrText xml:space="preserve"> PAGEREF _Toc75862873 \h </w:instrText>
      </w:r>
      <w:r>
        <w:fldChar w:fldCharType="separate"/>
      </w:r>
      <w:r w:rsidR="00FC1D84">
        <w:t>87</w:t>
      </w:r>
      <w:r>
        <w:fldChar w:fldCharType="end"/>
      </w:r>
    </w:p>
    <w:p w:rsidR="006169FD" w:rsidRDefault="006169FD">
      <w:pPr>
        <w:pStyle w:val="TOC8"/>
        <w:rPr>
          <w:rFonts w:asciiTheme="minorHAnsi" w:eastAsiaTheme="minorEastAsia" w:hAnsiTheme="minorHAnsi" w:cstheme="minorBidi"/>
          <w:szCs w:val="22"/>
        </w:rPr>
      </w:pPr>
      <w:r>
        <w:t>15.</w:t>
      </w:r>
      <w:r>
        <w:tab/>
        <w:t>Service</w:t>
      </w:r>
      <w:r>
        <w:tab/>
      </w:r>
      <w:r>
        <w:fldChar w:fldCharType="begin"/>
      </w:r>
      <w:r>
        <w:instrText xml:space="preserve"> PAGEREF _Toc75862874 \h </w:instrText>
      </w:r>
      <w:r>
        <w:fldChar w:fldCharType="separate"/>
      </w:r>
      <w:r w:rsidR="00FC1D84">
        <w:t>88</w:t>
      </w:r>
      <w:r>
        <w:fldChar w:fldCharType="end"/>
      </w:r>
    </w:p>
    <w:p w:rsidR="006169FD" w:rsidRDefault="006169FD">
      <w:pPr>
        <w:pStyle w:val="TOC8"/>
        <w:rPr>
          <w:rFonts w:asciiTheme="minorHAnsi" w:eastAsiaTheme="minorEastAsia" w:hAnsiTheme="minorHAnsi" w:cstheme="minorBidi"/>
          <w:szCs w:val="22"/>
        </w:rPr>
      </w:pPr>
      <w:r>
        <w:t>16.</w:t>
      </w:r>
      <w:r>
        <w:tab/>
        <w:t>Affidavit as to service</w:t>
      </w:r>
      <w:r>
        <w:tab/>
      </w:r>
      <w:r>
        <w:fldChar w:fldCharType="begin"/>
      </w:r>
      <w:r>
        <w:instrText xml:space="preserve"> PAGEREF _Toc75862875 \h </w:instrText>
      </w:r>
      <w:r>
        <w:fldChar w:fldCharType="separate"/>
      </w:r>
      <w:r w:rsidR="00FC1D84">
        <w:t>89</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12 — Appearance</w:t>
      </w:r>
    </w:p>
    <w:p w:rsidR="006169FD" w:rsidRDefault="006169FD">
      <w:pPr>
        <w:pStyle w:val="TOC8"/>
        <w:rPr>
          <w:rFonts w:asciiTheme="minorHAnsi" w:eastAsiaTheme="minorEastAsia" w:hAnsiTheme="minorHAnsi" w:cstheme="minorBidi"/>
          <w:szCs w:val="22"/>
        </w:rPr>
      </w:pPr>
      <w:r>
        <w:t>1</w:t>
      </w:r>
      <w:r w:rsidRPr="00AA3DF9">
        <w:rPr>
          <w:snapToGrid w:val="0"/>
        </w:rPr>
        <w:t>.</w:t>
      </w:r>
      <w:r w:rsidRPr="00AA3DF9">
        <w:rPr>
          <w:snapToGrid w:val="0"/>
        </w:rPr>
        <w:tab/>
        <w:t>Who may enter appearance</w:t>
      </w:r>
      <w:r>
        <w:tab/>
      </w:r>
      <w:r>
        <w:fldChar w:fldCharType="begin"/>
      </w:r>
      <w:r>
        <w:instrText xml:space="preserve"> PAGEREF _Toc75862877 \h </w:instrText>
      </w:r>
      <w:r>
        <w:fldChar w:fldCharType="separate"/>
      </w:r>
      <w:r w:rsidR="00FC1D84">
        <w:t>91</w:t>
      </w:r>
      <w:r>
        <w:fldChar w:fldCharType="end"/>
      </w:r>
    </w:p>
    <w:p w:rsidR="006169FD" w:rsidRDefault="006169FD">
      <w:pPr>
        <w:pStyle w:val="TOC8"/>
        <w:rPr>
          <w:rFonts w:asciiTheme="minorHAnsi" w:eastAsiaTheme="minorEastAsia" w:hAnsiTheme="minorHAnsi" w:cstheme="minorBidi"/>
          <w:szCs w:val="22"/>
        </w:rPr>
      </w:pPr>
      <w:r>
        <w:t>2.</w:t>
      </w:r>
      <w:r>
        <w:tab/>
        <w:t>How to enter an appearance</w:t>
      </w:r>
      <w:r>
        <w:tab/>
      </w:r>
      <w:r>
        <w:fldChar w:fldCharType="begin"/>
      </w:r>
      <w:r>
        <w:instrText xml:space="preserve"> PAGEREF _Toc75862878 \h </w:instrText>
      </w:r>
      <w:r>
        <w:fldChar w:fldCharType="separate"/>
      </w:r>
      <w:r w:rsidR="00FC1D84">
        <w:t>91</w:t>
      </w:r>
      <w:r>
        <w:fldChar w:fldCharType="end"/>
      </w:r>
    </w:p>
    <w:p w:rsidR="006169FD" w:rsidRDefault="006169FD">
      <w:pPr>
        <w:pStyle w:val="TOC8"/>
        <w:rPr>
          <w:rFonts w:asciiTheme="minorHAnsi" w:eastAsiaTheme="minorEastAsia" w:hAnsiTheme="minorHAnsi" w:cstheme="minorBidi"/>
          <w:szCs w:val="22"/>
        </w:rPr>
      </w:pPr>
      <w:r>
        <w:t>3</w:t>
      </w:r>
      <w:r w:rsidRPr="00AA3DF9">
        <w:rPr>
          <w:snapToGrid w:val="0"/>
        </w:rPr>
        <w:t>.</w:t>
      </w:r>
      <w:r w:rsidRPr="00AA3DF9">
        <w:rPr>
          <w:snapToGrid w:val="0"/>
        </w:rPr>
        <w:tab/>
        <w:t>Procedure on receipt of requisite documents</w:t>
      </w:r>
      <w:r>
        <w:tab/>
      </w:r>
      <w:r>
        <w:fldChar w:fldCharType="begin"/>
      </w:r>
      <w:r>
        <w:instrText xml:space="preserve"> PAGEREF _Toc75862879 \h </w:instrText>
      </w:r>
      <w:r>
        <w:fldChar w:fldCharType="separate"/>
      </w:r>
      <w:r w:rsidR="00FC1D84">
        <w:t>91</w:t>
      </w:r>
      <w:r>
        <w:fldChar w:fldCharType="end"/>
      </w:r>
    </w:p>
    <w:p w:rsidR="006169FD" w:rsidRDefault="006169FD">
      <w:pPr>
        <w:pStyle w:val="TOC8"/>
        <w:rPr>
          <w:rFonts w:asciiTheme="minorHAnsi" w:eastAsiaTheme="minorEastAsia" w:hAnsiTheme="minorHAnsi" w:cstheme="minorBidi"/>
          <w:szCs w:val="22"/>
        </w:rPr>
      </w:pPr>
      <w:r>
        <w:t>4.</w:t>
      </w:r>
      <w:r>
        <w:tab/>
        <w:t>Appearance to be served on plaintiff</w:t>
      </w:r>
      <w:r>
        <w:tab/>
      </w:r>
      <w:r>
        <w:fldChar w:fldCharType="begin"/>
      </w:r>
      <w:r>
        <w:instrText xml:space="preserve"> PAGEREF _Toc75862880 \h </w:instrText>
      </w:r>
      <w:r>
        <w:fldChar w:fldCharType="separate"/>
      </w:r>
      <w:r w:rsidR="00FC1D84">
        <w:t>92</w:t>
      </w:r>
      <w:r>
        <w:fldChar w:fldCharType="end"/>
      </w:r>
    </w:p>
    <w:p w:rsidR="006169FD" w:rsidRDefault="006169FD">
      <w:pPr>
        <w:pStyle w:val="TOC8"/>
        <w:rPr>
          <w:rFonts w:asciiTheme="minorHAnsi" w:eastAsiaTheme="minorEastAsia" w:hAnsiTheme="minorHAnsi" w:cstheme="minorBidi"/>
          <w:szCs w:val="22"/>
        </w:rPr>
      </w:pPr>
      <w:r>
        <w:t>5</w:t>
      </w:r>
      <w:r w:rsidRPr="00AA3DF9">
        <w:rPr>
          <w:snapToGrid w:val="0"/>
        </w:rPr>
        <w:t>.</w:t>
      </w:r>
      <w:r w:rsidRPr="00AA3DF9">
        <w:rPr>
          <w:snapToGrid w:val="0"/>
        </w:rPr>
        <w:tab/>
        <w:t>Late appearance</w:t>
      </w:r>
      <w:r>
        <w:tab/>
      </w:r>
      <w:r>
        <w:fldChar w:fldCharType="begin"/>
      </w:r>
      <w:r>
        <w:instrText xml:space="preserve"> PAGEREF _Toc75862881 \h </w:instrText>
      </w:r>
      <w:r>
        <w:fldChar w:fldCharType="separate"/>
      </w:r>
      <w:r w:rsidR="00FC1D84">
        <w:t>92</w:t>
      </w:r>
      <w:r>
        <w:fldChar w:fldCharType="end"/>
      </w:r>
    </w:p>
    <w:p w:rsidR="006169FD" w:rsidRDefault="006169FD">
      <w:pPr>
        <w:pStyle w:val="TOC8"/>
        <w:rPr>
          <w:rFonts w:asciiTheme="minorHAnsi" w:eastAsiaTheme="minorEastAsia" w:hAnsiTheme="minorHAnsi" w:cstheme="minorBidi"/>
          <w:szCs w:val="22"/>
        </w:rPr>
      </w:pPr>
      <w:r>
        <w:t>6</w:t>
      </w:r>
      <w:r w:rsidRPr="00AA3DF9">
        <w:rPr>
          <w:snapToGrid w:val="0"/>
        </w:rPr>
        <w:t>.</w:t>
      </w:r>
      <w:r w:rsidRPr="00AA3DF9">
        <w:rPr>
          <w:snapToGrid w:val="0"/>
        </w:rPr>
        <w:tab/>
        <w:t>Conditional appearance</w:t>
      </w:r>
      <w:r>
        <w:tab/>
      </w:r>
      <w:r>
        <w:fldChar w:fldCharType="begin"/>
      </w:r>
      <w:r>
        <w:instrText xml:space="preserve"> PAGEREF _Toc75862882 \h </w:instrText>
      </w:r>
      <w:r>
        <w:fldChar w:fldCharType="separate"/>
      </w:r>
      <w:r w:rsidR="00FC1D84">
        <w:t>92</w:t>
      </w:r>
      <w:r>
        <w:fldChar w:fldCharType="end"/>
      </w:r>
    </w:p>
    <w:p w:rsidR="006169FD" w:rsidRDefault="006169FD">
      <w:pPr>
        <w:pStyle w:val="TOC8"/>
        <w:rPr>
          <w:rFonts w:asciiTheme="minorHAnsi" w:eastAsiaTheme="minorEastAsia" w:hAnsiTheme="minorHAnsi" w:cstheme="minorBidi"/>
          <w:szCs w:val="22"/>
        </w:rPr>
      </w:pPr>
      <w:r>
        <w:t>7.</w:t>
      </w:r>
      <w:r>
        <w:tab/>
        <w:t>Setting aside writ etc. before appearance</w:t>
      </w:r>
      <w:r>
        <w:tab/>
      </w:r>
      <w:r>
        <w:fldChar w:fldCharType="begin"/>
      </w:r>
      <w:r>
        <w:instrText xml:space="preserve"> PAGEREF _Toc75862883 \h </w:instrText>
      </w:r>
      <w:r>
        <w:fldChar w:fldCharType="separate"/>
      </w:r>
      <w:r w:rsidR="00FC1D84">
        <w:t>93</w:t>
      </w:r>
      <w:r>
        <w:fldChar w:fldCharType="end"/>
      </w:r>
    </w:p>
    <w:p w:rsidR="006169FD" w:rsidRDefault="006169FD">
      <w:pPr>
        <w:pStyle w:val="TOC8"/>
        <w:rPr>
          <w:rFonts w:asciiTheme="minorHAnsi" w:eastAsiaTheme="minorEastAsia" w:hAnsiTheme="minorHAnsi" w:cstheme="minorBidi"/>
          <w:szCs w:val="22"/>
        </w:rPr>
      </w:pPr>
      <w:r>
        <w:lastRenderedPageBreak/>
        <w:t>8</w:t>
      </w:r>
      <w:r w:rsidRPr="00AA3DF9">
        <w:rPr>
          <w:snapToGrid w:val="0"/>
        </w:rPr>
        <w:t>.</w:t>
      </w:r>
      <w:r w:rsidRPr="00AA3DF9">
        <w:rPr>
          <w:snapToGrid w:val="0"/>
        </w:rPr>
        <w:tab/>
        <w:t>Person not named may defend action for possession of land</w:t>
      </w:r>
      <w:r>
        <w:tab/>
      </w:r>
      <w:r>
        <w:fldChar w:fldCharType="begin"/>
      </w:r>
      <w:r>
        <w:instrText xml:space="preserve"> PAGEREF _Toc75862884 \h </w:instrText>
      </w:r>
      <w:r>
        <w:fldChar w:fldCharType="separate"/>
      </w:r>
      <w:r w:rsidR="00FC1D84">
        <w:t>93</w:t>
      </w:r>
      <w:r>
        <w:fldChar w:fldCharType="end"/>
      </w:r>
    </w:p>
    <w:p w:rsidR="006169FD" w:rsidRDefault="006169FD">
      <w:pPr>
        <w:pStyle w:val="TOC8"/>
        <w:rPr>
          <w:rFonts w:asciiTheme="minorHAnsi" w:eastAsiaTheme="minorEastAsia" w:hAnsiTheme="minorHAnsi" w:cstheme="minorBidi"/>
          <w:szCs w:val="22"/>
        </w:rPr>
      </w:pPr>
      <w:r>
        <w:t>9</w:t>
      </w:r>
      <w:r w:rsidRPr="00AA3DF9">
        <w:rPr>
          <w:snapToGrid w:val="0"/>
        </w:rPr>
        <w:t>.</w:t>
      </w:r>
      <w:r w:rsidRPr="00AA3DF9">
        <w:rPr>
          <w:snapToGrid w:val="0"/>
        </w:rPr>
        <w:tab/>
        <w:t>Person appearing under r. 8 to be named as defendant</w:t>
      </w:r>
      <w:r>
        <w:tab/>
      </w:r>
      <w:r>
        <w:fldChar w:fldCharType="begin"/>
      </w:r>
      <w:r>
        <w:instrText xml:space="preserve"> PAGEREF _Toc75862885 \h </w:instrText>
      </w:r>
      <w:r>
        <w:fldChar w:fldCharType="separate"/>
      </w:r>
      <w:r w:rsidR="00FC1D84">
        <w:t>93</w:t>
      </w:r>
      <w:r>
        <w:fldChar w:fldCharType="end"/>
      </w:r>
    </w:p>
    <w:p w:rsidR="006169FD" w:rsidRDefault="006169FD">
      <w:pPr>
        <w:pStyle w:val="TOC8"/>
        <w:rPr>
          <w:rFonts w:asciiTheme="minorHAnsi" w:eastAsiaTheme="minorEastAsia" w:hAnsiTheme="minorHAnsi" w:cstheme="minorBidi"/>
          <w:szCs w:val="22"/>
        </w:rPr>
      </w:pPr>
      <w:r>
        <w:t>10</w:t>
      </w:r>
      <w:r w:rsidRPr="00AA3DF9">
        <w:rPr>
          <w:snapToGrid w:val="0"/>
        </w:rPr>
        <w:t>.</w:t>
      </w:r>
      <w:r w:rsidRPr="00AA3DF9">
        <w:rPr>
          <w:snapToGrid w:val="0"/>
        </w:rPr>
        <w:tab/>
        <w:t>Limiting defence in action for possession of land</w:t>
      </w:r>
      <w:r>
        <w:tab/>
      </w:r>
      <w:r>
        <w:fldChar w:fldCharType="begin"/>
      </w:r>
      <w:r>
        <w:instrText xml:space="preserve"> PAGEREF _Toc75862886 \h </w:instrText>
      </w:r>
      <w:r>
        <w:fldChar w:fldCharType="separate"/>
      </w:r>
      <w:r w:rsidR="00FC1D84">
        <w:t>94</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13 — Judgment in default of appearance to writ</w:t>
      </w:r>
    </w:p>
    <w:p w:rsidR="006169FD" w:rsidRDefault="006169FD">
      <w:pPr>
        <w:pStyle w:val="TOC8"/>
        <w:rPr>
          <w:rFonts w:asciiTheme="minorHAnsi" w:eastAsiaTheme="minorEastAsia" w:hAnsiTheme="minorHAnsi" w:cstheme="minorBidi"/>
          <w:szCs w:val="22"/>
        </w:rPr>
      </w:pPr>
      <w:r>
        <w:t>1.</w:t>
      </w:r>
      <w:r>
        <w:tab/>
        <w:t>Plaintiff may enter judgment if defendant fails to enter appearance</w:t>
      </w:r>
      <w:r>
        <w:tab/>
      </w:r>
      <w:r>
        <w:fldChar w:fldCharType="begin"/>
      </w:r>
      <w:r>
        <w:instrText xml:space="preserve"> PAGEREF _Toc75862888 \h </w:instrText>
      </w:r>
      <w:r>
        <w:fldChar w:fldCharType="separate"/>
      </w:r>
      <w:r w:rsidR="00FC1D84">
        <w:t>95</w:t>
      </w:r>
      <w:r>
        <w:fldChar w:fldCharType="end"/>
      </w:r>
    </w:p>
    <w:p w:rsidR="006169FD" w:rsidRDefault="006169FD">
      <w:pPr>
        <w:pStyle w:val="TOC8"/>
        <w:rPr>
          <w:rFonts w:asciiTheme="minorHAnsi" w:eastAsiaTheme="minorEastAsia" w:hAnsiTheme="minorHAnsi" w:cstheme="minorBidi"/>
          <w:szCs w:val="22"/>
        </w:rPr>
      </w:pPr>
      <w:r>
        <w:t>2.</w:t>
      </w:r>
      <w:r>
        <w:tab/>
        <w:t>Claim for liquidated demand</w:t>
      </w:r>
      <w:r>
        <w:tab/>
      </w:r>
      <w:r>
        <w:fldChar w:fldCharType="begin"/>
      </w:r>
      <w:r>
        <w:instrText xml:space="preserve"> PAGEREF _Toc75862889 \h </w:instrText>
      </w:r>
      <w:r>
        <w:fldChar w:fldCharType="separate"/>
      </w:r>
      <w:r w:rsidR="00FC1D84">
        <w:t>95</w:t>
      </w:r>
      <w:r>
        <w:fldChar w:fldCharType="end"/>
      </w:r>
    </w:p>
    <w:p w:rsidR="006169FD" w:rsidRDefault="006169FD">
      <w:pPr>
        <w:pStyle w:val="TOC8"/>
        <w:rPr>
          <w:rFonts w:asciiTheme="minorHAnsi" w:eastAsiaTheme="minorEastAsia" w:hAnsiTheme="minorHAnsi" w:cstheme="minorBidi"/>
          <w:szCs w:val="22"/>
        </w:rPr>
      </w:pPr>
      <w:r>
        <w:t>3.</w:t>
      </w:r>
      <w:r>
        <w:tab/>
        <w:t>Claims for unliquidated damages</w:t>
      </w:r>
      <w:r>
        <w:tab/>
      </w:r>
      <w:r>
        <w:fldChar w:fldCharType="begin"/>
      </w:r>
      <w:r>
        <w:instrText xml:space="preserve"> PAGEREF _Toc75862890 \h </w:instrText>
      </w:r>
      <w:r>
        <w:fldChar w:fldCharType="separate"/>
      </w:r>
      <w:r w:rsidR="00FC1D84">
        <w:t>96</w:t>
      </w:r>
      <w:r>
        <w:fldChar w:fldCharType="end"/>
      </w:r>
    </w:p>
    <w:p w:rsidR="006169FD" w:rsidRDefault="006169FD">
      <w:pPr>
        <w:pStyle w:val="TOC8"/>
        <w:rPr>
          <w:rFonts w:asciiTheme="minorHAnsi" w:eastAsiaTheme="minorEastAsia" w:hAnsiTheme="minorHAnsi" w:cstheme="minorBidi"/>
          <w:szCs w:val="22"/>
        </w:rPr>
      </w:pPr>
      <w:r>
        <w:t>4.</w:t>
      </w:r>
      <w:r>
        <w:tab/>
        <w:t>Claim relating to detention of goods (excluding mortgage actions)</w:t>
      </w:r>
      <w:r>
        <w:tab/>
      </w:r>
      <w:r>
        <w:fldChar w:fldCharType="begin"/>
      </w:r>
      <w:r>
        <w:instrText xml:space="preserve"> PAGEREF _Toc75862891 \h </w:instrText>
      </w:r>
      <w:r>
        <w:fldChar w:fldCharType="separate"/>
      </w:r>
      <w:r w:rsidR="00FC1D84">
        <w:t>96</w:t>
      </w:r>
      <w:r>
        <w:fldChar w:fldCharType="end"/>
      </w:r>
    </w:p>
    <w:p w:rsidR="006169FD" w:rsidRDefault="006169FD">
      <w:pPr>
        <w:pStyle w:val="TOC8"/>
        <w:rPr>
          <w:rFonts w:asciiTheme="minorHAnsi" w:eastAsiaTheme="minorEastAsia" w:hAnsiTheme="minorHAnsi" w:cstheme="minorBidi"/>
          <w:szCs w:val="22"/>
        </w:rPr>
      </w:pPr>
      <w:r>
        <w:t>5.</w:t>
      </w:r>
      <w:r>
        <w:tab/>
        <w:t>Claim for possession of land (excluding mortgage actions)</w:t>
      </w:r>
      <w:r>
        <w:tab/>
      </w:r>
      <w:r>
        <w:fldChar w:fldCharType="begin"/>
      </w:r>
      <w:r>
        <w:instrText xml:space="preserve"> PAGEREF _Toc75862892 \h </w:instrText>
      </w:r>
      <w:r>
        <w:fldChar w:fldCharType="separate"/>
      </w:r>
      <w:r w:rsidR="00FC1D84">
        <w:t>97</w:t>
      </w:r>
      <w:r>
        <w:fldChar w:fldCharType="end"/>
      </w:r>
    </w:p>
    <w:p w:rsidR="006169FD" w:rsidRDefault="006169FD">
      <w:pPr>
        <w:pStyle w:val="TOC8"/>
        <w:rPr>
          <w:rFonts w:asciiTheme="minorHAnsi" w:eastAsiaTheme="minorEastAsia" w:hAnsiTheme="minorHAnsi" w:cstheme="minorBidi"/>
          <w:szCs w:val="22"/>
        </w:rPr>
      </w:pPr>
      <w:r>
        <w:t>6.</w:t>
      </w:r>
      <w:r>
        <w:tab/>
        <w:t>Mortgage actions</w:t>
      </w:r>
      <w:r>
        <w:tab/>
      </w:r>
      <w:r>
        <w:fldChar w:fldCharType="begin"/>
      </w:r>
      <w:r>
        <w:instrText xml:space="preserve"> PAGEREF _Toc75862893 \h </w:instrText>
      </w:r>
      <w:r>
        <w:fldChar w:fldCharType="separate"/>
      </w:r>
      <w:r w:rsidR="00FC1D84">
        <w:t>98</w:t>
      </w:r>
      <w:r>
        <w:fldChar w:fldCharType="end"/>
      </w:r>
    </w:p>
    <w:p w:rsidR="006169FD" w:rsidRDefault="006169FD">
      <w:pPr>
        <w:pStyle w:val="TOC8"/>
        <w:rPr>
          <w:rFonts w:asciiTheme="minorHAnsi" w:eastAsiaTheme="minorEastAsia" w:hAnsiTheme="minorHAnsi" w:cstheme="minorBidi"/>
          <w:szCs w:val="22"/>
        </w:rPr>
      </w:pPr>
      <w:r>
        <w:t>7.</w:t>
      </w:r>
      <w:r>
        <w:tab/>
        <w:t>Content of affidavit required by r. 6(2)(b)(ii)</w:t>
      </w:r>
      <w:r>
        <w:tab/>
      </w:r>
      <w:r>
        <w:fldChar w:fldCharType="begin"/>
      </w:r>
      <w:r>
        <w:instrText xml:space="preserve"> PAGEREF _Toc75862894 \h </w:instrText>
      </w:r>
      <w:r>
        <w:fldChar w:fldCharType="separate"/>
      </w:r>
      <w:r w:rsidR="00FC1D84">
        <w:t>99</w:t>
      </w:r>
      <w:r>
        <w:fldChar w:fldCharType="end"/>
      </w:r>
    </w:p>
    <w:p w:rsidR="006169FD" w:rsidRDefault="006169FD">
      <w:pPr>
        <w:pStyle w:val="TOC8"/>
        <w:rPr>
          <w:rFonts w:asciiTheme="minorHAnsi" w:eastAsiaTheme="minorEastAsia" w:hAnsiTheme="minorHAnsi" w:cstheme="minorBidi"/>
          <w:szCs w:val="22"/>
        </w:rPr>
      </w:pPr>
      <w:r>
        <w:t>8.</w:t>
      </w:r>
      <w:r>
        <w:tab/>
        <w:t>Writs for 2 or more claims to which r. 2 to 6 apply</w:t>
      </w:r>
      <w:r>
        <w:tab/>
      </w:r>
      <w:r>
        <w:fldChar w:fldCharType="begin"/>
      </w:r>
      <w:r>
        <w:instrText xml:space="preserve"> PAGEREF _Toc75862895 \h </w:instrText>
      </w:r>
      <w:r>
        <w:fldChar w:fldCharType="separate"/>
      </w:r>
      <w:r w:rsidR="00FC1D84">
        <w:t>101</w:t>
      </w:r>
      <w:r>
        <w:fldChar w:fldCharType="end"/>
      </w:r>
    </w:p>
    <w:p w:rsidR="006169FD" w:rsidRDefault="006169FD">
      <w:pPr>
        <w:pStyle w:val="TOC8"/>
        <w:rPr>
          <w:rFonts w:asciiTheme="minorHAnsi" w:eastAsiaTheme="minorEastAsia" w:hAnsiTheme="minorHAnsi" w:cstheme="minorBidi"/>
          <w:szCs w:val="22"/>
        </w:rPr>
      </w:pPr>
      <w:r>
        <w:t>9.</w:t>
      </w:r>
      <w:r>
        <w:tab/>
        <w:t>Writs for other claims</w:t>
      </w:r>
      <w:r>
        <w:tab/>
      </w:r>
      <w:r>
        <w:fldChar w:fldCharType="begin"/>
      </w:r>
      <w:r>
        <w:instrText xml:space="preserve"> PAGEREF _Toc75862896 \h </w:instrText>
      </w:r>
      <w:r>
        <w:fldChar w:fldCharType="separate"/>
      </w:r>
      <w:r w:rsidR="00FC1D84">
        <w:t>102</w:t>
      </w:r>
      <w:r>
        <w:fldChar w:fldCharType="end"/>
      </w:r>
    </w:p>
    <w:p w:rsidR="006169FD" w:rsidRDefault="006169FD">
      <w:pPr>
        <w:pStyle w:val="TOC8"/>
        <w:rPr>
          <w:rFonts w:asciiTheme="minorHAnsi" w:eastAsiaTheme="minorEastAsia" w:hAnsiTheme="minorHAnsi" w:cstheme="minorBidi"/>
          <w:szCs w:val="22"/>
        </w:rPr>
      </w:pPr>
      <w:r>
        <w:t>10.</w:t>
      </w:r>
      <w:r>
        <w:tab/>
        <w:t>Entry of judgment for costs only upon writs for other claims</w:t>
      </w:r>
      <w:r>
        <w:tab/>
      </w:r>
      <w:r>
        <w:fldChar w:fldCharType="begin"/>
      </w:r>
      <w:r>
        <w:instrText xml:space="preserve"> PAGEREF _Toc75862897 \h </w:instrText>
      </w:r>
      <w:r>
        <w:fldChar w:fldCharType="separate"/>
      </w:r>
      <w:r w:rsidR="00FC1D84">
        <w:t>102</w:t>
      </w:r>
      <w:r>
        <w:fldChar w:fldCharType="end"/>
      </w:r>
    </w:p>
    <w:p w:rsidR="006169FD" w:rsidRDefault="006169FD">
      <w:pPr>
        <w:pStyle w:val="TOC8"/>
        <w:rPr>
          <w:rFonts w:asciiTheme="minorHAnsi" w:eastAsiaTheme="minorEastAsia" w:hAnsiTheme="minorHAnsi" w:cstheme="minorBidi"/>
          <w:szCs w:val="22"/>
        </w:rPr>
      </w:pPr>
      <w:r>
        <w:t>11.</w:t>
      </w:r>
      <w:r>
        <w:tab/>
        <w:t>Reference to Court in case of doubt or difficulty</w:t>
      </w:r>
      <w:r>
        <w:tab/>
      </w:r>
      <w:r>
        <w:fldChar w:fldCharType="begin"/>
      </w:r>
      <w:r>
        <w:instrText xml:space="preserve"> PAGEREF _Toc75862898 \h </w:instrText>
      </w:r>
      <w:r>
        <w:fldChar w:fldCharType="separate"/>
      </w:r>
      <w:r w:rsidR="00FC1D84">
        <w:t>103</w:t>
      </w:r>
      <w:r>
        <w:fldChar w:fldCharType="end"/>
      </w:r>
    </w:p>
    <w:p w:rsidR="006169FD" w:rsidRDefault="006169FD">
      <w:pPr>
        <w:pStyle w:val="TOC8"/>
        <w:rPr>
          <w:rFonts w:asciiTheme="minorHAnsi" w:eastAsiaTheme="minorEastAsia" w:hAnsiTheme="minorHAnsi" w:cstheme="minorBidi"/>
          <w:szCs w:val="22"/>
        </w:rPr>
      </w:pPr>
      <w:r>
        <w:t>12.</w:t>
      </w:r>
      <w:r>
        <w:tab/>
        <w:t>Default judgment to inform defendant of certain matters</w:t>
      </w:r>
      <w:r>
        <w:tab/>
      </w:r>
      <w:r>
        <w:fldChar w:fldCharType="begin"/>
      </w:r>
      <w:r>
        <w:instrText xml:space="preserve"> PAGEREF _Toc75862899 \h </w:instrText>
      </w:r>
      <w:r>
        <w:fldChar w:fldCharType="separate"/>
      </w:r>
      <w:r w:rsidR="00FC1D84">
        <w:t>103</w:t>
      </w:r>
      <w:r>
        <w:fldChar w:fldCharType="end"/>
      </w:r>
    </w:p>
    <w:p w:rsidR="006169FD" w:rsidRDefault="006169FD">
      <w:pPr>
        <w:pStyle w:val="TOC8"/>
        <w:rPr>
          <w:rFonts w:asciiTheme="minorHAnsi" w:eastAsiaTheme="minorEastAsia" w:hAnsiTheme="minorHAnsi" w:cstheme="minorBidi"/>
          <w:szCs w:val="22"/>
        </w:rPr>
      </w:pPr>
      <w:r>
        <w:t>13.</w:t>
      </w:r>
      <w:r>
        <w:tab/>
        <w:t>Service of default judgment</w:t>
      </w:r>
      <w:r>
        <w:tab/>
      </w:r>
      <w:r>
        <w:fldChar w:fldCharType="begin"/>
      </w:r>
      <w:r>
        <w:instrText xml:space="preserve"> PAGEREF _Toc75862900 \h </w:instrText>
      </w:r>
      <w:r>
        <w:fldChar w:fldCharType="separate"/>
      </w:r>
      <w:r w:rsidR="00FC1D84">
        <w:t>104</w:t>
      </w:r>
      <w:r>
        <w:fldChar w:fldCharType="end"/>
      </w:r>
    </w:p>
    <w:p w:rsidR="006169FD" w:rsidRDefault="006169FD">
      <w:pPr>
        <w:pStyle w:val="TOC8"/>
        <w:rPr>
          <w:rFonts w:asciiTheme="minorHAnsi" w:eastAsiaTheme="minorEastAsia" w:hAnsiTheme="minorHAnsi" w:cstheme="minorBidi"/>
          <w:szCs w:val="22"/>
        </w:rPr>
      </w:pPr>
      <w:r>
        <w:t>14.</w:t>
      </w:r>
      <w:r>
        <w:tab/>
        <w:t>Setting aside or varying default judgment</w:t>
      </w:r>
      <w:r>
        <w:tab/>
      </w:r>
      <w:r>
        <w:fldChar w:fldCharType="begin"/>
      </w:r>
      <w:r>
        <w:instrText xml:space="preserve"> PAGEREF _Toc75862901 \h </w:instrText>
      </w:r>
      <w:r>
        <w:fldChar w:fldCharType="separate"/>
      </w:r>
      <w:r w:rsidR="00FC1D84">
        <w:t>104</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14 — Summary judgment</w:t>
      </w:r>
    </w:p>
    <w:p w:rsidR="006169FD" w:rsidRDefault="006169FD">
      <w:pPr>
        <w:pStyle w:val="TOC8"/>
        <w:rPr>
          <w:rFonts w:asciiTheme="minorHAnsi" w:eastAsiaTheme="minorEastAsia" w:hAnsiTheme="minorHAnsi" w:cstheme="minorBidi"/>
          <w:szCs w:val="22"/>
        </w:rPr>
      </w:pPr>
      <w:r>
        <w:t>1</w:t>
      </w:r>
      <w:r w:rsidRPr="00AA3DF9">
        <w:rPr>
          <w:snapToGrid w:val="0"/>
        </w:rPr>
        <w:t>.</w:t>
      </w:r>
      <w:r w:rsidRPr="00AA3DF9">
        <w:rPr>
          <w:snapToGrid w:val="0"/>
        </w:rPr>
        <w:tab/>
        <w:t>When plaintiff may apply for summary judgment</w:t>
      </w:r>
      <w:r>
        <w:tab/>
      </w:r>
      <w:r>
        <w:fldChar w:fldCharType="begin"/>
      </w:r>
      <w:r>
        <w:instrText xml:space="preserve"> PAGEREF _Toc75862903 \h </w:instrText>
      </w:r>
      <w:r>
        <w:fldChar w:fldCharType="separate"/>
      </w:r>
      <w:r w:rsidR="00FC1D84">
        <w:t>105</w:t>
      </w:r>
      <w:r>
        <w:fldChar w:fldCharType="end"/>
      </w:r>
    </w:p>
    <w:p w:rsidR="006169FD" w:rsidRDefault="006169FD">
      <w:pPr>
        <w:pStyle w:val="TOC8"/>
        <w:rPr>
          <w:rFonts w:asciiTheme="minorHAnsi" w:eastAsiaTheme="minorEastAsia" w:hAnsiTheme="minorHAnsi" w:cstheme="minorBidi"/>
          <w:szCs w:val="22"/>
        </w:rPr>
      </w:pPr>
      <w:r>
        <w:t>2</w:t>
      </w:r>
      <w:r w:rsidRPr="00AA3DF9">
        <w:rPr>
          <w:snapToGrid w:val="0"/>
        </w:rPr>
        <w:t>.</w:t>
      </w:r>
      <w:r w:rsidRPr="00AA3DF9">
        <w:rPr>
          <w:snapToGrid w:val="0"/>
        </w:rPr>
        <w:tab/>
        <w:t>Application under r. 1, how to make</w:t>
      </w:r>
      <w:r>
        <w:tab/>
      </w:r>
      <w:r>
        <w:fldChar w:fldCharType="begin"/>
      </w:r>
      <w:r>
        <w:instrText xml:space="preserve"> PAGEREF _Toc75862904 \h </w:instrText>
      </w:r>
      <w:r>
        <w:fldChar w:fldCharType="separate"/>
      </w:r>
      <w:r w:rsidR="00FC1D84">
        <w:t>105</w:t>
      </w:r>
      <w:r>
        <w:fldChar w:fldCharType="end"/>
      </w:r>
    </w:p>
    <w:p w:rsidR="006169FD" w:rsidRDefault="006169FD">
      <w:pPr>
        <w:pStyle w:val="TOC8"/>
        <w:rPr>
          <w:rFonts w:asciiTheme="minorHAnsi" w:eastAsiaTheme="minorEastAsia" w:hAnsiTheme="minorHAnsi" w:cstheme="minorBidi"/>
          <w:szCs w:val="22"/>
        </w:rPr>
      </w:pPr>
      <w:r>
        <w:t>3</w:t>
      </w:r>
      <w:r w:rsidRPr="00AA3DF9">
        <w:rPr>
          <w:snapToGrid w:val="0"/>
        </w:rPr>
        <w:t>.</w:t>
      </w:r>
      <w:r w:rsidRPr="00AA3DF9">
        <w:rPr>
          <w:snapToGrid w:val="0"/>
        </w:rPr>
        <w:tab/>
        <w:t>Judgment may be given for plaintiff</w:t>
      </w:r>
      <w:r>
        <w:tab/>
      </w:r>
      <w:r>
        <w:fldChar w:fldCharType="begin"/>
      </w:r>
      <w:r>
        <w:instrText xml:space="preserve"> PAGEREF _Toc75862905 \h </w:instrText>
      </w:r>
      <w:r>
        <w:fldChar w:fldCharType="separate"/>
      </w:r>
      <w:r w:rsidR="00FC1D84">
        <w:t>106</w:t>
      </w:r>
      <w:r>
        <w:fldChar w:fldCharType="end"/>
      </w:r>
    </w:p>
    <w:p w:rsidR="006169FD" w:rsidRDefault="006169FD">
      <w:pPr>
        <w:pStyle w:val="TOC8"/>
        <w:rPr>
          <w:rFonts w:asciiTheme="minorHAnsi" w:eastAsiaTheme="minorEastAsia" w:hAnsiTheme="minorHAnsi" w:cstheme="minorBidi"/>
          <w:szCs w:val="22"/>
        </w:rPr>
      </w:pPr>
      <w:r>
        <w:t>4</w:t>
      </w:r>
      <w:r w:rsidRPr="00AA3DF9">
        <w:rPr>
          <w:snapToGrid w:val="0"/>
        </w:rPr>
        <w:t>.</w:t>
      </w:r>
      <w:r w:rsidRPr="00AA3DF9">
        <w:rPr>
          <w:snapToGrid w:val="0"/>
        </w:rPr>
        <w:tab/>
        <w:t>Defendant may be given leave to defend</w:t>
      </w:r>
      <w:r>
        <w:tab/>
      </w:r>
      <w:r>
        <w:fldChar w:fldCharType="begin"/>
      </w:r>
      <w:r>
        <w:instrText xml:space="preserve"> PAGEREF _Toc75862906 \h </w:instrText>
      </w:r>
      <w:r>
        <w:fldChar w:fldCharType="separate"/>
      </w:r>
      <w:r w:rsidR="00FC1D84">
        <w:t>106</w:t>
      </w:r>
      <w:r>
        <w:fldChar w:fldCharType="end"/>
      </w:r>
    </w:p>
    <w:p w:rsidR="006169FD" w:rsidRDefault="006169FD">
      <w:pPr>
        <w:pStyle w:val="TOC8"/>
        <w:rPr>
          <w:rFonts w:asciiTheme="minorHAnsi" w:eastAsiaTheme="minorEastAsia" w:hAnsiTheme="minorHAnsi" w:cstheme="minorBidi"/>
          <w:szCs w:val="22"/>
        </w:rPr>
      </w:pPr>
      <w:r>
        <w:t>6</w:t>
      </w:r>
      <w:r w:rsidRPr="00AA3DF9">
        <w:rPr>
          <w:snapToGrid w:val="0"/>
        </w:rPr>
        <w:t>.</w:t>
      </w:r>
      <w:r w:rsidRPr="00AA3DF9">
        <w:rPr>
          <w:snapToGrid w:val="0"/>
        </w:rPr>
        <w:tab/>
        <w:t>Summary judgment on counterclaim</w:t>
      </w:r>
      <w:r>
        <w:tab/>
      </w:r>
      <w:r>
        <w:fldChar w:fldCharType="begin"/>
      </w:r>
      <w:r>
        <w:instrText xml:space="preserve"> PAGEREF _Toc75862907 \h </w:instrText>
      </w:r>
      <w:r>
        <w:fldChar w:fldCharType="separate"/>
      </w:r>
      <w:r w:rsidR="00FC1D84">
        <w:t>107</w:t>
      </w:r>
      <w:r>
        <w:fldChar w:fldCharType="end"/>
      </w:r>
    </w:p>
    <w:p w:rsidR="006169FD" w:rsidRDefault="006169FD">
      <w:pPr>
        <w:pStyle w:val="TOC8"/>
        <w:rPr>
          <w:rFonts w:asciiTheme="minorHAnsi" w:eastAsiaTheme="minorEastAsia" w:hAnsiTheme="minorHAnsi" w:cstheme="minorBidi"/>
          <w:szCs w:val="22"/>
        </w:rPr>
      </w:pPr>
      <w:r>
        <w:t>7</w:t>
      </w:r>
      <w:r w:rsidRPr="00AA3DF9">
        <w:rPr>
          <w:snapToGrid w:val="0"/>
        </w:rPr>
        <w:t>.</w:t>
      </w:r>
      <w:r w:rsidRPr="00AA3DF9">
        <w:rPr>
          <w:snapToGrid w:val="0"/>
        </w:rPr>
        <w:tab/>
        <w:t>Court’s powers if leave to defend given etc.</w:t>
      </w:r>
      <w:r>
        <w:tab/>
      </w:r>
      <w:r>
        <w:fldChar w:fldCharType="begin"/>
      </w:r>
      <w:r>
        <w:instrText xml:space="preserve"> PAGEREF _Toc75862908 \h </w:instrText>
      </w:r>
      <w:r>
        <w:fldChar w:fldCharType="separate"/>
      </w:r>
      <w:r w:rsidR="00FC1D84">
        <w:t>107</w:t>
      </w:r>
      <w:r>
        <w:fldChar w:fldCharType="end"/>
      </w:r>
    </w:p>
    <w:p w:rsidR="006169FD" w:rsidRDefault="006169FD">
      <w:pPr>
        <w:pStyle w:val="TOC8"/>
        <w:rPr>
          <w:rFonts w:asciiTheme="minorHAnsi" w:eastAsiaTheme="minorEastAsia" w:hAnsiTheme="minorHAnsi" w:cstheme="minorBidi"/>
          <w:szCs w:val="22"/>
        </w:rPr>
      </w:pPr>
      <w:r>
        <w:t>8</w:t>
      </w:r>
      <w:r w:rsidRPr="00AA3DF9">
        <w:rPr>
          <w:snapToGrid w:val="0"/>
        </w:rPr>
        <w:t>.</w:t>
      </w:r>
      <w:r w:rsidRPr="00AA3DF9">
        <w:rPr>
          <w:snapToGrid w:val="0"/>
        </w:rPr>
        <w:tab/>
        <w:t>Costs</w:t>
      </w:r>
      <w:r>
        <w:tab/>
      </w:r>
      <w:r>
        <w:fldChar w:fldCharType="begin"/>
      </w:r>
      <w:r>
        <w:instrText xml:space="preserve"> PAGEREF _Toc75862909 \h </w:instrText>
      </w:r>
      <w:r>
        <w:fldChar w:fldCharType="separate"/>
      </w:r>
      <w:r w:rsidR="00FC1D84">
        <w:t>108</w:t>
      </w:r>
      <w:r>
        <w:fldChar w:fldCharType="end"/>
      </w:r>
    </w:p>
    <w:p w:rsidR="006169FD" w:rsidRDefault="006169FD">
      <w:pPr>
        <w:pStyle w:val="TOC8"/>
        <w:rPr>
          <w:rFonts w:asciiTheme="minorHAnsi" w:eastAsiaTheme="minorEastAsia" w:hAnsiTheme="minorHAnsi" w:cstheme="minorBidi"/>
          <w:szCs w:val="22"/>
        </w:rPr>
      </w:pPr>
      <w:r>
        <w:t>9</w:t>
      </w:r>
      <w:r w:rsidRPr="00AA3DF9">
        <w:rPr>
          <w:snapToGrid w:val="0"/>
        </w:rPr>
        <w:t>.</w:t>
      </w:r>
      <w:r w:rsidRPr="00AA3DF9">
        <w:rPr>
          <w:snapToGrid w:val="0"/>
        </w:rPr>
        <w:tab/>
        <w:t>Right to proceed with residue of action or counterclaim</w:t>
      </w:r>
      <w:r>
        <w:tab/>
      </w:r>
      <w:r>
        <w:fldChar w:fldCharType="begin"/>
      </w:r>
      <w:r>
        <w:instrText xml:space="preserve"> PAGEREF _Toc75862910 \h </w:instrText>
      </w:r>
      <w:r>
        <w:fldChar w:fldCharType="separate"/>
      </w:r>
      <w:r w:rsidR="00FC1D84">
        <w:t>108</w:t>
      </w:r>
      <w:r>
        <w:fldChar w:fldCharType="end"/>
      </w:r>
    </w:p>
    <w:p w:rsidR="006169FD" w:rsidRDefault="006169FD">
      <w:pPr>
        <w:pStyle w:val="TOC8"/>
        <w:rPr>
          <w:rFonts w:asciiTheme="minorHAnsi" w:eastAsiaTheme="minorEastAsia" w:hAnsiTheme="minorHAnsi" w:cstheme="minorBidi"/>
          <w:szCs w:val="22"/>
        </w:rPr>
      </w:pPr>
      <w:r>
        <w:t>10</w:t>
      </w:r>
      <w:r w:rsidRPr="00AA3DF9">
        <w:rPr>
          <w:snapToGrid w:val="0"/>
        </w:rPr>
        <w:t>.</w:t>
      </w:r>
      <w:r w:rsidRPr="00AA3DF9">
        <w:rPr>
          <w:snapToGrid w:val="0"/>
        </w:rPr>
        <w:tab/>
        <w:t>Judgment for delivery of specific chattel</w:t>
      </w:r>
      <w:r>
        <w:tab/>
      </w:r>
      <w:r>
        <w:fldChar w:fldCharType="begin"/>
      </w:r>
      <w:r>
        <w:instrText xml:space="preserve"> PAGEREF _Toc75862911 \h </w:instrText>
      </w:r>
      <w:r>
        <w:fldChar w:fldCharType="separate"/>
      </w:r>
      <w:r w:rsidR="00FC1D84">
        <w:t>109</w:t>
      </w:r>
      <w:r>
        <w:fldChar w:fldCharType="end"/>
      </w:r>
    </w:p>
    <w:p w:rsidR="006169FD" w:rsidRDefault="006169FD">
      <w:pPr>
        <w:pStyle w:val="TOC8"/>
        <w:rPr>
          <w:rFonts w:asciiTheme="minorHAnsi" w:eastAsiaTheme="minorEastAsia" w:hAnsiTheme="minorHAnsi" w:cstheme="minorBidi"/>
          <w:szCs w:val="22"/>
        </w:rPr>
      </w:pPr>
      <w:r>
        <w:t>11</w:t>
      </w:r>
      <w:r w:rsidRPr="00AA3DF9">
        <w:rPr>
          <w:snapToGrid w:val="0"/>
        </w:rPr>
        <w:t>.</w:t>
      </w:r>
      <w:r w:rsidRPr="00AA3DF9">
        <w:rPr>
          <w:snapToGrid w:val="0"/>
        </w:rPr>
        <w:tab/>
        <w:t>Relief from judgment for recovery of land</w:t>
      </w:r>
      <w:r>
        <w:tab/>
      </w:r>
      <w:r>
        <w:fldChar w:fldCharType="begin"/>
      </w:r>
      <w:r>
        <w:instrText xml:space="preserve"> PAGEREF _Toc75862912 \h </w:instrText>
      </w:r>
      <w:r>
        <w:fldChar w:fldCharType="separate"/>
      </w:r>
      <w:r w:rsidR="00FC1D84">
        <w:t>109</w:t>
      </w:r>
      <w:r>
        <w:fldChar w:fldCharType="end"/>
      </w:r>
    </w:p>
    <w:p w:rsidR="006169FD" w:rsidRDefault="006169FD">
      <w:pPr>
        <w:pStyle w:val="TOC8"/>
        <w:rPr>
          <w:rFonts w:asciiTheme="minorHAnsi" w:eastAsiaTheme="minorEastAsia" w:hAnsiTheme="minorHAnsi" w:cstheme="minorBidi"/>
          <w:szCs w:val="22"/>
        </w:rPr>
      </w:pPr>
      <w:r>
        <w:lastRenderedPageBreak/>
        <w:t>12</w:t>
      </w:r>
      <w:r w:rsidRPr="00AA3DF9">
        <w:rPr>
          <w:snapToGrid w:val="0"/>
        </w:rPr>
        <w:t>.</w:t>
      </w:r>
      <w:r w:rsidRPr="00AA3DF9">
        <w:rPr>
          <w:snapToGrid w:val="0"/>
        </w:rPr>
        <w:tab/>
        <w:t>Summary judgment against absent party may be set aside or varied</w:t>
      </w:r>
      <w:r>
        <w:tab/>
      </w:r>
      <w:r>
        <w:fldChar w:fldCharType="begin"/>
      </w:r>
      <w:r>
        <w:instrText xml:space="preserve"> PAGEREF _Toc75862913 \h </w:instrText>
      </w:r>
      <w:r>
        <w:fldChar w:fldCharType="separate"/>
      </w:r>
      <w:r w:rsidR="00FC1D84">
        <w:t>109</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16 — Summary judgment on application of defendant</w:t>
      </w:r>
    </w:p>
    <w:p w:rsidR="006169FD" w:rsidRDefault="006169FD">
      <w:pPr>
        <w:pStyle w:val="TOC8"/>
        <w:rPr>
          <w:rFonts w:asciiTheme="minorHAnsi" w:eastAsiaTheme="minorEastAsia" w:hAnsiTheme="minorHAnsi" w:cstheme="minorBidi"/>
          <w:szCs w:val="22"/>
        </w:rPr>
      </w:pPr>
      <w:r>
        <w:t>1</w:t>
      </w:r>
      <w:r w:rsidRPr="00AA3DF9">
        <w:rPr>
          <w:snapToGrid w:val="0"/>
        </w:rPr>
        <w:t>.</w:t>
      </w:r>
      <w:r w:rsidRPr="00AA3DF9">
        <w:rPr>
          <w:snapToGrid w:val="0"/>
        </w:rPr>
        <w:tab/>
        <w:t>Application by defendant for summary judgment</w:t>
      </w:r>
      <w:r>
        <w:tab/>
      </w:r>
      <w:r>
        <w:fldChar w:fldCharType="begin"/>
      </w:r>
      <w:r>
        <w:instrText xml:space="preserve"> PAGEREF _Toc75862915 \h </w:instrText>
      </w:r>
      <w:r>
        <w:fldChar w:fldCharType="separate"/>
      </w:r>
      <w:r w:rsidR="00FC1D84">
        <w:t>110</w:t>
      </w:r>
      <w:r>
        <w:fldChar w:fldCharType="end"/>
      </w:r>
    </w:p>
    <w:p w:rsidR="006169FD" w:rsidRDefault="006169FD">
      <w:pPr>
        <w:pStyle w:val="TOC8"/>
        <w:rPr>
          <w:rFonts w:asciiTheme="minorHAnsi" w:eastAsiaTheme="minorEastAsia" w:hAnsiTheme="minorHAnsi" w:cstheme="minorBidi"/>
          <w:szCs w:val="22"/>
        </w:rPr>
      </w:pPr>
      <w:r>
        <w:t>2</w:t>
      </w:r>
      <w:r w:rsidRPr="00AA3DF9">
        <w:rPr>
          <w:snapToGrid w:val="0"/>
        </w:rPr>
        <w:t>.</w:t>
      </w:r>
      <w:r w:rsidRPr="00AA3DF9">
        <w:rPr>
          <w:snapToGrid w:val="0"/>
        </w:rPr>
        <w:tab/>
        <w:t>Plaintiff may show cause</w:t>
      </w:r>
      <w:r>
        <w:tab/>
      </w:r>
      <w:r>
        <w:fldChar w:fldCharType="begin"/>
      </w:r>
      <w:r>
        <w:instrText xml:space="preserve"> PAGEREF _Toc75862916 \h </w:instrText>
      </w:r>
      <w:r>
        <w:fldChar w:fldCharType="separate"/>
      </w:r>
      <w:r w:rsidR="00FC1D84">
        <w:t>110</w:t>
      </w:r>
      <w:r>
        <w:fldChar w:fldCharType="end"/>
      </w:r>
    </w:p>
    <w:p w:rsidR="006169FD" w:rsidRDefault="006169FD">
      <w:pPr>
        <w:pStyle w:val="TOC8"/>
        <w:rPr>
          <w:rFonts w:asciiTheme="minorHAnsi" w:eastAsiaTheme="minorEastAsia" w:hAnsiTheme="minorHAnsi" w:cstheme="minorBidi"/>
          <w:szCs w:val="22"/>
        </w:rPr>
      </w:pPr>
      <w:r>
        <w:t>3</w:t>
      </w:r>
      <w:r w:rsidRPr="00AA3DF9">
        <w:rPr>
          <w:snapToGrid w:val="0"/>
        </w:rPr>
        <w:t>.</w:t>
      </w:r>
      <w:r w:rsidRPr="00AA3DF9">
        <w:rPr>
          <w:snapToGrid w:val="0"/>
        </w:rPr>
        <w:tab/>
        <w:t>Court’s powers if action to go to trial</w:t>
      </w:r>
      <w:r>
        <w:tab/>
      </w:r>
      <w:r>
        <w:fldChar w:fldCharType="begin"/>
      </w:r>
      <w:r>
        <w:instrText xml:space="preserve"> PAGEREF _Toc75862917 \h </w:instrText>
      </w:r>
      <w:r>
        <w:fldChar w:fldCharType="separate"/>
      </w:r>
      <w:r w:rsidR="00FC1D84">
        <w:t>111</w:t>
      </w:r>
      <w:r>
        <w:fldChar w:fldCharType="end"/>
      </w:r>
    </w:p>
    <w:p w:rsidR="006169FD" w:rsidRDefault="006169FD">
      <w:pPr>
        <w:pStyle w:val="TOC8"/>
        <w:rPr>
          <w:rFonts w:asciiTheme="minorHAnsi" w:eastAsiaTheme="minorEastAsia" w:hAnsiTheme="minorHAnsi" w:cstheme="minorBidi"/>
          <w:szCs w:val="22"/>
        </w:rPr>
      </w:pPr>
      <w:r>
        <w:t>4</w:t>
      </w:r>
      <w:r w:rsidRPr="00AA3DF9">
        <w:rPr>
          <w:snapToGrid w:val="0"/>
        </w:rPr>
        <w:t>.</w:t>
      </w:r>
      <w:r w:rsidRPr="00AA3DF9">
        <w:rPr>
          <w:snapToGrid w:val="0"/>
        </w:rPr>
        <w:tab/>
        <w:t>Summary judgment against absent party may be set aside or varied</w:t>
      </w:r>
      <w:r>
        <w:tab/>
      </w:r>
      <w:r>
        <w:fldChar w:fldCharType="begin"/>
      </w:r>
      <w:r>
        <w:instrText xml:space="preserve"> PAGEREF _Toc75862918 \h </w:instrText>
      </w:r>
      <w:r>
        <w:fldChar w:fldCharType="separate"/>
      </w:r>
      <w:r w:rsidR="00FC1D84">
        <w:t>111</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17 — Interpleader</w:t>
      </w:r>
    </w:p>
    <w:p w:rsidR="006169FD" w:rsidRDefault="006169FD">
      <w:pPr>
        <w:pStyle w:val="TOC8"/>
        <w:rPr>
          <w:rFonts w:asciiTheme="minorHAnsi" w:eastAsiaTheme="minorEastAsia" w:hAnsiTheme="minorHAnsi" w:cstheme="minorBidi"/>
          <w:szCs w:val="22"/>
        </w:rPr>
      </w:pPr>
      <w:r>
        <w:t>1</w:t>
      </w:r>
      <w:r w:rsidRPr="00AA3DF9">
        <w:rPr>
          <w:snapToGrid w:val="0"/>
        </w:rPr>
        <w:t>.</w:t>
      </w:r>
      <w:r w:rsidRPr="00AA3DF9">
        <w:rPr>
          <w:snapToGrid w:val="0"/>
        </w:rPr>
        <w:tab/>
        <w:t>When interpleader relief may be granted</w:t>
      </w:r>
      <w:r>
        <w:tab/>
      </w:r>
      <w:r>
        <w:fldChar w:fldCharType="begin"/>
      </w:r>
      <w:r>
        <w:instrText xml:space="preserve"> PAGEREF _Toc75862920 \h </w:instrText>
      </w:r>
      <w:r>
        <w:fldChar w:fldCharType="separate"/>
      </w:r>
      <w:r w:rsidR="00FC1D84">
        <w:t>112</w:t>
      </w:r>
      <w:r>
        <w:fldChar w:fldCharType="end"/>
      </w:r>
    </w:p>
    <w:p w:rsidR="006169FD" w:rsidRDefault="006169FD">
      <w:pPr>
        <w:pStyle w:val="TOC8"/>
        <w:rPr>
          <w:rFonts w:asciiTheme="minorHAnsi" w:eastAsiaTheme="minorEastAsia" w:hAnsiTheme="minorHAnsi" w:cstheme="minorBidi"/>
          <w:szCs w:val="22"/>
        </w:rPr>
      </w:pPr>
      <w:r>
        <w:t>2</w:t>
      </w:r>
      <w:r w:rsidRPr="00AA3DF9">
        <w:rPr>
          <w:snapToGrid w:val="0"/>
        </w:rPr>
        <w:t>.</w:t>
      </w:r>
      <w:r w:rsidRPr="00AA3DF9">
        <w:rPr>
          <w:snapToGrid w:val="0"/>
        </w:rPr>
        <w:tab/>
        <w:t>How to apply for interpleader relief</w:t>
      </w:r>
      <w:r>
        <w:tab/>
      </w:r>
      <w:r>
        <w:fldChar w:fldCharType="begin"/>
      </w:r>
      <w:r>
        <w:instrText xml:space="preserve"> PAGEREF _Toc75862921 \h </w:instrText>
      </w:r>
      <w:r>
        <w:fldChar w:fldCharType="separate"/>
      </w:r>
      <w:r w:rsidR="00FC1D84">
        <w:t>112</w:t>
      </w:r>
      <w:r>
        <w:fldChar w:fldCharType="end"/>
      </w:r>
    </w:p>
    <w:p w:rsidR="006169FD" w:rsidRDefault="006169FD">
      <w:pPr>
        <w:pStyle w:val="TOC8"/>
        <w:rPr>
          <w:rFonts w:asciiTheme="minorHAnsi" w:eastAsiaTheme="minorEastAsia" w:hAnsiTheme="minorHAnsi" w:cstheme="minorBidi"/>
          <w:szCs w:val="22"/>
        </w:rPr>
      </w:pPr>
      <w:r>
        <w:t>3</w:t>
      </w:r>
      <w:r w:rsidRPr="00AA3DF9">
        <w:rPr>
          <w:snapToGrid w:val="0"/>
        </w:rPr>
        <w:t>.</w:t>
      </w:r>
      <w:r w:rsidRPr="00AA3DF9">
        <w:rPr>
          <w:snapToGrid w:val="0"/>
        </w:rPr>
        <w:tab/>
        <w:t>Time for application by defendant</w:t>
      </w:r>
      <w:r>
        <w:tab/>
      </w:r>
      <w:r>
        <w:fldChar w:fldCharType="begin"/>
      </w:r>
      <w:r>
        <w:instrText xml:space="preserve"> PAGEREF _Toc75862922 \h </w:instrText>
      </w:r>
      <w:r>
        <w:fldChar w:fldCharType="separate"/>
      </w:r>
      <w:r w:rsidR="00FC1D84">
        <w:t>113</w:t>
      </w:r>
      <w:r>
        <w:fldChar w:fldCharType="end"/>
      </w:r>
    </w:p>
    <w:p w:rsidR="006169FD" w:rsidRDefault="006169FD">
      <w:pPr>
        <w:pStyle w:val="TOC8"/>
        <w:rPr>
          <w:rFonts w:asciiTheme="minorHAnsi" w:eastAsiaTheme="minorEastAsia" w:hAnsiTheme="minorHAnsi" w:cstheme="minorBidi"/>
          <w:szCs w:val="22"/>
        </w:rPr>
      </w:pPr>
      <w:r>
        <w:t>4</w:t>
      </w:r>
      <w:r w:rsidRPr="00AA3DF9">
        <w:rPr>
          <w:snapToGrid w:val="0"/>
        </w:rPr>
        <w:t>.</w:t>
      </w:r>
      <w:r w:rsidRPr="00AA3DF9">
        <w:rPr>
          <w:snapToGrid w:val="0"/>
        </w:rPr>
        <w:tab/>
        <w:t>Stay of proceedings</w:t>
      </w:r>
      <w:r>
        <w:tab/>
      </w:r>
      <w:r>
        <w:fldChar w:fldCharType="begin"/>
      </w:r>
      <w:r>
        <w:instrText xml:space="preserve"> PAGEREF _Toc75862923 \h </w:instrText>
      </w:r>
      <w:r>
        <w:fldChar w:fldCharType="separate"/>
      </w:r>
      <w:r w:rsidR="00FC1D84">
        <w:t>113</w:t>
      </w:r>
      <w:r>
        <w:fldChar w:fldCharType="end"/>
      </w:r>
    </w:p>
    <w:p w:rsidR="006169FD" w:rsidRDefault="006169FD">
      <w:pPr>
        <w:pStyle w:val="TOC8"/>
        <w:rPr>
          <w:rFonts w:asciiTheme="minorHAnsi" w:eastAsiaTheme="minorEastAsia" w:hAnsiTheme="minorHAnsi" w:cstheme="minorBidi"/>
          <w:szCs w:val="22"/>
        </w:rPr>
      </w:pPr>
      <w:r>
        <w:t>5</w:t>
      </w:r>
      <w:r w:rsidRPr="00AA3DF9">
        <w:rPr>
          <w:snapToGrid w:val="0"/>
        </w:rPr>
        <w:t>.</w:t>
      </w:r>
      <w:r w:rsidRPr="00AA3DF9">
        <w:rPr>
          <w:snapToGrid w:val="0"/>
        </w:rPr>
        <w:tab/>
        <w:t>Court’s powers on application</w:t>
      </w:r>
      <w:r>
        <w:tab/>
      </w:r>
      <w:r>
        <w:fldChar w:fldCharType="begin"/>
      </w:r>
      <w:r>
        <w:instrText xml:space="preserve"> PAGEREF _Toc75862924 \h </w:instrText>
      </w:r>
      <w:r>
        <w:fldChar w:fldCharType="separate"/>
      </w:r>
      <w:r w:rsidR="00FC1D84">
        <w:t>113</w:t>
      </w:r>
      <w:r>
        <w:fldChar w:fldCharType="end"/>
      </w:r>
    </w:p>
    <w:p w:rsidR="006169FD" w:rsidRDefault="006169FD">
      <w:pPr>
        <w:pStyle w:val="TOC8"/>
        <w:rPr>
          <w:rFonts w:asciiTheme="minorHAnsi" w:eastAsiaTheme="minorEastAsia" w:hAnsiTheme="minorHAnsi" w:cstheme="minorBidi"/>
          <w:szCs w:val="22"/>
        </w:rPr>
      </w:pPr>
      <w:r>
        <w:t>6</w:t>
      </w:r>
      <w:r w:rsidRPr="00AA3DF9">
        <w:rPr>
          <w:snapToGrid w:val="0"/>
        </w:rPr>
        <w:t>.</w:t>
      </w:r>
      <w:r w:rsidRPr="00AA3DF9">
        <w:rPr>
          <w:snapToGrid w:val="0"/>
        </w:rPr>
        <w:tab/>
        <w:t>Summary determination</w:t>
      </w:r>
      <w:r>
        <w:tab/>
      </w:r>
      <w:r>
        <w:fldChar w:fldCharType="begin"/>
      </w:r>
      <w:r>
        <w:instrText xml:space="preserve"> PAGEREF _Toc75862925 \h </w:instrText>
      </w:r>
      <w:r>
        <w:fldChar w:fldCharType="separate"/>
      </w:r>
      <w:r w:rsidR="00FC1D84">
        <w:t>113</w:t>
      </w:r>
      <w:r>
        <w:fldChar w:fldCharType="end"/>
      </w:r>
    </w:p>
    <w:p w:rsidR="006169FD" w:rsidRDefault="006169FD">
      <w:pPr>
        <w:pStyle w:val="TOC8"/>
        <w:rPr>
          <w:rFonts w:asciiTheme="minorHAnsi" w:eastAsiaTheme="minorEastAsia" w:hAnsiTheme="minorHAnsi" w:cstheme="minorBidi"/>
          <w:szCs w:val="22"/>
        </w:rPr>
      </w:pPr>
      <w:r>
        <w:t>7</w:t>
      </w:r>
      <w:r w:rsidRPr="00AA3DF9">
        <w:rPr>
          <w:snapToGrid w:val="0"/>
        </w:rPr>
        <w:t>.</w:t>
      </w:r>
      <w:r w:rsidRPr="00AA3DF9">
        <w:rPr>
          <w:snapToGrid w:val="0"/>
        </w:rPr>
        <w:tab/>
        <w:t>Where question of law only</w:t>
      </w:r>
      <w:r>
        <w:tab/>
      </w:r>
      <w:r>
        <w:fldChar w:fldCharType="begin"/>
      </w:r>
      <w:r>
        <w:instrText xml:space="preserve"> PAGEREF _Toc75862926 \h </w:instrText>
      </w:r>
      <w:r>
        <w:fldChar w:fldCharType="separate"/>
      </w:r>
      <w:r w:rsidR="00FC1D84">
        <w:t>113</w:t>
      </w:r>
      <w:r>
        <w:fldChar w:fldCharType="end"/>
      </w:r>
    </w:p>
    <w:p w:rsidR="006169FD" w:rsidRDefault="006169FD">
      <w:pPr>
        <w:pStyle w:val="TOC8"/>
        <w:rPr>
          <w:rFonts w:asciiTheme="minorHAnsi" w:eastAsiaTheme="minorEastAsia" w:hAnsiTheme="minorHAnsi" w:cstheme="minorBidi"/>
          <w:szCs w:val="22"/>
        </w:rPr>
      </w:pPr>
      <w:r>
        <w:t>8</w:t>
      </w:r>
      <w:r w:rsidRPr="00AA3DF9">
        <w:rPr>
          <w:snapToGrid w:val="0"/>
        </w:rPr>
        <w:t>.</w:t>
      </w:r>
      <w:r w:rsidRPr="00AA3DF9">
        <w:rPr>
          <w:snapToGrid w:val="0"/>
        </w:rPr>
        <w:tab/>
        <w:t>Claimant failing to appear etc.</w:t>
      </w:r>
      <w:r>
        <w:tab/>
      </w:r>
      <w:r>
        <w:fldChar w:fldCharType="begin"/>
      </w:r>
      <w:r>
        <w:instrText xml:space="preserve"> PAGEREF _Toc75862927 \h </w:instrText>
      </w:r>
      <w:r>
        <w:fldChar w:fldCharType="separate"/>
      </w:r>
      <w:r w:rsidR="00FC1D84">
        <w:t>114</w:t>
      </w:r>
      <w:r>
        <w:fldChar w:fldCharType="end"/>
      </w:r>
    </w:p>
    <w:p w:rsidR="006169FD" w:rsidRDefault="006169FD">
      <w:pPr>
        <w:pStyle w:val="TOC8"/>
        <w:rPr>
          <w:rFonts w:asciiTheme="minorHAnsi" w:eastAsiaTheme="minorEastAsia" w:hAnsiTheme="minorHAnsi" w:cstheme="minorBidi"/>
          <w:szCs w:val="22"/>
        </w:rPr>
      </w:pPr>
      <w:r>
        <w:t>9</w:t>
      </w:r>
      <w:r w:rsidRPr="00AA3DF9">
        <w:rPr>
          <w:snapToGrid w:val="0"/>
        </w:rPr>
        <w:t>.</w:t>
      </w:r>
      <w:r w:rsidRPr="00AA3DF9">
        <w:rPr>
          <w:snapToGrid w:val="0"/>
        </w:rPr>
        <w:tab/>
        <w:t>Power to order sale of goods</w:t>
      </w:r>
      <w:r>
        <w:tab/>
      </w:r>
      <w:r>
        <w:fldChar w:fldCharType="begin"/>
      </w:r>
      <w:r>
        <w:instrText xml:space="preserve"> PAGEREF _Toc75862928 \h </w:instrText>
      </w:r>
      <w:r>
        <w:fldChar w:fldCharType="separate"/>
      </w:r>
      <w:r w:rsidR="00FC1D84">
        <w:t>114</w:t>
      </w:r>
      <w:r>
        <w:fldChar w:fldCharType="end"/>
      </w:r>
    </w:p>
    <w:p w:rsidR="006169FD" w:rsidRDefault="006169FD">
      <w:pPr>
        <w:pStyle w:val="TOC8"/>
        <w:rPr>
          <w:rFonts w:asciiTheme="minorHAnsi" w:eastAsiaTheme="minorEastAsia" w:hAnsiTheme="minorHAnsi" w:cstheme="minorBidi"/>
          <w:szCs w:val="22"/>
        </w:rPr>
      </w:pPr>
      <w:r>
        <w:t>10</w:t>
      </w:r>
      <w:r w:rsidRPr="00AA3DF9">
        <w:rPr>
          <w:snapToGrid w:val="0"/>
        </w:rPr>
        <w:t>.</w:t>
      </w:r>
      <w:r w:rsidRPr="00AA3DF9">
        <w:rPr>
          <w:snapToGrid w:val="0"/>
        </w:rPr>
        <w:tab/>
        <w:t>Discovery etc. and trial</w:t>
      </w:r>
      <w:r>
        <w:tab/>
      </w:r>
      <w:r>
        <w:fldChar w:fldCharType="begin"/>
      </w:r>
      <w:r>
        <w:instrText xml:space="preserve"> PAGEREF _Toc75862929 \h </w:instrText>
      </w:r>
      <w:r>
        <w:fldChar w:fldCharType="separate"/>
      </w:r>
      <w:r w:rsidR="00FC1D84">
        <w:t>114</w:t>
      </w:r>
      <w:r>
        <w:fldChar w:fldCharType="end"/>
      </w:r>
    </w:p>
    <w:p w:rsidR="006169FD" w:rsidRDefault="006169FD">
      <w:pPr>
        <w:pStyle w:val="TOC8"/>
        <w:rPr>
          <w:rFonts w:asciiTheme="minorHAnsi" w:eastAsiaTheme="minorEastAsia" w:hAnsiTheme="minorHAnsi" w:cstheme="minorBidi"/>
          <w:szCs w:val="22"/>
        </w:rPr>
      </w:pPr>
      <w:r>
        <w:t>11</w:t>
      </w:r>
      <w:r w:rsidRPr="00AA3DF9">
        <w:rPr>
          <w:snapToGrid w:val="0"/>
        </w:rPr>
        <w:t>.</w:t>
      </w:r>
      <w:r w:rsidRPr="00AA3DF9">
        <w:rPr>
          <w:snapToGrid w:val="0"/>
        </w:rPr>
        <w:tab/>
        <w:t>One order where several causes pending</w:t>
      </w:r>
      <w:r>
        <w:tab/>
      </w:r>
      <w:r>
        <w:fldChar w:fldCharType="begin"/>
      </w:r>
      <w:r>
        <w:instrText xml:space="preserve"> PAGEREF _Toc75862930 \h </w:instrText>
      </w:r>
      <w:r>
        <w:fldChar w:fldCharType="separate"/>
      </w:r>
      <w:r w:rsidR="00FC1D84">
        <w:t>114</w:t>
      </w:r>
      <w:r>
        <w:fldChar w:fldCharType="end"/>
      </w:r>
    </w:p>
    <w:p w:rsidR="006169FD" w:rsidRDefault="006169FD">
      <w:pPr>
        <w:pStyle w:val="TOC8"/>
        <w:rPr>
          <w:rFonts w:asciiTheme="minorHAnsi" w:eastAsiaTheme="minorEastAsia" w:hAnsiTheme="minorHAnsi" w:cstheme="minorBidi"/>
          <w:szCs w:val="22"/>
        </w:rPr>
      </w:pPr>
      <w:r>
        <w:t>15</w:t>
      </w:r>
      <w:r w:rsidRPr="00AA3DF9">
        <w:rPr>
          <w:snapToGrid w:val="0"/>
        </w:rPr>
        <w:t>.</w:t>
      </w:r>
      <w:r w:rsidRPr="00AA3DF9">
        <w:rPr>
          <w:snapToGrid w:val="0"/>
        </w:rPr>
        <w:tab/>
        <w:t>Orders as to costs etc.</w:t>
      </w:r>
      <w:r>
        <w:tab/>
      </w:r>
      <w:r>
        <w:fldChar w:fldCharType="begin"/>
      </w:r>
      <w:r>
        <w:instrText xml:space="preserve"> PAGEREF _Toc75862931 \h </w:instrText>
      </w:r>
      <w:r>
        <w:fldChar w:fldCharType="separate"/>
      </w:r>
      <w:r w:rsidR="00FC1D84">
        <w:t>115</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18 — Causes of action, counterclaims and parties</w:t>
      </w:r>
    </w:p>
    <w:p w:rsidR="006169FD" w:rsidRDefault="006169FD">
      <w:pPr>
        <w:pStyle w:val="TOC8"/>
        <w:rPr>
          <w:rFonts w:asciiTheme="minorHAnsi" w:eastAsiaTheme="minorEastAsia" w:hAnsiTheme="minorHAnsi" w:cstheme="minorBidi"/>
          <w:szCs w:val="22"/>
        </w:rPr>
      </w:pPr>
      <w:r>
        <w:t>1</w:t>
      </w:r>
      <w:r w:rsidRPr="00AA3DF9">
        <w:rPr>
          <w:snapToGrid w:val="0"/>
        </w:rPr>
        <w:t>.</w:t>
      </w:r>
      <w:r w:rsidRPr="00AA3DF9">
        <w:rPr>
          <w:snapToGrid w:val="0"/>
        </w:rPr>
        <w:tab/>
        <w:t>Joinder of causes of action</w:t>
      </w:r>
      <w:r>
        <w:tab/>
      </w:r>
      <w:r>
        <w:fldChar w:fldCharType="begin"/>
      </w:r>
      <w:r>
        <w:instrText xml:space="preserve"> PAGEREF _Toc75862933 \h </w:instrText>
      </w:r>
      <w:r>
        <w:fldChar w:fldCharType="separate"/>
      </w:r>
      <w:r w:rsidR="00FC1D84">
        <w:t>116</w:t>
      </w:r>
      <w:r>
        <w:fldChar w:fldCharType="end"/>
      </w:r>
    </w:p>
    <w:p w:rsidR="006169FD" w:rsidRDefault="006169FD">
      <w:pPr>
        <w:pStyle w:val="TOC8"/>
        <w:rPr>
          <w:rFonts w:asciiTheme="minorHAnsi" w:eastAsiaTheme="minorEastAsia" w:hAnsiTheme="minorHAnsi" w:cstheme="minorBidi"/>
          <w:szCs w:val="22"/>
        </w:rPr>
      </w:pPr>
      <w:r>
        <w:t>2</w:t>
      </w:r>
      <w:r w:rsidRPr="00AA3DF9">
        <w:rPr>
          <w:snapToGrid w:val="0"/>
        </w:rPr>
        <w:t>.</w:t>
      </w:r>
      <w:r w:rsidRPr="00AA3DF9">
        <w:rPr>
          <w:snapToGrid w:val="0"/>
        </w:rPr>
        <w:tab/>
        <w:t>Counterclaim against plaintiff</w:t>
      </w:r>
      <w:r>
        <w:tab/>
      </w:r>
      <w:r>
        <w:fldChar w:fldCharType="begin"/>
      </w:r>
      <w:r>
        <w:instrText xml:space="preserve"> PAGEREF _Toc75862934 \h </w:instrText>
      </w:r>
      <w:r>
        <w:fldChar w:fldCharType="separate"/>
      </w:r>
      <w:r w:rsidR="00FC1D84">
        <w:t>116</w:t>
      </w:r>
      <w:r>
        <w:fldChar w:fldCharType="end"/>
      </w:r>
    </w:p>
    <w:p w:rsidR="006169FD" w:rsidRDefault="006169FD">
      <w:pPr>
        <w:pStyle w:val="TOC8"/>
        <w:rPr>
          <w:rFonts w:asciiTheme="minorHAnsi" w:eastAsiaTheme="minorEastAsia" w:hAnsiTheme="minorHAnsi" w:cstheme="minorBidi"/>
          <w:szCs w:val="22"/>
        </w:rPr>
      </w:pPr>
      <w:r>
        <w:t>3</w:t>
      </w:r>
      <w:r w:rsidRPr="00AA3DF9">
        <w:rPr>
          <w:snapToGrid w:val="0"/>
        </w:rPr>
        <w:t>.</w:t>
      </w:r>
      <w:r w:rsidRPr="00AA3DF9">
        <w:rPr>
          <w:snapToGrid w:val="0"/>
        </w:rPr>
        <w:tab/>
        <w:t>Counterclaim against additional parties</w:t>
      </w:r>
      <w:r>
        <w:tab/>
      </w:r>
      <w:r>
        <w:fldChar w:fldCharType="begin"/>
      </w:r>
      <w:r>
        <w:instrText xml:space="preserve"> PAGEREF _Toc75862935 \h </w:instrText>
      </w:r>
      <w:r>
        <w:fldChar w:fldCharType="separate"/>
      </w:r>
      <w:r w:rsidR="00FC1D84">
        <w:t>117</w:t>
      </w:r>
      <w:r>
        <w:fldChar w:fldCharType="end"/>
      </w:r>
    </w:p>
    <w:p w:rsidR="006169FD" w:rsidRDefault="006169FD">
      <w:pPr>
        <w:pStyle w:val="TOC8"/>
        <w:rPr>
          <w:rFonts w:asciiTheme="minorHAnsi" w:eastAsiaTheme="minorEastAsia" w:hAnsiTheme="minorHAnsi" w:cstheme="minorBidi"/>
          <w:szCs w:val="22"/>
        </w:rPr>
      </w:pPr>
      <w:r>
        <w:t>4</w:t>
      </w:r>
      <w:r w:rsidRPr="00AA3DF9">
        <w:rPr>
          <w:snapToGrid w:val="0"/>
        </w:rPr>
        <w:t>.</w:t>
      </w:r>
      <w:r w:rsidRPr="00AA3DF9">
        <w:rPr>
          <w:snapToGrid w:val="0"/>
        </w:rPr>
        <w:tab/>
        <w:t>Joinder of parties</w:t>
      </w:r>
      <w:r>
        <w:tab/>
      </w:r>
      <w:r>
        <w:fldChar w:fldCharType="begin"/>
      </w:r>
      <w:r>
        <w:instrText xml:space="preserve"> PAGEREF _Toc75862936 \h </w:instrText>
      </w:r>
      <w:r>
        <w:fldChar w:fldCharType="separate"/>
      </w:r>
      <w:r w:rsidR="00FC1D84">
        <w:t>118</w:t>
      </w:r>
      <w:r>
        <w:fldChar w:fldCharType="end"/>
      </w:r>
    </w:p>
    <w:p w:rsidR="006169FD" w:rsidRDefault="006169FD">
      <w:pPr>
        <w:pStyle w:val="TOC8"/>
        <w:rPr>
          <w:rFonts w:asciiTheme="minorHAnsi" w:eastAsiaTheme="minorEastAsia" w:hAnsiTheme="minorHAnsi" w:cstheme="minorBidi"/>
          <w:szCs w:val="22"/>
        </w:rPr>
      </w:pPr>
      <w:r>
        <w:t>5</w:t>
      </w:r>
      <w:r w:rsidRPr="00AA3DF9">
        <w:rPr>
          <w:snapToGrid w:val="0"/>
        </w:rPr>
        <w:t>.</w:t>
      </w:r>
      <w:r w:rsidRPr="00AA3DF9">
        <w:rPr>
          <w:snapToGrid w:val="0"/>
        </w:rPr>
        <w:tab/>
        <w:t>Court may order separate trials etc.</w:t>
      </w:r>
      <w:r>
        <w:tab/>
      </w:r>
      <w:r>
        <w:fldChar w:fldCharType="begin"/>
      </w:r>
      <w:r>
        <w:instrText xml:space="preserve"> PAGEREF _Toc75862937 \h </w:instrText>
      </w:r>
      <w:r>
        <w:fldChar w:fldCharType="separate"/>
      </w:r>
      <w:r w:rsidR="00FC1D84">
        <w:t>119</w:t>
      </w:r>
      <w:r>
        <w:fldChar w:fldCharType="end"/>
      </w:r>
    </w:p>
    <w:p w:rsidR="006169FD" w:rsidRDefault="006169FD">
      <w:pPr>
        <w:pStyle w:val="TOC8"/>
        <w:rPr>
          <w:rFonts w:asciiTheme="minorHAnsi" w:eastAsiaTheme="minorEastAsia" w:hAnsiTheme="minorHAnsi" w:cstheme="minorBidi"/>
          <w:szCs w:val="22"/>
        </w:rPr>
      </w:pPr>
      <w:r>
        <w:t>6</w:t>
      </w:r>
      <w:r w:rsidRPr="00AA3DF9">
        <w:rPr>
          <w:snapToGrid w:val="0"/>
        </w:rPr>
        <w:t>.</w:t>
      </w:r>
      <w:r w:rsidRPr="00AA3DF9">
        <w:rPr>
          <w:snapToGrid w:val="0"/>
        </w:rPr>
        <w:tab/>
        <w:t>Misjoinder and nonjoinder of parties</w:t>
      </w:r>
      <w:r>
        <w:tab/>
      </w:r>
      <w:r>
        <w:fldChar w:fldCharType="begin"/>
      </w:r>
      <w:r>
        <w:instrText xml:space="preserve"> PAGEREF _Toc75862938 \h </w:instrText>
      </w:r>
      <w:r>
        <w:fldChar w:fldCharType="separate"/>
      </w:r>
      <w:r w:rsidR="00FC1D84">
        <w:t>119</w:t>
      </w:r>
      <w:r>
        <w:fldChar w:fldCharType="end"/>
      </w:r>
    </w:p>
    <w:p w:rsidR="006169FD" w:rsidRDefault="006169FD">
      <w:pPr>
        <w:pStyle w:val="TOC8"/>
        <w:rPr>
          <w:rFonts w:asciiTheme="minorHAnsi" w:eastAsiaTheme="minorEastAsia" w:hAnsiTheme="minorHAnsi" w:cstheme="minorBidi"/>
          <w:szCs w:val="22"/>
        </w:rPr>
      </w:pPr>
      <w:r>
        <w:t>7</w:t>
      </w:r>
      <w:r w:rsidRPr="00AA3DF9">
        <w:rPr>
          <w:snapToGrid w:val="0"/>
        </w:rPr>
        <w:t>.</w:t>
      </w:r>
      <w:r w:rsidRPr="00AA3DF9">
        <w:rPr>
          <w:snapToGrid w:val="0"/>
        </w:rPr>
        <w:tab/>
        <w:t>Change of parties by reason of death etc.</w:t>
      </w:r>
      <w:r>
        <w:tab/>
      </w:r>
      <w:r>
        <w:fldChar w:fldCharType="begin"/>
      </w:r>
      <w:r>
        <w:instrText xml:space="preserve"> PAGEREF _Toc75862939 \h </w:instrText>
      </w:r>
      <w:r>
        <w:fldChar w:fldCharType="separate"/>
      </w:r>
      <w:r w:rsidR="00FC1D84">
        <w:t>120</w:t>
      </w:r>
      <w:r>
        <w:fldChar w:fldCharType="end"/>
      </w:r>
    </w:p>
    <w:p w:rsidR="006169FD" w:rsidRDefault="006169FD">
      <w:pPr>
        <w:pStyle w:val="TOC8"/>
        <w:rPr>
          <w:rFonts w:asciiTheme="minorHAnsi" w:eastAsiaTheme="minorEastAsia" w:hAnsiTheme="minorHAnsi" w:cstheme="minorBidi"/>
          <w:szCs w:val="22"/>
        </w:rPr>
      </w:pPr>
      <w:r>
        <w:t>8</w:t>
      </w:r>
      <w:r w:rsidRPr="00AA3DF9">
        <w:rPr>
          <w:snapToGrid w:val="0"/>
        </w:rPr>
        <w:t>.</w:t>
      </w:r>
      <w:r w:rsidRPr="00AA3DF9">
        <w:rPr>
          <w:snapToGrid w:val="0"/>
        </w:rPr>
        <w:tab/>
        <w:t>Order made under r. 6 or 7, consequences of</w:t>
      </w:r>
      <w:r>
        <w:tab/>
      </w:r>
      <w:r>
        <w:fldChar w:fldCharType="begin"/>
      </w:r>
      <w:r>
        <w:instrText xml:space="preserve"> PAGEREF _Toc75862940 \h </w:instrText>
      </w:r>
      <w:r>
        <w:fldChar w:fldCharType="separate"/>
      </w:r>
      <w:r w:rsidR="00FC1D84">
        <w:t>121</w:t>
      </w:r>
      <w:r>
        <w:fldChar w:fldCharType="end"/>
      </w:r>
    </w:p>
    <w:p w:rsidR="006169FD" w:rsidRDefault="006169FD">
      <w:pPr>
        <w:pStyle w:val="TOC8"/>
        <w:rPr>
          <w:rFonts w:asciiTheme="minorHAnsi" w:eastAsiaTheme="minorEastAsia" w:hAnsiTheme="minorHAnsi" w:cstheme="minorBidi"/>
          <w:szCs w:val="22"/>
        </w:rPr>
      </w:pPr>
      <w:r>
        <w:t>9</w:t>
      </w:r>
      <w:r w:rsidRPr="00AA3DF9">
        <w:rPr>
          <w:snapToGrid w:val="0"/>
        </w:rPr>
        <w:t>.</w:t>
      </w:r>
      <w:r w:rsidRPr="00AA3DF9">
        <w:rPr>
          <w:snapToGrid w:val="0"/>
        </w:rPr>
        <w:tab/>
        <w:t>Failure to proceed after death of party</w:t>
      </w:r>
      <w:r>
        <w:tab/>
      </w:r>
      <w:r>
        <w:fldChar w:fldCharType="begin"/>
      </w:r>
      <w:r>
        <w:instrText xml:space="preserve"> PAGEREF _Toc75862941 \h </w:instrText>
      </w:r>
      <w:r>
        <w:fldChar w:fldCharType="separate"/>
      </w:r>
      <w:r w:rsidR="00FC1D84">
        <w:t>122</w:t>
      </w:r>
      <w:r>
        <w:fldChar w:fldCharType="end"/>
      </w:r>
    </w:p>
    <w:p w:rsidR="006169FD" w:rsidRDefault="006169FD">
      <w:pPr>
        <w:pStyle w:val="TOC8"/>
        <w:rPr>
          <w:rFonts w:asciiTheme="minorHAnsi" w:eastAsiaTheme="minorEastAsia" w:hAnsiTheme="minorHAnsi" w:cstheme="minorBidi"/>
          <w:szCs w:val="22"/>
        </w:rPr>
      </w:pPr>
      <w:r>
        <w:t>10</w:t>
      </w:r>
      <w:r w:rsidRPr="00AA3DF9">
        <w:rPr>
          <w:snapToGrid w:val="0"/>
        </w:rPr>
        <w:t>.</w:t>
      </w:r>
      <w:r w:rsidRPr="00AA3DF9">
        <w:rPr>
          <w:snapToGrid w:val="0"/>
        </w:rPr>
        <w:tab/>
        <w:t>Action for possession of land, joining non-party who is in possession</w:t>
      </w:r>
      <w:r>
        <w:tab/>
      </w:r>
      <w:r>
        <w:fldChar w:fldCharType="begin"/>
      </w:r>
      <w:r>
        <w:instrText xml:space="preserve"> PAGEREF _Toc75862942 \h </w:instrText>
      </w:r>
      <w:r>
        <w:fldChar w:fldCharType="separate"/>
      </w:r>
      <w:r w:rsidR="00FC1D84">
        <w:t>123</w:t>
      </w:r>
      <w:r>
        <w:fldChar w:fldCharType="end"/>
      </w:r>
    </w:p>
    <w:p w:rsidR="006169FD" w:rsidRDefault="006169FD">
      <w:pPr>
        <w:pStyle w:val="TOC8"/>
        <w:rPr>
          <w:rFonts w:asciiTheme="minorHAnsi" w:eastAsiaTheme="minorEastAsia" w:hAnsiTheme="minorHAnsi" w:cstheme="minorBidi"/>
          <w:szCs w:val="22"/>
        </w:rPr>
      </w:pPr>
      <w:r>
        <w:t>11</w:t>
      </w:r>
      <w:r w:rsidRPr="00AA3DF9">
        <w:rPr>
          <w:snapToGrid w:val="0"/>
        </w:rPr>
        <w:t>.</w:t>
      </w:r>
      <w:r w:rsidRPr="00AA3DF9">
        <w:rPr>
          <w:snapToGrid w:val="0"/>
        </w:rPr>
        <w:tab/>
        <w:t>Relator actions</w:t>
      </w:r>
      <w:r>
        <w:tab/>
      </w:r>
      <w:r>
        <w:fldChar w:fldCharType="begin"/>
      </w:r>
      <w:r>
        <w:instrText xml:space="preserve"> PAGEREF _Toc75862943 \h </w:instrText>
      </w:r>
      <w:r>
        <w:fldChar w:fldCharType="separate"/>
      </w:r>
      <w:r w:rsidR="00FC1D84">
        <w:t>124</w:t>
      </w:r>
      <w:r>
        <w:fldChar w:fldCharType="end"/>
      </w:r>
    </w:p>
    <w:p w:rsidR="006169FD" w:rsidRDefault="006169FD">
      <w:pPr>
        <w:pStyle w:val="TOC8"/>
        <w:rPr>
          <w:rFonts w:asciiTheme="minorHAnsi" w:eastAsiaTheme="minorEastAsia" w:hAnsiTheme="minorHAnsi" w:cstheme="minorBidi"/>
          <w:szCs w:val="22"/>
        </w:rPr>
      </w:pPr>
      <w:r>
        <w:lastRenderedPageBreak/>
        <w:t>12</w:t>
      </w:r>
      <w:r w:rsidRPr="00AA3DF9">
        <w:rPr>
          <w:snapToGrid w:val="0"/>
        </w:rPr>
        <w:t>.</w:t>
      </w:r>
      <w:r w:rsidRPr="00AA3DF9">
        <w:rPr>
          <w:snapToGrid w:val="0"/>
        </w:rPr>
        <w:tab/>
        <w:t>Representative proceedings</w:t>
      </w:r>
      <w:r>
        <w:tab/>
      </w:r>
      <w:r>
        <w:fldChar w:fldCharType="begin"/>
      </w:r>
      <w:r>
        <w:instrText xml:space="preserve"> PAGEREF _Toc75862944 \h </w:instrText>
      </w:r>
      <w:r>
        <w:fldChar w:fldCharType="separate"/>
      </w:r>
      <w:r w:rsidR="00FC1D84">
        <w:t>124</w:t>
      </w:r>
      <w:r>
        <w:fldChar w:fldCharType="end"/>
      </w:r>
    </w:p>
    <w:p w:rsidR="006169FD" w:rsidRDefault="006169FD">
      <w:pPr>
        <w:pStyle w:val="TOC8"/>
        <w:rPr>
          <w:rFonts w:asciiTheme="minorHAnsi" w:eastAsiaTheme="minorEastAsia" w:hAnsiTheme="minorHAnsi" w:cstheme="minorBidi"/>
          <w:szCs w:val="22"/>
        </w:rPr>
      </w:pPr>
      <w:r>
        <w:t>13</w:t>
      </w:r>
      <w:r w:rsidRPr="00AA3DF9">
        <w:rPr>
          <w:snapToGrid w:val="0"/>
        </w:rPr>
        <w:t>.</w:t>
      </w:r>
      <w:r w:rsidRPr="00AA3DF9">
        <w:rPr>
          <w:snapToGrid w:val="0"/>
        </w:rPr>
        <w:tab/>
        <w:t>Representation of interested persons who cannot be ascertained etc.</w:t>
      </w:r>
      <w:r>
        <w:tab/>
      </w:r>
      <w:r>
        <w:fldChar w:fldCharType="begin"/>
      </w:r>
      <w:r>
        <w:instrText xml:space="preserve"> PAGEREF _Toc75862945 \h </w:instrText>
      </w:r>
      <w:r>
        <w:fldChar w:fldCharType="separate"/>
      </w:r>
      <w:r w:rsidR="00FC1D84">
        <w:t>125</w:t>
      </w:r>
      <w:r>
        <w:fldChar w:fldCharType="end"/>
      </w:r>
    </w:p>
    <w:p w:rsidR="006169FD" w:rsidRDefault="006169FD">
      <w:pPr>
        <w:pStyle w:val="TOC8"/>
        <w:rPr>
          <w:rFonts w:asciiTheme="minorHAnsi" w:eastAsiaTheme="minorEastAsia" w:hAnsiTheme="minorHAnsi" w:cstheme="minorBidi"/>
          <w:szCs w:val="22"/>
        </w:rPr>
      </w:pPr>
      <w:r>
        <w:t>14</w:t>
      </w:r>
      <w:r w:rsidRPr="00AA3DF9">
        <w:rPr>
          <w:snapToGrid w:val="0"/>
        </w:rPr>
        <w:t>.</w:t>
      </w:r>
      <w:r w:rsidRPr="00AA3DF9">
        <w:rPr>
          <w:snapToGrid w:val="0"/>
        </w:rPr>
        <w:tab/>
        <w:t>Representation of beneficiaries by trustees etc.</w:t>
      </w:r>
      <w:r>
        <w:tab/>
      </w:r>
      <w:r>
        <w:fldChar w:fldCharType="begin"/>
      </w:r>
      <w:r>
        <w:instrText xml:space="preserve"> PAGEREF _Toc75862946 \h </w:instrText>
      </w:r>
      <w:r>
        <w:fldChar w:fldCharType="separate"/>
      </w:r>
      <w:r w:rsidR="00FC1D84">
        <w:t>126</w:t>
      </w:r>
      <w:r>
        <w:fldChar w:fldCharType="end"/>
      </w:r>
    </w:p>
    <w:p w:rsidR="006169FD" w:rsidRDefault="006169FD">
      <w:pPr>
        <w:pStyle w:val="TOC8"/>
        <w:rPr>
          <w:rFonts w:asciiTheme="minorHAnsi" w:eastAsiaTheme="minorEastAsia" w:hAnsiTheme="minorHAnsi" w:cstheme="minorBidi"/>
          <w:szCs w:val="22"/>
        </w:rPr>
      </w:pPr>
      <w:r>
        <w:t>15</w:t>
      </w:r>
      <w:r w:rsidRPr="00AA3DF9">
        <w:rPr>
          <w:snapToGrid w:val="0"/>
        </w:rPr>
        <w:t>.</w:t>
      </w:r>
      <w:r w:rsidRPr="00AA3DF9">
        <w:rPr>
          <w:snapToGrid w:val="0"/>
        </w:rPr>
        <w:tab/>
        <w:t>Representation of deceased person interested in proceedings</w:t>
      </w:r>
      <w:r>
        <w:tab/>
      </w:r>
      <w:r>
        <w:fldChar w:fldCharType="begin"/>
      </w:r>
      <w:r>
        <w:instrText xml:space="preserve"> PAGEREF _Toc75862947 \h </w:instrText>
      </w:r>
      <w:r>
        <w:fldChar w:fldCharType="separate"/>
      </w:r>
      <w:r w:rsidR="00FC1D84">
        <w:t>127</w:t>
      </w:r>
      <w:r>
        <w:fldChar w:fldCharType="end"/>
      </w:r>
    </w:p>
    <w:p w:rsidR="006169FD" w:rsidRDefault="006169FD">
      <w:pPr>
        <w:pStyle w:val="TOC8"/>
        <w:rPr>
          <w:rFonts w:asciiTheme="minorHAnsi" w:eastAsiaTheme="minorEastAsia" w:hAnsiTheme="minorHAnsi" w:cstheme="minorBidi"/>
          <w:szCs w:val="22"/>
        </w:rPr>
      </w:pPr>
      <w:r>
        <w:t>16</w:t>
      </w:r>
      <w:r w:rsidRPr="00AA3DF9">
        <w:rPr>
          <w:snapToGrid w:val="0"/>
        </w:rPr>
        <w:t>.</w:t>
      </w:r>
      <w:r w:rsidRPr="00AA3DF9">
        <w:rPr>
          <w:snapToGrid w:val="0"/>
        </w:rPr>
        <w:tab/>
        <w:t>Declaratory judgment</w:t>
      </w:r>
      <w:r>
        <w:tab/>
      </w:r>
      <w:r>
        <w:fldChar w:fldCharType="begin"/>
      </w:r>
      <w:r>
        <w:instrText xml:space="preserve"> PAGEREF _Toc75862948 \h </w:instrText>
      </w:r>
      <w:r>
        <w:fldChar w:fldCharType="separate"/>
      </w:r>
      <w:r w:rsidR="00FC1D84">
        <w:t>127</w:t>
      </w:r>
      <w:r>
        <w:fldChar w:fldCharType="end"/>
      </w:r>
    </w:p>
    <w:p w:rsidR="006169FD" w:rsidRDefault="006169FD">
      <w:pPr>
        <w:pStyle w:val="TOC8"/>
        <w:rPr>
          <w:rFonts w:asciiTheme="minorHAnsi" w:eastAsiaTheme="minorEastAsia" w:hAnsiTheme="minorHAnsi" w:cstheme="minorBidi"/>
          <w:szCs w:val="22"/>
        </w:rPr>
      </w:pPr>
      <w:r>
        <w:t>17</w:t>
      </w:r>
      <w:r w:rsidRPr="00AA3DF9">
        <w:rPr>
          <w:snapToGrid w:val="0"/>
        </w:rPr>
        <w:t>.</w:t>
      </w:r>
      <w:r w:rsidRPr="00AA3DF9">
        <w:rPr>
          <w:snapToGrid w:val="0"/>
        </w:rPr>
        <w:tab/>
        <w:t>Conduct of proceedings</w:t>
      </w:r>
      <w:r>
        <w:tab/>
      </w:r>
      <w:r>
        <w:fldChar w:fldCharType="begin"/>
      </w:r>
      <w:r>
        <w:instrText xml:space="preserve"> PAGEREF _Toc75862949 \h </w:instrText>
      </w:r>
      <w:r>
        <w:fldChar w:fldCharType="separate"/>
      </w:r>
      <w:r w:rsidR="00FC1D84">
        <w:t>128</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19 — Third party and similar proceedings</w:t>
      </w:r>
    </w:p>
    <w:p w:rsidR="006169FD" w:rsidRDefault="006169FD">
      <w:pPr>
        <w:pStyle w:val="TOC8"/>
        <w:rPr>
          <w:rFonts w:asciiTheme="minorHAnsi" w:eastAsiaTheme="minorEastAsia" w:hAnsiTheme="minorHAnsi" w:cstheme="minorBidi"/>
          <w:szCs w:val="22"/>
        </w:rPr>
      </w:pPr>
      <w:r>
        <w:t>1</w:t>
      </w:r>
      <w:r w:rsidRPr="00AA3DF9">
        <w:rPr>
          <w:snapToGrid w:val="0"/>
        </w:rPr>
        <w:t>.</w:t>
      </w:r>
      <w:r w:rsidRPr="00AA3DF9">
        <w:rPr>
          <w:snapToGrid w:val="0"/>
        </w:rPr>
        <w:tab/>
        <w:t>Third party notice</w:t>
      </w:r>
      <w:r>
        <w:tab/>
      </w:r>
      <w:r>
        <w:fldChar w:fldCharType="begin"/>
      </w:r>
      <w:r>
        <w:instrText xml:space="preserve"> PAGEREF _Toc75862951 \h </w:instrText>
      </w:r>
      <w:r>
        <w:fldChar w:fldCharType="separate"/>
      </w:r>
      <w:r w:rsidR="00FC1D84">
        <w:t>129</w:t>
      </w:r>
      <w:r>
        <w:fldChar w:fldCharType="end"/>
      </w:r>
    </w:p>
    <w:p w:rsidR="006169FD" w:rsidRDefault="006169FD">
      <w:pPr>
        <w:pStyle w:val="TOC8"/>
        <w:rPr>
          <w:rFonts w:asciiTheme="minorHAnsi" w:eastAsiaTheme="minorEastAsia" w:hAnsiTheme="minorHAnsi" w:cstheme="minorBidi"/>
          <w:szCs w:val="22"/>
        </w:rPr>
      </w:pPr>
      <w:r>
        <w:t>2</w:t>
      </w:r>
      <w:r w:rsidRPr="00AA3DF9">
        <w:rPr>
          <w:snapToGrid w:val="0"/>
        </w:rPr>
        <w:t>.</w:t>
      </w:r>
      <w:r w:rsidRPr="00AA3DF9">
        <w:rPr>
          <w:snapToGrid w:val="0"/>
        </w:rPr>
        <w:tab/>
        <w:t>Application for leave to issue third party notice</w:t>
      </w:r>
      <w:r>
        <w:tab/>
      </w:r>
      <w:r>
        <w:fldChar w:fldCharType="begin"/>
      </w:r>
      <w:r>
        <w:instrText xml:space="preserve"> PAGEREF _Toc75862952 \h </w:instrText>
      </w:r>
      <w:r>
        <w:fldChar w:fldCharType="separate"/>
      </w:r>
      <w:r w:rsidR="00FC1D84">
        <w:t>130</w:t>
      </w:r>
      <w:r>
        <w:fldChar w:fldCharType="end"/>
      </w:r>
    </w:p>
    <w:p w:rsidR="006169FD" w:rsidRDefault="006169FD">
      <w:pPr>
        <w:pStyle w:val="TOC8"/>
        <w:rPr>
          <w:rFonts w:asciiTheme="minorHAnsi" w:eastAsiaTheme="minorEastAsia" w:hAnsiTheme="minorHAnsi" w:cstheme="minorBidi"/>
          <w:szCs w:val="22"/>
        </w:rPr>
      </w:pPr>
      <w:r>
        <w:t>3</w:t>
      </w:r>
      <w:r w:rsidRPr="00AA3DF9">
        <w:rPr>
          <w:snapToGrid w:val="0"/>
        </w:rPr>
        <w:t>.</w:t>
      </w:r>
      <w:r w:rsidRPr="00AA3DF9">
        <w:rPr>
          <w:snapToGrid w:val="0"/>
        </w:rPr>
        <w:tab/>
        <w:t>Issue and service of, and entry of appearance to, third party notice</w:t>
      </w:r>
      <w:r>
        <w:tab/>
      </w:r>
      <w:r>
        <w:fldChar w:fldCharType="begin"/>
      </w:r>
      <w:r>
        <w:instrText xml:space="preserve"> PAGEREF _Toc75862953 \h </w:instrText>
      </w:r>
      <w:r>
        <w:fldChar w:fldCharType="separate"/>
      </w:r>
      <w:r w:rsidR="00FC1D84">
        <w:t>130</w:t>
      </w:r>
      <w:r>
        <w:fldChar w:fldCharType="end"/>
      </w:r>
    </w:p>
    <w:p w:rsidR="006169FD" w:rsidRDefault="006169FD">
      <w:pPr>
        <w:pStyle w:val="TOC8"/>
        <w:rPr>
          <w:rFonts w:asciiTheme="minorHAnsi" w:eastAsiaTheme="minorEastAsia" w:hAnsiTheme="minorHAnsi" w:cstheme="minorBidi"/>
          <w:szCs w:val="22"/>
        </w:rPr>
      </w:pPr>
      <w:r>
        <w:t>4</w:t>
      </w:r>
      <w:r w:rsidRPr="00AA3DF9">
        <w:rPr>
          <w:snapToGrid w:val="0"/>
        </w:rPr>
        <w:t>.</w:t>
      </w:r>
      <w:r w:rsidRPr="00AA3DF9">
        <w:rPr>
          <w:snapToGrid w:val="0"/>
        </w:rPr>
        <w:tab/>
        <w:t>Third party directions</w:t>
      </w:r>
      <w:r>
        <w:tab/>
      </w:r>
      <w:r>
        <w:fldChar w:fldCharType="begin"/>
      </w:r>
      <w:r>
        <w:instrText xml:space="preserve"> PAGEREF _Toc75862954 \h </w:instrText>
      </w:r>
      <w:r>
        <w:fldChar w:fldCharType="separate"/>
      </w:r>
      <w:r w:rsidR="00FC1D84">
        <w:t>131</w:t>
      </w:r>
      <w:r>
        <w:fldChar w:fldCharType="end"/>
      </w:r>
    </w:p>
    <w:p w:rsidR="006169FD" w:rsidRDefault="006169FD">
      <w:pPr>
        <w:pStyle w:val="TOC8"/>
        <w:rPr>
          <w:rFonts w:asciiTheme="minorHAnsi" w:eastAsiaTheme="minorEastAsia" w:hAnsiTheme="minorHAnsi" w:cstheme="minorBidi"/>
          <w:szCs w:val="22"/>
        </w:rPr>
      </w:pPr>
      <w:r>
        <w:t>5</w:t>
      </w:r>
      <w:r w:rsidRPr="00AA3DF9">
        <w:rPr>
          <w:snapToGrid w:val="0"/>
        </w:rPr>
        <w:t>.</w:t>
      </w:r>
      <w:r w:rsidRPr="00AA3DF9">
        <w:rPr>
          <w:snapToGrid w:val="0"/>
        </w:rPr>
        <w:tab/>
        <w:t>Default of third party etc.</w:t>
      </w:r>
      <w:r>
        <w:tab/>
      </w:r>
      <w:r>
        <w:fldChar w:fldCharType="begin"/>
      </w:r>
      <w:r>
        <w:instrText xml:space="preserve"> PAGEREF _Toc75862955 \h </w:instrText>
      </w:r>
      <w:r>
        <w:fldChar w:fldCharType="separate"/>
      </w:r>
      <w:r w:rsidR="00FC1D84">
        <w:t>132</w:t>
      </w:r>
      <w:r>
        <w:fldChar w:fldCharType="end"/>
      </w:r>
    </w:p>
    <w:p w:rsidR="006169FD" w:rsidRDefault="006169FD">
      <w:pPr>
        <w:pStyle w:val="TOC8"/>
        <w:rPr>
          <w:rFonts w:asciiTheme="minorHAnsi" w:eastAsiaTheme="minorEastAsia" w:hAnsiTheme="minorHAnsi" w:cstheme="minorBidi"/>
          <w:szCs w:val="22"/>
        </w:rPr>
      </w:pPr>
      <w:r>
        <w:t>6</w:t>
      </w:r>
      <w:r w:rsidRPr="00AA3DF9">
        <w:rPr>
          <w:snapToGrid w:val="0"/>
        </w:rPr>
        <w:t>.</w:t>
      </w:r>
      <w:r w:rsidRPr="00AA3DF9">
        <w:rPr>
          <w:snapToGrid w:val="0"/>
        </w:rPr>
        <w:tab/>
        <w:t>Setting aside third party proceedings</w:t>
      </w:r>
      <w:r>
        <w:tab/>
      </w:r>
      <w:r>
        <w:fldChar w:fldCharType="begin"/>
      </w:r>
      <w:r>
        <w:instrText xml:space="preserve"> PAGEREF _Toc75862956 \h </w:instrText>
      </w:r>
      <w:r>
        <w:fldChar w:fldCharType="separate"/>
      </w:r>
      <w:r w:rsidR="00FC1D84">
        <w:t>133</w:t>
      </w:r>
      <w:r>
        <w:fldChar w:fldCharType="end"/>
      </w:r>
    </w:p>
    <w:p w:rsidR="006169FD" w:rsidRDefault="006169FD">
      <w:pPr>
        <w:pStyle w:val="TOC8"/>
        <w:rPr>
          <w:rFonts w:asciiTheme="minorHAnsi" w:eastAsiaTheme="minorEastAsia" w:hAnsiTheme="minorHAnsi" w:cstheme="minorBidi"/>
          <w:szCs w:val="22"/>
        </w:rPr>
      </w:pPr>
      <w:r>
        <w:t>7</w:t>
      </w:r>
      <w:r w:rsidRPr="00AA3DF9">
        <w:rPr>
          <w:snapToGrid w:val="0"/>
        </w:rPr>
        <w:t>.</w:t>
      </w:r>
      <w:r w:rsidRPr="00AA3DF9">
        <w:rPr>
          <w:snapToGrid w:val="0"/>
        </w:rPr>
        <w:tab/>
        <w:t>Judgment between defendant and third party</w:t>
      </w:r>
      <w:r>
        <w:tab/>
      </w:r>
      <w:r>
        <w:fldChar w:fldCharType="begin"/>
      </w:r>
      <w:r>
        <w:instrText xml:space="preserve"> PAGEREF _Toc75862957 \h </w:instrText>
      </w:r>
      <w:r>
        <w:fldChar w:fldCharType="separate"/>
      </w:r>
      <w:r w:rsidR="00FC1D84">
        <w:t>133</w:t>
      </w:r>
      <w:r>
        <w:fldChar w:fldCharType="end"/>
      </w:r>
    </w:p>
    <w:p w:rsidR="006169FD" w:rsidRDefault="006169FD">
      <w:pPr>
        <w:pStyle w:val="TOC8"/>
        <w:rPr>
          <w:rFonts w:asciiTheme="minorHAnsi" w:eastAsiaTheme="minorEastAsia" w:hAnsiTheme="minorHAnsi" w:cstheme="minorBidi"/>
          <w:szCs w:val="22"/>
        </w:rPr>
      </w:pPr>
      <w:r>
        <w:t>8</w:t>
      </w:r>
      <w:r w:rsidRPr="00AA3DF9">
        <w:rPr>
          <w:snapToGrid w:val="0"/>
        </w:rPr>
        <w:t>.</w:t>
      </w:r>
      <w:r w:rsidRPr="00AA3DF9">
        <w:rPr>
          <w:snapToGrid w:val="0"/>
        </w:rPr>
        <w:tab/>
        <w:t>Claims and issues between defendant and another party</w:t>
      </w:r>
      <w:r>
        <w:tab/>
      </w:r>
      <w:r>
        <w:fldChar w:fldCharType="begin"/>
      </w:r>
      <w:r>
        <w:instrText xml:space="preserve"> PAGEREF _Toc75862958 \h </w:instrText>
      </w:r>
      <w:r>
        <w:fldChar w:fldCharType="separate"/>
      </w:r>
      <w:r w:rsidR="00FC1D84">
        <w:t>133</w:t>
      </w:r>
      <w:r>
        <w:fldChar w:fldCharType="end"/>
      </w:r>
    </w:p>
    <w:p w:rsidR="006169FD" w:rsidRDefault="006169FD">
      <w:pPr>
        <w:pStyle w:val="TOC8"/>
        <w:rPr>
          <w:rFonts w:asciiTheme="minorHAnsi" w:eastAsiaTheme="minorEastAsia" w:hAnsiTheme="minorHAnsi" w:cstheme="minorBidi"/>
          <w:szCs w:val="22"/>
        </w:rPr>
      </w:pPr>
      <w:r>
        <w:t>9</w:t>
      </w:r>
      <w:r w:rsidRPr="00AA3DF9">
        <w:rPr>
          <w:snapToGrid w:val="0"/>
        </w:rPr>
        <w:t>.</w:t>
      </w:r>
      <w:r w:rsidRPr="00AA3DF9">
        <w:rPr>
          <w:snapToGrid w:val="0"/>
        </w:rPr>
        <w:tab/>
        <w:t>Claims by third and subsequent parties</w:t>
      </w:r>
      <w:r>
        <w:tab/>
      </w:r>
      <w:r>
        <w:fldChar w:fldCharType="begin"/>
      </w:r>
      <w:r>
        <w:instrText xml:space="preserve"> PAGEREF _Toc75862959 \h </w:instrText>
      </w:r>
      <w:r>
        <w:fldChar w:fldCharType="separate"/>
      </w:r>
      <w:r w:rsidR="00FC1D84">
        <w:t>134</w:t>
      </w:r>
      <w:r>
        <w:fldChar w:fldCharType="end"/>
      </w:r>
    </w:p>
    <w:p w:rsidR="006169FD" w:rsidRDefault="006169FD">
      <w:pPr>
        <w:pStyle w:val="TOC8"/>
        <w:rPr>
          <w:rFonts w:asciiTheme="minorHAnsi" w:eastAsiaTheme="minorEastAsia" w:hAnsiTheme="minorHAnsi" w:cstheme="minorBidi"/>
          <w:szCs w:val="22"/>
        </w:rPr>
      </w:pPr>
      <w:r>
        <w:t>10</w:t>
      </w:r>
      <w:r w:rsidRPr="00AA3DF9">
        <w:rPr>
          <w:snapToGrid w:val="0"/>
        </w:rPr>
        <w:t>.</w:t>
      </w:r>
      <w:r w:rsidRPr="00AA3DF9">
        <w:rPr>
          <w:snapToGrid w:val="0"/>
        </w:rPr>
        <w:tab/>
        <w:t>Offer of contribution</w:t>
      </w:r>
      <w:r>
        <w:tab/>
      </w:r>
      <w:r>
        <w:fldChar w:fldCharType="begin"/>
      </w:r>
      <w:r>
        <w:instrText xml:space="preserve"> PAGEREF _Toc75862960 \h </w:instrText>
      </w:r>
      <w:r>
        <w:fldChar w:fldCharType="separate"/>
      </w:r>
      <w:r w:rsidR="00FC1D84">
        <w:t>135</w:t>
      </w:r>
      <w:r>
        <w:fldChar w:fldCharType="end"/>
      </w:r>
    </w:p>
    <w:p w:rsidR="006169FD" w:rsidRDefault="006169FD">
      <w:pPr>
        <w:pStyle w:val="TOC8"/>
        <w:rPr>
          <w:rFonts w:asciiTheme="minorHAnsi" w:eastAsiaTheme="minorEastAsia" w:hAnsiTheme="minorHAnsi" w:cstheme="minorBidi"/>
          <w:szCs w:val="22"/>
        </w:rPr>
      </w:pPr>
      <w:r>
        <w:t>11</w:t>
      </w:r>
      <w:r w:rsidRPr="00AA3DF9">
        <w:rPr>
          <w:snapToGrid w:val="0"/>
        </w:rPr>
        <w:t>.</w:t>
      </w:r>
      <w:r w:rsidRPr="00AA3DF9">
        <w:rPr>
          <w:snapToGrid w:val="0"/>
        </w:rPr>
        <w:tab/>
        <w:t>Counterclaim by defendant</w:t>
      </w:r>
      <w:r>
        <w:tab/>
      </w:r>
      <w:r>
        <w:fldChar w:fldCharType="begin"/>
      </w:r>
      <w:r>
        <w:instrText xml:space="preserve"> PAGEREF _Toc75862961 \h </w:instrText>
      </w:r>
      <w:r>
        <w:fldChar w:fldCharType="separate"/>
      </w:r>
      <w:r w:rsidR="00FC1D84">
        <w:t>135</w:t>
      </w:r>
      <w:r>
        <w:fldChar w:fldCharType="end"/>
      </w:r>
    </w:p>
    <w:p w:rsidR="006169FD" w:rsidRDefault="006169FD">
      <w:pPr>
        <w:pStyle w:val="TOC8"/>
        <w:rPr>
          <w:rFonts w:asciiTheme="minorHAnsi" w:eastAsiaTheme="minorEastAsia" w:hAnsiTheme="minorHAnsi" w:cstheme="minorBidi"/>
          <w:szCs w:val="22"/>
        </w:rPr>
      </w:pPr>
      <w:r>
        <w:t>12</w:t>
      </w:r>
      <w:r w:rsidRPr="00AA3DF9">
        <w:rPr>
          <w:snapToGrid w:val="0"/>
        </w:rPr>
        <w:t>.</w:t>
      </w:r>
      <w:r w:rsidRPr="00AA3DF9">
        <w:rPr>
          <w:snapToGrid w:val="0"/>
        </w:rPr>
        <w:tab/>
        <w:t>Costs</w:t>
      </w:r>
      <w:r>
        <w:tab/>
      </w:r>
      <w:r>
        <w:fldChar w:fldCharType="begin"/>
      </w:r>
      <w:r>
        <w:instrText xml:space="preserve"> PAGEREF _Toc75862962 \h </w:instrText>
      </w:r>
      <w:r>
        <w:fldChar w:fldCharType="separate"/>
      </w:r>
      <w:r w:rsidR="00FC1D84">
        <w:t>136</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20 — Pleadings</w:t>
      </w:r>
    </w:p>
    <w:p w:rsidR="006169FD" w:rsidRDefault="006169FD">
      <w:pPr>
        <w:pStyle w:val="TOC8"/>
        <w:rPr>
          <w:rFonts w:asciiTheme="minorHAnsi" w:eastAsiaTheme="minorEastAsia" w:hAnsiTheme="minorHAnsi" w:cstheme="minorBidi"/>
          <w:szCs w:val="22"/>
        </w:rPr>
      </w:pPr>
      <w:r>
        <w:t>1</w:t>
      </w:r>
      <w:r w:rsidRPr="00AA3DF9">
        <w:rPr>
          <w:snapToGrid w:val="0"/>
        </w:rPr>
        <w:t>.</w:t>
      </w:r>
      <w:r w:rsidRPr="00AA3DF9">
        <w:rPr>
          <w:snapToGrid w:val="0"/>
        </w:rPr>
        <w:tab/>
        <w:t>Statement of claim, service of</w:t>
      </w:r>
      <w:r>
        <w:tab/>
      </w:r>
      <w:r>
        <w:fldChar w:fldCharType="begin"/>
      </w:r>
      <w:r>
        <w:instrText xml:space="preserve"> PAGEREF _Toc75862964 \h </w:instrText>
      </w:r>
      <w:r>
        <w:fldChar w:fldCharType="separate"/>
      </w:r>
      <w:r w:rsidR="00FC1D84">
        <w:t>137</w:t>
      </w:r>
      <w:r>
        <w:fldChar w:fldCharType="end"/>
      </w:r>
    </w:p>
    <w:p w:rsidR="006169FD" w:rsidRDefault="006169FD">
      <w:pPr>
        <w:pStyle w:val="TOC8"/>
        <w:rPr>
          <w:rFonts w:asciiTheme="minorHAnsi" w:eastAsiaTheme="minorEastAsia" w:hAnsiTheme="minorHAnsi" w:cstheme="minorBidi"/>
          <w:szCs w:val="22"/>
        </w:rPr>
      </w:pPr>
      <w:r>
        <w:t>2</w:t>
      </w:r>
      <w:r w:rsidRPr="00AA3DF9">
        <w:rPr>
          <w:snapToGrid w:val="0"/>
        </w:rPr>
        <w:t>.</w:t>
      </w:r>
      <w:r w:rsidRPr="00AA3DF9">
        <w:rPr>
          <w:snapToGrid w:val="0"/>
        </w:rPr>
        <w:tab/>
        <w:t>Statement of claim, content of</w:t>
      </w:r>
      <w:r>
        <w:tab/>
      </w:r>
      <w:r>
        <w:fldChar w:fldCharType="begin"/>
      </w:r>
      <w:r>
        <w:instrText xml:space="preserve"> PAGEREF _Toc75862965 \h </w:instrText>
      </w:r>
      <w:r>
        <w:fldChar w:fldCharType="separate"/>
      </w:r>
      <w:r w:rsidR="00FC1D84">
        <w:t>137</w:t>
      </w:r>
      <w:r>
        <w:fldChar w:fldCharType="end"/>
      </w:r>
    </w:p>
    <w:p w:rsidR="006169FD" w:rsidRDefault="006169FD">
      <w:pPr>
        <w:pStyle w:val="TOC8"/>
        <w:rPr>
          <w:rFonts w:asciiTheme="minorHAnsi" w:eastAsiaTheme="minorEastAsia" w:hAnsiTheme="minorHAnsi" w:cstheme="minorBidi"/>
          <w:szCs w:val="22"/>
        </w:rPr>
      </w:pPr>
      <w:r>
        <w:t>3</w:t>
      </w:r>
      <w:r w:rsidRPr="00AA3DF9">
        <w:rPr>
          <w:snapToGrid w:val="0"/>
        </w:rPr>
        <w:t>.</w:t>
      </w:r>
      <w:r w:rsidRPr="00AA3DF9">
        <w:rPr>
          <w:snapToGrid w:val="0"/>
        </w:rPr>
        <w:tab/>
        <w:t>Pleadings etc. to be filed before service</w:t>
      </w:r>
      <w:r>
        <w:tab/>
      </w:r>
      <w:r>
        <w:fldChar w:fldCharType="begin"/>
      </w:r>
      <w:r>
        <w:instrText xml:space="preserve"> PAGEREF _Toc75862966 \h </w:instrText>
      </w:r>
      <w:r>
        <w:fldChar w:fldCharType="separate"/>
      </w:r>
      <w:r w:rsidR="00FC1D84">
        <w:t>137</w:t>
      </w:r>
      <w:r>
        <w:fldChar w:fldCharType="end"/>
      </w:r>
    </w:p>
    <w:p w:rsidR="006169FD" w:rsidRDefault="006169FD">
      <w:pPr>
        <w:pStyle w:val="TOC8"/>
        <w:rPr>
          <w:rFonts w:asciiTheme="minorHAnsi" w:eastAsiaTheme="minorEastAsia" w:hAnsiTheme="minorHAnsi" w:cstheme="minorBidi"/>
          <w:szCs w:val="22"/>
        </w:rPr>
      </w:pPr>
      <w:r>
        <w:t>4</w:t>
      </w:r>
      <w:r w:rsidRPr="00AA3DF9">
        <w:rPr>
          <w:snapToGrid w:val="0"/>
        </w:rPr>
        <w:t>.</w:t>
      </w:r>
      <w:r w:rsidRPr="00AA3DF9">
        <w:rPr>
          <w:snapToGrid w:val="0"/>
        </w:rPr>
        <w:tab/>
        <w:t>Defence, service of</w:t>
      </w:r>
      <w:r>
        <w:tab/>
      </w:r>
      <w:r>
        <w:fldChar w:fldCharType="begin"/>
      </w:r>
      <w:r>
        <w:instrText xml:space="preserve"> PAGEREF _Toc75862967 \h </w:instrText>
      </w:r>
      <w:r>
        <w:fldChar w:fldCharType="separate"/>
      </w:r>
      <w:r w:rsidR="00FC1D84">
        <w:t>138</w:t>
      </w:r>
      <w:r>
        <w:fldChar w:fldCharType="end"/>
      </w:r>
    </w:p>
    <w:p w:rsidR="006169FD" w:rsidRDefault="006169FD">
      <w:pPr>
        <w:pStyle w:val="TOC8"/>
        <w:rPr>
          <w:rFonts w:asciiTheme="minorHAnsi" w:eastAsiaTheme="minorEastAsia" w:hAnsiTheme="minorHAnsi" w:cstheme="minorBidi"/>
          <w:szCs w:val="22"/>
        </w:rPr>
      </w:pPr>
      <w:r>
        <w:t>5</w:t>
      </w:r>
      <w:r w:rsidRPr="00AA3DF9">
        <w:rPr>
          <w:snapToGrid w:val="0"/>
        </w:rPr>
        <w:t>.</w:t>
      </w:r>
      <w:r w:rsidRPr="00AA3DF9">
        <w:rPr>
          <w:snapToGrid w:val="0"/>
        </w:rPr>
        <w:tab/>
        <w:t>Reply and defence to counterclaim, service of</w:t>
      </w:r>
      <w:r>
        <w:tab/>
      </w:r>
      <w:r>
        <w:fldChar w:fldCharType="begin"/>
      </w:r>
      <w:r>
        <w:instrText xml:space="preserve"> PAGEREF _Toc75862968 \h </w:instrText>
      </w:r>
      <w:r>
        <w:fldChar w:fldCharType="separate"/>
      </w:r>
      <w:r w:rsidR="00FC1D84">
        <w:t>138</w:t>
      </w:r>
      <w:r>
        <w:fldChar w:fldCharType="end"/>
      </w:r>
    </w:p>
    <w:p w:rsidR="006169FD" w:rsidRDefault="006169FD">
      <w:pPr>
        <w:pStyle w:val="TOC8"/>
        <w:rPr>
          <w:rFonts w:asciiTheme="minorHAnsi" w:eastAsiaTheme="minorEastAsia" w:hAnsiTheme="minorHAnsi" w:cstheme="minorBidi"/>
          <w:szCs w:val="22"/>
        </w:rPr>
      </w:pPr>
      <w:r>
        <w:t>6</w:t>
      </w:r>
      <w:r w:rsidRPr="00AA3DF9">
        <w:rPr>
          <w:snapToGrid w:val="0"/>
        </w:rPr>
        <w:t>.</w:t>
      </w:r>
      <w:r w:rsidRPr="00AA3DF9">
        <w:rPr>
          <w:snapToGrid w:val="0"/>
        </w:rPr>
        <w:tab/>
        <w:t>Pleadings subsequent to reply etc., leave required for</w:t>
      </w:r>
      <w:r>
        <w:tab/>
      </w:r>
      <w:r>
        <w:fldChar w:fldCharType="begin"/>
      </w:r>
      <w:r>
        <w:instrText xml:space="preserve"> PAGEREF _Toc75862969 \h </w:instrText>
      </w:r>
      <w:r>
        <w:fldChar w:fldCharType="separate"/>
      </w:r>
      <w:r w:rsidR="00FC1D84">
        <w:t>139</w:t>
      </w:r>
      <w:r>
        <w:fldChar w:fldCharType="end"/>
      </w:r>
    </w:p>
    <w:p w:rsidR="006169FD" w:rsidRDefault="006169FD">
      <w:pPr>
        <w:pStyle w:val="TOC8"/>
        <w:rPr>
          <w:rFonts w:asciiTheme="minorHAnsi" w:eastAsiaTheme="minorEastAsia" w:hAnsiTheme="minorHAnsi" w:cstheme="minorBidi"/>
          <w:szCs w:val="22"/>
        </w:rPr>
      </w:pPr>
      <w:r>
        <w:t>7</w:t>
      </w:r>
      <w:r w:rsidRPr="00AA3DF9">
        <w:rPr>
          <w:snapToGrid w:val="0"/>
        </w:rPr>
        <w:t>.</w:t>
      </w:r>
      <w:r w:rsidRPr="00AA3DF9">
        <w:rPr>
          <w:snapToGrid w:val="0"/>
        </w:rPr>
        <w:tab/>
        <w:t>Pleadings, formal requirements of</w:t>
      </w:r>
      <w:r>
        <w:tab/>
      </w:r>
      <w:r>
        <w:fldChar w:fldCharType="begin"/>
      </w:r>
      <w:r>
        <w:instrText xml:space="preserve"> PAGEREF _Toc75862970 \h </w:instrText>
      </w:r>
      <w:r>
        <w:fldChar w:fldCharType="separate"/>
      </w:r>
      <w:r w:rsidR="00FC1D84">
        <w:t>139</w:t>
      </w:r>
      <w:r>
        <w:fldChar w:fldCharType="end"/>
      </w:r>
    </w:p>
    <w:p w:rsidR="006169FD" w:rsidRDefault="006169FD">
      <w:pPr>
        <w:pStyle w:val="TOC8"/>
        <w:rPr>
          <w:rFonts w:asciiTheme="minorHAnsi" w:eastAsiaTheme="minorEastAsia" w:hAnsiTheme="minorHAnsi" w:cstheme="minorBidi"/>
          <w:szCs w:val="22"/>
        </w:rPr>
      </w:pPr>
      <w:r>
        <w:t>8</w:t>
      </w:r>
      <w:r w:rsidRPr="00AA3DF9">
        <w:rPr>
          <w:snapToGrid w:val="0"/>
        </w:rPr>
        <w:t>.</w:t>
      </w:r>
      <w:r w:rsidRPr="00AA3DF9">
        <w:rPr>
          <w:snapToGrid w:val="0"/>
        </w:rPr>
        <w:tab/>
        <w:t>Facts, not evidence, to be pleaded</w:t>
      </w:r>
      <w:r>
        <w:tab/>
      </w:r>
      <w:r>
        <w:fldChar w:fldCharType="begin"/>
      </w:r>
      <w:r>
        <w:instrText xml:space="preserve"> PAGEREF _Toc75862971 \h </w:instrText>
      </w:r>
      <w:r>
        <w:fldChar w:fldCharType="separate"/>
      </w:r>
      <w:r w:rsidR="00FC1D84">
        <w:t>140</w:t>
      </w:r>
      <w:r>
        <w:fldChar w:fldCharType="end"/>
      </w:r>
    </w:p>
    <w:p w:rsidR="006169FD" w:rsidRDefault="006169FD">
      <w:pPr>
        <w:pStyle w:val="TOC8"/>
        <w:rPr>
          <w:rFonts w:asciiTheme="minorHAnsi" w:eastAsiaTheme="minorEastAsia" w:hAnsiTheme="minorHAnsi" w:cstheme="minorBidi"/>
          <w:szCs w:val="22"/>
        </w:rPr>
      </w:pPr>
      <w:r>
        <w:t>9</w:t>
      </w:r>
      <w:r w:rsidRPr="00AA3DF9">
        <w:rPr>
          <w:snapToGrid w:val="0"/>
        </w:rPr>
        <w:t>.</w:t>
      </w:r>
      <w:r w:rsidRPr="00AA3DF9">
        <w:rPr>
          <w:snapToGrid w:val="0"/>
        </w:rPr>
        <w:tab/>
        <w:t>Matters which must be specifically pleaded</w:t>
      </w:r>
      <w:r>
        <w:tab/>
      </w:r>
      <w:r>
        <w:fldChar w:fldCharType="begin"/>
      </w:r>
      <w:r>
        <w:instrText xml:space="preserve"> PAGEREF _Toc75862972 \h </w:instrText>
      </w:r>
      <w:r>
        <w:fldChar w:fldCharType="separate"/>
      </w:r>
      <w:r w:rsidR="00FC1D84">
        <w:t>141</w:t>
      </w:r>
      <w:r>
        <w:fldChar w:fldCharType="end"/>
      </w:r>
    </w:p>
    <w:p w:rsidR="006169FD" w:rsidRDefault="006169FD">
      <w:pPr>
        <w:pStyle w:val="TOC8"/>
        <w:rPr>
          <w:rFonts w:asciiTheme="minorHAnsi" w:eastAsiaTheme="minorEastAsia" w:hAnsiTheme="minorHAnsi" w:cstheme="minorBidi"/>
          <w:szCs w:val="22"/>
        </w:rPr>
      </w:pPr>
      <w:r>
        <w:t>10</w:t>
      </w:r>
      <w:r w:rsidRPr="00AA3DF9">
        <w:rPr>
          <w:snapToGrid w:val="0"/>
        </w:rPr>
        <w:t>.</w:t>
      </w:r>
      <w:r w:rsidRPr="00AA3DF9">
        <w:rPr>
          <w:snapToGrid w:val="0"/>
        </w:rPr>
        <w:tab/>
        <w:t>Matter may be pleaded whenever arising</w:t>
      </w:r>
      <w:r>
        <w:tab/>
      </w:r>
      <w:r>
        <w:fldChar w:fldCharType="begin"/>
      </w:r>
      <w:r>
        <w:instrText xml:space="preserve"> PAGEREF _Toc75862973 \h </w:instrText>
      </w:r>
      <w:r>
        <w:fldChar w:fldCharType="separate"/>
      </w:r>
      <w:r w:rsidR="00FC1D84">
        <w:t>142</w:t>
      </w:r>
      <w:r>
        <w:fldChar w:fldCharType="end"/>
      </w:r>
    </w:p>
    <w:p w:rsidR="006169FD" w:rsidRDefault="006169FD">
      <w:pPr>
        <w:pStyle w:val="TOC8"/>
        <w:rPr>
          <w:rFonts w:asciiTheme="minorHAnsi" w:eastAsiaTheme="minorEastAsia" w:hAnsiTheme="minorHAnsi" w:cstheme="minorBidi"/>
          <w:szCs w:val="22"/>
        </w:rPr>
      </w:pPr>
      <w:r>
        <w:t>11</w:t>
      </w:r>
      <w:r w:rsidRPr="00AA3DF9">
        <w:rPr>
          <w:snapToGrid w:val="0"/>
        </w:rPr>
        <w:t>.</w:t>
      </w:r>
      <w:r w:rsidRPr="00AA3DF9">
        <w:rPr>
          <w:snapToGrid w:val="0"/>
        </w:rPr>
        <w:tab/>
        <w:t>Party’s pleadings to be consistent</w:t>
      </w:r>
      <w:r>
        <w:tab/>
      </w:r>
      <w:r>
        <w:fldChar w:fldCharType="begin"/>
      </w:r>
      <w:r>
        <w:instrText xml:space="preserve"> PAGEREF _Toc75862974 \h </w:instrText>
      </w:r>
      <w:r>
        <w:fldChar w:fldCharType="separate"/>
      </w:r>
      <w:r w:rsidR="00FC1D84">
        <w:t>142</w:t>
      </w:r>
      <w:r>
        <w:fldChar w:fldCharType="end"/>
      </w:r>
    </w:p>
    <w:p w:rsidR="006169FD" w:rsidRDefault="006169FD">
      <w:pPr>
        <w:pStyle w:val="TOC8"/>
        <w:rPr>
          <w:rFonts w:asciiTheme="minorHAnsi" w:eastAsiaTheme="minorEastAsia" w:hAnsiTheme="minorHAnsi" w:cstheme="minorBidi"/>
          <w:szCs w:val="22"/>
        </w:rPr>
      </w:pPr>
      <w:r>
        <w:t>12</w:t>
      </w:r>
      <w:r w:rsidRPr="00AA3DF9">
        <w:rPr>
          <w:snapToGrid w:val="0"/>
        </w:rPr>
        <w:t>.</w:t>
      </w:r>
      <w:r w:rsidRPr="00AA3DF9">
        <w:rPr>
          <w:snapToGrid w:val="0"/>
        </w:rPr>
        <w:tab/>
        <w:t>Points of law may be pleaded</w:t>
      </w:r>
      <w:r>
        <w:tab/>
      </w:r>
      <w:r>
        <w:fldChar w:fldCharType="begin"/>
      </w:r>
      <w:r>
        <w:instrText xml:space="preserve"> PAGEREF _Toc75862975 \h </w:instrText>
      </w:r>
      <w:r>
        <w:fldChar w:fldCharType="separate"/>
      </w:r>
      <w:r w:rsidR="00FC1D84">
        <w:t>142</w:t>
      </w:r>
      <w:r>
        <w:fldChar w:fldCharType="end"/>
      </w:r>
    </w:p>
    <w:p w:rsidR="006169FD" w:rsidRDefault="006169FD">
      <w:pPr>
        <w:pStyle w:val="TOC8"/>
        <w:rPr>
          <w:rFonts w:asciiTheme="minorHAnsi" w:eastAsiaTheme="minorEastAsia" w:hAnsiTheme="minorHAnsi" w:cstheme="minorBidi"/>
          <w:szCs w:val="22"/>
        </w:rPr>
      </w:pPr>
      <w:r>
        <w:lastRenderedPageBreak/>
        <w:t>13</w:t>
      </w:r>
      <w:r w:rsidRPr="00AA3DF9">
        <w:rPr>
          <w:snapToGrid w:val="0"/>
        </w:rPr>
        <w:t>.</w:t>
      </w:r>
      <w:r w:rsidRPr="00AA3DF9">
        <w:rPr>
          <w:snapToGrid w:val="0"/>
        </w:rPr>
        <w:tab/>
        <w:t>Particulars of claims etc.</w:t>
      </w:r>
      <w:r>
        <w:tab/>
      </w:r>
      <w:r>
        <w:fldChar w:fldCharType="begin"/>
      </w:r>
      <w:r>
        <w:instrText xml:space="preserve"> PAGEREF _Toc75862976 \h </w:instrText>
      </w:r>
      <w:r>
        <w:fldChar w:fldCharType="separate"/>
      </w:r>
      <w:r w:rsidR="00FC1D84">
        <w:t>142</w:t>
      </w:r>
      <w:r>
        <w:fldChar w:fldCharType="end"/>
      </w:r>
    </w:p>
    <w:p w:rsidR="006169FD" w:rsidRDefault="006169FD">
      <w:pPr>
        <w:pStyle w:val="TOC8"/>
        <w:rPr>
          <w:rFonts w:asciiTheme="minorHAnsi" w:eastAsiaTheme="minorEastAsia" w:hAnsiTheme="minorHAnsi" w:cstheme="minorBidi"/>
          <w:szCs w:val="22"/>
        </w:rPr>
      </w:pPr>
      <w:r>
        <w:t>13A</w:t>
      </w:r>
      <w:r w:rsidRPr="00AA3DF9">
        <w:rPr>
          <w:snapToGrid w:val="0"/>
        </w:rPr>
        <w:t>.</w:t>
      </w:r>
      <w:r w:rsidRPr="00AA3DF9">
        <w:rPr>
          <w:snapToGrid w:val="0"/>
        </w:rPr>
        <w:tab/>
        <w:t>Particulars in defamation actions</w:t>
      </w:r>
      <w:r>
        <w:tab/>
      </w:r>
      <w:r>
        <w:fldChar w:fldCharType="begin"/>
      </w:r>
      <w:r>
        <w:instrText xml:space="preserve"> PAGEREF _Toc75862977 \h </w:instrText>
      </w:r>
      <w:r>
        <w:fldChar w:fldCharType="separate"/>
      </w:r>
      <w:r w:rsidR="00FC1D84">
        <w:t>144</w:t>
      </w:r>
      <w:r>
        <w:fldChar w:fldCharType="end"/>
      </w:r>
    </w:p>
    <w:p w:rsidR="006169FD" w:rsidRDefault="006169FD">
      <w:pPr>
        <w:pStyle w:val="TOC8"/>
        <w:rPr>
          <w:rFonts w:asciiTheme="minorHAnsi" w:eastAsiaTheme="minorEastAsia" w:hAnsiTheme="minorHAnsi" w:cstheme="minorBidi"/>
          <w:szCs w:val="22"/>
        </w:rPr>
      </w:pPr>
      <w:r>
        <w:t>14</w:t>
      </w:r>
      <w:r w:rsidRPr="00AA3DF9">
        <w:rPr>
          <w:snapToGrid w:val="0"/>
        </w:rPr>
        <w:t>.</w:t>
      </w:r>
      <w:r w:rsidRPr="00AA3DF9">
        <w:rPr>
          <w:snapToGrid w:val="0"/>
        </w:rPr>
        <w:tab/>
        <w:t>Admissions, traverses etc.</w:t>
      </w:r>
      <w:r>
        <w:tab/>
      </w:r>
      <w:r>
        <w:fldChar w:fldCharType="begin"/>
      </w:r>
      <w:r>
        <w:instrText xml:space="preserve"> PAGEREF _Toc75862978 \h </w:instrText>
      </w:r>
      <w:r>
        <w:fldChar w:fldCharType="separate"/>
      </w:r>
      <w:r w:rsidR="00FC1D84">
        <w:t>145</w:t>
      </w:r>
      <w:r>
        <w:fldChar w:fldCharType="end"/>
      </w:r>
    </w:p>
    <w:p w:rsidR="006169FD" w:rsidRDefault="006169FD">
      <w:pPr>
        <w:pStyle w:val="TOC8"/>
        <w:rPr>
          <w:rFonts w:asciiTheme="minorHAnsi" w:eastAsiaTheme="minorEastAsia" w:hAnsiTheme="minorHAnsi" w:cstheme="minorBidi"/>
          <w:szCs w:val="22"/>
        </w:rPr>
      </w:pPr>
      <w:r>
        <w:t>15</w:t>
      </w:r>
      <w:r w:rsidRPr="00AA3DF9">
        <w:rPr>
          <w:snapToGrid w:val="0"/>
        </w:rPr>
        <w:t>.</w:t>
      </w:r>
      <w:r w:rsidRPr="00AA3DF9">
        <w:rPr>
          <w:snapToGrid w:val="0"/>
        </w:rPr>
        <w:tab/>
        <w:t>Denial by joinder of issue</w:t>
      </w:r>
      <w:r>
        <w:tab/>
      </w:r>
      <w:r>
        <w:fldChar w:fldCharType="begin"/>
      </w:r>
      <w:r>
        <w:instrText xml:space="preserve"> PAGEREF _Toc75862979 \h </w:instrText>
      </w:r>
      <w:r>
        <w:fldChar w:fldCharType="separate"/>
      </w:r>
      <w:r w:rsidR="00FC1D84">
        <w:t>145</w:t>
      </w:r>
      <w:r>
        <w:fldChar w:fldCharType="end"/>
      </w:r>
    </w:p>
    <w:p w:rsidR="006169FD" w:rsidRDefault="006169FD">
      <w:pPr>
        <w:pStyle w:val="TOC8"/>
        <w:rPr>
          <w:rFonts w:asciiTheme="minorHAnsi" w:eastAsiaTheme="minorEastAsia" w:hAnsiTheme="minorHAnsi" w:cstheme="minorBidi"/>
          <w:szCs w:val="22"/>
        </w:rPr>
      </w:pPr>
      <w:r>
        <w:t>16</w:t>
      </w:r>
      <w:r w:rsidRPr="00AA3DF9">
        <w:rPr>
          <w:snapToGrid w:val="0"/>
        </w:rPr>
        <w:t>.</w:t>
      </w:r>
      <w:r w:rsidRPr="00AA3DF9">
        <w:rPr>
          <w:snapToGrid w:val="0"/>
        </w:rPr>
        <w:tab/>
        <w:t>Defence of tender not available without payment into court</w:t>
      </w:r>
      <w:r>
        <w:tab/>
      </w:r>
      <w:r>
        <w:fldChar w:fldCharType="begin"/>
      </w:r>
      <w:r>
        <w:instrText xml:space="preserve"> PAGEREF _Toc75862980 \h </w:instrText>
      </w:r>
      <w:r>
        <w:fldChar w:fldCharType="separate"/>
      </w:r>
      <w:r w:rsidR="00FC1D84">
        <w:t>146</w:t>
      </w:r>
      <w:r>
        <w:fldChar w:fldCharType="end"/>
      </w:r>
    </w:p>
    <w:p w:rsidR="006169FD" w:rsidRDefault="006169FD">
      <w:pPr>
        <w:pStyle w:val="TOC8"/>
        <w:rPr>
          <w:rFonts w:asciiTheme="minorHAnsi" w:eastAsiaTheme="minorEastAsia" w:hAnsiTheme="minorHAnsi" w:cstheme="minorBidi"/>
          <w:szCs w:val="22"/>
        </w:rPr>
      </w:pPr>
      <w:r>
        <w:t>17</w:t>
      </w:r>
      <w:r w:rsidRPr="00AA3DF9">
        <w:rPr>
          <w:snapToGrid w:val="0"/>
        </w:rPr>
        <w:t>.</w:t>
      </w:r>
      <w:r w:rsidRPr="00AA3DF9">
        <w:rPr>
          <w:snapToGrid w:val="0"/>
        </w:rPr>
        <w:tab/>
        <w:t>Defence of set</w:t>
      </w:r>
      <w:r w:rsidRPr="00AA3DF9">
        <w:rPr>
          <w:snapToGrid w:val="0"/>
        </w:rPr>
        <w:noBreakHyphen/>
        <w:t>off</w:t>
      </w:r>
      <w:r>
        <w:tab/>
      </w:r>
      <w:r>
        <w:fldChar w:fldCharType="begin"/>
      </w:r>
      <w:r>
        <w:instrText xml:space="preserve"> PAGEREF _Toc75862981 \h </w:instrText>
      </w:r>
      <w:r>
        <w:fldChar w:fldCharType="separate"/>
      </w:r>
      <w:r w:rsidR="00FC1D84">
        <w:t>146</w:t>
      </w:r>
      <w:r>
        <w:fldChar w:fldCharType="end"/>
      </w:r>
    </w:p>
    <w:p w:rsidR="006169FD" w:rsidRDefault="006169FD">
      <w:pPr>
        <w:pStyle w:val="TOC8"/>
        <w:rPr>
          <w:rFonts w:asciiTheme="minorHAnsi" w:eastAsiaTheme="minorEastAsia" w:hAnsiTheme="minorHAnsi" w:cstheme="minorBidi"/>
          <w:szCs w:val="22"/>
        </w:rPr>
      </w:pPr>
      <w:r>
        <w:t>18</w:t>
      </w:r>
      <w:r w:rsidRPr="00AA3DF9">
        <w:rPr>
          <w:snapToGrid w:val="0"/>
        </w:rPr>
        <w:t>.</w:t>
      </w:r>
      <w:r w:rsidRPr="00AA3DF9">
        <w:rPr>
          <w:snapToGrid w:val="0"/>
        </w:rPr>
        <w:tab/>
        <w:t>Counterclaim and defence to counterclaim</w:t>
      </w:r>
      <w:r>
        <w:tab/>
      </w:r>
      <w:r>
        <w:fldChar w:fldCharType="begin"/>
      </w:r>
      <w:r>
        <w:instrText xml:space="preserve"> PAGEREF _Toc75862982 \h </w:instrText>
      </w:r>
      <w:r>
        <w:fldChar w:fldCharType="separate"/>
      </w:r>
      <w:r w:rsidR="00FC1D84">
        <w:t>146</w:t>
      </w:r>
      <w:r>
        <w:fldChar w:fldCharType="end"/>
      </w:r>
    </w:p>
    <w:p w:rsidR="006169FD" w:rsidRDefault="006169FD">
      <w:pPr>
        <w:pStyle w:val="TOC8"/>
        <w:rPr>
          <w:rFonts w:asciiTheme="minorHAnsi" w:eastAsiaTheme="minorEastAsia" w:hAnsiTheme="minorHAnsi" w:cstheme="minorBidi"/>
          <w:szCs w:val="22"/>
        </w:rPr>
      </w:pPr>
      <w:r>
        <w:t>19</w:t>
      </w:r>
      <w:r w:rsidRPr="00AA3DF9">
        <w:rPr>
          <w:snapToGrid w:val="0"/>
        </w:rPr>
        <w:t>.</w:t>
      </w:r>
      <w:r w:rsidRPr="00AA3DF9">
        <w:rPr>
          <w:snapToGrid w:val="0"/>
        </w:rPr>
        <w:tab/>
        <w:t>Striking out pleadings etc.</w:t>
      </w:r>
      <w:r>
        <w:tab/>
      </w:r>
      <w:r>
        <w:fldChar w:fldCharType="begin"/>
      </w:r>
      <w:r>
        <w:instrText xml:space="preserve"> PAGEREF _Toc75862983 \h </w:instrText>
      </w:r>
      <w:r>
        <w:fldChar w:fldCharType="separate"/>
      </w:r>
      <w:r w:rsidR="00FC1D84">
        <w:t>147</w:t>
      </w:r>
      <w:r>
        <w:fldChar w:fldCharType="end"/>
      </w:r>
    </w:p>
    <w:p w:rsidR="006169FD" w:rsidRDefault="006169FD">
      <w:pPr>
        <w:pStyle w:val="TOC8"/>
        <w:rPr>
          <w:rFonts w:asciiTheme="minorHAnsi" w:eastAsiaTheme="minorEastAsia" w:hAnsiTheme="minorHAnsi" w:cstheme="minorBidi"/>
          <w:szCs w:val="22"/>
        </w:rPr>
      </w:pPr>
      <w:r>
        <w:t>20</w:t>
      </w:r>
      <w:r w:rsidRPr="00AA3DF9">
        <w:rPr>
          <w:snapToGrid w:val="0"/>
        </w:rPr>
        <w:t>.</w:t>
      </w:r>
      <w:r w:rsidRPr="00AA3DF9">
        <w:rPr>
          <w:snapToGrid w:val="0"/>
        </w:rPr>
        <w:tab/>
        <w:t>Close of pleadings</w:t>
      </w:r>
      <w:r>
        <w:tab/>
      </w:r>
      <w:r>
        <w:fldChar w:fldCharType="begin"/>
      </w:r>
      <w:r>
        <w:instrText xml:space="preserve"> PAGEREF _Toc75862984 \h </w:instrText>
      </w:r>
      <w:r>
        <w:fldChar w:fldCharType="separate"/>
      </w:r>
      <w:r w:rsidR="00FC1D84">
        <w:t>148</w:t>
      </w:r>
      <w:r>
        <w:fldChar w:fldCharType="end"/>
      </w:r>
    </w:p>
    <w:p w:rsidR="006169FD" w:rsidRDefault="006169FD">
      <w:pPr>
        <w:pStyle w:val="TOC8"/>
        <w:rPr>
          <w:rFonts w:asciiTheme="minorHAnsi" w:eastAsiaTheme="minorEastAsia" w:hAnsiTheme="minorHAnsi" w:cstheme="minorBidi"/>
          <w:szCs w:val="22"/>
        </w:rPr>
      </w:pPr>
      <w:r>
        <w:t>21</w:t>
      </w:r>
      <w:r w:rsidRPr="00AA3DF9">
        <w:rPr>
          <w:snapToGrid w:val="0"/>
        </w:rPr>
        <w:t>.</w:t>
      </w:r>
      <w:r w:rsidRPr="00AA3DF9">
        <w:rPr>
          <w:snapToGrid w:val="0"/>
        </w:rPr>
        <w:tab/>
        <w:t>Trial without pleadings</w:t>
      </w:r>
      <w:r>
        <w:tab/>
      </w:r>
      <w:r>
        <w:fldChar w:fldCharType="begin"/>
      </w:r>
      <w:r>
        <w:instrText xml:space="preserve"> PAGEREF _Toc75862985 \h </w:instrText>
      </w:r>
      <w:r>
        <w:fldChar w:fldCharType="separate"/>
      </w:r>
      <w:r w:rsidR="00FC1D84">
        <w:t>148</w:t>
      </w:r>
      <w:r>
        <w:fldChar w:fldCharType="end"/>
      </w:r>
    </w:p>
    <w:p w:rsidR="006169FD" w:rsidRDefault="006169FD">
      <w:pPr>
        <w:pStyle w:val="TOC8"/>
        <w:rPr>
          <w:rFonts w:asciiTheme="minorHAnsi" w:eastAsiaTheme="minorEastAsia" w:hAnsiTheme="minorHAnsi" w:cstheme="minorBidi"/>
          <w:szCs w:val="22"/>
        </w:rPr>
      </w:pPr>
      <w:r>
        <w:t>22</w:t>
      </w:r>
      <w:r w:rsidRPr="00AA3DF9">
        <w:rPr>
          <w:snapToGrid w:val="0"/>
        </w:rPr>
        <w:t>.</w:t>
      </w:r>
      <w:r w:rsidRPr="00AA3DF9">
        <w:rPr>
          <w:snapToGrid w:val="0"/>
        </w:rPr>
        <w:tab/>
        <w:t>Preparation of issues</w:t>
      </w:r>
      <w:r>
        <w:tab/>
      </w:r>
      <w:r>
        <w:fldChar w:fldCharType="begin"/>
      </w:r>
      <w:r>
        <w:instrText xml:space="preserve"> PAGEREF _Toc75862986 \h </w:instrText>
      </w:r>
      <w:r>
        <w:fldChar w:fldCharType="separate"/>
      </w:r>
      <w:r w:rsidR="00FC1D84">
        <w:t>149</w:t>
      </w:r>
      <w:r>
        <w:fldChar w:fldCharType="end"/>
      </w:r>
    </w:p>
    <w:p w:rsidR="006169FD" w:rsidRDefault="006169FD">
      <w:pPr>
        <w:pStyle w:val="TOC8"/>
        <w:rPr>
          <w:rFonts w:asciiTheme="minorHAnsi" w:eastAsiaTheme="minorEastAsia" w:hAnsiTheme="minorHAnsi" w:cstheme="minorBidi"/>
          <w:szCs w:val="22"/>
        </w:rPr>
      </w:pPr>
      <w:r>
        <w:t>23</w:t>
      </w:r>
      <w:r w:rsidRPr="00AA3DF9">
        <w:rPr>
          <w:snapToGrid w:val="0"/>
        </w:rPr>
        <w:t>.</w:t>
      </w:r>
      <w:r w:rsidRPr="00AA3DF9">
        <w:rPr>
          <w:snapToGrid w:val="0"/>
        </w:rPr>
        <w:tab/>
        <w:t>Collision between vessels, content etc. of Preliminary Act</w:t>
      </w:r>
      <w:r>
        <w:tab/>
      </w:r>
      <w:r>
        <w:fldChar w:fldCharType="begin"/>
      </w:r>
      <w:r>
        <w:instrText xml:space="preserve"> PAGEREF _Toc75862987 \h </w:instrText>
      </w:r>
      <w:r>
        <w:fldChar w:fldCharType="separate"/>
      </w:r>
      <w:r w:rsidR="00FC1D84">
        <w:t>149</w:t>
      </w:r>
      <w:r>
        <w:fldChar w:fldCharType="end"/>
      </w:r>
    </w:p>
    <w:p w:rsidR="006169FD" w:rsidRDefault="006169FD">
      <w:pPr>
        <w:pStyle w:val="TOC8"/>
        <w:rPr>
          <w:rFonts w:asciiTheme="minorHAnsi" w:eastAsiaTheme="minorEastAsia" w:hAnsiTheme="minorHAnsi" w:cstheme="minorBidi"/>
          <w:szCs w:val="22"/>
        </w:rPr>
      </w:pPr>
      <w:r>
        <w:t>24</w:t>
      </w:r>
      <w:r w:rsidRPr="00AA3DF9">
        <w:rPr>
          <w:snapToGrid w:val="0"/>
        </w:rPr>
        <w:t>.</w:t>
      </w:r>
      <w:r w:rsidRPr="00AA3DF9">
        <w:rPr>
          <w:snapToGrid w:val="0"/>
        </w:rPr>
        <w:tab/>
        <w:t>Failure to file Preliminary Act</w:t>
      </w:r>
      <w:r>
        <w:tab/>
      </w:r>
      <w:r>
        <w:fldChar w:fldCharType="begin"/>
      </w:r>
      <w:r>
        <w:instrText xml:space="preserve"> PAGEREF _Toc75862988 \h </w:instrText>
      </w:r>
      <w:r>
        <w:fldChar w:fldCharType="separate"/>
      </w:r>
      <w:r w:rsidR="00FC1D84">
        <w:t>151</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21 — Amendment</w:t>
      </w:r>
    </w:p>
    <w:p w:rsidR="006169FD" w:rsidRDefault="006169FD">
      <w:pPr>
        <w:pStyle w:val="TOC8"/>
        <w:rPr>
          <w:rFonts w:asciiTheme="minorHAnsi" w:eastAsiaTheme="minorEastAsia" w:hAnsiTheme="minorHAnsi" w:cstheme="minorBidi"/>
          <w:szCs w:val="22"/>
        </w:rPr>
      </w:pPr>
      <w:r>
        <w:t>1</w:t>
      </w:r>
      <w:r w:rsidRPr="00AA3DF9">
        <w:rPr>
          <w:snapToGrid w:val="0"/>
        </w:rPr>
        <w:t>.</w:t>
      </w:r>
      <w:r w:rsidRPr="00AA3DF9">
        <w:rPr>
          <w:snapToGrid w:val="0"/>
        </w:rPr>
        <w:tab/>
        <w:t>Amending writ without leave</w:t>
      </w:r>
      <w:r>
        <w:tab/>
      </w:r>
      <w:r>
        <w:fldChar w:fldCharType="begin"/>
      </w:r>
      <w:r>
        <w:instrText xml:space="preserve"> PAGEREF _Toc75862990 \h </w:instrText>
      </w:r>
      <w:r>
        <w:fldChar w:fldCharType="separate"/>
      </w:r>
      <w:r w:rsidR="00FC1D84">
        <w:t>153</w:t>
      </w:r>
      <w:r>
        <w:fldChar w:fldCharType="end"/>
      </w:r>
    </w:p>
    <w:p w:rsidR="006169FD" w:rsidRDefault="006169FD">
      <w:pPr>
        <w:pStyle w:val="TOC8"/>
        <w:rPr>
          <w:rFonts w:asciiTheme="minorHAnsi" w:eastAsiaTheme="minorEastAsia" w:hAnsiTheme="minorHAnsi" w:cstheme="minorBidi"/>
          <w:szCs w:val="22"/>
        </w:rPr>
      </w:pPr>
      <w:r>
        <w:t>2</w:t>
      </w:r>
      <w:r w:rsidRPr="00AA3DF9">
        <w:rPr>
          <w:snapToGrid w:val="0"/>
        </w:rPr>
        <w:t>.</w:t>
      </w:r>
      <w:r w:rsidRPr="00AA3DF9">
        <w:rPr>
          <w:snapToGrid w:val="0"/>
        </w:rPr>
        <w:tab/>
        <w:t>Amending memorandum of appearance</w:t>
      </w:r>
      <w:r>
        <w:tab/>
      </w:r>
      <w:r>
        <w:fldChar w:fldCharType="begin"/>
      </w:r>
      <w:r>
        <w:instrText xml:space="preserve"> PAGEREF _Toc75862991 \h </w:instrText>
      </w:r>
      <w:r>
        <w:fldChar w:fldCharType="separate"/>
      </w:r>
      <w:r w:rsidR="00FC1D84">
        <w:t>153</w:t>
      </w:r>
      <w:r>
        <w:fldChar w:fldCharType="end"/>
      </w:r>
    </w:p>
    <w:p w:rsidR="006169FD" w:rsidRDefault="006169FD">
      <w:pPr>
        <w:pStyle w:val="TOC8"/>
        <w:rPr>
          <w:rFonts w:asciiTheme="minorHAnsi" w:eastAsiaTheme="minorEastAsia" w:hAnsiTheme="minorHAnsi" w:cstheme="minorBidi"/>
          <w:szCs w:val="22"/>
        </w:rPr>
      </w:pPr>
      <w:r>
        <w:t>3.</w:t>
      </w:r>
      <w:r>
        <w:tab/>
        <w:t>Amending pleadings without leave</w:t>
      </w:r>
      <w:r>
        <w:tab/>
      </w:r>
      <w:r>
        <w:fldChar w:fldCharType="begin"/>
      </w:r>
      <w:r>
        <w:instrText xml:space="preserve"> PAGEREF _Toc75862992 \h </w:instrText>
      </w:r>
      <w:r>
        <w:fldChar w:fldCharType="separate"/>
      </w:r>
      <w:r w:rsidR="00FC1D84">
        <w:t>153</w:t>
      </w:r>
      <w:r>
        <w:fldChar w:fldCharType="end"/>
      </w:r>
    </w:p>
    <w:p w:rsidR="006169FD" w:rsidRDefault="006169FD">
      <w:pPr>
        <w:pStyle w:val="TOC8"/>
        <w:rPr>
          <w:rFonts w:asciiTheme="minorHAnsi" w:eastAsiaTheme="minorEastAsia" w:hAnsiTheme="minorHAnsi" w:cstheme="minorBidi"/>
          <w:szCs w:val="22"/>
        </w:rPr>
      </w:pPr>
      <w:r>
        <w:t>5.</w:t>
      </w:r>
      <w:r>
        <w:tab/>
        <w:t>Amending writ or pleading with leave</w:t>
      </w:r>
      <w:r>
        <w:tab/>
      </w:r>
      <w:r>
        <w:fldChar w:fldCharType="begin"/>
      </w:r>
      <w:r>
        <w:instrText xml:space="preserve"> PAGEREF _Toc75862993 \h </w:instrText>
      </w:r>
      <w:r>
        <w:fldChar w:fldCharType="separate"/>
      </w:r>
      <w:r w:rsidR="00FC1D84">
        <w:t>154</w:t>
      </w:r>
      <w:r>
        <w:fldChar w:fldCharType="end"/>
      </w:r>
    </w:p>
    <w:p w:rsidR="006169FD" w:rsidRDefault="006169FD">
      <w:pPr>
        <w:pStyle w:val="TOC8"/>
        <w:rPr>
          <w:rFonts w:asciiTheme="minorHAnsi" w:eastAsiaTheme="minorEastAsia" w:hAnsiTheme="minorHAnsi" w:cstheme="minorBidi"/>
          <w:szCs w:val="22"/>
        </w:rPr>
      </w:pPr>
      <w:r>
        <w:t>6</w:t>
      </w:r>
      <w:r w:rsidRPr="00AA3DF9">
        <w:rPr>
          <w:snapToGrid w:val="0"/>
        </w:rPr>
        <w:t>.</w:t>
      </w:r>
      <w:r w:rsidRPr="00AA3DF9">
        <w:rPr>
          <w:snapToGrid w:val="0"/>
        </w:rPr>
        <w:tab/>
        <w:t>Amending other originating process</w:t>
      </w:r>
      <w:r>
        <w:tab/>
      </w:r>
      <w:r>
        <w:fldChar w:fldCharType="begin"/>
      </w:r>
      <w:r>
        <w:instrText xml:space="preserve"> PAGEREF _Toc75862994 \h </w:instrText>
      </w:r>
      <w:r>
        <w:fldChar w:fldCharType="separate"/>
      </w:r>
      <w:r w:rsidR="00FC1D84">
        <w:t>155</w:t>
      </w:r>
      <w:r>
        <w:fldChar w:fldCharType="end"/>
      </w:r>
    </w:p>
    <w:p w:rsidR="006169FD" w:rsidRDefault="006169FD">
      <w:pPr>
        <w:pStyle w:val="TOC8"/>
        <w:rPr>
          <w:rFonts w:asciiTheme="minorHAnsi" w:eastAsiaTheme="minorEastAsia" w:hAnsiTheme="minorHAnsi" w:cstheme="minorBidi"/>
          <w:szCs w:val="22"/>
        </w:rPr>
      </w:pPr>
      <w:r>
        <w:t>7</w:t>
      </w:r>
      <w:r w:rsidRPr="00AA3DF9">
        <w:rPr>
          <w:snapToGrid w:val="0"/>
        </w:rPr>
        <w:t>.</w:t>
      </w:r>
      <w:r w:rsidRPr="00AA3DF9">
        <w:rPr>
          <w:snapToGrid w:val="0"/>
        </w:rPr>
        <w:tab/>
        <w:t>Amending other documents</w:t>
      </w:r>
      <w:r>
        <w:tab/>
      </w:r>
      <w:r>
        <w:fldChar w:fldCharType="begin"/>
      </w:r>
      <w:r>
        <w:instrText xml:space="preserve"> PAGEREF _Toc75862995 \h </w:instrText>
      </w:r>
      <w:r>
        <w:fldChar w:fldCharType="separate"/>
      </w:r>
      <w:r w:rsidR="00FC1D84">
        <w:t>155</w:t>
      </w:r>
      <w:r>
        <w:fldChar w:fldCharType="end"/>
      </w:r>
    </w:p>
    <w:p w:rsidR="006169FD" w:rsidRDefault="006169FD">
      <w:pPr>
        <w:pStyle w:val="TOC8"/>
        <w:rPr>
          <w:rFonts w:asciiTheme="minorHAnsi" w:eastAsiaTheme="minorEastAsia" w:hAnsiTheme="minorHAnsi" w:cstheme="minorBidi"/>
          <w:szCs w:val="22"/>
        </w:rPr>
      </w:pPr>
      <w:r>
        <w:t>8</w:t>
      </w:r>
      <w:r w:rsidRPr="00AA3DF9">
        <w:rPr>
          <w:snapToGrid w:val="0"/>
        </w:rPr>
        <w:t>.</w:t>
      </w:r>
      <w:r w:rsidRPr="00AA3DF9">
        <w:rPr>
          <w:snapToGrid w:val="0"/>
        </w:rPr>
        <w:tab/>
        <w:t>Failure to amend after order</w:t>
      </w:r>
      <w:r>
        <w:tab/>
      </w:r>
      <w:r>
        <w:fldChar w:fldCharType="begin"/>
      </w:r>
      <w:r>
        <w:instrText xml:space="preserve"> PAGEREF _Toc75862996 \h </w:instrText>
      </w:r>
      <w:r>
        <w:fldChar w:fldCharType="separate"/>
      </w:r>
      <w:r w:rsidR="00FC1D84">
        <w:t>155</w:t>
      </w:r>
      <w:r>
        <w:fldChar w:fldCharType="end"/>
      </w:r>
    </w:p>
    <w:p w:rsidR="006169FD" w:rsidRDefault="006169FD">
      <w:pPr>
        <w:pStyle w:val="TOC8"/>
        <w:rPr>
          <w:rFonts w:asciiTheme="minorHAnsi" w:eastAsiaTheme="minorEastAsia" w:hAnsiTheme="minorHAnsi" w:cstheme="minorBidi"/>
          <w:szCs w:val="22"/>
        </w:rPr>
      </w:pPr>
      <w:r>
        <w:t>9</w:t>
      </w:r>
      <w:r w:rsidRPr="00AA3DF9">
        <w:rPr>
          <w:snapToGrid w:val="0"/>
        </w:rPr>
        <w:t>.</w:t>
      </w:r>
      <w:r w:rsidRPr="00AA3DF9">
        <w:rPr>
          <w:snapToGrid w:val="0"/>
        </w:rPr>
        <w:tab/>
        <w:t>How amendments to be made</w:t>
      </w:r>
      <w:r>
        <w:tab/>
      </w:r>
      <w:r>
        <w:fldChar w:fldCharType="begin"/>
      </w:r>
      <w:r>
        <w:instrText xml:space="preserve"> PAGEREF _Toc75862997 \h </w:instrText>
      </w:r>
      <w:r>
        <w:fldChar w:fldCharType="separate"/>
      </w:r>
      <w:r w:rsidR="00FC1D84">
        <w:t>155</w:t>
      </w:r>
      <w:r>
        <w:fldChar w:fldCharType="end"/>
      </w:r>
    </w:p>
    <w:p w:rsidR="006169FD" w:rsidRDefault="006169FD">
      <w:pPr>
        <w:pStyle w:val="TOC8"/>
        <w:rPr>
          <w:rFonts w:asciiTheme="minorHAnsi" w:eastAsiaTheme="minorEastAsia" w:hAnsiTheme="minorHAnsi" w:cstheme="minorBidi"/>
          <w:szCs w:val="22"/>
        </w:rPr>
      </w:pPr>
      <w:r>
        <w:t>10</w:t>
      </w:r>
      <w:r w:rsidRPr="00AA3DF9">
        <w:rPr>
          <w:snapToGrid w:val="0"/>
        </w:rPr>
        <w:t>.</w:t>
      </w:r>
      <w:r w:rsidRPr="00AA3DF9">
        <w:rPr>
          <w:snapToGrid w:val="0"/>
        </w:rPr>
        <w:tab/>
        <w:t>Clerical errors etc., correcting (slip rule)</w:t>
      </w:r>
      <w:r>
        <w:tab/>
      </w:r>
      <w:r>
        <w:fldChar w:fldCharType="begin"/>
      </w:r>
      <w:r>
        <w:instrText xml:space="preserve"> PAGEREF _Toc75862998 \h </w:instrText>
      </w:r>
      <w:r>
        <w:fldChar w:fldCharType="separate"/>
      </w:r>
      <w:r w:rsidR="00FC1D84">
        <w:t>156</w:t>
      </w:r>
      <w:r>
        <w:fldChar w:fldCharType="end"/>
      </w:r>
    </w:p>
    <w:p w:rsidR="006169FD" w:rsidRDefault="006169FD">
      <w:pPr>
        <w:pStyle w:val="TOC8"/>
        <w:rPr>
          <w:rFonts w:asciiTheme="minorHAnsi" w:eastAsiaTheme="minorEastAsia" w:hAnsiTheme="minorHAnsi" w:cstheme="minorBidi"/>
          <w:szCs w:val="22"/>
        </w:rPr>
      </w:pPr>
      <w:r>
        <w:t>11.</w:t>
      </w:r>
      <w:r>
        <w:tab/>
        <w:t>Service of amended documents</w:t>
      </w:r>
      <w:r>
        <w:tab/>
      </w:r>
      <w:r>
        <w:fldChar w:fldCharType="begin"/>
      </w:r>
      <w:r>
        <w:instrText xml:space="preserve"> PAGEREF _Toc75862999 \h </w:instrText>
      </w:r>
      <w:r>
        <w:fldChar w:fldCharType="separate"/>
      </w:r>
      <w:r w:rsidR="00FC1D84">
        <w:t>156</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23 — Discontinuance</w:t>
      </w:r>
    </w:p>
    <w:p w:rsidR="006169FD" w:rsidRDefault="006169FD">
      <w:pPr>
        <w:pStyle w:val="TOC8"/>
        <w:rPr>
          <w:rFonts w:asciiTheme="minorHAnsi" w:eastAsiaTheme="minorEastAsia" w:hAnsiTheme="minorHAnsi" w:cstheme="minorBidi"/>
          <w:szCs w:val="22"/>
        </w:rPr>
      </w:pPr>
      <w:r>
        <w:t>1</w:t>
      </w:r>
      <w:r w:rsidRPr="00AA3DF9">
        <w:rPr>
          <w:snapToGrid w:val="0"/>
        </w:rPr>
        <w:t>.</w:t>
      </w:r>
      <w:r w:rsidRPr="00AA3DF9">
        <w:rPr>
          <w:snapToGrid w:val="0"/>
        </w:rPr>
        <w:tab/>
        <w:t>Withdrawing appearance</w:t>
      </w:r>
      <w:r>
        <w:tab/>
      </w:r>
      <w:r>
        <w:fldChar w:fldCharType="begin"/>
      </w:r>
      <w:r>
        <w:instrText xml:space="preserve"> PAGEREF _Toc75863001 \h </w:instrText>
      </w:r>
      <w:r>
        <w:fldChar w:fldCharType="separate"/>
      </w:r>
      <w:r w:rsidR="00FC1D84">
        <w:t>157</w:t>
      </w:r>
      <w:r>
        <w:fldChar w:fldCharType="end"/>
      </w:r>
    </w:p>
    <w:p w:rsidR="006169FD" w:rsidRDefault="006169FD">
      <w:pPr>
        <w:pStyle w:val="TOC8"/>
        <w:rPr>
          <w:rFonts w:asciiTheme="minorHAnsi" w:eastAsiaTheme="minorEastAsia" w:hAnsiTheme="minorHAnsi" w:cstheme="minorBidi"/>
          <w:szCs w:val="22"/>
        </w:rPr>
      </w:pPr>
      <w:r>
        <w:t>2</w:t>
      </w:r>
      <w:r w:rsidRPr="00AA3DF9">
        <w:rPr>
          <w:snapToGrid w:val="0"/>
        </w:rPr>
        <w:t>.</w:t>
      </w:r>
      <w:r w:rsidRPr="00AA3DF9">
        <w:rPr>
          <w:snapToGrid w:val="0"/>
        </w:rPr>
        <w:tab/>
        <w:t>Plaintiff may discontinue; defence etc. may be withdrawn</w:t>
      </w:r>
      <w:r>
        <w:tab/>
      </w:r>
      <w:r>
        <w:fldChar w:fldCharType="begin"/>
      </w:r>
      <w:r>
        <w:instrText xml:space="preserve"> PAGEREF _Toc75863002 \h </w:instrText>
      </w:r>
      <w:r>
        <w:fldChar w:fldCharType="separate"/>
      </w:r>
      <w:r w:rsidR="00FC1D84">
        <w:t>157</w:t>
      </w:r>
      <w:r>
        <w:fldChar w:fldCharType="end"/>
      </w:r>
    </w:p>
    <w:p w:rsidR="006169FD" w:rsidRDefault="006169FD">
      <w:pPr>
        <w:pStyle w:val="TOC8"/>
        <w:rPr>
          <w:rFonts w:asciiTheme="minorHAnsi" w:eastAsiaTheme="minorEastAsia" w:hAnsiTheme="minorHAnsi" w:cstheme="minorBidi"/>
          <w:szCs w:val="22"/>
        </w:rPr>
      </w:pPr>
      <w:r>
        <w:t>3</w:t>
      </w:r>
      <w:r w:rsidRPr="00AA3DF9">
        <w:rPr>
          <w:snapToGrid w:val="0"/>
        </w:rPr>
        <w:t>.</w:t>
      </w:r>
      <w:r w:rsidRPr="00AA3DF9">
        <w:rPr>
          <w:snapToGrid w:val="0"/>
        </w:rPr>
        <w:tab/>
        <w:t>Costs</w:t>
      </w:r>
      <w:r>
        <w:tab/>
      </w:r>
      <w:r>
        <w:fldChar w:fldCharType="begin"/>
      </w:r>
      <w:r>
        <w:instrText xml:space="preserve"> PAGEREF _Toc75863003 \h </w:instrText>
      </w:r>
      <w:r>
        <w:fldChar w:fldCharType="separate"/>
      </w:r>
      <w:r w:rsidR="00FC1D84">
        <w:t>158</w:t>
      </w:r>
      <w:r>
        <w:fldChar w:fldCharType="end"/>
      </w:r>
    </w:p>
    <w:p w:rsidR="006169FD" w:rsidRDefault="006169FD">
      <w:pPr>
        <w:pStyle w:val="TOC8"/>
        <w:rPr>
          <w:rFonts w:asciiTheme="minorHAnsi" w:eastAsiaTheme="minorEastAsia" w:hAnsiTheme="minorHAnsi" w:cstheme="minorBidi"/>
          <w:szCs w:val="22"/>
        </w:rPr>
      </w:pPr>
      <w:r>
        <w:t>4</w:t>
      </w:r>
      <w:r w:rsidRPr="00AA3DF9">
        <w:rPr>
          <w:snapToGrid w:val="0"/>
        </w:rPr>
        <w:t>.</w:t>
      </w:r>
      <w:r w:rsidRPr="00AA3DF9">
        <w:rPr>
          <w:snapToGrid w:val="0"/>
        </w:rPr>
        <w:tab/>
        <w:t>Subsequent action stayed pending payment</w:t>
      </w:r>
      <w:r>
        <w:tab/>
      </w:r>
      <w:r>
        <w:fldChar w:fldCharType="begin"/>
      </w:r>
      <w:r>
        <w:instrText xml:space="preserve"> PAGEREF _Toc75863004 \h </w:instrText>
      </w:r>
      <w:r>
        <w:fldChar w:fldCharType="separate"/>
      </w:r>
      <w:r w:rsidR="00FC1D84">
        <w:t>158</w:t>
      </w:r>
      <w:r>
        <w:fldChar w:fldCharType="end"/>
      </w:r>
    </w:p>
    <w:p w:rsidR="006169FD" w:rsidRDefault="006169FD">
      <w:pPr>
        <w:pStyle w:val="TOC8"/>
        <w:rPr>
          <w:rFonts w:asciiTheme="minorHAnsi" w:eastAsiaTheme="minorEastAsia" w:hAnsiTheme="minorHAnsi" w:cstheme="minorBidi"/>
          <w:szCs w:val="22"/>
        </w:rPr>
      </w:pPr>
      <w:r>
        <w:t>5</w:t>
      </w:r>
      <w:r w:rsidRPr="00AA3DF9">
        <w:rPr>
          <w:snapToGrid w:val="0"/>
        </w:rPr>
        <w:t>.</w:t>
      </w:r>
      <w:r w:rsidRPr="00AA3DF9">
        <w:rPr>
          <w:snapToGrid w:val="0"/>
        </w:rPr>
        <w:tab/>
        <w:t>Withdrawal of summons</w:t>
      </w:r>
      <w:r>
        <w:tab/>
      </w:r>
      <w:r>
        <w:fldChar w:fldCharType="begin"/>
      </w:r>
      <w:r>
        <w:instrText xml:space="preserve"> PAGEREF _Toc75863005 \h </w:instrText>
      </w:r>
      <w:r>
        <w:fldChar w:fldCharType="separate"/>
      </w:r>
      <w:r w:rsidR="00FC1D84">
        <w:t>158</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lastRenderedPageBreak/>
        <w:t>Order 24 — Payment into court — offers to consent to judgment</w:t>
      </w:r>
    </w:p>
    <w:p w:rsidR="006169FD" w:rsidRDefault="006169FD">
      <w:pPr>
        <w:pStyle w:val="TOC8"/>
        <w:rPr>
          <w:rFonts w:asciiTheme="minorHAnsi" w:eastAsiaTheme="minorEastAsia" w:hAnsiTheme="minorHAnsi" w:cstheme="minorBidi"/>
          <w:szCs w:val="22"/>
        </w:rPr>
      </w:pPr>
      <w:r>
        <w:t>9</w:t>
      </w:r>
      <w:r w:rsidRPr="00AA3DF9">
        <w:rPr>
          <w:snapToGrid w:val="0"/>
        </w:rPr>
        <w:t>.</w:t>
      </w:r>
      <w:r w:rsidRPr="00AA3DF9">
        <w:rPr>
          <w:snapToGrid w:val="0"/>
        </w:rPr>
        <w:tab/>
        <w:t>In certain cases no payment out without order</w:t>
      </w:r>
      <w:r>
        <w:tab/>
      </w:r>
      <w:r>
        <w:fldChar w:fldCharType="begin"/>
      </w:r>
      <w:r>
        <w:instrText xml:space="preserve"> PAGEREF _Toc75863007 \h </w:instrText>
      </w:r>
      <w:r>
        <w:fldChar w:fldCharType="separate"/>
      </w:r>
      <w:r w:rsidR="00FC1D84">
        <w:t>159</w:t>
      </w:r>
      <w:r>
        <w:fldChar w:fldCharType="end"/>
      </w:r>
    </w:p>
    <w:p w:rsidR="006169FD" w:rsidRDefault="006169FD">
      <w:pPr>
        <w:pStyle w:val="TOC8"/>
        <w:rPr>
          <w:rFonts w:asciiTheme="minorHAnsi" w:eastAsiaTheme="minorEastAsia" w:hAnsiTheme="minorHAnsi" w:cstheme="minorBidi"/>
          <w:szCs w:val="22"/>
        </w:rPr>
      </w:pPr>
      <w:r>
        <w:t>11</w:t>
      </w:r>
      <w:r w:rsidRPr="00AA3DF9">
        <w:rPr>
          <w:snapToGrid w:val="0"/>
        </w:rPr>
        <w:t>.</w:t>
      </w:r>
      <w:r w:rsidRPr="00AA3DF9">
        <w:rPr>
          <w:snapToGrid w:val="0"/>
        </w:rPr>
        <w:tab/>
        <w:t>Intestate’s estate, Court may direct some payments without administration</w:t>
      </w:r>
      <w:r>
        <w:tab/>
      </w:r>
      <w:r>
        <w:fldChar w:fldCharType="begin"/>
      </w:r>
      <w:r>
        <w:instrText xml:space="preserve"> PAGEREF _Toc75863008 \h </w:instrText>
      </w:r>
      <w:r>
        <w:fldChar w:fldCharType="separate"/>
      </w:r>
      <w:r w:rsidR="00FC1D84">
        <w:t>159</w:t>
      </w:r>
      <w:r>
        <w:fldChar w:fldCharType="end"/>
      </w:r>
    </w:p>
    <w:p w:rsidR="006169FD" w:rsidRDefault="006169FD">
      <w:pPr>
        <w:pStyle w:val="TOC8"/>
        <w:rPr>
          <w:rFonts w:asciiTheme="minorHAnsi" w:eastAsiaTheme="minorEastAsia" w:hAnsiTheme="minorHAnsi" w:cstheme="minorBidi"/>
          <w:szCs w:val="22"/>
        </w:rPr>
      </w:pPr>
      <w:r>
        <w:t>12</w:t>
      </w:r>
      <w:r w:rsidRPr="00AA3DF9">
        <w:rPr>
          <w:snapToGrid w:val="0"/>
        </w:rPr>
        <w:t>.</w:t>
      </w:r>
      <w:r w:rsidRPr="00AA3DF9">
        <w:rPr>
          <w:snapToGrid w:val="0"/>
        </w:rPr>
        <w:tab/>
        <w:t>Regulations (Sch. 3)</w:t>
      </w:r>
      <w:r>
        <w:tab/>
      </w:r>
      <w:r>
        <w:fldChar w:fldCharType="begin"/>
      </w:r>
      <w:r>
        <w:instrText xml:space="preserve"> PAGEREF _Toc75863009 \h </w:instrText>
      </w:r>
      <w:r>
        <w:fldChar w:fldCharType="separate"/>
      </w:r>
      <w:r w:rsidR="00FC1D84">
        <w:t>160</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24A — Offer of compromise</w:t>
      </w:r>
    </w:p>
    <w:p w:rsidR="006169FD" w:rsidRDefault="006169FD">
      <w:pPr>
        <w:pStyle w:val="TOC8"/>
        <w:rPr>
          <w:rFonts w:asciiTheme="minorHAnsi" w:eastAsiaTheme="minorEastAsia" w:hAnsiTheme="minorHAnsi" w:cstheme="minorBidi"/>
          <w:szCs w:val="22"/>
        </w:rPr>
      </w:pPr>
      <w:r>
        <w:t>1.</w:t>
      </w:r>
      <w:r>
        <w:tab/>
        <w:t>Parties entitled to make offer</w:t>
      </w:r>
      <w:r>
        <w:tab/>
      </w:r>
      <w:r>
        <w:fldChar w:fldCharType="begin"/>
      </w:r>
      <w:r>
        <w:instrText xml:space="preserve"> PAGEREF _Toc75863011 \h </w:instrText>
      </w:r>
      <w:r>
        <w:fldChar w:fldCharType="separate"/>
      </w:r>
      <w:r w:rsidR="00FC1D84">
        <w:t>161</w:t>
      </w:r>
      <w:r>
        <w:fldChar w:fldCharType="end"/>
      </w:r>
    </w:p>
    <w:p w:rsidR="006169FD" w:rsidRDefault="006169FD">
      <w:pPr>
        <w:pStyle w:val="TOC8"/>
        <w:rPr>
          <w:rFonts w:asciiTheme="minorHAnsi" w:eastAsiaTheme="minorEastAsia" w:hAnsiTheme="minorHAnsi" w:cstheme="minorBidi"/>
          <w:szCs w:val="22"/>
        </w:rPr>
      </w:pPr>
      <w:r>
        <w:t>2.</w:t>
      </w:r>
      <w:r>
        <w:tab/>
        <w:t>Application of this Order to counterclaims and third party notices</w:t>
      </w:r>
      <w:r>
        <w:tab/>
      </w:r>
      <w:r>
        <w:fldChar w:fldCharType="begin"/>
      </w:r>
      <w:r>
        <w:instrText xml:space="preserve"> PAGEREF _Toc75863012 \h </w:instrText>
      </w:r>
      <w:r>
        <w:fldChar w:fldCharType="separate"/>
      </w:r>
      <w:r w:rsidR="00FC1D84">
        <w:t>161</w:t>
      </w:r>
      <w:r>
        <w:fldChar w:fldCharType="end"/>
      </w:r>
    </w:p>
    <w:p w:rsidR="006169FD" w:rsidRDefault="006169FD">
      <w:pPr>
        <w:pStyle w:val="TOC8"/>
        <w:rPr>
          <w:rFonts w:asciiTheme="minorHAnsi" w:eastAsiaTheme="minorEastAsia" w:hAnsiTheme="minorHAnsi" w:cstheme="minorBidi"/>
          <w:szCs w:val="22"/>
        </w:rPr>
      </w:pPr>
      <w:r>
        <w:t>3A.</w:t>
      </w:r>
      <w:r>
        <w:tab/>
        <w:t>How to make offer</w:t>
      </w:r>
      <w:r>
        <w:tab/>
      </w:r>
      <w:r>
        <w:fldChar w:fldCharType="begin"/>
      </w:r>
      <w:r>
        <w:instrText xml:space="preserve"> PAGEREF _Toc75863013 \h </w:instrText>
      </w:r>
      <w:r>
        <w:fldChar w:fldCharType="separate"/>
      </w:r>
      <w:r w:rsidR="00FC1D84">
        <w:t>161</w:t>
      </w:r>
      <w:r>
        <w:fldChar w:fldCharType="end"/>
      </w:r>
    </w:p>
    <w:p w:rsidR="006169FD" w:rsidRDefault="006169FD">
      <w:pPr>
        <w:pStyle w:val="TOC8"/>
        <w:rPr>
          <w:rFonts w:asciiTheme="minorHAnsi" w:eastAsiaTheme="minorEastAsia" w:hAnsiTheme="minorHAnsi" w:cstheme="minorBidi"/>
          <w:szCs w:val="22"/>
        </w:rPr>
      </w:pPr>
      <w:r>
        <w:t>3</w:t>
      </w:r>
      <w:r w:rsidRPr="00AA3DF9">
        <w:rPr>
          <w:snapToGrid w:val="0"/>
        </w:rPr>
        <w:t>.</w:t>
      </w:r>
      <w:r w:rsidRPr="00AA3DF9">
        <w:rPr>
          <w:snapToGrid w:val="0"/>
        </w:rPr>
        <w:tab/>
        <w:t>Time etc. for making, accepting etc. offer</w:t>
      </w:r>
      <w:r>
        <w:tab/>
      </w:r>
      <w:r>
        <w:fldChar w:fldCharType="begin"/>
      </w:r>
      <w:r>
        <w:instrText xml:space="preserve"> PAGEREF _Toc75863014 \h </w:instrText>
      </w:r>
      <w:r>
        <w:fldChar w:fldCharType="separate"/>
      </w:r>
      <w:r w:rsidR="00FC1D84">
        <w:t>161</w:t>
      </w:r>
      <w:r>
        <w:fldChar w:fldCharType="end"/>
      </w:r>
    </w:p>
    <w:p w:rsidR="006169FD" w:rsidRDefault="006169FD">
      <w:pPr>
        <w:pStyle w:val="TOC8"/>
        <w:rPr>
          <w:rFonts w:asciiTheme="minorHAnsi" w:eastAsiaTheme="minorEastAsia" w:hAnsiTheme="minorHAnsi" w:cstheme="minorBidi"/>
          <w:szCs w:val="22"/>
        </w:rPr>
      </w:pPr>
      <w:r>
        <w:t>4</w:t>
      </w:r>
      <w:r w:rsidRPr="00AA3DF9">
        <w:rPr>
          <w:snapToGrid w:val="0"/>
        </w:rPr>
        <w:t>.</w:t>
      </w:r>
      <w:r w:rsidRPr="00AA3DF9">
        <w:rPr>
          <w:snapToGrid w:val="0"/>
        </w:rPr>
        <w:tab/>
        <w:t>Time for payment of sum offered</w:t>
      </w:r>
      <w:r>
        <w:tab/>
      </w:r>
      <w:r>
        <w:fldChar w:fldCharType="begin"/>
      </w:r>
      <w:r>
        <w:instrText xml:space="preserve"> PAGEREF _Toc75863015 \h </w:instrText>
      </w:r>
      <w:r>
        <w:fldChar w:fldCharType="separate"/>
      </w:r>
      <w:r w:rsidR="00FC1D84">
        <w:t>163</w:t>
      </w:r>
      <w:r>
        <w:fldChar w:fldCharType="end"/>
      </w:r>
    </w:p>
    <w:p w:rsidR="006169FD" w:rsidRDefault="006169FD">
      <w:pPr>
        <w:pStyle w:val="TOC8"/>
        <w:rPr>
          <w:rFonts w:asciiTheme="minorHAnsi" w:eastAsiaTheme="minorEastAsia" w:hAnsiTheme="minorHAnsi" w:cstheme="minorBidi"/>
          <w:szCs w:val="22"/>
        </w:rPr>
      </w:pPr>
      <w:r>
        <w:t>5</w:t>
      </w:r>
      <w:r w:rsidRPr="00AA3DF9">
        <w:rPr>
          <w:snapToGrid w:val="0"/>
        </w:rPr>
        <w:t>.</w:t>
      </w:r>
      <w:r w:rsidRPr="00AA3DF9">
        <w:rPr>
          <w:snapToGrid w:val="0"/>
        </w:rPr>
        <w:tab/>
        <w:t>Withdrawing acceptance of offer</w:t>
      </w:r>
      <w:r>
        <w:tab/>
      </w:r>
      <w:r>
        <w:fldChar w:fldCharType="begin"/>
      </w:r>
      <w:r>
        <w:instrText xml:space="preserve"> PAGEREF _Toc75863016 \h </w:instrText>
      </w:r>
      <w:r>
        <w:fldChar w:fldCharType="separate"/>
      </w:r>
      <w:r w:rsidR="00FC1D84">
        <w:t>163</w:t>
      </w:r>
      <w:r>
        <w:fldChar w:fldCharType="end"/>
      </w:r>
    </w:p>
    <w:p w:rsidR="006169FD" w:rsidRDefault="006169FD">
      <w:pPr>
        <w:pStyle w:val="TOC8"/>
        <w:rPr>
          <w:rFonts w:asciiTheme="minorHAnsi" w:eastAsiaTheme="minorEastAsia" w:hAnsiTheme="minorHAnsi" w:cstheme="minorBidi"/>
          <w:szCs w:val="22"/>
        </w:rPr>
      </w:pPr>
      <w:r>
        <w:t>6</w:t>
      </w:r>
      <w:r w:rsidRPr="00AA3DF9">
        <w:rPr>
          <w:snapToGrid w:val="0"/>
        </w:rPr>
        <w:t>.</w:t>
      </w:r>
      <w:r w:rsidRPr="00AA3DF9">
        <w:rPr>
          <w:snapToGrid w:val="0"/>
        </w:rPr>
        <w:tab/>
        <w:t>Offer without prejudice</w:t>
      </w:r>
      <w:r>
        <w:tab/>
      </w:r>
      <w:r>
        <w:fldChar w:fldCharType="begin"/>
      </w:r>
      <w:r>
        <w:instrText xml:space="preserve"> PAGEREF _Toc75863017 \h </w:instrText>
      </w:r>
      <w:r>
        <w:fldChar w:fldCharType="separate"/>
      </w:r>
      <w:r w:rsidR="00FC1D84">
        <w:t>164</w:t>
      </w:r>
      <w:r>
        <w:fldChar w:fldCharType="end"/>
      </w:r>
    </w:p>
    <w:p w:rsidR="006169FD" w:rsidRDefault="006169FD">
      <w:pPr>
        <w:pStyle w:val="TOC8"/>
        <w:rPr>
          <w:rFonts w:asciiTheme="minorHAnsi" w:eastAsiaTheme="minorEastAsia" w:hAnsiTheme="minorHAnsi" w:cstheme="minorBidi"/>
          <w:szCs w:val="22"/>
        </w:rPr>
      </w:pPr>
      <w:r>
        <w:t>7</w:t>
      </w:r>
      <w:r w:rsidRPr="00AA3DF9">
        <w:rPr>
          <w:snapToGrid w:val="0"/>
        </w:rPr>
        <w:t>.</w:t>
      </w:r>
      <w:r w:rsidRPr="00AA3DF9">
        <w:rPr>
          <w:snapToGrid w:val="0"/>
        </w:rPr>
        <w:tab/>
        <w:t>Disclosure of offer to Court</w:t>
      </w:r>
      <w:r>
        <w:tab/>
      </w:r>
      <w:r>
        <w:fldChar w:fldCharType="begin"/>
      </w:r>
      <w:r>
        <w:instrText xml:space="preserve"> PAGEREF _Toc75863018 \h </w:instrText>
      </w:r>
      <w:r>
        <w:fldChar w:fldCharType="separate"/>
      </w:r>
      <w:r w:rsidR="00FC1D84">
        <w:t>164</w:t>
      </w:r>
      <w:r>
        <w:fldChar w:fldCharType="end"/>
      </w:r>
    </w:p>
    <w:p w:rsidR="006169FD" w:rsidRDefault="006169FD">
      <w:pPr>
        <w:pStyle w:val="TOC8"/>
        <w:rPr>
          <w:rFonts w:asciiTheme="minorHAnsi" w:eastAsiaTheme="minorEastAsia" w:hAnsiTheme="minorHAnsi" w:cstheme="minorBidi"/>
          <w:szCs w:val="22"/>
        </w:rPr>
      </w:pPr>
      <w:r>
        <w:t>8</w:t>
      </w:r>
      <w:r w:rsidRPr="00AA3DF9">
        <w:rPr>
          <w:snapToGrid w:val="0"/>
        </w:rPr>
        <w:t>.</w:t>
      </w:r>
      <w:r w:rsidRPr="00AA3DF9">
        <w:rPr>
          <w:snapToGrid w:val="0"/>
        </w:rPr>
        <w:tab/>
        <w:t>Failure to comply with accepted offer</w:t>
      </w:r>
      <w:r>
        <w:tab/>
      </w:r>
      <w:r>
        <w:fldChar w:fldCharType="begin"/>
      </w:r>
      <w:r>
        <w:instrText xml:space="preserve"> PAGEREF _Toc75863019 \h </w:instrText>
      </w:r>
      <w:r>
        <w:fldChar w:fldCharType="separate"/>
      </w:r>
      <w:r w:rsidR="00FC1D84">
        <w:t>164</w:t>
      </w:r>
      <w:r>
        <w:fldChar w:fldCharType="end"/>
      </w:r>
    </w:p>
    <w:p w:rsidR="006169FD" w:rsidRDefault="006169FD">
      <w:pPr>
        <w:pStyle w:val="TOC8"/>
        <w:rPr>
          <w:rFonts w:asciiTheme="minorHAnsi" w:eastAsiaTheme="minorEastAsia" w:hAnsiTheme="minorHAnsi" w:cstheme="minorBidi"/>
          <w:szCs w:val="22"/>
        </w:rPr>
      </w:pPr>
      <w:r>
        <w:t>9</w:t>
      </w:r>
      <w:r w:rsidRPr="00AA3DF9">
        <w:rPr>
          <w:snapToGrid w:val="0"/>
        </w:rPr>
        <w:t>.</w:t>
      </w:r>
      <w:r w:rsidRPr="00AA3DF9">
        <w:rPr>
          <w:snapToGrid w:val="0"/>
        </w:rPr>
        <w:tab/>
        <w:t>Multiple defendants</w:t>
      </w:r>
      <w:r>
        <w:tab/>
      </w:r>
      <w:r>
        <w:fldChar w:fldCharType="begin"/>
      </w:r>
      <w:r>
        <w:instrText xml:space="preserve"> PAGEREF _Toc75863020 \h </w:instrText>
      </w:r>
      <w:r>
        <w:fldChar w:fldCharType="separate"/>
      </w:r>
      <w:r w:rsidR="00FC1D84">
        <w:t>165</w:t>
      </w:r>
      <w:r>
        <w:fldChar w:fldCharType="end"/>
      </w:r>
    </w:p>
    <w:p w:rsidR="006169FD" w:rsidRDefault="006169FD">
      <w:pPr>
        <w:pStyle w:val="TOC8"/>
        <w:rPr>
          <w:rFonts w:asciiTheme="minorHAnsi" w:eastAsiaTheme="minorEastAsia" w:hAnsiTheme="minorHAnsi" w:cstheme="minorBidi"/>
          <w:szCs w:val="22"/>
        </w:rPr>
      </w:pPr>
      <w:r>
        <w:t>10</w:t>
      </w:r>
      <w:r w:rsidRPr="00AA3DF9">
        <w:rPr>
          <w:snapToGrid w:val="0"/>
        </w:rPr>
        <w:t>.</w:t>
      </w:r>
      <w:r w:rsidRPr="00AA3DF9">
        <w:rPr>
          <w:snapToGrid w:val="0"/>
        </w:rPr>
        <w:tab/>
        <w:t>Costs</w:t>
      </w:r>
      <w:r>
        <w:tab/>
      </w:r>
      <w:r>
        <w:fldChar w:fldCharType="begin"/>
      </w:r>
      <w:r>
        <w:instrText xml:space="preserve"> PAGEREF _Toc75863021 \h </w:instrText>
      </w:r>
      <w:r>
        <w:fldChar w:fldCharType="separate"/>
      </w:r>
      <w:r w:rsidR="00FC1D84">
        <w:t>165</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25 — Security for costs</w:t>
      </w:r>
    </w:p>
    <w:p w:rsidR="006169FD" w:rsidRDefault="006169FD">
      <w:pPr>
        <w:pStyle w:val="TOC8"/>
        <w:rPr>
          <w:rFonts w:asciiTheme="minorHAnsi" w:eastAsiaTheme="minorEastAsia" w:hAnsiTheme="minorHAnsi" w:cstheme="minorBidi"/>
          <w:szCs w:val="22"/>
        </w:rPr>
      </w:pPr>
      <w:r>
        <w:t>1</w:t>
      </w:r>
      <w:r w:rsidRPr="00AA3DF9">
        <w:rPr>
          <w:snapToGrid w:val="0"/>
        </w:rPr>
        <w:t>.</w:t>
      </w:r>
      <w:r w:rsidRPr="00AA3DF9">
        <w:rPr>
          <w:snapToGrid w:val="0"/>
        </w:rPr>
        <w:tab/>
        <w:t>Factors that are not grounds for ordering security for costs</w:t>
      </w:r>
      <w:r>
        <w:tab/>
      </w:r>
      <w:r>
        <w:fldChar w:fldCharType="begin"/>
      </w:r>
      <w:r>
        <w:instrText xml:space="preserve"> PAGEREF _Toc75863023 \h </w:instrText>
      </w:r>
      <w:r>
        <w:fldChar w:fldCharType="separate"/>
      </w:r>
      <w:r w:rsidR="00FC1D84">
        <w:t>168</w:t>
      </w:r>
      <w:r>
        <w:fldChar w:fldCharType="end"/>
      </w:r>
    </w:p>
    <w:p w:rsidR="006169FD" w:rsidRDefault="006169FD">
      <w:pPr>
        <w:pStyle w:val="TOC8"/>
        <w:rPr>
          <w:rFonts w:asciiTheme="minorHAnsi" w:eastAsiaTheme="minorEastAsia" w:hAnsiTheme="minorHAnsi" w:cstheme="minorBidi"/>
          <w:szCs w:val="22"/>
        </w:rPr>
      </w:pPr>
      <w:r>
        <w:t>2</w:t>
      </w:r>
      <w:r w:rsidRPr="00AA3DF9">
        <w:rPr>
          <w:snapToGrid w:val="0"/>
        </w:rPr>
        <w:t>.</w:t>
      </w:r>
      <w:r w:rsidRPr="00AA3DF9">
        <w:rPr>
          <w:snapToGrid w:val="0"/>
        </w:rPr>
        <w:tab/>
        <w:t>Grounds for ordering security for costs</w:t>
      </w:r>
      <w:r>
        <w:tab/>
      </w:r>
      <w:r>
        <w:fldChar w:fldCharType="begin"/>
      </w:r>
      <w:r>
        <w:instrText xml:space="preserve"> PAGEREF _Toc75863024 \h </w:instrText>
      </w:r>
      <w:r>
        <w:fldChar w:fldCharType="separate"/>
      </w:r>
      <w:r w:rsidR="00FC1D84">
        <w:t>168</w:t>
      </w:r>
      <w:r>
        <w:fldChar w:fldCharType="end"/>
      </w:r>
    </w:p>
    <w:p w:rsidR="006169FD" w:rsidRDefault="006169FD">
      <w:pPr>
        <w:pStyle w:val="TOC8"/>
        <w:rPr>
          <w:rFonts w:asciiTheme="minorHAnsi" w:eastAsiaTheme="minorEastAsia" w:hAnsiTheme="minorHAnsi" w:cstheme="minorBidi"/>
          <w:szCs w:val="22"/>
        </w:rPr>
      </w:pPr>
      <w:r>
        <w:t>3</w:t>
      </w:r>
      <w:r w:rsidRPr="00AA3DF9">
        <w:rPr>
          <w:snapToGrid w:val="0"/>
        </w:rPr>
        <w:t>.</w:t>
      </w:r>
      <w:r w:rsidRPr="00AA3DF9">
        <w:rPr>
          <w:snapToGrid w:val="0"/>
        </w:rPr>
        <w:tab/>
        <w:t>Court has discretion</w:t>
      </w:r>
      <w:r>
        <w:tab/>
      </w:r>
      <w:r>
        <w:fldChar w:fldCharType="begin"/>
      </w:r>
      <w:r>
        <w:instrText xml:space="preserve"> PAGEREF _Toc75863025 \h </w:instrText>
      </w:r>
      <w:r>
        <w:fldChar w:fldCharType="separate"/>
      </w:r>
      <w:r w:rsidR="00FC1D84">
        <w:t>169</w:t>
      </w:r>
      <w:r>
        <w:fldChar w:fldCharType="end"/>
      </w:r>
    </w:p>
    <w:p w:rsidR="006169FD" w:rsidRDefault="006169FD">
      <w:pPr>
        <w:pStyle w:val="TOC8"/>
        <w:rPr>
          <w:rFonts w:asciiTheme="minorHAnsi" w:eastAsiaTheme="minorEastAsia" w:hAnsiTheme="minorHAnsi" w:cstheme="minorBidi"/>
          <w:szCs w:val="22"/>
        </w:rPr>
      </w:pPr>
      <w:r>
        <w:t>4</w:t>
      </w:r>
      <w:r w:rsidRPr="00AA3DF9">
        <w:rPr>
          <w:snapToGrid w:val="0"/>
        </w:rPr>
        <w:t>.</w:t>
      </w:r>
      <w:r w:rsidRPr="00AA3DF9">
        <w:rPr>
          <w:snapToGrid w:val="0"/>
        </w:rPr>
        <w:tab/>
        <w:t>Term used: plaintiff</w:t>
      </w:r>
      <w:r>
        <w:tab/>
      </w:r>
      <w:r>
        <w:fldChar w:fldCharType="begin"/>
      </w:r>
      <w:r>
        <w:instrText xml:space="preserve"> PAGEREF _Toc75863026 \h </w:instrText>
      </w:r>
      <w:r>
        <w:fldChar w:fldCharType="separate"/>
      </w:r>
      <w:r w:rsidR="00FC1D84">
        <w:t>169</w:t>
      </w:r>
      <w:r>
        <w:fldChar w:fldCharType="end"/>
      </w:r>
    </w:p>
    <w:p w:rsidR="006169FD" w:rsidRDefault="006169FD">
      <w:pPr>
        <w:pStyle w:val="TOC8"/>
        <w:rPr>
          <w:rFonts w:asciiTheme="minorHAnsi" w:eastAsiaTheme="minorEastAsia" w:hAnsiTheme="minorHAnsi" w:cstheme="minorBidi"/>
          <w:szCs w:val="22"/>
        </w:rPr>
      </w:pPr>
      <w:r>
        <w:t>5</w:t>
      </w:r>
      <w:r w:rsidRPr="00AA3DF9">
        <w:rPr>
          <w:snapToGrid w:val="0"/>
        </w:rPr>
        <w:t>.</w:t>
      </w:r>
      <w:r w:rsidRPr="00AA3DF9">
        <w:rPr>
          <w:snapToGrid w:val="0"/>
        </w:rPr>
        <w:tab/>
        <w:t>Manner of giving security</w:t>
      </w:r>
      <w:r>
        <w:tab/>
      </w:r>
      <w:r>
        <w:fldChar w:fldCharType="begin"/>
      </w:r>
      <w:r>
        <w:instrText xml:space="preserve"> PAGEREF _Toc75863027 \h </w:instrText>
      </w:r>
      <w:r>
        <w:fldChar w:fldCharType="separate"/>
      </w:r>
      <w:r w:rsidR="00FC1D84">
        <w:t>169</w:t>
      </w:r>
      <w:r>
        <w:fldChar w:fldCharType="end"/>
      </w:r>
    </w:p>
    <w:p w:rsidR="006169FD" w:rsidRDefault="006169FD">
      <w:pPr>
        <w:pStyle w:val="TOC8"/>
        <w:rPr>
          <w:rFonts w:asciiTheme="minorHAnsi" w:eastAsiaTheme="minorEastAsia" w:hAnsiTheme="minorHAnsi" w:cstheme="minorBidi"/>
          <w:szCs w:val="22"/>
        </w:rPr>
      </w:pPr>
      <w:r>
        <w:t>6</w:t>
      </w:r>
      <w:r w:rsidRPr="00AA3DF9">
        <w:rPr>
          <w:snapToGrid w:val="0"/>
        </w:rPr>
        <w:t>.</w:t>
      </w:r>
      <w:r w:rsidRPr="00AA3DF9">
        <w:rPr>
          <w:snapToGrid w:val="0"/>
        </w:rPr>
        <w:tab/>
        <w:t>Action may be stayed</w:t>
      </w:r>
      <w:r>
        <w:tab/>
      </w:r>
      <w:r>
        <w:fldChar w:fldCharType="begin"/>
      </w:r>
      <w:r>
        <w:instrText xml:space="preserve"> PAGEREF _Toc75863028 \h </w:instrText>
      </w:r>
      <w:r>
        <w:fldChar w:fldCharType="separate"/>
      </w:r>
      <w:r w:rsidR="00FC1D84">
        <w:t>169</w:t>
      </w:r>
      <w:r>
        <w:fldChar w:fldCharType="end"/>
      </w:r>
    </w:p>
    <w:p w:rsidR="006169FD" w:rsidRDefault="006169FD">
      <w:pPr>
        <w:pStyle w:val="TOC8"/>
        <w:rPr>
          <w:rFonts w:asciiTheme="minorHAnsi" w:eastAsiaTheme="minorEastAsia" w:hAnsiTheme="minorHAnsi" w:cstheme="minorBidi"/>
          <w:szCs w:val="22"/>
        </w:rPr>
      </w:pPr>
      <w:r>
        <w:t>7</w:t>
      </w:r>
      <w:r w:rsidRPr="00AA3DF9">
        <w:rPr>
          <w:snapToGrid w:val="0"/>
        </w:rPr>
        <w:t>.</w:t>
      </w:r>
      <w:r w:rsidRPr="00AA3DF9">
        <w:rPr>
          <w:snapToGrid w:val="0"/>
        </w:rPr>
        <w:tab/>
        <w:t>Payment out</w:t>
      </w:r>
      <w:r>
        <w:tab/>
      </w:r>
      <w:r>
        <w:fldChar w:fldCharType="begin"/>
      </w:r>
      <w:r>
        <w:instrText xml:space="preserve"> PAGEREF _Toc75863029 \h </w:instrText>
      </w:r>
      <w:r>
        <w:fldChar w:fldCharType="separate"/>
      </w:r>
      <w:r w:rsidR="00FC1D84">
        <w:t>169</w:t>
      </w:r>
      <w:r>
        <w:fldChar w:fldCharType="end"/>
      </w:r>
    </w:p>
    <w:p w:rsidR="006169FD" w:rsidRDefault="006169FD">
      <w:pPr>
        <w:pStyle w:val="TOC8"/>
        <w:rPr>
          <w:rFonts w:asciiTheme="minorHAnsi" w:eastAsiaTheme="minorEastAsia" w:hAnsiTheme="minorHAnsi" w:cstheme="minorBidi"/>
          <w:szCs w:val="22"/>
        </w:rPr>
      </w:pPr>
      <w:r>
        <w:t>8</w:t>
      </w:r>
      <w:r w:rsidRPr="00AA3DF9">
        <w:rPr>
          <w:snapToGrid w:val="0"/>
        </w:rPr>
        <w:t>.</w:t>
      </w:r>
      <w:r w:rsidRPr="00AA3DF9">
        <w:rPr>
          <w:snapToGrid w:val="0"/>
        </w:rPr>
        <w:tab/>
        <w:t>Saving</w:t>
      </w:r>
      <w:r>
        <w:tab/>
      </w:r>
      <w:r>
        <w:fldChar w:fldCharType="begin"/>
      </w:r>
      <w:r>
        <w:instrText xml:space="preserve"> PAGEREF _Toc75863030 \h </w:instrText>
      </w:r>
      <w:r>
        <w:fldChar w:fldCharType="separate"/>
      </w:r>
      <w:r w:rsidR="00FC1D84">
        <w:t>170</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26 — Discovery and inspection</w:t>
      </w:r>
    </w:p>
    <w:p w:rsidR="006169FD" w:rsidRDefault="006169FD">
      <w:pPr>
        <w:pStyle w:val="TOC8"/>
        <w:rPr>
          <w:rFonts w:asciiTheme="minorHAnsi" w:eastAsiaTheme="minorEastAsia" w:hAnsiTheme="minorHAnsi" w:cstheme="minorBidi"/>
          <w:szCs w:val="22"/>
        </w:rPr>
      </w:pPr>
      <w:r>
        <w:t>1A</w:t>
      </w:r>
      <w:r w:rsidRPr="00AA3DF9">
        <w:rPr>
          <w:snapToGrid w:val="0"/>
        </w:rPr>
        <w:t>.</w:t>
      </w:r>
      <w:r w:rsidRPr="00AA3DF9">
        <w:rPr>
          <w:snapToGrid w:val="0"/>
        </w:rPr>
        <w:tab/>
        <w:t>Terms used</w:t>
      </w:r>
      <w:r>
        <w:tab/>
      </w:r>
      <w:r>
        <w:fldChar w:fldCharType="begin"/>
      </w:r>
      <w:r>
        <w:instrText xml:space="preserve"> PAGEREF _Toc75863032 \h </w:instrText>
      </w:r>
      <w:r>
        <w:fldChar w:fldCharType="separate"/>
      </w:r>
      <w:r w:rsidR="00FC1D84">
        <w:t>171</w:t>
      </w:r>
      <w:r>
        <w:fldChar w:fldCharType="end"/>
      </w:r>
    </w:p>
    <w:p w:rsidR="006169FD" w:rsidRDefault="006169FD">
      <w:pPr>
        <w:pStyle w:val="TOC8"/>
        <w:rPr>
          <w:rFonts w:asciiTheme="minorHAnsi" w:eastAsiaTheme="minorEastAsia" w:hAnsiTheme="minorHAnsi" w:cstheme="minorBidi"/>
          <w:szCs w:val="22"/>
        </w:rPr>
      </w:pPr>
      <w:r>
        <w:t>1B.</w:t>
      </w:r>
      <w:r>
        <w:tab/>
        <w:t>Documents not wholly discoverable</w:t>
      </w:r>
      <w:r>
        <w:tab/>
      </w:r>
      <w:r>
        <w:fldChar w:fldCharType="begin"/>
      </w:r>
      <w:r>
        <w:instrText xml:space="preserve"> PAGEREF _Toc75863033 \h </w:instrText>
      </w:r>
      <w:r>
        <w:fldChar w:fldCharType="separate"/>
      </w:r>
      <w:r w:rsidR="00FC1D84">
        <w:t>171</w:t>
      </w:r>
      <w:r>
        <w:fldChar w:fldCharType="end"/>
      </w:r>
    </w:p>
    <w:p w:rsidR="006169FD" w:rsidRDefault="006169FD">
      <w:pPr>
        <w:pStyle w:val="TOC8"/>
        <w:rPr>
          <w:rFonts w:asciiTheme="minorHAnsi" w:eastAsiaTheme="minorEastAsia" w:hAnsiTheme="minorHAnsi" w:cstheme="minorBidi"/>
          <w:szCs w:val="22"/>
        </w:rPr>
      </w:pPr>
      <w:r>
        <w:t>1</w:t>
      </w:r>
      <w:r w:rsidRPr="00AA3DF9">
        <w:rPr>
          <w:snapToGrid w:val="0"/>
        </w:rPr>
        <w:t>.</w:t>
      </w:r>
      <w:r w:rsidRPr="00AA3DF9">
        <w:rPr>
          <w:snapToGrid w:val="0"/>
        </w:rPr>
        <w:tab/>
        <w:t>Discovery without order</w:t>
      </w:r>
      <w:r>
        <w:tab/>
      </w:r>
      <w:r>
        <w:fldChar w:fldCharType="begin"/>
      </w:r>
      <w:r>
        <w:instrText xml:space="preserve"> PAGEREF _Toc75863034 \h </w:instrText>
      </w:r>
      <w:r>
        <w:fldChar w:fldCharType="separate"/>
      </w:r>
      <w:r w:rsidR="00FC1D84">
        <w:t>172</w:t>
      </w:r>
      <w:r>
        <w:fldChar w:fldCharType="end"/>
      </w:r>
    </w:p>
    <w:p w:rsidR="006169FD" w:rsidRDefault="006169FD">
      <w:pPr>
        <w:pStyle w:val="TOC8"/>
        <w:rPr>
          <w:rFonts w:asciiTheme="minorHAnsi" w:eastAsiaTheme="minorEastAsia" w:hAnsiTheme="minorHAnsi" w:cstheme="minorBidi"/>
          <w:szCs w:val="22"/>
        </w:rPr>
      </w:pPr>
      <w:r>
        <w:t>2</w:t>
      </w:r>
      <w:r w:rsidRPr="00AA3DF9">
        <w:rPr>
          <w:snapToGrid w:val="0"/>
        </w:rPr>
        <w:t>.</w:t>
      </w:r>
      <w:r w:rsidRPr="00AA3DF9">
        <w:rPr>
          <w:snapToGrid w:val="0"/>
        </w:rPr>
        <w:tab/>
        <w:t>Continuing obligation to give discovery</w:t>
      </w:r>
      <w:r>
        <w:tab/>
      </w:r>
      <w:r>
        <w:fldChar w:fldCharType="begin"/>
      </w:r>
      <w:r>
        <w:instrText xml:space="preserve"> PAGEREF _Toc75863035 \h </w:instrText>
      </w:r>
      <w:r>
        <w:fldChar w:fldCharType="separate"/>
      </w:r>
      <w:r w:rsidR="00FC1D84">
        <w:t>173</w:t>
      </w:r>
      <w:r>
        <w:fldChar w:fldCharType="end"/>
      </w:r>
    </w:p>
    <w:p w:rsidR="006169FD" w:rsidRDefault="006169FD">
      <w:pPr>
        <w:pStyle w:val="TOC8"/>
        <w:rPr>
          <w:rFonts w:asciiTheme="minorHAnsi" w:eastAsiaTheme="minorEastAsia" w:hAnsiTheme="minorHAnsi" w:cstheme="minorBidi"/>
          <w:szCs w:val="22"/>
        </w:rPr>
      </w:pPr>
      <w:r>
        <w:lastRenderedPageBreak/>
        <w:t>3</w:t>
      </w:r>
      <w:r w:rsidRPr="00AA3DF9">
        <w:rPr>
          <w:snapToGrid w:val="0"/>
        </w:rPr>
        <w:t>.</w:t>
      </w:r>
      <w:r w:rsidRPr="00AA3DF9">
        <w:rPr>
          <w:snapToGrid w:val="0"/>
        </w:rPr>
        <w:tab/>
        <w:t>Determination of issue relevant to right to discovery</w:t>
      </w:r>
      <w:r>
        <w:tab/>
      </w:r>
      <w:r>
        <w:fldChar w:fldCharType="begin"/>
      </w:r>
      <w:r>
        <w:instrText xml:space="preserve"> PAGEREF _Toc75863036 \h </w:instrText>
      </w:r>
      <w:r>
        <w:fldChar w:fldCharType="separate"/>
      </w:r>
      <w:r w:rsidR="00FC1D84">
        <w:t>174</w:t>
      </w:r>
      <w:r>
        <w:fldChar w:fldCharType="end"/>
      </w:r>
    </w:p>
    <w:p w:rsidR="006169FD" w:rsidRDefault="006169FD">
      <w:pPr>
        <w:pStyle w:val="TOC8"/>
        <w:rPr>
          <w:rFonts w:asciiTheme="minorHAnsi" w:eastAsiaTheme="minorEastAsia" w:hAnsiTheme="minorHAnsi" w:cstheme="minorBidi"/>
          <w:szCs w:val="22"/>
        </w:rPr>
      </w:pPr>
      <w:r>
        <w:t>4</w:t>
      </w:r>
      <w:r w:rsidRPr="00AA3DF9">
        <w:rPr>
          <w:snapToGrid w:val="0"/>
        </w:rPr>
        <w:t>.</w:t>
      </w:r>
      <w:r w:rsidRPr="00AA3DF9">
        <w:rPr>
          <w:snapToGrid w:val="0"/>
        </w:rPr>
        <w:tab/>
        <w:t>List of documents and verifying affidavit, form, content and making of</w:t>
      </w:r>
      <w:r>
        <w:tab/>
      </w:r>
      <w:r>
        <w:fldChar w:fldCharType="begin"/>
      </w:r>
      <w:r>
        <w:instrText xml:space="preserve"> PAGEREF _Toc75863037 \h </w:instrText>
      </w:r>
      <w:r>
        <w:fldChar w:fldCharType="separate"/>
      </w:r>
      <w:r w:rsidR="00FC1D84">
        <w:t>174</w:t>
      </w:r>
      <w:r>
        <w:fldChar w:fldCharType="end"/>
      </w:r>
    </w:p>
    <w:p w:rsidR="006169FD" w:rsidRDefault="006169FD">
      <w:pPr>
        <w:pStyle w:val="TOC8"/>
        <w:rPr>
          <w:rFonts w:asciiTheme="minorHAnsi" w:eastAsiaTheme="minorEastAsia" w:hAnsiTheme="minorHAnsi" w:cstheme="minorBidi"/>
          <w:szCs w:val="22"/>
        </w:rPr>
      </w:pPr>
      <w:r>
        <w:t>5</w:t>
      </w:r>
      <w:r w:rsidRPr="00AA3DF9">
        <w:rPr>
          <w:snapToGrid w:val="0"/>
        </w:rPr>
        <w:t>.</w:t>
      </w:r>
      <w:r w:rsidRPr="00AA3DF9">
        <w:rPr>
          <w:snapToGrid w:val="0"/>
        </w:rPr>
        <w:tab/>
        <w:t>Defendant entitled to copy of co</w:t>
      </w:r>
      <w:r w:rsidRPr="00AA3DF9">
        <w:rPr>
          <w:snapToGrid w:val="0"/>
        </w:rPr>
        <w:noBreakHyphen/>
        <w:t>defendant’s list etc.</w:t>
      </w:r>
      <w:r>
        <w:tab/>
      </w:r>
      <w:r>
        <w:fldChar w:fldCharType="begin"/>
      </w:r>
      <w:r>
        <w:instrText xml:space="preserve"> PAGEREF _Toc75863038 \h </w:instrText>
      </w:r>
      <w:r>
        <w:fldChar w:fldCharType="separate"/>
      </w:r>
      <w:r w:rsidR="00FC1D84">
        <w:t>175</w:t>
      </w:r>
      <w:r>
        <w:fldChar w:fldCharType="end"/>
      </w:r>
    </w:p>
    <w:p w:rsidR="006169FD" w:rsidRDefault="006169FD">
      <w:pPr>
        <w:pStyle w:val="TOC8"/>
        <w:rPr>
          <w:rFonts w:asciiTheme="minorHAnsi" w:eastAsiaTheme="minorEastAsia" w:hAnsiTheme="minorHAnsi" w:cstheme="minorBidi"/>
          <w:szCs w:val="22"/>
        </w:rPr>
      </w:pPr>
      <w:r>
        <w:t>6</w:t>
      </w:r>
      <w:r w:rsidRPr="00AA3DF9">
        <w:rPr>
          <w:snapToGrid w:val="0"/>
        </w:rPr>
        <w:t>.</w:t>
      </w:r>
      <w:r w:rsidRPr="00AA3DF9">
        <w:rPr>
          <w:snapToGrid w:val="0"/>
        </w:rPr>
        <w:tab/>
        <w:t>Order for information as to particular documents</w:t>
      </w:r>
      <w:r>
        <w:tab/>
      </w:r>
      <w:r>
        <w:fldChar w:fldCharType="begin"/>
      </w:r>
      <w:r>
        <w:instrText xml:space="preserve"> PAGEREF _Toc75863039 \h </w:instrText>
      </w:r>
      <w:r>
        <w:fldChar w:fldCharType="separate"/>
      </w:r>
      <w:r w:rsidR="00FC1D84">
        <w:t>176</w:t>
      </w:r>
      <w:r>
        <w:fldChar w:fldCharType="end"/>
      </w:r>
    </w:p>
    <w:p w:rsidR="006169FD" w:rsidRDefault="006169FD">
      <w:pPr>
        <w:pStyle w:val="TOC8"/>
        <w:rPr>
          <w:rFonts w:asciiTheme="minorHAnsi" w:eastAsiaTheme="minorEastAsia" w:hAnsiTheme="minorHAnsi" w:cstheme="minorBidi"/>
          <w:szCs w:val="22"/>
        </w:rPr>
      </w:pPr>
      <w:r>
        <w:t>7</w:t>
      </w:r>
      <w:r w:rsidRPr="00AA3DF9">
        <w:rPr>
          <w:snapToGrid w:val="0"/>
        </w:rPr>
        <w:t>.</w:t>
      </w:r>
      <w:r w:rsidRPr="00AA3DF9">
        <w:rPr>
          <w:snapToGrid w:val="0"/>
        </w:rPr>
        <w:tab/>
        <w:t>Orders as to discovery</w:t>
      </w:r>
      <w:r>
        <w:tab/>
      </w:r>
      <w:r>
        <w:fldChar w:fldCharType="begin"/>
      </w:r>
      <w:r>
        <w:instrText xml:space="preserve"> PAGEREF _Toc75863040 \h </w:instrText>
      </w:r>
      <w:r>
        <w:fldChar w:fldCharType="separate"/>
      </w:r>
      <w:r w:rsidR="00FC1D84">
        <w:t>176</w:t>
      </w:r>
      <w:r>
        <w:fldChar w:fldCharType="end"/>
      </w:r>
    </w:p>
    <w:p w:rsidR="006169FD" w:rsidRDefault="006169FD">
      <w:pPr>
        <w:pStyle w:val="TOC8"/>
        <w:rPr>
          <w:rFonts w:asciiTheme="minorHAnsi" w:eastAsiaTheme="minorEastAsia" w:hAnsiTheme="minorHAnsi" w:cstheme="minorBidi"/>
          <w:szCs w:val="22"/>
        </w:rPr>
      </w:pPr>
      <w:r>
        <w:t>8</w:t>
      </w:r>
      <w:r w:rsidRPr="00AA3DF9">
        <w:rPr>
          <w:snapToGrid w:val="0"/>
        </w:rPr>
        <w:t>.</w:t>
      </w:r>
      <w:r w:rsidRPr="00AA3DF9">
        <w:rPr>
          <w:snapToGrid w:val="0"/>
        </w:rPr>
        <w:tab/>
        <w:t>Inspection of documents in list</w:t>
      </w:r>
      <w:r>
        <w:tab/>
      </w:r>
      <w:r>
        <w:fldChar w:fldCharType="begin"/>
      </w:r>
      <w:r>
        <w:instrText xml:space="preserve"> PAGEREF _Toc75863041 \h </w:instrText>
      </w:r>
      <w:r>
        <w:fldChar w:fldCharType="separate"/>
      </w:r>
      <w:r w:rsidR="00FC1D84">
        <w:t>177</w:t>
      </w:r>
      <w:r>
        <w:fldChar w:fldCharType="end"/>
      </w:r>
    </w:p>
    <w:p w:rsidR="006169FD" w:rsidRDefault="006169FD">
      <w:pPr>
        <w:pStyle w:val="TOC8"/>
        <w:rPr>
          <w:rFonts w:asciiTheme="minorHAnsi" w:eastAsiaTheme="minorEastAsia" w:hAnsiTheme="minorHAnsi" w:cstheme="minorBidi"/>
          <w:szCs w:val="22"/>
        </w:rPr>
      </w:pPr>
      <w:r>
        <w:t>8A</w:t>
      </w:r>
      <w:r w:rsidRPr="00AA3DF9">
        <w:rPr>
          <w:snapToGrid w:val="0"/>
        </w:rPr>
        <w:t>.</w:t>
      </w:r>
      <w:r w:rsidRPr="00AA3DF9">
        <w:rPr>
          <w:snapToGrid w:val="0"/>
        </w:rPr>
        <w:tab/>
        <w:t>Procedure on discovery</w:t>
      </w:r>
      <w:r>
        <w:tab/>
      </w:r>
      <w:r>
        <w:fldChar w:fldCharType="begin"/>
      </w:r>
      <w:r>
        <w:instrText xml:space="preserve"> PAGEREF _Toc75863042 \h </w:instrText>
      </w:r>
      <w:r>
        <w:fldChar w:fldCharType="separate"/>
      </w:r>
      <w:r w:rsidR="00FC1D84">
        <w:t>178</w:t>
      </w:r>
      <w:r>
        <w:fldChar w:fldCharType="end"/>
      </w:r>
    </w:p>
    <w:p w:rsidR="006169FD" w:rsidRDefault="006169FD">
      <w:pPr>
        <w:pStyle w:val="TOC8"/>
        <w:rPr>
          <w:rFonts w:asciiTheme="minorHAnsi" w:eastAsiaTheme="minorEastAsia" w:hAnsiTheme="minorHAnsi" w:cstheme="minorBidi"/>
          <w:szCs w:val="22"/>
        </w:rPr>
      </w:pPr>
      <w:r>
        <w:t>9</w:t>
      </w:r>
      <w:r w:rsidRPr="00AA3DF9">
        <w:rPr>
          <w:snapToGrid w:val="0"/>
        </w:rPr>
        <w:t>.</w:t>
      </w:r>
      <w:r w:rsidRPr="00AA3DF9">
        <w:rPr>
          <w:snapToGrid w:val="0"/>
        </w:rPr>
        <w:tab/>
        <w:t>Order for inspection of documents</w:t>
      </w:r>
      <w:r>
        <w:tab/>
      </w:r>
      <w:r>
        <w:fldChar w:fldCharType="begin"/>
      </w:r>
      <w:r>
        <w:instrText xml:space="preserve"> PAGEREF _Toc75863043 \h </w:instrText>
      </w:r>
      <w:r>
        <w:fldChar w:fldCharType="separate"/>
      </w:r>
      <w:r w:rsidR="00FC1D84">
        <w:t>179</w:t>
      </w:r>
      <w:r>
        <w:fldChar w:fldCharType="end"/>
      </w:r>
    </w:p>
    <w:p w:rsidR="006169FD" w:rsidRDefault="006169FD">
      <w:pPr>
        <w:pStyle w:val="TOC8"/>
        <w:rPr>
          <w:rFonts w:asciiTheme="minorHAnsi" w:eastAsiaTheme="minorEastAsia" w:hAnsiTheme="minorHAnsi" w:cstheme="minorBidi"/>
          <w:szCs w:val="22"/>
        </w:rPr>
      </w:pPr>
      <w:r>
        <w:t>10</w:t>
      </w:r>
      <w:r w:rsidRPr="00AA3DF9">
        <w:rPr>
          <w:snapToGrid w:val="0"/>
        </w:rPr>
        <w:t>.</w:t>
      </w:r>
      <w:r w:rsidRPr="00AA3DF9">
        <w:rPr>
          <w:snapToGrid w:val="0"/>
        </w:rPr>
        <w:tab/>
        <w:t>Order for production to Court</w:t>
      </w:r>
      <w:r>
        <w:tab/>
      </w:r>
      <w:r>
        <w:fldChar w:fldCharType="begin"/>
      </w:r>
      <w:r>
        <w:instrText xml:space="preserve"> PAGEREF _Toc75863044 \h </w:instrText>
      </w:r>
      <w:r>
        <w:fldChar w:fldCharType="separate"/>
      </w:r>
      <w:r w:rsidR="00FC1D84">
        <w:t>180</w:t>
      </w:r>
      <w:r>
        <w:fldChar w:fldCharType="end"/>
      </w:r>
    </w:p>
    <w:p w:rsidR="006169FD" w:rsidRDefault="006169FD">
      <w:pPr>
        <w:pStyle w:val="TOC8"/>
        <w:rPr>
          <w:rFonts w:asciiTheme="minorHAnsi" w:eastAsiaTheme="minorEastAsia" w:hAnsiTheme="minorHAnsi" w:cstheme="minorBidi"/>
          <w:szCs w:val="22"/>
        </w:rPr>
      </w:pPr>
      <w:r>
        <w:t>11</w:t>
      </w:r>
      <w:r w:rsidRPr="00AA3DF9">
        <w:rPr>
          <w:snapToGrid w:val="0"/>
        </w:rPr>
        <w:t>.</w:t>
      </w:r>
      <w:r w:rsidRPr="00AA3DF9">
        <w:rPr>
          <w:snapToGrid w:val="0"/>
        </w:rPr>
        <w:tab/>
        <w:t>Order for production etc. only if necessary</w:t>
      </w:r>
      <w:r>
        <w:tab/>
      </w:r>
      <w:r>
        <w:fldChar w:fldCharType="begin"/>
      </w:r>
      <w:r>
        <w:instrText xml:space="preserve"> PAGEREF _Toc75863045 \h </w:instrText>
      </w:r>
      <w:r>
        <w:fldChar w:fldCharType="separate"/>
      </w:r>
      <w:r w:rsidR="00FC1D84">
        <w:t>180</w:t>
      </w:r>
      <w:r>
        <w:fldChar w:fldCharType="end"/>
      </w:r>
    </w:p>
    <w:p w:rsidR="006169FD" w:rsidRDefault="006169FD">
      <w:pPr>
        <w:pStyle w:val="TOC8"/>
        <w:rPr>
          <w:rFonts w:asciiTheme="minorHAnsi" w:eastAsiaTheme="minorEastAsia" w:hAnsiTheme="minorHAnsi" w:cstheme="minorBidi"/>
          <w:szCs w:val="22"/>
        </w:rPr>
      </w:pPr>
      <w:r>
        <w:t>11A</w:t>
      </w:r>
      <w:r w:rsidRPr="00AA3DF9">
        <w:rPr>
          <w:snapToGrid w:val="0"/>
        </w:rPr>
        <w:t>.</w:t>
      </w:r>
      <w:r w:rsidRPr="00AA3DF9">
        <w:rPr>
          <w:snapToGrid w:val="0"/>
        </w:rPr>
        <w:tab/>
        <w:t>Costs of preparing document to facilitate inspection</w:t>
      </w:r>
      <w:r>
        <w:tab/>
      </w:r>
      <w:r>
        <w:fldChar w:fldCharType="begin"/>
      </w:r>
      <w:r>
        <w:instrText xml:space="preserve"> PAGEREF _Toc75863046 \h </w:instrText>
      </w:r>
      <w:r>
        <w:fldChar w:fldCharType="separate"/>
      </w:r>
      <w:r w:rsidR="00FC1D84">
        <w:t>181</w:t>
      </w:r>
      <w:r>
        <w:fldChar w:fldCharType="end"/>
      </w:r>
    </w:p>
    <w:p w:rsidR="006169FD" w:rsidRDefault="006169FD">
      <w:pPr>
        <w:pStyle w:val="TOC8"/>
        <w:rPr>
          <w:rFonts w:asciiTheme="minorHAnsi" w:eastAsiaTheme="minorEastAsia" w:hAnsiTheme="minorHAnsi" w:cstheme="minorBidi"/>
          <w:szCs w:val="22"/>
        </w:rPr>
      </w:pPr>
      <w:r>
        <w:t>12</w:t>
      </w:r>
      <w:r w:rsidRPr="00AA3DF9">
        <w:rPr>
          <w:snapToGrid w:val="0"/>
        </w:rPr>
        <w:t>.</w:t>
      </w:r>
      <w:r w:rsidRPr="00AA3DF9">
        <w:rPr>
          <w:snapToGrid w:val="0"/>
        </w:rPr>
        <w:tab/>
        <w:t>Claim of privilege</w:t>
      </w:r>
      <w:r>
        <w:tab/>
      </w:r>
      <w:r>
        <w:fldChar w:fldCharType="begin"/>
      </w:r>
      <w:r>
        <w:instrText xml:space="preserve"> PAGEREF _Toc75863047 \h </w:instrText>
      </w:r>
      <w:r>
        <w:fldChar w:fldCharType="separate"/>
      </w:r>
      <w:r w:rsidR="00FC1D84">
        <w:t>181</w:t>
      </w:r>
      <w:r>
        <w:fldChar w:fldCharType="end"/>
      </w:r>
    </w:p>
    <w:p w:rsidR="006169FD" w:rsidRDefault="006169FD">
      <w:pPr>
        <w:pStyle w:val="TOC8"/>
        <w:rPr>
          <w:rFonts w:asciiTheme="minorHAnsi" w:eastAsiaTheme="minorEastAsia" w:hAnsiTheme="minorHAnsi" w:cstheme="minorBidi"/>
          <w:szCs w:val="22"/>
        </w:rPr>
      </w:pPr>
      <w:r>
        <w:t>13</w:t>
      </w:r>
      <w:r w:rsidRPr="00AA3DF9">
        <w:rPr>
          <w:snapToGrid w:val="0"/>
        </w:rPr>
        <w:t>.</w:t>
      </w:r>
      <w:r w:rsidRPr="00AA3DF9">
        <w:rPr>
          <w:snapToGrid w:val="0"/>
        </w:rPr>
        <w:tab/>
        <w:t>Inspection of copies of business books</w:t>
      </w:r>
      <w:r>
        <w:tab/>
      </w:r>
      <w:r>
        <w:fldChar w:fldCharType="begin"/>
      </w:r>
      <w:r>
        <w:instrText xml:space="preserve"> PAGEREF _Toc75863048 \h </w:instrText>
      </w:r>
      <w:r>
        <w:fldChar w:fldCharType="separate"/>
      </w:r>
      <w:r w:rsidR="00FC1D84">
        <w:t>181</w:t>
      </w:r>
      <w:r>
        <w:fldChar w:fldCharType="end"/>
      </w:r>
    </w:p>
    <w:p w:rsidR="006169FD" w:rsidRDefault="006169FD">
      <w:pPr>
        <w:pStyle w:val="TOC8"/>
        <w:rPr>
          <w:rFonts w:asciiTheme="minorHAnsi" w:eastAsiaTheme="minorEastAsia" w:hAnsiTheme="minorHAnsi" w:cstheme="minorBidi"/>
          <w:szCs w:val="22"/>
        </w:rPr>
      </w:pPr>
      <w:r>
        <w:t>14</w:t>
      </w:r>
      <w:r w:rsidRPr="00AA3DF9">
        <w:rPr>
          <w:snapToGrid w:val="0"/>
        </w:rPr>
        <w:t>.</w:t>
      </w:r>
      <w:r w:rsidRPr="00AA3DF9">
        <w:rPr>
          <w:snapToGrid w:val="0"/>
        </w:rPr>
        <w:tab/>
        <w:t>Public interest immunity not affected</w:t>
      </w:r>
      <w:r>
        <w:tab/>
      </w:r>
      <w:r>
        <w:fldChar w:fldCharType="begin"/>
      </w:r>
      <w:r>
        <w:instrText xml:space="preserve"> PAGEREF _Toc75863049 \h </w:instrText>
      </w:r>
      <w:r>
        <w:fldChar w:fldCharType="separate"/>
      </w:r>
      <w:r w:rsidR="00FC1D84">
        <w:t>182</w:t>
      </w:r>
      <w:r>
        <w:fldChar w:fldCharType="end"/>
      </w:r>
    </w:p>
    <w:p w:rsidR="006169FD" w:rsidRDefault="006169FD">
      <w:pPr>
        <w:pStyle w:val="TOC8"/>
        <w:rPr>
          <w:rFonts w:asciiTheme="minorHAnsi" w:eastAsiaTheme="minorEastAsia" w:hAnsiTheme="minorHAnsi" w:cstheme="minorBidi"/>
          <w:szCs w:val="22"/>
        </w:rPr>
      </w:pPr>
      <w:r>
        <w:t>15</w:t>
      </w:r>
      <w:r w:rsidRPr="00AA3DF9">
        <w:rPr>
          <w:snapToGrid w:val="0"/>
        </w:rPr>
        <w:t>.</w:t>
      </w:r>
      <w:r w:rsidRPr="00AA3DF9">
        <w:rPr>
          <w:snapToGrid w:val="0"/>
        </w:rPr>
        <w:tab/>
        <w:t>Non</w:t>
      </w:r>
      <w:r w:rsidRPr="00AA3DF9">
        <w:rPr>
          <w:snapToGrid w:val="0"/>
        </w:rPr>
        <w:noBreakHyphen/>
        <w:t>compliance with requirements for discovery etc.</w:t>
      </w:r>
      <w:r>
        <w:tab/>
      </w:r>
      <w:r>
        <w:fldChar w:fldCharType="begin"/>
      </w:r>
      <w:r>
        <w:instrText xml:space="preserve"> PAGEREF _Toc75863050 \h </w:instrText>
      </w:r>
      <w:r>
        <w:fldChar w:fldCharType="separate"/>
      </w:r>
      <w:r w:rsidR="00FC1D84">
        <w:t>182</w:t>
      </w:r>
      <w:r>
        <w:fldChar w:fldCharType="end"/>
      </w:r>
    </w:p>
    <w:p w:rsidR="006169FD" w:rsidRDefault="006169FD">
      <w:pPr>
        <w:pStyle w:val="TOC8"/>
        <w:rPr>
          <w:rFonts w:asciiTheme="minorHAnsi" w:eastAsiaTheme="minorEastAsia" w:hAnsiTheme="minorHAnsi" w:cstheme="minorBidi"/>
          <w:szCs w:val="22"/>
        </w:rPr>
      </w:pPr>
      <w:r>
        <w:t>16A.</w:t>
      </w:r>
      <w:r>
        <w:tab/>
        <w:t>Certificate by practitioner</w:t>
      </w:r>
      <w:r>
        <w:tab/>
      </w:r>
      <w:r>
        <w:fldChar w:fldCharType="begin"/>
      </w:r>
      <w:r>
        <w:instrText xml:space="preserve"> PAGEREF _Toc75863051 \h </w:instrText>
      </w:r>
      <w:r>
        <w:fldChar w:fldCharType="separate"/>
      </w:r>
      <w:r w:rsidR="00FC1D84">
        <w:t>183</w:t>
      </w:r>
      <w:r>
        <w:fldChar w:fldCharType="end"/>
      </w:r>
    </w:p>
    <w:p w:rsidR="006169FD" w:rsidRDefault="006169FD">
      <w:pPr>
        <w:pStyle w:val="TOC8"/>
        <w:rPr>
          <w:rFonts w:asciiTheme="minorHAnsi" w:eastAsiaTheme="minorEastAsia" w:hAnsiTheme="minorHAnsi" w:cstheme="minorBidi"/>
          <w:szCs w:val="22"/>
        </w:rPr>
      </w:pPr>
      <w:r>
        <w:t>16</w:t>
      </w:r>
      <w:r w:rsidRPr="00AA3DF9">
        <w:rPr>
          <w:snapToGrid w:val="0"/>
        </w:rPr>
        <w:t>.</w:t>
      </w:r>
      <w:r w:rsidRPr="00AA3DF9">
        <w:rPr>
          <w:snapToGrid w:val="0"/>
        </w:rPr>
        <w:tab/>
        <w:t>Revocation and variation of orders</w:t>
      </w:r>
      <w:r>
        <w:tab/>
      </w:r>
      <w:r>
        <w:fldChar w:fldCharType="begin"/>
      </w:r>
      <w:r>
        <w:instrText xml:space="preserve"> PAGEREF _Toc75863052 \h </w:instrText>
      </w:r>
      <w:r>
        <w:fldChar w:fldCharType="separate"/>
      </w:r>
      <w:r w:rsidR="00FC1D84">
        <w:t>183</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26A — Discovery etc. from non</w:t>
      </w:r>
      <w:r>
        <w:noBreakHyphen/>
        <w:t>parties and potential parties</w:t>
      </w:r>
    </w:p>
    <w:p w:rsidR="006169FD" w:rsidRDefault="006169FD">
      <w:pPr>
        <w:pStyle w:val="TOC8"/>
        <w:rPr>
          <w:rFonts w:asciiTheme="minorHAnsi" w:eastAsiaTheme="minorEastAsia" w:hAnsiTheme="minorHAnsi" w:cstheme="minorBidi"/>
          <w:szCs w:val="22"/>
        </w:rPr>
      </w:pPr>
      <w:r>
        <w:t>1</w:t>
      </w:r>
      <w:r w:rsidRPr="00AA3DF9">
        <w:rPr>
          <w:snapToGrid w:val="0"/>
        </w:rPr>
        <w:t>.</w:t>
      </w:r>
      <w:r w:rsidRPr="00AA3DF9">
        <w:rPr>
          <w:snapToGrid w:val="0"/>
        </w:rPr>
        <w:tab/>
        <w:t>Terms used</w:t>
      </w:r>
      <w:r>
        <w:tab/>
      </w:r>
      <w:r>
        <w:fldChar w:fldCharType="begin"/>
      </w:r>
      <w:r>
        <w:instrText xml:space="preserve"> PAGEREF _Toc75863054 \h </w:instrText>
      </w:r>
      <w:r>
        <w:fldChar w:fldCharType="separate"/>
      </w:r>
      <w:r w:rsidR="00FC1D84">
        <w:t>184</w:t>
      </w:r>
      <w:r>
        <w:fldChar w:fldCharType="end"/>
      </w:r>
    </w:p>
    <w:p w:rsidR="006169FD" w:rsidRDefault="006169FD">
      <w:pPr>
        <w:pStyle w:val="TOC8"/>
        <w:rPr>
          <w:rFonts w:asciiTheme="minorHAnsi" w:eastAsiaTheme="minorEastAsia" w:hAnsiTheme="minorHAnsi" w:cstheme="minorBidi"/>
          <w:szCs w:val="22"/>
        </w:rPr>
      </w:pPr>
      <w:r>
        <w:t>2</w:t>
      </w:r>
      <w:r w:rsidRPr="00AA3DF9">
        <w:rPr>
          <w:snapToGrid w:val="0"/>
        </w:rPr>
        <w:t>.</w:t>
      </w:r>
      <w:r w:rsidRPr="00AA3DF9">
        <w:rPr>
          <w:snapToGrid w:val="0"/>
        </w:rPr>
        <w:tab/>
        <w:t>Public interest immunity not affected</w:t>
      </w:r>
      <w:r>
        <w:tab/>
      </w:r>
      <w:r>
        <w:fldChar w:fldCharType="begin"/>
      </w:r>
      <w:r>
        <w:instrText xml:space="preserve"> PAGEREF _Toc75863055 \h </w:instrText>
      </w:r>
      <w:r>
        <w:fldChar w:fldCharType="separate"/>
      </w:r>
      <w:r w:rsidR="00FC1D84">
        <w:t>184</w:t>
      </w:r>
      <w:r>
        <w:fldChar w:fldCharType="end"/>
      </w:r>
    </w:p>
    <w:p w:rsidR="006169FD" w:rsidRDefault="006169FD">
      <w:pPr>
        <w:pStyle w:val="TOC8"/>
        <w:rPr>
          <w:rFonts w:asciiTheme="minorHAnsi" w:eastAsiaTheme="minorEastAsia" w:hAnsiTheme="minorHAnsi" w:cstheme="minorBidi"/>
          <w:szCs w:val="22"/>
        </w:rPr>
      </w:pPr>
      <w:r>
        <w:t>3</w:t>
      </w:r>
      <w:r w:rsidRPr="00AA3DF9">
        <w:rPr>
          <w:snapToGrid w:val="0"/>
        </w:rPr>
        <w:t>.</w:t>
      </w:r>
      <w:r w:rsidRPr="00AA3DF9">
        <w:rPr>
          <w:snapToGrid w:val="0"/>
        </w:rPr>
        <w:tab/>
        <w:t>Discovery etc. to identify a potential party</w:t>
      </w:r>
      <w:r>
        <w:tab/>
      </w:r>
      <w:r>
        <w:fldChar w:fldCharType="begin"/>
      </w:r>
      <w:r>
        <w:instrText xml:space="preserve"> PAGEREF _Toc75863056 \h </w:instrText>
      </w:r>
      <w:r>
        <w:fldChar w:fldCharType="separate"/>
      </w:r>
      <w:r w:rsidR="00FC1D84">
        <w:t>184</w:t>
      </w:r>
      <w:r>
        <w:fldChar w:fldCharType="end"/>
      </w:r>
    </w:p>
    <w:p w:rsidR="006169FD" w:rsidRDefault="006169FD">
      <w:pPr>
        <w:pStyle w:val="TOC8"/>
        <w:rPr>
          <w:rFonts w:asciiTheme="minorHAnsi" w:eastAsiaTheme="minorEastAsia" w:hAnsiTheme="minorHAnsi" w:cstheme="minorBidi"/>
          <w:szCs w:val="22"/>
        </w:rPr>
      </w:pPr>
      <w:r>
        <w:t>4</w:t>
      </w:r>
      <w:r w:rsidRPr="00AA3DF9">
        <w:rPr>
          <w:snapToGrid w:val="0"/>
        </w:rPr>
        <w:t>.</w:t>
      </w:r>
      <w:r w:rsidRPr="00AA3DF9">
        <w:rPr>
          <w:snapToGrid w:val="0"/>
        </w:rPr>
        <w:tab/>
        <w:t>Discovery from potential party</w:t>
      </w:r>
      <w:r>
        <w:tab/>
      </w:r>
      <w:r>
        <w:fldChar w:fldCharType="begin"/>
      </w:r>
      <w:r>
        <w:instrText xml:space="preserve"> PAGEREF _Toc75863057 \h </w:instrText>
      </w:r>
      <w:r>
        <w:fldChar w:fldCharType="separate"/>
      </w:r>
      <w:r w:rsidR="00FC1D84">
        <w:t>185</w:t>
      </w:r>
      <w:r>
        <w:fldChar w:fldCharType="end"/>
      </w:r>
    </w:p>
    <w:p w:rsidR="006169FD" w:rsidRDefault="006169FD">
      <w:pPr>
        <w:pStyle w:val="TOC8"/>
        <w:rPr>
          <w:rFonts w:asciiTheme="minorHAnsi" w:eastAsiaTheme="minorEastAsia" w:hAnsiTheme="minorHAnsi" w:cstheme="minorBidi"/>
          <w:szCs w:val="22"/>
        </w:rPr>
      </w:pPr>
      <w:r>
        <w:t>5</w:t>
      </w:r>
      <w:r w:rsidRPr="00AA3DF9">
        <w:rPr>
          <w:snapToGrid w:val="0"/>
        </w:rPr>
        <w:t>.</w:t>
      </w:r>
      <w:r w:rsidRPr="00AA3DF9">
        <w:rPr>
          <w:snapToGrid w:val="0"/>
        </w:rPr>
        <w:tab/>
        <w:t>Discovery from non</w:t>
      </w:r>
      <w:r w:rsidRPr="00AA3DF9">
        <w:rPr>
          <w:snapToGrid w:val="0"/>
        </w:rPr>
        <w:noBreakHyphen/>
        <w:t>party</w:t>
      </w:r>
      <w:r>
        <w:tab/>
      </w:r>
      <w:r>
        <w:fldChar w:fldCharType="begin"/>
      </w:r>
      <w:r>
        <w:instrText xml:space="preserve"> PAGEREF _Toc75863058 \h </w:instrText>
      </w:r>
      <w:r>
        <w:fldChar w:fldCharType="separate"/>
      </w:r>
      <w:r w:rsidR="00FC1D84">
        <w:t>186</w:t>
      </w:r>
      <w:r>
        <w:fldChar w:fldCharType="end"/>
      </w:r>
    </w:p>
    <w:p w:rsidR="006169FD" w:rsidRDefault="006169FD">
      <w:pPr>
        <w:pStyle w:val="TOC8"/>
        <w:rPr>
          <w:rFonts w:asciiTheme="minorHAnsi" w:eastAsiaTheme="minorEastAsia" w:hAnsiTheme="minorHAnsi" w:cstheme="minorBidi"/>
          <w:szCs w:val="22"/>
        </w:rPr>
      </w:pPr>
      <w:r>
        <w:t>6</w:t>
      </w:r>
      <w:r w:rsidRPr="00AA3DF9">
        <w:rPr>
          <w:snapToGrid w:val="0"/>
        </w:rPr>
        <w:t>.</w:t>
      </w:r>
      <w:r w:rsidRPr="00AA3DF9">
        <w:rPr>
          <w:snapToGrid w:val="0"/>
        </w:rPr>
        <w:tab/>
        <w:t>Order 26 applies to discovery ordered under this Order</w:t>
      </w:r>
      <w:r>
        <w:tab/>
      </w:r>
      <w:r>
        <w:fldChar w:fldCharType="begin"/>
      </w:r>
      <w:r>
        <w:instrText xml:space="preserve"> PAGEREF _Toc75863059 \h </w:instrText>
      </w:r>
      <w:r>
        <w:fldChar w:fldCharType="separate"/>
      </w:r>
      <w:r w:rsidR="00FC1D84">
        <w:t>187</w:t>
      </w:r>
      <w:r>
        <w:fldChar w:fldCharType="end"/>
      </w:r>
    </w:p>
    <w:p w:rsidR="006169FD" w:rsidRDefault="006169FD">
      <w:pPr>
        <w:pStyle w:val="TOC8"/>
        <w:rPr>
          <w:rFonts w:asciiTheme="minorHAnsi" w:eastAsiaTheme="minorEastAsia" w:hAnsiTheme="minorHAnsi" w:cstheme="minorBidi"/>
          <w:szCs w:val="22"/>
        </w:rPr>
      </w:pPr>
      <w:r>
        <w:t>7</w:t>
      </w:r>
      <w:r w:rsidRPr="00AA3DF9">
        <w:rPr>
          <w:snapToGrid w:val="0"/>
        </w:rPr>
        <w:t>.</w:t>
      </w:r>
      <w:r w:rsidRPr="00AA3DF9">
        <w:rPr>
          <w:snapToGrid w:val="0"/>
        </w:rPr>
        <w:tab/>
        <w:t>Costs</w:t>
      </w:r>
      <w:r>
        <w:tab/>
      </w:r>
      <w:r>
        <w:fldChar w:fldCharType="begin"/>
      </w:r>
      <w:r>
        <w:instrText xml:space="preserve"> PAGEREF _Toc75863060 \h </w:instrText>
      </w:r>
      <w:r>
        <w:fldChar w:fldCharType="separate"/>
      </w:r>
      <w:r w:rsidR="00FC1D84">
        <w:t>187</w:t>
      </w:r>
      <w:r>
        <w:fldChar w:fldCharType="end"/>
      </w:r>
    </w:p>
    <w:p w:rsidR="006169FD" w:rsidRDefault="006169FD">
      <w:pPr>
        <w:pStyle w:val="TOC8"/>
        <w:rPr>
          <w:rFonts w:asciiTheme="minorHAnsi" w:eastAsiaTheme="minorEastAsia" w:hAnsiTheme="minorHAnsi" w:cstheme="minorBidi"/>
          <w:szCs w:val="22"/>
        </w:rPr>
      </w:pPr>
      <w:r>
        <w:t>8.</w:t>
      </w:r>
      <w:r>
        <w:tab/>
        <w:t>Certificate by practitioner for non</w:t>
      </w:r>
      <w:r>
        <w:noBreakHyphen/>
        <w:t>party or potential party</w:t>
      </w:r>
      <w:r>
        <w:tab/>
      </w:r>
      <w:r>
        <w:fldChar w:fldCharType="begin"/>
      </w:r>
      <w:r>
        <w:instrText xml:space="preserve"> PAGEREF _Toc75863061 \h </w:instrText>
      </w:r>
      <w:r>
        <w:fldChar w:fldCharType="separate"/>
      </w:r>
      <w:r w:rsidR="00FC1D84">
        <w:t>187</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27 — Interrogatories</w:t>
      </w:r>
    </w:p>
    <w:p w:rsidR="006169FD" w:rsidRDefault="006169FD">
      <w:pPr>
        <w:pStyle w:val="TOC8"/>
        <w:rPr>
          <w:rFonts w:asciiTheme="minorHAnsi" w:eastAsiaTheme="minorEastAsia" w:hAnsiTheme="minorHAnsi" w:cstheme="minorBidi"/>
          <w:szCs w:val="22"/>
        </w:rPr>
      </w:pPr>
      <w:r>
        <w:t>1</w:t>
      </w:r>
      <w:r w:rsidRPr="00AA3DF9">
        <w:rPr>
          <w:snapToGrid w:val="0"/>
        </w:rPr>
        <w:t>.</w:t>
      </w:r>
      <w:r w:rsidRPr="00AA3DF9">
        <w:rPr>
          <w:snapToGrid w:val="0"/>
        </w:rPr>
        <w:tab/>
        <w:t>Notice of and answers to interrogatories</w:t>
      </w:r>
      <w:r>
        <w:tab/>
      </w:r>
      <w:r>
        <w:fldChar w:fldCharType="begin"/>
      </w:r>
      <w:r>
        <w:instrText xml:space="preserve"> PAGEREF _Toc75863063 \h </w:instrText>
      </w:r>
      <w:r>
        <w:fldChar w:fldCharType="separate"/>
      </w:r>
      <w:r w:rsidR="00FC1D84">
        <w:t>189</w:t>
      </w:r>
      <w:r>
        <w:fldChar w:fldCharType="end"/>
      </w:r>
    </w:p>
    <w:p w:rsidR="006169FD" w:rsidRDefault="006169FD">
      <w:pPr>
        <w:pStyle w:val="TOC8"/>
        <w:rPr>
          <w:rFonts w:asciiTheme="minorHAnsi" w:eastAsiaTheme="minorEastAsia" w:hAnsiTheme="minorHAnsi" w:cstheme="minorBidi"/>
          <w:szCs w:val="22"/>
        </w:rPr>
      </w:pPr>
      <w:r>
        <w:t>2</w:t>
      </w:r>
      <w:r w:rsidRPr="00AA3DF9">
        <w:rPr>
          <w:snapToGrid w:val="0"/>
        </w:rPr>
        <w:t>.</w:t>
      </w:r>
      <w:r w:rsidRPr="00AA3DF9">
        <w:rPr>
          <w:snapToGrid w:val="0"/>
        </w:rPr>
        <w:tab/>
        <w:t>Answers, time for and manner of giving</w:t>
      </w:r>
      <w:r>
        <w:tab/>
      </w:r>
      <w:r>
        <w:fldChar w:fldCharType="begin"/>
      </w:r>
      <w:r>
        <w:instrText xml:space="preserve"> PAGEREF _Toc75863064 \h </w:instrText>
      </w:r>
      <w:r>
        <w:fldChar w:fldCharType="separate"/>
      </w:r>
      <w:r w:rsidR="00FC1D84">
        <w:t>189</w:t>
      </w:r>
      <w:r>
        <w:fldChar w:fldCharType="end"/>
      </w:r>
    </w:p>
    <w:p w:rsidR="006169FD" w:rsidRDefault="006169FD">
      <w:pPr>
        <w:pStyle w:val="TOC8"/>
        <w:rPr>
          <w:rFonts w:asciiTheme="minorHAnsi" w:eastAsiaTheme="minorEastAsia" w:hAnsiTheme="minorHAnsi" w:cstheme="minorBidi"/>
          <w:szCs w:val="22"/>
        </w:rPr>
      </w:pPr>
      <w:r>
        <w:lastRenderedPageBreak/>
        <w:t>3</w:t>
      </w:r>
      <w:r w:rsidRPr="00AA3DF9">
        <w:rPr>
          <w:snapToGrid w:val="0"/>
        </w:rPr>
        <w:t>.</w:t>
      </w:r>
      <w:r w:rsidRPr="00AA3DF9">
        <w:rPr>
          <w:snapToGrid w:val="0"/>
        </w:rPr>
        <w:tab/>
        <w:t>Interrogatories given to 2 or more parties etc., who has to answer</w:t>
      </w:r>
      <w:r>
        <w:tab/>
      </w:r>
      <w:r>
        <w:fldChar w:fldCharType="begin"/>
      </w:r>
      <w:r>
        <w:instrText xml:space="preserve"> PAGEREF _Toc75863065 \h </w:instrText>
      </w:r>
      <w:r>
        <w:fldChar w:fldCharType="separate"/>
      </w:r>
      <w:r w:rsidR="00FC1D84">
        <w:t>189</w:t>
      </w:r>
      <w:r>
        <w:fldChar w:fldCharType="end"/>
      </w:r>
    </w:p>
    <w:p w:rsidR="006169FD" w:rsidRDefault="006169FD">
      <w:pPr>
        <w:pStyle w:val="TOC8"/>
        <w:rPr>
          <w:rFonts w:asciiTheme="minorHAnsi" w:eastAsiaTheme="minorEastAsia" w:hAnsiTheme="minorHAnsi" w:cstheme="minorBidi"/>
          <w:szCs w:val="22"/>
        </w:rPr>
      </w:pPr>
      <w:r>
        <w:t>4</w:t>
      </w:r>
      <w:r w:rsidRPr="00AA3DF9">
        <w:rPr>
          <w:snapToGrid w:val="0"/>
        </w:rPr>
        <w:t>.</w:t>
      </w:r>
      <w:r w:rsidRPr="00AA3DF9">
        <w:rPr>
          <w:snapToGrid w:val="0"/>
        </w:rPr>
        <w:tab/>
        <w:t>Content of answers</w:t>
      </w:r>
      <w:r>
        <w:tab/>
      </w:r>
      <w:r>
        <w:fldChar w:fldCharType="begin"/>
      </w:r>
      <w:r>
        <w:instrText xml:space="preserve"> PAGEREF _Toc75863066 \h </w:instrText>
      </w:r>
      <w:r>
        <w:fldChar w:fldCharType="separate"/>
      </w:r>
      <w:r w:rsidR="00FC1D84">
        <w:t>190</w:t>
      </w:r>
      <w:r>
        <w:fldChar w:fldCharType="end"/>
      </w:r>
    </w:p>
    <w:p w:rsidR="006169FD" w:rsidRDefault="006169FD">
      <w:pPr>
        <w:pStyle w:val="TOC8"/>
        <w:rPr>
          <w:rFonts w:asciiTheme="minorHAnsi" w:eastAsiaTheme="minorEastAsia" w:hAnsiTheme="minorHAnsi" w:cstheme="minorBidi"/>
          <w:szCs w:val="22"/>
        </w:rPr>
      </w:pPr>
      <w:r>
        <w:t>5</w:t>
      </w:r>
      <w:r w:rsidRPr="00AA3DF9">
        <w:rPr>
          <w:snapToGrid w:val="0"/>
        </w:rPr>
        <w:t>.</w:t>
      </w:r>
      <w:r w:rsidRPr="00AA3DF9">
        <w:rPr>
          <w:snapToGrid w:val="0"/>
        </w:rPr>
        <w:tab/>
        <w:t>Grounds for objecting to answer</w:t>
      </w:r>
      <w:r>
        <w:tab/>
      </w:r>
      <w:r>
        <w:fldChar w:fldCharType="begin"/>
      </w:r>
      <w:r>
        <w:instrText xml:space="preserve"> PAGEREF _Toc75863067 \h </w:instrText>
      </w:r>
      <w:r>
        <w:fldChar w:fldCharType="separate"/>
      </w:r>
      <w:r w:rsidR="00FC1D84">
        <w:t>190</w:t>
      </w:r>
      <w:r>
        <w:fldChar w:fldCharType="end"/>
      </w:r>
    </w:p>
    <w:p w:rsidR="006169FD" w:rsidRDefault="006169FD">
      <w:pPr>
        <w:pStyle w:val="TOC8"/>
        <w:rPr>
          <w:rFonts w:asciiTheme="minorHAnsi" w:eastAsiaTheme="minorEastAsia" w:hAnsiTheme="minorHAnsi" w:cstheme="minorBidi"/>
          <w:szCs w:val="22"/>
        </w:rPr>
      </w:pPr>
      <w:r>
        <w:t>6</w:t>
      </w:r>
      <w:r w:rsidRPr="00AA3DF9">
        <w:rPr>
          <w:snapToGrid w:val="0"/>
        </w:rPr>
        <w:t>.</w:t>
      </w:r>
      <w:r w:rsidRPr="00AA3DF9">
        <w:rPr>
          <w:snapToGrid w:val="0"/>
        </w:rPr>
        <w:tab/>
        <w:t>Answers, who can make</w:t>
      </w:r>
      <w:r>
        <w:tab/>
      </w:r>
      <w:r>
        <w:fldChar w:fldCharType="begin"/>
      </w:r>
      <w:r>
        <w:instrText xml:space="preserve"> PAGEREF _Toc75863068 \h </w:instrText>
      </w:r>
      <w:r>
        <w:fldChar w:fldCharType="separate"/>
      </w:r>
      <w:r w:rsidR="00FC1D84">
        <w:t>190</w:t>
      </w:r>
      <w:r>
        <w:fldChar w:fldCharType="end"/>
      </w:r>
    </w:p>
    <w:p w:rsidR="006169FD" w:rsidRDefault="006169FD">
      <w:pPr>
        <w:pStyle w:val="TOC8"/>
        <w:rPr>
          <w:rFonts w:asciiTheme="minorHAnsi" w:eastAsiaTheme="minorEastAsia" w:hAnsiTheme="minorHAnsi" w:cstheme="minorBidi"/>
          <w:szCs w:val="22"/>
        </w:rPr>
      </w:pPr>
      <w:r>
        <w:t>7</w:t>
      </w:r>
      <w:r w:rsidRPr="00AA3DF9">
        <w:rPr>
          <w:snapToGrid w:val="0"/>
        </w:rPr>
        <w:t>.</w:t>
      </w:r>
      <w:r w:rsidRPr="00AA3DF9">
        <w:rPr>
          <w:snapToGrid w:val="0"/>
        </w:rPr>
        <w:tab/>
        <w:t>Failing to answer or to answer sufficiently</w:t>
      </w:r>
      <w:r>
        <w:tab/>
      </w:r>
      <w:r>
        <w:fldChar w:fldCharType="begin"/>
      </w:r>
      <w:r>
        <w:instrText xml:space="preserve"> PAGEREF _Toc75863069 \h </w:instrText>
      </w:r>
      <w:r>
        <w:fldChar w:fldCharType="separate"/>
      </w:r>
      <w:r w:rsidR="00FC1D84">
        <w:t>191</w:t>
      </w:r>
      <w:r>
        <w:fldChar w:fldCharType="end"/>
      </w:r>
    </w:p>
    <w:p w:rsidR="006169FD" w:rsidRDefault="006169FD">
      <w:pPr>
        <w:pStyle w:val="TOC8"/>
        <w:rPr>
          <w:rFonts w:asciiTheme="minorHAnsi" w:eastAsiaTheme="minorEastAsia" w:hAnsiTheme="minorHAnsi" w:cstheme="minorBidi"/>
          <w:szCs w:val="22"/>
        </w:rPr>
      </w:pPr>
      <w:r>
        <w:t>8</w:t>
      </w:r>
      <w:r w:rsidRPr="00AA3DF9">
        <w:rPr>
          <w:snapToGrid w:val="0"/>
        </w:rPr>
        <w:t>.</w:t>
      </w:r>
      <w:r w:rsidRPr="00AA3DF9">
        <w:rPr>
          <w:snapToGrid w:val="0"/>
        </w:rPr>
        <w:tab/>
        <w:t>Non</w:t>
      </w:r>
      <w:r w:rsidRPr="00AA3DF9">
        <w:rPr>
          <w:snapToGrid w:val="0"/>
        </w:rPr>
        <w:noBreakHyphen/>
        <w:t>compliance with order under r. 7</w:t>
      </w:r>
      <w:r>
        <w:tab/>
      </w:r>
      <w:r>
        <w:fldChar w:fldCharType="begin"/>
      </w:r>
      <w:r>
        <w:instrText xml:space="preserve"> PAGEREF _Toc75863070 \h </w:instrText>
      </w:r>
      <w:r>
        <w:fldChar w:fldCharType="separate"/>
      </w:r>
      <w:r w:rsidR="00FC1D84">
        <w:t>191</w:t>
      </w:r>
      <w:r>
        <w:fldChar w:fldCharType="end"/>
      </w:r>
    </w:p>
    <w:p w:rsidR="006169FD" w:rsidRDefault="006169FD">
      <w:pPr>
        <w:pStyle w:val="TOC8"/>
        <w:rPr>
          <w:rFonts w:asciiTheme="minorHAnsi" w:eastAsiaTheme="minorEastAsia" w:hAnsiTheme="minorHAnsi" w:cstheme="minorBidi"/>
          <w:szCs w:val="22"/>
        </w:rPr>
      </w:pPr>
      <w:r>
        <w:t>9</w:t>
      </w:r>
      <w:r w:rsidRPr="00AA3DF9">
        <w:rPr>
          <w:snapToGrid w:val="0"/>
        </w:rPr>
        <w:t>.</w:t>
      </w:r>
      <w:r w:rsidRPr="00AA3DF9">
        <w:rPr>
          <w:snapToGrid w:val="0"/>
        </w:rPr>
        <w:tab/>
        <w:t>Use of answers in evidence</w:t>
      </w:r>
      <w:r>
        <w:tab/>
      </w:r>
      <w:r>
        <w:fldChar w:fldCharType="begin"/>
      </w:r>
      <w:r>
        <w:instrText xml:space="preserve"> PAGEREF _Toc75863071 \h </w:instrText>
      </w:r>
      <w:r>
        <w:fldChar w:fldCharType="separate"/>
      </w:r>
      <w:r w:rsidR="00FC1D84">
        <w:t>192</w:t>
      </w:r>
      <w:r>
        <w:fldChar w:fldCharType="end"/>
      </w:r>
    </w:p>
    <w:p w:rsidR="006169FD" w:rsidRDefault="006169FD">
      <w:pPr>
        <w:pStyle w:val="TOC8"/>
        <w:rPr>
          <w:rFonts w:asciiTheme="minorHAnsi" w:eastAsiaTheme="minorEastAsia" w:hAnsiTheme="minorHAnsi" w:cstheme="minorBidi"/>
          <w:szCs w:val="22"/>
        </w:rPr>
      </w:pPr>
      <w:r>
        <w:t>10</w:t>
      </w:r>
      <w:r w:rsidRPr="00AA3DF9">
        <w:rPr>
          <w:snapToGrid w:val="0"/>
        </w:rPr>
        <w:t>.</w:t>
      </w:r>
      <w:r w:rsidRPr="00AA3DF9">
        <w:rPr>
          <w:snapToGrid w:val="0"/>
        </w:rPr>
        <w:tab/>
        <w:t>Revoking and varying orders</w:t>
      </w:r>
      <w:r>
        <w:tab/>
      </w:r>
      <w:r>
        <w:fldChar w:fldCharType="begin"/>
      </w:r>
      <w:r>
        <w:instrText xml:space="preserve"> PAGEREF _Toc75863072 \h </w:instrText>
      </w:r>
      <w:r>
        <w:fldChar w:fldCharType="separate"/>
      </w:r>
      <w:r w:rsidR="00FC1D84">
        <w:t>192</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28 — Medical examination: inspection of physical objects</w:t>
      </w:r>
    </w:p>
    <w:p w:rsidR="006169FD" w:rsidRDefault="006169FD">
      <w:pPr>
        <w:pStyle w:val="TOC8"/>
        <w:rPr>
          <w:rFonts w:asciiTheme="minorHAnsi" w:eastAsiaTheme="minorEastAsia" w:hAnsiTheme="minorHAnsi" w:cstheme="minorBidi"/>
          <w:szCs w:val="22"/>
        </w:rPr>
      </w:pPr>
      <w:r>
        <w:t>1</w:t>
      </w:r>
      <w:r w:rsidRPr="00AA3DF9">
        <w:rPr>
          <w:snapToGrid w:val="0"/>
        </w:rPr>
        <w:t>.</w:t>
      </w:r>
      <w:r w:rsidRPr="00AA3DF9">
        <w:rPr>
          <w:snapToGrid w:val="0"/>
        </w:rPr>
        <w:tab/>
        <w:t>Medical examination of a party</w:t>
      </w:r>
      <w:r>
        <w:tab/>
      </w:r>
      <w:r>
        <w:fldChar w:fldCharType="begin"/>
      </w:r>
      <w:r>
        <w:instrText xml:space="preserve"> PAGEREF _Toc75863074 \h </w:instrText>
      </w:r>
      <w:r>
        <w:fldChar w:fldCharType="separate"/>
      </w:r>
      <w:r w:rsidR="00FC1D84">
        <w:t>193</w:t>
      </w:r>
      <w:r>
        <w:fldChar w:fldCharType="end"/>
      </w:r>
    </w:p>
    <w:p w:rsidR="006169FD" w:rsidRDefault="006169FD">
      <w:pPr>
        <w:pStyle w:val="TOC8"/>
        <w:rPr>
          <w:rFonts w:asciiTheme="minorHAnsi" w:eastAsiaTheme="minorEastAsia" w:hAnsiTheme="minorHAnsi" w:cstheme="minorBidi"/>
          <w:szCs w:val="22"/>
        </w:rPr>
      </w:pPr>
      <w:r>
        <w:t>2</w:t>
      </w:r>
      <w:r w:rsidRPr="00AA3DF9">
        <w:rPr>
          <w:snapToGrid w:val="0"/>
        </w:rPr>
        <w:t>.</w:t>
      </w:r>
      <w:r w:rsidRPr="00AA3DF9">
        <w:rPr>
          <w:snapToGrid w:val="0"/>
        </w:rPr>
        <w:tab/>
        <w:t>Inspection of physical objects</w:t>
      </w:r>
      <w:r>
        <w:tab/>
      </w:r>
      <w:r>
        <w:fldChar w:fldCharType="begin"/>
      </w:r>
      <w:r>
        <w:instrText xml:space="preserve"> PAGEREF _Toc75863075 \h </w:instrText>
      </w:r>
      <w:r>
        <w:fldChar w:fldCharType="separate"/>
      </w:r>
      <w:r w:rsidR="00FC1D84">
        <w:t>194</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30 — Admissions</w:t>
      </w:r>
    </w:p>
    <w:p w:rsidR="006169FD" w:rsidRDefault="006169FD">
      <w:pPr>
        <w:pStyle w:val="TOC8"/>
        <w:rPr>
          <w:rFonts w:asciiTheme="minorHAnsi" w:eastAsiaTheme="minorEastAsia" w:hAnsiTheme="minorHAnsi" w:cstheme="minorBidi"/>
          <w:szCs w:val="22"/>
        </w:rPr>
      </w:pPr>
      <w:r>
        <w:t>1</w:t>
      </w:r>
      <w:r w:rsidRPr="00AA3DF9">
        <w:rPr>
          <w:snapToGrid w:val="0"/>
        </w:rPr>
        <w:t>.</w:t>
      </w:r>
      <w:r w:rsidRPr="00AA3DF9">
        <w:rPr>
          <w:snapToGrid w:val="0"/>
        </w:rPr>
        <w:tab/>
        <w:t>Admission of other party’s case</w:t>
      </w:r>
      <w:r>
        <w:tab/>
      </w:r>
      <w:r>
        <w:fldChar w:fldCharType="begin"/>
      </w:r>
      <w:r>
        <w:instrText xml:space="preserve"> PAGEREF _Toc75863077 \h </w:instrText>
      </w:r>
      <w:r>
        <w:fldChar w:fldCharType="separate"/>
      </w:r>
      <w:r w:rsidR="00FC1D84">
        <w:t>196</w:t>
      </w:r>
      <w:r>
        <w:fldChar w:fldCharType="end"/>
      </w:r>
    </w:p>
    <w:p w:rsidR="006169FD" w:rsidRDefault="006169FD">
      <w:pPr>
        <w:pStyle w:val="TOC8"/>
        <w:rPr>
          <w:rFonts w:asciiTheme="minorHAnsi" w:eastAsiaTheme="minorEastAsia" w:hAnsiTheme="minorHAnsi" w:cstheme="minorBidi"/>
          <w:szCs w:val="22"/>
        </w:rPr>
      </w:pPr>
      <w:r>
        <w:t>2</w:t>
      </w:r>
      <w:r w:rsidRPr="00AA3DF9">
        <w:rPr>
          <w:snapToGrid w:val="0"/>
        </w:rPr>
        <w:t>.</w:t>
      </w:r>
      <w:r w:rsidRPr="00AA3DF9">
        <w:rPr>
          <w:snapToGrid w:val="0"/>
        </w:rPr>
        <w:tab/>
        <w:t>Notice to admit facts</w:t>
      </w:r>
      <w:r>
        <w:tab/>
      </w:r>
      <w:r>
        <w:fldChar w:fldCharType="begin"/>
      </w:r>
      <w:r>
        <w:instrText xml:space="preserve"> PAGEREF _Toc75863078 \h </w:instrText>
      </w:r>
      <w:r>
        <w:fldChar w:fldCharType="separate"/>
      </w:r>
      <w:r w:rsidR="00FC1D84">
        <w:t>196</w:t>
      </w:r>
      <w:r>
        <w:fldChar w:fldCharType="end"/>
      </w:r>
    </w:p>
    <w:p w:rsidR="006169FD" w:rsidRDefault="006169FD">
      <w:pPr>
        <w:pStyle w:val="TOC8"/>
        <w:rPr>
          <w:rFonts w:asciiTheme="minorHAnsi" w:eastAsiaTheme="minorEastAsia" w:hAnsiTheme="minorHAnsi" w:cstheme="minorBidi"/>
          <w:szCs w:val="22"/>
        </w:rPr>
      </w:pPr>
      <w:r>
        <w:t>3</w:t>
      </w:r>
      <w:r w:rsidRPr="00AA3DF9">
        <w:rPr>
          <w:snapToGrid w:val="0"/>
        </w:rPr>
        <w:t>.</w:t>
      </w:r>
      <w:r w:rsidRPr="00AA3DF9">
        <w:rPr>
          <w:snapToGrid w:val="0"/>
        </w:rPr>
        <w:tab/>
        <w:t>Judgment on admissions</w:t>
      </w:r>
      <w:r>
        <w:tab/>
      </w:r>
      <w:r>
        <w:fldChar w:fldCharType="begin"/>
      </w:r>
      <w:r>
        <w:instrText xml:space="preserve"> PAGEREF _Toc75863079 \h </w:instrText>
      </w:r>
      <w:r>
        <w:fldChar w:fldCharType="separate"/>
      </w:r>
      <w:r w:rsidR="00FC1D84">
        <w:t>196</w:t>
      </w:r>
      <w:r>
        <w:fldChar w:fldCharType="end"/>
      </w:r>
    </w:p>
    <w:p w:rsidR="006169FD" w:rsidRDefault="006169FD">
      <w:pPr>
        <w:pStyle w:val="TOC8"/>
        <w:rPr>
          <w:rFonts w:asciiTheme="minorHAnsi" w:eastAsiaTheme="minorEastAsia" w:hAnsiTheme="minorHAnsi" w:cstheme="minorBidi"/>
          <w:szCs w:val="22"/>
        </w:rPr>
      </w:pPr>
      <w:r>
        <w:t>4</w:t>
      </w:r>
      <w:r w:rsidRPr="00AA3DF9">
        <w:rPr>
          <w:snapToGrid w:val="0"/>
        </w:rPr>
        <w:t>.</w:t>
      </w:r>
      <w:r w:rsidRPr="00AA3DF9">
        <w:rPr>
          <w:snapToGrid w:val="0"/>
        </w:rPr>
        <w:tab/>
        <w:t>Admissions as to and production of documents</w:t>
      </w:r>
      <w:r>
        <w:tab/>
      </w:r>
      <w:r>
        <w:fldChar w:fldCharType="begin"/>
      </w:r>
      <w:r>
        <w:instrText xml:space="preserve"> PAGEREF _Toc75863080 \h </w:instrText>
      </w:r>
      <w:r>
        <w:fldChar w:fldCharType="separate"/>
      </w:r>
      <w:r w:rsidR="00FC1D84">
        <w:t>197</w:t>
      </w:r>
      <w:r>
        <w:fldChar w:fldCharType="end"/>
      </w:r>
    </w:p>
    <w:p w:rsidR="006169FD" w:rsidRDefault="006169FD">
      <w:pPr>
        <w:pStyle w:val="TOC8"/>
        <w:rPr>
          <w:rFonts w:asciiTheme="minorHAnsi" w:eastAsiaTheme="minorEastAsia" w:hAnsiTheme="minorHAnsi" w:cstheme="minorBidi"/>
          <w:szCs w:val="22"/>
        </w:rPr>
      </w:pPr>
      <w:r>
        <w:t>5</w:t>
      </w:r>
      <w:r w:rsidRPr="00AA3DF9">
        <w:rPr>
          <w:snapToGrid w:val="0"/>
        </w:rPr>
        <w:t>.</w:t>
      </w:r>
      <w:r w:rsidRPr="00AA3DF9">
        <w:rPr>
          <w:snapToGrid w:val="0"/>
        </w:rPr>
        <w:tab/>
        <w:t>Notice to admit authenticity of documents; notice requiring production of documents at trial</w:t>
      </w:r>
      <w:r>
        <w:tab/>
      </w:r>
      <w:r>
        <w:fldChar w:fldCharType="begin"/>
      </w:r>
      <w:r>
        <w:instrText xml:space="preserve"> PAGEREF _Toc75863081 \h </w:instrText>
      </w:r>
      <w:r>
        <w:fldChar w:fldCharType="separate"/>
      </w:r>
      <w:r w:rsidR="00FC1D84">
        <w:t>198</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31 — Special cases and stated cases</w:t>
      </w:r>
    </w:p>
    <w:p w:rsidR="006169FD" w:rsidRDefault="006169FD">
      <w:pPr>
        <w:pStyle w:val="TOC8"/>
        <w:rPr>
          <w:rFonts w:asciiTheme="minorHAnsi" w:eastAsiaTheme="minorEastAsia" w:hAnsiTheme="minorHAnsi" w:cstheme="minorBidi"/>
          <w:szCs w:val="22"/>
        </w:rPr>
      </w:pPr>
      <w:r>
        <w:t>1</w:t>
      </w:r>
      <w:r w:rsidRPr="00AA3DF9">
        <w:rPr>
          <w:snapToGrid w:val="0"/>
        </w:rPr>
        <w:t>.</w:t>
      </w:r>
      <w:r w:rsidRPr="00AA3DF9">
        <w:rPr>
          <w:snapToGrid w:val="0"/>
        </w:rPr>
        <w:tab/>
        <w:t>Questions of law, stating of in special case</w:t>
      </w:r>
      <w:r>
        <w:tab/>
      </w:r>
      <w:r>
        <w:fldChar w:fldCharType="begin"/>
      </w:r>
      <w:r>
        <w:instrText xml:space="preserve"> PAGEREF _Toc75863083 \h </w:instrText>
      </w:r>
      <w:r>
        <w:fldChar w:fldCharType="separate"/>
      </w:r>
      <w:r w:rsidR="00FC1D84">
        <w:t>199</w:t>
      </w:r>
      <w:r>
        <w:fldChar w:fldCharType="end"/>
      </w:r>
    </w:p>
    <w:p w:rsidR="006169FD" w:rsidRDefault="006169FD">
      <w:pPr>
        <w:pStyle w:val="TOC8"/>
        <w:rPr>
          <w:rFonts w:asciiTheme="minorHAnsi" w:eastAsiaTheme="minorEastAsia" w:hAnsiTheme="minorHAnsi" w:cstheme="minorBidi"/>
          <w:szCs w:val="22"/>
        </w:rPr>
      </w:pPr>
      <w:r>
        <w:t>2</w:t>
      </w:r>
      <w:r w:rsidRPr="00AA3DF9">
        <w:rPr>
          <w:snapToGrid w:val="0"/>
        </w:rPr>
        <w:t>.</w:t>
      </w:r>
      <w:r w:rsidRPr="00AA3DF9">
        <w:rPr>
          <w:snapToGrid w:val="0"/>
        </w:rPr>
        <w:tab/>
        <w:t>Preliminary question of law, orders as to</w:t>
      </w:r>
      <w:r>
        <w:tab/>
      </w:r>
      <w:r>
        <w:fldChar w:fldCharType="begin"/>
      </w:r>
      <w:r>
        <w:instrText xml:space="preserve"> PAGEREF _Toc75863084 \h </w:instrText>
      </w:r>
      <w:r>
        <w:fldChar w:fldCharType="separate"/>
      </w:r>
      <w:r w:rsidR="00FC1D84">
        <w:t>199</w:t>
      </w:r>
      <w:r>
        <w:fldChar w:fldCharType="end"/>
      </w:r>
    </w:p>
    <w:p w:rsidR="006169FD" w:rsidRDefault="006169FD">
      <w:pPr>
        <w:pStyle w:val="TOC8"/>
        <w:rPr>
          <w:rFonts w:asciiTheme="minorHAnsi" w:eastAsiaTheme="minorEastAsia" w:hAnsiTheme="minorHAnsi" w:cstheme="minorBidi"/>
          <w:szCs w:val="22"/>
        </w:rPr>
      </w:pPr>
      <w:r>
        <w:t>3</w:t>
      </w:r>
      <w:r w:rsidRPr="00AA3DF9">
        <w:rPr>
          <w:snapToGrid w:val="0"/>
        </w:rPr>
        <w:t>.</w:t>
      </w:r>
      <w:r w:rsidRPr="00AA3DF9">
        <w:rPr>
          <w:snapToGrid w:val="0"/>
        </w:rPr>
        <w:tab/>
        <w:t>Preparing special case</w:t>
      </w:r>
      <w:r>
        <w:tab/>
      </w:r>
      <w:r>
        <w:fldChar w:fldCharType="begin"/>
      </w:r>
      <w:r>
        <w:instrText xml:space="preserve"> PAGEREF _Toc75863085 \h </w:instrText>
      </w:r>
      <w:r>
        <w:fldChar w:fldCharType="separate"/>
      </w:r>
      <w:r w:rsidR="00FC1D84">
        <w:t>199</w:t>
      </w:r>
      <w:r>
        <w:fldChar w:fldCharType="end"/>
      </w:r>
    </w:p>
    <w:p w:rsidR="006169FD" w:rsidRDefault="006169FD">
      <w:pPr>
        <w:pStyle w:val="TOC8"/>
        <w:rPr>
          <w:rFonts w:asciiTheme="minorHAnsi" w:eastAsiaTheme="minorEastAsia" w:hAnsiTheme="minorHAnsi" w:cstheme="minorBidi"/>
          <w:szCs w:val="22"/>
        </w:rPr>
      </w:pPr>
      <w:r>
        <w:t>4</w:t>
      </w:r>
      <w:r w:rsidRPr="00AA3DF9">
        <w:rPr>
          <w:snapToGrid w:val="0"/>
        </w:rPr>
        <w:t>.</w:t>
      </w:r>
      <w:r w:rsidRPr="00AA3DF9">
        <w:rPr>
          <w:snapToGrid w:val="0"/>
        </w:rPr>
        <w:tab/>
        <w:t>Special case affecting person under disability, leave needed to enter for argument</w:t>
      </w:r>
      <w:r>
        <w:tab/>
      </w:r>
      <w:r>
        <w:fldChar w:fldCharType="begin"/>
      </w:r>
      <w:r>
        <w:instrText xml:space="preserve"> PAGEREF _Toc75863086 \h </w:instrText>
      </w:r>
      <w:r>
        <w:fldChar w:fldCharType="separate"/>
      </w:r>
      <w:r w:rsidR="00FC1D84">
        <w:t>200</w:t>
      </w:r>
      <w:r>
        <w:fldChar w:fldCharType="end"/>
      </w:r>
    </w:p>
    <w:p w:rsidR="006169FD" w:rsidRDefault="006169FD">
      <w:pPr>
        <w:pStyle w:val="TOC8"/>
        <w:rPr>
          <w:rFonts w:asciiTheme="minorHAnsi" w:eastAsiaTheme="minorEastAsia" w:hAnsiTheme="minorHAnsi" w:cstheme="minorBidi"/>
          <w:szCs w:val="22"/>
        </w:rPr>
      </w:pPr>
      <w:r>
        <w:t>5</w:t>
      </w:r>
      <w:r w:rsidRPr="00AA3DF9">
        <w:rPr>
          <w:snapToGrid w:val="0"/>
        </w:rPr>
        <w:t>.</w:t>
      </w:r>
      <w:r w:rsidRPr="00AA3DF9">
        <w:rPr>
          <w:snapToGrid w:val="0"/>
        </w:rPr>
        <w:tab/>
        <w:t>Entering special case for argument</w:t>
      </w:r>
      <w:r>
        <w:tab/>
      </w:r>
      <w:r>
        <w:fldChar w:fldCharType="begin"/>
      </w:r>
      <w:r>
        <w:instrText xml:space="preserve"> PAGEREF _Toc75863087 \h </w:instrText>
      </w:r>
      <w:r>
        <w:fldChar w:fldCharType="separate"/>
      </w:r>
      <w:r w:rsidR="00FC1D84">
        <w:t>200</w:t>
      </w:r>
      <w:r>
        <w:fldChar w:fldCharType="end"/>
      </w:r>
    </w:p>
    <w:p w:rsidR="006169FD" w:rsidRDefault="006169FD">
      <w:pPr>
        <w:pStyle w:val="TOC8"/>
        <w:rPr>
          <w:rFonts w:asciiTheme="minorHAnsi" w:eastAsiaTheme="minorEastAsia" w:hAnsiTheme="minorHAnsi" w:cstheme="minorBidi"/>
          <w:szCs w:val="22"/>
        </w:rPr>
      </w:pPr>
      <w:r>
        <w:t>6</w:t>
      </w:r>
      <w:r w:rsidRPr="00AA3DF9">
        <w:rPr>
          <w:snapToGrid w:val="0"/>
        </w:rPr>
        <w:t>.</w:t>
      </w:r>
      <w:r w:rsidRPr="00AA3DF9">
        <w:rPr>
          <w:snapToGrid w:val="0"/>
        </w:rPr>
        <w:tab/>
        <w:t>Agreement as to payment of money and costs</w:t>
      </w:r>
      <w:r>
        <w:tab/>
      </w:r>
      <w:r>
        <w:fldChar w:fldCharType="begin"/>
      </w:r>
      <w:r>
        <w:instrText xml:space="preserve"> PAGEREF _Toc75863088 \h </w:instrText>
      </w:r>
      <w:r>
        <w:fldChar w:fldCharType="separate"/>
      </w:r>
      <w:r w:rsidR="00FC1D84">
        <w:t>200</w:t>
      </w:r>
      <w:r>
        <w:fldChar w:fldCharType="end"/>
      </w:r>
    </w:p>
    <w:p w:rsidR="006169FD" w:rsidRDefault="006169FD">
      <w:pPr>
        <w:pStyle w:val="TOC8"/>
        <w:rPr>
          <w:rFonts w:asciiTheme="minorHAnsi" w:eastAsiaTheme="minorEastAsia" w:hAnsiTheme="minorHAnsi" w:cstheme="minorBidi"/>
          <w:szCs w:val="22"/>
        </w:rPr>
      </w:pPr>
      <w:r>
        <w:t>7</w:t>
      </w:r>
      <w:r w:rsidRPr="00AA3DF9">
        <w:rPr>
          <w:snapToGrid w:val="0"/>
        </w:rPr>
        <w:t>.</w:t>
      </w:r>
      <w:r w:rsidRPr="00AA3DF9">
        <w:rPr>
          <w:snapToGrid w:val="0"/>
        </w:rPr>
        <w:tab/>
        <w:t>Reference of case to</w:t>
      </w:r>
      <w:r>
        <w:t xml:space="preserve"> Court of Appeal</w:t>
      </w:r>
      <w:r w:rsidRPr="00AA3DF9">
        <w:rPr>
          <w:snapToGrid w:val="0"/>
        </w:rPr>
        <w:t xml:space="preserve"> (Act s. 58(1)(d))</w:t>
      </w:r>
      <w:r>
        <w:tab/>
      </w:r>
      <w:r>
        <w:fldChar w:fldCharType="begin"/>
      </w:r>
      <w:r>
        <w:instrText xml:space="preserve"> PAGEREF _Toc75863089 \h </w:instrText>
      </w:r>
      <w:r>
        <w:fldChar w:fldCharType="separate"/>
      </w:r>
      <w:r w:rsidR="00FC1D84">
        <w:t>201</w:t>
      </w:r>
      <w:r>
        <w:fldChar w:fldCharType="end"/>
      </w:r>
    </w:p>
    <w:p w:rsidR="006169FD" w:rsidRDefault="006169FD">
      <w:pPr>
        <w:pStyle w:val="TOC8"/>
        <w:rPr>
          <w:rFonts w:asciiTheme="minorHAnsi" w:eastAsiaTheme="minorEastAsia" w:hAnsiTheme="minorHAnsi" w:cstheme="minorBidi"/>
          <w:szCs w:val="22"/>
        </w:rPr>
      </w:pPr>
      <w:r>
        <w:t>8</w:t>
      </w:r>
      <w:r w:rsidRPr="00AA3DF9">
        <w:rPr>
          <w:snapToGrid w:val="0"/>
        </w:rPr>
        <w:t>.</w:t>
      </w:r>
      <w:r w:rsidRPr="00AA3DF9">
        <w:rPr>
          <w:snapToGrid w:val="0"/>
        </w:rPr>
        <w:tab/>
        <w:t>Cases stated to Court (not Court of Appeal) by other courts etc.</w:t>
      </w:r>
      <w:r>
        <w:tab/>
      </w:r>
      <w:r>
        <w:fldChar w:fldCharType="begin"/>
      </w:r>
      <w:r>
        <w:instrText xml:space="preserve"> PAGEREF _Toc75863090 \h </w:instrText>
      </w:r>
      <w:r>
        <w:fldChar w:fldCharType="separate"/>
      </w:r>
      <w:r w:rsidR="00FC1D84">
        <w:t>201</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32 — Place and mode of trial</w:t>
      </w:r>
    </w:p>
    <w:p w:rsidR="006169FD" w:rsidRDefault="006169FD">
      <w:pPr>
        <w:pStyle w:val="TOC8"/>
        <w:rPr>
          <w:rFonts w:asciiTheme="minorHAnsi" w:eastAsiaTheme="minorEastAsia" w:hAnsiTheme="minorHAnsi" w:cstheme="minorBidi"/>
          <w:szCs w:val="22"/>
        </w:rPr>
      </w:pPr>
      <w:r>
        <w:t>1</w:t>
      </w:r>
      <w:r w:rsidRPr="00AA3DF9">
        <w:rPr>
          <w:snapToGrid w:val="0"/>
        </w:rPr>
        <w:t>.</w:t>
      </w:r>
      <w:r w:rsidRPr="00AA3DF9">
        <w:rPr>
          <w:snapToGrid w:val="0"/>
        </w:rPr>
        <w:tab/>
        <w:t>Trial in circuit town</w:t>
      </w:r>
      <w:r>
        <w:tab/>
      </w:r>
      <w:r>
        <w:fldChar w:fldCharType="begin"/>
      </w:r>
      <w:r>
        <w:instrText xml:space="preserve"> PAGEREF _Toc75863092 \h </w:instrText>
      </w:r>
      <w:r>
        <w:fldChar w:fldCharType="separate"/>
      </w:r>
      <w:r w:rsidR="00FC1D84">
        <w:t>203</w:t>
      </w:r>
      <w:r>
        <w:fldChar w:fldCharType="end"/>
      </w:r>
    </w:p>
    <w:p w:rsidR="006169FD" w:rsidRDefault="006169FD">
      <w:pPr>
        <w:pStyle w:val="TOC8"/>
        <w:rPr>
          <w:rFonts w:asciiTheme="minorHAnsi" w:eastAsiaTheme="minorEastAsia" w:hAnsiTheme="minorHAnsi" w:cstheme="minorBidi"/>
          <w:szCs w:val="22"/>
        </w:rPr>
      </w:pPr>
      <w:r>
        <w:lastRenderedPageBreak/>
        <w:t>2</w:t>
      </w:r>
      <w:r w:rsidRPr="00AA3DF9">
        <w:rPr>
          <w:snapToGrid w:val="0"/>
        </w:rPr>
        <w:t>.</w:t>
      </w:r>
      <w:r w:rsidRPr="00AA3DF9">
        <w:rPr>
          <w:snapToGrid w:val="0"/>
        </w:rPr>
        <w:tab/>
        <w:t>Application for trial by jury</w:t>
      </w:r>
      <w:r>
        <w:tab/>
      </w:r>
      <w:r>
        <w:fldChar w:fldCharType="begin"/>
      </w:r>
      <w:r>
        <w:instrText xml:space="preserve"> PAGEREF _Toc75863093 \h </w:instrText>
      </w:r>
      <w:r>
        <w:fldChar w:fldCharType="separate"/>
      </w:r>
      <w:r w:rsidR="00FC1D84">
        <w:t>203</w:t>
      </w:r>
      <w:r>
        <w:fldChar w:fldCharType="end"/>
      </w:r>
    </w:p>
    <w:p w:rsidR="006169FD" w:rsidRDefault="006169FD">
      <w:pPr>
        <w:pStyle w:val="TOC8"/>
        <w:rPr>
          <w:rFonts w:asciiTheme="minorHAnsi" w:eastAsiaTheme="minorEastAsia" w:hAnsiTheme="minorHAnsi" w:cstheme="minorBidi"/>
          <w:szCs w:val="22"/>
        </w:rPr>
      </w:pPr>
      <w:r>
        <w:t>3</w:t>
      </w:r>
      <w:r w:rsidRPr="00AA3DF9">
        <w:rPr>
          <w:snapToGrid w:val="0"/>
        </w:rPr>
        <w:t>.</w:t>
      </w:r>
      <w:r w:rsidRPr="00AA3DF9">
        <w:rPr>
          <w:snapToGrid w:val="0"/>
        </w:rPr>
        <w:tab/>
        <w:t>Usual mode of trial, other modes</w:t>
      </w:r>
      <w:r>
        <w:tab/>
      </w:r>
      <w:r>
        <w:fldChar w:fldCharType="begin"/>
      </w:r>
      <w:r>
        <w:instrText xml:space="preserve"> PAGEREF _Toc75863094 \h </w:instrText>
      </w:r>
      <w:r>
        <w:fldChar w:fldCharType="separate"/>
      </w:r>
      <w:r w:rsidR="00FC1D84">
        <w:t>203</w:t>
      </w:r>
      <w:r>
        <w:fldChar w:fldCharType="end"/>
      </w:r>
    </w:p>
    <w:p w:rsidR="006169FD" w:rsidRDefault="006169FD">
      <w:pPr>
        <w:pStyle w:val="TOC8"/>
        <w:rPr>
          <w:rFonts w:asciiTheme="minorHAnsi" w:eastAsiaTheme="minorEastAsia" w:hAnsiTheme="minorHAnsi" w:cstheme="minorBidi"/>
          <w:szCs w:val="22"/>
        </w:rPr>
      </w:pPr>
      <w:r>
        <w:t>4</w:t>
      </w:r>
      <w:r w:rsidRPr="00AA3DF9">
        <w:rPr>
          <w:snapToGrid w:val="0"/>
        </w:rPr>
        <w:t>.</w:t>
      </w:r>
      <w:r w:rsidRPr="00AA3DF9">
        <w:rPr>
          <w:snapToGrid w:val="0"/>
        </w:rPr>
        <w:tab/>
        <w:t>Time of trial of questions or issues</w:t>
      </w:r>
      <w:r>
        <w:tab/>
      </w:r>
      <w:r>
        <w:fldChar w:fldCharType="begin"/>
      </w:r>
      <w:r>
        <w:instrText xml:space="preserve"> PAGEREF _Toc75863095 \h </w:instrText>
      </w:r>
      <w:r>
        <w:fldChar w:fldCharType="separate"/>
      </w:r>
      <w:r w:rsidR="00FC1D84">
        <w:t>203</w:t>
      </w:r>
      <w:r>
        <w:fldChar w:fldCharType="end"/>
      </w:r>
    </w:p>
    <w:p w:rsidR="006169FD" w:rsidRDefault="006169FD">
      <w:pPr>
        <w:pStyle w:val="TOC8"/>
        <w:rPr>
          <w:rFonts w:asciiTheme="minorHAnsi" w:eastAsiaTheme="minorEastAsia" w:hAnsiTheme="minorHAnsi" w:cstheme="minorBidi"/>
          <w:szCs w:val="22"/>
        </w:rPr>
      </w:pPr>
      <w:r>
        <w:t>5</w:t>
      </w:r>
      <w:r w:rsidRPr="00AA3DF9">
        <w:rPr>
          <w:snapToGrid w:val="0"/>
        </w:rPr>
        <w:t>.</w:t>
      </w:r>
      <w:r w:rsidRPr="00AA3DF9">
        <w:rPr>
          <w:snapToGrid w:val="0"/>
        </w:rPr>
        <w:tab/>
        <w:t>Issues may be tried differently</w:t>
      </w:r>
      <w:r>
        <w:tab/>
      </w:r>
      <w:r>
        <w:fldChar w:fldCharType="begin"/>
      </w:r>
      <w:r>
        <w:instrText xml:space="preserve"> PAGEREF _Toc75863096 \h </w:instrText>
      </w:r>
      <w:r>
        <w:fldChar w:fldCharType="separate"/>
      </w:r>
      <w:r w:rsidR="00FC1D84">
        <w:t>203</w:t>
      </w:r>
      <w:r>
        <w:fldChar w:fldCharType="end"/>
      </w:r>
    </w:p>
    <w:p w:rsidR="006169FD" w:rsidRDefault="006169FD">
      <w:pPr>
        <w:pStyle w:val="TOC8"/>
        <w:rPr>
          <w:rFonts w:asciiTheme="minorHAnsi" w:eastAsiaTheme="minorEastAsia" w:hAnsiTheme="minorHAnsi" w:cstheme="minorBidi"/>
          <w:szCs w:val="22"/>
        </w:rPr>
      </w:pPr>
      <w:r>
        <w:t>6</w:t>
      </w:r>
      <w:r w:rsidRPr="00AA3DF9">
        <w:rPr>
          <w:snapToGrid w:val="0"/>
        </w:rPr>
        <w:t>.</w:t>
      </w:r>
      <w:r w:rsidRPr="00AA3DF9">
        <w:rPr>
          <w:snapToGrid w:val="0"/>
        </w:rPr>
        <w:tab/>
        <w:t>Trial with jury to be by single judge</w:t>
      </w:r>
      <w:r>
        <w:tab/>
      </w:r>
      <w:r>
        <w:fldChar w:fldCharType="begin"/>
      </w:r>
      <w:r>
        <w:instrText xml:space="preserve"> PAGEREF _Toc75863097 \h </w:instrText>
      </w:r>
      <w:r>
        <w:fldChar w:fldCharType="separate"/>
      </w:r>
      <w:r w:rsidR="00FC1D84">
        <w:t>204</w:t>
      </w:r>
      <w:r>
        <w:fldChar w:fldCharType="end"/>
      </w:r>
    </w:p>
    <w:p w:rsidR="006169FD" w:rsidRDefault="006169FD">
      <w:pPr>
        <w:pStyle w:val="TOC8"/>
        <w:rPr>
          <w:rFonts w:asciiTheme="minorHAnsi" w:eastAsiaTheme="minorEastAsia" w:hAnsiTheme="minorHAnsi" w:cstheme="minorBidi"/>
          <w:szCs w:val="22"/>
        </w:rPr>
      </w:pPr>
      <w:r>
        <w:t>7</w:t>
      </w:r>
      <w:r w:rsidRPr="00AA3DF9">
        <w:rPr>
          <w:snapToGrid w:val="0"/>
        </w:rPr>
        <w:t>.</w:t>
      </w:r>
      <w:r w:rsidRPr="00AA3DF9">
        <w:rPr>
          <w:snapToGrid w:val="0"/>
        </w:rPr>
        <w:tab/>
        <w:t>Disposal of action</w:t>
      </w:r>
      <w:r>
        <w:tab/>
      </w:r>
      <w:r>
        <w:fldChar w:fldCharType="begin"/>
      </w:r>
      <w:r>
        <w:instrText xml:space="preserve"> PAGEREF _Toc75863098 \h </w:instrText>
      </w:r>
      <w:r>
        <w:fldChar w:fldCharType="separate"/>
      </w:r>
      <w:r w:rsidR="00FC1D84">
        <w:t>204</w:t>
      </w:r>
      <w:r>
        <w:fldChar w:fldCharType="end"/>
      </w:r>
    </w:p>
    <w:p w:rsidR="006169FD" w:rsidRDefault="006169FD">
      <w:pPr>
        <w:pStyle w:val="TOC8"/>
        <w:rPr>
          <w:rFonts w:asciiTheme="minorHAnsi" w:eastAsiaTheme="minorEastAsia" w:hAnsiTheme="minorHAnsi" w:cstheme="minorBidi"/>
          <w:szCs w:val="22"/>
        </w:rPr>
      </w:pPr>
      <w:r>
        <w:t>8.</w:t>
      </w:r>
      <w:r>
        <w:tab/>
        <w:t>Trial by jury, precepts for etc.</w:t>
      </w:r>
      <w:r>
        <w:tab/>
      </w:r>
      <w:r>
        <w:fldChar w:fldCharType="begin"/>
      </w:r>
      <w:r>
        <w:instrText xml:space="preserve"> PAGEREF _Toc75863099 \h </w:instrText>
      </w:r>
      <w:r>
        <w:fldChar w:fldCharType="separate"/>
      </w:r>
      <w:r w:rsidR="00FC1D84">
        <w:t>204</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33 — Entry for trial</w:t>
      </w:r>
    </w:p>
    <w:p w:rsidR="006169FD" w:rsidRDefault="006169FD">
      <w:pPr>
        <w:pStyle w:val="TOC8"/>
        <w:rPr>
          <w:rFonts w:asciiTheme="minorHAnsi" w:eastAsiaTheme="minorEastAsia" w:hAnsiTheme="minorHAnsi" w:cstheme="minorBidi"/>
          <w:szCs w:val="22"/>
        </w:rPr>
      </w:pPr>
      <w:r>
        <w:t>1.</w:t>
      </w:r>
      <w:r>
        <w:tab/>
        <w:t>Entry for trial</w:t>
      </w:r>
      <w:r>
        <w:tab/>
      </w:r>
      <w:r>
        <w:fldChar w:fldCharType="begin"/>
      </w:r>
      <w:r>
        <w:instrText xml:space="preserve"> PAGEREF _Toc75863101 \h </w:instrText>
      </w:r>
      <w:r>
        <w:fldChar w:fldCharType="separate"/>
      </w:r>
      <w:r w:rsidR="00FC1D84">
        <w:t>205</w:t>
      </w:r>
      <w:r>
        <w:fldChar w:fldCharType="end"/>
      </w:r>
    </w:p>
    <w:p w:rsidR="006169FD" w:rsidRDefault="006169FD">
      <w:pPr>
        <w:pStyle w:val="TOC8"/>
        <w:rPr>
          <w:rFonts w:asciiTheme="minorHAnsi" w:eastAsiaTheme="minorEastAsia" w:hAnsiTheme="minorHAnsi" w:cstheme="minorBidi"/>
          <w:szCs w:val="22"/>
        </w:rPr>
      </w:pPr>
      <w:r>
        <w:t>2</w:t>
      </w:r>
      <w:r w:rsidRPr="00AA3DF9">
        <w:rPr>
          <w:snapToGrid w:val="0"/>
        </w:rPr>
        <w:t>.</w:t>
      </w:r>
      <w:r w:rsidRPr="00AA3DF9">
        <w:rPr>
          <w:snapToGrid w:val="0"/>
        </w:rPr>
        <w:tab/>
        <w:t>Consequences of failing to enter for trial as directed</w:t>
      </w:r>
      <w:r>
        <w:tab/>
      </w:r>
      <w:r>
        <w:fldChar w:fldCharType="begin"/>
      </w:r>
      <w:r>
        <w:instrText xml:space="preserve"> PAGEREF _Toc75863102 \h </w:instrText>
      </w:r>
      <w:r>
        <w:fldChar w:fldCharType="separate"/>
      </w:r>
      <w:r w:rsidR="00FC1D84">
        <w:t>205</w:t>
      </w:r>
      <w:r>
        <w:fldChar w:fldCharType="end"/>
      </w:r>
    </w:p>
    <w:p w:rsidR="006169FD" w:rsidRDefault="006169FD">
      <w:pPr>
        <w:pStyle w:val="TOC8"/>
        <w:rPr>
          <w:rFonts w:asciiTheme="minorHAnsi" w:eastAsiaTheme="minorEastAsia" w:hAnsiTheme="minorHAnsi" w:cstheme="minorBidi"/>
          <w:szCs w:val="22"/>
        </w:rPr>
      </w:pPr>
      <w:r>
        <w:t>3</w:t>
      </w:r>
      <w:r w:rsidRPr="00AA3DF9">
        <w:rPr>
          <w:snapToGrid w:val="0"/>
        </w:rPr>
        <w:t>.</w:t>
      </w:r>
      <w:r w:rsidRPr="00AA3DF9">
        <w:rPr>
          <w:snapToGrid w:val="0"/>
        </w:rPr>
        <w:tab/>
        <w:t>Notice of entry</w:t>
      </w:r>
      <w:r>
        <w:tab/>
      </w:r>
      <w:r>
        <w:fldChar w:fldCharType="begin"/>
      </w:r>
      <w:r>
        <w:instrText xml:space="preserve"> PAGEREF _Toc75863103 \h </w:instrText>
      </w:r>
      <w:r>
        <w:fldChar w:fldCharType="separate"/>
      </w:r>
      <w:r w:rsidR="00FC1D84">
        <w:t>206</w:t>
      </w:r>
      <w:r>
        <w:fldChar w:fldCharType="end"/>
      </w:r>
    </w:p>
    <w:p w:rsidR="006169FD" w:rsidRDefault="006169FD">
      <w:pPr>
        <w:pStyle w:val="TOC8"/>
        <w:rPr>
          <w:rFonts w:asciiTheme="minorHAnsi" w:eastAsiaTheme="minorEastAsia" w:hAnsiTheme="minorHAnsi" w:cstheme="minorBidi"/>
          <w:szCs w:val="22"/>
        </w:rPr>
      </w:pPr>
      <w:r>
        <w:t>4</w:t>
      </w:r>
      <w:r w:rsidRPr="00AA3DF9">
        <w:rPr>
          <w:snapToGrid w:val="0"/>
        </w:rPr>
        <w:t>.</w:t>
      </w:r>
      <w:r w:rsidRPr="00AA3DF9">
        <w:rPr>
          <w:snapToGrid w:val="0"/>
        </w:rPr>
        <w:tab/>
        <w:t>Form of entry for trial</w:t>
      </w:r>
      <w:r>
        <w:tab/>
      </w:r>
      <w:r>
        <w:fldChar w:fldCharType="begin"/>
      </w:r>
      <w:r>
        <w:instrText xml:space="preserve"> PAGEREF _Toc75863104 \h </w:instrText>
      </w:r>
      <w:r>
        <w:fldChar w:fldCharType="separate"/>
      </w:r>
      <w:r w:rsidR="00FC1D84">
        <w:t>206</w:t>
      </w:r>
      <w:r>
        <w:fldChar w:fldCharType="end"/>
      </w:r>
    </w:p>
    <w:p w:rsidR="006169FD" w:rsidRDefault="006169FD">
      <w:pPr>
        <w:pStyle w:val="TOC8"/>
        <w:rPr>
          <w:rFonts w:asciiTheme="minorHAnsi" w:eastAsiaTheme="minorEastAsia" w:hAnsiTheme="minorHAnsi" w:cstheme="minorBidi"/>
          <w:szCs w:val="22"/>
        </w:rPr>
      </w:pPr>
      <w:r>
        <w:t>14</w:t>
      </w:r>
      <w:r w:rsidRPr="00AA3DF9">
        <w:rPr>
          <w:snapToGrid w:val="0"/>
        </w:rPr>
        <w:t>.</w:t>
      </w:r>
      <w:r w:rsidRPr="00AA3DF9">
        <w:rPr>
          <w:snapToGrid w:val="0"/>
        </w:rPr>
        <w:tab/>
        <w:t>Papers for judge</w:t>
      </w:r>
      <w:r>
        <w:tab/>
      </w:r>
      <w:r>
        <w:fldChar w:fldCharType="begin"/>
      </w:r>
      <w:r>
        <w:instrText xml:space="preserve"> PAGEREF _Toc75863105 \h </w:instrText>
      </w:r>
      <w:r>
        <w:fldChar w:fldCharType="separate"/>
      </w:r>
      <w:r w:rsidR="00FC1D84">
        <w:t>206</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34 — Proceedings at trial</w:t>
      </w:r>
    </w:p>
    <w:p w:rsidR="006169FD" w:rsidRDefault="006169FD">
      <w:pPr>
        <w:pStyle w:val="TOC8"/>
        <w:rPr>
          <w:rFonts w:asciiTheme="minorHAnsi" w:eastAsiaTheme="minorEastAsia" w:hAnsiTheme="minorHAnsi" w:cstheme="minorBidi"/>
          <w:szCs w:val="22"/>
        </w:rPr>
      </w:pPr>
      <w:r>
        <w:t>1A.</w:t>
      </w:r>
      <w:r>
        <w:tab/>
        <w:t>Outlines for trial</w:t>
      </w:r>
      <w:r>
        <w:tab/>
      </w:r>
      <w:r>
        <w:fldChar w:fldCharType="begin"/>
      </w:r>
      <w:r>
        <w:instrText xml:space="preserve"> PAGEREF _Toc75863107 \h </w:instrText>
      </w:r>
      <w:r>
        <w:fldChar w:fldCharType="separate"/>
      </w:r>
      <w:r w:rsidR="00FC1D84">
        <w:t>208</w:t>
      </w:r>
      <w:r>
        <w:fldChar w:fldCharType="end"/>
      </w:r>
    </w:p>
    <w:p w:rsidR="006169FD" w:rsidRDefault="006169FD">
      <w:pPr>
        <w:pStyle w:val="TOC8"/>
        <w:rPr>
          <w:rFonts w:asciiTheme="minorHAnsi" w:eastAsiaTheme="minorEastAsia" w:hAnsiTheme="minorHAnsi" w:cstheme="minorBidi"/>
          <w:szCs w:val="22"/>
        </w:rPr>
      </w:pPr>
      <w:r>
        <w:t>1</w:t>
      </w:r>
      <w:r w:rsidRPr="00AA3DF9">
        <w:rPr>
          <w:snapToGrid w:val="0"/>
        </w:rPr>
        <w:t>.</w:t>
      </w:r>
      <w:r w:rsidRPr="00AA3DF9">
        <w:rPr>
          <w:snapToGrid w:val="0"/>
        </w:rPr>
        <w:tab/>
        <w:t>Absence of both parties at trial</w:t>
      </w:r>
      <w:r>
        <w:tab/>
      </w:r>
      <w:r>
        <w:fldChar w:fldCharType="begin"/>
      </w:r>
      <w:r>
        <w:instrText xml:space="preserve"> PAGEREF _Toc75863108 \h </w:instrText>
      </w:r>
      <w:r>
        <w:fldChar w:fldCharType="separate"/>
      </w:r>
      <w:r w:rsidR="00FC1D84">
        <w:t>208</w:t>
      </w:r>
      <w:r>
        <w:fldChar w:fldCharType="end"/>
      </w:r>
    </w:p>
    <w:p w:rsidR="006169FD" w:rsidRDefault="006169FD">
      <w:pPr>
        <w:pStyle w:val="TOC8"/>
        <w:rPr>
          <w:rFonts w:asciiTheme="minorHAnsi" w:eastAsiaTheme="minorEastAsia" w:hAnsiTheme="minorHAnsi" w:cstheme="minorBidi"/>
          <w:szCs w:val="22"/>
        </w:rPr>
      </w:pPr>
      <w:r>
        <w:t>2</w:t>
      </w:r>
      <w:r w:rsidRPr="00AA3DF9">
        <w:rPr>
          <w:snapToGrid w:val="0"/>
        </w:rPr>
        <w:t>.</w:t>
      </w:r>
      <w:r w:rsidRPr="00AA3DF9">
        <w:rPr>
          <w:snapToGrid w:val="0"/>
        </w:rPr>
        <w:tab/>
        <w:t>Absence of one party at trial</w:t>
      </w:r>
      <w:r>
        <w:tab/>
      </w:r>
      <w:r>
        <w:fldChar w:fldCharType="begin"/>
      </w:r>
      <w:r>
        <w:instrText xml:space="preserve"> PAGEREF _Toc75863109 \h </w:instrText>
      </w:r>
      <w:r>
        <w:fldChar w:fldCharType="separate"/>
      </w:r>
      <w:r w:rsidR="00FC1D84">
        <w:t>208</w:t>
      </w:r>
      <w:r>
        <w:fldChar w:fldCharType="end"/>
      </w:r>
    </w:p>
    <w:p w:rsidR="006169FD" w:rsidRDefault="006169FD">
      <w:pPr>
        <w:pStyle w:val="TOC8"/>
        <w:rPr>
          <w:rFonts w:asciiTheme="minorHAnsi" w:eastAsiaTheme="minorEastAsia" w:hAnsiTheme="minorHAnsi" w:cstheme="minorBidi"/>
          <w:szCs w:val="22"/>
        </w:rPr>
      </w:pPr>
      <w:r>
        <w:t>3</w:t>
      </w:r>
      <w:r w:rsidRPr="00AA3DF9">
        <w:rPr>
          <w:snapToGrid w:val="0"/>
        </w:rPr>
        <w:t>.</w:t>
      </w:r>
      <w:r w:rsidRPr="00AA3DF9">
        <w:rPr>
          <w:snapToGrid w:val="0"/>
        </w:rPr>
        <w:tab/>
        <w:t>Setting aside judgment given in absence of party</w:t>
      </w:r>
      <w:r>
        <w:tab/>
      </w:r>
      <w:r>
        <w:fldChar w:fldCharType="begin"/>
      </w:r>
      <w:r>
        <w:instrText xml:space="preserve"> PAGEREF _Toc75863110 \h </w:instrText>
      </w:r>
      <w:r>
        <w:fldChar w:fldCharType="separate"/>
      </w:r>
      <w:r w:rsidR="00FC1D84">
        <w:t>208</w:t>
      </w:r>
      <w:r>
        <w:fldChar w:fldCharType="end"/>
      </w:r>
    </w:p>
    <w:p w:rsidR="006169FD" w:rsidRDefault="006169FD">
      <w:pPr>
        <w:pStyle w:val="TOC8"/>
        <w:rPr>
          <w:rFonts w:asciiTheme="minorHAnsi" w:eastAsiaTheme="minorEastAsia" w:hAnsiTheme="minorHAnsi" w:cstheme="minorBidi"/>
          <w:szCs w:val="22"/>
        </w:rPr>
      </w:pPr>
      <w:r>
        <w:t>4</w:t>
      </w:r>
      <w:r w:rsidRPr="00AA3DF9">
        <w:rPr>
          <w:snapToGrid w:val="0"/>
        </w:rPr>
        <w:t>.</w:t>
      </w:r>
      <w:r w:rsidRPr="00AA3DF9">
        <w:rPr>
          <w:snapToGrid w:val="0"/>
        </w:rPr>
        <w:tab/>
        <w:t>Adjournment of trial</w:t>
      </w:r>
      <w:r>
        <w:tab/>
      </w:r>
      <w:r>
        <w:fldChar w:fldCharType="begin"/>
      </w:r>
      <w:r>
        <w:instrText xml:space="preserve"> PAGEREF _Toc75863111 \h </w:instrText>
      </w:r>
      <w:r>
        <w:fldChar w:fldCharType="separate"/>
      </w:r>
      <w:r w:rsidR="00FC1D84">
        <w:t>209</w:t>
      </w:r>
      <w:r>
        <w:fldChar w:fldCharType="end"/>
      </w:r>
    </w:p>
    <w:p w:rsidR="006169FD" w:rsidRDefault="006169FD">
      <w:pPr>
        <w:pStyle w:val="TOC8"/>
        <w:rPr>
          <w:rFonts w:asciiTheme="minorHAnsi" w:eastAsiaTheme="minorEastAsia" w:hAnsiTheme="minorHAnsi" w:cstheme="minorBidi"/>
          <w:szCs w:val="22"/>
        </w:rPr>
      </w:pPr>
      <w:r>
        <w:t>5</w:t>
      </w:r>
      <w:r w:rsidRPr="00AA3DF9">
        <w:rPr>
          <w:snapToGrid w:val="0"/>
        </w:rPr>
        <w:t>.</w:t>
      </w:r>
      <w:r w:rsidRPr="00AA3DF9">
        <w:rPr>
          <w:snapToGrid w:val="0"/>
        </w:rPr>
        <w:tab/>
        <w:t>Conduct of trial</w:t>
      </w:r>
      <w:r>
        <w:tab/>
      </w:r>
      <w:r>
        <w:fldChar w:fldCharType="begin"/>
      </w:r>
      <w:r>
        <w:instrText xml:space="preserve"> PAGEREF _Toc75863112 \h </w:instrText>
      </w:r>
      <w:r>
        <w:fldChar w:fldCharType="separate"/>
      </w:r>
      <w:r w:rsidR="00FC1D84">
        <w:t>209</w:t>
      </w:r>
      <w:r>
        <w:fldChar w:fldCharType="end"/>
      </w:r>
    </w:p>
    <w:p w:rsidR="006169FD" w:rsidRDefault="006169FD">
      <w:pPr>
        <w:pStyle w:val="TOC8"/>
        <w:rPr>
          <w:rFonts w:asciiTheme="minorHAnsi" w:eastAsiaTheme="minorEastAsia" w:hAnsiTheme="minorHAnsi" w:cstheme="minorBidi"/>
          <w:szCs w:val="22"/>
        </w:rPr>
      </w:pPr>
      <w:r>
        <w:t>5A</w:t>
      </w:r>
      <w:r w:rsidRPr="00AA3DF9">
        <w:rPr>
          <w:snapToGrid w:val="0"/>
        </w:rPr>
        <w:t>.</w:t>
      </w:r>
      <w:r w:rsidRPr="00AA3DF9">
        <w:rPr>
          <w:snapToGrid w:val="0"/>
        </w:rPr>
        <w:tab/>
        <w:t>Time etc. limits at trial</w:t>
      </w:r>
      <w:r>
        <w:tab/>
      </w:r>
      <w:r>
        <w:fldChar w:fldCharType="begin"/>
      </w:r>
      <w:r>
        <w:instrText xml:space="preserve"> PAGEREF _Toc75863113 \h </w:instrText>
      </w:r>
      <w:r>
        <w:fldChar w:fldCharType="separate"/>
      </w:r>
      <w:r w:rsidR="00FC1D84">
        <w:t>210</w:t>
      </w:r>
      <w:r>
        <w:fldChar w:fldCharType="end"/>
      </w:r>
    </w:p>
    <w:p w:rsidR="006169FD" w:rsidRDefault="006169FD">
      <w:pPr>
        <w:pStyle w:val="TOC8"/>
        <w:rPr>
          <w:rFonts w:asciiTheme="minorHAnsi" w:eastAsiaTheme="minorEastAsia" w:hAnsiTheme="minorHAnsi" w:cstheme="minorBidi"/>
          <w:szCs w:val="22"/>
        </w:rPr>
      </w:pPr>
      <w:r>
        <w:t>6</w:t>
      </w:r>
      <w:r w:rsidRPr="00AA3DF9">
        <w:rPr>
          <w:snapToGrid w:val="0"/>
        </w:rPr>
        <w:t>.</w:t>
      </w:r>
      <w:r w:rsidRPr="00AA3DF9">
        <w:rPr>
          <w:snapToGrid w:val="0"/>
        </w:rPr>
        <w:tab/>
        <w:t>Evidence in mitigation of damages for defamation</w:t>
      </w:r>
      <w:r>
        <w:tab/>
      </w:r>
      <w:r>
        <w:fldChar w:fldCharType="begin"/>
      </w:r>
      <w:r>
        <w:instrText xml:space="preserve"> PAGEREF _Toc75863114 \h </w:instrText>
      </w:r>
      <w:r>
        <w:fldChar w:fldCharType="separate"/>
      </w:r>
      <w:r w:rsidR="00FC1D84">
        <w:t>210</w:t>
      </w:r>
      <w:r>
        <w:fldChar w:fldCharType="end"/>
      </w:r>
    </w:p>
    <w:p w:rsidR="006169FD" w:rsidRDefault="006169FD">
      <w:pPr>
        <w:pStyle w:val="TOC8"/>
        <w:rPr>
          <w:rFonts w:asciiTheme="minorHAnsi" w:eastAsiaTheme="minorEastAsia" w:hAnsiTheme="minorHAnsi" w:cstheme="minorBidi"/>
          <w:szCs w:val="22"/>
        </w:rPr>
      </w:pPr>
      <w:r>
        <w:t>7</w:t>
      </w:r>
      <w:r w:rsidRPr="00AA3DF9">
        <w:rPr>
          <w:snapToGrid w:val="0"/>
        </w:rPr>
        <w:t>.</w:t>
      </w:r>
      <w:r w:rsidRPr="00AA3DF9">
        <w:rPr>
          <w:snapToGrid w:val="0"/>
        </w:rPr>
        <w:tab/>
        <w:t>Inspection by judge or jury</w:t>
      </w:r>
      <w:r>
        <w:tab/>
      </w:r>
      <w:r>
        <w:fldChar w:fldCharType="begin"/>
      </w:r>
      <w:r>
        <w:instrText xml:space="preserve"> PAGEREF _Toc75863115 \h </w:instrText>
      </w:r>
      <w:r>
        <w:fldChar w:fldCharType="separate"/>
      </w:r>
      <w:r w:rsidR="00FC1D84">
        <w:t>211</w:t>
      </w:r>
      <w:r>
        <w:fldChar w:fldCharType="end"/>
      </w:r>
    </w:p>
    <w:p w:rsidR="006169FD" w:rsidRDefault="006169FD">
      <w:pPr>
        <w:pStyle w:val="TOC8"/>
        <w:rPr>
          <w:rFonts w:asciiTheme="minorHAnsi" w:eastAsiaTheme="minorEastAsia" w:hAnsiTheme="minorHAnsi" w:cstheme="minorBidi"/>
          <w:szCs w:val="22"/>
        </w:rPr>
      </w:pPr>
      <w:r>
        <w:t>8</w:t>
      </w:r>
      <w:r w:rsidRPr="00AA3DF9">
        <w:rPr>
          <w:snapToGrid w:val="0"/>
        </w:rPr>
        <w:t>.</w:t>
      </w:r>
      <w:r w:rsidRPr="00AA3DF9">
        <w:rPr>
          <w:snapToGrid w:val="0"/>
        </w:rPr>
        <w:tab/>
        <w:t>Judgment at or after trial</w:t>
      </w:r>
      <w:r>
        <w:tab/>
      </w:r>
      <w:r>
        <w:fldChar w:fldCharType="begin"/>
      </w:r>
      <w:r>
        <w:instrText xml:space="preserve"> PAGEREF _Toc75863116 \h </w:instrText>
      </w:r>
      <w:r>
        <w:fldChar w:fldCharType="separate"/>
      </w:r>
      <w:r w:rsidR="00FC1D84">
        <w:t>211</w:t>
      </w:r>
      <w:r>
        <w:fldChar w:fldCharType="end"/>
      </w:r>
    </w:p>
    <w:p w:rsidR="006169FD" w:rsidRDefault="006169FD">
      <w:pPr>
        <w:pStyle w:val="TOC8"/>
        <w:rPr>
          <w:rFonts w:asciiTheme="minorHAnsi" w:eastAsiaTheme="minorEastAsia" w:hAnsiTheme="minorHAnsi" w:cstheme="minorBidi"/>
          <w:szCs w:val="22"/>
        </w:rPr>
      </w:pPr>
      <w:r>
        <w:t>9</w:t>
      </w:r>
      <w:r w:rsidRPr="00AA3DF9">
        <w:rPr>
          <w:snapToGrid w:val="0"/>
        </w:rPr>
        <w:t>.</w:t>
      </w:r>
      <w:r w:rsidRPr="00AA3DF9">
        <w:rPr>
          <w:snapToGrid w:val="0"/>
        </w:rPr>
        <w:tab/>
        <w:t>Record of proceedings</w:t>
      </w:r>
      <w:r>
        <w:tab/>
      </w:r>
      <w:r>
        <w:fldChar w:fldCharType="begin"/>
      </w:r>
      <w:r>
        <w:instrText xml:space="preserve"> PAGEREF _Toc75863117 \h </w:instrText>
      </w:r>
      <w:r>
        <w:fldChar w:fldCharType="separate"/>
      </w:r>
      <w:r w:rsidR="00FC1D84">
        <w:t>211</w:t>
      </w:r>
      <w:r>
        <w:fldChar w:fldCharType="end"/>
      </w:r>
    </w:p>
    <w:p w:rsidR="006169FD" w:rsidRDefault="006169FD">
      <w:pPr>
        <w:pStyle w:val="TOC8"/>
        <w:rPr>
          <w:rFonts w:asciiTheme="minorHAnsi" w:eastAsiaTheme="minorEastAsia" w:hAnsiTheme="minorHAnsi" w:cstheme="minorBidi"/>
          <w:szCs w:val="22"/>
        </w:rPr>
      </w:pPr>
      <w:r>
        <w:t>10</w:t>
      </w:r>
      <w:r w:rsidRPr="00AA3DF9">
        <w:rPr>
          <w:snapToGrid w:val="0"/>
        </w:rPr>
        <w:t>.</w:t>
      </w:r>
      <w:r w:rsidRPr="00AA3DF9">
        <w:rPr>
          <w:snapToGrid w:val="0"/>
        </w:rPr>
        <w:tab/>
        <w:t>Where time occupied by trial excessive</w:t>
      </w:r>
      <w:r>
        <w:tab/>
      </w:r>
      <w:r>
        <w:fldChar w:fldCharType="begin"/>
      </w:r>
      <w:r>
        <w:instrText xml:space="preserve"> PAGEREF _Toc75863118 \h </w:instrText>
      </w:r>
      <w:r>
        <w:fldChar w:fldCharType="separate"/>
      </w:r>
      <w:r w:rsidR="00FC1D84">
        <w:t>212</w:t>
      </w:r>
      <w:r>
        <w:fldChar w:fldCharType="end"/>
      </w:r>
    </w:p>
    <w:p w:rsidR="006169FD" w:rsidRDefault="006169FD">
      <w:pPr>
        <w:pStyle w:val="TOC8"/>
        <w:rPr>
          <w:rFonts w:asciiTheme="minorHAnsi" w:eastAsiaTheme="minorEastAsia" w:hAnsiTheme="minorHAnsi" w:cstheme="minorBidi"/>
          <w:szCs w:val="22"/>
        </w:rPr>
      </w:pPr>
      <w:r>
        <w:t>11</w:t>
      </w:r>
      <w:r w:rsidRPr="00AA3DF9">
        <w:rPr>
          <w:snapToGrid w:val="0"/>
        </w:rPr>
        <w:t>.</w:t>
      </w:r>
      <w:r w:rsidRPr="00AA3DF9">
        <w:rPr>
          <w:snapToGrid w:val="0"/>
        </w:rPr>
        <w:tab/>
        <w:t>Entry of findings of fact on trial</w:t>
      </w:r>
      <w:r>
        <w:tab/>
      </w:r>
      <w:r>
        <w:fldChar w:fldCharType="begin"/>
      </w:r>
      <w:r>
        <w:instrText xml:space="preserve"> PAGEREF _Toc75863119 \h </w:instrText>
      </w:r>
      <w:r>
        <w:fldChar w:fldCharType="separate"/>
      </w:r>
      <w:r w:rsidR="00FC1D84">
        <w:t>212</w:t>
      </w:r>
      <w:r>
        <w:fldChar w:fldCharType="end"/>
      </w:r>
    </w:p>
    <w:p w:rsidR="006169FD" w:rsidRDefault="006169FD">
      <w:pPr>
        <w:pStyle w:val="TOC8"/>
        <w:rPr>
          <w:rFonts w:asciiTheme="minorHAnsi" w:eastAsiaTheme="minorEastAsia" w:hAnsiTheme="minorHAnsi" w:cstheme="minorBidi"/>
          <w:szCs w:val="22"/>
        </w:rPr>
      </w:pPr>
      <w:r>
        <w:t>12</w:t>
      </w:r>
      <w:r w:rsidRPr="00AA3DF9">
        <w:rPr>
          <w:snapToGrid w:val="0"/>
        </w:rPr>
        <w:t>.</w:t>
      </w:r>
      <w:r w:rsidRPr="00AA3DF9">
        <w:rPr>
          <w:snapToGrid w:val="0"/>
        </w:rPr>
        <w:tab/>
        <w:t>Certificate for entry of judgment</w:t>
      </w:r>
      <w:r>
        <w:tab/>
      </w:r>
      <w:r>
        <w:fldChar w:fldCharType="begin"/>
      </w:r>
      <w:r>
        <w:instrText xml:space="preserve"> PAGEREF _Toc75863120 \h </w:instrText>
      </w:r>
      <w:r>
        <w:fldChar w:fldCharType="separate"/>
      </w:r>
      <w:r w:rsidR="00FC1D84">
        <w:t>212</w:t>
      </w:r>
      <w:r>
        <w:fldChar w:fldCharType="end"/>
      </w:r>
    </w:p>
    <w:p w:rsidR="006169FD" w:rsidRDefault="006169FD">
      <w:pPr>
        <w:pStyle w:val="TOC8"/>
        <w:rPr>
          <w:rFonts w:asciiTheme="minorHAnsi" w:eastAsiaTheme="minorEastAsia" w:hAnsiTheme="minorHAnsi" w:cstheme="minorBidi"/>
          <w:szCs w:val="22"/>
        </w:rPr>
      </w:pPr>
      <w:r>
        <w:t>13</w:t>
      </w:r>
      <w:r w:rsidRPr="00AA3DF9">
        <w:rPr>
          <w:snapToGrid w:val="0"/>
        </w:rPr>
        <w:t>.</w:t>
      </w:r>
      <w:r w:rsidRPr="00AA3DF9">
        <w:rPr>
          <w:snapToGrid w:val="0"/>
        </w:rPr>
        <w:tab/>
        <w:t>Exhibits</w:t>
      </w:r>
      <w:r>
        <w:tab/>
      </w:r>
      <w:r>
        <w:fldChar w:fldCharType="begin"/>
      </w:r>
      <w:r>
        <w:instrText xml:space="preserve"> PAGEREF _Toc75863121 \h </w:instrText>
      </w:r>
      <w:r>
        <w:fldChar w:fldCharType="separate"/>
      </w:r>
      <w:r w:rsidR="00FC1D84">
        <w:t>212</w:t>
      </w:r>
      <w:r>
        <w:fldChar w:fldCharType="end"/>
      </w:r>
    </w:p>
    <w:p w:rsidR="006169FD" w:rsidRDefault="006169FD">
      <w:pPr>
        <w:pStyle w:val="TOC8"/>
        <w:rPr>
          <w:rFonts w:asciiTheme="minorHAnsi" w:eastAsiaTheme="minorEastAsia" w:hAnsiTheme="minorHAnsi" w:cstheme="minorBidi"/>
          <w:szCs w:val="22"/>
        </w:rPr>
      </w:pPr>
      <w:r>
        <w:t>14.</w:t>
      </w:r>
      <w:r>
        <w:tab/>
        <w:t>Return of exhibits</w:t>
      </w:r>
      <w:r>
        <w:tab/>
      </w:r>
      <w:r>
        <w:fldChar w:fldCharType="begin"/>
      </w:r>
      <w:r>
        <w:instrText xml:space="preserve"> PAGEREF _Toc75863122 \h </w:instrText>
      </w:r>
      <w:r>
        <w:fldChar w:fldCharType="separate"/>
      </w:r>
      <w:r w:rsidR="00FC1D84">
        <w:t>213</w:t>
      </w:r>
      <w:r>
        <w:fldChar w:fldCharType="end"/>
      </w:r>
    </w:p>
    <w:p w:rsidR="006169FD" w:rsidRDefault="006169FD">
      <w:pPr>
        <w:pStyle w:val="TOC8"/>
        <w:rPr>
          <w:rFonts w:asciiTheme="minorHAnsi" w:eastAsiaTheme="minorEastAsia" w:hAnsiTheme="minorHAnsi" w:cstheme="minorBidi"/>
          <w:szCs w:val="22"/>
        </w:rPr>
      </w:pPr>
      <w:r>
        <w:t>15A</w:t>
      </w:r>
      <w:r w:rsidRPr="00AA3DF9">
        <w:rPr>
          <w:snapToGrid w:val="0"/>
        </w:rPr>
        <w:t>.</w:t>
      </w:r>
      <w:r w:rsidRPr="00AA3DF9">
        <w:rPr>
          <w:snapToGrid w:val="0"/>
        </w:rPr>
        <w:tab/>
        <w:t>Return of document etc. to non-party who produced it under subpoena</w:t>
      </w:r>
      <w:r>
        <w:tab/>
      </w:r>
      <w:r>
        <w:fldChar w:fldCharType="begin"/>
      </w:r>
      <w:r>
        <w:instrText xml:space="preserve"> PAGEREF _Toc75863123 \h </w:instrText>
      </w:r>
      <w:r>
        <w:fldChar w:fldCharType="separate"/>
      </w:r>
      <w:r w:rsidR="00FC1D84">
        <w:t>214</w:t>
      </w:r>
      <w:r>
        <w:fldChar w:fldCharType="end"/>
      </w:r>
    </w:p>
    <w:p w:rsidR="006169FD" w:rsidRDefault="006169FD">
      <w:pPr>
        <w:pStyle w:val="TOC8"/>
        <w:rPr>
          <w:rFonts w:asciiTheme="minorHAnsi" w:eastAsiaTheme="minorEastAsia" w:hAnsiTheme="minorHAnsi" w:cstheme="minorBidi"/>
          <w:szCs w:val="22"/>
        </w:rPr>
      </w:pPr>
      <w:r>
        <w:t>16</w:t>
      </w:r>
      <w:r w:rsidRPr="00AA3DF9">
        <w:rPr>
          <w:snapToGrid w:val="0"/>
        </w:rPr>
        <w:t>.</w:t>
      </w:r>
      <w:r w:rsidRPr="00AA3DF9">
        <w:rPr>
          <w:snapToGrid w:val="0"/>
        </w:rPr>
        <w:tab/>
        <w:t>Death of party before judgment is given</w:t>
      </w:r>
      <w:r>
        <w:tab/>
      </w:r>
      <w:r>
        <w:fldChar w:fldCharType="begin"/>
      </w:r>
      <w:r>
        <w:instrText xml:space="preserve"> PAGEREF _Toc75863124 \h </w:instrText>
      </w:r>
      <w:r>
        <w:fldChar w:fldCharType="separate"/>
      </w:r>
      <w:r w:rsidR="00FC1D84">
        <w:t>214</w:t>
      </w:r>
      <w:r>
        <w:fldChar w:fldCharType="end"/>
      </w:r>
    </w:p>
    <w:p w:rsidR="006169FD" w:rsidRDefault="006169FD">
      <w:pPr>
        <w:pStyle w:val="TOC8"/>
        <w:rPr>
          <w:rFonts w:asciiTheme="minorHAnsi" w:eastAsiaTheme="minorEastAsia" w:hAnsiTheme="minorHAnsi" w:cstheme="minorBidi"/>
          <w:szCs w:val="22"/>
        </w:rPr>
      </w:pPr>
      <w:r>
        <w:t>17</w:t>
      </w:r>
      <w:r w:rsidRPr="00AA3DF9">
        <w:rPr>
          <w:snapToGrid w:val="0"/>
        </w:rPr>
        <w:t>.</w:t>
      </w:r>
      <w:r w:rsidRPr="00AA3DF9">
        <w:rPr>
          <w:snapToGrid w:val="0"/>
        </w:rPr>
        <w:tab/>
        <w:t>Impounded documents</w:t>
      </w:r>
      <w:r>
        <w:tab/>
      </w:r>
      <w:r>
        <w:fldChar w:fldCharType="begin"/>
      </w:r>
      <w:r>
        <w:instrText xml:space="preserve"> PAGEREF _Toc75863125 \h </w:instrText>
      </w:r>
      <w:r>
        <w:fldChar w:fldCharType="separate"/>
      </w:r>
      <w:r w:rsidR="00FC1D84">
        <w:t>215</w:t>
      </w:r>
      <w:r>
        <w:fldChar w:fldCharType="end"/>
      </w:r>
    </w:p>
    <w:p w:rsidR="006169FD" w:rsidRDefault="006169FD">
      <w:pPr>
        <w:pStyle w:val="TOC8"/>
        <w:rPr>
          <w:rFonts w:asciiTheme="minorHAnsi" w:eastAsiaTheme="minorEastAsia" w:hAnsiTheme="minorHAnsi" w:cstheme="minorBidi"/>
          <w:szCs w:val="22"/>
        </w:rPr>
      </w:pPr>
      <w:r>
        <w:t>18</w:t>
      </w:r>
      <w:r w:rsidRPr="00AA3DF9">
        <w:rPr>
          <w:snapToGrid w:val="0"/>
        </w:rPr>
        <w:t>.</w:t>
      </w:r>
      <w:r w:rsidRPr="00AA3DF9">
        <w:rPr>
          <w:snapToGrid w:val="0"/>
        </w:rPr>
        <w:tab/>
        <w:t>Assessment of damages by master</w:t>
      </w:r>
      <w:r>
        <w:tab/>
      </w:r>
      <w:r>
        <w:fldChar w:fldCharType="begin"/>
      </w:r>
      <w:r>
        <w:instrText xml:space="preserve"> PAGEREF _Toc75863126 \h </w:instrText>
      </w:r>
      <w:r>
        <w:fldChar w:fldCharType="separate"/>
      </w:r>
      <w:r w:rsidR="00FC1D84">
        <w:t>215</w:t>
      </w:r>
      <w:r>
        <w:fldChar w:fldCharType="end"/>
      </w:r>
    </w:p>
    <w:p w:rsidR="006169FD" w:rsidRDefault="006169FD">
      <w:pPr>
        <w:pStyle w:val="TOC8"/>
        <w:rPr>
          <w:rFonts w:asciiTheme="minorHAnsi" w:eastAsiaTheme="minorEastAsia" w:hAnsiTheme="minorHAnsi" w:cstheme="minorBidi"/>
          <w:szCs w:val="22"/>
        </w:rPr>
      </w:pPr>
      <w:r>
        <w:t>19</w:t>
      </w:r>
      <w:r w:rsidRPr="00AA3DF9">
        <w:rPr>
          <w:snapToGrid w:val="0"/>
        </w:rPr>
        <w:t>.</w:t>
      </w:r>
      <w:r w:rsidRPr="00AA3DF9">
        <w:rPr>
          <w:snapToGrid w:val="0"/>
        </w:rPr>
        <w:tab/>
        <w:t>Damages to time of assessment</w:t>
      </w:r>
      <w:r>
        <w:tab/>
      </w:r>
      <w:r>
        <w:fldChar w:fldCharType="begin"/>
      </w:r>
      <w:r>
        <w:instrText xml:space="preserve"> PAGEREF _Toc75863127 \h </w:instrText>
      </w:r>
      <w:r>
        <w:fldChar w:fldCharType="separate"/>
      </w:r>
      <w:r w:rsidR="00FC1D84">
        <w:t>215</w:t>
      </w:r>
      <w:r>
        <w:fldChar w:fldCharType="end"/>
      </w:r>
    </w:p>
    <w:p w:rsidR="006169FD" w:rsidRDefault="006169FD">
      <w:pPr>
        <w:pStyle w:val="TOC8"/>
        <w:rPr>
          <w:rFonts w:asciiTheme="minorHAnsi" w:eastAsiaTheme="minorEastAsia" w:hAnsiTheme="minorHAnsi" w:cstheme="minorBidi"/>
          <w:szCs w:val="22"/>
        </w:rPr>
      </w:pPr>
      <w:r>
        <w:t>20</w:t>
      </w:r>
      <w:r w:rsidRPr="00AA3DF9">
        <w:rPr>
          <w:snapToGrid w:val="0"/>
        </w:rPr>
        <w:t>.</w:t>
      </w:r>
      <w:r w:rsidRPr="00AA3DF9">
        <w:rPr>
          <w:snapToGrid w:val="0"/>
        </w:rPr>
        <w:tab/>
        <w:t>Writ of inquiry not to be used</w:t>
      </w:r>
      <w:r>
        <w:tab/>
      </w:r>
      <w:r>
        <w:fldChar w:fldCharType="begin"/>
      </w:r>
      <w:r>
        <w:instrText xml:space="preserve"> PAGEREF _Toc75863128 \h </w:instrText>
      </w:r>
      <w:r>
        <w:fldChar w:fldCharType="separate"/>
      </w:r>
      <w:r w:rsidR="00FC1D84">
        <w:t>216</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lastRenderedPageBreak/>
        <w:t>Order 35 — Assessors and referees</w:t>
      </w:r>
    </w:p>
    <w:p w:rsidR="006169FD" w:rsidRDefault="006169FD">
      <w:pPr>
        <w:pStyle w:val="TOC8"/>
        <w:rPr>
          <w:rFonts w:asciiTheme="minorHAnsi" w:eastAsiaTheme="minorEastAsia" w:hAnsiTheme="minorHAnsi" w:cstheme="minorBidi"/>
          <w:szCs w:val="22"/>
        </w:rPr>
      </w:pPr>
      <w:r>
        <w:t>1</w:t>
      </w:r>
      <w:r w:rsidRPr="00AA3DF9">
        <w:rPr>
          <w:snapToGrid w:val="0"/>
        </w:rPr>
        <w:t>.</w:t>
      </w:r>
      <w:r w:rsidRPr="00AA3DF9">
        <w:rPr>
          <w:snapToGrid w:val="0"/>
        </w:rPr>
        <w:tab/>
        <w:t>Trial with assessors</w:t>
      </w:r>
      <w:r>
        <w:tab/>
      </w:r>
      <w:r>
        <w:fldChar w:fldCharType="begin"/>
      </w:r>
      <w:r>
        <w:instrText xml:space="preserve"> PAGEREF _Toc75863130 \h </w:instrText>
      </w:r>
      <w:r>
        <w:fldChar w:fldCharType="separate"/>
      </w:r>
      <w:r w:rsidR="00FC1D84">
        <w:t>217</w:t>
      </w:r>
      <w:r>
        <w:fldChar w:fldCharType="end"/>
      </w:r>
    </w:p>
    <w:p w:rsidR="006169FD" w:rsidRDefault="006169FD">
      <w:pPr>
        <w:pStyle w:val="TOC8"/>
        <w:rPr>
          <w:rFonts w:asciiTheme="minorHAnsi" w:eastAsiaTheme="minorEastAsia" w:hAnsiTheme="minorHAnsi" w:cstheme="minorBidi"/>
          <w:szCs w:val="22"/>
        </w:rPr>
      </w:pPr>
      <w:r>
        <w:t>2</w:t>
      </w:r>
      <w:r w:rsidRPr="00AA3DF9">
        <w:rPr>
          <w:snapToGrid w:val="0"/>
        </w:rPr>
        <w:t>.</w:t>
      </w:r>
      <w:r w:rsidRPr="00AA3DF9">
        <w:rPr>
          <w:snapToGrid w:val="0"/>
        </w:rPr>
        <w:tab/>
        <w:t>Trial before referee</w:t>
      </w:r>
      <w:r>
        <w:tab/>
      </w:r>
      <w:r>
        <w:fldChar w:fldCharType="begin"/>
      </w:r>
      <w:r>
        <w:instrText xml:space="preserve"> PAGEREF _Toc75863131 \h </w:instrText>
      </w:r>
      <w:r>
        <w:fldChar w:fldCharType="separate"/>
      </w:r>
      <w:r w:rsidR="00FC1D84">
        <w:t>217</w:t>
      </w:r>
      <w:r>
        <w:fldChar w:fldCharType="end"/>
      </w:r>
    </w:p>
    <w:p w:rsidR="006169FD" w:rsidRDefault="006169FD">
      <w:pPr>
        <w:pStyle w:val="TOC8"/>
        <w:rPr>
          <w:rFonts w:asciiTheme="minorHAnsi" w:eastAsiaTheme="minorEastAsia" w:hAnsiTheme="minorHAnsi" w:cstheme="minorBidi"/>
          <w:szCs w:val="22"/>
        </w:rPr>
      </w:pPr>
      <w:r>
        <w:t>3</w:t>
      </w:r>
      <w:r w:rsidRPr="00AA3DF9">
        <w:rPr>
          <w:snapToGrid w:val="0"/>
        </w:rPr>
        <w:t>.</w:t>
      </w:r>
      <w:r w:rsidRPr="00AA3DF9">
        <w:rPr>
          <w:snapToGrid w:val="0"/>
        </w:rPr>
        <w:tab/>
        <w:t>Evidence before referee</w:t>
      </w:r>
      <w:r>
        <w:tab/>
      </w:r>
      <w:r>
        <w:fldChar w:fldCharType="begin"/>
      </w:r>
      <w:r>
        <w:instrText xml:space="preserve"> PAGEREF _Toc75863132 \h </w:instrText>
      </w:r>
      <w:r>
        <w:fldChar w:fldCharType="separate"/>
      </w:r>
      <w:r w:rsidR="00FC1D84">
        <w:t>217</w:t>
      </w:r>
      <w:r>
        <w:fldChar w:fldCharType="end"/>
      </w:r>
    </w:p>
    <w:p w:rsidR="006169FD" w:rsidRDefault="006169FD">
      <w:pPr>
        <w:pStyle w:val="TOC8"/>
        <w:rPr>
          <w:rFonts w:asciiTheme="minorHAnsi" w:eastAsiaTheme="minorEastAsia" w:hAnsiTheme="minorHAnsi" w:cstheme="minorBidi"/>
          <w:szCs w:val="22"/>
        </w:rPr>
      </w:pPr>
      <w:r>
        <w:t>4</w:t>
      </w:r>
      <w:r w:rsidRPr="00AA3DF9">
        <w:rPr>
          <w:snapToGrid w:val="0"/>
        </w:rPr>
        <w:t>.</w:t>
      </w:r>
      <w:r w:rsidRPr="00AA3DF9">
        <w:rPr>
          <w:snapToGrid w:val="0"/>
        </w:rPr>
        <w:tab/>
        <w:t>Authority of referee</w:t>
      </w:r>
      <w:r>
        <w:tab/>
      </w:r>
      <w:r>
        <w:fldChar w:fldCharType="begin"/>
      </w:r>
      <w:r>
        <w:instrText xml:space="preserve"> PAGEREF _Toc75863133 \h </w:instrText>
      </w:r>
      <w:r>
        <w:fldChar w:fldCharType="separate"/>
      </w:r>
      <w:r w:rsidR="00FC1D84">
        <w:t>217</w:t>
      </w:r>
      <w:r>
        <w:fldChar w:fldCharType="end"/>
      </w:r>
    </w:p>
    <w:p w:rsidR="006169FD" w:rsidRDefault="006169FD">
      <w:pPr>
        <w:pStyle w:val="TOC8"/>
        <w:rPr>
          <w:rFonts w:asciiTheme="minorHAnsi" w:eastAsiaTheme="minorEastAsia" w:hAnsiTheme="minorHAnsi" w:cstheme="minorBidi"/>
          <w:szCs w:val="22"/>
        </w:rPr>
      </w:pPr>
      <w:r>
        <w:t>5</w:t>
      </w:r>
      <w:r w:rsidRPr="00AA3DF9">
        <w:rPr>
          <w:snapToGrid w:val="0"/>
        </w:rPr>
        <w:t>.</w:t>
      </w:r>
      <w:r w:rsidRPr="00AA3DF9">
        <w:rPr>
          <w:snapToGrid w:val="0"/>
        </w:rPr>
        <w:tab/>
        <w:t>Referee cannot order imprisonment</w:t>
      </w:r>
      <w:r>
        <w:tab/>
      </w:r>
      <w:r>
        <w:fldChar w:fldCharType="begin"/>
      </w:r>
      <w:r>
        <w:instrText xml:space="preserve"> PAGEREF _Toc75863134 \h </w:instrText>
      </w:r>
      <w:r>
        <w:fldChar w:fldCharType="separate"/>
      </w:r>
      <w:r w:rsidR="00FC1D84">
        <w:t>217</w:t>
      </w:r>
      <w:r>
        <w:fldChar w:fldCharType="end"/>
      </w:r>
    </w:p>
    <w:p w:rsidR="006169FD" w:rsidRDefault="006169FD">
      <w:pPr>
        <w:pStyle w:val="TOC8"/>
        <w:rPr>
          <w:rFonts w:asciiTheme="minorHAnsi" w:eastAsiaTheme="minorEastAsia" w:hAnsiTheme="minorHAnsi" w:cstheme="minorBidi"/>
          <w:szCs w:val="22"/>
        </w:rPr>
      </w:pPr>
      <w:r>
        <w:t>6</w:t>
      </w:r>
      <w:r w:rsidRPr="00AA3DF9">
        <w:rPr>
          <w:snapToGrid w:val="0"/>
        </w:rPr>
        <w:t>.</w:t>
      </w:r>
      <w:r w:rsidRPr="00AA3DF9">
        <w:rPr>
          <w:snapToGrid w:val="0"/>
        </w:rPr>
        <w:tab/>
        <w:t>Referee may submit question to Court</w:t>
      </w:r>
      <w:r>
        <w:tab/>
      </w:r>
      <w:r>
        <w:fldChar w:fldCharType="begin"/>
      </w:r>
      <w:r>
        <w:instrText xml:space="preserve"> PAGEREF _Toc75863135 \h </w:instrText>
      </w:r>
      <w:r>
        <w:fldChar w:fldCharType="separate"/>
      </w:r>
      <w:r w:rsidR="00FC1D84">
        <w:t>218</w:t>
      </w:r>
      <w:r>
        <w:fldChar w:fldCharType="end"/>
      </w:r>
    </w:p>
    <w:p w:rsidR="006169FD" w:rsidRDefault="006169FD">
      <w:pPr>
        <w:pStyle w:val="TOC8"/>
        <w:rPr>
          <w:rFonts w:asciiTheme="minorHAnsi" w:eastAsiaTheme="minorEastAsia" w:hAnsiTheme="minorHAnsi" w:cstheme="minorBidi"/>
          <w:szCs w:val="22"/>
        </w:rPr>
      </w:pPr>
      <w:r>
        <w:t>7</w:t>
      </w:r>
      <w:r w:rsidRPr="00AA3DF9">
        <w:rPr>
          <w:snapToGrid w:val="0"/>
        </w:rPr>
        <w:t>.</w:t>
      </w:r>
      <w:r w:rsidRPr="00AA3DF9">
        <w:rPr>
          <w:snapToGrid w:val="0"/>
        </w:rPr>
        <w:tab/>
        <w:t>Notice of referee’s report</w:t>
      </w:r>
      <w:r>
        <w:tab/>
      </w:r>
      <w:r>
        <w:fldChar w:fldCharType="begin"/>
      </w:r>
      <w:r>
        <w:instrText xml:space="preserve"> PAGEREF _Toc75863136 \h </w:instrText>
      </w:r>
      <w:r>
        <w:fldChar w:fldCharType="separate"/>
      </w:r>
      <w:r w:rsidR="00FC1D84">
        <w:t>218</w:t>
      </w:r>
      <w:r>
        <w:fldChar w:fldCharType="end"/>
      </w:r>
    </w:p>
    <w:p w:rsidR="006169FD" w:rsidRDefault="006169FD">
      <w:pPr>
        <w:pStyle w:val="TOC8"/>
        <w:rPr>
          <w:rFonts w:asciiTheme="minorHAnsi" w:eastAsiaTheme="minorEastAsia" w:hAnsiTheme="minorHAnsi" w:cstheme="minorBidi"/>
          <w:szCs w:val="22"/>
        </w:rPr>
      </w:pPr>
      <w:r>
        <w:t>8</w:t>
      </w:r>
      <w:r w:rsidRPr="00AA3DF9">
        <w:rPr>
          <w:snapToGrid w:val="0"/>
        </w:rPr>
        <w:t>.</w:t>
      </w:r>
      <w:r w:rsidRPr="00AA3DF9">
        <w:rPr>
          <w:snapToGrid w:val="0"/>
        </w:rPr>
        <w:tab/>
        <w:t>Adoption etc. of referee’s report in adjourned case</w:t>
      </w:r>
      <w:r>
        <w:tab/>
      </w:r>
      <w:r>
        <w:fldChar w:fldCharType="begin"/>
      </w:r>
      <w:r>
        <w:instrText xml:space="preserve"> PAGEREF _Toc75863137 \h </w:instrText>
      </w:r>
      <w:r>
        <w:fldChar w:fldCharType="separate"/>
      </w:r>
      <w:r w:rsidR="00FC1D84">
        <w:t>218</w:t>
      </w:r>
      <w:r>
        <w:fldChar w:fldCharType="end"/>
      </w:r>
    </w:p>
    <w:p w:rsidR="006169FD" w:rsidRDefault="006169FD">
      <w:pPr>
        <w:pStyle w:val="TOC8"/>
        <w:rPr>
          <w:rFonts w:asciiTheme="minorHAnsi" w:eastAsiaTheme="minorEastAsia" w:hAnsiTheme="minorHAnsi" w:cstheme="minorBidi"/>
          <w:szCs w:val="22"/>
        </w:rPr>
      </w:pPr>
      <w:r>
        <w:t>9</w:t>
      </w:r>
      <w:r w:rsidRPr="00AA3DF9">
        <w:rPr>
          <w:snapToGrid w:val="0"/>
        </w:rPr>
        <w:t>.</w:t>
      </w:r>
      <w:r w:rsidRPr="00AA3DF9">
        <w:rPr>
          <w:snapToGrid w:val="0"/>
        </w:rPr>
        <w:tab/>
        <w:t>Adoption etc. of referee’s report where case not adjourned</w:t>
      </w:r>
      <w:r>
        <w:tab/>
      </w:r>
      <w:r>
        <w:fldChar w:fldCharType="begin"/>
      </w:r>
      <w:r>
        <w:instrText xml:space="preserve"> PAGEREF _Toc75863138 \h </w:instrText>
      </w:r>
      <w:r>
        <w:fldChar w:fldCharType="separate"/>
      </w:r>
      <w:r w:rsidR="00FC1D84">
        <w:t>218</w:t>
      </w:r>
      <w:r>
        <w:fldChar w:fldCharType="end"/>
      </w:r>
    </w:p>
    <w:p w:rsidR="006169FD" w:rsidRDefault="006169FD">
      <w:pPr>
        <w:pStyle w:val="TOC8"/>
        <w:rPr>
          <w:rFonts w:asciiTheme="minorHAnsi" w:eastAsiaTheme="minorEastAsia" w:hAnsiTheme="minorHAnsi" w:cstheme="minorBidi"/>
          <w:szCs w:val="22"/>
        </w:rPr>
      </w:pPr>
      <w:r>
        <w:t>10</w:t>
      </w:r>
      <w:r w:rsidRPr="00AA3DF9">
        <w:rPr>
          <w:snapToGrid w:val="0"/>
        </w:rPr>
        <w:t>.</w:t>
      </w:r>
      <w:r w:rsidRPr="00AA3DF9">
        <w:rPr>
          <w:snapToGrid w:val="0"/>
        </w:rPr>
        <w:tab/>
        <w:t>Costs</w:t>
      </w:r>
      <w:r>
        <w:tab/>
      </w:r>
      <w:r>
        <w:fldChar w:fldCharType="begin"/>
      </w:r>
      <w:r>
        <w:instrText xml:space="preserve"> PAGEREF _Toc75863139 \h </w:instrText>
      </w:r>
      <w:r>
        <w:fldChar w:fldCharType="separate"/>
      </w:r>
      <w:r w:rsidR="00FC1D84">
        <w:t>219</w:t>
      </w:r>
      <w:r>
        <w:fldChar w:fldCharType="end"/>
      </w:r>
    </w:p>
    <w:p w:rsidR="006169FD" w:rsidRDefault="006169FD">
      <w:pPr>
        <w:pStyle w:val="TOC8"/>
        <w:rPr>
          <w:rFonts w:asciiTheme="minorHAnsi" w:eastAsiaTheme="minorEastAsia" w:hAnsiTheme="minorHAnsi" w:cstheme="minorBidi"/>
          <w:szCs w:val="22"/>
        </w:rPr>
      </w:pPr>
      <w:r>
        <w:t>11</w:t>
      </w:r>
      <w:r w:rsidRPr="00AA3DF9">
        <w:rPr>
          <w:snapToGrid w:val="0"/>
        </w:rPr>
        <w:t>.</w:t>
      </w:r>
      <w:r w:rsidRPr="00AA3DF9">
        <w:rPr>
          <w:snapToGrid w:val="0"/>
        </w:rPr>
        <w:tab/>
        <w:t>Application of this Order to other references</w:t>
      </w:r>
      <w:r>
        <w:tab/>
      </w:r>
      <w:r>
        <w:fldChar w:fldCharType="begin"/>
      </w:r>
      <w:r>
        <w:instrText xml:space="preserve"> PAGEREF _Toc75863140 \h </w:instrText>
      </w:r>
      <w:r>
        <w:fldChar w:fldCharType="separate"/>
      </w:r>
      <w:r w:rsidR="00FC1D84">
        <w:t>219</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36 — Evidence: general</w:t>
      </w:r>
    </w:p>
    <w:p w:rsidR="006169FD" w:rsidRDefault="006169FD">
      <w:pPr>
        <w:pStyle w:val="TOC8"/>
        <w:rPr>
          <w:rFonts w:asciiTheme="minorHAnsi" w:eastAsiaTheme="minorEastAsia" w:hAnsiTheme="minorHAnsi" w:cstheme="minorBidi"/>
          <w:szCs w:val="22"/>
        </w:rPr>
      </w:pPr>
      <w:r>
        <w:t>1</w:t>
      </w:r>
      <w:r w:rsidRPr="00AA3DF9">
        <w:rPr>
          <w:snapToGrid w:val="0"/>
        </w:rPr>
        <w:t>.</w:t>
      </w:r>
      <w:r w:rsidRPr="00AA3DF9">
        <w:rPr>
          <w:snapToGrid w:val="0"/>
        </w:rPr>
        <w:tab/>
        <w:t>Facts to be proved usually by oral evidence in open court</w:t>
      </w:r>
      <w:r>
        <w:tab/>
      </w:r>
      <w:r>
        <w:fldChar w:fldCharType="begin"/>
      </w:r>
      <w:r>
        <w:instrText xml:space="preserve"> PAGEREF _Toc75863142 \h </w:instrText>
      </w:r>
      <w:r>
        <w:fldChar w:fldCharType="separate"/>
      </w:r>
      <w:r w:rsidR="00FC1D84">
        <w:t>220</w:t>
      </w:r>
      <w:r>
        <w:fldChar w:fldCharType="end"/>
      </w:r>
    </w:p>
    <w:p w:rsidR="006169FD" w:rsidRDefault="006169FD">
      <w:pPr>
        <w:pStyle w:val="TOC8"/>
        <w:rPr>
          <w:rFonts w:asciiTheme="minorHAnsi" w:eastAsiaTheme="minorEastAsia" w:hAnsiTheme="minorHAnsi" w:cstheme="minorBidi"/>
          <w:szCs w:val="22"/>
        </w:rPr>
      </w:pPr>
      <w:r>
        <w:t>2</w:t>
      </w:r>
      <w:r w:rsidRPr="00AA3DF9">
        <w:rPr>
          <w:snapToGrid w:val="0"/>
        </w:rPr>
        <w:t>.</w:t>
      </w:r>
      <w:r w:rsidRPr="00AA3DF9">
        <w:rPr>
          <w:snapToGrid w:val="0"/>
        </w:rPr>
        <w:tab/>
        <w:t>Evidence by affidavit</w:t>
      </w:r>
      <w:r>
        <w:tab/>
      </w:r>
      <w:r>
        <w:fldChar w:fldCharType="begin"/>
      </w:r>
      <w:r>
        <w:instrText xml:space="preserve"> PAGEREF _Toc75863143 \h </w:instrText>
      </w:r>
      <w:r>
        <w:fldChar w:fldCharType="separate"/>
      </w:r>
      <w:r w:rsidR="00FC1D84">
        <w:t>220</w:t>
      </w:r>
      <w:r>
        <w:fldChar w:fldCharType="end"/>
      </w:r>
    </w:p>
    <w:p w:rsidR="006169FD" w:rsidRDefault="006169FD">
      <w:pPr>
        <w:pStyle w:val="TOC8"/>
        <w:rPr>
          <w:rFonts w:asciiTheme="minorHAnsi" w:eastAsiaTheme="minorEastAsia" w:hAnsiTheme="minorHAnsi" w:cstheme="minorBidi"/>
          <w:szCs w:val="22"/>
        </w:rPr>
      </w:pPr>
      <w:r>
        <w:t>3</w:t>
      </w:r>
      <w:r w:rsidRPr="00AA3DF9">
        <w:rPr>
          <w:snapToGrid w:val="0"/>
        </w:rPr>
        <w:t>.</w:t>
      </w:r>
      <w:r w:rsidRPr="00AA3DF9">
        <w:rPr>
          <w:snapToGrid w:val="0"/>
        </w:rPr>
        <w:tab/>
        <w:t>Evidence of children etc. (</w:t>
      </w:r>
      <w:r w:rsidRPr="00AA3DF9">
        <w:rPr>
          <w:i/>
          <w:snapToGrid w:val="0"/>
        </w:rPr>
        <w:t>Evidence Act 1906</w:t>
      </w:r>
      <w:r w:rsidRPr="00AA3DF9">
        <w:rPr>
          <w:snapToGrid w:val="0"/>
        </w:rPr>
        <w:t xml:space="preserve"> s. 106S)</w:t>
      </w:r>
      <w:r>
        <w:tab/>
      </w:r>
      <w:r>
        <w:fldChar w:fldCharType="begin"/>
      </w:r>
      <w:r>
        <w:instrText xml:space="preserve"> PAGEREF _Toc75863144 \h </w:instrText>
      </w:r>
      <w:r>
        <w:fldChar w:fldCharType="separate"/>
      </w:r>
      <w:r w:rsidR="00FC1D84">
        <w:t>220</w:t>
      </w:r>
      <w:r>
        <w:fldChar w:fldCharType="end"/>
      </w:r>
    </w:p>
    <w:p w:rsidR="006169FD" w:rsidRDefault="006169FD">
      <w:pPr>
        <w:pStyle w:val="TOC8"/>
        <w:rPr>
          <w:rFonts w:asciiTheme="minorHAnsi" w:eastAsiaTheme="minorEastAsia" w:hAnsiTheme="minorHAnsi" w:cstheme="minorBidi"/>
          <w:szCs w:val="22"/>
        </w:rPr>
      </w:pPr>
      <w:r>
        <w:t>4</w:t>
      </w:r>
      <w:r w:rsidRPr="00AA3DF9">
        <w:rPr>
          <w:snapToGrid w:val="0"/>
        </w:rPr>
        <w:t>.</w:t>
      </w:r>
      <w:r w:rsidRPr="00AA3DF9">
        <w:rPr>
          <w:snapToGrid w:val="0"/>
        </w:rPr>
        <w:tab/>
        <w:t>Reception of plans etc. in evidence</w:t>
      </w:r>
      <w:r>
        <w:tab/>
      </w:r>
      <w:r>
        <w:fldChar w:fldCharType="begin"/>
      </w:r>
      <w:r>
        <w:instrText xml:space="preserve"> PAGEREF _Toc75863145 \h </w:instrText>
      </w:r>
      <w:r>
        <w:fldChar w:fldCharType="separate"/>
      </w:r>
      <w:r w:rsidR="00FC1D84">
        <w:t>221</w:t>
      </w:r>
      <w:r>
        <w:fldChar w:fldCharType="end"/>
      </w:r>
    </w:p>
    <w:p w:rsidR="006169FD" w:rsidRDefault="006169FD">
      <w:pPr>
        <w:pStyle w:val="TOC8"/>
        <w:rPr>
          <w:rFonts w:asciiTheme="minorHAnsi" w:eastAsiaTheme="minorEastAsia" w:hAnsiTheme="minorHAnsi" w:cstheme="minorBidi"/>
          <w:szCs w:val="22"/>
        </w:rPr>
      </w:pPr>
      <w:r>
        <w:t>5</w:t>
      </w:r>
      <w:r w:rsidRPr="00AA3DF9">
        <w:rPr>
          <w:snapToGrid w:val="0"/>
        </w:rPr>
        <w:t>.</w:t>
      </w:r>
      <w:r w:rsidRPr="00AA3DF9">
        <w:rPr>
          <w:snapToGrid w:val="0"/>
        </w:rPr>
        <w:tab/>
        <w:t>Orders under r. 2 or 4 may be revoked or varied</w:t>
      </w:r>
      <w:r>
        <w:tab/>
      </w:r>
      <w:r>
        <w:fldChar w:fldCharType="begin"/>
      </w:r>
      <w:r>
        <w:instrText xml:space="preserve"> PAGEREF _Toc75863146 \h </w:instrText>
      </w:r>
      <w:r>
        <w:fldChar w:fldCharType="separate"/>
      </w:r>
      <w:r w:rsidR="00FC1D84">
        <w:t>221</w:t>
      </w:r>
      <w:r>
        <w:fldChar w:fldCharType="end"/>
      </w:r>
    </w:p>
    <w:p w:rsidR="006169FD" w:rsidRDefault="006169FD">
      <w:pPr>
        <w:pStyle w:val="TOC8"/>
        <w:rPr>
          <w:rFonts w:asciiTheme="minorHAnsi" w:eastAsiaTheme="minorEastAsia" w:hAnsiTheme="minorHAnsi" w:cstheme="minorBidi"/>
          <w:szCs w:val="22"/>
        </w:rPr>
      </w:pPr>
      <w:r>
        <w:t>6</w:t>
      </w:r>
      <w:r w:rsidRPr="00AA3DF9">
        <w:rPr>
          <w:snapToGrid w:val="0"/>
        </w:rPr>
        <w:t>.</w:t>
      </w:r>
      <w:r w:rsidRPr="00AA3DF9">
        <w:rPr>
          <w:snapToGrid w:val="0"/>
        </w:rPr>
        <w:tab/>
        <w:t>Trials of issues etc., evidence in</w:t>
      </w:r>
      <w:r>
        <w:tab/>
      </w:r>
      <w:r>
        <w:fldChar w:fldCharType="begin"/>
      </w:r>
      <w:r>
        <w:instrText xml:space="preserve"> PAGEREF _Toc75863147 \h </w:instrText>
      </w:r>
      <w:r>
        <w:fldChar w:fldCharType="separate"/>
      </w:r>
      <w:r w:rsidR="00FC1D84">
        <w:t>221</w:t>
      </w:r>
      <w:r>
        <w:fldChar w:fldCharType="end"/>
      </w:r>
    </w:p>
    <w:p w:rsidR="006169FD" w:rsidRDefault="006169FD">
      <w:pPr>
        <w:pStyle w:val="TOC8"/>
        <w:rPr>
          <w:rFonts w:asciiTheme="minorHAnsi" w:eastAsiaTheme="minorEastAsia" w:hAnsiTheme="minorHAnsi" w:cstheme="minorBidi"/>
          <w:szCs w:val="22"/>
        </w:rPr>
      </w:pPr>
      <w:r>
        <w:t>7</w:t>
      </w:r>
      <w:r w:rsidRPr="00AA3DF9">
        <w:rPr>
          <w:snapToGrid w:val="0"/>
        </w:rPr>
        <w:t>.</w:t>
      </w:r>
      <w:r w:rsidRPr="00AA3DF9">
        <w:rPr>
          <w:snapToGrid w:val="0"/>
        </w:rPr>
        <w:tab/>
        <w:t>Depositions as evidence</w:t>
      </w:r>
      <w:r>
        <w:tab/>
      </w:r>
      <w:r>
        <w:fldChar w:fldCharType="begin"/>
      </w:r>
      <w:r>
        <w:instrText xml:space="preserve"> PAGEREF _Toc75863148 \h </w:instrText>
      </w:r>
      <w:r>
        <w:fldChar w:fldCharType="separate"/>
      </w:r>
      <w:r w:rsidR="00FC1D84">
        <w:t>221</w:t>
      </w:r>
      <w:r>
        <w:fldChar w:fldCharType="end"/>
      </w:r>
    </w:p>
    <w:p w:rsidR="006169FD" w:rsidRDefault="006169FD">
      <w:pPr>
        <w:pStyle w:val="TOC8"/>
        <w:rPr>
          <w:rFonts w:asciiTheme="minorHAnsi" w:eastAsiaTheme="minorEastAsia" w:hAnsiTheme="minorHAnsi" w:cstheme="minorBidi"/>
          <w:szCs w:val="22"/>
        </w:rPr>
      </w:pPr>
      <w:r>
        <w:t>8</w:t>
      </w:r>
      <w:r w:rsidRPr="00AA3DF9">
        <w:rPr>
          <w:snapToGrid w:val="0"/>
        </w:rPr>
        <w:t>.</w:t>
      </w:r>
      <w:r w:rsidRPr="00AA3DF9">
        <w:rPr>
          <w:snapToGrid w:val="0"/>
        </w:rPr>
        <w:tab/>
        <w:t>Court documents admissible in evidence</w:t>
      </w:r>
      <w:r>
        <w:tab/>
      </w:r>
      <w:r>
        <w:fldChar w:fldCharType="begin"/>
      </w:r>
      <w:r>
        <w:instrText xml:space="preserve"> PAGEREF _Toc75863149 \h </w:instrText>
      </w:r>
      <w:r>
        <w:fldChar w:fldCharType="separate"/>
      </w:r>
      <w:r w:rsidR="00FC1D84">
        <w:t>222</w:t>
      </w:r>
      <w:r>
        <w:fldChar w:fldCharType="end"/>
      </w:r>
    </w:p>
    <w:p w:rsidR="006169FD" w:rsidRDefault="006169FD">
      <w:pPr>
        <w:pStyle w:val="TOC8"/>
        <w:rPr>
          <w:rFonts w:asciiTheme="minorHAnsi" w:eastAsiaTheme="minorEastAsia" w:hAnsiTheme="minorHAnsi" w:cstheme="minorBidi"/>
          <w:szCs w:val="22"/>
        </w:rPr>
      </w:pPr>
      <w:r>
        <w:t>9</w:t>
      </w:r>
      <w:r w:rsidRPr="00AA3DF9">
        <w:rPr>
          <w:snapToGrid w:val="0"/>
        </w:rPr>
        <w:t>.</w:t>
      </w:r>
      <w:r w:rsidRPr="00AA3DF9">
        <w:rPr>
          <w:snapToGrid w:val="0"/>
        </w:rPr>
        <w:tab/>
        <w:t>Evidence at trial may be used in subsequent proceedings</w:t>
      </w:r>
      <w:r>
        <w:tab/>
      </w:r>
      <w:r>
        <w:fldChar w:fldCharType="begin"/>
      </w:r>
      <w:r>
        <w:instrText xml:space="preserve"> PAGEREF _Toc75863150 \h </w:instrText>
      </w:r>
      <w:r>
        <w:fldChar w:fldCharType="separate"/>
      </w:r>
      <w:r w:rsidR="00FC1D84">
        <w:t>222</w:t>
      </w:r>
      <w:r>
        <w:fldChar w:fldCharType="end"/>
      </w:r>
    </w:p>
    <w:p w:rsidR="006169FD" w:rsidRDefault="006169FD">
      <w:pPr>
        <w:pStyle w:val="TOC8"/>
        <w:rPr>
          <w:rFonts w:asciiTheme="minorHAnsi" w:eastAsiaTheme="minorEastAsia" w:hAnsiTheme="minorHAnsi" w:cstheme="minorBidi"/>
          <w:szCs w:val="22"/>
        </w:rPr>
      </w:pPr>
      <w:r>
        <w:t>10</w:t>
      </w:r>
      <w:r w:rsidRPr="00AA3DF9">
        <w:rPr>
          <w:snapToGrid w:val="0"/>
        </w:rPr>
        <w:t>.</w:t>
      </w:r>
      <w:r w:rsidRPr="00AA3DF9">
        <w:rPr>
          <w:snapToGrid w:val="0"/>
        </w:rPr>
        <w:tab/>
        <w:t>Evidence in another cause</w:t>
      </w:r>
      <w:r>
        <w:tab/>
      </w:r>
      <w:r>
        <w:fldChar w:fldCharType="begin"/>
      </w:r>
      <w:r>
        <w:instrText xml:space="preserve"> PAGEREF _Toc75863151 \h </w:instrText>
      </w:r>
      <w:r>
        <w:fldChar w:fldCharType="separate"/>
      </w:r>
      <w:r w:rsidR="00FC1D84">
        <w:t>222</w:t>
      </w:r>
      <w:r>
        <w:fldChar w:fldCharType="end"/>
      </w:r>
    </w:p>
    <w:p w:rsidR="006169FD" w:rsidRDefault="006169FD">
      <w:pPr>
        <w:pStyle w:val="TOC8"/>
        <w:rPr>
          <w:rFonts w:asciiTheme="minorHAnsi" w:eastAsiaTheme="minorEastAsia" w:hAnsiTheme="minorHAnsi" w:cstheme="minorBidi"/>
          <w:szCs w:val="22"/>
        </w:rPr>
      </w:pPr>
      <w:r>
        <w:t>11</w:t>
      </w:r>
      <w:r w:rsidRPr="00AA3DF9">
        <w:rPr>
          <w:snapToGrid w:val="0"/>
        </w:rPr>
        <w:t>.</w:t>
      </w:r>
      <w:r w:rsidRPr="00AA3DF9">
        <w:rPr>
          <w:snapToGrid w:val="0"/>
        </w:rPr>
        <w:tab/>
        <w:t>Production of documents</w:t>
      </w:r>
      <w:r>
        <w:tab/>
      </w:r>
      <w:r>
        <w:fldChar w:fldCharType="begin"/>
      </w:r>
      <w:r>
        <w:instrText xml:space="preserve"> PAGEREF _Toc75863152 \h </w:instrText>
      </w:r>
      <w:r>
        <w:fldChar w:fldCharType="separate"/>
      </w:r>
      <w:r w:rsidR="00FC1D84">
        <w:t>223</w:t>
      </w:r>
      <w:r>
        <w:fldChar w:fldCharType="end"/>
      </w:r>
    </w:p>
    <w:p w:rsidR="006169FD" w:rsidRDefault="006169FD">
      <w:pPr>
        <w:pStyle w:val="TOC8"/>
        <w:rPr>
          <w:rFonts w:asciiTheme="minorHAnsi" w:eastAsiaTheme="minorEastAsia" w:hAnsiTheme="minorHAnsi" w:cstheme="minorBidi"/>
          <w:szCs w:val="22"/>
        </w:rPr>
      </w:pPr>
      <w:r>
        <w:t>20</w:t>
      </w:r>
      <w:r w:rsidRPr="00AA3DF9">
        <w:rPr>
          <w:snapToGrid w:val="0"/>
        </w:rPr>
        <w:t>.</w:t>
      </w:r>
      <w:r w:rsidRPr="00AA3DF9">
        <w:rPr>
          <w:snapToGrid w:val="0"/>
        </w:rPr>
        <w:tab/>
        <w:t>Interest for purposes of Act s. 32</w:t>
      </w:r>
      <w:r>
        <w:tab/>
      </w:r>
      <w:r>
        <w:fldChar w:fldCharType="begin"/>
      </w:r>
      <w:r>
        <w:instrText xml:space="preserve"> PAGEREF _Toc75863153 \h </w:instrText>
      </w:r>
      <w:r>
        <w:fldChar w:fldCharType="separate"/>
      </w:r>
      <w:r w:rsidR="00FC1D84">
        <w:t>223</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36A — Expert evidence</w:t>
      </w:r>
    </w:p>
    <w:p w:rsidR="006169FD" w:rsidRDefault="006169FD">
      <w:pPr>
        <w:pStyle w:val="TOC8"/>
        <w:rPr>
          <w:rFonts w:asciiTheme="minorHAnsi" w:eastAsiaTheme="minorEastAsia" w:hAnsiTheme="minorHAnsi" w:cstheme="minorBidi"/>
          <w:szCs w:val="22"/>
        </w:rPr>
      </w:pPr>
      <w:r>
        <w:t>1.</w:t>
      </w:r>
      <w:r>
        <w:tab/>
        <w:t>Expert evidence</w:t>
      </w:r>
      <w:r>
        <w:tab/>
      </w:r>
      <w:r>
        <w:fldChar w:fldCharType="begin"/>
      </w:r>
      <w:r>
        <w:instrText xml:space="preserve"> PAGEREF _Toc75863155 \h </w:instrText>
      </w:r>
      <w:r>
        <w:fldChar w:fldCharType="separate"/>
      </w:r>
      <w:r w:rsidR="00FC1D84">
        <w:t>224</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36B — Subpoenas</w:t>
      </w:r>
    </w:p>
    <w:p w:rsidR="006169FD" w:rsidRDefault="006169FD">
      <w:pPr>
        <w:pStyle w:val="TOC8"/>
        <w:rPr>
          <w:rFonts w:asciiTheme="minorHAnsi" w:eastAsiaTheme="minorEastAsia" w:hAnsiTheme="minorHAnsi" w:cstheme="minorBidi"/>
          <w:szCs w:val="22"/>
        </w:rPr>
      </w:pPr>
      <w:r>
        <w:t>1.</w:t>
      </w:r>
      <w:r>
        <w:tab/>
        <w:t>Terms used</w:t>
      </w:r>
      <w:r>
        <w:tab/>
      </w:r>
      <w:r>
        <w:fldChar w:fldCharType="begin"/>
      </w:r>
      <w:r>
        <w:instrText xml:space="preserve"> PAGEREF _Toc75863157 \h </w:instrText>
      </w:r>
      <w:r>
        <w:fldChar w:fldCharType="separate"/>
      </w:r>
      <w:r w:rsidR="00FC1D84">
        <w:t>225</w:t>
      </w:r>
      <w:r>
        <w:fldChar w:fldCharType="end"/>
      </w:r>
    </w:p>
    <w:p w:rsidR="006169FD" w:rsidRDefault="006169FD">
      <w:pPr>
        <w:pStyle w:val="TOC8"/>
        <w:rPr>
          <w:rFonts w:asciiTheme="minorHAnsi" w:eastAsiaTheme="minorEastAsia" w:hAnsiTheme="minorHAnsi" w:cstheme="minorBidi"/>
          <w:szCs w:val="22"/>
        </w:rPr>
      </w:pPr>
      <w:r>
        <w:t>2.</w:t>
      </w:r>
      <w:r>
        <w:tab/>
        <w:t>Issuing subpoenas</w:t>
      </w:r>
      <w:r>
        <w:tab/>
      </w:r>
      <w:r>
        <w:fldChar w:fldCharType="begin"/>
      </w:r>
      <w:r>
        <w:instrText xml:space="preserve"> PAGEREF _Toc75863158 \h </w:instrText>
      </w:r>
      <w:r>
        <w:fldChar w:fldCharType="separate"/>
      </w:r>
      <w:r w:rsidR="00FC1D84">
        <w:t>226</w:t>
      </w:r>
      <w:r>
        <w:fldChar w:fldCharType="end"/>
      </w:r>
    </w:p>
    <w:p w:rsidR="006169FD" w:rsidRDefault="006169FD">
      <w:pPr>
        <w:pStyle w:val="TOC8"/>
        <w:rPr>
          <w:rFonts w:asciiTheme="minorHAnsi" w:eastAsiaTheme="minorEastAsia" w:hAnsiTheme="minorHAnsi" w:cstheme="minorBidi"/>
          <w:szCs w:val="22"/>
        </w:rPr>
      </w:pPr>
      <w:r>
        <w:t>3.</w:t>
      </w:r>
      <w:r>
        <w:tab/>
        <w:t>Form of subpoena</w:t>
      </w:r>
      <w:r>
        <w:tab/>
      </w:r>
      <w:r>
        <w:fldChar w:fldCharType="begin"/>
      </w:r>
      <w:r>
        <w:instrText xml:space="preserve"> PAGEREF _Toc75863159 \h </w:instrText>
      </w:r>
      <w:r>
        <w:fldChar w:fldCharType="separate"/>
      </w:r>
      <w:r w:rsidR="00FC1D84">
        <w:t>228</w:t>
      </w:r>
      <w:r>
        <w:fldChar w:fldCharType="end"/>
      </w:r>
    </w:p>
    <w:p w:rsidR="006169FD" w:rsidRDefault="006169FD">
      <w:pPr>
        <w:pStyle w:val="TOC8"/>
        <w:rPr>
          <w:rFonts w:asciiTheme="minorHAnsi" w:eastAsiaTheme="minorEastAsia" w:hAnsiTheme="minorHAnsi" w:cstheme="minorBidi"/>
          <w:szCs w:val="22"/>
        </w:rPr>
      </w:pPr>
      <w:r>
        <w:t>4.</w:t>
      </w:r>
      <w:r>
        <w:tab/>
        <w:t>Service of subpoenas</w:t>
      </w:r>
      <w:r>
        <w:tab/>
      </w:r>
      <w:r>
        <w:fldChar w:fldCharType="begin"/>
      </w:r>
      <w:r>
        <w:instrText xml:space="preserve"> PAGEREF _Toc75863160 \h </w:instrText>
      </w:r>
      <w:r>
        <w:fldChar w:fldCharType="separate"/>
      </w:r>
      <w:r w:rsidR="00FC1D84">
        <w:t>230</w:t>
      </w:r>
      <w:r>
        <w:fldChar w:fldCharType="end"/>
      </w:r>
    </w:p>
    <w:p w:rsidR="006169FD" w:rsidRDefault="006169FD">
      <w:pPr>
        <w:pStyle w:val="TOC8"/>
        <w:rPr>
          <w:rFonts w:asciiTheme="minorHAnsi" w:eastAsiaTheme="minorEastAsia" w:hAnsiTheme="minorHAnsi" w:cstheme="minorBidi"/>
          <w:szCs w:val="22"/>
        </w:rPr>
      </w:pPr>
      <w:r>
        <w:lastRenderedPageBreak/>
        <w:t>5.</w:t>
      </w:r>
      <w:r>
        <w:tab/>
        <w:t>Party may request notice that subpoena to produce has been obeyed</w:t>
      </w:r>
      <w:r>
        <w:tab/>
      </w:r>
      <w:r>
        <w:fldChar w:fldCharType="begin"/>
      </w:r>
      <w:r>
        <w:instrText xml:space="preserve"> PAGEREF _Toc75863161 \h </w:instrText>
      </w:r>
      <w:r>
        <w:fldChar w:fldCharType="separate"/>
      </w:r>
      <w:r w:rsidR="00FC1D84">
        <w:t>230</w:t>
      </w:r>
      <w:r>
        <w:fldChar w:fldCharType="end"/>
      </w:r>
    </w:p>
    <w:p w:rsidR="006169FD" w:rsidRDefault="006169FD">
      <w:pPr>
        <w:pStyle w:val="TOC8"/>
        <w:rPr>
          <w:rFonts w:asciiTheme="minorHAnsi" w:eastAsiaTheme="minorEastAsia" w:hAnsiTheme="minorHAnsi" w:cstheme="minorBidi"/>
          <w:szCs w:val="22"/>
        </w:rPr>
      </w:pPr>
      <w:r>
        <w:t>5A.</w:t>
      </w:r>
      <w:r>
        <w:tab/>
        <w:t>Altering date for attendance or production</w:t>
      </w:r>
      <w:r>
        <w:tab/>
      </w:r>
      <w:r>
        <w:fldChar w:fldCharType="begin"/>
      </w:r>
      <w:r>
        <w:instrText xml:space="preserve"> PAGEREF _Toc75863162 \h </w:instrText>
      </w:r>
      <w:r>
        <w:fldChar w:fldCharType="separate"/>
      </w:r>
      <w:r w:rsidR="00FC1D84">
        <w:t>230</w:t>
      </w:r>
      <w:r>
        <w:fldChar w:fldCharType="end"/>
      </w:r>
    </w:p>
    <w:p w:rsidR="006169FD" w:rsidRDefault="006169FD">
      <w:pPr>
        <w:pStyle w:val="TOC8"/>
        <w:rPr>
          <w:rFonts w:asciiTheme="minorHAnsi" w:eastAsiaTheme="minorEastAsia" w:hAnsiTheme="minorHAnsi" w:cstheme="minorBidi"/>
          <w:szCs w:val="22"/>
        </w:rPr>
      </w:pPr>
      <w:r>
        <w:t>6.</w:t>
      </w:r>
      <w:r>
        <w:tab/>
        <w:t>Compliance with subpoena</w:t>
      </w:r>
      <w:r>
        <w:tab/>
      </w:r>
      <w:r>
        <w:fldChar w:fldCharType="begin"/>
      </w:r>
      <w:r>
        <w:instrText xml:space="preserve"> PAGEREF _Toc75863163 \h </w:instrText>
      </w:r>
      <w:r>
        <w:fldChar w:fldCharType="separate"/>
      </w:r>
      <w:r w:rsidR="00FC1D84">
        <w:t>231</w:t>
      </w:r>
      <w:r>
        <w:fldChar w:fldCharType="end"/>
      </w:r>
    </w:p>
    <w:p w:rsidR="006169FD" w:rsidRDefault="006169FD">
      <w:pPr>
        <w:pStyle w:val="TOC8"/>
        <w:rPr>
          <w:rFonts w:asciiTheme="minorHAnsi" w:eastAsiaTheme="minorEastAsia" w:hAnsiTheme="minorHAnsi" w:cstheme="minorBidi"/>
          <w:szCs w:val="22"/>
        </w:rPr>
      </w:pPr>
      <w:r>
        <w:t>7.</w:t>
      </w:r>
      <w:r>
        <w:tab/>
        <w:t>Production otherwise than at a trial</w:t>
      </w:r>
      <w:r>
        <w:tab/>
      </w:r>
      <w:r>
        <w:fldChar w:fldCharType="begin"/>
      </w:r>
      <w:r>
        <w:instrText xml:space="preserve"> PAGEREF _Toc75863164 \h </w:instrText>
      </w:r>
      <w:r>
        <w:fldChar w:fldCharType="separate"/>
      </w:r>
      <w:r w:rsidR="00FC1D84">
        <w:t>233</w:t>
      </w:r>
      <w:r>
        <w:fldChar w:fldCharType="end"/>
      </w:r>
    </w:p>
    <w:p w:rsidR="006169FD" w:rsidRDefault="006169FD">
      <w:pPr>
        <w:pStyle w:val="TOC8"/>
        <w:rPr>
          <w:rFonts w:asciiTheme="minorHAnsi" w:eastAsiaTheme="minorEastAsia" w:hAnsiTheme="minorHAnsi" w:cstheme="minorBidi"/>
          <w:szCs w:val="22"/>
        </w:rPr>
      </w:pPr>
      <w:r>
        <w:t>8.</w:t>
      </w:r>
      <w:r>
        <w:tab/>
        <w:t>Setting aside subpoena to attend to give evidence</w:t>
      </w:r>
      <w:r>
        <w:tab/>
      </w:r>
      <w:r>
        <w:fldChar w:fldCharType="begin"/>
      </w:r>
      <w:r>
        <w:instrText xml:space="preserve"> PAGEREF _Toc75863165 \h </w:instrText>
      </w:r>
      <w:r>
        <w:fldChar w:fldCharType="separate"/>
      </w:r>
      <w:r w:rsidR="00FC1D84">
        <w:t>233</w:t>
      </w:r>
      <w:r>
        <w:fldChar w:fldCharType="end"/>
      </w:r>
    </w:p>
    <w:p w:rsidR="006169FD" w:rsidRDefault="006169FD">
      <w:pPr>
        <w:pStyle w:val="TOC8"/>
        <w:rPr>
          <w:rFonts w:asciiTheme="minorHAnsi" w:eastAsiaTheme="minorEastAsia" w:hAnsiTheme="minorHAnsi" w:cstheme="minorBidi"/>
          <w:szCs w:val="22"/>
        </w:rPr>
      </w:pPr>
      <w:r>
        <w:t>8A.</w:t>
      </w:r>
      <w:r>
        <w:tab/>
        <w:t>Setting aside subpoena to produce and directions as to things to be produced</w:t>
      </w:r>
      <w:r>
        <w:tab/>
      </w:r>
      <w:r>
        <w:fldChar w:fldCharType="begin"/>
      </w:r>
      <w:r>
        <w:instrText xml:space="preserve"> PAGEREF _Toc75863166 \h </w:instrText>
      </w:r>
      <w:r>
        <w:fldChar w:fldCharType="separate"/>
      </w:r>
      <w:r w:rsidR="00FC1D84">
        <w:t>234</w:t>
      </w:r>
      <w:r>
        <w:fldChar w:fldCharType="end"/>
      </w:r>
    </w:p>
    <w:p w:rsidR="006169FD" w:rsidRDefault="006169FD">
      <w:pPr>
        <w:pStyle w:val="TOC8"/>
        <w:rPr>
          <w:rFonts w:asciiTheme="minorHAnsi" w:eastAsiaTheme="minorEastAsia" w:hAnsiTheme="minorHAnsi" w:cstheme="minorBidi"/>
          <w:szCs w:val="22"/>
        </w:rPr>
      </w:pPr>
      <w:r>
        <w:t>8B.</w:t>
      </w:r>
      <w:r>
        <w:tab/>
        <w:t>How requests under r. 8 and 8A to be made</w:t>
      </w:r>
      <w:r>
        <w:tab/>
      </w:r>
      <w:r>
        <w:fldChar w:fldCharType="begin"/>
      </w:r>
      <w:r>
        <w:instrText xml:space="preserve"> PAGEREF _Toc75863167 \h </w:instrText>
      </w:r>
      <w:r>
        <w:fldChar w:fldCharType="separate"/>
      </w:r>
      <w:r w:rsidR="00FC1D84">
        <w:t>234</w:t>
      </w:r>
      <w:r>
        <w:fldChar w:fldCharType="end"/>
      </w:r>
    </w:p>
    <w:p w:rsidR="006169FD" w:rsidRDefault="006169FD">
      <w:pPr>
        <w:pStyle w:val="TOC8"/>
        <w:rPr>
          <w:rFonts w:asciiTheme="minorHAnsi" w:eastAsiaTheme="minorEastAsia" w:hAnsiTheme="minorHAnsi" w:cstheme="minorBidi"/>
          <w:szCs w:val="22"/>
        </w:rPr>
      </w:pPr>
      <w:r>
        <w:t>9.</w:t>
      </w:r>
      <w:r>
        <w:tab/>
        <w:t>Inspecting and dealing with documents and things produced otherwise than at a trial</w:t>
      </w:r>
      <w:r>
        <w:tab/>
      </w:r>
      <w:r>
        <w:fldChar w:fldCharType="begin"/>
      </w:r>
      <w:r>
        <w:instrText xml:space="preserve"> PAGEREF _Toc75863168 \h </w:instrText>
      </w:r>
      <w:r>
        <w:fldChar w:fldCharType="separate"/>
      </w:r>
      <w:r w:rsidR="00FC1D84">
        <w:t>235</w:t>
      </w:r>
      <w:r>
        <w:fldChar w:fldCharType="end"/>
      </w:r>
    </w:p>
    <w:p w:rsidR="006169FD" w:rsidRDefault="006169FD">
      <w:pPr>
        <w:pStyle w:val="TOC8"/>
        <w:rPr>
          <w:rFonts w:asciiTheme="minorHAnsi" w:eastAsiaTheme="minorEastAsia" w:hAnsiTheme="minorHAnsi" w:cstheme="minorBidi"/>
          <w:szCs w:val="22"/>
        </w:rPr>
      </w:pPr>
      <w:r>
        <w:t>10.</w:t>
      </w:r>
      <w:r>
        <w:tab/>
        <w:t>Disposal of documents and things produced</w:t>
      </w:r>
      <w:r>
        <w:tab/>
      </w:r>
      <w:r>
        <w:fldChar w:fldCharType="begin"/>
      </w:r>
      <w:r>
        <w:instrText xml:space="preserve"> PAGEREF _Toc75863169 \h </w:instrText>
      </w:r>
      <w:r>
        <w:fldChar w:fldCharType="separate"/>
      </w:r>
      <w:r w:rsidR="00FC1D84">
        <w:t>236</w:t>
      </w:r>
      <w:r>
        <w:fldChar w:fldCharType="end"/>
      </w:r>
    </w:p>
    <w:p w:rsidR="006169FD" w:rsidRDefault="006169FD">
      <w:pPr>
        <w:pStyle w:val="TOC8"/>
        <w:rPr>
          <w:rFonts w:asciiTheme="minorHAnsi" w:eastAsiaTheme="minorEastAsia" w:hAnsiTheme="minorHAnsi" w:cstheme="minorBidi"/>
          <w:szCs w:val="22"/>
        </w:rPr>
      </w:pPr>
      <w:r>
        <w:t>11.</w:t>
      </w:r>
      <w:r>
        <w:tab/>
        <w:t>Costs and expenses of compliance</w:t>
      </w:r>
      <w:r>
        <w:tab/>
      </w:r>
      <w:r>
        <w:fldChar w:fldCharType="begin"/>
      </w:r>
      <w:r>
        <w:instrText xml:space="preserve"> PAGEREF _Toc75863170 \h </w:instrText>
      </w:r>
      <w:r>
        <w:fldChar w:fldCharType="separate"/>
      </w:r>
      <w:r w:rsidR="00FC1D84">
        <w:t>237</w:t>
      </w:r>
      <w:r>
        <w:fldChar w:fldCharType="end"/>
      </w:r>
    </w:p>
    <w:p w:rsidR="006169FD" w:rsidRDefault="006169FD">
      <w:pPr>
        <w:pStyle w:val="TOC8"/>
        <w:rPr>
          <w:rFonts w:asciiTheme="minorHAnsi" w:eastAsiaTheme="minorEastAsia" w:hAnsiTheme="minorHAnsi" w:cstheme="minorBidi"/>
          <w:szCs w:val="22"/>
        </w:rPr>
      </w:pPr>
      <w:r>
        <w:t>12.</w:t>
      </w:r>
      <w:r>
        <w:tab/>
        <w:t>Failure to comply with subpoena is contempt of court</w:t>
      </w:r>
      <w:r>
        <w:tab/>
      </w:r>
      <w:r>
        <w:fldChar w:fldCharType="begin"/>
      </w:r>
      <w:r>
        <w:instrText xml:space="preserve"> PAGEREF _Toc75863171 \h </w:instrText>
      </w:r>
      <w:r>
        <w:fldChar w:fldCharType="separate"/>
      </w:r>
      <w:r w:rsidR="00FC1D84">
        <w:t>238</w:t>
      </w:r>
      <w:r>
        <w:fldChar w:fldCharType="end"/>
      </w:r>
    </w:p>
    <w:p w:rsidR="006169FD" w:rsidRDefault="006169FD">
      <w:pPr>
        <w:pStyle w:val="TOC8"/>
        <w:rPr>
          <w:rFonts w:asciiTheme="minorHAnsi" w:eastAsiaTheme="minorEastAsia" w:hAnsiTheme="minorHAnsi" w:cstheme="minorBidi"/>
          <w:szCs w:val="22"/>
        </w:rPr>
      </w:pPr>
      <w:r>
        <w:t>13.</w:t>
      </w:r>
      <w:r>
        <w:tab/>
        <w:t>Documents and things in custody of court</w:t>
      </w:r>
      <w:r>
        <w:tab/>
      </w:r>
      <w:r>
        <w:fldChar w:fldCharType="begin"/>
      </w:r>
      <w:r>
        <w:instrText xml:space="preserve"> PAGEREF _Toc75863172 \h </w:instrText>
      </w:r>
      <w:r>
        <w:fldChar w:fldCharType="separate"/>
      </w:r>
      <w:r w:rsidR="00FC1D84">
        <w:t>238</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37 — Affidavits</w:t>
      </w:r>
    </w:p>
    <w:p w:rsidR="006169FD" w:rsidRDefault="006169FD">
      <w:pPr>
        <w:pStyle w:val="TOC8"/>
        <w:rPr>
          <w:rFonts w:asciiTheme="minorHAnsi" w:eastAsiaTheme="minorEastAsia" w:hAnsiTheme="minorHAnsi" w:cstheme="minorBidi"/>
          <w:szCs w:val="22"/>
        </w:rPr>
      </w:pPr>
      <w:r>
        <w:t>1</w:t>
      </w:r>
      <w:r w:rsidRPr="00AA3DF9">
        <w:rPr>
          <w:snapToGrid w:val="0"/>
        </w:rPr>
        <w:t>.</w:t>
      </w:r>
      <w:r w:rsidRPr="00AA3DF9">
        <w:rPr>
          <w:snapToGrid w:val="0"/>
        </w:rPr>
        <w:tab/>
        <w:t>Title of affidavits</w:t>
      </w:r>
      <w:r>
        <w:tab/>
      </w:r>
      <w:r>
        <w:fldChar w:fldCharType="begin"/>
      </w:r>
      <w:r>
        <w:instrText xml:space="preserve"> PAGEREF _Toc75863174 \h </w:instrText>
      </w:r>
      <w:r>
        <w:fldChar w:fldCharType="separate"/>
      </w:r>
      <w:r w:rsidR="00FC1D84">
        <w:t>240</w:t>
      </w:r>
      <w:r>
        <w:fldChar w:fldCharType="end"/>
      </w:r>
    </w:p>
    <w:p w:rsidR="006169FD" w:rsidRDefault="006169FD">
      <w:pPr>
        <w:pStyle w:val="TOC8"/>
        <w:rPr>
          <w:rFonts w:asciiTheme="minorHAnsi" w:eastAsiaTheme="minorEastAsia" w:hAnsiTheme="minorHAnsi" w:cstheme="minorBidi"/>
          <w:szCs w:val="22"/>
        </w:rPr>
      </w:pPr>
      <w:r>
        <w:t>2</w:t>
      </w:r>
      <w:r w:rsidRPr="00AA3DF9">
        <w:rPr>
          <w:snapToGrid w:val="0"/>
        </w:rPr>
        <w:t>.</w:t>
      </w:r>
      <w:r w:rsidRPr="00AA3DF9">
        <w:rPr>
          <w:snapToGrid w:val="0"/>
        </w:rPr>
        <w:tab/>
        <w:t>Form of affidavits</w:t>
      </w:r>
      <w:r>
        <w:tab/>
      </w:r>
      <w:r>
        <w:fldChar w:fldCharType="begin"/>
      </w:r>
      <w:r>
        <w:instrText xml:space="preserve"> PAGEREF _Toc75863175 \h </w:instrText>
      </w:r>
      <w:r>
        <w:fldChar w:fldCharType="separate"/>
      </w:r>
      <w:r w:rsidR="00FC1D84">
        <w:t>240</w:t>
      </w:r>
      <w:r>
        <w:fldChar w:fldCharType="end"/>
      </w:r>
    </w:p>
    <w:p w:rsidR="006169FD" w:rsidRDefault="006169FD">
      <w:pPr>
        <w:pStyle w:val="TOC8"/>
        <w:rPr>
          <w:rFonts w:asciiTheme="minorHAnsi" w:eastAsiaTheme="minorEastAsia" w:hAnsiTheme="minorHAnsi" w:cstheme="minorBidi"/>
          <w:szCs w:val="22"/>
        </w:rPr>
      </w:pPr>
      <w:r>
        <w:t>3</w:t>
      </w:r>
      <w:r w:rsidRPr="00AA3DF9">
        <w:rPr>
          <w:snapToGrid w:val="0"/>
        </w:rPr>
        <w:t>.</w:t>
      </w:r>
      <w:r w:rsidRPr="00AA3DF9">
        <w:rPr>
          <w:snapToGrid w:val="0"/>
        </w:rPr>
        <w:tab/>
        <w:t>Affidavits by 2 or more deponents</w:t>
      </w:r>
      <w:r>
        <w:tab/>
      </w:r>
      <w:r>
        <w:fldChar w:fldCharType="begin"/>
      </w:r>
      <w:r>
        <w:instrText xml:space="preserve"> PAGEREF _Toc75863176 \h </w:instrText>
      </w:r>
      <w:r>
        <w:fldChar w:fldCharType="separate"/>
      </w:r>
      <w:r w:rsidR="00FC1D84">
        <w:t>241</w:t>
      </w:r>
      <w:r>
        <w:fldChar w:fldCharType="end"/>
      </w:r>
    </w:p>
    <w:p w:rsidR="006169FD" w:rsidRDefault="006169FD">
      <w:pPr>
        <w:pStyle w:val="TOC8"/>
        <w:rPr>
          <w:rFonts w:asciiTheme="minorHAnsi" w:eastAsiaTheme="minorEastAsia" w:hAnsiTheme="minorHAnsi" w:cstheme="minorBidi"/>
          <w:szCs w:val="22"/>
        </w:rPr>
      </w:pPr>
      <w:r>
        <w:t>5</w:t>
      </w:r>
      <w:r w:rsidRPr="00AA3DF9">
        <w:rPr>
          <w:snapToGrid w:val="0"/>
        </w:rPr>
        <w:t>.</w:t>
      </w:r>
      <w:r w:rsidRPr="00AA3DF9">
        <w:rPr>
          <w:snapToGrid w:val="0"/>
        </w:rPr>
        <w:tab/>
        <w:t>Irregularity</w:t>
      </w:r>
      <w:r>
        <w:tab/>
      </w:r>
      <w:r>
        <w:fldChar w:fldCharType="begin"/>
      </w:r>
      <w:r>
        <w:instrText xml:space="preserve"> PAGEREF _Toc75863177 \h </w:instrText>
      </w:r>
      <w:r>
        <w:fldChar w:fldCharType="separate"/>
      </w:r>
      <w:r w:rsidR="00FC1D84">
        <w:t>242</w:t>
      </w:r>
      <w:r>
        <w:fldChar w:fldCharType="end"/>
      </w:r>
    </w:p>
    <w:p w:rsidR="006169FD" w:rsidRDefault="006169FD">
      <w:pPr>
        <w:pStyle w:val="TOC8"/>
        <w:rPr>
          <w:rFonts w:asciiTheme="minorHAnsi" w:eastAsiaTheme="minorEastAsia" w:hAnsiTheme="minorHAnsi" w:cstheme="minorBidi"/>
          <w:szCs w:val="22"/>
        </w:rPr>
      </w:pPr>
      <w:r>
        <w:t>6</w:t>
      </w:r>
      <w:r w:rsidRPr="00AA3DF9">
        <w:rPr>
          <w:snapToGrid w:val="0"/>
        </w:rPr>
        <w:t>.</w:t>
      </w:r>
      <w:r w:rsidRPr="00AA3DF9">
        <w:rPr>
          <w:snapToGrid w:val="0"/>
        </w:rPr>
        <w:tab/>
        <w:t>Contents of affidavits</w:t>
      </w:r>
      <w:r>
        <w:tab/>
      </w:r>
      <w:r>
        <w:fldChar w:fldCharType="begin"/>
      </w:r>
      <w:r>
        <w:instrText xml:space="preserve"> PAGEREF _Toc75863178 \h </w:instrText>
      </w:r>
      <w:r>
        <w:fldChar w:fldCharType="separate"/>
      </w:r>
      <w:r w:rsidR="00FC1D84">
        <w:t>242</w:t>
      </w:r>
      <w:r>
        <w:fldChar w:fldCharType="end"/>
      </w:r>
    </w:p>
    <w:p w:rsidR="006169FD" w:rsidRDefault="006169FD">
      <w:pPr>
        <w:pStyle w:val="TOC8"/>
        <w:rPr>
          <w:rFonts w:asciiTheme="minorHAnsi" w:eastAsiaTheme="minorEastAsia" w:hAnsiTheme="minorHAnsi" w:cstheme="minorBidi"/>
          <w:szCs w:val="22"/>
        </w:rPr>
      </w:pPr>
      <w:r>
        <w:t>7</w:t>
      </w:r>
      <w:r w:rsidRPr="00AA3DF9">
        <w:rPr>
          <w:snapToGrid w:val="0"/>
        </w:rPr>
        <w:t>.</w:t>
      </w:r>
      <w:r w:rsidRPr="00AA3DF9">
        <w:rPr>
          <w:snapToGrid w:val="0"/>
        </w:rPr>
        <w:tab/>
        <w:t>Scandalous matter</w:t>
      </w:r>
      <w:r>
        <w:tab/>
      </w:r>
      <w:r>
        <w:fldChar w:fldCharType="begin"/>
      </w:r>
      <w:r>
        <w:instrText xml:space="preserve"> PAGEREF _Toc75863179 \h </w:instrText>
      </w:r>
      <w:r>
        <w:fldChar w:fldCharType="separate"/>
      </w:r>
      <w:r w:rsidR="00FC1D84">
        <w:t>243</w:t>
      </w:r>
      <w:r>
        <w:fldChar w:fldCharType="end"/>
      </w:r>
    </w:p>
    <w:p w:rsidR="006169FD" w:rsidRDefault="006169FD">
      <w:pPr>
        <w:pStyle w:val="TOC8"/>
        <w:rPr>
          <w:rFonts w:asciiTheme="minorHAnsi" w:eastAsiaTheme="minorEastAsia" w:hAnsiTheme="minorHAnsi" w:cstheme="minorBidi"/>
          <w:szCs w:val="22"/>
        </w:rPr>
      </w:pPr>
      <w:r>
        <w:t>9</w:t>
      </w:r>
      <w:r w:rsidRPr="00AA3DF9">
        <w:rPr>
          <w:snapToGrid w:val="0"/>
        </w:rPr>
        <w:t>.</w:t>
      </w:r>
      <w:r w:rsidRPr="00AA3DF9">
        <w:rPr>
          <w:snapToGrid w:val="0"/>
        </w:rPr>
        <w:tab/>
        <w:t>Exhibits</w:t>
      </w:r>
      <w:r>
        <w:tab/>
      </w:r>
      <w:r>
        <w:fldChar w:fldCharType="begin"/>
      </w:r>
      <w:r>
        <w:instrText xml:space="preserve"> PAGEREF _Toc75863180 \h </w:instrText>
      </w:r>
      <w:r>
        <w:fldChar w:fldCharType="separate"/>
      </w:r>
      <w:r w:rsidR="00FC1D84">
        <w:t>243</w:t>
      </w:r>
      <w:r>
        <w:fldChar w:fldCharType="end"/>
      </w:r>
    </w:p>
    <w:p w:rsidR="006169FD" w:rsidRDefault="006169FD">
      <w:pPr>
        <w:pStyle w:val="TOC8"/>
        <w:rPr>
          <w:rFonts w:asciiTheme="minorHAnsi" w:eastAsiaTheme="minorEastAsia" w:hAnsiTheme="minorHAnsi" w:cstheme="minorBidi"/>
          <w:szCs w:val="22"/>
        </w:rPr>
      </w:pPr>
      <w:r>
        <w:t>13</w:t>
      </w:r>
      <w:r w:rsidRPr="00AA3DF9">
        <w:rPr>
          <w:snapToGrid w:val="0"/>
        </w:rPr>
        <w:t>.</w:t>
      </w:r>
      <w:r w:rsidRPr="00AA3DF9">
        <w:rPr>
          <w:snapToGrid w:val="0"/>
        </w:rPr>
        <w:tab/>
        <w:t>Affidavits to be filed</w:t>
      </w:r>
      <w:r>
        <w:tab/>
      </w:r>
      <w:r>
        <w:fldChar w:fldCharType="begin"/>
      </w:r>
      <w:r>
        <w:instrText xml:space="preserve"> PAGEREF _Toc75863181 \h </w:instrText>
      </w:r>
      <w:r>
        <w:fldChar w:fldCharType="separate"/>
      </w:r>
      <w:r w:rsidR="00FC1D84">
        <w:t>244</w:t>
      </w:r>
      <w:r>
        <w:fldChar w:fldCharType="end"/>
      </w:r>
    </w:p>
    <w:p w:rsidR="006169FD" w:rsidRDefault="006169FD">
      <w:pPr>
        <w:pStyle w:val="TOC8"/>
        <w:rPr>
          <w:rFonts w:asciiTheme="minorHAnsi" w:eastAsiaTheme="minorEastAsia" w:hAnsiTheme="minorHAnsi" w:cstheme="minorBidi"/>
          <w:szCs w:val="22"/>
        </w:rPr>
      </w:pPr>
      <w:r>
        <w:t>14</w:t>
      </w:r>
      <w:r w:rsidRPr="00AA3DF9">
        <w:rPr>
          <w:snapToGrid w:val="0"/>
        </w:rPr>
        <w:t>.</w:t>
      </w:r>
      <w:r w:rsidRPr="00AA3DF9">
        <w:rPr>
          <w:snapToGrid w:val="0"/>
        </w:rPr>
        <w:tab/>
        <w:t>Affidavits not to be filed out of time without leave</w:t>
      </w:r>
      <w:r>
        <w:tab/>
      </w:r>
      <w:r>
        <w:fldChar w:fldCharType="begin"/>
      </w:r>
      <w:r>
        <w:instrText xml:space="preserve"> PAGEREF _Toc75863182 \h </w:instrText>
      </w:r>
      <w:r>
        <w:fldChar w:fldCharType="separate"/>
      </w:r>
      <w:r w:rsidR="00FC1D84">
        <w:t>244</w:t>
      </w:r>
      <w:r>
        <w:fldChar w:fldCharType="end"/>
      </w:r>
    </w:p>
    <w:p w:rsidR="006169FD" w:rsidRDefault="006169FD">
      <w:pPr>
        <w:pStyle w:val="TOC8"/>
        <w:rPr>
          <w:rFonts w:asciiTheme="minorHAnsi" w:eastAsiaTheme="minorEastAsia" w:hAnsiTheme="minorHAnsi" w:cstheme="minorBidi"/>
          <w:szCs w:val="22"/>
        </w:rPr>
      </w:pPr>
      <w:r>
        <w:t>15</w:t>
      </w:r>
      <w:r w:rsidRPr="00AA3DF9">
        <w:rPr>
          <w:snapToGrid w:val="0"/>
        </w:rPr>
        <w:t>.</w:t>
      </w:r>
      <w:r w:rsidRPr="00AA3DF9">
        <w:rPr>
          <w:snapToGrid w:val="0"/>
        </w:rPr>
        <w:tab/>
        <w:t>Alterations in accounts</w:t>
      </w:r>
      <w:r>
        <w:tab/>
      </w:r>
      <w:r>
        <w:fldChar w:fldCharType="begin"/>
      </w:r>
      <w:r>
        <w:instrText xml:space="preserve"> PAGEREF _Toc75863183 \h </w:instrText>
      </w:r>
      <w:r>
        <w:fldChar w:fldCharType="separate"/>
      </w:r>
      <w:r w:rsidR="00FC1D84">
        <w:t>244</w:t>
      </w:r>
      <w:r>
        <w:fldChar w:fldCharType="end"/>
      </w:r>
    </w:p>
    <w:p w:rsidR="006169FD" w:rsidRDefault="006169FD">
      <w:pPr>
        <w:pStyle w:val="TOC8"/>
        <w:rPr>
          <w:rFonts w:asciiTheme="minorHAnsi" w:eastAsiaTheme="minorEastAsia" w:hAnsiTheme="minorHAnsi" w:cstheme="minorBidi"/>
          <w:szCs w:val="22"/>
        </w:rPr>
      </w:pPr>
      <w:r>
        <w:t>16.</w:t>
      </w:r>
      <w:r>
        <w:tab/>
        <w:t xml:space="preserve">This Order additional to </w:t>
      </w:r>
      <w:r w:rsidRPr="00AA3DF9">
        <w:rPr>
          <w:i/>
        </w:rPr>
        <w:t>Oaths, Affidavits and Statutory Declarations Act 2005</w:t>
      </w:r>
      <w:r>
        <w:tab/>
      </w:r>
      <w:r>
        <w:fldChar w:fldCharType="begin"/>
      </w:r>
      <w:r>
        <w:instrText xml:space="preserve"> PAGEREF _Toc75863184 \h </w:instrText>
      </w:r>
      <w:r>
        <w:fldChar w:fldCharType="separate"/>
      </w:r>
      <w:r w:rsidR="00FC1D84">
        <w:t>244</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38 — Evidence by deposition</w:t>
      </w:r>
    </w:p>
    <w:p w:rsidR="006169FD" w:rsidRDefault="006169FD">
      <w:pPr>
        <w:pStyle w:val="TOC8"/>
        <w:rPr>
          <w:rFonts w:asciiTheme="minorHAnsi" w:eastAsiaTheme="minorEastAsia" w:hAnsiTheme="minorHAnsi" w:cstheme="minorBidi"/>
          <w:szCs w:val="22"/>
        </w:rPr>
      </w:pPr>
      <w:r>
        <w:t>1</w:t>
      </w:r>
      <w:r w:rsidRPr="00AA3DF9">
        <w:rPr>
          <w:snapToGrid w:val="0"/>
        </w:rPr>
        <w:t>.</w:t>
      </w:r>
      <w:r w:rsidRPr="00AA3DF9">
        <w:rPr>
          <w:snapToGrid w:val="0"/>
        </w:rPr>
        <w:tab/>
        <w:t>Power to order depositions to be taken</w:t>
      </w:r>
      <w:r>
        <w:tab/>
      </w:r>
      <w:r>
        <w:fldChar w:fldCharType="begin"/>
      </w:r>
      <w:r>
        <w:instrText xml:space="preserve"> PAGEREF _Toc75863186 \h </w:instrText>
      </w:r>
      <w:r>
        <w:fldChar w:fldCharType="separate"/>
      </w:r>
      <w:r w:rsidR="00FC1D84">
        <w:t>245</w:t>
      </w:r>
      <w:r>
        <w:fldChar w:fldCharType="end"/>
      </w:r>
    </w:p>
    <w:p w:rsidR="006169FD" w:rsidRDefault="006169FD">
      <w:pPr>
        <w:pStyle w:val="TOC8"/>
        <w:rPr>
          <w:rFonts w:asciiTheme="minorHAnsi" w:eastAsiaTheme="minorEastAsia" w:hAnsiTheme="minorHAnsi" w:cstheme="minorBidi"/>
          <w:szCs w:val="22"/>
        </w:rPr>
      </w:pPr>
      <w:r>
        <w:t>4</w:t>
      </w:r>
      <w:r w:rsidRPr="00AA3DF9">
        <w:rPr>
          <w:snapToGrid w:val="0"/>
        </w:rPr>
        <w:t>.</w:t>
      </w:r>
      <w:r w:rsidRPr="00AA3DF9">
        <w:rPr>
          <w:snapToGrid w:val="0"/>
        </w:rPr>
        <w:tab/>
        <w:t>Enforcing attendance of witness</w:t>
      </w:r>
      <w:r>
        <w:tab/>
      </w:r>
      <w:r>
        <w:fldChar w:fldCharType="begin"/>
      </w:r>
      <w:r>
        <w:instrText xml:space="preserve"> PAGEREF _Toc75863187 \h </w:instrText>
      </w:r>
      <w:r>
        <w:fldChar w:fldCharType="separate"/>
      </w:r>
      <w:r w:rsidR="00FC1D84">
        <w:t>245</w:t>
      </w:r>
      <w:r>
        <w:fldChar w:fldCharType="end"/>
      </w:r>
    </w:p>
    <w:p w:rsidR="006169FD" w:rsidRDefault="006169FD">
      <w:pPr>
        <w:pStyle w:val="TOC8"/>
        <w:rPr>
          <w:rFonts w:asciiTheme="minorHAnsi" w:eastAsiaTheme="minorEastAsia" w:hAnsiTheme="minorHAnsi" w:cstheme="minorBidi"/>
          <w:szCs w:val="22"/>
        </w:rPr>
      </w:pPr>
      <w:r>
        <w:t>5</w:t>
      </w:r>
      <w:r w:rsidRPr="00AA3DF9">
        <w:rPr>
          <w:snapToGrid w:val="0"/>
        </w:rPr>
        <w:t>.</w:t>
      </w:r>
      <w:r w:rsidRPr="00AA3DF9">
        <w:rPr>
          <w:snapToGrid w:val="0"/>
        </w:rPr>
        <w:tab/>
        <w:t>Refusal of witness to attend or be sworn</w:t>
      </w:r>
      <w:r>
        <w:tab/>
      </w:r>
      <w:r>
        <w:fldChar w:fldCharType="begin"/>
      </w:r>
      <w:r>
        <w:instrText xml:space="preserve"> PAGEREF _Toc75863188 \h </w:instrText>
      </w:r>
      <w:r>
        <w:fldChar w:fldCharType="separate"/>
      </w:r>
      <w:r w:rsidR="00FC1D84">
        <w:t>246</w:t>
      </w:r>
      <w:r>
        <w:fldChar w:fldCharType="end"/>
      </w:r>
    </w:p>
    <w:p w:rsidR="006169FD" w:rsidRDefault="006169FD">
      <w:pPr>
        <w:pStyle w:val="TOC8"/>
        <w:rPr>
          <w:rFonts w:asciiTheme="minorHAnsi" w:eastAsiaTheme="minorEastAsia" w:hAnsiTheme="minorHAnsi" w:cstheme="minorBidi"/>
          <w:szCs w:val="22"/>
        </w:rPr>
      </w:pPr>
      <w:r>
        <w:t>6</w:t>
      </w:r>
      <w:r w:rsidRPr="00AA3DF9">
        <w:rPr>
          <w:snapToGrid w:val="0"/>
        </w:rPr>
        <w:t>.</w:t>
      </w:r>
      <w:r w:rsidRPr="00AA3DF9">
        <w:rPr>
          <w:snapToGrid w:val="0"/>
        </w:rPr>
        <w:tab/>
        <w:t>Time and place of examination, notice of</w:t>
      </w:r>
      <w:r>
        <w:tab/>
      </w:r>
      <w:r>
        <w:fldChar w:fldCharType="begin"/>
      </w:r>
      <w:r>
        <w:instrText xml:space="preserve"> PAGEREF _Toc75863189 \h </w:instrText>
      </w:r>
      <w:r>
        <w:fldChar w:fldCharType="separate"/>
      </w:r>
      <w:r w:rsidR="00FC1D84">
        <w:t>246</w:t>
      </w:r>
      <w:r>
        <w:fldChar w:fldCharType="end"/>
      </w:r>
    </w:p>
    <w:p w:rsidR="006169FD" w:rsidRDefault="006169FD">
      <w:pPr>
        <w:pStyle w:val="TOC8"/>
        <w:rPr>
          <w:rFonts w:asciiTheme="minorHAnsi" w:eastAsiaTheme="minorEastAsia" w:hAnsiTheme="minorHAnsi" w:cstheme="minorBidi"/>
          <w:szCs w:val="22"/>
        </w:rPr>
      </w:pPr>
      <w:r>
        <w:t>7</w:t>
      </w:r>
      <w:r w:rsidRPr="00AA3DF9">
        <w:rPr>
          <w:snapToGrid w:val="0"/>
        </w:rPr>
        <w:t>.</w:t>
      </w:r>
      <w:r w:rsidRPr="00AA3DF9">
        <w:rPr>
          <w:snapToGrid w:val="0"/>
        </w:rPr>
        <w:tab/>
        <w:t>Documents to be given to examiner</w:t>
      </w:r>
      <w:r>
        <w:tab/>
      </w:r>
      <w:r>
        <w:fldChar w:fldCharType="begin"/>
      </w:r>
      <w:r>
        <w:instrText xml:space="preserve"> PAGEREF _Toc75863190 \h </w:instrText>
      </w:r>
      <w:r>
        <w:fldChar w:fldCharType="separate"/>
      </w:r>
      <w:r w:rsidR="00FC1D84">
        <w:t>246</w:t>
      </w:r>
      <w:r>
        <w:fldChar w:fldCharType="end"/>
      </w:r>
    </w:p>
    <w:p w:rsidR="006169FD" w:rsidRDefault="006169FD">
      <w:pPr>
        <w:pStyle w:val="TOC8"/>
        <w:rPr>
          <w:rFonts w:asciiTheme="minorHAnsi" w:eastAsiaTheme="minorEastAsia" w:hAnsiTheme="minorHAnsi" w:cstheme="minorBidi"/>
          <w:szCs w:val="22"/>
        </w:rPr>
      </w:pPr>
      <w:r>
        <w:t>8</w:t>
      </w:r>
      <w:r w:rsidRPr="00AA3DF9">
        <w:rPr>
          <w:snapToGrid w:val="0"/>
        </w:rPr>
        <w:t>.</w:t>
      </w:r>
      <w:r w:rsidRPr="00AA3DF9">
        <w:rPr>
          <w:snapToGrid w:val="0"/>
        </w:rPr>
        <w:tab/>
        <w:t>Practice on examination</w:t>
      </w:r>
      <w:r>
        <w:tab/>
      </w:r>
      <w:r>
        <w:fldChar w:fldCharType="begin"/>
      </w:r>
      <w:r>
        <w:instrText xml:space="preserve"> PAGEREF _Toc75863191 \h </w:instrText>
      </w:r>
      <w:r>
        <w:fldChar w:fldCharType="separate"/>
      </w:r>
      <w:r w:rsidR="00FC1D84">
        <w:t>247</w:t>
      </w:r>
      <w:r>
        <w:fldChar w:fldCharType="end"/>
      </w:r>
    </w:p>
    <w:p w:rsidR="006169FD" w:rsidRDefault="006169FD">
      <w:pPr>
        <w:pStyle w:val="TOC8"/>
        <w:rPr>
          <w:rFonts w:asciiTheme="minorHAnsi" w:eastAsiaTheme="minorEastAsia" w:hAnsiTheme="minorHAnsi" w:cstheme="minorBidi"/>
          <w:szCs w:val="22"/>
        </w:rPr>
      </w:pPr>
      <w:r>
        <w:t>9</w:t>
      </w:r>
      <w:r w:rsidRPr="00AA3DF9">
        <w:rPr>
          <w:snapToGrid w:val="0"/>
        </w:rPr>
        <w:t>.</w:t>
      </w:r>
      <w:r w:rsidRPr="00AA3DF9">
        <w:rPr>
          <w:snapToGrid w:val="0"/>
        </w:rPr>
        <w:tab/>
        <w:t>Expenses of witnesses</w:t>
      </w:r>
      <w:r>
        <w:tab/>
      </w:r>
      <w:r>
        <w:fldChar w:fldCharType="begin"/>
      </w:r>
      <w:r>
        <w:instrText xml:space="preserve"> PAGEREF _Toc75863192 \h </w:instrText>
      </w:r>
      <w:r>
        <w:fldChar w:fldCharType="separate"/>
      </w:r>
      <w:r w:rsidR="00FC1D84">
        <w:t>247</w:t>
      </w:r>
      <w:r>
        <w:fldChar w:fldCharType="end"/>
      </w:r>
    </w:p>
    <w:p w:rsidR="006169FD" w:rsidRDefault="006169FD">
      <w:pPr>
        <w:pStyle w:val="TOC8"/>
        <w:rPr>
          <w:rFonts w:asciiTheme="minorHAnsi" w:eastAsiaTheme="minorEastAsia" w:hAnsiTheme="minorHAnsi" w:cstheme="minorBidi"/>
          <w:szCs w:val="22"/>
        </w:rPr>
      </w:pPr>
      <w:r>
        <w:lastRenderedPageBreak/>
        <w:t>10</w:t>
      </w:r>
      <w:r w:rsidRPr="00AA3DF9">
        <w:rPr>
          <w:snapToGrid w:val="0"/>
        </w:rPr>
        <w:t>.</w:t>
      </w:r>
      <w:r w:rsidRPr="00AA3DF9">
        <w:rPr>
          <w:snapToGrid w:val="0"/>
        </w:rPr>
        <w:tab/>
        <w:t>Additional witnesses may be examined with parties’ consent</w:t>
      </w:r>
      <w:r>
        <w:tab/>
      </w:r>
      <w:r>
        <w:fldChar w:fldCharType="begin"/>
      </w:r>
      <w:r>
        <w:instrText xml:space="preserve"> PAGEREF _Toc75863193 \h </w:instrText>
      </w:r>
      <w:r>
        <w:fldChar w:fldCharType="separate"/>
      </w:r>
      <w:r w:rsidR="00FC1D84">
        <w:t>247</w:t>
      </w:r>
      <w:r>
        <w:fldChar w:fldCharType="end"/>
      </w:r>
    </w:p>
    <w:p w:rsidR="006169FD" w:rsidRDefault="006169FD">
      <w:pPr>
        <w:pStyle w:val="TOC8"/>
        <w:rPr>
          <w:rFonts w:asciiTheme="minorHAnsi" w:eastAsiaTheme="minorEastAsia" w:hAnsiTheme="minorHAnsi" w:cstheme="minorBidi"/>
          <w:szCs w:val="22"/>
        </w:rPr>
      </w:pPr>
      <w:r>
        <w:t>11</w:t>
      </w:r>
      <w:r w:rsidRPr="00AA3DF9">
        <w:rPr>
          <w:snapToGrid w:val="0"/>
        </w:rPr>
        <w:t>.</w:t>
      </w:r>
      <w:r w:rsidRPr="00AA3DF9">
        <w:rPr>
          <w:snapToGrid w:val="0"/>
        </w:rPr>
        <w:tab/>
        <w:t>How depositions to be taken</w:t>
      </w:r>
      <w:r>
        <w:tab/>
      </w:r>
      <w:r>
        <w:fldChar w:fldCharType="begin"/>
      </w:r>
      <w:r>
        <w:instrText xml:space="preserve"> PAGEREF _Toc75863194 \h </w:instrText>
      </w:r>
      <w:r>
        <w:fldChar w:fldCharType="separate"/>
      </w:r>
      <w:r w:rsidR="00FC1D84">
        <w:t>248</w:t>
      </w:r>
      <w:r>
        <w:fldChar w:fldCharType="end"/>
      </w:r>
    </w:p>
    <w:p w:rsidR="006169FD" w:rsidRDefault="006169FD">
      <w:pPr>
        <w:pStyle w:val="TOC8"/>
        <w:rPr>
          <w:rFonts w:asciiTheme="minorHAnsi" w:eastAsiaTheme="minorEastAsia" w:hAnsiTheme="minorHAnsi" w:cstheme="minorBidi"/>
          <w:szCs w:val="22"/>
        </w:rPr>
      </w:pPr>
      <w:r>
        <w:t>12</w:t>
      </w:r>
      <w:r w:rsidRPr="00AA3DF9">
        <w:rPr>
          <w:snapToGrid w:val="0"/>
        </w:rPr>
        <w:t>.</w:t>
      </w:r>
      <w:r w:rsidRPr="00AA3DF9">
        <w:rPr>
          <w:snapToGrid w:val="0"/>
        </w:rPr>
        <w:tab/>
        <w:t>Objection to questions</w:t>
      </w:r>
      <w:r>
        <w:tab/>
      </w:r>
      <w:r>
        <w:fldChar w:fldCharType="begin"/>
      </w:r>
      <w:r>
        <w:instrText xml:space="preserve"> PAGEREF _Toc75863195 \h </w:instrText>
      </w:r>
      <w:r>
        <w:fldChar w:fldCharType="separate"/>
      </w:r>
      <w:r w:rsidR="00FC1D84">
        <w:t>249</w:t>
      </w:r>
      <w:r>
        <w:fldChar w:fldCharType="end"/>
      </w:r>
    </w:p>
    <w:p w:rsidR="006169FD" w:rsidRDefault="006169FD">
      <w:pPr>
        <w:pStyle w:val="TOC8"/>
        <w:rPr>
          <w:rFonts w:asciiTheme="minorHAnsi" w:eastAsiaTheme="minorEastAsia" w:hAnsiTheme="minorHAnsi" w:cstheme="minorBidi"/>
          <w:szCs w:val="22"/>
        </w:rPr>
      </w:pPr>
      <w:r>
        <w:t>13</w:t>
      </w:r>
      <w:r w:rsidRPr="00AA3DF9">
        <w:rPr>
          <w:snapToGrid w:val="0"/>
        </w:rPr>
        <w:t>.</w:t>
      </w:r>
      <w:r w:rsidRPr="00AA3DF9">
        <w:rPr>
          <w:snapToGrid w:val="0"/>
        </w:rPr>
        <w:tab/>
        <w:t>Examiner may give Court special report</w:t>
      </w:r>
      <w:r>
        <w:tab/>
      </w:r>
      <w:r>
        <w:fldChar w:fldCharType="begin"/>
      </w:r>
      <w:r>
        <w:instrText xml:space="preserve"> PAGEREF _Toc75863196 \h </w:instrText>
      </w:r>
      <w:r>
        <w:fldChar w:fldCharType="separate"/>
      </w:r>
      <w:r w:rsidR="00FC1D84">
        <w:t>249</w:t>
      </w:r>
      <w:r>
        <w:fldChar w:fldCharType="end"/>
      </w:r>
    </w:p>
    <w:p w:rsidR="006169FD" w:rsidRDefault="006169FD">
      <w:pPr>
        <w:pStyle w:val="TOC8"/>
        <w:rPr>
          <w:rFonts w:asciiTheme="minorHAnsi" w:eastAsiaTheme="minorEastAsia" w:hAnsiTheme="minorHAnsi" w:cstheme="minorBidi"/>
          <w:szCs w:val="22"/>
        </w:rPr>
      </w:pPr>
      <w:r>
        <w:t>14</w:t>
      </w:r>
      <w:r w:rsidRPr="00AA3DF9">
        <w:rPr>
          <w:snapToGrid w:val="0"/>
        </w:rPr>
        <w:t>.</w:t>
      </w:r>
      <w:r w:rsidRPr="00AA3DF9">
        <w:rPr>
          <w:snapToGrid w:val="0"/>
        </w:rPr>
        <w:tab/>
        <w:t>Oaths</w:t>
      </w:r>
      <w:r>
        <w:tab/>
      </w:r>
      <w:r>
        <w:fldChar w:fldCharType="begin"/>
      </w:r>
      <w:r>
        <w:instrText xml:space="preserve"> PAGEREF _Toc75863197 \h </w:instrText>
      </w:r>
      <w:r>
        <w:fldChar w:fldCharType="separate"/>
      </w:r>
      <w:r w:rsidR="00FC1D84">
        <w:t>249</w:t>
      </w:r>
      <w:r>
        <w:fldChar w:fldCharType="end"/>
      </w:r>
    </w:p>
    <w:p w:rsidR="006169FD" w:rsidRDefault="006169FD">
      <w:pPr>
        <w:pStyle w:val="TOC8"/>
        <w:rPr>
          <w:rFonts w:asciiTheme="minorHAnsi" w:eastAsiaTheme="minorEastAsia" w:hAnsiTheme="minorHAnsi" w:cstheme="minorBidi"/>
          <w:szCs w:val="22"/>
        </w:rPr>
      </w:pPr>
      <w:r>
        <w:t>15</w:t>
      </w:r>
      <w:r w:rsidRPr="00AA3DF9">
        <w:rPr>
          <w:snapToGrid w:val="0"/>
        </w:rPr>
        <w:t>.</w:t>
      </w:r>
      <w:r w:rsidRPr="00AA3DF9">
        <w:rPr>
          <w:snapToGrid w:val="0"/>
        </w:rPr>
        <w:tab/>
        <w:t>Perpetuating testimony</w:t>
      </w:r>
      <w:r>
        <w:tab/>
      </w:r>
      <w:r>
        <w:fldChar w:fldCharType="begin"/>
      </w:r>
      <w:r>
        <w:instrText xml:space="preserve"> PAGEREF _Toc75863198 \h </w:instrText>
      </w:r>
      <w:r>
        <w:fldChar w:fldCharType="separate"/>
      </w:r>
      <w:r w:rsidR="00FC1D84">
        <w:t>249</w:t>
      </w:r>
      <w:r>
        <w:fldChar w:fldCharType="end"/>
      </w:r>
    </w:p>
    <w:p w:rsidR="006169FD" w:rsidRDefault="006169FD">
      <w:pPr>
        <w:pStyle w:val="TOC8"/>
        <w:rPr>
          <w:rFonts w:asciiTheme="minorHAnsi" w:eastAsiaTheme="minorEastAsia" w:hAnsiTheme="minorHAnsi" w:cstheme="minorBidi"/>
          <w:szCs w:val="22"/>
        </w:rPr>
      </w:pPr>
      <w:r>
        <w:t>16</w:t>
      </w:r>
      <w:r w:rsidRPr="00AA3DF9">
        <w:rPr>
          <w:snapToGrid w:val="0"/>
        </w:rPr>
        <w:t>.</w:t>
      </w:r>
      <w:r w:rsidRPr="00AA3DF9">
        <w:rPr>
          <w:snapToGrid w:val="0"/>
        </w:rPr>
        <w:tab/>
        <w:t>Examiner’s fees</w:t>
      </w:r>
      <w:r>
        <w:tab/>
      </w:r>
      <w:r>
        <w:fldChar w:fldCharType="begin"/>
      </w:r>
      <w:r>
        <w:instrText xml:space="preserve"> PAGEREF _Toc75863199 \h </w:instrText>
      </w:r>
      <w:r>
        <w:fldChar w:fldCharType="separate"/>
      </w:r>
      <w:r w:rsidR="00FC1D84">
        <w:t>250</w:t>
      </w:r>
      <w:r>
        <w:fldChar w:fldCharType="end"/>
      </w:r>
    </w:p>
    <w:p w:rsidR="006169FD" w:rsidRDefault="006169FD">
      <w:pPr>
        <w:pStyle w:val="TOC8"/>
        <w:rPr>
          <w:rFonts w:asciiTheme="minorHAnsi" w:eastAsiaTheme="minorEastAsia" w:hAnsiTheme="minorHAnsi" w:cstheme="minorBidi"/>
          <w:szCs w:val="22"/>
        </w:rPr>
      </w:pPr>
      <w:r>
        <w:t>17</w:t>
      </w:r>
      <w:r w:rsidRPr="00AA3DF9">
        <w:rPr>
          <w:snapToGrid w:val="0"/>
        </w:rPr>
        <w:t>.</w:t>
      </w:r>
      <w:r w:rsidRPr="00AA3DF9">
        <w:rPr>
          <w:snapToGrid w:val="0"/>
        </w:rPr>
        <w:tab/>
        <w:t>Payment of examiner’s fees</w:t>
      </w:r>
      <w:r>
        <w:tab/>
      </w:r>
      <w:r>
        <w:fldChar w:fldCharType="begin"/>
      </w:r>
      <w:r>
        <w:instrText xml:space="preserve"> PAGEREF _Toc75863200 \h </w:instrText>
      </w:r>
      <w:r>
        <w:fldChar w:fldCharType="separate"/>
      </w:r>
      <w:r w:rsidR="00FC1D84">
        <w:t>251</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38A — Examination of witnesses outside the State</w:t>
      </w:r>
    </w:p>
    <w:p w:rsidR="006169FD" w:rsidRDefault="006169FD">
      <w:pPr>
        <w:pStyle w:val="TOC8"/>
        <w:rPr>
          <w:rFonts w:asciiTheme="minorHAnsi" w:eastAsiaTheme="minorEastAsia" w:hAnsiTheme="minorHAnsi" w:cstheme="minorBidi"/>
          <w:szCs w:val="22"/>
        </w:rPr>
      </w:pPr>
      <w:r>
        <w:t>1</w:t>
      </w:r>
      <w:r w:rsidRPr="00AA3DF9">
        <w:rPr>
          <w:snapToGrid w:val="0"/>
        </w:rPr>
        <w:t>.</w:t>
      </w:r>
      <w:r w:rsidRPr="00AA3DF9">
        <w:rPr>
          <w:snapToGrid w:val="0"/>
        </w:rPr>
        <w:tab/>
        <w:t>Terms used</w:t>
      </w:r>
      <w:r>
        <w:tab/>
      </w:r>
      <w:r>
        <w:fldChar w:fldCharType="begin"/>
      </w:r>
      <w:r>
        <w:instrText xml:space="preserve"> PAGEREF _Toc75863202 \h </w:instrText>
      </w:r>
      <w:r>
        <w:fldChar w:fldCharType="separate"/>
      </w:r>
      <w:r w:rsidR="00FC1D84">
        <w:t>252</w:t>
      </w:r>
      <w:r>
        <w:fldChar w:fldCharType="end"/>
      </w:r>
    </w:p>
    <w:p w:rsidR="006169FD" w:rsidRDefault="006169FD">
      <w:pPr>
        <w:pStyle w:val="TOC8"/>
        <w:rPr>
          <w:rFonts w:asciiTheme="minorHAnsi" w:eastAsiaTheme="minorEastAsia" w:hAnsiTheme="minorHAnsi" w:cstheme="minorBidi"/>
          <w:szCs w:val="22"/>
        </w:rPr>
      </w:pPr>
      <w:r>
        <w:t>2.</w:t>
      </w:r>
      <w:r>
        <w:tab/>
        <w:t>Order applies to Act s. 110 and 111</w:t>
      </w:r>
      <w:r>
        <w:tab/>
      </w:r>
      <w:r>
        <w:fldChar w:fldCharType="begin"/>
      </w:r>
      <w:r>
        <w:instrText xml:space="preserve"> PAGEREF _Toc75863203 \h </w:instrText>
      </w:r>
      <w:r>
        <w:fldChar w:fldCharType="separate"/>
      </w:r>
      <w:r w:rsidR="00FC1D84">
        <w:t>252</w:t>
      </w:r>
      <w:r>
        <w:fldChar w:fldCharType="end"/>
      </w:r>
    </w:p>
    <w:p w:rsidR="006169FD" w:rsidRDefault="006169FD">
      <w:pPr>
        <w:pStyle w:val="TOC8"/>
        <w:rPr>
          <w:rFonts w:asciiTheme="minorHAnsi" w:eastAsiaTheme="minorEastAsia" w:hAnsiTheme="minorHAnsi" w:cstheme="minorBidi"/>
          <w:szCs w:val="22"/>
        </w:rPr>
      </w:pPr>
      <w:r>
        <w:t>3</w:t>
      </w:r>
      <w:r w:rsidRPr="00AA3DF9">
        <w:rPr>
          <w:snapToGrid w:val="0"/>
        </w:rPr>
        <w:t>.</w:t>
      </w:r>
      <w:r w:rsidRPr="00AA3DF9">
        <w:rPr>
          <w:snapToGrid w:val="0"/>
        </w:rPr>
        <w:tab/>
        <w:t>Applications under Act s. 110 and 111 in civil proceedings</w:t>
      </w:r>
      <w:r>
        <w:tab/>
      </w:r>
      <w:r>
        <w:fldChar w:fldCharType="begin"/>
      </w:r>
      <w:r>
        <w:instrText xml:space="preserve"> PAGEREF _Toc75863204 \h </w:instrText>
      </w:r>
      <w:r>
        <w:fldChar w:fldCharType="separate"/>
      </w:r>
      <w:r w:rsidR="00FC1D84">
        <w:t>252</w:t>
      </w:r>
      <w:r>
        <w:fldChar w:fldCharType="end"/>
      </w:r>
    </w:p>
    <w:p w:rsidR="006169FD" w:rsidRDefault="006169FD">
      <w:pPr>
        <w:pStyle w:val="TOC8"/>
        <w:rPr>
          <w:rFonts w:asciiTheme="minorHAnsi" w:eastAsiaTheme="minorEastAsia" w:hAnsiTheme="minorHAnsi" w:cstheme="minorBidi"/>
          <w:szCs w:val="22"/>
        </w:rPr>
      </w:pPr>
      <w:r>
        <w:t>4</w:t>
      </w:r>
      <w:r w:rsidRPr="00AA3DF9">
        <w:rPr>
          <w:snapToGrid w:val="0"/>
        </w:rPr>
        <w:t>.</w:t>
      </w:r>
      <w:r w:rsidRPr="00AA3DF9">
        <w:rPr>
          <w:snapToGrid w:val="0"/>
        </w:rPr>
        <w:tab/>
        <w:t>Application under Act s. 110 and 111 in criminal proceedings</w:t>
      </w:r>
      <w:r>
        <w:tab/>
      </w:r>
      <w:r>
        <w:fldChar w:fldCharType="begin"/>
      </w:r>
      <w:r>
        <w:instrText xml:space="preserve"> PAGEREF _Toc75863205 \h </w:instrText>
      </w:r>
      <w:r>
        <w:fldChar w:fldCharType="separate"/>
      </w:r>
      <w:r w:rsidR="00FC1D84">
        <w:t>253</w:t>
      </w:r>
      <w:r>
        <w:fldChar w:fldCharType="end"/>
      </w:r>
    </w:p>
    <w:p w:rsidR="006169FD" w:rsidRDefault="006169FD">
      <w:pPr>
        <w:pStyle w:val="TOC8"/>
        <w:rPr>
          <w:rFonts w:asciiTheme="minorHAnsi" w:eastAsiaTheme="minorEastAsia" w:hAnsiTheme="minorHAnsi" w:cstheme="minorBidi"/>
          <w:szCs w:val="22"/>
        </w:rPr>
      </w:pPr>
      <w:r>
        <w:t>5</w:t>
      </w:r>
      <w:r w:rsidRPr="00AA3DF9">
        <w:rPr>
          <w:snapToGrid w:val="0"/>
        </w:rPr>
        <w:t>.</w:t>
      </w:r>
      <w:r w:rsidRPr="00AA3DF9">
        <w:rPr>
          <w:snapToGrid w:val="0"/>
        </w:rPr>
        <w:tab/>
        <w:t>Orders under Act s. 110 and 111</w:t>
      </w:r>
      <w:r>
        <w:tab/>
      </w:r>
      <w:r>
        <w:fldChar w:fldCharType="begin"/>
      </w:r>
      <w:r>
        <w:instrText xml:space="preserve"> PAGEREF _Toc75863206 \h </w:instrText>
      </w:r>
      <w:r>
        <w:fldChar w:fldCharType="separate"/>
      </w:r>
      <w:r w:rsidR="00FC1D84">
        <w:t>253</w:t>
      </w:r>
      <w:r>
        <w:fldChar w:fldCharType="end"/>
      </w:r>
    </w:p>
    <w:p w:rsidR="006169FD" w:rsidRDefault="006169FD">
      <w:pPr>
        <w:pStyle w:val="TOC8"/>
        <w:rPr>
          <w:rFonts w:asciiTheme="minorHAnsi" w:eastAsiaTheme="minorEastAsia" w:hAnsiTheme="minorHAnsi" w:cstheme="minorBidi"/>
          <w:szCs w:val="22"/>
        </w:rPr>
      </w:pPr>
      <w:r>
        <w:t>6</w:t>
      </w:r>
      <w:r w:rsidRPr="00AA3DF9">
        <w:rPr>
          <w:snapToGrid w:val="0"/>
        </w:rPr>
        <w:t>.</w:t>
      </w:r>
      <w:r w:rsidRPr="00AA3DF9">
        <w:rPr>
          <w:snapToGrid w:val="0"/>
        </w:rPr>
        <w:tab/>
        <w:t>Manner of examination</w:t>
      </w:r>
      <w:r>
        <w:tab/>
      </w:r>
      <w:r>
        <w:fldChar w:fldCharType="begin"/>
      </w:r>
      <w:r>
        <w:instrText xml:space="preserve"> PAGEREF _Toc75863207 \h </w:instrText>
      </w:r>
      <w:r>
        <w:fldChar w:fldCharType="separate"/>
      </w:r>
      <w:r w:rsidR="00FC1D84">
        <w:t>254</w:t>
      </w:r>
      <w:r>
        <w:fldChar w:fldCharType="end"/>
      </w:r>
    </w:p>
    <w:p w:rsidR="006169FD" w:rsidRDefault="006169FD">
      <w:pPr>
        <w:pStyle w:val="TOC8"/>
        <w:rPr>
          <w:rFonts w:asciiTheme="minorHAnsi" w:eastAsiaTheme="minorEastAsia" w:hAnsiTheme="minorHAnsi" w:cstheme="minorBidi"/>
          <w:szCs w:val="22"/>
        </w:rPr>
      </w:pPr>
      <w:r>
        <w:t>7</w:t>
      </w:r>
      <w:r w:rsidRPr="00AA3DF9">
        <w:rPr>
          <w:snapToGrid w:val="0"/>
        </w:rPr>
        <w:t>.</w:t>
      </w:r>
      <w:r w:rsidRPr="00AA3DF9">
        <w:rPr>
          <w:snapToGrid w:val="0"/>
        </w:rPr>
        <w:tab/>
        <w:t>Examiner’s remuneration</w:t>
      </w:r>
      <w:r>
        <w:tab/>
      </w:r>
      <w:r>
        <w:fldChar w:fldCharType="begin"/>
      </w:r>
      <w:r>
        <w:instrText xml:space="preserve"> PAGEREF _Toc75863208 \h </w:instrText>
      </w:r>
      <w:r>
        <w:fldChar w:fldCharType="separate"/>
      </w:r>
      <w:r w:rsidR="00FC1D84">
        <w:t>254</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39 — Taking of evidence for foreign and Australian courts</w:t>
      </w:r>
    </w:p>
    <w:p w:rsidR="006169FD" w:rsidRDefault="006169FD">
      <w:pPr>
        <w:pStyle w:val="TOC8"/>
        <w:rPr>
          <w:rFonts w:asciiTheme="minorHAnsi" w:eastAsiaTheme="minorEastAsia" w:hAnsiTheme="minorHAnsi" w:cstheme="minorBidi"/>
          <w:szCs w:val="22"/>
        </w:rPr>
      </w:pPr>
      <w:r>
        <w:t>1</w:t>
      </w:r>
      <w:r w:rsidRPr="00AA3DF9">
        <w:rPr>
          <w:snapToGrid w:val="0"/>
        </w:rPr>
        <w:t>.</w:t>
      </w:r>
      <w:r w:rsidRPr="00AA3DF9">
        <w:rPr>
          <w:snapToGrid w:val="0"/>
        </w:rPr>
        <w:tab/>
        <w:t>Terms used</w:t>
      </w:r>
      <w:r>
        <w:tab/>
      </w:r>
      <w:r>
        <w:fldChar w:fldCharType="begin"/>
      </w:r>
      <w:r>
        <w:instrText xml:space="preserve"> PAGEREF _Toc75863210 \h </w:instrText>
      </w:r>
      <w:r>
        <w:fldChar w:fldCharType="separate"/>
      </w:r>
      <w:r w:rsidR="00FC1D84">
        <w:t>255</w:t>
      </w:r>
      <w:r>
        <w:fldChar w:fldCharType="end"/>
      </w:r>
    </w:p>
    <w:p w:rsidR="006169FD" w:rsidRDefault="006169FD">
      <w:pPr>
        <w:pStyle w:val="TOC8"/>
        <w:rPr>
          <w:rFonts w:asciiTheme="minorHAnsi" w:eastAsiaTheme="minorEastAsia" w:hAnsiTheme="minorHAnsi" w:cstheme="minorBidi"/>
          <w:szCs w:val="22"/>
        </w:rPr>
      </w:pPr>
      <w:r>
        <w:t>2</w:t>
      </w:r>
      <w:r w:rsidRPr="00AA3DF9">
        <w:rPr>
          <w:snapToGrid w:val="0"/>
        </w:rPr>
        <w:t>.</w:t>
      </w:r>
      <w:r w:rsidRPr="00AA3DF9">
        <w:rPr>
          <w:snapToGrid w:val="0"/>
        </w:rPr>
        <w:tab/>
        <w:t>Applications under Act s. 116</w:t>
      </w:r>
      <w:r>
        <w:tab/>
      </w:r>
      <w:r>
        <w:fldChar w:fldCharType="begin"/>
      </w:r>
      <w:r>
        <w:instrText xml:space="preserve"> PAGEREF _Toc75863211 \h </w:instrText>
      </w:r>
      <w:r>
        <w:fldChar w:fldCharType="separate"/>
      </w:r>
      <w:r w:rsidR="00FC1D84">
        <w:t>255</w:t>
      </w:r>
      <w:r>
        <w:fldChar w:fldCharType="end"/>
      </w:r>
    </w:p>
    <w:p w:rsidR="006169FD" w:rsidRDefault="006169FD">
      <w:pPr>
        <w:pStyle w:val="TOC8"/>
        <w:rPr>
          <w:rFonts w:asciiTheme="minorHAnsi" w:eastAsiaTheme="minorEastAsia" w:hAnsiTheme="minorHAnsi" w:cstheme="minorBidi"/>
          <w:szCs w:val="22"/>
        </w:rPr>
      </w:pPr>
      <w:r>
        <w:t>3</w:t>
      </w:r>
      <w:r w:rsidRPr="00AA3DF9">
        <w:rPr>
          <w:snapToGrid w:val="0"/>
        </w:rPr>
        <w:t>.</w:t>
      </w:r>
      <w:r w:rsidRPr="00AA3DF9">
        <w:rPr>
          <w:snapToGrid w:val="0"/>
        </w:rPr>
        <w:tab/>
        <w:t>Orders under Act s. 117</w:t>
      </w:r>
      <w:r>
        <w:tab/>
      </w:r>
      <w:r>
        <w:fldChar w:fldCharType="begin"/>
      </w:r>
      <w:r>
        <w:instrText xml:space="preserve"> PAGEREF _Toc75863212 \h </w:instrText>
      </w:r>
      <w:r>
        <w:fldChar w:fldCharType="separate"/>
      </w:r>
      <w:r w:rsidR="00FC1D84">
        <w:t>255</w:t>
      </w:r>
      <w:r>
        <w:fldChar w:fldCharType="end"/>
      </w:r>
    </w:p>
    <w:p w:rsidR="006169FD" w:rsidRDefault="006169FD">
      <w:pPr>
        <w:pStyle w:val="TOC8"/>
        <w:rPr>
          <w:rFonts w:asciiTheme="minorHAnsi" w:eastAsiaTheme="minorEastAsia" w:hAnsiTheme="minorHAnsi" w:cstheme="minorBidi"/>
          <w:szCs w:val="22"/>
        </w:rPr>
      </w:pPr>
      <w:r>
        <w:t>4</w:t>
      </w:r>
      <w:r w:rsidRPr="00AA3DF9">
        <w:rPr>
          <w:snapToGrid w:val="0"/>
        </w:rPr>
        <w:t>.</w:t>
      </w:r>
      <w:r w:rsidRPr="00AA3DF9">
        <w:rPr>
          <w:snapToGrid w:val="0"/>
        </w:rPr>
        <w:tab/>
        <w:t>Examiner’s remuneration</w:t>
      </w:r>
      <w:r>
        <w:tab/>
      </w:r>
      <w:r>
        <w:fldChar w:fldCharType="begin"/>
      </w:r>
      <w:r>
        <w:instrText xml:space="preserve"> PAGEREF _Toc75863213 \h </w:instrText>
      </w:r>
      <w:r>
        <w:fldChar w:fldCharType="separate"/>
      </w:r>
      <w:r w:rsidR="00FC1D84">
        <w:t>256</w:t>
      </w:r>
      <w:r>
        <w:fldChar w:fldCharType="end"/>
      </w:r>
    </w:p>
    <w:p w:rsidR="006169FD" w:rsidRDefault="006169FD">
      <w:pPr>
        <w:pStyle w:val="TOC8"/>
        <w:rPr>
          <w:rFonts w:asciiTheme="minorHAnsi" w:eastAsiaTheme="minorEastAsia" w:hAnsiTheme="minorHAnsi" w:cstheme="minorBidi"/>
          <w:szCs w:val="22"/>
        </w:rPr>
      </w:pPr>
      <w:r>
        <w:t>4A</w:t>
      </w:r>
      <w:r w:rsidRPr="00AA3DF9">
        <w:rPr>
          <w:snapToGrid w:val="0"/>
        </w:rPr>
        <w:t>.</w:t>
      </w:r>
      <w:r w:rsidRPr="00AA3DF9">
        <w:rPr>
          <w:snapToGrid w:val="0"/>
        </w:rPr>
        <w:tab/>
        <w:t>Examiner’s power to administer oaths</w:t>
      </w:r>
      <w:r>
        <w:tab/>
      </w:r>
      <w:r>
        <w:fldChar w:fldCharType="begin"/>
      </w:r>
      <w:r>
        <w:instrText xml:space="preserve"> PAGEREF _Toc75863214 \h </w:instrText>
      </w:r>
      <w:r>
        <w:fldChar w:fldCharType="separate"/>
      </w:r>
      <w:r w:rsidR="00FC1D84">
        <w:t>256</w:t>
      </w:r>
      <w:r>
        <w:fldChar w:fldCharType="end"/>
      </w:r>
    </w:p>
    <w:p w:rsidR="006169FD" w:rsidRDefault="006169FD">
      <w:pPr>
        <w:pStyle w:val="TOC8"/>
        <w:rPr>
          <w:rFonts w:asciiTheme="minorHAnsi" w:eastAsiaTheme="minorEastAsia" w:hAnsiTheme="minorHAnsi" w:cstheme="minorBidi"/>
          <w:szCs w:val="22"/>
        </w:rPr>
      </w:pPr>
      <w:r>
        <w:t>5</w:t>
      </w:r>
      <w:r w:rsidRPr="00AA3DF9">
        <w:rPr>
          <w:snapToGrid w:val="0"/>
        </w:rPr>
        <w:t>.</w:t>
      </w:r>
      <w:r w:rsidRPr="00AA3DF9">
        <w:rPr>
          <w:snapToGrid w:val="0"/>
        </w:rPr>
        <w:tab/>
        <w:t>Transmission of depositions</w:t>
      </w:r>
      <w:r>
        <w:tab/>
      </w:r>
      <w:r>
        <w:fldChar w:fldCharType="begin"/>
      </w:r>
      <w:r>
        <w:instrText xml:space="preserve"> PAGEREF _Toc75863215 \h </w:instrText>
      </w:r>
      <w:r>
        <w:fldChar w:fldCharType="separate"/>
      </w:r>
      <w:r w:rsidR="00FC1D84">
        <w:t>256</w:t>
      </w:r>
      <w:r>
        <w:fldChar w:fldCharType="end"/>
      </w:r>
    </w:p>
    <w:p w:rsidR="006169FD" w:rsidRDefault="006169FD">
      <w:pPr>
        <w:pStyle w:val="TOC8"/>
        <w:rPr>
          <w:rFonts w:asciiTheme="minorHAnsi" w:eastAsiaTheme="minorEastAsia" w:hAnsiTheme="minorHAnsi" w:cstheme="minorBidi"/>
          <w:szCs w:val="22"/>
        </w:rPr>
      </w:pPr>
      <w:r>
        <w:t>6</w:t>
      </w:r>
      <w:r w:rsidRPr="00AA3DF9">
        <w:rPr>
          <w:snapToGrid w:val="0"/>
        </w:rPr>
        <w:t>.</w:t>
      </w:r>
      <w:r w:rsidRPr="00AA3DF9">
        <w:rPr>
          <w:snapToGrid w:val="0"/>
        </w:rPr>
        <w:tab/>
        <w:t>Procedure where witness claims privilege</w:t>
      </w:r>
      <w:r>
        <w:tab/>
      </w:r>
      <w:r>
        <w:fldChar w:fldCharType="begin"/>
      </w:r>
      <w:r>
        <w:instrText xml:space="preserve"> PAGEREF _Toc75863216 \h </w:instrText>
      </w:r>
      <w:r>
        <w:fldChar w:fldCharType="separate"/>
      </w:r>
      <w:r w:rsidR="00FC1D84">
        <w:t>257</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39A</w:t>
      </w:r>
      <w:r w:rsidRPr="00AA3DF9">
        <w:rPr>
          <w:b w:val="0"/>
        </w:rPr>
        <w:t> </w:t>
      </w:r>
      <w:r>
        <w:t>—</w:t>
      </w:r>
      <w:r w:rsidRPr="00AA3DF9">
        <w:rPr>
          <w:b w:val="0"/>
        </w:rPr>
        <w:t> </w:t>
      </w:r>
      <w:r w:rsidRPr="00AA3DF9">
        <w:rPr>
          <w:i/>
        </w:rPr>
        <w:t>Trans</w:t>
      </w:r>
      <w:r w:rsidRPr="00AA3DF9">
        <w:rPr>
          <w:i/>
        </w:rPr>
        <w:noBreakHyphen/>
        <w:t>Tasman Proceedings Act 2010</w:t>
      </w:r>
      <w:r>
        <w:t xml:space="preserve"> (Commonwealth) rules</w:t>
      </w:r>
    </w:p>
    <w:p w:rsidR="006169FD" w:rsidRDefault="006169FD">
      <w:pPr>
        <w:pStyle w:val="TOC4"/>
        <w:tabs>
          <w:tab w:val="right" w:leader="dot" w:pos="7077"/>
        </w:tabs>
        <w:rPr>
          <w:rFonts w:asciiTheme="minorHAnsi" w:eastAsiaTheme="minorEastAsia" w:hAnsiTheme="minorHAnsi" w:cstheme="minorBidi"/>
          <w:b w:val="0"/>
          <w:szCs w:val="22"/>
        </w:rPr>
      </w:pPr>
      <w:r>
        <w:t>Division 1 — General</w:t>
      </w:r>
    </w:p>
    <w:p w:rsidR="006169FD" w:rsidRDefault="006169FD">
      <w:pPr>
        <w:pStyle w:val="TOC8"/>
        <w:rPr>
          <w:rFonts w:asciiTheme="minorHAnsi" w:eastAsiaTheme="minorEastAsia" w:hAnsiTheme="minorHAnsi" w:cstheme="minorBidi"/>
          <w:szCs w:val="22"/>
        </w:rPr>
      </w:pPr>
      <w:r>
        <w:t>1.</w:t>
      </w:r>
      <w:r>
        <w:tab/>
        <w:t>Term used: Act</w:t>
      </w:r>
      <w:r>
        <w:tab/>
      </w:r>
      <w:r>
        <w:fldChar w:fldCharType="begin"/>
      </w:r>
      <w:r>
        <w:instrText xml:space="preserve"> PAGEREF _Toc75863219 \h </w:instrText>
      </w:r>
      <w:r>
        <w:fldChar w:fldCharType="separate"/>
      </w:r>
      <w:r w:rsidR="00FC1D84">
        <w:t>259</w:t>
      </w:r>
      <w:r>
        <w:fldChar w:fldCharType="end"/>
      </w:r>
    </w:p>
    <w:p w:rsidR="006169FD" w:rsidRDefault="006169FD">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_Toc75863220 \h </w:instrText>
      </w:r>
      <w:r>
        <w:fldChar w:fldCharType="separate"/>
      </w:r>
      <w:r w:rsidR="00FC1D84">
        <w:t>259</w:t>
      </w:r>
      <w:r>
        <w:fldChar w:fldCharType="end"/>
      </w:r>
    </w:p>
    <w:p w:rsidR="006169FD" w:rsidRDefault="006169FD">
      <w:pPr>
        <w:pStyle w:val="TOC4"/>
        <w:tabs>
          <w:tab w:val="right" w:leader="dot" w:pos="7077"/>
        </w:tabs>
        <w:rPr>
          <w:rFonts w:asciiTheme="minorHAnsi" w:eastAsiaTheme="minorEastAsia" w:hAnsiTheme="minorHAnsi" w:cstheme="minorBidi"/>
          <w:b w:val="0"/>
          <w:szCs w:val="22"/>
        </w:rPr>
      </w:pPr>
      <w:r>
        <w:lastRenderedPageBreak/>
        <w:t>Division 2 — Subpoenas to be served in New Zealand</w:t>
      </w:r>
    </w:p>
    <w:p w:rsidR="006169FD" w:rsidRDefault="006169FD">
      <w:pPr>
        <w:pStyle w:val="TOC8"/>
        <w:rPr>
          <w:rFonts w:asciiTheme="minorHAnsi" w:eastAsiaTheme="minorEastAsia" w:hAnsiTheme="minorHAnsi" w:cstheme="minorBidi"/>
          <w:szCs w:val="22"/>
        </w:rPr>
      </w:pPr>
      <w:r>
        <w:t>2A.</w:t>
      </w:r>
      <w:r>
        <w:tab/>
        <w:t>Form of subpoenas</w:t>
      </w:r>
      <w:r>
        <w:tab/>
      </w:r>
      <w:r>
        <w:fldChar w:fldCharType="begin"/>
      </w:r>
      <w:r>
        <w:instrText xml:space="preserve"> PAGEREF _Toc75863222 \h </w:instrText>
      </w:r>
      <w:r>
        <w:fldChar w:fldCharType="separate"/>
      </w:r>
      <w:r w:rsidR="00FC1D84">
        <w:t>259</w:t>
      </w:r>
      <w:r>
        <w:fldChar w:fldCharType="end"/>
      </w:r>
    </w:p>
    <w:p w:rsidR="006169FD" w:rsidRDefault="006169FD">
      <w:pPr>
        <w:pStyle w:val="TOC8"/>
        <w:rPr>
          <w:rFonts w:asciiTheme="minorHAnsi" w:eastAsiaTheme="minorEastAsia" w:hAnsiTheme="minorHAnsi" w:cstheme="minorBidi"/>
          <w:szCs w:val="22"/>
        </w:rPr>
      </w:pPr>
      <w:r>
        <w:t>3.</w:t>
      </w:r>
      <w:r>
        <w:tab/>
        <w:t>Leave to serve subpoena (Act s. 31)</w:t>
      </w:r>
      <w:r>
        <w:tab/>
      </w:r>
      <w:r>
        <w:fldChar w:fldCharType="begin"/>
      </w:r>
      <w:r>
        <w:instrText xml:space="preserve"> PAGEREF _Toc75863223 \h </w:instrText>
      </w:r>
      <w:r>
        <w:fldChar w:fldCharType="separate"/>
      </w:r>
      <w:r w:rsidR="00FC1D84">
        <w:t>260</w:t>
      </w:r>
      <w:r>
        <w:fldChar w:fldCharType="end"/>
      </w:r>
    </w:p>
    <w:p w:rsidR="006169FD" w:rsidRDefault="006169FD">
      <w:pPr>
        <w:pStyle w:val="TOC8"/>
        <w:rPr>
          <w:rFonts w:asciiTheme="minorHAnsi" w:eastAsiaTheme="minorEastAsia" w:hAnsiTheme="minorHAnsi" w:cstheme="minorBidi"/>
          <w:szCs w:val="22"/>
        </w:rPr>
      </w:pPr>
      <w:r>
        <w:t>4.</w:t>
      </w:r>
      <w:r>
        <w:tab/>
        <w:t>Setting aside subpoena (Act s. 35 and 36)</w:t>
      </w:r>
      <w:r>
        <w:tab/>
      </w:r>
      <w:r>
        <w:fldChar w:fldCharType="begin"/>
      </w:r>
      <w:r>
        <w:instrText xml:space="preserve"> PAGEREF _Toc75863224 \h </w:instrText>
      </w:r>
      <w:r>
        <w:fldChar w:fldCharType="separate"/>
      </w:r>
      <w:r w:rsidR="00FC1D84">
        <w:t>261</w:t>
      </w:r>
      <w:r>
        <w:fldChar w:fldCharType="end"/>
      </w:r>
    </w:p>
    <w:p w:rsidR="006169FD" w:rsidRDefault="006169FD">
      <w:pPr>
        <w:pStyle w:val="TOC8"/>
        <w:rPr>
          <w:rFonts w:asciiTheme="minorHAnsi" w:eastAsiaTheme="minorEastAsia" w:hAnsiTheme="minorHAnsi" w:cstheme="minorBidi"/>
          <w:szCs w:val="22"/>
        </w:rPr>
      </w:pPr>
      <w:r>
        <w:t>5.</w:t>
      </w:r>
      <w:r>
        <w:tab/>
        <w:t>Failure to comply with subpoena (Act s. 38)</w:t>
      </w:r>
      <w:r>
        <w:tab/>
      </w:r>
      <w:r>
        <w:fldChar w:fldCharType="begin"/>
      </w:r>
      <w:r>
        <w:instrText xml:space="preserve"> PAGEREF _Toc75863225 \h </w:instrText>
      </w:r>
      <w:r>
        <w:fldChar w:fldCharType="separate"/>
      </w:r>
      <w:r w:rsidR="00FC1D84">
        <w:t>262</w:t>
      </w:r>
      <w:r>
        <w:fldChar w:fldCharType="end"/>
      </w:r>
    </w:p>
    <w:p w:rsidR="006169FD" w:rsidRDefault="006169FD">
      <w:pPr>
        <w:pStyle w:val="TOC4"/>
        <w:tabs>
          <w:tab w:val="right" w:leader="dot" w:pos="7077"/>
        </w:tabs>
        <w:rPr>
          <w:rFonts w:asciiTheme="minorHAnsi" w:eastAsiaTheme="minorEastAsia" w:hAnsiTheme="minorHAnsi" w:cstheme="minorBidi"/>
          <w:b w:val="0"/>
          <w:szCs w:val="22"/>
        </w:rPr>
      </w:pPr>
      <w:r>
        <w:t>Division 3 — Remote appearances from New Zealand</w:t>
      </w:r>
    </w:p>
    <w:p w:rsidR="006169FD" w:rsidRDefault="006169FD">
      <w:pPr>
        <w:pStyle w:val="TOC8"/>
        <w:rPr>
          <w:rFonts w:asciiTheme="minorHAnsi" w:eastAsiaTheme="minorEastAsia" w:hAnsiTheme="minorHAnsi" w:cstheme="minorBidi"/>
          <w:szCs w:val="22"/>
        </w:rPr>
      </w:pPr>
      <w:r>
        <w:t>6A.</w:t>
      </w:r>
      <w:r>
        <w:tab/>
        <w:t>Appearances by audio link or audiovisual link (Act s. 48)</w:t>
      </w:r>
      <w:r>
        <w:tab/>
      </w:r>
      <w:r>
        <w:fldChar w:fldCharType="begin"/>
      </w:r>
      <w:r>
        <w:instrText xml:space="preserve"> PAGEREF _Toc75863227 \h </w:instrText>
      </w:r>
      <w:r>
        <w:fldChar w:fldCharType="separate"/>
      </w:r>
      <w:r w:rsidR="00FC1D84">
        <w:t>263</w:t>
      </w:r>
      <w:r>
        <w:fldChar w:fldCharType="end"/>
      </w:r>
    </w:p>
    <w:p w:rsidR="006169FD" w:rsidRDefault="006169FD">
      <w:pPr>
        <w:pStyle w:val="TOC8"/>
        <w:rPr>
          <w:rFonts w:asciiTheme="minorHAnsi" w:eastAsiaTheme="minorEastAsia" w:hAnsiTheme="minorHAnsi" w:cstheme="minorBidi"/>
          <w:szCs w:val="22"/>
        </w:rPr>
      </w:pPr>
      <w:r>
        <w:t>6.</w:t>
      </w:r>
      <w:r>
        <w:tab/>
        <w:t>Evidence by audio link or audiovisual link (Act s. 50)</w:t>
      </w:r>
      <w:r>
        <w:tab/>
      </w:r>
      <w:r>
        <w:fldChar w:fldCharType="begin"/>
      </w:r>
      <w:r>
        <w:instrText xml:space="preserve"> PAGEREF _Toc75863228 \h </w:instrText>
      </w:r>
      <w:r>
        <w:fldChar w:fldCharType="separate"/>
      </w:r>
      <w:r w:rsidR="00FC1D84">
        <w:t>264</w:t>
      </w:r>
      <w:r>
        <w:fldChar w:fldCharType="end"/>
      </w:r>
    </w:p>
    <w:p w:rsidR="006169FD" w:rsidRDefault="006169FD">
      <w:pPr>
        <w:pStyle w:val="TOC4"/>
        <w:tabs>
          <w:tab w:val="right" w:leader="dot" w:pos="7077"/>
        </w:tabs>
        <w:rPr>
          <w:rFonts w:asciiTheme="minorHAnsi" w:eastAsiaTheme="minorEastAsia" w:hAnsiTheme="minorHAnsi" w:cstheme="minorBidi"/>
          <w:b w:val="0"/>
          <w:szCs w:val="22"/>
        </w:rPr>
      </w:pPr>
      <w:r>
        <w:t>Division 4 — Registration and enforcement of NZ judgments</w:t>
      </w:r>
    </w:p>
    <w:p w:rsidR="006169FD" w:rsidRDefault="006169FD">
      <w:pPr>
        <w:pStyle w:val="TOC8"/>
        <w:rPr>
          <w:rFonts w:asciiTheme="minorHAnsi" w:eastAsiaTheme="minorEastAsia" w:hAnsiTheme="minorHAnsi" w:cstheme="minorBidi"/>
          <w:szCs w:val="22"/>
        </w:rPr>
      </w:pPr>
      <w:r>
        <w:t>7.</w:t>
      </w:r>
      <w:r>
        <w:tab/>
        <w:t>Setting aside registration of NZ judgment (Act s. 72)</w:t>
      </w:r>
      <w:r>
        <w:tab/>
      </w:r>
      <w:r>
        <w:fldChar w:fldCharType="begin"/>
      </w:r>
      <w:r>
        <w:instrText xml:space="preserve"> PAGEREF _Toc75863230 \h </w:instrText>
      </w:r>
      <w:r>
        <w:fldChar w:fldCharType="separate"/>
      </w:r>
      <w:r w:rsidR="00FC1D84">
        <w:t>265</w:t>
      </w:r>
      <w:r>
        <w:fldChar w:fldCharType="end"/>
      </w:r>
    </w:p>
    <w:p w:rsidR="006169FD" w:rsidRDefault="006169FD">
      <w:pPr>
        <w:pStyle w:val="TOC8"/>
        <w:rPr>
          <w:rFonts w:asciiTheme="minorHAnsi" w:eastAsiaTheme="minorEastAsia" w:hAnsiTheme="minorHAnsi" w:cstheme="minorBidi"/>
          <w:szCs w:val="22"/>
        </w:rPr>
      </w:pPr>
      <w:r>
        <w:t>8.</w:t>
      </w:r>
      <w:r>
        <w:tab/>
        <w:t>Stay of enforcement of registered NZ judgment (Act s. 76)</w:t>
      </w:r>
      <w:r>
        <w:tab/>
      </w:r>
      <w:r>
        <w:fldChar w:fldCharType="begin"/>
      </w:r>
      <w:r>
        <w:instrText xml:space="preserve"> PAGEREF _Toc75863231 \h </w:instrText>
      </w:r>
      <w:r>
        <w:fldChar w:fldCharType="separate"/>
      </w:r>
      <w:r w:rsidR="00FC1D84">
        <w:t>266</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40 — Court experts</w:t>
      </w:r>
    </w:p>
    <w:p w:rsidR="006169FD" w:rsidRDefault="006169FD">
      <w:pPr>
        <w:pStyle w:val="TOC8"/>
        <w:rPr>
          <w:rFonts w:asciiTheme="minorHAnsi" w:eastAsiaTheme="minorEastAsia" w:hAnsiTheme="minorHAnsi" w:cstheme="minorBidi"/>
          <w:szCs w:val="22"/>
        </w:rPr>
      </w:pPr>
      <w:r>
        <w:t>1</w:t>
      </w:r>
      <w:r w:rsidRPr="00AA3DF9">
        <w:rPr>
          <w:snapToGrid w:val="0"/>
        </w:rPr>
        <w:t>.</w:t>
      </w:r>
      <w:r w:rsidRPr="00AA3DF9">
        <w:rPr>
          <w:snapToGrid w:val="0"/>
        </w:rPr>
        <w:tab/>
        <w:t>Terms used</w:t>
      </w:r>
      <w:r>
        <w:tab/>
      </w:r>
      <w:r>
        <w:fldChar w:fldCharType="begin"/>
      </w:r>
      <w:r>
        <w:instrText xml:space="preserve"> PAGEREF _Toc75863233 \h </w:instrText>
      </w:r>
      <w:r>
        <w:fldChar w:fldCharType="separate"/>
      </w:r>
      <w:r w:rsidR="00FC1D84">
        <w:t>267</w:t>
      </w:r>
      <w:r>
        <w:fldChar w:fldCharType="end"/>
      </w:r>
    </w:p>
    <w:p w:rsidR="006169FD" w:rsidRDefault="006169FD">
      <w:pPr>
        <w:pStyle w:val="TOC8"/>
        <w:rPr>
          <w:rFonts w:asciiTheme="minorHAnsi" w:eastAsiaTheme="minorEastAsia" w:hAnsiTheme="minorHAnsi" w:cstheme="minorBidi"/>
          <w:szCs w:val="22"/>
        </w:rPr>
      </w:pPr>
      <w:r>
        <w:t>2</w:t>
      </w:r>
      <w:r w:rsidRPr="00AA3DF9">
        <w:rPr>
          <w:snapToGrid w:val="0"/>
        </w:rPr>
        <w:t>.</w:t>
      </w:r>
      <w:r w:rsidRPr="00AA3DF9">
        <w:rPr>
          <w:snapToGrid w:val="0"/>
        </w:rPr>
        <w:tab/>
        <w:t>Court expert, appointment of etc.</w:t>
      </w:r>
      <w:r>
        <w:tab/>
      </w:r>
      <w:r>
        <w:fldChar w:fldCharType="begin"/>
      </w:r>
      <w:r>
        <w:instrText xml:space="preserve"> PAGEREF _Toc75863234 \h </w:instrText>
      </w:r>
      <w:r>
        <w:fldChar w:fldCharType="separate"/>
      </w:r>
      <w:r w:rsidR="00FC1D84">
        <w:t>267</w:t>
      </w:r>
      <w:r>
        <w:fldChar w:fldCharType="end"/>
      </w:r>
    </w:p>
    <w:p w:rsidR="006169FD" w:rsidRDefault="006169FD">
      <w:pPr>
        <w:pStyle w:val="TOC8"/>
        <w:rPr>
          <w:rFonts w:asciiTheme="minorHAnsi" w:eastAsiaTheme="minorEastAsia" w:hAnsiTheme="minorHAnsi" w:cstheme="minorBidi"/>
          <w:szCs w:val="22"/>
        </w:rPr>
      </w:pPr>
      <w:r>
        <w:t>3</w:t>
      </w:r>
      <w:r w:rsidRPr="00AA3DF9">
        <w:rPr>
          <w:snapToGrid w:val="0"/>
        </w:rPr>
        <w:t>.</w:t>
      </w:r>
      <w:r w:rsidRPr="00AA3DF9">
        <w:rPr>
          <w:snapToGrid w:val="0"/>
        </w:rPr>
        <w:tab/>
        <w:t>Report of Court expert</w:t>
      </w:r>
      <w:r>
        <w:tab/>
      </w:r>
      <w:r>
        <w:fldChar w:fldCharType="begin"/>
      </w:r>
      <w:r>
        <w:instrText xml:space="preserve"> PAGEREF _Toc75863235 \h </w:instrText>
      </w:r>
      <w:r>
        <w:fldChar w:fldCharType="separate"/>
      </w:r>
      <w:r w:rsidR="00FC1D84">
        <w:t>268</w:t>
      </w:r>
      <w:r>
        <w:fldChar w:fldCharType="end"/>
      </w:r>
    </w:p>
    <w:p w:rsidR="006169FD" w:rsidRDefault="006169FD">
      <w:pPr>
        <w:pStyle w:val="TOC8"/>
        <w:rPr>
          <w:rFonts w:asciiTheme="minorHAnsi" w:eastAsiaTheme="minorEastAsia" w:hAnsiTheme="minorHAnsi" w:cstheme="minorBidi"/>
          <w:szCs w:val="22"/>
        </w:rPr>
      </w:pPr>
      <w:r>
        <w:t>4</w:t>
      </w:r>
      <w:r w:rsidRPr="00AA3DF9">
        <w:rPr>
          <w:snapToGrid w:val="0"/>
        </w:rPr>
        <w:t>.</w:t>
      </w:r>
      <w:r w:rsidRPr="00AA3DF9">
        <w:rPr>
          <w:snapToGrid w:val="0"/>
        </w:rPr>
        <w:tab/>
        <w:t>Cross</w:t>
      </w:r>
      <w:r w:rsidRPr="00AA3DF9">
        <w:rPr>
          <w:snapToGrid w:val="0"/>
        </w:rPr>
        <w:noBreakHyphen/>
        <w:t>examination of Court expert</w:t>
      </w:r>
      <w:r>
        <w:tab/>
      </w:r>
      <w:r>
        <w:fldChar w:fldCharType="begin"/>
      </w:r>
      <w:r>
        <w:instrText xml:space="preserve"> PAGEREF _Toc75863236 \h </w:instrText>
      </w:r>
      <w:r>
        <w:fldChar w:fldCharType="separate"/>
      </w:r>
      <w:r w:rsidR="00FC1D84">
        <w:t>268</w:t>
      </w:r>
      <w:r>
        <w:fldChar w:fldCharType="end"/>
      </w:r>
    </w:p>
    <w:p w:rsidR="006169FD" w:rsidRDefault="006169FD">
      <w:pPr>
        <w:pStyle w:val="TOC8"/>
        <w:rPr>
          <w:rFonts w:asciiTheme="minorHAnsi" w:eastAsiaTheme="minorEastAsia" w:hAnsiTheme="minorHAnsi" w:cstheme="minorBidi"/>
          <w:szCs w:val="22"/>
        </w:rPr>
      </w:pPr>
      <w:r>
        <w:t>5</w:t>
      </w:r>
      <w:r w:rsidRPr="00AA3DF9">
        <w:rPr>
          <w:snapToGrid w:val="0"/>
        </w:rPr>
        <w:t>.</w:t>
      </w:r>
      <w:r w:rsidRPr="00AA3DF9">
        <w:rPr>
          <w:snapToGrid w:val="0"/>
        </w:rPr>
        <w:tab/>
        <w:t>Remuneration of Court expert</w:t>
      </w:r>
      <w:r>
        <w:tab/>
      </w:r>
      <w:r>
        <w:fldChar w:fldCharType="begin"/>
      </w:r>
      <w:r>
        <w:instrText xml:space="preserve"> PAGEREF _Toc75863237 \h </w:instrText>
      </w:r>
      <w:r>
        <w:fldChar w:fldCharType="separate"/>
      </w:r>
      <w:r w:rsidR="00FC1D84">
        <w:t>268</w:t>
      </w:r>
      <w:r>
        <w:fldChar w:fldCharType="end"/>
      </w:r>
    </w:p>
    <w:p w:rsidR="006169FD" w:rsidRDefault="006169FD">
      <w:pPr>
        <w:pStyle w:val="TOC8"/>
        <w:rPr>
          <w:rFonts w:asciiTheme="minorHAnsi" w:eastAsiaTheme="minorEastAsia" w:hAnsiTheme="minorHAnsi" w:cstheme="minorBidi"/>
          <w:szCs w:val="22"/>
        </w:rPr>
      </w:pPr>
      <w:r>
        <w:t>6</w:t>
      </w:r>
      <w:r w:rsidRPr="00AA3DF9">
        <w:rPr>
          <w:snapToGrid w:val="0"/>
        </w:rPr>
        <w:t>.</w:t>
      </w:r>
      <w:r w:rsidRPr="00AA3DF9">
        <w:rPr>
          <w:snapToGrid w:val="0"/>
        </w:rPr>
        <w:tab/>
        <w:t>Further expert witnesses</w:t>
      </w:r>
      <w:r>
        <w:tab/>
      </w:r>
      <w:r>
        <w:fldChar w:fldCharType="begin"/>
      </w:r>
      <w:r>
        <w:instrText xml:space="preserve"> PAGEREF _Toc75863238 \h </w:instrText>
      </w:r>
      <w:r>
        <w:fldChar w:fldCharType="separate"/>
      </w:r>
      <w:r w:rsidR="00FC1D84">
        <w:t>269</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41 — Motion for judgment</w:t>
      </w:r>
    </w:p>
    <w:p w:rsidR="006169FD" w:rsidRDefault="006169FD">
      <w:pPr>
        <w:pStyle w:val="TOC8"/>
        <w:rPr>
          <w:rFonts w:asciiTheme="minorHAnsi" w:eastAsiaTheme="minorEastAsia" w:hAnsiTheme="minorHAnsi" w:cstheme="minorBidi"/>
          <w:szCs w:val="22"/>
        </w:rPr>
      </w:pPr>
      <w:r>
        <w:t>1</w:t>
      </w:r>
      <w:r w:rsidRPr="00AA3DF9">
        <w:rPr>
          <w:snapToGrid w:val="0"/>
        </w:rPr>
        <w:t>.</w:t>
      </w:r>
      <w:r w:rsidRPr="00AA3DF9">
        <w:rPr>
          <w:snapToGrid w:val="0"/>
        </w:rPr>
        <w:tab/>
        <w:t>Judgment to be on motion</w:t>
      </w:r>
      <w:r>
        <w:tab/>
      </w:r>
      <w:r>
        <w:fldChar w:fldCharType="begin"/>
      </w:r>
      <w:r>
        <w:instrText xml:space="preserve"> PAGEREF _Toc75863240 \h </w:instrText>
      </w:r>
      <w:r>
        <w:fldChar w:fldCharType="separate"/>
      </w:r>
      <w:r w:rsidR="00FC1D84">
        <w:t>270</w:t>
      </w:r>
      <w:r>
        <w:fldChar w:fldCharType="end"/>
      </w:r>
    </w:p>
    <w:p w:rsidR="006169FD" w:rsidRDefault="006169FD">
      <w:pPr>
        <w:pStyle w:val="TOC8"/>
        <w:rPr>
          <w:rFonts w:asciiTheme="minorHAnsi" w:eastAsiaTheme="minorEastAsia" w:hAnsiTheme="minorHAnsi" w:cstheme="minorBidi"/>
          <w:szCs w:val="22"/>
        </w:rPr>
      </w:pPr>
      <w:r>
        <w:t>2</w:t>
      </w:r>
      <w:r w:rsidRPr="00AA3DF9">
        <w:rPr>
          <w:snapToGrid w:val="0"/>
        </w:rPr>
        <w:t>.</w:t>
      </w:r>
      <w:r w:rsidRPr="00AA3DF9">
        <w:rPr>
          <w:snapToGrid w:val="0"/>
        </w:rPr>
        <w:tab/>
        <w:t>When motion for judgment may be set down after trial etc.</w:t>
      </w:r>
      <w:r>
        <w:tab/>
      </w:r>
      <w:r>
        <w:fldChar w:fldCharType="begin"/>
      </w:r>
      <w:r>
        <w:instrText xml:space="preserve"> PAGEREF _Toc75863241 \h </w:instrText>
      </w:r>
      <w:r>
        <w:fldChar w:fldCharType="separate"/>
      </w:r>
      <w:r w:rsidR="00FC1D84">
        <w:t>270</w:t>
      </w:r>
      <w:r>
        <w:fldChar w:fldCharType="end"/>
      </w:r>
    </w:p>
    <w:p w:rsidR="006169FD" w:rsidRDefault="006169FD">
      <w:pPr>
        <w:pStyle w:val="TOC8"/>
        <w:rPr>
          <w:rFonts w:asciiTheme="minorHAnsi" w:eastAsiaTheme="minorEastAsia" w:hAnsiTheme="minorHAnsi" w:cstheme="minorBidi"/>
          <w:szCs w:val="22"/>
        </w:rPr>
      </w:pPr>
      <w:r>
        <w:t>3</w:t>
      </w:r>
      <w:r w:rsidRPr="00AA3DF9">
        <w:rPr>
          <w:snapToGrid w:val="0"/>
        </w:rPr>
        <w:t>.</w:t>
      </w:r>
      <w:r w:rsidRPr="00AA3DF9">
        <w:rPr>
          <w:snapToGrid w:val="0"/>
        </w:rPr>
        <w:tab/>
        <w:t>Motion for judgment before trial etc. of all issues</w:t>
      </w:r>
      <w:r>
        <w:tab/>
      </w:r>
      <w:r>
        <w:fldChar w:fldCharType="begin"/>
      </w:r>
      <w:r>
        <w:instrText xml:space="preserve"> PAGEREF _Toc75863242 \h </w:instrText>
      </w:r>
      <w:r>
        <w:fldChar w:fldCharType="separate"/>
      </w:r>
      <w:r w:rsidR="00FC1D84">
        <w:t>270</w:t>
      </w:r>
      <w:r>
        <w:fldChar w:fldCharType="end"/>
      </w:r>
    </w:p>
    <w:p w:rsidR="006169FD" w:rsidRDefault="006169FD">
      <w:pPr>
        <w:pStyle w:val="TOC8"/>
        <w:rPr>
          <w:rFonts w:asciiTheme="minorHAnsi" w:eastAsiaTheme="minorEastAsia" w:hAnsiTheme="minorHAnsi" w:cstheme="minorBidi"/>
          <w:szCs w:val="22"/>
        </w:rPr>
      </w:pPr>
      <w:r>
        <w:t>4</w:t>
      </w:r>
      <w:r w:rsidRPr="00AA3DF9">
        <w:rPr>
          <w:snapToGrid w:val="0"/>
        </w:rPr>
        <w:t>.</w:t>
      </w:r>
      <w:r w:rsidRPr="00AA3DF9">
        <w:rPr>
          <w:snapToGrid w:val="0"/>
        </w:rPr>
        <w:tab/>
        <w:t>Motion for judgment to be set down within one year</w:t>
      </w:r>
      <w:r>
        <w:tab/>
      </w:r>
      <w:r>
        <w:fldChar w:fldCharType="begin"/>
      </w:r>
      <w:r>
        <w:instrText xml:space="preserve"> PAGEREF _Toc75863243 \h </w:instrText>
      </w:r>
      <w:r>
        <w:fldChar w:fldCharType="separate"/>
      </w:r>
      <w:r w:rsidR="00FC1D84">
        <w:t>271</w:t>
      </w:r>
      <w:r>
        <w:fldChar w:fldCharType="end"/>
      </w:r>
    </w:p>
    <w:p w:rsidR="006169FD" w:rsidRDefault="006169FD">
      <w:pPr>
        <w:pStyle w:val="TOC8"/>
        <w:rPr>
          <w:rFonts w:asciiTheme="minorHAnsi" w:eastAsiaTheme="minorEastAsia" w:hAnsiTheme="minorHAnsi" w:cstheme="minorBidi"/>
          <w:szCs w:val="22"/>
        </w:rPr>
      </w:pPr>
      <w:r>
        <w:t>5</w:t>
      </w:r>
      <w:r w:rsidRPr="00AA3DF9">
        <w:rPr>
          <w:snapToGrid w:val="0"/>
        </w:rPr>
        <w:t>.</w:t>
      </w:r>
      <w:r w:rsidRPr="00AA3DF9">
        <w:rPr>
          <w:snapToGrid w:val="0"/>
        </w:rPr>
        <w:tab/>
        <w:t>Court may draw inferences and determine questions</w:t>
      </w:r>
      <w:r>
        <w:tab/>
      </w:r>
      <w:r>
        <w:fldChar w:fldCharType="begin"/>
      </w:r>
      <w:r>
        <w:instrText xml:space="preserve"> PAGEREF _Toc75863244 \h </w:instrText>
      </w:r>
      <w:r>
        <w:fldChar w:fldCharType="separate"/>
      </w:r>
      <w:r w:rsidR="00FC1D84">
        <w:t>271</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42 — Entry of judgment</w:t>
      </w:r>
    </w:p>
    <w:p w:rsidR="006169FD" w:rsidRDefault="006169FD">
      <w:pPr>
        <w:pStyle w:val="TOC8"/>
        <w:rPr>
          <w:rFonts w:asciiTheme="minorHAnsi" w:eastAsiaTheme="minorEastAsia" w:hAnsiTheme="minorHAnsi" w:cstheme="minorBidi"/>
          <w:szCs w:val="22"/>
        </w:rPr>
      </w:pPr>
      <w:r>
        <w:t>1</w:t>
      </w:r>
      <w:r w:rsidRPr="00AA3DF9">
        <w:rPr>
          <w:snapToGrid w:val="0"/>
        </w:rPr>
        <w:t>.</w:t>
      </w:r>
      <w:r w:rsidRPr="00AA3DF9">
        <w:rPr>
          <w:snapToGrid w:val="0"/>
        </w:rPr>
        <w:tab/>
        <w:t>Mode and form of entry</w:t>
      </w:r>
      <w:r>
        <w:tab/>
      </w:r>
      <w:r>
        <w:fldChar w:fldCharType="begin"/>
      </w:r>
      <w:r>
        <w:instrText xml:space="preserve"> PAGEREF _Toc75863246 \h </w:instrText>
      </w:r>
      <w:r>
        <w:fldChar w:fldCharType="separate"/>
      </w:r>
      <w:r w:rsidR="00FC1D84">
        <w:t>272</w:t>
      </w:r>
      <w:r>
        <w:fldChar w:fldCharType="end"/>
      </w:r>
    </w:p>
    <w:p w:rsidR="006169FD" w:rsidRDefault="006169FD">
      <w:pPr>
        <w:pStyle w:val="TOC8"/>
        <w:rPr>
          <w:rFonts w:asciiTheme="minorHAnsi" w:eastAsiaTheme="minorEastAsia" w:hAnsiTheme="minorHAnsi" w:cstheme="minorBidi"/>
          <w:szCs w:val="22"/>
        </w:rPr>
      </w:pPr>
      <w:r>
        <w:lastRenderedPageBreak/>
        <w:t>2</w:t>
      </w:r>
      <w:r w:rsidRPr="00AA3DF9">
        <w:rPr>
          <w:snapToGrid w:val="0"/>
        </w:rPr>
        <w:t>.</w:t>
      </w:r>
      <w:r w:rsidRPr="00AA3DF9">
        <w:rPr>
          <w:snapToGrid w:val="0"/>
        </w:rPr>
        <w:tab/>
        <w:t>Date from which judgment or order takes effect</w:t>
      </w:r>
      <w:r>
        <w:tab/>
      </w:r>
      <w:r>
        <w:fldChar w:fldCharType="begin"/>
      </w:r>
      <w:r>
        <w:instrText xml:space="preserve"> PAGEREF _Toc75863247 \h </w:instrText>
      </w:r>
      <w:r>
        <w:fldChar w:fldCharType="separate"/>
      </w:r>
      <w:r w:rsidR="00FC1D84">
        <w:t>272</w:t>
      </w:r>
      <w:r>
        <w:fldChar w:fldCharType="end"/>
      </w:r>
    </w:p>
    <w:p w:rsidR="006169FD" w:rsidRDefault="006169FD">
      <w:pPr>
        <w:pStyle w:val="TOC8"/>
        <w:rPr>
          <w:rFonts w:asciiTheme="minorHAnsi" w:eastAsiaTheme="minorEastAsia" w:hAnsiTheme="minorHAnsi" w:cstheme="minorBidi"/>
          <w:szCs w:val="22"/>
        </w:rPr>
      </w:pPr>
      <w:r>
        <w:t>3</w:t>
      </w:r>
      <w:r w:rsidRPr="00AA3DF9">
        <w:rPr>
          <w:snapToGrid w:val="0"/>
        </w:rPr>
        <w:t>.</w:t>
      </w:r>
      <w:r w:rsidRPr="00AA3DF9">
        <w:rPr>
          <w:snapToGrid w:val="0"/>
        </w:rPr>
        <w:tab/>
        <w:t>Orders to do an act, time for obeying to be specified</w:t>
      </w:r>
      <w:r>
        <w:tab/>
      </w:r>
      <w:r>
        <w:fldChar w:fldCharType="begin"/>
      </w:r>
      <w:r>
        <w:instrText xml:space="preserve"> PAGEREF _Toc75863248 \h </w:instrText>
      </w:r>
      <w:r>
        <w:fldChar w:fldCharType="separate"/>
      </w:r>
      <w:r w:rsidR="00FC1D84">
        <w:t>272</w:t>
      </w:r>
      <w:r>
        <w:fldChar w:fldCharType="end"/>
      </w:r>
    </w:p>
    <w:p w:rsidR="006169FD" w:rsidRDefault="006169FD">
      <w:pPr>
        <w:pStyle w:val="TOC8"/>
        <w:rPr>
          <w:rFonts w:asciiTheme="minorHAnsi" w:eastAsiaTheme="minorEastAsia" w:hAnsiTheme="minorHAnsi" w:cstheme="minorBidi"/>
          <w:szCs w:val="22"/>
        </w:rPr>
      </w:pPr>
      <w:r>
        <w:t>4</w:t>
      </w:r>
      <w:r w:rsidRPr="00AA3DF9">
        <w:rPr>
          <w:snapToGrid w:val="0"/>
        </w:rPr>
        <w:t>.</w:t>
      </w:r>
      <w:r w:rsidRPr="00AA3DF9">
        <w:rPr>
          <w:snapToGrid w:val="0"/>
        </w:rPr>
        <w:tab/>
        <w:t>Entering judgment on filing of affidavit etc.</w:t>
      </w:r>
      <w:r>
        <w:tab/>
      </w:r>
      <w:r>
        <w:fldChar w:fldCharType="begin"/>
      </w:r>
      <w:r>
        <w:instrText xml:space="preserve"> PAGEREF _Toc75863249 \h </w:instrText>
      </w:r>
      <w:r>
        <w:fldChar w:fldCharType="separate"/>
      </w:r>
      <w:r w:rsidR="00FC1D84">
        <w:t>272</w:t>
      </w:r>
      <w:r>
        <w:fldChar w:fldCharType="end"/>
      </w:r>
    </w:p>
    <w:p w:rsidR="006169FD" w:rsidRDefault="006169FD">
      <w:pPr>
        <w:pStyle w:val="TOC8"/>
        <w:rPr>
          <w:rFonts w:asciiTheme="minorHAnsi" w:eastAsiaTheme="minorEastAsia" w:hAnsiTheme="minorHAnsi" w:cstheme="minorBidi"/>
          <w:szCs w:val="22"/>
        </w:rPr>
      </w:pPr>
      <w:r>
        <w:t>5</w:t>
      </w:r>
      <w:r w:rsidRPr="00AA3DF9">
        <w:rPr>
          <w:snapToGrid w:val="0"/>
        </w:rPr>
        <w:t>.</w:t>
      </w:r>
      <w:r w:rsidRPr="00AA3DF9">
        <w:rPr>
          <w:snapToGrid w:val="0"/>
        </w:rPr>
        <w:tab/>
        <w:t>Entering judgment pursuant to order etc.</w:t>
      </w:r>
      <w:r>
        <w:tab/>
      </w:r>
      <w:r>
        <w:fldChar w:fldCharType="begin"/>
      </w:r>
      <w:r>
        <w:instrText xml:space="preserve"> PAGEREF _Toc75863250 \h </w:instrText>
      </w:r>
      <w:r>
        <w:fldChar w:fldCharType="separate"/>
      </w:r>
      <w:r w:rsidR="00FC1D84">
        <w:t>273</w:t>
      </w:r>
      <w:r>
        <w:fldChar w:fldCharType="end"/>
      </w:r>
    </w:p>
    <w:p w:rsidR="006169FD" w:rsidRDefault="006169FD">
      <w:pPr>
        <w:pStyle w:val="TOC8"/>
        <w:rPr>
          <w:rFonts w:asciiTheme="minorHAnsi" w:eastAsiaTheme="minorEastAsia" w:hAnsiTheme="minorHAnsi" w:cstheme="minorBidi"/>
          <w:szCs w:val="22"/>
        </w:rPr>
      </w:pPr>
      <w:r>
        <w:t>6</w:t>
      </w:r>
      <w:r w:rsidRPr="00AA3DF9">
        <w:rPr>
          <w:snapToGrid w:val="0"/>
        </w:rPr>
        <w:t>.</w:t>
      </w:r>
      <w:r w:rsidRPr="00AA3DF9">
        <w:rPr>
          <w:snapToGrid w:val="0"/>
        </w:rPr>
        <w:tab/>
        <w:t>Entering judgment on certificate of master or registrar</w:t>
      </w:r>
      <w:r>
        <w:tab/>
      </w:r>
      <w:r>
        <w:fldChar w:fldCharType="begin"/>
      </w:r>
      <w:r>
        <w:instrText xml:space="preserve"> PAGEREF _Toc75863251 \h </w:instrText>
      </w:r>
      <w:r>
        <w:fldChar w:fldCharType="separate"/>
      </w:r>
      <w:r w:rsidR="00FC1D84">
        <w:t>273</w:t>
      </w:r>
      <w:r>
        <w:fldChar w:fldCharType="end"/>
      </w:r>
    </w:p>
    <w:p w:rsidR="006169FD" w:rsidRDefault="006169FD">
      <w:pPr>
        <w:pStyle w:val="TOC8"/>
        <w:rPr>
          <w:rFonts w:asciiTheme="minorHAnsi" w:eastAsiaTheme="minorEastAsia" w:hAnsiTheme="minorHAnsi" w:cstheme="minorBidi"/>
          <w:szCs w:val="22"/>
        </w:rPr>
      </w:pPr>
      <w:r>
        <w:t>7</w:t>
      </w:r>
      <w:r w:rsidRPr="00AA3DF9">
        <w:rPr>
          <w:snapToGrid w:val="0"/>
        </w:rPr>
        <w:t>.</w:t>
      </w:r>
      <w:r w:rsidRPr="00AA3DF9">
        <w:rPr>
          <w:snapToGrid w:val="0"/>
        </w:rPr>
        <w:tab/>
        <w:t>Entering judgment by consent when party appears by solicitor</w:t>
      </w:r>
      <w:r>
        <w:tab/>
      </w:r>
      <w:r>
        <w:fldChar w:fldCharType="begin"/>
      </w:r>
      <w:r>
        <w:instrText xml:space="preserve"> PAGEREF _Toc75863252 \h </w:instrText>
      </w:r>
      <w:r>
        <w:fldChar w:fldCharType="separate"/>
      </w:r>
      <w:r w:rsidR="00FC1D84">
        <w:t>273</w:t>
      </w:r>
      <w:r>
        <w:fldChar w:fldCharType="end"/>
      </w:r>
    </w:p>
    <w:p w:rsidR="006169FD" w:rsidRDefault="006169FD">
      <w:pPr>
        <w:pStyle w:val="TOC8"/>
        <w:rPr>
          <w:rFonts w:asciiTheme="minorHAnsi" w:eastAsiaTheme="minorEastAsia" w:hAnsiTheme="minorHAnsi" w:cstheme="minorBidi"/>
          <w:szCs w:val="22"/>
        </w:rPr>
      </w:pPr>
      <w:r>
        <w:t>8</w:t>
      </w:r>
      <w:r w:rsidRPr="00AA3DF9">
        <w:rPr>
          <w:snapToGrid w:val="0"/>
        </w:rPr>
        <w:t>.</w:t>
      </w:r>
      <w:r w:rsidRPr="00AA3DF9">
        <w:rPr>
          <w:snapToGrid w:val="0"/>
        </w:rPr>
        <w:tab/>
        <w:t>Entering judgment by consent where defendant has not appeared or is self</w:t>
      </w:r>
      <w:r w:rsidRPr="00AA3DF9">
        <w:rPr>
          <w:snapToGrid w:val="0"/>
        </w:rPr>
        <w:noBreakHyphen/>
        <w:t>represented</w:t>
      </w:r>
      <w:r>
        <w:tab/>
      </w:r>
      <w:r>
        <w:fldChar w:fldCharType="begin"/>
      </w:r>
      <w:r>
        <w:instrText xml:space="preserve"> PAGEREF _Toc75863253 \h </w:instrText>
      </w:r>
      <w:r>
        <w:fldChar w:fldCharType="separate"/>
      </w:r>
      <w:r w:rsidR="00FC1D84">
        <w:t>273</w:t>
      </w:r>
      <w:r>
        <w:fldChar w:fldCharType="end"/>
      </w:r>
    </w:p>
    <w:p w:rsidR="006169FD" w:rsidRDefault="006169FD">
      <w:pPr>
        <w:pStyle w:val="TOC8"/>
        <w:rPr>
          <w:rFonts w:asciiTheme="minorHAnsi" w:eastAsiaTheme="minorEastAsia" w:hAnsiTheme="minorHAnsi" w:cstheme="minorBidi"/>
          <w:szCs w:val="22"/>
        </w:rPr>
      </w:pPr>
      <w:r>
        <w:t>9</w:t>
      </w:r>
      <w:r w:rsidRPr="00AA3DF9">
        <w:rPr>
          <w:snapToGrid w:val="0"/>
        </w:rPr>
        <w:t>.</w:t>
      </w:r>
      <w:r w:rsidRPr="00AA3DF9">
        <w:rPr>
          <w:snapToGrid w:val="0"/>
        </w:rPr>
        <w:tab/>
        <w:t>Satisfaction of judgments</w:t>
      </w:r>
      <w:r>
        <w:tab/>
      </w:r>
      <w:r>
        <w:fldChar w:fldCharType="begin"/>
      </w:r>
      <w:r>
        <w:instrText xml:space="preserve"> PAGEREF _Toc75863254 \h </w:instrText>
      </w:r>
      <w:r>
        <w:fldChar w:fldCharType="separate"/>
      </w:r>
      <w:r w:rsidR="00FC1D84">
        <w:t>274</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43 — Drawing up judgments and orders</w:t>
      </w:r>
    </w:p>
    <w:p w:rsidR="006169FD" w:rsidRDefault="006169FD">
      <w:pPr>
        <w:pStyle w:val="TOC8"/>
        <w:rPr>
          <w:rFonts w:asciiTheme="minorHAnsi" w:eastAsiaTheme="minorEastAsia" w:hAnsiTheme="minorHAnsi" w:cstheme="minorBidi"/>
          <w:szCs w:val="22"/>
        </w:rPr>
      </w:pPr>
      <w:r>
        <w:t>1</w:t>
      </w:r>
      <w:r w:rsidRPr="00AA3DF9">
        <w:rPr>
          <w:snapToGrid w:val="0"/>
        </w:rPr>
        <w:t>.</w:t>
      </w:r>
      <w:r w:rsidRPr="00AA3DF9">
        <w:rPr>
          <w:snapToGrid w:val="0"/>
        </w:rPr>
        <w:tab/>
        <w:t>Drawing up etc. judgments etc.</w:t>
      </w:r>
      <w:r>
        <w:tab/>
      </w:r>
      <w:r>
        <w:fldChar w:fldCharType="begin"/>
      </w:r>
      <w:r>
        <w:instrText xml:space="preserve"> PAGEREF _Toc75863256 \h </w:instrText>
      </w:r>
      <w:r>
        <w:fldChar w:fldCharType="separate"/>
      </w:r>
      <w:r w:rsidR="00FC1D84">
        <w:t>275</w:t>
      </w:r>
      <w:r>
        <w:fldChar w:fldCharType="end"/>
      </w:r>
    </w:p>
    <w:p w:rsidR="006169FD" w:rsidRDefault="006169FD">
      <w:pPr>
        <w:pStyle w:val="TOC8"/>
        <w:rPr>
          <w:rFonts w:asciiTheme="minorHAnsi" w:eastAsiaTheme="minorEastAsia" w:hAnsiTheme="minorHAnsi" w:cstheme="minorBidi"/>
          <w:szCs w:val="22"/>
        </w:rPr>
      </w:pPr>
      <w:r>
        <w:t>2</w:t>
      </w:r>
      <w:r w:rsidRPr="00AA3DF9">
        <w:rPr>
          <w:snapToGrid w:val="0"/>
        </w:rPr>
        <w:t>.</w:t>
      </w:r>
      <w:r w:rsidRPr="00AA3DF9">
        <w:rPr>
          <w:snapToGrid w:val="0"/>
        </w:rPr>
        <w:tab/>
        <w:t>When order need not be drawn up</w:t>
      </w:r>
      <w:r>
        <w:tab/>
      </w:r>
      <w:r>
        <w:fldChar w:fldCharType="begin"/>
      </w:r>
      <w:r>
        <w:instrText xml:space="preserve"> PAGEREF _Toc75863257 \h </w:instrText>
      </w:r>
      <w:r>
        <w:fldChar w:fldCharType="separate"/>
      </w:r>
      <w:r w:rsidR="00FC1D84">
        <w:t>275</w:t>
      </w:r>
      <w:r>
        <w:fldChar w:fldCharType="end"/>
      </w:r>
    </w:p>
    <w:p w:rsidR="006169FD" w:rsidRDefault="006169FD">
      <w:pPr>
        <w:pStyle w:val="TOC8"/>
        <w:rPr>
          <w:rFonts w:asciiTheme="minorHAnsi" w:eastAsiaTheme="minorEastAsia" w:hAnsiTheme="minorHAnsi" w:cstheme="minorBidi"/>
          <w:szCs w:val="22"/>
        </w:rPr>
      </w:pPr>
      <w:r>
        <w:t>3</w:t>
      </w:r>
      <w:r w:rsidRPr="00AA3DF9">
        <w:rPr>
          <w:snapToGrid w:val="0"/>
        </w:rPr>
        <w:t>.</w:t>
      </w:r>
      <w:r w:rsidRPr="00AA3DF9">
        <w:rPr>
          <w:snapToGrid w:val="0"/>
        </w:rPr>
        <w:tab/>
        <w:t>Authentication of judgments and orders</w:t>
      </w:r>
      <w:r>
        <w:tab/>
      </w:r>
      <w:r>
        <w:fldChar w:fldCharType="begin"/>
      </w:r>
      <w:r>
        <w:instrText xml:space="preserve"> PAGEREF _Toc75863258 \h </w:instrText>
      </w:r>
      <w:r>
        <w:fldChar w:fldCharType="separate"/>
      </w:r>
      <w:r w:rsidR="00FC1D84">
        <w:t>276</w:t>
      </w:r>
      <w:r>
        <w:fldChar w:fldCharType="end"/>
      </w:r>
    </w:p>
    <w:p w:rsidR="006169FD" w:rsidRDefault="006169FD">
      <w:pPr>
        <w:pStyle w:val="TOC8"/>
        <w:rPr>
          <w:rFonts w:asciiTheme="minorHAnsi" w:eastAsiaTheme="minorEastAsia" w:hAnsiTheme="minorHAnsi" w:cstheme="minorBidi"/>
          <w:szCs w:val="22"/>
        </w:rPr>
      </w:pPr>
      <w:r>
        <w:t>4</w:t>
      </w:r>
      <w:r w:rsidRPr="00AA3DF9">
        <w:rPr>
          <w:snapToGrid w:val="0"/>
        </w:rPr>
        <w:t>.</w:t>
      </w:r>
      <w:r w:rsidRPr="00AA3DF9">
        <w:rPr>
          <w:snapToGrid w:val="0"/>
        </w:rPr>
        <w:tab/>
        <w:t>Judgments and orders to be court record; issue and use of duplicates</w:t>
      </w:r>
      <w:r>
        <w:tab/>
      </w:r>
      <w:r>
        <w:fldChar w:fldCharType="begin"/>
      </w:r>
      <w:r>
        <w:instrText xml:space="preserve"> PAGEREF _Toc75863259 \h </w:instrText>
      </w:r>
      <w:r>
        <w:fldChar w:fldCharType="separate"/>
      </w:r>
      <w:r w:rsidR="00FC1D84">
        <w:t>276</w:t>
      </w:r>
      <w:r>
        <w:fldChar w:fldCharType="end"/>
      </w:r>
    </w:p>
    <w:p w:rsidR="006169FD" w:rsidRDefault="006169FD">
      <w:pPr>
        <w:pStyle w:val="TOC8"/>
        <w:rPr>
          <w:rFonts w:asciiTheme="minorHAnsi" w:eastAsiaTheme="minorEastAsia" w:hAnsiTheme="minorHAnsi" w:cstheme="minorBidi"/>
          <w:szCs w:val="22"/>
        </w:rPr>
      </w:pPr>
      <w:r>
        <w:t>5</w:t>
      </w:r>
      <w:r w:rsidRPr="00AA3DF9">
        <w:rPr>
          <w:snapToGrid w:val="0"/>
        </w:rPr>
        <w:t>.</w:t>
      </w:r>
      <w:r w:rsidRPr="00AA3DF9">
        <w:rPr>
          <w:snapToGrid w:val="0"/>
        </w:rPr>
        <w:tab/>
        <w:t>Amending orders</w:t>
      </w:r>
      <w:r>
        <w:tab/>
      </w:r>
      <w:r>
        <w:fldChar w:fldCharType="begin"/>
      </w:r>
      <w:r>
        <w:instrText xml:space="preserve"> PAGEREF _Toc75863260 \h </w:instrText>
      </w:r>
      <w:r>
        <w:fldChar w:fldCharType="separate"/>
      </w:r>
      <w:r w:rsidR="00FC1D84">
        <w:t>277</w:t>
      </w:r>
      <w:r>
        <w:fldChar w:fldCharType="end"/>
      </w:r>
    </w:p>
    <w:p w:rsidR="006169FD" w:rsidRDefault="006169FD">
      <w:pPr>
        <w:pStyle w:val="TOC8"/>
        <w:rPr>
          <w:rFonts w:asciiTheme="minorHAnsi" w:eastAsiaTheme="minorEastAsia" w:hAnsiTheme="minorHAnsi" w:cstheme="minorBidi"/>
          <w:szCs w:val="22"/>
        </w:rPr>
      </w:pPr>
      <w:r>
        <w:t>6</w:t>
      </w:r>
      <w:r w:rsidRPr="00AA3DF9">
        <w:rPr>
          <w:snapToGrid w:val="0"/>
        </w:rPr>
        <w:t>.</w:t>
      </w:r>
      <w:r w:rsidRPr="00AA3DF9">
        <w:rPr>
          <w:snapToGrid w:val="0"/>
        </w:rPr>
        <w:tab/>
        <w:t>Draft judgment or order to be filed</w:t>
      </w:r>
      <w:r>
        <w:tab/>
      </w:r>
      <w:r>
        <w:fldChar w:fldCharType="begin"/>
      </w:r>
      <w:r>
        <w:instrText xml:space="preserve"> PAGEREF _Toc75863261 \h </w:instrText>
      </w:r>
      <w:r>
        <w:fldChar w:fldCharType="separate"/>
      </w:r>
      <w:r w:rsidR="00FC1D84">
        <w:t>277</w:t>
      </w:r>
      <w:r>
        <w:fldChar w:fldCharType="end"/>
      </w:r>
    </w:p>
    <w:p w:rsidR="006169FD" w:rsidRDefault="006169FD">
      <w:pPr>
        <w:pStyle w:val="TOC8"/>
        <w:rPr>
          <w:rFonts w:asciiTheme="minorHAnsi" w:eastAsiaTheme="minorEastAsia" w:hAnsiTheme="minorHAnsi" w:cstheme="minorBidi"/>
          <w:szCs w:val="22"/>
        </w:rPr>
      </w:pPr>
      <w:r>
        <w:t>7</w:t>
      </w:r>
      <w:r w:rsidRPr="00AA3DF9">
        <w:rPr>
          <w:snapToGrid w:val="0"/>
        </w:rPr>
        <w:t>.</w:t>
      </w:r>
      <w:r w:rsidRPr="00AA3DF9">
        <w:rPr>
          <w:snapToGrid w:val="0"/>
        </w:rPr>
        <w:tab/>
        <w:t>Appointment to settle draft</w:t>
      </w:r>
      <w:r>
        <w:tab/>
      </w:r>
      <w:r>
        <w:fldChar w:fldCharType="begin"/>
      </w:r>
      <w:r>
        <w:instrText xml:space="preserve"> PAGEREF _Toc75863262 \h </w:instrText>
      </w:r>
      <w:r>
        <w:fldChar w:fldCharType="separate"/>
      </w:r>
      <w:r w:rsidR="00FC1D84">
        <w:t>278</w:t>
      </w:r>
      <w:r>
        <w:fldChar w:fldCharType="end"/>
      </w:r>
    </w:p>
    <w:p w:rsidR="006169FD" w:rsidRDefault="006169FD">
      <w:pPr>
        <w:pStyle w:val="TOC8"/>
        <w:rPr>
          <w:rFonts w:asciiTheme="minorHAnsi" w:eastAsiaTheme="minorEastAsia" w:hAnsiTheme="minorHAnsi" w:cstheme="minorBidi"/>
          <w:szCs w:val="22"/>
        </w:rPr>
      </w:pPr>
      <w:r>
        <w:t>8</w:t>
      </w:r>
      <w:r w:rsidRPr="00AA3DF9">
        <w:rPr>
          <w:snapToGrid w:val="0"/>
        </w:rPr>
        <w:t>.</w:t>
      </w:r>
      <w:r w:rsidRPr="00AA3DF9">
        <w:rPr>
          <w:snapToGrid w:val="0"/>
        </w:rPr>
        <w:tab/>
        <w:t>Attendance on settling draft</w:t>
      </w:r>
      <w:r>
        <w:tab/>
      </w:r>
      <w:r>
        <w:fldChar w:fldCharType="begin"/>
      </w:r>
      <w:r>
        <w:instrText xml:space="preserve"> PAGEREF _Toc75863263 \h </w:instrText>
      </w:r>
      <w:r>
        <w:fldChar w:fldCharType="separate"/>
      </w:r>
      <w:r w:rsidR="00FC1D84">
        <w:t>278</w:t>
      </w:r>
      <w:r>
        <w:fldChar w:fldCharType="end"/>
      </w:r>
    </w:p>
    <w:p w:rsidR="006169FD" w:rsidRDefault="006169FD">
      <w:pPr>
        <w:pStyle w:val="TOC8"/>
        <w:rPr>
          <w:rFonts w:asciiTheme="minorHAnsi" w:eastAsiaTheme="minorEastAsia" w:hAnsiTheme="minorHAnsi" w:cstheme="minorBidi"/>
          <w:szCs w:val="22"/>
        </w:rPr>
      </w:pPr>
      <w:r>
        <w:t>9</w:t>
      </w:r>
      <w:r w:rsidRPr="00AA3DF9">
        <w:rPr>
          <w:snapToGrid w:val="0"/>
        </w:rPr>
        <w:t>.</w:t>
      </w:r>
      <w:r w:rsidRPr="00AA3DF9">
        <w:rPr>
          <w:snapToGrid w:val="0"/>
        </w:rPr>
        <w:tab/>
        <w:t>Default of attendance on settling draft</w:t>
      </w:r>
      <w:r>
        <w:tab/>
      </w:r>
      <w:r>
        <w:fldChar w:fldCharType="begin"/>
      </w:r>
      <w:r>
        <w:instrText xml:space="preserve"> PAGEREF _Toc75863264 \h </w:instrText>
      </w:r>
      <w:r>
        <w:fldChar w:fldCharType="separate"/>
      </w:r>
      <w:r w:rsidR="00FC1D84">
        <w:t>279</w:t>
      </w:r>
      <w:r>
        <w:fldChar w:fldCharType="end"/>
      </w:r>
    </w:p>
    <w:p w:rsidR="006169FD" w:rsidRDefault="006169FD">
      <w:pPr>
        <w:pStyle w:val="TOC8"/>
        <w:rPr>
          <w:rFonts w:asciiTheme="minorHAnsi" w:eastAsiaTheme="minorEastAsia" w:hAnsiTheme="minorHAnsi" w:cstheme="minorBidi"/>
          <w:szCs w:val="22"/>
        </w:rPr>
      </w:pPr>
      <w:r>
        <w:t>10</w:t>
      </w:r>
      <w:r w:rsidRPr="00AA3DF9">
        <w:rPr>
          <w:snapToGrid w:val="0"/>
        </w:rPr>
        <w:t>.</w:t>
      </w:r>
      <w:r w:rsidRPr="00AA3DF9">
        <w:rPr>
          <w:snapToGrid w:val="0"/>
        </w:rPr>
        <w:tab/>
        <w:t>Dispensing with appointment</w:t>
      </w:r>
      <w:r>
        <w:tab/>
      </w:r>
      <w:r>
        <w:fldChar w:fldCharType="begin"/>
      </w:r>
      <w:r>
        <w:instrText xml:space="preserve"> PAGEREF _Toc75863265 \h </w:instrText>
      </w:r>
      <w:r>
        <w:fldChar w:fldCharType="separate"/>
      </w:r>
      <w:r w:rsidR="00FC1D84">
        <w:t>279</w:t>
      </w:r>
      <w:r>
        <w:fldChar w:fldCharType="end"/>
      </w:r>
    </w:p>
    <w:p w:rsidR="006169FD" w:rsidRDefault="006169FD">
      <w:pPr>
        <w:pStyle w:val="TOC8"/>
        <w:rPr>
          <w:rFonts w:asciiTheme="minorHAnsi" w:eastAsiaTheme="minorEastAsia" w:hAnsiTheme="minorHAnsi" w:cstheme="minorBidi"/>
          <w:szCs w:val="22"/>
        </w:rPr>
      </w:pPr>
      <w:r>
        <w:t>11</w:t>
      </w:r>
      <w:r w:rsidRPr="00AA3DF9">
        <w:rPr>
          <w:snapToGrid w:val="0"/>
        </w:rPr>
        <w:t>.</w:t>
      </w:r>
      <w:r w:rsidRPr="00AA3DF9">
        <w:rPr>
          <w:snapToGrid w:val="0"/>
        </w:rPr>
        <w:tab/>
        <w:t>Registrar’s and Court’s powers to settle judgments etc.</w:t>
      </w:r>
      <w:r>
        <w:tab/>
      </w:r>
      <w:r>
        <w:fldChar w:fldCharType="begin"/>
      </w:r>
      <w:r>
        <w:instrText xml:space="preserve"> PAGEREF _Toc75863266 \h </w:instrText>
      </w:r>
      <w:r>
        <w:fldChar w:fldCharType="separate"/>
      </w:r>
      <w:r w:rsidR="00FC1D84">
        <w:t>279</w:t>
      </w:r>
      <w:r>
        <w:fldChar w:fldCharType="end"/>
      </w:r>
    </w:p>
    <w:p w:rsidR="006169FD" w:rsidRDefault="006169FD">
      <w:pPr>
        <w:pStyle w:val="TOC8"/>
        <w:rPr>
          <w:rFonts w:asciiTheme="minorHAnsi" w:eastAsiaTheme="minorEastAsia" w:hAnsiTheme="minorHAnsi" w:cstheme="minorBidi"/>
          <w:szCs w:val="22"/>
        </w:rPr>
      </w:pPr>
      <w:r>
        <w:t>12</w:t>
      </w:r>
      <w:r w:rsidRPr="00AA3DF9">
        <w:rPr>
          <w:snapToGrid w:val="0"/>
        </w:rPr>
        <w:t>.</w:t>
      </w:r>
      <w:r w:rsidRPr="00AA3DF9">
        <w:rPr>
          <w:snapToGrid w:val="0"/>
        </w:rPr>
        <w:tab/>
        <w:t>Party to engross settled judgment or order</w:t>
      </w:r>
      <w:r>
        <w:tab/>
      </w:r>
      <w:r>
        <w:fldChar w:fldCharType="begin"/>
      </w:r>
      <w:r>
        <w:instrText xml:space="preserve"> PAGEREF _Toc75863267 \h </w:instrText>
      </w:r>
      <w:r>
        <w:fldChar w:fldCharType="separate"/>
      </w:r>
      <w:r w:rsidR="00FC1D84">
        <w:t>280</w:t>
      </w:r>
      <w:r>
        <w:fldChar w:fldCharType="end"/>
      </w:r>
    </w:p>
    <w:p w:rsidR="006169FD" w:rsidRDefault="006169FD">
      <w:pPr>
        <w:pStyle w:val="TOC8"/>
        <w:rPr>
          <w:rFonts w:asciiTheme="minorHAnsi" w:eastAsiaTheme="minorEastAsia" w:hAnsiTheme="minorHAnsi" w:cstheme="minorBidi"/>
          <w:szCs w:val="22"/>
        </w:rPr>
      </w:pPr>
      <w:r>
        <w:t>13</w:t>
      </w:r>
      <w:r w:rsidRPr="00AA3DF9">
        <w:rPr>
          <w:snapToGrid w:val="0"/>
        </w:rPr>
        <w:t>.</w:t>
      </w:r>
      <w:r w:rsidRPr="00AA3DF9">
        <w:rPr>
          <w:snapToGrid w:val="0"/>
        </w:rPr>
        <w:tab/>
        <w:t>Certificate for special allowance on taxation of costs</w:t>
      </w:r>
      <w:r>
        <w:tab/>
      </w:r>
      <w:r>
        <w:fldChar w:fldCharType="begin"/>
      </w:r>
      <w:r>
        <w:instrText xml:space="preserve"> PAGEREF _Toc75863268 \h </w:instrText>
      </w:r>
      <w:r>
        <w:fldChar w:fldCharType="separate"/>
      </w:r>
      <w:r w:rsidR="00FC1D84">
        <w:t>280</w:t>
      </w:r>
      <w:r>
        <w:fldChar w:fldCharType="end"/>
      </w:r>
    </w:p>
    <w:p w:rsidR="006169FD" w:rsidRDefault="006169FD">
      <w:pPr>
        <w:pStyle w:val="TOC8"/>
        <w:rPr>
          <w:rFonts w:asciiTheme="minorHAnsi" w:eastAsiaTheme="minorEastAsia" w:hAnsiTheme="minorHAnsi" w:cstheme="minorBidi"/>
          <w:szCs w:val="22"/>
        </w:rPr>
      </w:pPr>
      <w:r>
        <w:t>14</w:t>
      </w:r>
      <w:r w:rsidRPr="00AA3DF9">
        <w:rPr>
          <w:snapToGrid w:val="0"/>
        </w:rPr>
        <w:t>.</w:t>
      </w:r>
      <w:r w:rsidRPr="00AA3DF9">
        <w:rPr>
          <w:snapToGrid w:val="0"/>
        </w:rPr>
        <w:tab/>
        <w:t>Entry of judgments and orders</w:t>
      </w:r>
      <w:r>
        <w:tab/>
      </w:r>
      <w:r>
        <w:fldChar w:fldCharType="begin"/>
      </w:r>
      <w:r>
        <w:instrText xml:space="preserve"> PAGEREF _Toc75863269 \h </w:instrText>
      </w:r>
      <w:r>
        <w:fldChar w:fldCharType="separate"/>
      </w:r>
      <w:r w:rsidR="00FC1D84">
        <w:t>281</w:t>
      </w:r>
      <w:r>
        <w:fldChar w:fldCharType="end"/>
      </w:r>
    </w:p>
    <w:p w:rsidR="006169FD" w:rsidRDefault="006169FD">
      <w:pPr>
        <w:pStyle w:val="TOC8"/>
        <w:rPr>
          <w:rFonts w:asciiTheme="minorHAnsi" w:eastAsiaTheme="minorEastAsia" w:hAnsiTheme="minorHAnsi" w:cstheme="minorBidi"/>
          <w:szCs w:val="22"/>
        </w:rPr>
      </w:pPr>
      <w:r>
        <w:t>15</w:t>
      </w:r>
      <w:r w:rsidRPr="00AA3DF9">
        <w:rPr>
          <w:snapToGrid w:val="0"/>
        </w:rPr>
        <w:t>.</w:t>
      </w:r>
      <w:r w:rsidRPr="00AA3DF9">
        <w:rPr>
          <w:snapToGrid w:val="0"/>
        </w:rPr>
        <w:tab/>
        <w:t>Application to vary</w:t>
      </w:r>
      <w:r>
        <w:tab/>
      </w:r>
      <w:r>
        <w:fldChar w:fldCharType="begin"/>
      </w:r>
      <w:r>
        <w:instrText xml:space="preserve"> PAGEREF _Toc75863270 \h </w:instrText>
      </w:r>
      <w:r>
        <w:fldChar w:fldCharType="separate"/>
      </w:r>
      <w:r w:rsidR="00FC1D84">
        <w:t>281</w:t>
      </w:r>
      <w:r>
        <w:fldChar w:fldCharType="end"/>
      </w:r>
    </w:p>
    <w:p w:rsidR="006169FD" w:rsidRDefault="006169FD">
      <w:pPr>
        <w:pStyle w:val="TOC8"/>
        <w:rPr>
          <w:rFonts w:asciiTheme="minorHAnsi" w:eastAsiaTheme="minorEastAsia" w:hAnsiTheme="minorHAnsi" w:cstheme="minorBidi"/>
          <w:szCs w:val="22"/>
        </w:rPr>
      </w:pPr>
      <w:r>
        <w:t>16</w:t>
      </w:r>
      <w:r w:rsidRPr="00AA3DF9">
        <w:rPr>
          <w:snapToGrid w:val="0"/>
        </w:rPr>
        <w:t>.</w:t>
      </w:r>
      <w:r w:rsidRPr="00AA3DF9">
        <w:rPr>
          <w:snapToGrid w:val="0"/>
        </w:rPr>
        <w:tab/>
        <w:t>Consent orders</w:t>
      </w:r>
      <w:r>
        <w:tab/>
      </w:r>
      <w:r>
        <w:fldChar w:fldCharType="begin"/>
      </w:r>
      <w:r>
        <w:instrText xml:space="preserve"> PAGEREF _Toc75863271 \h </w:instrText>
      </w:r>
      <w:r>
        <w:fldChar w:fldCharType="separate"/>
      </w:r>
      <w:r w:rsidR="00FC1D84">
        <w:t>281</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44A — </w:t>
      </w:r>
      <w:r w:rsidRPr="00AA3DF9">
        <w:rPr>
          <w:i/>
          <w:iCs/>
        </w:rPr>
        <w:t xml:space="preserve">Foreign Judgments Act 1991 </w:t>
      </w:r>
      <w:r>
        <w:t>(Commonwealth) rules</w:t>
      </w:r>
    </w:p>
    <w:p w:rsidR="006169FD" w:rsidRDefault="006169FD">
      <w:pPr>
        <w:pStyle w:val="TOC8"/>
        <w:rPr>
          <w:rFonts w:asciiTheme="minorHAnsi" w:eastAsiaTheme="minorEastAsia" w:hAnsiTheme="minorHAnsi" w:cstheme="minorBidi"/>
          <w:szCs w:val="22"/>
        </w:rPr>
      </w:pPr>
      <w:r>
        <w:t>1</w:t>
      </w:r>
      <w:r w:rsidRPr="00AA3DF9">
        <w:rPr>
          <w:snapToGrid w:val="0"/>
        </w:rPr>
        <w:t>.</w:t>
      </w:r>
      <w:r w:rsidRPr="00AA3DF9">
        <w:rPr>
          <w:snapToGrid w:val="0"/>
        </w:rPr>
        <w:tab/>
        <w:t>Terms used</w:t>
      </w:r>
      <w:r>
        <w:tab/>
      </w:r>
      <w:r>
        <w:fldChar w:fldCharType="begin"/>
      </w:r>
      <w:r>
        <w:instrText xml:space="preserve"> PAGEREF _Toc75863273 \h </w:instrText>
      </w:r>
      <w:r>
        <w:fldChar w:fldCharType="separate"/>
      </w:r>
      <w:r w:rsidR="00FC1D84">
        <w:t>283</w:t>
      </w:r>
      <w:r>
        <w:fldChar w:fldCharType="end"/>
      </w:r>
    </w:p>
    <w:p w:rsidR="006169FD" w:rsidRDefault="006169FD">
      <w:pPr>
        <w:pStyle w:val="TOC8"/>
        <w:rPr>
          <w:rFonts w:asciiTheme="minorHAnsi" w:eastAsiaTheme="minorEastAsia" w:hAnsiTheme="minorHAnsi" w:cstheme="minorBidi"/>
          <w:szCs w:val="22"/>
        </w:rPr>
      </w:pPr>
      <w:r>
        <w:t>2</w:t>
      </w:r>
      <w:r w:rsidRPr="00AA3DF9">
        <w:rPr>
          <w:snapToGrid w:val="0"/>
        </w:rPr>
        <w:t>.</w:t>
      </w:r>
      <w:r w:rsidRPr="00AA3DF9">
        <w:rPr>
          <w:snapToGrid w:val="0"/>
        </w:rPr>
        <w:tab/>
        <w:t>Application of this Order</w:t>
      </w:r>
      <w:r>
        <w:tab/>
      </w:r>
      <w:r>
        <w:fldChar w:fldCharType="begin"/>
      </w:r>
      <w:r>
        <w:instrText xml:space="preserve"> PAGEREF _Toc75863274 \h </w:instrText>
      </w:r>
      <w:r>
        <w:fldChar w:fldCharType="separate"/>
      </w:r>
      <w:r w:rsidR="00FC1D84">
        <w:t>283</w:t>
      </w:r>
      <w:r>
        <w:fldChar w:fldCharType="end"/>
      </w:r>
    </w:p>
    <w:p w:rsidR="006169FD" w:rsidRDefault="006169FD">
      <w:pPr>
        <w:pStyle w:val="TOC8"/>
        <w:rPr>
          <w:rFonts w:asciiTheme="minorHAnsi" w:eastAsiaTheme="minorEastAsia" w:hAnsiTheme="minorHAnsi" w:cstheme="minorBidi"/>
          <w:szCs w:val="22"/>
        </w:rPr>
      </w:pPr>
      <w:r>
        <w:lastRenderedPageBreak/>
        <w:t>3</w:t>
      </w:r>
      <w:r w:rsidRPr="00AA3DF9">
        <w:rPr>
          <w:snapToGrid w:val="0"/>
        </w:rPr>
        <w:t>.</w:t>
      </w:r>
      <w:r w:rsidRPr="00AA3DF9">
        <w:rPr>
          <w:snapToGrid w:val="0"/>
        </w:rPr>
        <w:tab/>
        <w:t>Application for registration (Act s. 6)</w:t>
      </w:r>
      <w:r>
        <w:tab/>
      </w:r>
      <w:r>
        <w:fldChar w:fldCharType="begin"/>
      </w:r>
      <w:r>
        <w:instrText xml:space="preserve"> PAGEREF _Toc75863275 \h </w:instrText>
      </w:r>
      <w:r>
        <w:fldChar w:fldCharType="separate"/>
      </w:r>
      <w:r w:rsidR="00FC1D84">
        <w:t>283</w:t>
      </w:r>
      <w:r>
        <w:fldChar w:fldCharType="end"/>
      </w:r>
    </w:p>
    <w:p w:rsidR="006169FD" w:rsidRDefault="006169FD">
      <w:pPr>
        <w:pStyle w:val="TOC8"/>
        <w:rPr>
          <w:rFonts w:asciiTheme="minorHAnsi" w:eastAsiaTheme="minorEastAsia" w:hAnsiTheme="minorHAnsi" w:cstheme="minorBidi"/>
          <w:szCs w:val="22"/>
        </w:rPr>
      </w:pPr>
      <w:r>
        <w:t>4</w:t>
      </w:r>
      <w:r w:rsidRPr="00AA3DF9">
        <w:rPr>
          <w:snapToGrid w:val="0"/>
        </w:rPr>
        <w:t>.</w:t>
      </w:r>
      <w:r w:rsidRPr="00AA3DF9">
        <w:rPr>
          <w:snapToGrid w:val="0"/>
        </w:rPr>
        <w:tab/>
        <w:t>Evidence in support of application</w:t>
      </w:r>
      <w:r>
        <w:tab/>
      </w:r>
      <w:r>
        <w:fldChar w:fldCharType="begin"/>
      </w:r>
      <w:r>
        <w:instrText xml:space="preserve"> PAGEREF _Toc75863276 \h </w:instrText>
      </w:r>
      <w:r>
        <w:fldChar w:fldCharType="separate"/>
      </w:r>
      <w:r w:rsidR="00FC1D84">
        <w:t>284</w:t>
      </w:r>
      <w:r>
        <w:fldChar w:fldCharType="end"/>
      </w:r>
    </w:p>
    <w:p w:rsidR="006169FD" w:rsidRDefault="006169FD">
      <w:pPr>
        <w:pStyle w:val="TOC8"/>
        <w:rPr>
          <w:rFonts w:asciiTheme="minorHAnsi" w:eastAsiaTheme="minorEastAsia" w:hAnsiTheme="minorHAnsi" w:cstheme="minorBidi"/>
          <w:szCs w:val="22"/>
        </w:rPr>
      </w:pPr>
      <w:r>
        <w:t>5</w:t>
      </w:r>
      <w:r w:rsidRPr="00AA3DF9">
        <w:rPr>
          <w:snapToGrid w:val="0"/>
        </w:rPr>
        <w:t>.</w:t>
      </w:r>
      <w:r w:rsidRPr="00AA3DF9">
        <w:rPr>
          <w:snapToGrid w:val="0"/>
        </w:rPr>
        <w:tab/>
        <w:t>Security for costs</w:t>
      </w:r>
      <w:r>
        <w:tab/>
      </w:r>
      <w:r>
        <w:fldChar w:fldCharType="begin"/>
      </w:r>
      <w:r>
        <w:instrText xml:space="preserve"> PAGEREF _Toc75863277 \h </w:instrText>
      </w:r>
      <w:r>
        <w:fldChar w:fldCharType="separate"/>
      </w:r>
      <w:r w:rsidR="00FC1D84">
        <w:t>285</w:t>
      </w:r>
      <w:r>
        <w:fldChar w:fldCharType="end"/>
      </w:r>
    </w:p>
    <w:p w:rsidR="006169FD" w:rsidRDefault="006169FD">
      <w:pPr>
        <w:pStyle w:val="TOC8"/>
        <w:rPr>
          <w:rFonts w:asciiTheme="minorHAnsi" w:eastAsiaTheme="minorEastAsia" w:hAnsiTheme="minorHAnsi" w:cstheme="minorBidi"/>
          <w:szCs w:val="22"/>
        </w:rPr>
      </w:pPr>
      <w:r>
        <w:t>6</w:t>
      </w:r>
      <w:r w:rsidRPr="00AA3DF9">
        <w:rPr>
          <w:snapToGrid w:val="0"/>
        </w:rPr>
        <w:t>.</w:t>
      </w:r>
      <w:r w:rsidRPr="00AA3DF9">
        <w:rPr>
          <w:snapToGrid w:val="0"/>
        </w:rPr>
        <w:tab/>
        <w:t>Order for registration</w:t>
      </w:r>
      <w:r>
        <w:tab/>
      </w:r>
      <w:r>
        <w:fldChar w:fldCharType="begin"/>
      </w:r>
      <w:r>
        <w:instrText xml:space="preserve"> PAGEREF _Toc75863278 \h </w:instrText>
      </w:r>
      <w:r>
        <w:fldChar w:fldCharType="separate"/>
      </w:r>
      <w:r w:rsidR="00FC1D84">
        <w:t>285</w:t>
      </w:r>
      <w:r>
        <w:fldChar w:fldCharType="end"/>
      </w:r>
    </w:p>
    <w:p w:rsidR="006169FD" w:rsidRDefault="006169FD">
      <w:pPr>
        <w:pStyle w:val="TOC8"/>
        <w:rPr>
          <w:rFonts w:asciiTheme="minorHAnsi" w:eastAsiaTheme="minorEastAsia" w:hAnsiTheme="minorHAnsi" w:cstheme="minorBidi"/>
          <w:szCs w:val="22"/>
        </w:rPr>
      </w:pPr>
      <w:r>
        <w:t>7.</w:t>
      </w:r>
      <w:r>
        <w:tab/>
        <w:t>Record to be kept of registered judgments</w:t>
      </w:r>
      <w:r>
        <w:tab/>
      </w:r>
      <w:r>
        <w:fldChar w:fldCharType="begin"/>
      </w:r>
      <w:r>
        <w:instrText xml:space="preserve"> PAGEREF _Toc75863279 \h </w:instrText>
      </w:r>
      <w:r>
        <w:fldChar w:fldCharType="separate"/>
      </w:r>
      <w:r w:rsidR="00FC1D84">
        <w:t>286</w:t>
      </w:r>
      <w:r>
        <w:fldChar w:fldCharType="end"/>
      </w:r>
    </w:p>
    <w:p w:rsidR="006169FD" w:rsidRDefault="006169FD">
      <w:pPr>
        <w:pStyle w:val="TOC8"/>
        <w:rPr>
          <w:rFonts w:asciiTheme="minorHAnsi" w:eastAsiaTheme="minorEastAsia" w:hAnsiTheme="minorHAnsi" w:cstheme="minorBidi"/>
          <w:szCs w:val="22"/>
        </w:rPr>
      </w:pPr>
      <w:r>
        <w:t>8</w:t>
      </w:r>
      <w:r w:rsidRPr="00AA3DF9">
        <w:rPr>
          <w:snapToGrid w:val="0"/>
        </w:rPr>
        <w:t>.</w:t>
      </w:r>
      <w:r w:rsidRPr="00AA3DF9">
        <w:rPr>
          <w:snapToGrid w:val="0"/>
        </w:rPr>
        <w:tab/>
        <w:t>Notice of registration</w:t>
      </w:r>
      <w:r>
        <w:tab/>
      </w:r>
      <w:r>
        <w:fldChar w:fldCharType="begin"/>
      </w:r>
      <w:r>
        <w:instrText xml:space="preserve"> PAGEREF _Toc75863280 \h </w:instrText>
      </w:r>
      <w:r>
        <w:fldChar w:fldCharType="separate"/>
      </w:r>
      <w:r w:rsidR="00FC1D84">
        <w:t>286</w:t>
      </w:r>
      <w:r>
        <w:fldChar w:fldCharType="end"/>
      </w:r>
    </w:p>
    <w:p w:rsidR="006169FD" w:rsidRDefault="006169FD">
      <w:pPr>
        <w:pStyle w:val="TOC8"/>
        <w:rPr>
          <w:rFonts w:asciiTheme="minorHAnsi" w:eastAsiaTheme="minorEastAsia" w:hAnsiTheme="minorHAnsi" w:cstheme="minorBidi"/>
          <w:szCs w:val="22"/>
        </w:rPr>
      </w:pPr>
      <w:r>
        <w:t>9</w:t>
      </w:r>
      <w:r w:rsidRPr="00AA3DF9">
        <w:rPr>
          <w:snapToGrid w:val="0"/>
        </w:rPr>
        <w:t>.</w:t>
      </w:r>
      <w:r w:rsidRPr="00AA3DF9">
        <w:rPr>
          <w:snapToGrid w:val="0"/>
        </w:rPr>
        <w:tab/>
        <w:t>Indorsement of service</w:t>
      </w:r>
      <w:r>
        <w:tab/>
      </w:r>
      <w:r>
        <w:fldChar w:fldCharType="begin"/>
      </w:r>
      <w:r>
        <w:instrText xml:space="preserve"> PAGEREF _Toc75863281 \h </w:instrText>
      </w:r>
      <w:r>
        <w:fldChar w:fldCharType="separate"/>
      </w:r>
      <w:r w:rsidR="00FC1D84">
        <w:t>287</w:t>
      </w:r>
      <w:r>
        <w:fldChar w:fldCharType="end"/>
      </w:r>
    </w:p>
    <w:p w:rsidR="006169FD" w:rsidRDefault="006169FD">
      <w:pPr>
        <w:pStyle w:val="TOC8"/>
        <w:rPr>
          <w:rFonts w:asciiTheme="minorHAnsi" w:eastAsiaTheme="minorEastAsia" w:hAnsiTheme="minorHAnsi" w:cstheme="minorBidi"/>
          <w:szCs w:val="22"/>
        </w:rPr>
      </w:pPr>
      <w:r>
        <w:t>10</w:t>
      </w:r>
      <w:r w:rsidRPr="00AA3DF9">
        <w:rPr>
          <w:snapToGrid w:val="0"/>
        </w:rPr>
        <w:t>.</w:t>
      </w:r>
      <w:r w:rsidRPr="00AA3DF9">
        <w:rPr>
          <w:snapToGrid w:val="0"/>
        </w:rPr>
        <w:tab/>
        <w:t>Application to set aside registration</w:t>
      </w:r>
      <w:r>
        <w:tab/>
      </w:r>
      <w:r>
        <w:fldChar w:fldCharType="begin"/>
      </w:r>
      <w:r>
        <w:instrText xml:space="preserve"> PAGEREF _Toc75863282 \h </w:instrText>
      </w:r>
      <w:r>
        <w:fldChar w:fldCharType="separate"/>
      </w:r>
      <w:r w:rsidR="00FC1D84">
        <w:t>287</w:t>
      </w:r>
      <w:r>
        <w:fldChar w:fldCharType="end"/>
      </w:r>
    </w:p>
    <w:p w:rsidR="006169FD" w:rsidRDefault="006169FD">
      <w:pPr>
        <w:pStyle w:val="TOC8"/>
        <w:rPr>
          <w:rFonts w:asciiTheme="minorHAnsi" w:eastAsiaTheme="minorEastAsia" w:hAnsiTheme="minorHAnsi" w:cstheme="minorBidi"/>
          <w:szCs w:val="22"/>
        </w:rPr>
      </w:pPr>
      <w:r>
        <w:t>11</w:t>
      </w:r>
      <w:r w:rsidRPr="00AA3DF9">
        <w:rPr>
          <w:snapToGrid w:val="0"/>
        </w:rPr>
        <w:t>.</w:t>
      </w:r>
      <w:r w:rsidRPr="00AA3DF9">
        <w:rPr>
          <w:snapToGrid w:val="0"/>
        </w:rPr>
        <w:tab/>
        <w:t>Enforcing registered judgment</w:t>
      </w:r>
      <w:r>
        <w:tab/>
      </w:r>
      <w:r>
        <w:fldChar w:fldCharType="begin"/>
      </w:r>
      <w:r>
        <w:instrText xml:space="preserve"> PAGEREF _Toc75863283 \h </w:instrText>
      </w:r>
      <w:r>
        <w:fldChar w:fldCharType="separate"/>
      </w:r>
      <w:r w:rsidR="00FC1D84">
        <w:t>287</w:t>
      </w:r>
      <w:r>
        <w:fldChar w:fldCharType="end"/>
      </w:r>
    </w:p>
    <w:p w:rsidR="006169FD" w:rsidRDefault="006169FD">
      <w:pPr>
        <w:pStyle w:val="TOC8"/>
        <w:rPr>
          <w:rFonts w:asciiTheme="minorHAnsi" w:eastAsiaTheme="minorEastAsia" w:hAnsiTheme="minorHAnsi" w:cstheme="minorBidi"/>
          <w:szCs w:val="22"/>
        </w:rPr>
      </w:pPr>
      <w:r>
        <w:t>12</w:t>
      </w:r>
      <w:r w:rsidRPr="00AA3DF9">
        <w:rPr>
          <w:snapToGrid w:val="0"/>
        </w:rPr>
        <w:t>.</w:t>
      </w:r>
      <w:r w:rsidRPr="00AA3DF9">
        <w:rPr>
          <w:snapToGrid w:val="0"/>
        </w:rPr>
        <w:tab/>
        <w:t>Determination of certain questions</w:t>
      </w:r>
      <w:r>
        <w:tab/>
      </w:r>
      <w:r>
        <w:fldChar w:fldCharType="begin"/>
      </w:r>
      <w:r>
        <w:instrText xml:space="preserve"> PAGEREF _Toc75863284 \h </w:instrText>
      </w:r>
      <w:r>
        <w:fldChar w:fldCharType="separate"/>
      </w:r>
      <w:r w:rsidR="00FC1D84">
        <w:t>288</w:t>
      </w:r>
      <w:r>
        <w:fldChar w:fldCharType="end"/>
      </w:r>
    </w:p>
    <w:p w:rsidR="006169FD" w:rsidRDefault="006169FD">
      <w:pPr>
        <w:pStyle w:val="TOC8"/>
        <w:rPr>
          <w:rFonts w:asciiTheme="minorHAnsi" w:eastAsiaTheme="minorEastAsia" w:hAnsiTheme="minorHAnsi" w:cstheme="minorBidi"/>
          <w:szCs w:val="22"/>
        </w:rPr>
      </w:pPr>
      <w:r>
        <w:t>13</w:t>
      </w:r>
      <w:r w:rsidRPr="00AA3DF9">
        <w:rPr>
          <w:snapToGrid w:val="0"/>
        </w:rPr>
        <w:t>.</w:t>
      </w:r>
      <w:r w:rsidRPr="00AA3DF9">
        <w:rPr>
          <w:snapToGrid w:val="0"/>
        </w:rPr>
        <w:tab/>
        <w:t>Certified copy of judgment obtained in this State</w:t>
      </w:r>
      <w:r>
        <w:tab/>
      </w:r>
      <w:r>
        <w:fldChar w:fldCharType="begin"/>
      </w:r>
      <w:r>
        <w:instrText xml:space="preserve"> PAGEREF _Toc75863285 \h </w:instrText>
      </w:r>
      <w:r>
        <w:fldChar w:fldCharType="separate"/>
      </w:r>
      <w:r w:rsidR="00FC1D84">
        <w:t>288</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45 — Accounts and inquiries</w:t>
      </w:r>
    </w:p>
    <w:p w:rsidR="006169FD" w:rsidRDefault="006169FD">
      <w:pPr>
        <w:pStyle w:val="TOC8"/>
        <w:rPr>
          <w:rFonts w:asciiTheme="minorHAnsi" w:eastAsiaTheme="minorEastAsia" w:hAnsiTheme="minorHAnsi" w:cstheme="minorBidi"/>
          <w:szCs w:val="22"/>
        </w:rPr>
      </w:pPr>
      <w:r>
        <w:t>1</w:t>
      </w:r>
      <w:r w:rsidRPr="00AA3DF9">
        <w:rPr>
          <w:snapToGrid w:val="0"/>
        </w:rPr>
        <w:t>.</w:t>
      </w:r>
      <w:r w:rsidRPr="00AA3DF9">
        <w:rPr>
          <w:snapToGrid w:val="0"/>
        </w:rPr>
        <w:tab/>
        <w:t>Summary order for account to be taken</w:t>
      </w:r>
      <w:r>
        <w:tab/>
      </w:r>
      <w:r>
        <w:fldChar w:fldCharType="begin"/>
      </w:r>
      <w:r>
        <w:instrText xml:space="preserve"> PAGEREF _Toc75863287 \h </w:instrText>
      </w:r>
      <w:r>
        <w:fldChar w:fldCharType="separate"/>
      </w:r>
      <w:r w:rsidR="00FC1D84">
        <w:t>291</w:t>
      </w:r>
      <w:r>
        <w:fldChar w:fldCharType="end"/>
      </w:r>
    </w:p>
    <w:p w:rsidR="006169FD" w:rsidRDefault="006169FD">
      <w:pPr>
        <w:pStyle w:val="TOC8"/>
        <w:rPr>
          <w:rFonts w:asciiTheme="minorHAnsi" w:eastAsiaTheme="minorEastAsia" w:hAnsiTheme="minorHAnsi" w:cstheme="minorBidi"/>
          <w:szCs w:val="22"/>
        </w:rPr>
      </w:pPr>
      <w:r>
        <w:t>2</w:t>
      </w:r>
      <w:r w:rsidRPr="00AA3DF9">
        <w:rPr>
          <w:snapToGrid w:val="0"/>
        </w:rPr>
        <w:t>.</w:t>
      </w:r>
      <w:r w:rsidRPr="00AA3DF9">
        <w:rPr>
          <w:snapToGrid w:val="0"/>
        </w:rPr>
        <w:tab/>
        <w:t>Direction for accounts etc. may be made at any stage</w:t>
      </w:r>
      <w:r>
        <w:tab/>
      </w:r>
      <w:r>
        <w:fldChar w:fldCharType="begin"/>
      </w:r>
      <w:r>
        <w:instrText xml:space="preserve"> PAGEREF _Toc75863288 \h </w:instrText>
      </w:r>
      <w:r>
        <w:fldChar w:fldCharType="separate"/>
      </w:r>
      <w:r w:rsidR="00FC1D84">
        <w:t>291</w:t>
      </w:r>
      <w:r>
        <w:fldChar w:fldCharType="end"/>
      </w:r>
    </w:p>
    <w:p w:rsidR="006169FD" w:rsidRDefault="006169FD">
      <w:pPr>
        <w:pStyle w:val="TOC8"/>
        <w:rPr>
          <w:rFonts w:asciiTheme="minorHAnsi" w:eastAsiaTheme="minorEastAsia" w:hAnsiTheme="minorHAnsi" w:cstheme="minorBidi"/>
          <w:szCs w:val="22"/>
        </w:rPr>
      </w:pPr>
      <w:r>
        <w:t>3</w:t>
      </w:r>
      <w:r w:rsidRPr="00AA3DF9">
        <w:rPr>
          <w:snapToGrid w:val="0"/>
        </w:rPr>
        <w:t>.</w:t>
      </w:r>
      <w:r w:rsidRPr="00AA3DF9">
        <w:rPr>
          <w:snapToGrid w:val="0"/>
        </w:rPr>
        <w:tab/>
        <w:t>Directions to be numbered</w:t>
      </w:r>
      <w:r>
        <w:tab/>
      </w:r>
      <w:r>
        <w:fldChar w:fldCharType="begin"/>
      </w:r>
      <w:r>
        <w:instrText xml:space="preserve"> PAGEREF _Toc75863289 \h </w:instrText>
      </w:r>
      <w:r>
        <w:fldChar w:fldCharType="separate"/>
      </w:r>
      <w:r w:rsidR="00FC1D84">
        <w:t>291</w:t>
      </w:r>
      <w:r>
        <w:fldChar w:fldCharType="end"/>
      </w:r>
    </w:p>
    <w:p w:rsidR="006169FD" w:rsidRDefault="006169FD">
      <w:pPr>
        <w:pStyle w:val="TOC8"/>
        <w:rPr>
          <w:rFonts w:asciiTheme="minorHAnsi" w:eastAsiaTheme="minorEastAsia" w:hAnsiTheme="minorHAnsi" w:cstheme="minorBidi"/>
          <w:szCs w:val="22"/>
        </w:rPr>
      </w:pPr>
      <w:r>
        <w:t>4</w:t>
      </w:r>
      <w:r w:rsidRPr="00AA3DF9">
        <w:rPr>
          <w:snapToGrid w:val="0"/>
        </w:rPr>
        <w:t>.</w:t>
      </w:r>
      <w:r w:rsidRPr="00AA3DF9">
        <w:rPr>
          <w:snapToGrid w:val="0"/>
        </w:rPr>
        <w:tab/>
        <w:t>Directions as to mode of taking account</w:t>
      </w:r>
      <w:r>
        <w:tab/>
      </w:r>
      <w:r>
        <w:fldChar w:fldCharType="begin"/>
      </w:r>
      <w:r>
        <w:instrText xml:space="preserve"> PAGEREF _Toc75863290 \h </w:instrText>
      </w:r>
      <w:r>
        <w:fldChar w:fldCharType="separate"/>
      </w:r>
      <w:r w:rsidR="00FC1D84">
        <w:t>291</w:t>
      </w:r>
      <w:r>
        <w:fldChar w:fldCharType="end"/>
      </w:r>
    </w:p>
    <w:p w:rsidR="006169FD" w:rsidRDefault="006169FD">
      <w:pPr>
        <w:pStyle w:val="TOC8"/>
        <w:rPr>
          <w:rFonts w:asciiTheme="minorHAnsi" w:eastAsiaTheme="minorEastAsia" w:hAnsiTheme="minorHAnsi" w:cstheme="minorBidi"/>
          <w:szCs w:val="22"/>
        </w:rPr>
      </w:pPr>
      <w:r>
        <w:t>5</w:t>
      </w:r>
      <w:r w:rsidRPr="00AA3DF9">
        <w:rPr>
          <w:snapToGrid w:val="0"/>
        </w:rPr>
        <w:t>.</w:t>
      </w:r>
      <w:r w:rsidRPr="00AA3DF9">
        <w:rPr>
          <w:snapToGrid w:val="0"/>
        </w:rPr>
        <w:tab/>
        <w:t>Account to be verified</w:t>
      </w:r>
      <w:r>
        <w:tab/>
      </w:r>
      <w:r>
        <w:fldChar w:fldCharType="begin"/>
      </w:r>
      <w:r>
        <w:instrText xml:space="preserve"> PAGEREF _Toc75863291 \h </w:instrText>
      </w:r>
      <w:r>
        <w:fldChar w:fldCharType="separate"/>
      </w:r>
      <w:r w:rsidR="00FC1D84">
        <w:t>292</w:t>
      </w:r>
      <w:r>
        <w:fldChar w:fldCharType="end"/>
      </w:r>
    </w:p>
    <w:p w:rsidR="006169FD" w:rsidRDefault="006169FD">
      <w:pPr>
        <w:pStyle w:val="TOC8"/>
        <w:rPr>
          <w:rFonts w:asciiTheme="minorHAnsi" w:eastAsiaTheme="minorEastAsia" w:hAnsiTheme="minorHAnsi" w:cstheme="minorBidi"/>
          <w:szCs w:val="22"/>
        </w:rPr>
      </w:pPr>
      <w:r>
        <w:t>6</w:t>
      </w:r>
      <w:r w:rsidRPr="00AA3DF9">
        <w:rPr>
          <w:snapToGrid w:val="0"/>
        </w:rPr>
        <w:t>.</w:t>
      </w:r>
      <w:r w:rsidRPr="00AA3DF9">
        <w:rPr>
          <w:snapToGrid w:val="0"/>
        </w:rPr>
        <w:tab/>
        <w:t>Vouchers and contested etc. items, directions as to</w:t>
      </w:r>
      <w:r>
        <w:tab/>
      </w:r>
      <w:r>
        <w:fldChar w:fldCharType="begin"/>
      </w:r>
      <w:r>
        <w:instrText xml:space="preserve"> PAGEREF _Toc75863292 \h </w:instrText>
      </w:r>
      <w:r>
        <w:fldChar w:fldCharType="separate"/>
      </w:r>
      <w:r w:rsidR="00FC1D84">
        <w:t>292</w:t>
      </w:r>
      <w:r>
        <w:fldChar w:fldCharType="end"/>
      </w:r>
    </w:p>
    <w:p w:rsidR="006169FD" w:rsidRDefault="006169FD">
      <w:pPr>
        <w:pStyle w:val="TOC8"/>
        <w:rPr>
          <w:rFonts w:asciiTheme="minorHAnsi" w:eastAsiaTheme="minorEastAsia" w:hAnsiTheme="minorHAnsi" w:cstheme="minorBidi"/>
          <w:szCs w:val="22"/>
        </w:rPr>
      </w:pPr>
      <w:r>
        <w:t>7</w:t>
      </w:r>
      <w:r w:rsidRPr="00AA3DF9">
        <w:rPr>
          <w:snapToGrid w:val="0"/>
        </w:rPr>
        <w:t>.</w:t>
      </w:r>
      <w:r w:rsidRPr="00AA3DF9">
        <w:rPr>
          <w:snapToGrid w:val="0"/>
        </w:rPr>
        <w:tab/>
        <w:t>Surcharge or error, notice of</w:t>
      </w:r>
      <w:r>
        <w:tab/>
      </w:r>
      <w:r>
        <w:fldChar w:fldCharType="begin"/>
      </w:r>
      <w:r>
        <w:instrText xml:space="preserve"> PAGEREF _Toc75863293 \h </w:instrText>
      </w:r>
      <w:r>
        <w:fldChar w:fldCharType="separate"/>
      </w:r>
      <w:r w:rsidR="00FC1D84">
        <w:t>292</w:t>
      </w:r>
      <w:r>
        <w:fldChar w:fldCharType="end"/>
      </w:r>
    </w:p>
    <w:p w:rsidR="006169FD" w:rsidRDefault="006169FD">
      <w:pPr>
        <w:pStyle w:val="TOC8"/>
        <w:rPr>
          <w:rFonts w:asciiTheme="minorHAnsi" w:eastAsiaTheme="minorEastAsia" w:hAnsiTheme="minorHAnsi" w:cstheme="minorBidi"/>
          <w:szCs w:val="22"/>
        </w:rPr>
      </w:pPr>
      <w:r>
        <w:t>8</w:t>
      </w:r>
      <w:r w:rsidRPr="00AA3DF9">
        <w:rPr>
          <w:snapToGrid w:val="0"/>
        </w:rPr>
        <w:t>.</w:t>
      </w:r>
      <w:r w:rsidRPr="00AA3DF9">
        <w:rPr>
          <w:snapToGrid w:val="0"/>
        </w:rPr>
        <w:tab/>
        <w:t>Allowances that can be made without direction</w:t>
      </w:r>
      <w:r>
        <w:tab/>
      </w:r>
      <w:r>
        <w:fldChar w:fldCharType="begin"/>
      </w:r>
      <w:r>
        <w:instrText xml:space="preserve"> PAGEREF _Toc75863294 \h </w:instrText>
      </w:r>
      <w:r>
        <w:fldChar w:fldCharType="separate"/>
      </w:r>
      <w:r w:rsidR="00FC1D84">
        <w:t>293</w:t>
      </w:r>
      <w:r>
        <w:fldChar w:fldCharType="end"/>
      </w:r>
    </w:p>
    <w:p w:rsidR="006169FD" w:rsidRDefault="006169FD">
      <w:pPr>
        <w:pStyle w:val="TOC8"/>
        <w:rPr>
          <w:rFonts w:asciiTheme="minorHAnsi" w:eastAsiaTheme="minorEastAsia" w:hAnsiTheme="minorHAnsi" w:cstheme="minorBidi"/>
          <w:szCs w:val="22"/>
        </w:rPr>
      </w:pPr>
      <w:r>
        <w:t>9</w:t>
      </w:r>
      <w:r w:rsidRPr="00AA3DF9">
        <w:rPr>
          <w:snapToGrid w:val="0"/>
        </w:rPr>
        <w:t>.</w:t>
      </w:r>
      <w:r w:rsidRPr="00AA3DF9">
        <w:rPr>
          <w:snapToGrid w:val="0"/>
        </w:rPr>
        <w:tab/>
        <w:t>Expediting proceedings</w:t>
      </w:r>
      <w:r>
        <w:tab/>
      </w:r>
      <w:r>
        <w:fldChar w:fldCharType="begin"/>
      </w:r>
      <w:r>
        <w:instrText xml:space="preserve"> PAGEREF _Toc75863295 \h </w:instrText>
      </w:r>
      <w:r>
        <w:fldChar w:fldCharType="separate"/>
      </w:r>
      <w:r w:rsidR="00FC1D84">
        <w:t>293</w:t>
      </w:r>
      <w:r>
        <w:fldChar w:fldCharType="end"/>
      </w:r>
    </w:p>
    <w:p w:rsidR="006169FD" w:rsidRDefault="006169FD">
      <w:pPr>
        <w:pStyle w:val="TOC8"/>
        <w:rPr>
          <w:rFonts w:asciiTheme="minorHAnsi" w:eastAsiaTheme="minorEastAsia" w:hAnsiTheme="minorHAnsi" w:cstheme="minorBidi"/>
          <w:szCs w:val="22"/>
        </w:rPr>
      </w:pPr>
      <w:r>
        <w:t>10</w:t>
      </w:r>
      <w:r w:rsidRPr="00AA3DF9">
        <w:rPr>
          <w:snapToGrid w:val="0"/>
        </w:rPr>
        <w:t>.</w:t>
      </w:r>
      <w:r w:rsidRPr="00AA3DF9">
        <w:rPr>
          <w:snapToGrid w:val="0"/>
        </w:rPr>
        <w:tab/>
        <w:t>Distributing fund before all persons entitled are ascertained</w:t>
      </w:r>
      <w:r>
        <w:tab/>
      </w:r>
      <w:r>
        <w:fldChar w:fldCharType="begin"/>
      </w:r>
      <w:r>
        <w:instrText xml:space="preserve"> PAGEREF _Toc75863296 \h </w:instrText>
      </w:r>
      <w:r>
        <w:fldChar w:fldCharType="separate"/>
      </w:r>
      <w:r w:rsidR="00FC1D84">
        <w:t>293</w:t>
      </w:r>
      <w:r>
        <w:fldChar w:fldCharType="end"/>
      </w:r>
    </w:p>
    <w:p w:rsidR="006169FD" w:rsidRDefault="006169FD">
      <w:pPr>
        <w:pStyle w:val="TOC8"/>
        <w:rPr>
          <w:rFonts w:asciiTheme="minorHAnsi" w:eastAsiaTheme="minorEastAsia" w:hAnsiTheme="minorHAnsi" w:cstheme="minorBidi"/>
          <w:szCs w:val="22"/>
        </w:rPr>
      </w:pPr>
      <w:r>
        <w:t>11.</w:t>
      </w:r>
      <w:r>
        <w:tab/>
        <w:t>Master etc. may be ordered to take accounts or make inquiries</w:t>
      </w:r>
      <w:r>
        <w:tab/>
      </w:r>
      <w:r>
        <w:fldChar w:fldCharType="begin"/>
      </w:r>
      <w:r>
        <w:instrText xml:space="preserve"> PAGEREF _Toc75863297 \h </w:instrText>
      </w:r>
      <w:r>
        <w:fldChar w:fldCharType="separate"/>
      </w:r>
      <w:r w:rsidR="00FC1D84">
        <w:t>294</w:t>
      </w:r>
      <w:r>
        <w:fldChar w:fldCharType="end"/>
      </w:r>
    </w:p>
    <w:p w:rsidR="006169FD" w:rsidRDefault="006169FD">
      <w:pPr>
        <w:pStyle w:val="TOC8"/>
        <w:rPr>
          <w:rFonts w:asciiTheme="minorHAnsi" w:eastAsiaTheme="minorEastAsia" w:hAnsiTheme="minorHAnsi" w:cstheme="minorBidi"/>
          <w:szCs w:val="22"/>
        </w:rPr>
      </w:pPr>
      <w:r>
        <w:t>12.</w:t>
      </w:r>
      <w:r>
        <w:tab/>
        <w:t>Right to adjournment from registrar etc.</w:t>
      </w:r>
      <w:r>
        <w:tab/>
      </w:r>
      <w:r>
        <w:fldChar w:fldCharType="begin"/>
      </w:r>
      <w:r>
        <w:instrText xml:space="preserve"> PAGEREF _Toc75863298 \h </w:instrText>
      </w:r>
      <w:r>
        <w:fldChar w:fldCharType="separate"/>
      </w:r>
      <w:r w:rsidR="00FC1D84">
        <w:t>294</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46</w:t>
      </w:r>
      <w:r w:rsidRPr="00AA3DF9">
        <w:rPr>
          <w:b w:val="0"/>
        </w:rPr>
        <w:t> </w:t>
      </w:r>
      <w:r>
        <w:t>—</w:t>
      </w:r>
      <w:r w:rsidRPr="00AA3DF9">
        <w:rPr>
          <w:b w:val="0"/>
        </w:rPr>
        <w:t> </w:t>
      </w:r>
      <w:r w:rsidRPr="00AA3DF9">
        <w:rPr>
          <w:i/>
          <w:iCs/>
        </w:rPr>
        <w:t>Civil Judgments Enforcement Act 2004</w:t>
      </w:r>
      <w:r>
        <w:t xml:space="preserve"> rules</w:t>
      </w:r>
    </w:p>
    <w:p w:rsidR="006169FD" w:rsidRDefault="006169FD">
      <w:pPr>
        <w:pStyle w:val="TOC8"/>
        <w:rPr>
          <w:rFonts w:asciiTheme="minorHAnsi" w:eastAsiaTheme="minorEastAsia" w:hAnsiTheme="minorHAnsi" w:cstheme="minorBidi"/>
          <w:szCs w:val="22"/>
        </w:rPr>
      </w:pPr>
      <w:r>
        <w:t>1.</w:t>
      </w:r>
      <w:r>
        <w:tab/>
        <w:t>Terms used</w:t>
      </w:r>
      <w:r>
        <w:tab/>
      </w:r>
      <w:r>
        <w:fldChar w:fldCharType="begin"/>
      </w:r>
      <w:r>
        <w:instrText xml:space="preserve"> PAGEREF _Toc75863300 \h </w:instrText>
      </w:r>
      <w:r>
        <w:fldChar w:fldCharType="separate"/>
      </w:r>
      <w:r w:rsidR="00FC1D84">
        <w:t>295</w:t>
      </w:r>
      <w:r>
        <w:fldChar w:fldCharType="end"/>
      </w:r>
    </w:p>
    <w:p w:rsidR="006169FD" w:rsidRDefault="006169FD">
      <w:pPr>
        <w:pStyle w:val="TOC8"/>
        <w:rPr>
          <w:rFonts w:asciiTheme="minorHAnsi" w:eastAsiaTheme="minorEastAsia" w:hAnsiTheme="minorHAnsi" w:cstheme="minorBidi"/>
          <w:szCs w:val="22"/>
        </w:rPr>
      </w:pPr>
      <w:r>
        <w:t>2.</w:t>
      </w:r>
      <w:r>
        <w:tab/>
        <w:t>Applications that may be dealt with by registrar</w:t>
      </w:r>
      <w:r>
        <w:tab/>
      </w:r>
      <w:r>
        <w:fldChar w:fldCharType="begin"/>
      </w:r>
      <w:r>
        <w:instrText xml:space="preserve"> PAGEREF _Toc75863301 \h </w:instrText>
      </w:r>
      <w:r>
        <w:fldChar w:fldCharType="separate"/>
      </w:r>
      <w:r w:rsidR="00FC1D84">
        <w:t>295</w:t>
      </w:r>
      <w:r>
        <w:fldChar w:fldCharType="end"/>
      </w:r>
    </w:p>
    <w:p w:rsidR="006169FD" w:rsidRDefault="006169FD">
      <w:pPr>
        <w:pStyle w:val="TOC8"/>
        <w:rPr>
          <w:rFonts w:asciiTheme="minorHAnsi" w:eastAsiaTheme="minorEastAsia" w:hAnsiTheme="minorHAnsi" w:cstheme="minorBidi"/>
          <w:szCs w:val="22"/>
        </w:rPr>
      </w:pPr>
      <w:r>
        <w:t>3.</w:t>
      </w:r>
      <w:r>
        <w:tab/>
        <w:t>Enforcing judgment in action between partners</w:t>
      </w:r>
      <w:r>
        <w:tab/>
      </w:r>
      <w:r>
        <w:fldChar w:fldCharType="begin"/>
      </w:r>
      <w:r>
        <w:instrText xml:space="preserve"> PAGEREF _Toc75863302 \h </w:instrText>
      </w:r>
      <w:r>
        <w:fldChar w:fldCharType="separate"/>
      </w:r>
      <w:r w:rsidR="00FC1D84">
        <w:t>296</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51 — Receivers</w:t>
      </w:r>
    </w:p>
    <w:p w:rsidR="006169FD" w:rsidRDefault="006169FD">
      <w:pPr>
        <w:pStyle w:val="TOC8"/>
        <w:rPr>
          <w:rFonts w:asciiTheme="minorHAnsi" w:eastAsiaTheme="minorEastAsia" w:hAnsiTheme="minorHAnsi" w:cstheme="minorBidi"/>
          <w:szCs w:val="22"/>
        </w:rPr>
      </w:pPr>
      <w:r>
        <w:t>1</w:t>
      </w:r>
      <w:r w:rsidRPr="00AA3DF9">
        <w:rPr>
          <w:snapToGrid w:val="0"/>
        </w:rPr>
        <w:t>.</w:t>
      </w:r>
      <w:r w:rsidRPr="00AA3DF9">
        <w:rPr>
          <w:snapToGrid w:val="0"/>
        </w:rPr>
        <w:tab/>
        <w:t>Application for receiver and injunction</w:t>
      </w:r>
      <w:r>
        <w:tab/>
      </w:r>
      <w:r>
        <w:fldChar w:fldCharType="begin"/>
      </w:r>
      <w:r>
        <w:instrText xml:space="preserve"> PAGEREF _Toc75863304 \h </w:instrText>
      </w:r>
      <w:r>
        <w:fldChar w:fldCharType="separate"/>
      </w:r>
      <w:r w:rsidR="00FC1D84">
        <w:t>297</w:t>
      </w:r>
      <w:r>
        <w:fldChar w:fldCharType="end"/>
      </w:r>
    </w:p>
    <w:p w:rsidR="006169FD" w:rsidRDefault="006169FD">
      <w:pPr>
        <w:pStyle w:val="TOC8"/>
        <w:rPr>
          <w:rFonts w:asciiTheme="minorHAnsi" w:eastAsiaTheme="minorEastAsia" w:hAnsiTheme="minorHAnsi" w:cstheme="minorBidi"/>
          <w:szCs w:val="22"/>
        </w:rPr>
      </w:pPr>
      <w:r>
        <w:t>3</w:t>
      </w:r>
      <w:r w:rsidRPr="00AA3DF9">
        <w:rPr>
          <w:snapToGrid w:val="0"/>
        </w:rPr>
        <w:t>.</w:t>
      </w:r>
      <w:r w:rsidRPr="00AA3DF9">
        <w:rPr>
          <w:snapToGrid w:val="0"/>
        </w:rPr>
        <w:tab/>
        <w:t>Security to be given by receiver</w:t>
      </w:r>
      <w:r>
        <w:tab/>
      </w:r>
      <w:r>
        <w:fldChar w:fldCharType="begin"/>
      </w:r>
      <w:r>
        <w:instrText xml:space="preserve"> PAGEREF _Toc75863305 \h </w:instrText>
      </w:r>
      <w:r>
        <w:fldChar w:fldCharType="separate"/>
      </w:r>
      <w:r w:rsidR="00FC1D84">
        <w:t>297</w:t>
      </w:r>
      <w:r>
        <w:fldChar w:fldCharType="end"/>
      </w:r>
    </w:p>
    <w:p w:rsidR="006169FD" w:rsidRDefault="006169FD">
      <w:pPr>
        <w:pStyle w:val="TOC8"/>
        <w:rPr>
          <w:rFonts w:asciiTheme="minorHAnsi" w:eastAsiaTheme="minorEastAsia" w:hAnsiTheme="minorHAnsi" w:cstheme="minorBidi"/>
          <w:szCs w:val="22"/>
        </w:rPr>
      </w:pPr>
      <w:r>
        <w:t>4</w:t>
      </w:r>
      <w:r w:rsidRPr="00AA3DF9">
        <w:rPr>
          <w:snapToGrid w:val="0"/>
        </w:rPr>
        <w:t>.</w:t>
      </w:r>
      <w:r w:rsidRPr="00AA3DF9">
        <w:rPr>
          <w:snapToGrid w:val="0"/>
        </w:rPr>
        <w:tab/>
        <w:t>Remuneration of receiver</w:t>
      </w:r>
      <w:r>
        <w:tab/>
      </w:r>
      <w:r>
        <w:fldChar w:fldCharType="begin"/>
      </w:r>
      <w:r>
        <w:instrText xml:space="preserve"> PAGEREF _Toc75863306 \h </w:instrText>
      </w:r>
      <w:r>
        <w:fldChar w:fldCharType="separate"/>
      </w:r>
      <w:r w:rsidR="00FC1D84">
        <w:t>298</w:t>
      </w:r>
      <w:r>
        <w:fldChar w:fldCharType="end"/>
      </w:r>
    </w:p>
    <w:p w:rsidR="006169FD" w:rsidRDefault="006169FD">
      <w:pPr>
        <w:pStyle w:val="TOC8"/>
        <w:rPr>
          <w:rFonts w:asciiTheme="minorHAnsi" w:eastAsiaTheme="minorEastAsia" w:hAnsiTheme="minorHAnsi" w:cstheme="minorBidi"/>
          <w:szCs w:val="22"/>
        </w:rPr>
      </w:pPr>
      <w:r>
        <w:t>5</w:t>
      </w:r>
      <w:r w:rsidRPr="00AA3DF9">
        <w:rPr>
          <w:snapToGrid w:val="0"/>
        </w:rPr>
        <w:t>.</w:t>
      </w:r>
      <w:r w:rsidRPr="00AA3DF9">
        <w:rPr>
          <w:snapToGrid w:val="0"/>
        </w:rPr>
        <w:tab/>
        <w:t>Accounts by receiver</w:t>
      </w:r>
      <w:r>
        <w:tab/>
      </w:r>
      <w:r>
        <w:fldChar w:fldCharType="begin"/>
      </w:r>
      <w:r>
        <w:instrText xml:space="preserve"> PAGEREF _Toc75863307 \h </w:instrText>
      </w:r>
      <w:r>
        <w:fldChar w:fldCharType="separate"/>
      </w:r>
      <w:r w:rsidR="00FC1D84">
        <w:t>298</w:t>
      </w:r>
      <w:r>
        <w:fldChar w:fldCharType="end"/>
      </w:r>
    </w:p>
    <w:p w:rsidR="006169FD" w:rsidRDefault="006169FD">
      <w:pPr>
        <w:pStyle w:val="TOC8"/>
        <w:rPr>
          <w:rFonts w:asciiTheme="minorHAnsi" w:eastAsiaTheme="minorEastAsia" w:hAnsiTheme="minorHAnsi" w:cstheme="minorBidi"/>
          <w:szCs w:val="22"/>
        </w:rPr>
      </w:pPr>
      <w:r>
        <w:lastRenderedPageBreak/>
        <w:t>6</w:t>
      </w:r>
      <w:r w:rsidRPr="00AA3DF9">
        <w:rPr>
          <w:snapToGrid w:val="0"/>
        </w:rPr>
        <w:t>.</w:t>
      </w:r>
      <w:r w:rsidRPr="00AA3DF9">
        <w:rPr>
          <w:snapToGrid w:val="0"/>
        </w:rPr>
        <w:tab/>
        <w:t>Payment of balances by receiver</w:t>
      </w:r>
      <w:r>
        <w:tab/>
      </w:r>
      <w:r>
        <w:fldChar w:fldCharType="begin"/>
      </w:r>
      <w:r>
        <w:instrText xml:space="preserve"> PAGEREF _Toc75863308 \h </w:instrText>
      </w:r>
      <w:r>
        <w:fldChar w:fldCharType="separate"/>
      </w:r>
      <w:r w:rsidR="00FC1D84">
        <w:t>298</w:t>
      </w:r>
      <w:r>
        <w:fldChar w:fldCharType="end"/>
      </w:r>
    </w:p>
    <w:p w:rsidR="006169FD" w:rsidRDefault="006169FD">
      <w:pPr>
        <w:pStyle w:val="TOC8"/>
        <w:rPr>
          <w:rFonts w:asciiTheme="minorHAnsi" w:eastAsiaTheme="minorEastAsia" w:hAnsiTheme="minorHAnsi" w:cstheme="minorBidi"/>
          <w:szCs w:val="22"/>
        </w:rPr>
      </w:pPr>
      <w:r>
        <w:t>7</w:t>
      </w:r>
      <w:r w:rsidRPr="00AA3DF9">
        <w:rPr>
          <w:snapToGrid w:val="0"/>
        </w:rPr>
        <w:t>.</w:t>
      </w:r>
      <w:r w:rsidRPr="00AA3DF9">
        <w:rPr>
          <w:snapToGrid w:val="0"/>
        </w:rPr>
        <w:tab/>
        <w:t>Default by receiver</w:t>
      </w:r>
      <w:r>
        <w:tab/>
      </w:r>
      <w:r>
        <w:fldChar w:fldCharType="begin"/>
      </w:r>
      <w:r>
        <w:instrText xml:space="preserve"> PAGEREF _Toc75863309 \h </w:instrText>
      </w:r>
      <w:r>
        <w:fldChar w:fldCharType="separate"/>
      </w:r>
      <w:r w:rsidR="00FC1D84">
        <w:t>299</w:t>
      </w:r>
      <w:r>
        <w:fldChar w:fldCharType="end"/>
      </w:r>
    </w:p>
    <w:p w:rsidR="006169FD" w:rsidRDefault="006169FD">
      <w:pPr>
        <w:pStyle w:val="TOC8"/>
        <w:rPr>
          <w:rFonts w:asciiTheme="minorHAnsi" w:eastAsiaTheme="minorEastAsia" w:hAnsiTheme="minorHAnsi" w:cstheme="minorBidi"/>
          <w:szCs w:val="22"/>
        </w:rPr>
      </w:pPr>
      <w:r>
        <w:t>8.</w:t>
      </w:r>
      <w:r>
        <w:tab/>
        <w:t>Final accounts to be filed</w:t>
      </w:r>
      <w:r>
        <w:tab/>
      </w:r>
      <w:r>
        <w:fldChar w:fldCharType="begin"/>
      </w:r>
      <w:r>
        <w:instrText xml:space="preserve"> PAGEREF _Toc75863310 \h </w:instrText>
      </w:r>
      <w:r>
        <w:fldChar w:fldCharType="separate"/>
      </w:r>
      <w:r w:rsidR="00FC1D84">
        <w:t>299</w:t>
      </w:r>
      <w:r>
        <w:fldChar w:fldCharType="end"/>
      </w:r>
    </w:p>
    <w:p w:rsidR="006169FD" w:rsidRDefault="006169FD">
      <w:pPr>
        <w:pStyle w:val="TOC8"/>
        <w:rPr>
          <w:rFonts w:asciiTheme="minorHAnsi" w:eastAsiaTheme="minorEastAsia" w:hAnsiTheme="minorHAnsi" w:cstheme="minorBidi"/>
          <w:szCs w:val="22"/>
        </w:rPr>
      </w:pPr>
      <w:r>
        <w:t>9</w:t>
      </w:r>
      <w:r w:rsidRPr="00AA3DF9">
        <w:rPr>
          <w:snapToGrid w:val="0"/>
        </w:rPr>
        <w:t>.</w:t>
      </w:r>
      <w:r w:rsidRPr="00AA3DF9">
        <w:rPr>
          <w:snapToGrid w:val="0"/>
        </w:rPr>
        <w:tab/>
        <w:t>Compensation to party restrained</w:t>
      </w:r>
      <w:r>
        <w:tab/>
      </w:r>
      <w:r>
        <w:fldChar w:fldCharType="begin"/>
      </w:r>
      <w:r>
        <w:instrText xml:space="preserve"> PAGEREF _Toc75863311 \h </w:instrText>
      </w:r>
      <w:r>
        <w:fldChar w:fldCharType="separate"/>
      </w:r>
      <w:r w:rsidR="00FC1D84">
        <w:t>300</w:t>
      </w:r>
      <w:r>
        <w:fldChar w:fldCharType="end"/>
      </w:r>
    </w:p>
    <w:p w:rsidR="006169FD" w:rsidRDefault="006169FD">
      <w:pPr>
        <w:pStyle w:val="TOC8"/>
        <w:rPr>
          <w:rFonts w:asciiTheme="minorHAnsi" w:eastAsiaTheme="minorEastAsia" w:hAnsiTheme="minorHAnsi" w:cstheme="minorBidi"/>
          <w:szCs w:val="22"/>
        </w:rPr>
      </w:pPr>
      <w:r>
        <w:t>10</w:t>
      </w:r>
      <w:r w:rsidRPr="00AA3DF9">
        <w:rPr>
          <w:snapToGrid w:val="0"/>
        </w:rPr>
        <w:t>.</w:t>
      </w:r>
      <w:r w:rsidRPr="00AA3DF9">
        <w:rPr>
          <w:snapToGrid w:val="0"/>
        </w:rPr>
        <w:tab/>
        <w:t>Compensation by applicant to party restrained</w:t>
      </w:r>
      <w:r>
        <w:tab/>
      </w:r>
      <w:r>
        <w:fldChar w:fldCharType="begin"/>
      </w:r>
      <w:r>
        <w:instrText xml:space="preserve"> PAGEREF _Toc75863312 \h </w:instrText>
      </w:r>
      <w:r>
        <w:fldChar w:fldCharType="separate"/>
      </w:r>
      <w:r w:rsidR="00FC1D84">
        <w:t>300</w:t>
      </w:r>
      <w:r>
        <w:fldChar w:fldCharType="end"/>
      </w:r>
    </w:p>
    <w:p w:rsidR="006169FD" w:rsidRDefault="006169FD">
      <w:pPr>
        <w:pStyle w:val="TOC8"/>
        <w:rPr>
          <w:rFonts w:asciiTheme="minorHAnsi" w:eastAsiaTheme="minorEastAsia" w:hAnsiTheme="minorHAnsi" w:cstheme="minorBidi"/>
          <w:szCs w:val="22"/>
        </w:rPr>
      </w:pPr>
      <w:r>
        <w:t>11.</w:t>
      </w:r>
      <w:r>
        <w:tab/>
        <w:t xml:space="preserve">Application to </w:t>
      </w:r>
      <w:r w:rsidRPr="00AA3DF9">
        <w:rPr>
          <w:i/>
        </w:rPr>
        <w:t>Civil Judgments Enforcement Act 2004</w:t>
      </w:r>
      <w:r>
        <w:tab/>
      </w:r>
      <w:r>
        <w:fldChar w:fldCharType="begin"/>
      </w:r>
      <w:r>
        <w:instrText xml:space="preserve"> PAGEREF _Toc75863313 \h </w:instrText>
      </w:r>
      <w:r>
        <w:fldChar w:fldCharType="separate"/>
      </w:r>
      <w:r w:rsidR="00FC1D84">
        <w:t>300</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52 — Interlocutory injunctions, interim preservation of property</w:t>
      </w:r>
    </w:p>
    <w:p w:rsidR="006169FD" w:rsidRDefault="006169FD">
      <w:pPr>
        <w:pStyle w:val="TOC8"/>
        <w:rPr>
          <w:rFonts w:asciiTheme="minorHAnsi" w:eastAsiaTheme="minorEastAsia" w:hAnsiTheme="minorHAnsi" w:cstheme="minorBidi"/>
          <w:szCs w:val="22"/>
        </w:rPr>
      </w:pPr>
      <w:r>
        <w:t>1</w:t>
      </w:r>
      <w:r w:rsidRPr="00AA3DF9">
        <w:rPr>
          <w:snapToGrid w:val="0"/>
        </w:rPr>
        <w:t>.</w:t>
      </w:r>
      <w:r w:rsidRPr="00AA3DF9">
        <w:rPr>
          <w:snapToGrid w:val="0"/>
        </w:rPr>
        <w:tab/>
        <w:t>Application for injunction</w:t>
      </w:r>
      <w:r>
        <w:tab/>
      </w:r>
      <w:r>
        <w:fldChar w:fldCharType="begin"/>
      </w:r>
      <w:r>
        <w:instrText xml:space="preserve"> PAGEREF _Toc75863315 \h </w:instrText>
      </w:r>
      <w:r>
        <w:fldChar w:fldCharType="separate"/>
      </w:r>
      <w:r w:rsidR="00FC1D84">
        <w:t>301</w:t>
      </w:r>
      <w:r>
        <w:fldChar w:fldCharType="end"/>
      </w:r>
    </w:p>
    <w:p w:rsidR="006169FD" w:rsidRDefault="006169FD">
      <w:pPr>
        <w:pStyle w:val="TOC8"/>
        <w:rPr>
          <w:rFonts w:asciiTheme="minorHAnsi" w:eastAsiaTheme="minorEastAsia" w:hAnsiTheme="minorHAnsi" w:cstheme="minorBidi"/>
          <w:szCs w:val="22"/>
        </w:rPr>
      </w:pPr>
      <w:r>
        <w:t>2</w:t>
      </w:r>
      <w:r w:rsidRPr="00AA3DF9">
        <w:rPr>
          <w:snapToGrid w:val="0"/>
        </w:rPr>
        <w:t>.</w:t>
      </w:r>
      <w:r w:rsidRPr="00AA3DF9">
        <w:rPr>
          <w:snapToGrid w:val="0"/>
        </w:rPr>
        <w:tab/>
        <w:t>Detention etc. of property; securing funds in dispute</w:t>
      </w:r>
      <w:r>
        <w:tab/>
      </w:r>
      <w:r>
        <w:fldChar w:fldCharType="begin"/>
      </w:r>
      <w:r>
        <w:instrText xml:space="preserve"> PAGEREF _Toc75863316 \h </w:instrText>
      </w:r>
      <w:r>
        <w:fldChar w:fldCharType="separate"/>
      </w:r>
      <w:r w:rsidR="00FC1D84">
        <w:t>301</w:t>
      </w:r>
      <w:r>
        <w:fldChar w:fldCharType="end"/>
      </w:r>
    </w:p>
    <w:p w:rsidR="006169FD" w:rsidRDefault="006169FD">
      <w:pPr>
        <w:pStyle w:val="TOC8"/>
        <w:rPr>
          <w:rFonts w:asciiTheme="minorHAnsi" w:eastAsiaTheme="minorEastAsia" w:hAnsiTheme="minorHAnsi" w:cstheme="minorBidi"/>
          <w:szCs w:val="22"/>
        </w:rPr>
      </w:pPr>
      <w:r>
        <w:t>3</w:t>
      </w:r>
      <w:r w:rsidRPr="00AA3DF9">
        <w:rPr>
          <w:snapToGrid w:val="0"/>
        </w:rPr>
        <w:t>.</w:t>
      </w:r>
      <w:r w:rsidRPr="00AA3DF9">
        <w:rPr>
          <w:snapToGrid w:val="0"/>
        </w:rPr>
        <w:tab/>
        <w:t>Power to order taking of samples etc.</w:t>
      </w:r>
      <w:r>
        <w:tab/>
      </w:r>
      <w:r>
        <w:fldChar w:fldCharType="begin"/>
      </w:r>
      <w:r>
        <w:instrText xml:space="preserve"> PAGEREF _Toc75863317 \h </w:instrText>
      </w:r>
      <w:r>
        <w:fldChar w:fldCharType="separate"/>
      </w:r>
      <w:r w:rsidR="00FC1D84">
        <w:t>302</w:t>
      </w:r>
      <w:r>
        <w:fldChar w:fldCharType="end"/>
      </w:r>
    </w:p>
    <w:p w:rsidR="006169FD" w:rsidRDefault="006169FD">
      <w:pPr>
        <w:pStyle w:val="TOC8"/>
        <w:rPr>
          <w:rFonts w:asciiTheme="minorHAnsi" w:eastAsiaTheme="minorEastAsia" w:hAnsiTheme="minorHAnsi" w:cstheme="minorBidi"/>
          <w:szCs w:val="22"/>
        </w:rPr>
      </w:pPr>
      <w:r>
        <w:t>4</w:t>
      </w:r>
      <w:r w:rsidRPr="00AA3DF9">
        <w:rPr>
          <w:snapToGrid w:val="0"/>
        </w:rPr>
        <w:t>.</w:t>
      </w:r>
      <w:r w:rsidRPr="00AA3DF9">
        <w:rPr>
          <w:snapToGrid w:val="0"/>
        </w:rPr>
        <w:tab/>
        <w:t>Disposal of perishable property etc.</w:t>
      </w:r>
      <w:r>
        <w:tab/>
      </w:r>
      <w:r>
        <w:fldChar w:fldCharType="begin"/>
      </w:r>
      <w:r>
        <w:instrText xml:space="preserve"> PAGEREF _Toc75863318 \h </w:instrText>
      </w:r>
      <w:r>
        <w:fldChar w:fldCharType="separate"/>
      </w:r>
      <w:r w:rsidR="00FC1D84">
        <w:t>302</w:t>
      </w:r>
      <w:r>
        <w:fldChar w:fldCharType="end"/>
      </w:r>
    </w:p>
    <w:p w:rsidR="006169FD" w:rsidRDefault="006169FD">
      <w:pPr>
        <w:pStyle w:val="TOC8"/>
        <w:rPr>
          <w:rFonts w:asciiTheme="minorHAnsi" w:eastAsiaTheme="minorEastAsia" w:hAnsiTheme="minorHAnsi" w:cstheme="minorBidi"/>
          <w:szCs w:val="22"/>
        </w:rPr>
      </w:pPr>
      <w:r>
        <w:t>5</w:t>
      </w:r>
      <w:r w:rsidRPr="00AA3DF9">
        <w:rPr>
          <w:snapToGrid w:val="0"/>
        </w:rPr>
        <w:t>.</w:t>
      </w:r>
      <w:r w:rsidRPr="00AA3DF9">
        <w:rPr>
          <w:snapToGrid w:val="0"/>
        </w:rPr>
        <w:tab/>
        <w:t>Order for early trial on application for receiver, injunction etc.</w:t>
      </w:r>
      <w:r>
        <w:tab/>
      </w:r>
      <w:r>
        <w:fldChar w:fldCharType="begin"/>
      </w:r>
      <w:r>
        <w:instrText xml:space="preserve"> PAGEREF _Toc75863319 \h </w:instrText>
      </w:r>
      <w:r>
        <w:fldChar w:fldCharType="separate"/>
      </w:r>
      <w:r w:rsidR="00FC1D84">
        <w:t>303</w:t>
      </w:r>
      <w:r>
        <w:fldChar w:fldCharType="end"/>
      </w:r>
    </w:p>
    <w:p w:rsidR="006169FD" w:rsidRDefault="006169FD">
      <w:pPr>
        <w:pStyle w:val="TOC8"/>
        <w:rPr>
          <w:rFonts w:asciiTheme="minorHAnsi" w:eastAsiaTheme="minorEastAsia" w:hAnsiTheme="minorHAnsi" w:cstheme="minorBidi"/>
          <w:szCs w:val="22"/>
        </w:rPr>
      </w:pPr>
      <w:r>
        <w:t>6</w:t>
      </w:r>
      <w:r w:rsidRPr="00AA3DF9">
        <w:rPr>
          <w:snapToGrid w:val="0"/>
        </w:rPr>
        <w:t>.</w:t>
      </w:r>
      <w:r w:rsidRPr="00AA3DF9">
        <w:rPr>
          <w:snapToGrid w:val="0"/>
        </w:rPr>
        <w:tab/>
        <w:t>Recovering personal property subject to lien</w:t>
      </w:r>
      <w:r>
        <w:tab/>
      </w:r>
      <w:r>
        <w:fldChar w:fldCharType="begin"/>
      </w:r>
      <w:r>
        <w:instrText xml:space="preserve"> PAGEREF _Toc75863320 \h </w:instrText>
      </w:r>
      <w:r>
        <w:fldChar w:fldCharType="separate"/>
      </w:r>
      <w:r w:rsidR="00FC1D84">
        <w:t>303</w:t>
      </w:r>
      <w:r>
        <w:fldChar w:fldCharType="end"/>
      </w:r>
    </w:p>
    <w:p w:rsidR="006169FD" w:rsidRDefault="006169FD">
      <w:pPr>
        <w:pStyle w:val="TOC8"/>
        <w:rPr>
          <w:rFonts w:asciiTheme="minorHAnsi" w:eastAsiaTheme="minorEastAsia" w:hAnsiTheme="minorHAnsi" w:cstheme="minorBidi"/>
          <w:szCs w:val="22"/>
        </w:rPr>
      </w:pPr>
      <w:r>
        <w:t>7</w:t>
      </w:r>
      <w:r w:rsidRPr="00AA3DF9">
        <w:rPr>
          <w:snapToGrid w:val="0"/>
        </w:rPr>
        <w:t>.</w:t>
      </w:r>
      <w:r w:rsidRPr="00AA3DF9">
        <w:rPr>
          <w:snapToGrid w:val="0"/>
        </w:rPr>
        <w:tab/>
        <w:t>Directions</w:t>
      </w:r>
      <w:r>
        <w:tab/>
      </w:r>
      <w:r>
        <w:fldChar w:fldCharType="begin"/>
      </w:r>
      <w:r>
        <w:instrText xml:space="preserve"> PAGEREF _Toc75863321 \h </w:instrText>
      </w:r>
      <w:r>
        <w:fldChar w:fldCharType="separate"/>
      </w:r>
      <w:r w:rsidR="00FC1D84">
        <w:t>304</w:t>
      </w:r>
      <w:r>
        <w:fldChar w:fldCharType="end"/>
      </w:r>
    </w:p>
    <w:p w:rsidR="006169FD" w:rsidRDefault="006169FD">
      <w:pPr>
        <w:pStyle w:val="TOC8"/>
        <w:rPr>
          <w:rFonts w:asciiTheme="minorHAnsi" w:eastAsiaTheme="minorEastAsia" w:hAnsiTheme="minorHAnsi" w:cstheme="minorBidi"/>
          <w:szCs w:val="22"/>
        </w:rPr>
      </w:pPr>
      <w:r>
        <w:t>8</w:t>
      </w:r>
      <w:r w:rsidRPr="00AA3DF9">
        <w:rPr>
          <w:snapToGrid w:val="0"/>
        </w:rPr>
        <w:t>.</w:t>
      </w:r>
      <w:r w:rsidRPr="00AA3DF9">
        <w:rPr>
          <w:snapToGrid w:val="0"/>
        </w:rPr>
        <w:tab/>
        <w:t>Allowance of income or transfer of property during case</w:t>
      </w:r>
      <w:r>
        <w:tab/>
      </w:r>
      <w:r>
        <w:fldChar w:fldCharType="begin"/>
      </w:r>
      <w:r>
        <w:instrText xml:space="preserve"> PAGEREF _Toc75863322 \h </w:instrText>
      </w:r>
      <w:r>
        <w:fldChar w:fldCharType="separate"/>
      </w:r>
      <w:r w:rsidR="00FC1D84">
        <w:t>304</w:t>
      </w:r>
      <w:r>
        <w:fldChar w:fldCharType="end"/>
      </w:r>
    </w:p>
    <w:p w:rsidR="006169FD" w:rsidRDefault="006169FD">
      <w:pPr>
        <w:pStyle w:val="TOC8"/>
        <w:rPr>
          <w:rFonts w:asciiTheme="minorHAnsi" w:eastAsiaTheme="minorEastAsia" w:hAnsiTheme="minorHAnsi" w:cstheme="minorBidi"/>
          <w:szCs w:val="22"/>
        </w:rPr>
      </w:pPr>
      <w:r>
        <w:t>9</w:t>
      </w:r>
      <w:r w:rsidRPr="00AA3DF9">
        <w:rPr>
          <w:snapToGrid w:val="0"/>
        </w:rPr>
        <w:t>.</w:t>
      </w:r>
      <w:r w:rsidRPr="00AA3DF9">
        <w:rPr>
          <w:snapToGrid w:val="0"/>
        </w:rPr>
        <w:tab/>
        <w:t>Injunction to include undertaking as to compensation to party restrained</w:t>
      </w:r>
      <w:r>
        <w:tab/>
      </w:r>
      <w:r>
        <w:fldChar w:fldCharType="begin"/>
      </w:r>
      <w:r>
        <w:instrText xml:space="preserve"> PAGEREF _Toc75863323 \h </w:instrText>
      </w:r>
      <w:r>
        <w:fldChar w:fldCharType="separate"/>
      </w:r>
      <w:r w:rsidR="00FC1D84">
        <w:t>304</w:t>
      </w:r>
      <w:r>
        <w:fldChar w:fldCharType="end"/>
      </w:r>
    </w:p>
    <w:p w:rsidR="006169FD" w:rsidRDefault="006169FD">
      <w:pPr>
        <w:pStyle w:val="TOC8"/>
        <w:rPr>
          <w:rFonts w:asciiTheme="minorHAnsi" w:eastAsiaTheme="minorEastAsia" w:hAnsiTheme="minorHAnsi" w:cstheme="minorBidi"/>
          <w:szCs w:val="22"/>
        </w:rPr>
      </w:pPr>
      <w:r>
        <w:t>10</w:t>
      </w:r>
      <w:r w:rsidRPr="00AA3DF9">
        <w:rPr>
          <w:snapToGrid w:val="0"/>
        </w:rPr>
        <w:t>.</w:t>
      </w:r>
      <w:r w:rsidRPr="00AA3DF9">
        <w:rPr>
          <w:snapToGrid w:val="0"/>
        </w:rPr>
        <w:tab/>
        <w:t>Compensation to party restrained by undertaking</w:t>
      </w:r>
      <w:r>
        <w:tab/>
      </w:r>
      <w:r>
        <w:fldChar w:fldCharType="begin"/>
      </w:r>
      <w:r>
        <w:instrText xml:space="preserve"> PAGEREF _Toc75863324 \h </w:instrText>
      </w:r>
      <w:r>
        <w:fldChar w:fldCharType="separate"/>
      </w:r>
      <w:r w:rsidR="00FC1D84">
        <w:t>305</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52A</w:t>
      </w:r>
      <w:r w:rsidRPr="00AA3DF9">
        <w:rPr>
          <w:b w:val="0"/>
        </w:rPr>
        <w:t> </w:t>
      </w:r>
      <w:r>
        <w:t>—</w:t>
      </w:r>
      <w:r w:rsidRPr="00AA3DF9">
        <w:rPr>
          <w:b w:val="0"/>
        </w:rPr>
        <w:t> </w:t>
      </w:r>
      <w:r>
        <w:t>Freezing orders</w:t>
      </w:r>
    </w:p>
    <w:p w:rsidR="006169FD" w:rsidRDefault="006169FD">
      <w:pPr>
        <w:pStyle w:val="TOC8"/>
        <w:rPr>
          <w:rFonts w:asciiTheme="minorHAnsi" w:eastAsiaTheme="minorEastAsia" w:hAnsiTheme="minorHAnsi" w:cstheme="minorBidi"/>
          <w:szCs w:val="22"/>
        </w:rPr>
      </w:pPr>
      <w:r>
        <w:t>1.</w:t>
      </w:r>
      <w:r>
        <w:tab/>
        <w:t>Terms used</w:t>
      </w:r>
      <w:r>
        <w:tab/>
      </w:r>
      <w:r>
        <w:fldChar w:fldCharType="begin"/>
      </w:r>
      <w:r>
        <w:instrText xml:space="preserve"> PAGEREF _Toc75863326 \h </w:instrText>
      </w:r>
      <w:r>
        <w:fldChar w:fldCharType="separate"/>
      </w:r>
      <w:r w:rsidR="00FC1D84">
        <w:t>306</w:t>
      </w:r>
      <w:r>
        <w:fldChar w:fldCharType="end"/>
      </w:r>
    </w:p>
    <w:p w:rsidR="006169FD" w:rsidRDefault="006169FD">
      <w:pPr>
        <w:pStyle w:val="TOC8"/>
        <w:rPr>
          <w:rFonts w:asciiTheme="minorHAnsi" w:eastAsiaTheme="minorEastAsia" w:hAnsiTheme="minorHAnsi" w:cstheme="minorBidi"/>
          <w:szCs w:val="22"/>
        </w:rPr>
      </w:pPr>
      <w:r>
        <w:t>2.</w:t>
      </w:r>
      <w:r>
        <w:tab/>
        <w:t>Freezing order</w:t>
      </w:r>
      <w:r>
        <w:tab/>
      </w:r>
      <w:r>
        <w:fldChar w:fldCharType="begin"/>
      </w:r>
      <w:r>
        <w:instrText xml:space="preserve"> PAGEREF _Toc75863327 \h </w:instrText>
      </w:r>
      <w:r>
        <w:fldChar w:fldCharType="separate"/>
      </w:r>
      <w:r w:rsidR="00FC1D84">
        <w:t>306</w:t>
      </w:r>
      <w:r>
        <w:fldChar w:fldCharType="end"/>
      </w:r>
    </w:p>
    <w:p w:rsidR="006169FD" w:rsidRDefault="006169FD">
      <w:pPr>
        <w:pStyle w:val="TOC8"/>
        <w:rPr>
          <w:rFonts w:asciiTheme="minorHAnsi" w:eastAsiaTheme="minorEastAsia" w:hAnsiTheme="minorHAnsi" w:cstheme="minorBidi"/>
          <w:szCs w:val="22"/>
        </w:rPr>
      </w:pPr>
      <w:r>
        <w:t>3.</w:t>
      </w:r>
      <w:r>
        <w:tab/>
        <w:t>Ancillary order</w:t>
      </w:r>
      <w:r>
        <w:tab/>
      </w:r>
      <w:r>
        <w:fldChar w:fldCharType="begin"/>
      </w:r>
      <w:r>
        <w:instrText xml:space="preserve"> PAGEREF _Toc75863328 \h </w:instrText>
      </w:r>
      <w:r>
        <w:fldChar w:fldCharType="separate"/>
      </w:r>
      <w:r w:rsidR="00FC1D84">
        <w:t>306</w:t>
      </w:r>
      <w:r>
        <w:fldChar w:fldCharType="end"/>
      </w:r>
    </w:p>
    <w:p w:rsidR="006169FD" w:rsidRDefault="006169FD">
      <w:pPr>
        <w:pStyle w:val="TOC8"/>
        <w:rPr>
          <w:rFonts w:asciiTheme="minorHAnsi" w:eastAsiaTheme="minorEastAsia" w:hAnsiTheme="minorHAnsi" w:cstheme="minorBidi"/>
          <w:szCs w:val="22"/>
        </w:rPr>
      </w:pPr>
      <w:r>
        <w:t>4.</w:t>
      </w:r>
      <w:r>
        <w:tab/>
        <w:t>Respondent need not be party to proceeding</w:t>
      </w:r>
      <w:r>
        <w:tab/>
      </w:r>
      <w:r>
        <w:fldChar w:fldCharType="begin"/>
      </w:r>
      <w:r>
        <w:instrText xml:space="preserve"> PAGEREF _Toc75863329 \h </w:instrText>
      </w:r>
      <w:r>
        <w:fldChar w:fldCharType="separate"/>
      </w:r>
      <w:r w:rsidR="00FC1D84">
        <w:t>307</w:t>
      </w:r>
      <w:r>
        <w:fldChar w:fldCharType="end"/>
      </w:r>
    </w:p>
    <w:p w:rsidR="006169FD" w:rsidRDefault="006169FD">
      <w:pPr>
        <w:pStyle w:val="TOC8"/>
        <w:rPr>
          <w:rFonts w:asciiTheme="minorHAnsi" w:eastAsiaTheme="minorEastAsia" w:hAnsiTheme="minorHAnsi" w:cstheme="minorBidi"/>
          <w:szCs w:val="22"/>
        </w:rPr>
      </w:pPr>
      <w:r>
        <w:t>5.</w:t>
      </w:r>
      <w:r>
        <w:tab/>
        <w:t>Order against judgment debtor, prospective judgment debtor or third party</w:t>
      </w:r>
      <w:r>
        <w:tab/>
      </w:r>
      <w:r>
        <w:fldChar w:fldCharType="begin"/>
      </w:r>
      <w:r>
        <w:instrText xml:space="preserve"> PAGEREF _Toc75863330 \h </w:instrText>
      </w:r>
      <w:r>
        <w:fldChar w:fldCharType="separate"/>
      </w:r>
      <w:r w:rsidR="00FC1D84">
        <w:t>307</w:t>
      </w:r>
      <w:r>
        <w:fldChar w:fldCharType="end"/>
      </w:r>
    </w:p>
    <w:p w:rsidR="006169FD" w:rsidRDefault="006169FD">
      <w:pPr>
        <w:pStyle w:val="TOC8"/>
        <w:rPr>
          <w:rFonts w:asciiTheme="minorHAnsi" w:eastAsiaTheme="minorEastAsia" w:hAnsiTheme="minorHAnsi" w:cstheme="minorBidi"/>
          <w:szCs w:val="22"/>
        </w:rPr>
      </w:pPr>
      <w:r>
        <w:t>6.</w:t>
      </w:r>
      <w:r>
        <w:tab/>
        <w:t>Court’s other jurisdiction not affected</w:t>
      </w:r>
      <w:r>
        <w:tab/>
      </w:r>
      <w:r>
        <w:fldChar w:fldCharType="begin"/>
      </w:r>
      <w:r>
        <w:instrText xml:space="preserve"> PAGEREF _Toc75863331 \h </w:instrText>
      </w:r>
      <w:r>
        <w:fldChar w:fldCharType="separate"/>
      </w:r>
      <w:r w:rsidR="00FC1D84">
        <w:t>309</w:t>
      </w:r>
      <w:r>
        <w:fldChar w:fldCharType="end"/>
      </w:r>
    </w:p>
    <w:p w:rsidR="006169FD" w:rsidRDefault="006169FD">
      <w:pPr>
        <w:pStyle w:val="TOC8"/>
        <w:rPr>
          <w:rFonts w:asciiTheme="minorHAnsi" w:eastAsiaTheme="minorEastAsia" w:hAnsiTheme="minorHAnsi" w:cstheme="minorBidi"/>
          <w:szCs w:val="22"/>
        </w:rPr>
      </w:pPr>
      <w:r>
        <w:t>7.</w:t>
      </w:r>
      <w:r>
        <w:tab/>
        <w:t>Service outside Australia of application for order</w:t>
      </w:r>
      <w:r>
        <w:tab/>
      </w:r>
      <w:r>
        <w:fldChar w:fldCharType="begin"/>
      </w:r>
      <w:r>
        <w:instrText xml:space="preserve"> PAGEREF _Toc75863332 \h </w:instrText>
      </w:r>
      <w:r>
        <w:fldChar w:fldCharType="separate"/>
      </w:r>
      <w:r w:rsidR="00FC1D84">
        <w:t>309</w:t>
      </w:r>
      <w:r>
        <w:fldChar w:fldCharType="end"/>
      </w:r>
    </w:p>
    <w:p w:rsidR="006169FD" w:rsidRDefault="006169FD">
      <w:pPr>
        <w:pStyle w:val="TOC8"/>
        <w:rPr>
          <w:rFonts w:asciiTheme="minorHAnsi" w:eastAsiaTheme="minorEastAsia" w:hAnsiTheme="minorHAnsi" w:cstheme="minorBidi"/>
          <w:szCs w:val="22"/>
        </w:rPr>
      </w:pPr>
      <w:r>
        <w:t>8.</w:t>
      </w:r>
      <w:r>
        <w:tab/>
        <w:t>Costs</w:t>
      </w:r>
      <w:r>
        <w:tab/>
      </w:r>
      <w:r>
        <w:fldChar w:fldCharType="begin"/>
      </w:r>
      <w:r>
        <w:instrText xml:space="preserve"> PAGEREF _Toc75863333 \h </w:instrText>
      </w:r>
      <w:r>
        <w:fldChar w:fldCharType="separate"/>
      </w:r>
      <w:r w:rsidR="00FC1D84">
        <w:t>309</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52B</w:t>
      </w:r>
      <w:r w:rsidRPr="00AA3DF9">
        <w:rPr>
          <w:b w:val="0"/>
        </w:rPr>
        <w:t> </w:t>
      </w:r>
      <w:r>
        <w:t>—</w:t>
      </w:r>
      <w:r w:rsidRPr="00AA3DF9">
        <w:rPr>
          <w:b w:val="0"/>
        </w:rPr>
        <w:t> </w:t>
      </w:r>
      <w:r>
        <w:t>Search orders</w:t>
      </w:r>
    </w:p>
    <w:p w:rsidR="006169FD" w:rsidRDefault="006169FD">
      <w:pPr>
        <w:pStyle w:val="TOC8"/>
        <w:rPr>
          <w:rFonts w:asciiTheme="minorHAnsi" w:eastAsiaTheme="minorEastAsia" w:hAnsiTheme="minorHAnsi" w:cstheme="minorBidi"/>
          <w:szCs w:val="22"/>
        </w:rPr>
      </w:pPr>
      <w:r>
        <w:t>1.</w:t>
      </w:r>
      <w:r>
        <w:tab/>
        <w:t>Terms used</w:t>
      </w:r>
      <w:r>
        <w:tab/>
      </w:r>
      <w:r>
        <w:fldChar w:fldCharType="begin"/>
      </w:r>
      <w:r>
        <w:instrText xml:space="preserve"> PAGEREF _Toc75863335 \h </w:instrText>
      </w:r>
      <w:r>
        <w:fldChar w:fldCharType="separate"/>
      </w:r>
      <w:r w:rsidR="00FC1D84">
        <w:t>310</w:t>
      </w:r>
      <w:r>
        <w:fldChar w:fldCharType="end"/>
      </w:r>
    </w:p>
    <w:p w:rsidR="006169FD" w:rsidRDefault="006169FD">
      <w:pPr>
        <w:pStyle w:val="TOC8"/>
        <w:rPr>
          <w:rFonts w:asciiTheme="minorHAnsi" w:eastAsiaTheme="minorEastAsia" w:hAnsiTheme="minorHAnsi" w:cstheme="minorBidi"/>
          <w:szCs w:val="22"/>
        </w:rPr>
      </w:pPr>
      <w:r>
        <w:lastRenderedPageBreak/>
        <w:t>2.</w:t>
      </w:r>
      <w:r>
        <w:tab/>
        <w:t>Search order</w:t>
      </w:r>
      <w:r>
        <w:tab/>
      </w:r>
      <w:r>
        <w:fldChar w:fldCharType="begin"/>
      </w:r>
      <w:r>
        <w:instrText xml:space="preserve"> PAGEREF _Toc75863336 \h </w:instrText>
      </w:r>
      <w:r>
        <w:fldChar w:fldCharType="separate"/>
      </w:r>
      <w:r w:rsidR="00FC1D84">
        <w:t>310</w:t>
      </w:r>
      <w:r>
        <w:fldChar w:fldCharType="end"/>
      </w:r>
    </w:p>
    <w:p w:rsidR="006169FD" w:rsidRDefault="006169FD">
      <w:pPr>
        <w:pStyle w:val="TOC8"/>
        <w:rPr>
          <w:rFonts w:asciiTheme="minorHAnsi" w:eastAsiaTheme="minorEastAsia" w:hAnsiTheme="minorHAnsi" w:cstheme="minorBidi"/>
          <w:szCs w:val="22"/>
        </w:rPr>
      </w:pPr>
      <w:r>
        <w:t>3.</w:t>
      </w:r>
      <w:r>
        <w:tab/>
        <w:t>Requirements for making of search order</w:t>
      </w:r>
      <w:r>
        <w:tab/>
      </w:r>
      <w:r>
        <w:fldChar w:fldCharType="begin"/>
      </w:r>
      <w:r>
        <w:instrText xml:space="preserve"> PAGEREF _Toc75863337 \h </w:instrText>
      </w:r>
      <w:r>
        <w:fldChar w:fldCharType="separate"/>
      </w:r>
      <w:r w:rsidR="00FC1D84">
        <w:t>310</w:t>
      </w:r>
      <w:r>
        <w:fldChar w:fldCharType="end"/>
      </w:r>
    </w:p>
    <w:p w:rsidR="006169FD" w:rsidRDefault="006169FD">
      <w:pPr>
        <w:pStyle w:val="TOC8"/>
        <w:rPr>
          <w:rFonts w:asciiTheme="minorHAnsi" w:eastAsiaTheme="minorEastAsia" w:hAnsiTheme="minorHAnsi" w:cstheme="minorBidi"/>
          <w:szCs w:val="22"/>
        </w:rPr>
      </w:pPr>
      <w:r>
        <w:t>4.</w:t>
      </w:r>
      <w:r>
        <w:tab/>
        <w:t>Court’s other jurisdiction not affected</w:t>
      </w:r>
      <w:r>
        <w:tab/>
      </w:r>
      <w:r>
        <w:fldChar w:fldCharType="begin"/>
      </w:r>
      <w:r>
        <w:instrText xml:space="preserve"> PAGEREF _Toc75863338 \h </w:instrText>
      </w:r>
      <w:r>
        <w:fldChar w:fldCharType="separate"/>
      </w:r>
      <w:r w:rsidR="00FC1D84">
        <w:t>311</w:t>
      </w:r>
      <w:r>
        <w:fldChar w:fldCharType="end"/>
      </w:r>
    </w:p>
    <w:p w:rsidR="006169FD" w:rsidRDefault="006169FD">
      <w:pPr>
        <w:pStyle w:val="TOC8"/>
        <w:rPr>
          <w:rFonts w:asciiTheme="minorHAnsi" w:eastAsiaTheme="minorEastAsia" w:hAnsiTheme="minorHAnsi" w:cstheme="minorBidi"/>
          <w:szCs w:val="22"/>
        </w:rPr>
      </w:pPr>
      <w:r>
        <w:t>5.</w:t>
      </w:r>
      <w:r>
        <w:tab/>
        <w:t>Terms of search order</w:t>
      </w:r>
      <w:r>
        <w:tab/>
      </w:r>
      <w:r>
        <w:fldChar w:fldCharType="begin"/>
      </w:r>
      <w:r>
        <w:instrText xml:space="preserve"> PAGEREF _Toc75863339 \h </w:instrText>
      </w:r>
      <w:r>
        <w:fldChar w:fldCharType="separate"/>
      </w:r>
      <w:r w:rsidR="00FC1D84">
        <w:t>311</w:t>
      </w:r>
      <w:r>
        <w:fldChar w:fldCharType="end"/>
      </w:r>
    </w:p>
    <w:p w:rsidR="006169FD" w:rsidRDefault="006169FD">
      <w:pPr>
        <w:pStyle w:val="TOC8"/>
        <w:rPr>
          <w:rFonts w:asciiTheme="minorHAnsi" w:eastAsiaTheme="minorEastAsia" w:hAnsiTheme="minorHAnsi" w:cstheme="minorBidi"/>
          <w:szCs w:val="22"/>
        </w:rPr>
      </w:pPr>
      <w:r>
        <w:t>6.</w:t>
      </w:r>
      <w:r>
        <w:tab/>
        <w:t>Independent solicitors, appointment of etc.</w:t>
      </w:r>
      <w:r>
        <w:tab/>
      </w:r>
      <w:r>
        <w:fldChar w:fldCharType="begin"/>
      </w:r>
      <w:r>
        <w:instrText xml:space="preserve"> PAGEREF _Toc75863340 \h </w:instrText>
      </w:r>
      <w:r>
        <w:fldChar w:fldCharType="separate"/>
      </w:r>
      <w:r w:rsidR="00FC1D84">
        <w:t>312</w:t>
      </w:r>
      <w:r>
        <w:fldChar w:fldCharType="end"/>
      </w:r>
    </w:p>
    <w:p w:rsidR="006169FD" w:rsidRDefault="006169FD">
      <w:pPr>
        <w:pStyle w:val="TOC8"/>
        <w:rPr>
          <w:rFonts w:asciiTheme="minorHAnsi" w:eastAsiaTheme="minorEastAsia" w:hAnsiTheme="minorHAnsi" w:cstheme="minorBidi"/>
          <w:szCs w:val="22"/>
        </w:rPr>
      </w:pPr>
      <w:r>
        <w:t>7.</w:t>
      </w:r>
      <w:r>
        <w:tab/>
        <w:t>Costs</w:t>
      </w:r>
      <w:r>
        <w:tab/>
      </w:r>
      <w:r>
        <w:fldChar w:fldCharType="begin"/>
      </w:r>
      <w:r>
        <w:instrText xml:space="preserve"> PAGEREF _Toc75863341 \h </w:instrText>
      </w:r>
      <w:r>
        <w:fldChar w:fldCharType="separate"/>
      </w:r>
      <w:r w:rsidR="00FC1D84">
        <w:t>312</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53 — Sales of land by the Court</w:t>
      </w:r>
    </w:p>
    <w:p w:rsidR="006169FD" w:rsidRDefault="006169FD">
      <w:pPr>
        <w:pStyle w:val="TOC8"/>
        <w:rPr>
          <w:rFonts w:asciiTheme="minorHAnsi" w:eastAsiaTheme="minorEastAsia" w:hAnsiTheme="minorHAnsi" w:cstheme="minorBidi"/>
          <w:szCs w:val="22"/>
        </w:rPr>
      </w:pPr>
      <w:r>
        <w:t>1</w:t>
      </w:r>
      <w:r w:rsidRPr="00AA3DF9">
        <w:rPr>
          <w:snapToGrid w:val="0"/>
        </w:rPr>
        <w:t>.</w:t>
      </w:r>
      <w:r w:rsidRPr="00AA3DF9">
        <w:rPr>
          <w:snapToGrid w:val="0"/>
        </w:rPr>
        <w:tab/>
        <w:t>Term used: land</w:t>
      </w:r>
      <w:r>
        <w:tab/>
      </w:r>
      <w:r>
        <w:fldChar w:fldCharType="begin"/>
      </w:r>
      <w:r>
        <w:instrText xml:space="preserve"> PAGEREF _Toc75863343 \h </w:instrText>
      </w:r>
      <w:r>
        <w:fldChar w:fldCharType="separate"/>
      </w:r>
      <w:r w:rsidR="00FC1D84">
        <w:t>314</w:t>
      </w:r>
      <w:r>
        <w:fldChar w:fldCharType="end"/>
      </w:r>
    </w:p>
    <w:p w:rsidR="006169FD" w:rsidRDefault="006169FD">
      <w:pPr>
        <w:pStyle w:val="TOC8"/>
        <w:rPr>
          <w:rFonts w:asciiTheme="minorHAnsi" w:eastAsiaTheme="minorEastAsia" w:hAnsiTheme="minorHAnsi" w:cstheme="minorBidi"/>
          <w:szCs w:val="22"/>
        </w:rPr>
      </w:pPr>
      <w:r>
        <w:t>2</w:t>
      </w:r>
      <w:r w:rsidRPr="00AA3DF9">
        <w:rPr>
          <w:snapToGrid w:val="0"/>
        </w:rPr>
        <w:t>.</w:t>
      </w:r>
      <w:r w:rsidRPr="00AA3DF9">
        <w:rPr>
          <w:snapToGrid w:val="0"/>
        </w:rPr>
        <w:tab/>
        <w:t>Power to order sale of land</w:t>
      </w:r>
      <w:r>
        <w:tab/>
      </w:r>
      <w:r>
        <w:fldChar w:fldCharType="begin"/>
      </w:r>
      <w:r>
        <w:instrText xml:space="preserve"> PAGEREF _Toc75863344 \h </w:instrText>
      </w:r>
      <w:r>
        <w:fldChar w:fldCharType="separate"/>
      </w:r>
      <w:r w:rsidR="00FC1D84">
        <w:t>314</w:t>
      </w:r>
      <w:r>
        <w:fldChar w:fldCharType="end"/>
      </w:r>
    </w:p>
    <w:p w:rsidR="006169FD" w:rsidRDefault="006169FD">
      <w:pPr>
        <w:pStyle w:val="TOC8"/>
        <w:rPr>
          <w:rFonts w:asciiTheme="minorHAnsi" w:eastAsiaTheme="minorEastAsia" w:hAnsiTheme="minorHAnsi" w:cstheme="minorBidi"/>
          <w:szCs w:val="22"/>
        </w:rPr>
      </w:pPr>
      <w:r>
        <w:t>3</w:t>
      </w:r>
      <w:r w:rsidRPr="00AA3DF9">
        <w:rPr>
          <w:snapToGrid w:val="0"/>
        </w:rPr>
        <w:t>.</w:t>
      </w:r>
      <w:r w:rsidRPr="00AA3DF9">
        <w:rPr>
          <w:snapToGrid w:val="0"/>
        </w:rPr>
        <w:tab/>
        <w:t>Manner of sale</w:t>
      </w:r>
      <w:r>
        <w:tab/>
      </w:r>
      <w:r>
        <w:fldChar w:fldCharType="begin"/>
      </w:r>
      <w:r>
        <w:instrText xml:space="preserve"> PAGEREF _Toc75863345 \h </w:instrText>
      </w:r>
      <w:r>
        <w:fldChar w:fldCharType="separate"/>
      </w:r>
      <w:r w:rsidR="00FC1D84">
        <w:t>314</w:t>
      </w:r>
      <w:r>
        <w:fldChar w:fldCharType="end"/>
      </w:r>
    </w:p>
    <w:p w:rsidR="006169FD" w:rsidRDefault="006169FD">
      <w:pPr>
        <w:pStyle w:val="TOC8"/>
        <w:rPr>
          <w:rFonts w:asciiTheme="minorHAnsi" w:eastAsiaTheme="minorEastAsia" w:hAnsiTheme="minorHAnsi" w:cstheme="minorBidi"/>
          <w:szCs w:val="22"/>
        </w:rPr>
      </w:pPr>
      <w:r>
        <w:t>4</w:t>
      </w:r>
      <w:r w:rsidRPr="00AA3DF9">
        <w:rPr>
          <w:snapToGrid w:val="0"/>
        </w:rPr>
        <w:t>.</w:t>
      </w:r>
      <w:r w:rsidRPr="00AA3DF9">
        <w:rPr>
          <w:snapToGrid w:val="0"/>
        </w:rPr>
        <w:tab/>
        <w:t>Directions</w:t>
      </w:r>
      <w:r>
        <w:tab/>
      </w:r>
      <w:r>
        <w:fldChar w:fldCharType="begin"/>
      </w:r>
      <w:r>
        <w:instrText xml:space="preserve"> PAGEREF _Toc75863346 \h </w:instrText>
      </w:r>
      <w:r>
        <w:fldChar w:fldCharType="separate"/>
      </w:r>
      <w:r w:rsidR="00FC1D84">
        <w:t>314</w:t>
      </w:r>
      <w:r>
        <w:fldChar w:fldCharType="end"/>
      </w:r>
    </w:p>
    <w:p w:rsidR="006169FD" w:rsidRDefault="006169FD">
      <w:pPr>
        <w:pStyle w:val="TOC8"/>
        <w:rPr>
          <w:rFonts w:asciiTheme="minorHAnsi" w:eastAsiaTheme="minorEastAsia" w:hAnsiTheme="minorHAnsi" w:cstheme="minorBidi"/>
          <w:szCs w:val="22"/>
        </w:rPr>
      </w:pPr>
      <w:r>
        <w:t>5</w:t>
      </w:r>
      <w:r w:rsidRPr="00AA3DF9">
        <w:rPr>
          <w:snapToGrid w:val="0"/>
        </w:rPr>
        <w:t>.</w:t>
      </w:r>
      <w:r w:rsidRPr="00AA3DF9">
        <w:rPr>
          <w:snapToGrid w:val="0"/>
        </w:rPr>
        <w:tab/>
        <w:t>Certificate of sale</w:t>
      </w:r>
      <w:r>
        <w:tab/>
      </w:r>
      <w:r>
        <w:fldChar w:fldCharType="begin"/>
      </w:r>
      <w:r>
        <w:instrText xml:space="preserve"> PAGEREF _Toc75863347 \h </w:instrText>
      </w:r>
      <w:r>
        <w:fldChar w:fldCharType="separate"/>
      </w:r>
      <w:r w:rsidR="00FC1D84">
        <w:t>315</w:t>
      </w:r>
      <w:r>
        <w:fldChar w:fldCharType="end"/>
      </w:r>
    </w:p>
    <w:p w:rsidR="006169FD" w:rsidRDefault="006169FD">
      <w:pPr>
        <w:pStyle w:val="TOC8"/>
        <w:rPr>
          <w:rFonts w:asciiTheme="minorHAnsi" w:eastAsiaTheme="minorEastAsia" w:hAnsiTheme="minorHAnsi" w:cstheme="minorBidi"/>
          <w:szCs w:val="22"/>
        </w:rPr>
      </w:pPr>
      <w:r>
        <w:t>6</w:t>
      </w:r>
      <w:r w:rsidRPr="00AA3DF9">
        <w:rPr>
          <w:snapToGrid w:val="0"/>
        </w:rPr>
        <w:t>.</w:t>
      </w:r>
      <w:r w:rsidRPr="00AA3DF9">
        <w:rPr>
          <w:snapToGrid w:val="0"/>
        </w:rPr>
        <w:tab/>
        <w:t>Mortgage, exchange or partition</w:t>
      </w:r>
      <w:r>
        <w:tab/>
      </w:r>
      <w:r>
        <w:fldChar w:fldCharType="begin"/>
      </w:r>
      <w:r>
        <w:instrText xml:space="preserve"> PAGEREF _Toc75863348 \h </w:instrText>
      </w:r>
      <w:r>
        <w:fldChar w:fldCharType="separate"/>
      </w:r>
      <w:r w:rsidR="00FC1D84">
        <w:t>315</w:t>
      </w:r>
      <w:r>
        <w:fldChar w:fldCharType="end"/>
      </w:r>
    </w:p>
    <w:p w:rsidR="006169FD" w:rsidRDefault="006169FD">
      <w:pPr>
        <w:pStyle w:val="TOC8"/>
        <w:rPr>
          <w:rFonts w:asciiTheme="minorHAnsi" w:eastAsiaTheme="minorEastAsia" w:hAnsiTheme="minorHAnsi" w:cstheme="minorBidi"/>
          <w:szCs w:val="22"/>
        </w:rPr>
      </w:pPr>
      <w:r>
        <w:t>7</w:t>
      </w:r>
      <w:r w:rsidRPr="00AA3DF9">
        <w:rPr>
          <w:snapToGrid w:val="0"/>
        </w:rPr>
        <w:t>.</w:t>
      </w:r>
      <w:r w:rsidRPr="00AA3DF9">
        <w:rPr>
          <w:snapToGrid w:val="0"/>
        </w:rPr>
        <w:tab/>
        <w:t>Reference of matters to counsel</w:t>
      </w:r>
      <w:r>
        <w:tab/>
      </w:r>
      <w:r>
        <w:fldChar w:fldCharType="begin"/>
      </w:r>
      <w:r>
        <w:instrText xml:space="preserve"> PAGEREF _Toc75863349 \h </w:instrText>
      </w:r>
      <w:r>
        <w:fldChar w:fldCharType="separate"/>
      </w:r>
      <w:r w:rsidR="00FC1D84">
        <w:t>316</w:t>
      </w:r>
      <w:r>
        <w:fldChar w:fldCharType="end"/>
      </w:r>
    </w:p>
    <w:p w:rsidR="006169FD" w:rsidRDefault="006169FD">
      <w:pPr>
        <w:pStyle w:val="TOC8"/>
        <w:rPr>
          <w:rFonts w:asciiTheme="minorHAnsi" w:eastAsiaTheme="minorEastAsia" w:hAnsiTheme="minorHAnsi" w:cstheme="minorBidi"/>
          <w:szCs w:val="22"/>
        </w:rPr>
      </w:pPr>
      <w:r>
        <w:t>8</w:t>
      </w:r>
      <w:r w:rsidRPr="00AA3DF9">
        <w:rPr>
          <w:snapToGrid w:val="0"/>
        </w:rPr>
        <w:t>.</w:t>
      </w:r>
      <w:r w:rsidRPr="00AA3DF9">
        <w:rPr>
          <w:snapToGrid w:val="0"/>
        </w:rPr>
        <w:tab/>
        <w:t>Objection to counsel’s opinion</w:t>
      </w:r>
      <w:r>
        <w:tab/>
      </w:r>
      <w:r>
        <w:fldChar w:fldCharType="begin"/>
      </w:r>
      <w:r>
        <w:instrText xml:space="preserve"> PAGEREF _Toc75863350 \h </w:instrText>
      </w:r>
      <w:r>
        <w:fldChar w:fldCharType="separate"/>
      </w:r>
      <w:r w:rsidR="00FC1D84">
        <w:t>316</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54 — Originating and other motions</w:t>
      </w:r>
    </w:p>
    <w:p w:rsidR="006169FD" w:rsidRDefault="006169FD">
      <w:pPr>
        <w:pStyle w:val="TOC8"/>
        <w:rPr>
          <w:rFonts w:asciiTheme="minorHAnsi" w:eastAsiaTheme="minorEastAsia" w:hAnsiTheme="minorHAnsi" w:cstheme="minorBidi"/>
          <w:szCs w:val="22"/>
        </w:rPr>
      </w:pPr>
      <w:r>
        <w:t>1</w:t>
      </w:r>
      <w:r w:rsidRPr="00AA3DF9">
        <w:rPr>
          <w:snapToGrid w:val="0"/>
        </w:rPr>
        <w:t>.</w:t>
      </w:r>
      <w:r w:rsidRPr="00AA3DF9">
        <w:rPr>
          <w:snapToGrid w:val="0"/>
        </w:rPr>
        <w:tab/>
        <w:t>Application of this Order</w:t>
      </w:r>
      <w:r>
        <w:tab/>
      </w:r>
      <w:r>
        <w:fldChar w:fldCharType="begin"/>
      </w:r>
      <w:r>
        <w:instrText xml:space="preserve"> PAGEREF _Toc75863352 \h </w:instrText>
      </w:r>
      <w:r>
        <w:fldChar w:fldCharType="separate"/>
      </w:r>
      <w:r w:rsidR="00FC1D84">
        <w:t>317</w:t>
      </w:r>
      <w:r>
        <w:fldChar w:fldCharType="end"/>
      </w:r>
    </w:p>
    <w:p w:rsidR="006169FD" w:rsidRDefault="006169FD">
      <w:pPr>
        <w:pStyle w:val="TOC8"/>
        <w:rPr>
          <w:rFonts w:asciiTheme="minorHAnsi" w:eastAsiaTheme="minorEastAsia" w:hAnsiTheme="minorHAnsi" w:cstheme="minorBidi"/>
          <w:szCs w:val="22"/>
        </w:rPr>
      </w:pPr>
      <w:r>
        <w:t>2</w:t>
      </w:r>
      <w:r w:rsidRPr="00AA3DF9">
        <w:rPr>
          <w:snapToGrid w:val="0"/>
        </w:rPr>
        <w:t>.</w:t>
      </w:r>
      <w:r w:rsidRPr="00AA3DF9">
        <w:rPr>
          <w:snapToGrid w:val="0"/>
        </w:rPr>
        <w:tab/>
        <w:t>Which applications to be made by motion</w:t>
      </w:r>
      <w:r>
        <w:tab/>
      </w:r>
      <w:r>
        <w:fldChar w:fldCharType="begin"/>
      </w:r>
      <w:r>
        <w:instrText xml:space="preserve"> PAGEREF _Toc75863353 \h </w:instrText>
      </w:r>
      <w:r>
        <w:fldChar w:fldCharType="separate"/>
      </w:r>
      <w:r w:rsidR="00FC1D84">
        <w:t>317</w:t>
      </w:r>
      <w:r>
        <w:fldChar w:fldCharType="end"/>
      </w:r>
    </w:p>
    <w:p w:rsidR="006169FD" w:rsidRDefault="006169FD">
      <w:pPr>
        <w:pStyle w:val="TOC8"/>
        <w:rPr>
          <w:rFonts w:asciiTheme="minorHAnsi" w:eastAsiaTheme="minorEastAsia" w:hAnsiTheme="minorHAnsi" w:cstheme="minorBidi"/>
          <w:szCs w:val="22"/>
        </w:rPr>
      </w:pPr>
      <w:r>
        <w:t>3</w:t>
      </w:r>
      <w:r w:rsidRPr="00AA3DF9">
        <w:rPr>
          <w:snapToGrid w:val="0"/>
        </w:rPr>
        <w:t>.</w:t>
      </w:r>
      <w:r w:rsidRPr="00AA3DF9">
        <w:rPr>
          <w:snapToGrid w:val="0"/>
        </w:rPr>
        <w:tab/>
        <w:t>Notice of motion</w:t>
      </w:r>
      <w:r>
        <w:tab/>
      </w:r>
      <w:r>
        <w:fldChar w:fldCharType="begin"/>
      </w:r>
      <w:r>
        <w:instrText xml:space="preserve"> PAGEREF _Toc75863354 \h </w:instrText>
      </w:r>
      <w:r>
        <w:fldChar w:fldCharType="separate"/>
      </w:r>
      <w:r w:rsidR="00FC1D84">
        <w:t>317</w:t>
      </w:r>
      <w:r>
        <w:fldChar w:fldCharType="end"/>
      </w:r>
    </w:p>
    <w:p w:rsidR="006169FD" w:rsidRDefault="006169FD">
      <w:pPr>
        <w:pStyle w:val="TOC8"/>
        <w:rPr>
          <w:rFonts w:asciiTheme="minorHAnsi" w:eastAsiaTheme="minorEastAsia" w:hAnsiTheme="minorHAnsi" w:cstheme="minorBidi"/>
          <w:szCs w:val="22"/>
        </w:rPr>
      </w:pPr>
      <w:r>
        <w:t>4</w:t>
      </w:r>
      <w:r w:rsidRPr="00AA3DF9">
        <w:rPr>
          <w:snapToGrid w:val="0"/>
        </w:rPr>
        <w:t>.</w:t>
      </w:r>
      <w:r w:rsidRPr="00AA3DF9">
        <w:rPr>
          <w:snapToGrid w:val="0"/>
        </w:rPr>
        <w:tab/>
        <w:t>Time of notice of motion</w:t>
      </w:r>
      <w:r>
        <w:tab/>
      </w:r>
      <w:r>
        <w:fldChar w:fldCharType="begin"/>
      </w:r>
      <w:r>
        <w:instrText xml:space="preserve"> PAGEREF _Toc75863355 \h </w:instrText>
      </w:r>
      <w:r>
        <w:fldChar w:fldCharType="separate"/>
      </w:r>
      <w:r w:rsidR="00FC1D84">
        <w:t>317</w:t>
      </w:r>
      <w:r>
        <w:fldChar w:fldCharType="end"/>
      </w:r>
    </w:p>
    <w:p w:rsidR="006169FD" w:rsidRDefault="006169FD">
      <w:pPr>
        <w:pStyle w:val="TOC8"/>
        <w:rPr>
          <w:rFonts w:asciiTheme="minorHAnsi" w:eastAsiaTheme="minorEastAsia" w:hAnsiTheme="minorHAnsi" w:cstheme="minorBidi"/>
          <w:szCs w:val="22"/>
        </w:rPr>
      </w:pPr>
      <w:r>
        <w:t>5</w:t>
      </w:r>
      <w:r w:rsidRPr="00AA3DF9">
        <w:rPr>
          <w:snapToGrid w:val="0"/>
        </w:rPr>
        <w:t>.</w:t>
      </w:r>
      <w:r w:rsidRPr="00AA3DF9">
        <w:rPr>
          <w:snapToGrid w:val="0"/>
        </w:rPr>
        <w:tab/>
        <w:t>Form of notice of motion</w:t>
      </w:r>
      <w:r>
        <w:tab/>
      </w:r>
      <w:r>
        <w:fldChar w:fldCharType="begin"/>
      </w:r>
      <w:r>
        <w:instrText xml:space="preserve"> PAGEREF _Toc75863356 \h </w:instrText>
      </w:r>
      <w:r>
        <w:fldChar w:fldCharType="separate"/>
      </w:r>
      <w:r w:rsidR="00FC1D84">
        <w:t>317</w:t>
      </w:r>
      <w:r>
        <w:fldChar w:fldCharType="end"/>
      </w:r>
    </w:p>
    <w:p w:rsidR="006169FD" w:rsidRDefault="006169FD">
      <w:pPr>
        <w:pStyle w:val="TOC8"/>
        <w:rPr>
          <w:rFonts w:asciiTheme="minorHAnsi" w:eastAsiaTheme="minorEastAsia" w:hAnsiTheme="minorHAnsi" w:cstheme="minorBidi"/>
          <w:szCs w:val="22"/>
        </w:rPr>
      </w:pPr>
      <w:r>
        <w:t>6</w:t>
      </w:r>
      <w:r w:rsidRPr="00AA3DF9">
        <w:rPr>
          <w:snapToGrid w:val="0"/>
        </w:rPr>
        <w:t>.</w:t>
      </w:r>
      <w:r w:rsidRPr="00AA3DF9">
        <w:rPr>
          <w:snapToGrid w:val="0"/>
        </w:rPr>
        <w:tab/>
        <w:t>Issue of notice of motion</w:t>
      </w:r>
      <w:r>
        <w:tab/>
      </w:r>
      <w:r>
        <w:fldChar w:fldCharType="begin"/>
      </w:r>
      <w:r>
        <w:instrText xml:space="preserve"> PAGEREF _Toc75863357 \h </w:instrText>
      </w:r>
      <w:r>
        <w:fldChar w:fldCharType="separate"/>
      </w:r>
      <w:r w:rsidR="00FC1D84">
        <w:t>318</w:t>
      </w:r>
      <w:r>
        <w:fldChar w:fldCharType="end"/>
      </w:r>
    </w:p>
    <w:p w:rsidR="006169FD" w:rsidRDefault="006169FD">
      <w:pPr>
        <w:pStyle w:val="TOC8"/>
        <w:rPr>
          <w:rFonts w:asciiTheme="minorHAnsi" w:eastAsiaTheme="minorEastAsia" w:hAnsiTheme="minorHAnsi" w:cstheme="minorBidi"/>
          <w:szCs w:val="22"/>
        </w:rPr>
      </w:pPr>
      <w:r>
        <w:t>7</w:t>
      </w:r>
      <w:r w:rsidRPr="00AA3DF9">
        <w:rPr>
          <w:snapToGrid w:val="0"/>
        </w:rPr>
        <w:t>.</w:t>
      </w:r>
      <w:r w:rsidRPr="00AA3DF9">
        <w:rPr>
          <w:snapToGrid w:val="0"/>
        </w:rPr>
        <w:tab/>
        <w:t>Service of notice of motion with writ etc.</w:t>
      </w:r>
      <w:r>
        <w:tab/>
      </w:r>
      <w:r>
        <w:fldChar w:fldCharType="begin"/>
      </w:r>
      <w:r>
        <w:instrText xml:space="preserve"> PAGEREF _Toc75863358 \h </w:instrText>
      </w:r>
      <w:r>
        <w:fldChar w:fldCharType="separate"/>
      </w:r>
      <w:r w:rsidR="00FC1D84">
        <w:t>318</w:t>
      </w:r>
      <w:r>
        <w:fldChar w:fldCharType="end"/>
      </w:r>
    </w:p>
    <w:p w:rsidR="006169FD" w:rsidRDefault="006169FD">
      <w:pPr>
        <w:pStyle w:val="TOC8"/>
        <w:rPr>
          <w:rFonts w:asciiTheme="minorHAnsi" w:eastAsiaTheme="minorEastAsia" w:hAnsiTheme="minorHAnsi" w:cstheme="minorBidi"/>
          <w:szCs w:val="22"/>
        </w:rPr>
      </w:pPr>
      <w:r>
        <w:t>8</w:t>
      </w:r>
      <w:r w:rsidRPr="00AA3DF9">
        <w:rPr>
          <w:snapToGrid w:val="0"/>
        </w:rPr>
        <w:t>.</w:t>
      </w:r>
      <w:r w:rsidRPr="00AA3DF9">
        <w:rPr>
          <w:snapToGrid w:val="0"/>
        </w:rPr>
        <w:tab/>
        <w:t>Adjournment etc.</w:t>
      </w:r>
      <w:r>
        <w:tab/>
      </w:r>
      <w:r>
        <w:fldChar w:fldCharType="begin"/>
      </w:r>
      <w:r>
        <w:instrText xml:space="preserve"> PAGEREF _Toc75863359 \h </w:instrText>
      </w:r>
      <w:r>
        <w:fldChar w:fldCharType="separate"/>
      </w:r>
      <w:r w:rsidR="00FC1D84">
        <w:t>318</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55 — Committal and attachment</w:t>
      </w:r>
    </w:p>
    <w:p w:rsidR="006169FD" w:rsidRDefault="006169FD">
      <w:pPr>
        <w:pStyle w:val="TOC8"/>
        <w:rPr>
          <w:rFonts w:asciiTheme="minorHAnsi" w:eastAsiaTheme="minorEastAsia" w:hAnsiTheme="minorHAnsi" w:cstheme="minorBidi"/>
          <w:szCs w:val="22"/>
        </w:rPr>
      </w:pPr>
      <w:r>
        <w:t>1</w:t>
      </w:r>
      <w:r w:rsidRPr="00AA3DF9">
        <w:rPr>
          <w:snapToGrid w:val="0"/>
        </w:rPr>
        <w:t>.</w:t>
      </w:r>
      <w:r w:rsidRPr="00AA3DF9">
        <w:rPr>
          <w:snapToGrid w:val="0"/>
        </w:rPr>
        <w:tab/>
        <w:t>Term used: contemnor</w:t>
      </w:r>
      <w:r>
        <w:tab/>
      </w:r>
      <w:r>
        <w:fldChar w:fldCharType="begin"/>
      </w:r>
      <w:r>
        <w:instrText xml:space="preserve"> PAGEREF _Toc75863361 \h </w:instrText>
      </w:r>
      <w:r>
        <w:fldChar w:fldCharType="separate"/>
      </w:r>
      <w:r w:rsidR="00FC1D84">
        <w:t>319</w:t>
      </w:r>
      <w:r>
        <w:fldChar w:fldCharType="end"/>
      </w:r>
    </w:p>
    <w:p w:rsidR="006169FD" w:rsidRDefault="006169FD">
      <w:pPr>
        <w:pStyle w:val="TOC8"/>
        <w:rPr>
          <w:rFonts w:asciiTheme="minorHAnsi" w:eastAsiaTheme="minorEastAsia" w:hAnsiTheme="minorHAnsi" w:cstheme="minorBidi"/>
          <w:szCs w:val="22"/>
        </w:rPr>
      </w:pPr>
      <w:r>
        <w:t>2.</w:t>
      </w:r>
      <w:r>
        <w:tab/>
        <w:t>Committal for contempt of court</w:t>
      </w:r>
      <w:r>
        <w:tab/>
      </w:r>
      <w:r>
        <w:fldChar w:fldCharType="begin"/>
      </w:r>
      <w:r>
        <w:instrText xml:space="preserve"> PAGEREF _Toc75863362 \h </w:instrText>
      </w:r>
      <w:r>
        <w:fldChar w:fldCharType="separate"/>
      </w:r>
      <w:r w:rsidR="00FC1D84">
        <w:t>319</w:t>
      </w:r>
      <w:r>
        <w:fldChar w:fldCharType="end"/>
      </w:r>
    </w:p>
    <w:p w:rsidR="006169FD" w:rsidRDefault="006169FD">
      <w:pPr>
        <w:pStyle w:val="TOC8"/>
        <w:rPr>
          <w:rFonts w:asciiTheme="minorHAnsi" w:eastAsiaTheme="minorEastAsia" w:hAnsiTheme="minorHAnsi" w:cstheme="minorBidi"/>
          <w:szCs w:val="22"/>
        </w:rPr>
      </w:pPr>
      <w:r>
        <w:t>3</w:t>
      </w:r>
      <w:r w:rsidRPr="00AA3DF9">
        <w:rPr>
          <w:snapToGrid w:val="0"/>
        </w:rPr>
        <w:t>.</w:t>
      </w:r>
      <w:r w:rsidRPr="00AA3DF9">
        <w:rPr>
          <w:snapToGrid w:val="0"/>
        </w:rPr>
        <w:tab/>
        <w:t>Contempt in face of Court</w:t>
      </w:r>
      <w:r>
        <w:tab/>
      </w:r>
      <w:r>
        <w:fldChar w:fldCharType="begin"/>
      </w:r>
      <w:r>
        <w:instrText xml:space="preserve"> PAGEREF _Toc75863363 \h </w:instrText>
      </w:r>
      <w:r>
        <w:fldChar w:fldCharType="separate"/>
      </w:r>
      <w:r w:rsidR="00FC1D84">
        <w:t>319</w:t>
      </w:r>
      <w:r>
        <w:fldChar w:fldCharType="end"/>
      </w:r>
    </w:p>
    <w:p w:rsidR="006169FD" w:rsidRDefault="006169FD">
      <w:pPr>
        <w:pStyle w:val="TOC8"/>
        <w:rPr>
          <w:rFonts w:asciiTheme="minorHAnsi" w:eastAsiaTheme="minorEastAsia" w:hAnsiTheme="minorHAnsi" w:cstheme="minorBidi"/>
          <w:szCs w:val="22"/>
        </w:rPr>
      </w:pPr>
      <w:r>
        <w:t>4</w:t>
      </w:r>
      <w:r w:rsidRPr="00AA3DF9">
        <w:rPr>
          <w:snapToGrid w:val="0"/>
        </w:rPr>
        <w:t>.</w:t>
      </w:r>
      <w:r w:rsidRPr="00AA3DF9">
        <w:rPr>
          <w:snapToGrid w:val="0"/>
        </w:rPr>
        <w:tab/>
        <w:t>Other cases of contempt</w:t>
      </w:r>
      <w:r>
        <w:tab/>
      </w:r>
      <w:r>
        <w:fldChar w:fldCharType="begin"/>
      </w:r>
      <w:r>
        <w:instrText xml:space="preserve"> PAGEREF _Toc75863364 \h </w:instrText>
      </w:r>
      <w:r>
        <w:fldChar w:fldCharType="separate"/>
      </w:r>
      <w:r w:rsidR="00FC1D84">
        <w:t>320</w:t>
      </w:r>
      <w:r>
        <w:fldChar w:fldCharType="end"/>
      </w:r>
    </w:p>
    <w:p w:rsidR="006169FD" w:rsidRDefault="006169FD">
      <w:pPr>
        <w:pStyle w:val="TOC8"/>
        <w:rPr>
          <w:rFonts w:asciiTheme="minorHAnsi" w:eastAsiaTheme="minorEastAsia" w:hAnsiTheme="minorHAnsi" w:cstheme="minorBidi"/>
          <w:szCs w:val="22"/>
        </w:rPr>
      </w:pPr>
      <w:r>
        <w:t>5</w:t>
      </w:r>
      <w:r w:rsidRPr="00AA3DF9">
        <w:rPr>
          <w:snapToGrid w:val="0"/>
        </w:rPr>
        <w:t>.</w:t>
      </w:r>
      <w:r w:rsidRPr="00AA3DF9">
        <w:rPr>
          <w:snapToGrid w:val="0"/>
        </w:rPr>
        <w:tab/>
        <w:t>Form and service of notice or summons</w:t>
      </w:r>
      <w:r>
        <w:tab/>
      </w:r>
      <w:r>
        <w:fldChar w:fldCharType="begin"/>
      </w:r>
      <w:r>
        <w:instrText xml:space="preserve"> PAGEREF _Toc75863365 \h </w:instrText>
      </w:r>
      <w:r>
        <w:fldChar w:fldCharType="separate"/>
      </w:r>
      <w:r w:rsidR="00FC1D84">
        <w:t>320</w:t>
      </w:r>
      <w:r>
        <w:fldChar w:fldCharType="end"/>
      </w:r>
    </w:p>
    <w:p w:rsidR="006169FD" w:rsidRDefault="006169FD">
      <w:pPr>
        <w:pStyle w:val="TOC8"/>
        <w:rPr>
          <w:rFonts w:asciiTheme="minorHAnsi" w:eastAsiaTheme="minorEastAsia" w:hAnsiTheme="minorHAnsi" w:cstheme="minorBidi"/>
          <w:szCs w:val="22"/>
        </w:rPr>
      </w:pPr>
      <w:r>
        <w:t>6</w:t>
      </w:r>
      <w:r w:rsidRPr="00AA3DF9">
        <w:rPr>
          <w:snapToGrid w:val="0"/>
        </w:rPr>
        <w:t>.</w:t>
      </w:r>
      <w:r w:rsidRPr="00AA3DF9">
        <w:rPr>
          <w:snapToGrid w:val="0"/>
        </w:rPr>
        <w:tab/>
        <w:t>Arresting contemnors</w:t>
      </w:r>
      <w:r>
        <w:tab/>
      </w:r>
      <w:r>
        <w:fldChar w:fldCharType="begin"/>
      </w:r>
      <w:r>
        <w:instrText xml:space="preserve"> PAGEREF _Toc75863366 \h </w:instrText>
      </w:r>
      <w:r>
        <w:fldChar w:fldCharType="separate"/>
      </w:r>
      <w:r w:rsidR="00FC1D84">
        <w:t>321</w:t>
      </w:r>
      <w:r>
        <w:fldChar w:fldCharType="end"/>
      </w:r>
    </w:p>
    <w:p w:rsidR="006169FD" w:rsidRDefault="006169FD">
      <w:pPr>
        <w:pStyle w:val="TOC8"/>
        <w:rPr>
          <w:rFonts w:asciiTheme="minorHAnsi" w:eastAsiaTheme="minorEastAsia" w:hAnsiTheme="minorHAnsi" w:cstheme="minorBidi"/>
          <w:szCs w:val="22"/>
        </w:rPr>
      </w:pPr>
      <w:r>
        <w:t>7</w:t>
      </w:r>
      <w:r w:rsidRPr="00AA3DF9">
        <w:rPr>
          <w:snapToGrid w:val="0"/>
        </w:rPr>
        <w:t>.</w:t>
      </w:r>
      <w:r w:rsidRPr="00AA3DF9">
        <w:rPr>
          <w:snapToGrid w:val="0"/>
        </w:rPr>
        <w:tab/>
        <w:t>Punishing contemnors</w:t>
      </w:r>
      <w:r>
        <w:tab/>
      </w:r>
      <w:r>
        <w:fldChar w:fldCharType="begin"/>
      </w:r>
      <w:r>
        <w:instrText xml:space="preserve"> PAGEREF _Toc75863367 \h </w:instrText>
      </w:r>
      <w:r>
        <w:fldChar w:fldCharType="separate"/>
      </w:r>
      <w:r w:rsidR="00FC1D84">
        <w:t>321</w:t>
      </w:r>
      <w:r>
        <w:fldChar w:fldCharType="end"/>
      </w:r>
    </w:p>
    <w:p w:rsidR="006169FD" w:rsidRDefault="006169FD">
      <w:pPr>
        <w:pStyle w:val="TOC8"/>
        <w:rPr>
          <w:rFonts w:asciiTheme="minorHAnsi" w:eastAsiaTheme="minorEastAsia" w:hAnsiTheme="minorHAnsi" w:cstheme="minorBidi"/>
          <w:szCs w:val="22"/>
        </w:rPr>
      </w:pPr>
      <w:r>
        <w:t>8</w:t>
      </w:r>
      <w:r w:rsidRPr="00AA3DF9">
        <w:rPr>
          <w:snapToGrid w:val="0"/>
        </w:rPr>
        <w:t>.</w:t>
      </w:r>
      <w:r w:rsidRPr="00AA3DF9">
        <w:rPr>
          <w:snapToGrid w:val="0"/>
        </w:rPr>
        <w:tab/>
        <w:t>Execution of committal order may be suspended</w:t>
      </w:r>
      <w:r>
        <w:tab/>
      </w:r>
      <w:r>
        <w:fldChar w:fldCharType="begin"/>
      </w:r>
      <w:r>
        <w:instrText xml:space="preserve"> PAGEREF _Toc75863368 \h </w:instrText>
      </w:r>
      <w:r>
        <w:fldChar w:fldCharType="separate"/>
      </w:r>
      <w:r w:rsidR="00FC1D84">
        <w:t>321</w:t>
      </w:r>
      <w:r>
        <w:fldChar w:fldCharType="end"/>
      </w:r>
    </w:p>
    <w:p w:rsidR="006169FD" w:rsidRDefault="006169FD">
      <w:pPr>
        <w:pStyle w:val="TOC8"/>
        <w:rPr>
          <w:rFonts w:asciiTheme="minorHAnsi" w:eastAsiaTheme="minorEastAsia" w:hAnsiTheme="minorHAnsi" w:cstheme="minorBidi"/>
          <w:szCs w:val="22"/>
        </w:rPr>
      </w:pPr>
      <w:r>
        <w:lastRenderedPageBreak/>
        <w:t>9</w:t>
      </w:r>
      <w:r w:rsidRPr="00AA3DF9">
        <w:rPr>
          <w:snapToGrid w:val="0"/>
        </w:rPr>
        <w:t>.</w:t>
      </w:r>
      <w:r w:rsidRPr="00AA3DF9">
        <w:rPr>
          <w:snapToGrid w:val="0"/>
        </w:rPr>
        <w:tab/>
        <w:t>Discharge from committal</w:t>
      </w:r>
      <w:r>
        <w:tab/>
      </w:r>
      <w:r>
        <w:fldChar w:fldCharType="begin"/>
      </w:r>
      <w:r>
        <w:instrText xml:space="preserve"> PAGEREF _Toc75863369 \h </w:instrText>
      </w:r>
      <w:r>
        <w:fldChar w:fldCharType="separate"/>
      </w:r>
      <w:r w:rsidR="00FC1D84">
        <w:t>322</w:t>
      </w:r>
      <w:r>
        <w:fldChar w:fldCharType="end"/>
      </w:r>
    </w:p>
    <w:p w:rsidR="006169FD" w:rsidRDefault="006169FD">
      <w:pPr>
        <w:pStyle w:val="TOC8"/>
        <w:rPr>
          <w:rFonts w:asciiTheme="minorHAnsi" w:eastAsiaTheme="minorEastAsia" w:hAnsiTheme="minorHAnsi" w:cstheme="minorBidi"/>
          <w:szCs w:val="22"/>
        </w:rPr>
      </w:pPr>
      <w:r>
        <w:t>10</w:t>
      </w:r>
      <w:r w:rsidRPr="00AA3DF9">
        <w:rPr>
          <w:snapToGrid w:val="0"/>
        </w:rPr>
        <w:t>.</w:t>
      </w:r>
      <w:r w:rsidRPr="00AA3DF9">
        <w:rPr>
          <w:snapToGrid w:val="0"/>
        </w:rPr>
        <w:tab/>
        <w:t>Saving for other powers</w:t>
      </w:r>
      <w:r>
        <w:tab/>
      </w:r>
      <w:r>
        <w:fldChar w:fldCharType="begin"/>
      </w:r>
      <w:r>
        <w:instrText xml:space="preserve"> PAGEREF _Toc75863370 \h </w:instrText>
      </w:r>
      <w:r>
        <w:fldChar w:fldCharType="separate"/>
      </w:r>
      <w:r w:rsidR="00FC1D84">
        <w:t>322</w:t>
      </w:r>
      <w:r>
        <w:fldChar w:fldCharType="end"/>
      </w:r>
    </w:p>
    <w:p w:rsidR="006169FD" w:rsidRDefault="006169FD">
      <w:pPr>
        <w:pStyle w:val="TOC8"/>
        <w:rPr>
          <w:rFonts w:asciiTheme="minorHAnsi" w:eastAsiaTheme="minorEastAsia" w:hAnsiTheme="minorHAnsi" w:cstheme="minorBidi"/>
          <w:szCs w:val="22"/>
        </w:rPr>
      </w:pPr>
      <w:r>
        <w:t>11</w:t>
      </w:r>
      <w:r w:rsidRPr="00AA3DF9">
        <w:rPr>
          <w:snapToGrid w:val="0"/>
        </w:rPr>
        <w:t>.</w:t>
      </w:r>
      <w:r w:rsidRPr="00AA3DF9">
        <w:rPr>
          <w:snapToGrid w:val="0"/>
        </w:rPr>
        <w:tab/>
        <w:t>Court may make peremptory order in first instance</w:t>
      </w:r>
      <w:r>
        <w:tab/>
      </w:r>
      <w:r>
        <w:fldChar w:fldCharType="begin"/>
      </w:r>
      <w:r>
        <w:instrText xml:space="preserve"> PAGEREF _Toc75863371 \h </w:instrText>
      </w:r>
      <w:r>
        <w:fldChar w:fldCharType="separate"/>
      </w:r>
      <w:r w:rsidR="00FC1D84">
        <w:t>322</w:t>
      </w:r>
      <w:r>
        <w:fldChar w:fldCharType="end"/>
      </w:r>
    </w:p>
    <w:p w:rsidR="006169FD" w:rsidRDefault="006169FD">
      <w:pPr>
        <w:pStyle w:val="TOC8"/>
        <w:rPr>
          <w:rFonts w:asciiTheme="minorHAnsi" w:eastAsiaTheme="minorEastAsia" w:hAnsiTheme="minorHAnsi" w:cstheme="minorBidi"/>
          <w:szCs w:val="22"/>
        </w:rPr>
      </w:pPr>
      <w:r>
        <w:t>12</w:t>
      </w:r>
      <w:r w:rsidRPr="00AA3DF9">
        <w:rPr>
          <w:snapToGrid w:val="0"/>
        </w:rPr>
        <w:t>.</w:t>
      </w:r>
      <w:r w:rsidRPr="00AA3DF9">
        <w:rPr>
          <w:snapToGrid w:val="0"/>
        </w:rPr>
        <w:tab/>
        <w:t>Application of r. 6 to 9 to attachment etc.</w:t>
      </w:r>
      <w:r>
        <w:tab/>
      </w:r>
      <w:r>
        <w:fldChar w:fldCharType="begin"/>
      </w:r>
      <w:r>
        <w:instrText xml:space="preserve"> PAGEREF _Toc75863372 \h </w:instrText>
      </w:r>
      <w:r>
        <w:fldChar w:fldCharType="separate"/>
      </w:r>
      <w:r w:rsidR="00FC1D84">
        <w:t>323</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56</w:t>
      </w:r>
      <w:r w:rsidRPr="00AA3DF9">
        <w:rPr>
          <w:b w:val="0"/>
        </w:rPr>
        <w:t> </w:t>
      </w:r>
      <w:r>
        <w:t>—</w:t>
      </w:r>
      <w:r w:rsidRPr="00AA3DF9">
        <w:rPr>
          <w:b w:val="0"/>
        </w:rPr>
        <w:t> </w:t>
      </w:r>
      <w:r>
        <w:t>Judicial review</w:t>
      </w:r>
    </w:p>
    <w:p w:rsidR="006169FD" w:rsidRDefault="006169FD">
      <w:pPr>
        <w:pStyle w:val="TOC4"/>
        <w:tabs>
          <w:tab w:val="right" w:leader="dot" w:pos="7077"/>
        </w:tabs>
        <w:rPr>
          <w:rFonts w:asciiTheme="minorHAnsi" w:eastAsiaTheme="minorEastAsia" w:hAnsiTheme="minorHAnsi" w:cstheme="minorBidi"/>
          <w:b w:val="0"/>
          <w:szCs w:val="22"/>
        </w:rPr>
      </w:pPr>
      <w:r>
        <w:t>Division 1 — General</w:t>
      </w:r>
    </w:p>
    <w:p w:rsidR="006169FD" w:rsidRDefault="006169FD">
      <w:pPr>
        <w:pStyle w:val="TOC8"/>
        <w:rPr>
          <w:rFonts w:asciiTheme="minorHAnsi" w:eastAsiaTheme="minorEastAsia" w:hAnsiTheme="minorHAnsi" w:cstheme="minorBidi"/>
          <w:szCs w:val="22"/>
        </w:rPr>
      </w:pPr>
      <w:r>
        <w:t>1.</w:t>
      </w:r>
      <w:r>
        <w:tab/>
        <w:t>Terms used</w:t>
      </w:r>
      <w:r>
        <w:tab/>
      </w:r>
      <w:r>
        <w:fldChar w:fldCharType="begin"/>
      </w:r>
      <w:r>
        <w:instrText xml:space="preserve"> PAGEREF _Toc75863375 \h </w:instrText>
      </w:r>
      <w:r>
        <w:fldChar w:fldCharType="separate"/>
      </w:r>
      <w:r w:rsidR="00FC1D84">
        <w:t>324</w:t>
      </w:r>
      <w:r>
        <w:fldChar w:fldCharType="end"/>
      </w:r>
    </w:p>
    <w:p w:rsidR="006169FD" w:rsidRDefault="006169FD">
      <w:pPr>
        <w:pStyle w:val="TOC8"/>
        <w:rPr>
          <w:rFonts w:asciiTheme="minorHAnsi" w:eastAsiaTheme="minorEastAsia" w:hAnsiTheme="minorHAnsi" w:cstheme="minorBidi"/>
          <w:szCs w:val="22"/>
        </w:rPr>
      </w:pPr>
      <w:r>
        <w:t>2.</w:t>
      </w:r>
      <w:r>
        <w:tab/>
        <w:t>Making an application</w:t>
      </w:r>
      <w:r>
        <w:tab/>
      </w:r>
      <w:r>
        <w:fldChar w:fldCharType="begin"/>
      </w:r>
      <w:r>
        <w:instrText xml:space="preserve"> PAGEREF _Toc75863376 \h </w:instrText>
      </w:r>
      <w:r>
        <w:fldChar w:fldCharType="separate"/>
      </w:r>
      <w:r w:rsidR="00FC1D84">
        <w:t>325</w:t>
      </w:r>
      <w:r>
        <w:fldChar w:fldCharType="end"/>
      </w:r>
    </w:p>
    <w:p w:rsidR="006169FD" w:rsidRDefault="006169FD">
      <w:pPr>
        <w:pStyle w:val="TOC8"/>
        <w:rPr>
          <w:rFonts w:asciiTheme="minorHAnsi" w:eastAsiaTheme="minorEastAsia" w:hAnsiTheme="minorHAnsi" w:cstheme="minorBidi"/>
          <w:szCs w:val="22"/>
        </w:rPr>
      </w:pPr>
      <w:r>
        <w:t>3.</w:t>
      </w:r>
      <w:r>
        <w:tab/>
        <w:t>Serving an application</w:t>
      </w:r>
      <w:r>
        <w:tab/>
      </w:r>
      <w:r>
        <w:fldChar w:fldCharType="begin"/>
      </w:r>
      <w:r>
        <w:instrText xml:space="preserve"> PAGEREF _Toc75863377 \h </w:instrText>
      </w:r>
      <w:r>
        <w:fldChar w:fldCharType="separate"/>
      </w:r>
      <w:r w:rsidR="00FC1D84">
        <w:t>326</w:t>
      </w:r>
      <w:r>
        <w:fldChar w:fldCharType="end"/>
      </w:r>
    </w:p>
    <w:p w:rsidR="006169FD" w:rsidRDefault="006169FD">
      <w:pPr>
        <w:pStyle w:val="TOC8"/>
        <w:rPr>
          <w:rFonts w:asciiTheme="minorHAnsi" w:eastAsiaTheme="minorEastAsia" w:hAnsiTheme="minorHAnsi" w:cstheme="minorBidi"/>
          <w:szCs w:val="22"/>
        </w:rPr>
      </w:pPr>
      <w:r>
        <w:t>4.</w:t>
      </w:r>
      <w:r>
        <w:tab/>
        <w:t>Options of person served with application</w:t>
      </w:r>
      <w:r>
        <w:tab/>
      </w:r>
      <w:r>
        <w:fldChar w:fldCharType="begin"/>
      </w:r>
      <w:r>
        <w:instrText xml:space="preserve"> PAGEREF _Toc75863378 \h </w:instrText>
      </w:r>
      <w:r>
        <w:fldChar w:fldCharType="separate"/>
      </w:r>
      <w:r w:rsidR="00FC1D84">
        <w:t>326</w:t>
      </w:r>
      <w:r>
        <w:fldChar w:fldCharType="end"/>
      </w:r>
    </w:p>
    <w:p w:rsidR="006169FD" w:rsidRDefault="006169FD">
      <w:pPr>
        <w:pStyle w:val="TOC8"/>
        <w:rPr>
          <w:rFonts w:asciiTheme="minorHAnsi" w:eastAsiaTheme="minorEastAsia" w:hAnsiTheme="minorHAnsi" w:cstheme="minorBidi"/>
          <w:szCs w:val="22"/>
        </w:rPr>
      </w:pPr>
      <w:r>
        <w:t>5.</w:t>
      </w:r>
      <w:r>
        <w:tab/>
        <w:t>Procedure on application</w:t>
      </w:r>
      <w:r>
        <w:tab/>
      </w:r>
      <w:r>
        <w:fldChar w:fldCharType="begin"/>
      </w:r>
      <w:r>
        <w:instrText xml:space="preserve"> PAGEREF _Toc75863379 \h </w:instrText>
      </w:r>
      <w:r>
        <w:fldChar w:fldCharType="separate"/>
      </w:r>
      <w:r w:rsidR="00FC1D84">
        <w:t>327</w:t>
      </w:r>
      <w:r>
        <w:fldChar w:fldCharType="end"/>
      </w:r>
    </w:p>
    <w:p w:rsidR="006169FD" w:rsidRDefault="006169FD">
      <w:pPr>
        <w:pStyle w:val="TOC8"/>
        <w:rPr>
          <w:rFonts w:asciiTheme="minorHAnsi" w:eastAsiaTheme="minorEastAsia" w:hAnsiTheme="minorHAnsi" w:cstheme="minorBidi"/>
          <w:szCs w:val="22"/>
        </w:rPr>
      </w:pPr>
      <w:r>
        <w:t>6.</w:t>
      </w:r>
      <w:r>
        <w:tab/>
        <w:t>Discovery and interrogatories</w:t>
      </w:r>
      <w:r>
        <w:tab/>
      </w:r>
      <w:r>
        <w:fldChar w:fldCharType="begin"/>
      </w:r>
      <w:r>
        <w:instrText xml:space="preserve"> PAGEREF _Toc75863380 \h </w:instrText>
      </w:r>
      <w:r>
        <w:fldChar w:fldCharType="separate"/>
      </w:r>
      <w:r w:rsidR="00FC1D84">
        <w:t>328</w:t>
      </w:r>
      <w:r>
        <w:fldChar w:fldCharType="end"/>
      </w:r>
    </w:p>
    <w:p w:rsidR="006169FD" w:rsidRDefault="006169FD">
      <w:pPr>
        <w:pStyle w:val="TOC8"/>
        <w:rPr>
          <w:rFonts w:asciiTheme="minorHAnsi" w:eastAsiaTheme="minorEastAsia" w:hAnsiTheme="minorHAnsi" w:cstheme="minorBidi"/>
          <w:szCs w:val="22"/>
        </w:rPr>
      </w:pPr>
      <w:r>
        <w:t>7.</w:t>
      </w:r>
      <w:r>
        <w:tab/>
        <w:t>Costs</w:t>
      </w:r>
      <w:r>
        <w:tab/>
      </w:r>
      <w:r>
        <w:fldChar w:fldCharType="begin"/>
      </w:r>
      <w:r>
        <w:instrText xml:space="preserve"> PAGEREF _Toc75863381 \h </w:instrText>
      </w:r>
      <w:r>
        <w:fldChar w:fldCharType="separate"/>
      </w:r>
      <w:r w:rsidR="00FC1D84">
        <w:t>328</w:t>
      </w:r>
      <w:r>
        <w:fldChar w:fldCharType="end"/>
      </w:r>
    </w:p>
    <w:p w:rsidR="006169FD" w:rsidRDefault="006169FD">
      <w:pPr>
        <w:pStyle w:val="TOC8"/>
        <w:rPr>
          <w:rFonts w:asciiTheme="minorHAnsi" w:eastAsiaTheme="minorEastAsia" w:hAnsiTheme="minorHAnsi" w:cstheme="minorBidi"/>
          <w:szCs w:val="22"/>
        </w:rPr>
      </w:pPr>
      <w:r>
        <w:t>10</w:t>
      </w:r>
      <w:r w:rsidRPr="00AA3DF9">
        <w:rPr>
          <w:snapToGrid w:val="0"/>
        </w:rPr>
        <w:t>.</w:t>
      </w:r>
      <w:r w:rsidRPr="00AA3DF9">
        <w:rPr>
          <w:snapToGrid w:val="0"/>
        </w:rPr>
        <w:tab/>
        <w:t>Issue and filing of writs</w:t>
      </w:r>
      <w:r>
        <w:tab/>
      </w:r>
      <w:r>
        <w:fldChar w:fldCharType="begin"/>
      </w:r>
      <w:r>
        <w:instrText xml:space="preserve"> PAGEREF _Toc75863382 \h </w:instrText>
      </w:r>
      <w:r>
        <w:fldChar w:fldCharType="separate"/>
      </w:r>
      <w:r w:rsidR="00FC1D84">
        <w:t>328</w:t>
      </w:r>
      <w:r>
        <w:fldChar w:fldCharType="end"/>
      </w:r>
    </w:p>
    <w:p w:rsidR="006169FD" w:rsidRDefault="006169FD">
      <w:pPr>
        <w:pStyle w:val="TOC4"/>
        <w:tabs>
          <w:tab w:val="right" w:leader="dot" w:pos="7077"/>
        </w:tabs>
        <w:rPr>
          <w:rFonts w:asciiTheme="minorHAnsi" w:eastAsiaTheme="minorEastAsia" w:hAnsiTheme="minorHAnsi" w:cstheme="minorBidi"/>
          <w:b w:val="0"/>
          <w:szCs w:val="22"/>
        </w:rPr>
      </w:pPr>
      <w:r>
        <w:t>Division 2 — Certiorari</w:t>
      </w:r>
    </w:p>
    <w:p w:rsidR="006169FD" w:rsidRDefault="006169FD">
      <w:pPr>
        <w:pStyle w:val="TOC8"/>
        <w:rPr>
          <w:rFonts w:asciiTheme="minorHAnsi" w:eastAsiaTheme="minorEastAsia" w:hAnsiTheme="minorHAnsi" w:cstheme="minorBidi"/>
          <w:szCs w:val="22"/>
        </w:rPr>
      </w:pPr>
      <w:r>
        <w:t>14</w:t>
      </w:r>
      <w:r w:rsidRPr="00AA3DF9">
        <w:rPr>
          <w:snapToGrid w:val="0"/>
        </w:rPr>
        <w:t>.</w:t>
      </w:r>
      <w:r w:rsidRPr="00AA3DF9">
        <w:rPr>
          <w:snapToGrid w:val="0"/>
        </w:rPr>
        <w:tab/>
        <w:t>Forms</w:t>
      </w:r>
      <w:r>
        <w:tab/>
      </w:r>
      <w:r>
        <w:fldChar w:fldCharType="begin"/>
      </w:r>
      <w:r>
        <w:instrText xml:space="preserve"> PAGEREF _Toc75863384 \h </w:instrText>
      </w:r>
      <w:r>
        <w:fldChar w:fldCharType="separate"/>
      </w:r>
      <w:r w:rsidR="00FC1D84">
        <w:t>329</w:t>
      </w:r>
      <w:r>
        <w:fldChar w:fldCharType="end"/>
      </w:r>
    </w:p>
    <w:p w:rsidR="006169FD" w:rsidRDefault="006169FD">
      <w:pPr>
        <w:pStyle w:val="TOC4"/>
        <w:tabs>
          <w:tab w:val="right" w:leader="dot" w:pos="7077"/>
        </w:tabs>
        <w:rPr>
          <w:rFonts w:asciiTheme="minorHAnsi" w:eastAsiaTheme="minorEastAsia" w:hAnsiTheme="minorHAnsi" w:cstheme="minorBidi"/>
          <w:b w:val="0"/>
          <w:szCs w:val="22"/>
        </w:rPr>
      </w:pPr>
      <w:r>
        <w:t>Division 3 — Mandamus</w:t>
      </w:r>
    </w:p>
    <w:p w:rsidR="006169FD" w:rsidRDefault="006169FD">
      <w:pPr>
        <w:pStyle w:val="TOC8"/>
        <w:rPr>
          <w:rFonts w:asciiTheme="minorHAnsi" w:eastAsiaTheme="minorEastAsia" w:hAnsiTheme="minorHAnsi" w:cstheme="minorBidi"/>
          <w:szCs w:val="22"/>
        </w:rPr>
      </w:pPr>
      <w:r>
        <w:t>15</w:t>
      </w:r>
      <w:r w:rsidRPr="00AA3DF9">
        <w:rPr>
          <w:snapToGrid w:val="0"/>
        </w:rPr>
        <w:t>.</w:t>
      </w:r>
      <w:r w:rsidRPr="00AA3DF9">
        <w:rPr>
          <w:snapToGrid w:val="0"/>
        </w:rPr>
        <w:tab/>
        <w:t>Applicant to show interest etc.</w:t>
      </w:r>
      <w:r>
        <w:tab/>
      </w:r>
      <w:r>
        <w:fldChar w:fldCharType="begin"/>
      </w:r>
      <w:r>
        <w:instrText xml:space="preserve"> PAGEREF _Toc75863386 \h </w:instrText>
      </w:r>
      <w:r>
        <w:fldChar w:fldCharType="separate"/>
      </w:r>
      <w:r w:rsidR="00FC1D84">
        <w:t>329</w:t>
      </w:r>
      <w:r>
        <w:fldChar w:fldCharType="end"/>
      </w:r>
    </w:p>
    <w:p w:rsidR="006169FD" w:rsidRDefault="006169FD">
      <w:pPr>
        <w:pStyle w:val="TOC8"/>
        <w:rPr>
          <w:rFonts w:asciiTheme="minorHAnsi" w:eastAsiaTheme="minorEastAsia" w:hAnsiTheme="minorHAnsi" w:cstheme="minorBidi"/>
          <w:szCs w:val="22"/>
        </w:rPr>
      </w:pPr>
      <w:r>
        <w:t>16</w:t>
      </w:r>
      <w:r w:rsidRPr="00AA3DF9">
        <w:rPr>
          <w:snapToGrid w:val="0"/>
        </w:rPr>
        <w:t>.</w:t>
      </w:r>
      <w:r w:rsidRPr="00AA3DF9">
        <w:rPr>
          <w:snapToGrid w:val="0"/>
        </w:rPr>
        <w:tab/>
        <w:t>Form of writ</w:t>
      </w:r>
      <w:r>
        <w:tab/>
      </w:r>
      <w:r>
        <w:fldChar w:fldCharType="begin"/>
      </w:r>
      <w:r>
        <w:instrText xml:space="preserve"> PAGEREF _Toc75863387 \h </w:instrText>
      </w:r>
      <w:r>
        <w:fldChar w:fldCharType="separate"/>
      </w:r>
      <w:r w:rsidR="00FC1D84">
        <w:t>330</w:t>
      </w:r>
      <w:r>
        <w:fldChar w:fldCharType="end"/>
      </w:r>
    </w:p>
    <w:p w:rsidR="006169FD" w:rsidRDefault="006169FD">
      <w:pPr>
        <w:pStyle w:val="TOC8"/>
        <w:rPr>
          <w:rFonts w:asciiTheme="minorHAnsi" w:eastAsiaTheme="minorEastAsia" w:hAnsiTheme="minorHAnsi" w:cstheme="minorBidi"/>
          <w:szCs w:val="22"/>
        </w:rPr>
      </w:pPr>
      <w:r>
        <w:t>17</w:t>
      </w:r>
      <w:r w:rsidRPr="00AA3DF9">
        <w:rPr>
          <w:snapToGrid w:val="0"/>
        </w:rPr>
        <w:t>.</w:t>
      </w:r>
      <w:r w:rsidRPr="00AA3DF9">
        <w:rPr>
          <w:snapToGrid w:val="0"/>
        </w:rPr>
        <w:tab/>
        <w:t>Time for return of writ</w:t>
      </w:r>
      <w:r>
        <w:tab/>
      </w:r>
      <w:r>
        <w:fldChar w:fldCharType="begin"/>
      </w:r>
      <w:r>
        <w:instrText xml:space="preserve"> PAGEREF _Toc75863388 \h </w:instrText>
      </w:r>
      <w:r>
        <w:fldChar w:fldCharType="separate"/>
      </w:r>
      <w:r w:rsidR="00FC1D84">
        <w:t>330</w:t>
      </w:r>
      <w:r>
        <w:fldChar w:fldCharType="end"/>
      </w:r>
    </w:p>
    <w:p w:rsidR="006169FD" w:rsidRDefault="006169FD">
      <w:pPr>
        <w:pStyle w:val="TOC8"/>
        <w:rPr>
          <w:rFonts w:asciiTheme="minorHAnsi" w:eastAsiaTheme="minorEastAsia" w:hAnsiTheme="minorHAnsi" w:cstheme="minorBidi"/>
          <w:szCs w:val="22"/>
        </w:rPr>
      </w:pPr>
      <w:r>
        <w:t>18</w:t>
      </w:r>
      <w:r w:rsidRPr="00AA3DF9">
        <w:rPr>
          <w:snapToGrid w:val="0"/>
        </w:rPr>
        <w:t>.</w:t>
      </w:r>
      <w:r w:rsidRPr="00AA3DF9">
        <w:rPr>
          <w:snapToGrid w:val="0"/>
        </w:rPr>
        <w:tab/>
        <w:t>Service</w:t>
      </w:r>
      <w:r>
        <w:tab/>
      </w:r>
      <w:r>
        <w:fldChar w:fldCharType="begin"/>
      </w:r>
      <w:r>
        <w:instrText xml:space="preserve"> PAGEREF _Toc75863389 \h </w:instrText>
      </w:r>
      <w:r>
        <w:fldChar w:fldCharType="separate"/>
      </w:r>
      <w:r w:rsidR="00FC1D84">
        <w:t>330</w:t>
      </w:r>
      <w:r>
        <w:fldChar w:fldCharType="end"/>
      </w:r>
    </w:p>
    <w:p w:rsidR="006169FD" w:rsidRDefault="006169FD">
      <w:pPr>
        <w:pStyle w:val="TOC8"/>
        <w:rPr>
          <w:rFonts w:asciiTheme="minorHAnsi" w:eastAsiaTheme="minorEastAsia" w:hAnsiTheme="minorHAnsi" w:cstheme="minorBidi"/>
          <w:szCs w:val="22"/>
        </w:rPr>
      </w:pPr>
      <w:r>
        <w:t>19</w:t>
      </w:r>
      <w:r w:rsidRPr="00AA3DF9">
        <w:rPr>
          <w:snapToGrid w:val="0"/>
        </w:rPr>
        <w:t>.</w:t>
      </w:r>
      <w:r w:rsidRPr="00AA3DF9">
        <w:rPr>
          <w:snapToGrid w:val="0"/>
        </w:rPr>
        <w:tab/>
        <w:t>Service on corporate body, or justices</w:t>
      </w:r>
      <w:r>
        <w:tab/>
      </w:r>
      <w:r>
        <w:fldChar w:fldCharType="begin"/>
      </w:r>
      <w:r>
        <w:instrText xml:space="preserve"> PAGEREF _Toc75863390 \h </w:instrText>
      </w:r>
      <w:r>
        <w:fldChar w:fldCharType="separate"/>
      </w:r>
      <w:r w:rsidR="00FC1D84">
        <w:t>331</w:t>
      </w:r>
      <w:r>
        <w:fldChar w:fldCharType="end"/>
      </w:r>
    </w:p>
    <w:p w:rsidR="006169FD" w:rsidRDefault="006169FD">
      <w:pPr>
        <w:pStyle w:val="TOC8"/>
        <w:rPr>
          <w:rFonts w:asciiTheme="minorHAnsi" w:eastAsiaTheme="minorEastAsia" w:hAnsiTheme="minorHAnsi" w:cstheme="minorBidi"/>
          <w:szCs w:val="22"/>
        </w:rPr>
      </w:pPr>
      <w:r>
        <w:t>20</w:t>
      </w:r>
      <w:r w:rsidRPr="00AA3DF9">
        <w:rPr>
          <w:snapToGrid w:val="0"/>
        </w:rPr>
        <w:t>.</w:t>
      </w:r>
      <w:r w:rsidRPr="00AA3DF9">
        <w:rPr>
          <w:snapToGrid w:val="0"/>
        </w:rPr>
        <w:tab/>
        <w:t>Return, content etc. of</w:t>
      </w:r>
      <w:r>
        <w:tab/>
      </w:r>
      <w:r>
        <w:fldChar w:fldCharType="begin"/>
      </w:r>
      <w:r>
        <w:instrText xml:space="preserve"> PAGEREF _Toc75863391 \h </w:instrText>
      </w:r>
      <w:r>
        <w:fldChar w:fldCharType="separate"/>
      </w:r>
      <w:r w:rsidR="00FC1D84">
        <w:t>331</w:t>
      </w:r>
      <w:r>
        <w:fldChar w:fldCharType="end"/>
      </w:r>
    </w:p>
    <w:p w:rsidR="006169FD" w:rsidRDefault="006169FD">
      <w:pPr>
        <w:pStyle w:val="TOC8"/>
        <w:rPr>
          <w:rFonts w:asciiTheme="minorHAnsi" w:eastAsiaTheme="minorEastAsia" w:hAnsiTheme="minorHAnsi" w:cstheme="minorBidi"/>
          <w:szCs w:val="22"/>
        </w:rPr>
      </w:pPr>
      <w:r>
        <w:t>21</w:t>
      </w:r>
      <w:r w:rsidRPr="00AA3DF9">
        <w:rPr>
          <w:snapToGrid w:val="0"/>
        </w:rPr>
        <w:t>.</w:t>
      </w:r>
      <w:r w:rsidRPr="00AA3DF9">
        <w:rPr>
          <w:snapToGrid w:val="0"/>
        </w:rPr>
        <w:tab/>
        <w:t>Pleading to return</w:t>
      </w:r>
      <w:r>
        <w:tab/>
      </w:r>
      <w:r>
        <w:fldChar w:fldCharType="begin"/>
      </w:r>
      <w:r>
        <w:instrText xml:space="preserve"> PAGEREF _Toc75863392 \h </w:instrText>
      </w:r>
      <w:r>
        <w:fldChar w:fldCharType="separate"/>
      </w:r>
      <w:r w:rsidR="00FC1D84">
        <w:t>331</w:t>
      </w:r>
      <w:r>
        <w:fldChar w:fldCharType="end"/>
      </w:r>
    </w:p>
    <w:p w:rsidR="006169FD" w:rsidRDefault="006169FD">
      <w:pPr>
        <w:pStyle w:val="TOC8"/>
        <w:rPr>
          <w:rFonts w:asciiTheme="minorHAnsi" w:eastAsiaTheme="minorEastAsia" w:hAnsiTheme="minorHAnsi" w:cstheme="minorBidi"/>
          <w:szCs w:val="22"/>
        </w:rPr>
      </w:pPr>
      <w:r>
        <w:t>22</w:t>
      </w:r>
      <w:r w:rsidRPr="00AA3DF9">
        <w:rPr>
          <w:snapToGrid w:val="0"/>
        </w:rPr>
        <w:t>.</w:t>
      </w:r>
      <w:r w:rsidRPr="00AA3DF9">
        <w:rPr>
          <w:snapToGrid w:val="0"/>
        </w:rPr>
        <w:tab/>
        <w:t>No motion for judgment needed in some cases</w:t>
      </w:r>
      <w:r>
        <w:tab/>
      </w:r>
      <w:r>
        <w:fldChar w:fldCharType="begin"/>
      </w:r>
      <w:r>
        <w:instrText xml:space="preserve"> PAGEREF _Toc75863393 \h </w:instrText>
      </w:r>
      <w:r>
        <w:fldChar w:fldCharType="separate"/>
      </w:r>
      <w:r w:rsidR="00FC1D84">
        <w:t>332</w:t>
      </w:r>
      <w:r>
        <w:fldChar w:fldCharType="end"/>
      </w:r>
    </w:p>
    <w:p w:rsidR="006169FD" w:rsidRDefault="006169FD">
      <w:pPr>
        <w:pStyle w:val="TOC8"/>
        <w:rPr>
          <w:rFonts w:asciiTheme="minorHAnsi" w:eastAsiaTheme="minorEastAsia" w:hAnsiTheme="minorHAnsi" w:cstheme="minorBidi"/>
          <w:szCs w:val="22"/>
        </w:rPr>
      </w:pPr>
      <w:r>
        <w:t>23</w:t>
      </w:r>
      <w:r w:rsidRPr="00AA3DF9">
        <w:rPr>
          <w:snapToGrid w:val="0"/>
        </w:rPr>
        <w:t>.</w:t>
      </w:r>
      <w:r w:rsidRPr="00AA3DF9">
        <w:rPr>
          <w:snapToGrid w:val="0"/>
        </w:rPr>
        <w:tab/>
        <w:t>Peremptory writ</w:t>
      </w:r>
      <w:r>
        <w:tab/>
      </w:r>
      <w:r>
        <w:fldChar w:fldCharType="begin"/>
      </w:r>
      <w:r>
        <w:instrText xml:space="preserve"> PAGEREF _Toc75863394 \h </w:instrText>
      </w:r>
      <w:r>
        <w:fldChar w:fldCharType="separate"/>
      </w:r>
      <w:r w:rsidR="00FC1D84">
        <w:t>332</w:t>
      </w:r>
      <w:r>
        <w:fldChar w:fldCharType="end"/>
      </w:r>
    </w:p>
    <w:p w:rsidR="006169FD" w:rsidRDefault="006169FD">
      <w:pPr>
        <w:pStyle w:val="TOC8"/>
        <w:rPr>
          <w:rFonts w:asciiTheme="minorHAnsi" w:eastAsiaTheme="minorEastAsia" w:hAnsiTheme="minorHAnsi" w:cstheme="minorBidi"/>
          <w:szCs w:val="22"/>
        </w:rPr>
      </w:pPr>
      <w:r>
        <w:t>24</w:t>
      </w:r>
      <w:r w:rsidRPr="00AA3DF9">
        <w:rPr>
          <w:snapToGrid w:val="0"/>
        </w:rPr>
        <w:t>.</w:t>
      </w:r>
      <w:r w:rsidRPr="00AA3DF9">
        <w:rPr>
          <w:snapToGrid w:val="0"/>
        </w:rPr>
        <w:tab/>
        <w:t>Costs</w:t>
      </w:r>
      <w:r>
        <w:tab/>
      </w:r>
      <w:r>
        <w:fldChar w:fldCharType="begin"/>
      </w:r>
      <w:r>
        <w:instrText xml:space="preserve"> PAGEREF _Toc75863395 \h </w:instrText>
      </w:r>
      <w:r>
        <w:fldChar w:fldCharType="separate"/>
      </w:r>
      <w:r w:rsidR="00FC1D84">
        <w:t>332</w:t>
      </w:r>
      <w:r>
        <w:fldChar w:fldCharType="end"/>
      </w:r>
    </w:p>
    <w:p w:rsidR="006169FD" w:rsidRDefault="006169FD">
      <w:pPr>
        <w:pStyle w:val="TOC8"/>
        <w:rPr>
          <w:rFonts w:asciiTheme="minorHAnsi" w:eastAsiaTheme="minorEastAsia" w:hAnsiTheme="minorHAnsi" w:cstheme="minorBidi"/>
          <w:szCs w:val="22"/>
        </w:rPr>
      </w:pPr>
      <w:r>
        <w:t>25</w:t>
      </w:r>
      <w:r w:rsidRPr="00AA3DF9">
        <w:rPr>
          <w:snapToGrid w:val="0"/>
        </w:rPr>
        <w:t>.</w:t>
      </w:r>
      <w:r w:rsidRPr="00AA3DF9">
        <w:rPr>
          <w:snapToGrid w:val="0"/>
        </w:rPr>
        <w:tab/>
        <w:t>Proceedings in nature of interpleader</w:t>
      </w:r>
      <w:r>
        <w:tab/>
      </w:r>
      <w:r>
        <w:fldChar w:fldCharType="begin"/>
      </w:r>
      <w:r>
        <w:instrText xml:space="preserve"> PAGEREF _Toc75863396 \h </w:instrText>
      </w:r>
      <w:r>
        <w:fldChar w:fldCharType="separate"/>
      </w:r>
      <w:r w:rsidR="00FC1D84">
        <w:t>333</w:t>
      </w:r>
      <w:r>
        <w:fldChar w:fldCharType="end"/>
      </w:r>
    </w:p>
    <w:p w:rsidR="006169FD" w:rsidRDefault="006169FD">
      <w:pPr>
        <w:pStyle w:val="TOC8"/>
        <w:rPr>
          <w:rFonts w:asciiTheme="minorHAnsi" w:eastAsiaTheme="minorEastAsia" w:hAnsiTheme="minorHAnsi" w:cstheme="minorBidi"/>
          <w:szCs w:val="22"/>
        </w:rPr>
      </w:pPr>
      <w:r>
        <w:t>26</w:t>
      </w:r>
      <w:r w:rsidRPr="00AA3DF9">
        <w:rPr>
          <w:snapToGrid w:val="0"/>
        </w:rPr>
        <w:t>.</w:t>
      </w:r>
      <w:r w:rsidRPr="00AA3DF9">
        <w:rPr>
          <w:snapToGrid w:val="0"/>
        </w:rPr>
        <w:tab/>
        <w:t>Proceedings not to abate due to death etc.</w:t>
      </w:r>
      <w:r>
        <w:tab/>
      </w:r>
      <w:r>
        <w:fldChar w:fldCharType="begin"/>
      </w:r>
      <w:r>
        <w:instrText xml:space="preserve"> PAGEREF _Toc75863397 \h </w:instrText>
      </w:r>
      <w:r>
        <w:fldChar w:fldCharType="separate"/>
      </w:r>
      <w:r w:rsidR="00FC1D84">
        <w:t>333</w:t>
      </w:r>
      <w:r>
        <w:fldChar w:fldCharType="end"/>
      </w:r>
    </w:p>
    <w:p w:rsidR="006169FD" w:rsidRDefault="006169FD">
      <w:pPr>
        <w:pStyle w:val="TOC8"/>
        <w:rPr>
          <w:rFonts w:asciiTheme="minorHAnsi" w:eastAsiaTheme="minorEastAsia" w:hAnsiTheme="minorHAnsi" w:cstheme="minorBidi"/>
          <w:szCs w:val="22"/>
        </w:rPr>
      </w:pPr>
      <w:r>
        <w:t>28</w:t>
      </w:r>
      <w:r w:rsidRPr="00AA3DF9">
        <w:rPr>
          <w:snapToGrid w:val="0"/>
        </w:rPr>
        <w:t>.</w:t>
      </w:r>
      <w:r w:rsidRPr="00AA3DF9">
        <w:rPr>
          <w:snapToGrid w:val="0"/>
        </w:rPr>
        <w:tab/>
        <w:t>Mandamus by order</w:t>
      </w:r>
      <w:r>
        <w:tab/>
      </w:r>
      <w:r>
        <w:fldChar w:fldCharType="begin"/>
      </w:r>
      <w:r>
        <w:instrText xml:space="preserve"> PAGEREF _Toc75863398 \h </w:instrText>
      </w:r>
      <w:r>
        <w:fldChar w:fldCharType="separate"/>
      </w:r>
      <w:r w:rsidR="00FC1D84">
        <w:t>333</w:t>
      </w:r>
      <w:r>
        <w:fldChar w:fldCharType="end"/>
      </w:r>
    </w:p>
    <w:p w:rsidR="006169FD" w:rsidRDefault="006169FD">
      <w:pPr>
        <w:pStyle w:val="TOC8"/>
        <w:rPr>
          <w:rFonts w:asciiTheme="minorHAnsi" w:eastAsiaTheme="minorEastAsia" w:hAnsiTheme="minorHAnsi" w:cstheme="minorBidi"/>
          <w:szCs w:val="22"/>
        </w:rPr>
      </w:pPr>
      <w:r>
        <w:t>29</w:t>
      </w:r>
      <w:r w:rsidRPr="00AA3DF9">
        <w:rPr>
          <w:snapToGrid w:val="0"/>
        </w:rPr>
        <w:t>.</w:t>
      </w:r>
      <w:r w:rsidRPr="00AA3DF9">
        <w:rPr>
          <w:snapToGrid w:val="0"/>
        </w:rPr>
        <w:tab/>
        <w:t>No action against party obeying writ or order</w:t>
      </w:r>
      <w:r>
        <w:tab/>
      </w:r>
      <w:r>
        <w:fldChar w:fldCharType="begin"/>
      </w:r>
      <w:r>
        <w:instrText xml:space="preserve"> PAGEREF _Toc75863399 \h </w:instrText>
      </w:r>
      <w:r>
        <w:fldChar w:fldCharType="separate"/>
      </w:r>
      <w:r w:rsidR="00FC1D84">
        <w:t>334</w:t>
      </w:r>
      <w:r>
        <w:fldChar w:fldCharType="end"/>
      </w:r>
    </w:p>
    <w:p w:rsidR="006169FD" w:rsidRDefault="006169FD">
      <w:pPr>
        <w:pStyle w:val="TOC4"/>
        <w:tabs>
          <w:tab w:val="right" w:leader="dot" w:pos="7077"/>
        </w:tabs>
        <w:rPr>
          <w:rFonts w:asciiTheme="minorHAnsi" w:eastAsiaTheme="minorEastAsia" w:hAnsiTheme="minorHAnsi" w:cstheme="minorBidi"/>
          <w:b w:val="0"/>
          <w:szCs w:val="22"/>
        </w:rPr>
      </w:pPr>
      <w:r>
        <w:t xml:space="preserve">Division 4 — Prohibition and </w:t>
      </w:r>
      <w:r w:rsidRPr="00AA3DF9">
        <w:rPr>
          <w:i/>
        </w:rPr>
        <w:t>procedendo</w:t>
      </w:r>
    </w:p>
    <w:p w:rsidR="006169FD" w:rsidRDefault="006169FD">
      <w:pPr>
        <w:pStyle w:val="TOC8"/>
        <w:rPr>
          <w:rFonts w:asciiTheme="minorHAnsi" w:eastAsiaTheme="minorEastAsia" w:hAnsiTheme="minorHAnsi" w:cstheme="minorBidi"/>
          <w:szCs w:val="22"/>
        </w:rPr>
      </w:pPr>
      <w:r>
        <w:t>30</w:t>
      </w:r>
      <w:r w:rsidRPr="00AA3DF9">
        <w:rPr>
          <w:snapToGrid w:val="0"/>
        </w:rPr>
        <w:t>.</w:t>
      </w:r>
      <w:r w:rsidRPr="00AA3DF9">
        <w:rPr>
          <w:snapToGrid w:val="0"/>
        </w:rPr>
        <w:tab/>
        <w:t>Court may direct service of statement of claim instead of issuing prohibition</w:t>
      </w:r>
      <w:r>
        <w:tab/>
      </w:r>
      <w:r>
        <w:fldChar w:fldCharType="begin"/>
      </w:r>
      <w:r>
        <w:instrText xml:space="preserve"> PAGEREF _Toc75863401 \h </w:instrText>
      </w:r>
      <w:r>
        <w:fldChar w:fldCharType="separate"/>
      </w:r>
      <w:r w:rsidR="00FC1D84">
        <w:t>334</w:t>
      </w:r>
      <w:r>
        <w:fldChar w:fldCharType="end"/>
      </w:r>
    </w:p>
    <w:p w:rsidR="006169FD" w:rsidRDefault="006169FD">
      <w:pPr>
        <w:pStyle w:val="TOC8"/>
        <w:rPr>
          <w:rFonts w:asciiTheme="minorHAnsi" w:eastAsiaTheme="minorEastAsia" w:hAnsiTheme="minorHAnsi" w:cstheme="minorBidi"/>
          <w:szCs w:val="22"/>
        </w:rPr>
      </w:pPr>
      <w:r>
        <w:t>31</w:t>
      </w:r>
      <w:r w:rsidRPr="00AA3DF9">
        <w:rPr>
          <w:snapToGrid w:val="0"/>
        </w:rPr>
        <w:t>.</w:t>
      </w:r>
      <w:r w:rsidRPr="00AA3DF9">
        <w:rPr>
          <w:snapToGrid w:val="0"/>
        </w:rPr>
        <w:tab/>
        <w:t>Proceedings on judgment</w:t>
      </w:r>
      <w:r>
        <w:tab/>
      </w:r>
      <w:r>
        <w:fldChar w:fldCharType="begin"/>
      </w:r>
      <w:r>
        <w:instrText xml:space="preserve"> PAGEREF _Toc75863402 \h </w:instrText>
      </w:r>
      <w:r>
        <w:fldChar w:fldCharType="separate"/>
      </w:r>
      <w:r w:rsidR="00FC1D84">
        <w:t>334</w:t>
      </w:r>
      <w:r>
        <w:fldChar w:fldCharType="end"/>
      </w:r>
    </w:p>
    <w:p w:rsidR="006169FD" w:rsidRDefault="006169FD">
      <w:pPr>
        <w:pStyle w:val="TOC8"/>
        <w:rPr>
          <w:rFonts w:asciiTheme="minorHAnsi" w:eastAsiaTheme="minorEastAsia" w:hAnsiTheme="minorHAnsi" w:cstheme="minorBidi"/>
          <w:szCs w:val="22"/>
        </w:rPr>
      </w:pPr>
      <w:r>
        <w:t>32</w:t>
      </w:r>
      <w:r w:rsidRPr="00AA3DF9">
        <w:rPr>
          <w:snapToGrid w:val="0"/>
        </w:rPr>
        <w:t>.</w:t>
      </w:r>
      <w:r w:rsidRPr="00AA3DF9">
        <w:rPr>
          <w:snapToGrid w:val="0"/>
        </w:rPr>
        <w:tab/>
        <w:t xml:space="preserve">Writ of </w:t>
      </w:r>
      <w:r w:rsidRPr="00AA3DF9">
        <w:rPr>
          <w:i/>
          <w:snapToGrid w:val="0"/>
        </w:rPr>
        <w:t>procedendo</w:t>
      </w:r>
      <w:r>
        <w:tab/>
      </w:r>
      <w:r>
        <w:fldChar w:fldCharType="begin"/>
      </w:r>
      <w:r>
        <w:instrText xml:space="preserve"> PAGEREF _Toc75863403 \h </w:instrText>
      </w:r>
      <w:r>
        <w:fldChar w:fldCharType="separate"/>
      </w:r>
      <w:r w:rsidR="00FC1D84">
        <w:t>334</w:t>
      </w:r>
      <w:r>
        <w:fldChar w:fldCharType="end"/>
      </w:r>
    </w:p>
    <w:p w:rsidR="006169FD" w:rsidRDefault="006169FD">
      <w:pPr>
        <w:pStyle w:val="TOC8"/>
        <w:rPr>
          <w:rFonts w:asciiTheme="minorHAnsi" w:eastAsiaTheme="minorEastAsia" w:hAnsiTheme="minorHAnsi" w:cstheme="minorBidi"/>
          <w:szCs w:val="22"/>
        </w:rPr>
      </w:pPr>
      <w:r>
        <w:t>33</w:t>
      </w:r>
      <w:r w:rsidRPr="00AA3DF9">
        <w:rPr>
          <w:snapToGrid w:val="0"/>
        </w:rPr>
        <w:t>.</w:t>
      </w:r>
      <w:r w:rsidRPr="00AA3DF9">
        <w:rPr>
          <w:snapToGrid w:val="0"/>
        </w:rPr>
        <w:tab/>
        <w:t>Prohibition by order</w:t>
      </w:r>
      <w:r>
        <w:tab/>
      </w:r>
      <w:r>
        <w:fldChar w:fldCharType="begin"/>
      </w:r>
      <w:r>
        <w:instrText xml:space="preserve"> PAGEREF _Toc75863404 \h </w:instrText>
      </w:r>
      <w:r>
        <w:fldChar w:fldCharType="separate"/>
      </w:r>
      <w:r w:rsidR="00FC1D84">
        <w:t>335</w:t>
      </w:r>
      <w:r>
        <w:fldChar w:fldCharType="end"/>
      </w:r>
    </w:p>
    <w:p w:rsidR="006169FD" w:rsidRDefault="006169FD">
      <w:pPr>
        <w:pStyle w:val="TOC4"/>
        <w:tabs>
          <w:tab w:val="right" w:leader="dot" w:pos="7077"/>
        </w:tabs>
        <w:rPr>
          <w:rFonts w:asciiTheme="minorHAnsi" w:eastAsiaTheme="minorEastAsia" w:hAnsiTheme="minorHAnsi" w:cstheme="minorBidi"/>
          <w:b w:val="0"/>
          <w:szCs w:val="22"/>
        </w:rPr>
      </w:pPr>
      <w:r>
        <w:lastRenderedPageBreak/>
        <w:t>Division 5 — </w:t>
      </w:r>
      <w:r w:rsidRPr="00AA3DF9">
        <w:rPr>
          <w:i/>
          <w:iCs/>
        </w:rPr>
        <w:t>Quo warranto</w:t>
      </w:r>
    </w:p>
    <w:p w:rsidR="006169FD" w:rsidRDefault="006169FD">
      <w:pPr>
        <w:pStyle w:val="TOC8"/>
        <w:rPr>
          <w:rFonts w:asciiTheme="minorHAnsi" w:eastAsiaTheme="minorEastAsia" w:hAnsiTheme="minorHAnsi" w:cstheme="minorBidi"/>
          <w:szCs w:val="22"/>
        </w:rPr>
      </w:pPr>
      <w:r>
        <w:t>34A.</w:t>
      </w:r>
      <w:r>
        <w:tab/>
        <w:t xml:space="preserve">Application for information of </w:t>
      </w:r>
      <w:r w:rsidRPr="00AA3DF9">
        <w:rPr>
          <w:i/>
        </w:rPr>
        <w:t>quo warranto</w:t>
      </w:r>
      <w:r>
        <w:tab/>
      </w:r>
      <w:r>
        <w:fldChar w:fldCharType="begin"/>
      </w:r>
      <w:r>
        <w:instrText xml:space="preserve"> PAGEREF _Toc75863406 \h </w:instrText>
      </w:r>
      <w:r>
        <w:fldChar w:fldCharType="separate"/>
      </w:r>
      <w:r w:rsidR="00FC1D84">
        <w:t>335</w:t>
      </w:r>
      <w:r>
        <w:fldChar w:fldCharType="end"/>
      </w:r>
    </w:p>
    <w:p w:rsidR="006169FD" w:rsidRDefault="006169FD">
      <w:pPr>
        <w:pStyle w:val="TOC8"/>
        <w:rPr>
          <w:rFonts w:asciiTheme="minorHAnsi" w:eastAsiaTheme="minorEastAsia" w:hAnsiTheme="minorHAnsi" w:cstheme="minorBidi"/>
          <w:szCs w:val="22"/>
        </w:rPr>
      </w:pPr>
      <w:r>
        <w:t>34</w:t>
      </w:r>
      <w:r w:rsidRPr="00AA3DF9">
        <w:rPr>
          <w:snapToGrid w:val="0"/>
        </w:rPr>
        <w:t>.</w:t>
      </w:r>
      <w:r w:rsidRPr="00AA3DF9">
        <w:rPr>
          <w:snapToGrid w:val="0"/>
        </w:rPr>
        <w:tab/>
        <w:t>Rules of court applicable</w:t>
      </w:r>
      <w:r>
        <w:tab/>
      </w:r>
      <w:r>
        <w:fldChar w:fldCharType="begin"/>
      </w:r>
      <w:r>
        <w:instrText xml:space="preserve"> PAGEREF _Toc75863407 \h </w:instrText>
      </w:r>
      <w:r>
        <w:fldChar w:fldCharType="separate"/>
      </w:r>
      <w:r w:rsidR="00FC1D84">
        <w:t>335</w:t>
      </w:r>
      <w:r>
        <w:fldChar w:fldCharType="end"/>
      </w:r>
    </w:p>
    <w:p w:rsidR="006169FD" w:rsidRDefault="006169FD">
      <w:pPr>
        <w:pStyle w:val="TOC8"/>
        <w:rPr>
          <w:rFonts w:asciiTheme="minorHAnsi" w:eastAsiaTheme="minorEastAsia" w:hAnsiTheme="minorHAnsi" w:cstheme="minorBidi"/>
          <w:szCs w:val="22"/>
        </w:rPr>
      </w:pPr>
      <w:r>
        <w:t>35</w:t>
      </w:r>
      <w:r w:rsidRPr="00AA3DF9">
        <w:rPr>
          <w:snapToGrid w:val="0"/>
        </w:rPr>
        <w:t>.</w:t>
      </w:r>
      <w:r w:rsidRPr="00AA3DF9">
        <w:rPr>
          <w:snapToGrid w:val="0"/>
        </w:rPr>
        <w:tab/>
        <w:t>Signature and service of information</w:t>
      </w:r>
      <w:r>
        <w:tab/>
      </w:r>
      <w:r>
        <w:fldChar w:fldCharType="begin"/>
      </w:r>
      <w:r>
        <w:instrText xml:space="preserve"> PAGEREF _Toc75863408 \h </w:instrText>
      </w:r>
      <w:r>
        <w:fldChar w:fldCharType="separate"/>
      </w:r>
      <w:r w:rsidR="00FC1D84">
        <w:t>335</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 xml:space="preserve">Order 56A — Review orders under the </w:t>
      </w:r>
      <w:r w:rsidRPr="00AA3DF9">
        <w:rPr>
          <w:i/>
        </w:rPr>
        <w:t>Magistrates Court Act 2004</w:t>
      </w:r>
    </w:p>
    <w:p w:rsidR="006169FD" w:rsidRDefault="006169FD">
      <w:pPr>
        <w:pStyle w:val="TOC8"/>
        <w:rPr>
          <w:rFonts w:asciiTheme="minorHAnsi" w:eastAsiaTheme="minorEastAsia" w:hAnsiTheme="minorHAnsi" w:cstheme="minorBidi"/>
          <w:szCs w:val="22"/>
        </w:rPr>
      </w:pPr>
      <w:r>
        <w:t>1.</w:t>
      </w:r>
      <w:r>
        <w:tab/>
        <w:t>Terms used</w:t>
      </w:r>
      <w:r>
        <w:tab/>
      </w:r>
      <w:r>
        <w:fldChar w:fldCharType="begin"/>
      </w:r>
      <w:r>
        <w:instrText xml:space="preserve"> PAGEREF _Toc75863410 \h </w:instrText>
      </w:r>
      <w:r>
        <w:fldChar w:fldCharType="separate"/>
      </w:r>
      <w:r w:rsidR="00FC1D84">
        <w:t>337</w:t>
      </w:r>
      <w:r>
        <w:fldChar w:fldCharType="end"/>
      </w:r>
    </w:p>
    <w:p w:rsidR="006169FD" w:rsidRDefault="006169FD">
      <w:pPr>
        <w:pStyle w:val="TOC8"/>
        <w:rPr>
          <w:rFonts w:asciiTheme="minorHAnsi" w:eastAsiaTheme="minorEastAsia" w:hAnsiTheme="minorHAnsi" w:cstheme="minorBidi"/>
          <w:szCs w:val="22"/>
        </w:rPr>
      </w:pPr>
      <w:r>
        <w:t>2.</w:t>
      </w:r>
      <w:r>
        <w:tab/>
        <w:t>Application for review order, making</w:t>
      </w:r>
      <w:r>
        <w:tab/>
      </w:r>
      <w:r>
        <w:fldChar w:fldCharType="begin"/>
      </w:r>
      <w:r>
        <w:instrText xml:space="preserve"> PAGEREF _Toc75863411 \h </w:instrText>
      </w:r>
      <w:r>
        <w:fldChar w:fldCharType="separate"/>
      </w:r>
      <w:r w:rsidR="00FC1D84">
        <w:t>337</w:t>
      </w:r>
      <w:r>
        <w:fldChar w:fldCharType="end"/>
      </w:r>
    </w:p>
    <w:p w:rsidR="006169FD" w:rsidRDefault="006169FD">
      <w:pPr>
        <w:pStyle w:val="TOC8"/>
        <w:rPr>
          <w:rFonts w:asciiTheme="minorHAnsi" w:eastAsiaTheme="minorEastAsia" w:hAnsiTheme="minorHAnsi" w:cstheme="minorBidi"/>
          <w:szCs w:val="22"/>
        </w:rPr>
      </w:pPr>
      <w:r>
        <w:t>3.</w:t>
      </w:r>
      <w:r>
        <w:tab/>
        <w:t>Application for review order, procedure on</w:t>
      </w:r>
      <w:r>
        <w:tab/>
      </w:r>
      <w:r>
        <w:fldChar w:fldCharType="begin"/>
      </w:r>
      <w:r>
        <w:instrText xml:space="preserve"> PAGEREF _Toc75863412 \h </w:instrText>
      </w:r>
      <w:r>
        <w:fldChar w:fldCharType="separate"/>
      </w:r>
      <w:r w:rsidR="00FC1D84">
        <w:t>338</w:t>
      </w:r>
      <w:r>
        <w:fldChar w:fldCharType="end"/>
      </w:r>
    </w:p>
    <w:p w:rsidR="006169FD" w:rsidRDefault="006169FD">
      <w:pPr>
        <w:pStyle w:val="TOC8"/>
        <w:rPr>
          <w:rFonts w:asciiTheme="minorHAnsi" w:eastAsiaTheme="minorEastAsia" w:hAnsiTheme="minorHAnsi" w:cstheme="minorBidi"/>
          <w:szCs w:val="22"/>
        </w:rPr>
      </w:pPr>
      <w:r>
        <w:t>4.</w:t>
      </w:r>
      <w:r>
        <w:tab/>
        <w:t>Review order, service of</w:t>
      </w:r>
      <w:r>
        <w:tab/>
      </w:r>
      <w:r>
        <w:fldChar w:fldCharType="begin"/>
      </w:r>
      <w:r>
        <w:instrText xml:space="preserve"> PAGEREF _Toc75863413 \h </w:instrText>
      </w:r>
      <w:r>
        <w:fldChar w:fldCharType="separate"/>
      </w:r>
      <w:r w:rsidR="00FC1D84">
        <w:t>339</w:t>
      </w:r>
      <w:r>
        <w:fldChar w:fldCharType="end"/>
      </w:r>
    </w:p>
    <w:p w:rsidR="006169FD" w:rsidRDefault="006169FD">
      <w:pPr>
        <w:pStyle w:val="TOC8"/>
        <w:rPr>
          <w:rFonts w:asciiTheme="minorHAnsi" w:eastAsiaTheme="minorEastAsia" w:hAnsiTheme="minorHAnsi" w:cstheme="minorBidi"/>
          <w:szCs w:val="22"/>
        </w:rPr>
      </w:pPr>
      <w:r>
        <w:t>5.</w:t>
      </w:r>
      <w:r>
        <w:tab/>
        <w:t>Review order, hearing of</w:t>
      </w:r>
      <w:r>
        <w:tab/>
      </w:r>
      <w:r>
        <w:fldChar w:fldCharType="begin"/>
      </w:r>
      <w:r>
        <w:instrText xml:space="preserve"> PAGEREF _Toc75863414 \h </w:instrText>
      </w:r>
      <w:r>
        <w:fldChar w:fldCharType="separate"/>
      </w:r>
      <w:r w:rsidR="00FC1D84">
        <w:t>339</w:t>
      </w:r>
      <w:r>
        <w:fldChar w:fldCharType="end"/>
      </w:r>
    </w:p>
    <w:p w:rsidR="006169FD" w:rsidRDefault="006169FD">
      <w:pPr>
        <w:pStyle w:val="TOC8"/>
        <w:rPr>
          <w:rFonts w:asciiTheme="minorHAnsi" w:eastAsiaTheme="minorEastAsia" w:hAnsiTheme="minorHAnsi" w:cstheme="minorBidi"/>
          <w:szCs w:val="22"/>
        </w:rPr>
      </w:pPr>
      <w:r>
        <w:t>6.</w:t>
      </w:r>
      <w:r>
        <w:tab/>
        <w:t>Final order, making and service of</w:t>
      </w:r>
      <w:r>
        <w:tab/>
      </w:r>
      <w:r>
        <w:fldChar w:fldCharType="begin"/>
      </w:r>
      <w:r>
        <w:instrText xml:space="preserve"> PAGEREF _Toc75863415 \h </w:instrText>
      </w:r>
      <w:r>
        <w:fldChar w:fldCharType="separate"/>
      </w:r>
      <w:r w:rsidR="00FC1D84">
        <w:t>340</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57 — Habeas corpus</w:t>
      </w:r>
    </w:p>
    <w:p w:rsidR="006169FD" w:rsidRDefault="006169FD">
      <w:pPr>
        <w:pStyle w:val="TOC8"/>
        <w:rPr>
          <w:rFonts w:asciiTheme="minorHAnsi" w:eastAsiaTheme="minorEastAsia" w:hAnsiTheme="minorHAnsi" w:cstheme="minorBidi"/>
          <w:szCs w:val="22"/>
        </w:rPr>
      </w:pPr>
      <w:r>
        <w:t>1</w:t>
      </w:r>
      <w:r w:rsidRPr="00AA3DF9">
        <w:rPr>
          <w:snapToGrid w:val="0"/>
        </w:rPr>
        <w:t>.</w:t>
      </w:r>
      <w:r w:rsidRPr="00AA3DF9">
        <w:rPr>
          <w:snapToGrid w:val="0"/>
        </w:rPr>
        <w:tab/>
        <w:t>Application for writ</w:t>
      </w:r>
      <w:r>
        <w:tab/>
      </w:r>
      <w:r>
        <w:fldChar w:fldCharType="begin"/>
      </w:r>
      <w:r>
        <w:instrText xml:space="preserve"> PAGEREF _Toc75863417 \h </w:instrText>
      </w:r>
      <w:r>
        <w:fldChar w:fldCharType="separate"/>
      </w:r>
      <w:r w:rsidR="00FC1D84">
        <w:t>341</w:t>
      </w:r>
      <w:r>
        <w:fldChar w:fldCharType="end"/>
      </w:r>
    </w:p>
    <w:p w:rsidR="006169FD" w:rsidRDefault="006169FD">
      <w:pPr>
        <w:pStyle w:val="TOC8"/>
        <w:rPr>
          <w:rFonts w:asciiTheme="minorHAnsi" w:eastAsiaTheme="minorEastAsia" w:hAnsiTheme="minorHAnsi" w:cstheme="minorBidi"/>
          <w:szCs w:val="22"/>
        </w:rPr>
      </w:pPr>
      <w:r>
        <w:t>2</w:t>
      </w:r>
      <w:r w:rsidRPr="00AA3DF9">
        <w:rPr>
          <w:snapToGrid w:val="0"/>
        </w:rPr>
        <w:t>.</w:t>
      </w:r>
      <w:r w:rsidRPr="00AA3DF9">
        <w:rPr>
          <w:snapToGrid w:val="0"/>
        </w:rPr>
        <w:tab/>
        <w:t xml:space="preserve">Power of Court when </w:t>
      </w:r>
      <w:r w:rsidRPr="00AA3DF9">
        <w:rPr>
          <w:i/>
          <w:snapToGrid w:val="0"/>
        </w:rPr>
        <w:t>ex parte</w:t>
      </w:r>
      <w:r w:rsidRPr="00AA3DF9">
        <w:rPr>
          <w:snapToGrid w:val="0"/>
        </w:rPr>
        <w:t xml:space="preserve"> application made</w:t>
      </w:r>
      <w:r>
        <w:tab/>
      </w:r>
      <w:r>
        <w:fldChar w:fldCharType="begin"/>
      </w:r>
      <w:r>
        <w:instrText xml:space="preserve"> PAGEREF _Toc75863418 \h </w:instrText>
      </w:r>
      <w:r>
        <w:fldChar w:fldCharType="separate"/>
      </w:r>
      <w:r w:rsidR="00FC1D84">
        <w:t>341</w:t>
      </w:r>
      <w:r>
        <w:fldChar w:fldCharType="end"/>
      </w:r>
    </w:p>
    <w:p w:rsidR="006169FD" w:rsidRDefault="006169FD">
      <w:pPr>
        <w:pStyle w:val="TOC8"/>
        <w:rPr>
          <w:rFonts w:asciiTheme="minorHAnsi" w:eastAsiaTheme="minorEastAsia" w:hAnsiTheme="minorHAnsi" w:cstheme="minorBidi"/>
          <w:szCs w:val="22"/>
        </w:rPr>
      </w:pPr>
      <w:r>
        <w:t>3</w:t>
      </w:r>
      <w:r w:rsidRPr="00AA3DF9">
        <w:rPr>
          <w:snapToGrid w:val="0"/>
        </w:rPr>
        <w:t>.</w:t>
      </w:r>
      <w:r w:rsidRPr="00AA3DF9">
        <w:rPr>
          <w:snapToGrid w:val="0"/>
        </w:rPr>
        <w:tab/>
        <w:t>Copies of affidavits to be supplied</w:t>
      </w:r>
      <w:r>
        <w:tab/>
      </w:r>
      <w:r>
        <w:fldChar w:fldCharType="begin"/>
      </w:r>
      <w:r>
        <w:instrText xml:space="preserve"> PAGEREF _Toc75863419 \h </w:instrText>
      </w:r>
      <w:r>
        <w:fldChar w:fldCharType="separate"/>
      </w:r>
      <w:r w:rsidR="00FC1D84">
        <w:t>342</w:t>
      </w:r>
      <w:r>
        <w:fldChar w:fldCharType="end"/>
      </w:r>
    </w:p>
    <w:p w:rsidR="006169FD" w:rsidRDefault="006169FD">
      <w:pPr>
        <w:pStyle w:val="TOC8"/>
        <w:rPr>
          <w:rFonts w:asciiTheme="minorHAnsi" w:eastAsiaTheme="minorEastAsia" w:hAnsiTheme="minorHAnsi" w:cstheme="minorBidi"/>
          <w:szCs w:val="22"/>
        </w:rPr>
      </w:pPr>
      <w:r>
        <w:t>4</w:t>
      </w:r>
      <w:r w:rsidRPr="00AA3DF9">
        <w:rPr>
          <w:snapToGrid w:val="0"/>
        </w:rPr>
        <w:t>.</w:t>
      </w:r>
      <w:r w:rsidRPr="00AA3DF9">
        <w:rPr>
          <w:snapToGrid w:val="0"/>
        </w:rPr>
        <w:tab/>
        <w:t>Court may order release of person restrained</w:t>
      </w:r>
      <w:r>
        <w:tab/>
      </w:r>
      <w:r>
        <w:fldChar w:fldCharType="begin"/>
      </w:r>
      <w:r>
        <w:instrText xml:space="preserve"> PAGEREF _Toc75863420 \h </w:instrText>
      </w:r>
      <w:r>
        <w:fldChar w:fldCharType="separate"/>
      </w:r>
      <w:r w:rsidR="00FC1D84">
        <w:t>342</w:t>
      </w:r>
      <w:r>
        <w:fldChar w:fldCharType="end"/>
      </w:r>
    </w:p>
    <w:p w:rsidR="006169FD" w:rsidRDefault="006169FD">
      <w:pPr>
        <w:pStyle w:val="TOC8"/>
        <w:rPr>
          <w:rFonts w:asciiTheme="minorHAnsi" w:eastAsiaTheme="minorEastAsia" w:hAnsiTheme="minorHAnsi" w:cstheme="minorBidi"/>
          <w:szCs w:val="22"/>
        </w:rPr>
      </w:pPr>
      <w:r>
        <w:t>5</w:t>
      </w:r>
      <w:r w:rsidRPr="00AA3DF9">
        <w:rPr>
          <w:snapToGrid w:val="0"/>
        </w:rPr>
        <w:t>.</w:t>
      </w:r>
      <w:r w:rsidRPr="00AA3DF9">
        <w:rPr>
          <w:snapToGrid w:val="0"/>
        </w:rPr>
        <w:tab/>
        <w:t>Signed copy of writ to be filed</w:t>
      </w:r>
      <w:r>
        <w:tab/>
      </w:r>
      <w:r>
        <w:fldChar w:fldCharType="begin"/>
      </w:r>
      <w:r>
        <w:instrText xml:space="preserve"> PAGEREF _Toc75863421 \h </w:instrText>
      </w:r>
      <w:r>
        <w:fldChar w:fldCharType="separate"/>
      </w:r>
      <w:r w:rsidR="00FC1D84">
        <w:t>342</w:t>
      </w:r>
      <w:r>
        <w:fldChar w:fldCharType="end"/>
      </w:r>
    </w:p>
    <w:p w:rsidR="006169FD" w:rsidRDefault="006169FD">
      <w:pPr>
        <w:pStyle w:val="TOC8"/>
        <w:rPr>
          <w:rFonts w:asciiTheme="minorHAnsi" w:eastAsiaTheme="minorEastAsia" w:hAnsiTheme="minorHAnsi" w:cstheme="minorBidi"/>
          <w:szCs w:val="22"/>
        </w:rPr>
      </w:pPr>
      <w:r>
        <w:t>6.</w:t>
      </w:r>
      <w:r>
        <w:tab/>
        <w:t>Order for issue of writ, contents of</w:t>
      </w:r>
      <w:r>
        <w:tab/>
      </w:r>
      <w:r>
        <w:fldChar w:fldCharType="begin"/>
      </w:r>
      <w:r>
        <w:instrText xml:space="preserve"> PAGEREF _Toc75863422 \h </w:instrText>
      </w:r>
      <w:r>
        <w:fldChar w:fldCharType="separate"/>
      </w:r>
      <w:r w:rsidR="00FC1D84">
        <w:t>343</w:t>
      </w:r>
      <w:r>
        <w:fldChar w:fldCharType="end"/>
      </w:r>
    </w:p>
    <w:p w:rsidR="006169FD" w:rsidRDefault="006169FD">
      <w:pPr>
        <w:pStyle w:val="TOC8"/>
        <w:rPr>
          <w:rFonts w:asciiTheme="minorHAnsi" w:eastAsiaTheme="minorEastAsia" w:hAnsiTheme="minorHAnsi" w:cstheme="minorBidi"/>
          <w:szCs w:val="22"/>
        </w:rPr>
      </w:pPr>
      <w:r>
        <w:t>7</w:t>
      </w:r>
      <w:r w:rsidRPr="00AA3DF9">
        <w:rPr>
          <w:snapToGrid w:val="0"/>
        </w:rPr>
        <w:t>.</w:t>
      </w:r>
      <w:r w:rsidRPr="00AA3DF9">
        <w:rPr>
          <w:snapToGrid w:val="0"/>
        </w:rPr>
        <w:tab/>
        <w:t>Service of writ and notice</w:t>
      </w:r>
      <w:r>
        <w:tab/>
      </w:r>
      <w:r>
        <w:fldChar w:fldCharType="begin"/>
      </w:r>
      <w:r>
        <w:instrText xml:space="preserve"> PAGEREF _Toc75863423 \h </w:instrText>
      </w:r>
      <w:r>
        <w:fldChar w:fldCharType="separate"/>
      </w:r>
      <w:r w:rsidR="00FC1D84">
        <w:t>343</w:t>
      </w:r>
      <w:r>
        <w:fldChar w:fldCharType="end"/>
      </w:r>
    </w:p>
    <w:p w:rsidR="006169FD" w:rsidRDefault="006169FD">
      <w:pPr>
        <w:pStyle w:val="TOC8"/>
        <w:rPr>
          <w:rFonts w:asciiTheme="minorHAnsi" w:eastAsiaTheme="minorEastAsia" w:hAnsiTheme="minorHAnsi" w:cstheme="minorBidi"/>
          <w:szCs w:val="22"/>
        </w:rPr>
      </w:pPr>
      <w:r>
        <w:t>8</w:t>
      </w:r>
      <w:r w:rsidRPr="00AA3DF9">
        <w:rPr>
          <w:snapToGrid w:val="0"/>
        </w:rPr>
        <w:t>.</w:t>
      </w:r>
      <w:r w:rsidRPr="00AA3DF9">
        <w:rPr>
          <w:snapToGrid w:val="0"/>
        </w:rPr>
        <w:tab/>
        <w:t>Return to writ of habeas corpus</w:t>
      </w:r>
      <w:r>
        <w:tab/>
      </w:r>
      <w:r>
        <w:fldChar w:fldCharType="begin"/>
      </w:r>
      <w:r>
        <w:instrText xml:space="preserve"> PAGEREF _Toc75863424 \h </w:instrText>
      </w:r>
      <w:r>
        <w:fldChar w:fldCharType="separate"/>
      </w:r>
      <w:r w:rsidR="00FC1D84">
        <w:t>344</w:t>
      </w:r>
      <w:r>
        <w:fldChar w:fldCharType="end"/>
      </w:r>
    </w:p>
    <w:p w:rsidR="006169FD" w:rsidRDefault="006169FD">
      <w:pPr>
        <w:pStyle w:val="TOC8"/>
        <w:rPr>
          <w:rFonts w:asciiTheme="minorHAnsi" w:eastAsiaTheme="minorEastAsia" w:hAnsiTheme="minorHAnsi" w:cstheme="minorBidi"/>
          <w:szCs w:val="22"/>
        </w:rPr>
      </w:pPr>
      <w:r>
        <w:t>9</w:t>
      </w:r>
      <w:r w:rsidRPr="00AA3DF9">
        <w:rPr>
          <w:snapToGrid w:val="0"/>
        </w:rPr>
        <w:t>.</w:t>
      </w:r>
      <w:r w:rsidRPr="00AA3DF9">
        <w:rPr>
          <w:snapToGrid w:val="0"/>
        </w:rPr>
        <w:tab/>
        <w:t>Procedure on hearing</w:t>
      </w:r>
      <w:r>
        <w:tab/>
      </w:r>
      <w:r>
        <w:fldChar w:fldCharType="begin"/>
      </w:r>
      <w:r>
        <w:instrText xml:space="preserve"> PAGEREF _Toc75863425 \h </w:instrText>
      </w:r>
      <w:r>
        <w:fldChar w:fldCharType="separate"/>
      </w:r>
      <w:r w:rsidR="00FC1D84">
        <w:t>344</w:t>
      </w:r>
      <w:r>
        <w:fldChar w:fldCharType="end"/>
      </w:r>
    </w:p>
    <w:p w:rsidR="006169FD" w:rsidRDefault="006169FD">
      <w:pPr>
        <w:pStyle w:val="TOC8"/>
        <w:rPr>
          <w:rFonts w:asciiTheme="minorHAnsi" w:eastAsiaTheme="minorEastAsia" w:hAnsiTheme="minorHAnsi" w:cstheme="minorBidi"/>
          <w:szCs w:val="22"/>
        </w:rPr>
      </w:pPr>
      <w:r>
        <w:t>10</w:t>
      </w:r>
      <w:r w:rsidRPr="00AA3DF9">
        <w:rPr>
          <w:snapToGrid w:val="0"/>
        </w:rPr>
        <w:t>.</w:t>
      </w:r>
      <w:r w:rsidRPr="00AA3DF9">
        <w:rPr>
          <w:snapToGrid w:val="0"/>
        </w:rPr>
        <w:tab/>
        <w:t>Form of writ</w:t>
      </w:r>
      <w:r>
        <w:tab/>
      </w:r>
      <w:r>
        <w:fldChar w:fldCharType="begin"/>
      </w:r>
      <w:r>
        <w:instrText xml:space="preserve"> PAGEREF _Toc75863426 \h </w:instrText>
      </w:r>
      <w:r>
        <w:fldChar w:fldCharType="separate"/>
      </w:r>
      <w:r w:rsidR="00FC1D84">
        <w:t>344</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58 — Proceedings by originating summons</w:t>
      </w:r>
    </w:p>
    <w:p w:rsidR="006169FD" w:rsidRDefault="006169FD">
      <w:pPr>
        <w:pStyle w:val="TOC4"/>
        <w:tabs>
          <w:tab w:val="right" w:leader="dot" w:pos="7077"/>
        </w:tabs>
        <w:rPr>
          <w:rFonts w:asciiTheme="minorHAnsi" w:eastAsiaTheme="minorEastAsia" w:hAnsiTheme="minorHAnsi" w:cstheme="minorBidi"/>
          <w:b w:val="0"/>
          <w:szCs w:val="22"/>
        </w:rPr>
      </w:pPr>
      <w:r>
        <w:t>Division 1 — Introductory</w:t>
      </w:r>
    </w:p>
    <w:p w:rsidR="006169FD" w:rsidRDefault="006169FD">
      <w:pPr>
        <w:pStyle w:val="TOC8"/>
        <w:rPr>
          <w:rFonts w:asciiTheme="minorHAnsi" w:eastAsiaTheme="minorEastAsia" w:hAnsiTheme="minorHAnsi" w:cstheme="minorBidi"/>
          <w:szCs w:val="22"/>
        </w:rPr>
      </w:pPr>
      <w:r>
        <w:t>1</w:t>
      </w:r>
      <w:r w:rsidRPr="00AA3DF9">
        <w:rPr>
          <w:snapToGrid w:val="0"/>
        </w:rPr>
        <w:t>.</w:t>
      </w:r>
      <w:r w:rsidRPr="00AA3DF9">
        <w:rPr>
          <w:snapToGrid w:val="0"/>
        </w:rPr>
        <w:tab/>
        <w:t>Which proceedings to be commenced by originating summons</w:t>
      </w:r>
      <w:r>
        <w:tab/>
      </w:r>
      <w:r>
        <w:fldChar w:fldCharType="begin"/>
      </w:r>
      <w:r>
        <w:instrText xml:space="preserve"> PAGEREF _Toc75863429 \h </w:instrText>
      </w:r>
      <w:r>
        <w:fldChar w:fldCharType="separate"/>
      </w:r>
      <w:r w:rsidR="00FC1D84">
        <w:t>345</w:t>
      </w:r>
      <w:r>
        <w:fldChar w:fldCharType="end"/>
      </w:r>
    </w:p>
    <w:p w:rsidR="006169FD" w:rsidRDefault="006169FD">
      <w:pPr>
        <w:pStyle w:val="TOC4"/>
        <w:tabs>
          <w:tab w:val="right" w:leader="dot" w:pos="7077"/>
        </w:tabs>
        <w:rPr>
          <w:rFonts w:asciiTheme="minorHAnsi" w:eastAsiaTheme="minorEastAsia" w:hAnsiTheme="minorHAnsi" w:cstheme="minorBidi"/>
          <w:b w:val="0"/>
          <w:szCs w:val="22"/>
        </w:rPr>
      </w:pPr>
      <w:r>
        <w:t>Division 2 — Administration and trusts</w:t>
      </w:r>
    </w:p>
    <w:p w:rsidR="006169FD" w:rsidRDefault="006169FD">
      <w:pPr>
        <w:pStyle w:val="TOC8"/>
        <w:rPr>
          <w:rFonts w:asciiTheme="minorHAnsi" w:eastAsiaTheme="minorEastAsia" w:hAnsiTheme="minorHAnsi" w:cstheme="minorBidi"/>
          <w:szCs w:val="22"/>
        </w:rPr>
      </w:pPr>
      <w:r>
        <w:t>2</w:t>
      </w:r>
      <w:r w:rsidRPr="00AA3DF9">
        <w:rPr>
          <w:snapToGrid w:val="0"/>
        </w:rPr>
        <w:t>.</w:t>
      </w:r>
      <w:r w:rsidRPr="00AA3DF9">
        <w:rPr>
          <w:snapToGrid w:val="0"/>
        </w:rPr>
        <w:tab/>
        <w:t>Executors etc. seeking certain relief without administration</w:t>
      </w:r>
      <w:r>
        <w:tab/>
      </w:r>
      <w:r>
        <w:fldChar w:fldCharType="begin"/>
      </w:r>
      <w:r>
        <w:instrText xml:space="preserve"> PAGEREF _Toc75863431 \h </w:instrText>
      </w:r>
      <w:r>
        <w:fldChar w:fldCharType="separate"/>
      </w:r>
      <w:r w:rsidR="00FC1D84">
        <w:t>345</w:t>
      </w:r>
      <w:r>
        <w:fldChar w:fldCharType="end"/>
      </w:r>
    </w:p>
    <w:p w:rsidR="006169FD" w:rsidRDefault="006169FD">
      <w:pPr>
        <w:pStyle w:val="TOC8"/>
        <w:rPr>
          <w:rFonts w:asciiTheme="minorHAnsi" w:eastAsiaTheme="minorEastAsia" w:hAnsiTheme="minorHAnsi" w:cstheme="minorBidi"/>
          <w:szCs w:val="22"/>
        </w:rPr>
      </w:pPr>
      <w:r>
        <w:t>3</w:t>
      </w:r>
      <w:r w:rsidRPr="00AA3DF9">
        <w:rPr>
          <w:snapToGrid w:val="0"/>
        </w:rPr>
        <w:t>.</w:t>
      </w:r>
      <w:r w:rsidRPr="00AA3DF9">
        <w:rPr>
          <w:snapToGrid w:val="0"/>
        </w:rPr>
        <w:tab/>
        <w:t>Executors etc. applying for administration</w:t>
      </w:r>
      <w:r>
        <w:tab/>
      </w:r>
      <w:r>
        <w:fldChar w:fldCharType="begin"/>
      </w:r>
      <w:r>
        <w:instrText xml:space="preserve"> PAGEREF _Toc75863432 \h </w:instrText>
      </w:r>
      <w:r>
        <w:fldChar w:fldCharType="separate"/>
      </w:r>
      <w:r w:rsidR="00FC1D84">
        <w:t>346</w:t>
      </w:r>
      <w:r>
        <w:fldChar w:fldCharType="end"/>
      </w:r>
    </w:p>
    <w:p w:rsidR="006169FD" w:rsidRDefault="006169FD">
      <w:pPr>
        <w:pStyle w:val="TOC8"/>
        <w:rPr>
          <w:rFonts w:asciiTheme="minorHAnsi" w:eastAsiaTheme="minorEastAsia" w:hAnsiTheme="minorHAnsi" w:cstheme="minorBidi"/>
          <w:szCs w:val="22"/>
        </w:rPr>
      </w:pPr>
      <w:r>
        <w:t>4</w:t>
      </w:r>
      <w:r w:rsidRPr="00AA3DF9">
        <w:rPr>
          <w:snapToGrid w:val="0"/>
        </w:rPr>
        <w:t>.</w:t>
      </w:r>
      <w:r w:rsidRPr="00AA3DF9">
        <w:rPr>
          <w:snapToGrid w:val="0"/>
        </w:rPr>
        <w:tab/>
        <w:t>Service of summons issued under r. 2 or 3</w:t>
      </w:r>
      <w:r>
        <w:tab/>
      </w:r>
      <w:r>
        <w:fldChar w:fldCharType="begin"/>
      </w:r>
      <w:r>
        <w:instrText xml:space="preserve"> PAGEREF _Toc75863433 \h </w:instrText>
      </w:r>
      <w:r>
        <w:fldChar w:fldCharType="separate"/>
      </w:r>
      <w:r w:rsidR="00FC1D84">
        <w:t>346</w:t>
      </w:r>
      <w:r>
        <w:fldChar w:fldCharType="end"/>
      </w:r>
    </w:p>
    <w:p w:rsidR="006169FD" w:rsidRDefault="006169FD">
      <w:pPr>
        <w:pStyle w:val="TOC8"/>
        <w:rPr>
          <w:rFonts w:asciiTheme="minorHAnsi" w:eastAsiaTheme="minorEastAsia" w:hAnsiTheme="minorHAnsi" w:cstheme="minorBidi"/>
          <w:szCs w:val="22"/>
        </w:rPr>
      </w:pPr>
      <w:r>
        <w:t>5</w:t>
      </w:r>
      <w:r w:rsidRPr="00AA3DF9">
        <w:rPr>
          <w:snapToGrid w:val="0"/>
        </w:rPr>
        <w:t>.</w:t>
      </w:r>
      <w:r w:rsidRPr="00AA3DF9">
        <w:rPr>
          <w:snapToGrid w:val="0"/>
        </w:rPr>
        <w:tab/>
        <w:t>Decision without judgment for administration</w:t>
      </w:r>
      <w:r>
        <w:tab/>
      </w:r>
      <w:r>
        <w:fldChar w:fldCharType="begin"/>
      </w:r>
      <w:r>
        <w:instrText xml:space="preserve"> PAGEREF _Toc75863434 \h </w:instrText>
      </w:r>
      <w:r>
        <w:fldChar w:fldCharType="separate"/>
      </w:r>
      <w:r w:rsidR="00FC1D84">
        <w:t>347</w:t>
      </w:r>
      <w:r>
        <w:fldChar w:fldCharType="end"/>
      </w:r>
    </w:p>
    <w:p w:rsidR="006169FD" w:rsidRDefault="006169FD">
      <w:pPr>
        <w:pStyle w:val="TOC8"/>
        <w:rPr>
          <w:rFonts w:asciiTheme="minorHAnsi" w:eastAsiaTheme="minorEastAsia" w:hAnsiTheme="minorHAnsi" w:cstheme="minorBidi"/>
          <w:szCs w:val="22"/>
        </w:rPr>
      </w:pPr>
      <w:r>
        <w:t>6</w:t>
      </w:r>
      <w:r w:rsidRPr="00AA3DF9">
        <w:rPr>
          <w:snapToGrid w:val="0"/>
        </w:rPr>
        <w:t>.</w:t>
      </w:r>
      <w:r w:rsidRPr="00AA3DF9">
        <w:rPr>
          <w:snapToGrid w:val="0"/>
        </w:rPr>
        <w:tab/>
        <w:t>Orders which may be made on application for administration etc. of trusts</w:t>
      </w:r>
      <w:r>
        <w:tab/>
      </w:r>
      <w:r>
        <w:fldChar w:fldCharType="begin"/>
      </w:r>
      <w:r>
        <w:instrText xml:space="preserve"> PAGEREF _Toc75863435 \h </w:instrText>
      </w:r>
      <w:r>
        <w:fldChar w:fldCharType="separate"/>
      </w:r>
      <w:r w:rsidR="00FC1D84">
        <w:t>347</w:t>
      </w:r>
      <w:r>
        <w:fldChar w:fldCharType="end"/>
      </w:r>
    </w:p>
    <w:p w:rsidR="006169FD" w:rsidRDefault="006169FD">
      <w:pPr>
        <w:pStyle w:val="TOC8"/>
        <w:rPr>
          <w:rFonts w:asciiTheme="minorHAnsi" w:eastAsiaTheme="minorEastAsia" w:hAnsiTheme="minorHAnsi" w:cstheme="minorBidi"/>
          <w:szCs w:val="22"/>
        </w:rPr>
      </w:pPr>
      <w:r>
        <w:lastRenderedPageBreak/>
        <w:t>7</w:t>
      </w:r>
      <w:r w:rsidRPr="00AA3DF9">
        <w:rPr>
          <w:snapToGrid w:val="0"/>
        </w:rPr>
        <w:t>.</w:t>
      </w:r>
      <w:r w:rsidRPr="00AA3DF9">
        <w:rPr>
          <w:snapToGrid w:val="0"/>
        </w:rPr>
        <w:tab/>
        <w:t>Interference with discretion of trustee etc.</w:t>
      </w:r>
      <w:r>
        <w:tab/>
      </w:r>
      <w:r>
        <w:fldChar w:fldCharType="begin"/>
      </w:r>
      <w:r>
        <w:instrText xml:space="preserve"> PAGEREF _Toc75863436 \h </w:instrText>
      </w:r>
      <w:r>
        <w:fldChar w:fldCharType="separate"/>
      </w:r>
      <w:r w:rsidR="00FC1D84">
        <w:t>348</w:t>
      </w:r>
      <w:r>
        <w:fldChar w:fldCharType="end"/>
      </w:r>
    </w:p>
    <w:p w:rsidR="006169FD" w:rsidRDefault="006169FD">
      <w:pPr>
        <w:pStyle w:val="TOC8"/>
        <w:rPr>
          <w:rFonts w:asciiTheme="minorHAnsi" w:eastAsiaTheme="minorEastAsia" w:hAnsiTheme="minorHAnsi" w:cstheme="minorBidi"/>
          <w:szCs w:val="22"/>
        </w:rPr>
      </w:pPr>
      <w:r>
        <w:t>8</w:t>
      </w:r>
      <w:r w:rsidRPr="00AA3DF9">
        <w:rPr>
          <w:snapToGrid w:val="0"/>
        </w:rPr>
        <w:t>.</w:t>
      </w:r>
      <w:r w:rsidRPr="00AA3DF9">
        <w:rPr>
          <w:snapToGrid w:val="0"/>
        </w:rPr>
        <w:tab/>
        <w:t>Conduct of sale of trust property</w:t>
      </w:r>
      <w:r>
        <w:tab/>
      </w:r>
      <w:r>
        <w:fldChar w:fldCharType="begin"/>
      </w:r>
      <w:r>
        <w:instrText xml:space="preserve"> PAGEREF _Toc75863437 \h </w:instrText>
      </w:r>
      <w:r>
        <w:fldChar w:fldCharType="separate"/>
      </w:r>
      <w:r w:rsidR="00FC1D84">
        <w:t>348</w:t>
      </w:r>
      <w:r>
        <w:fldChar w:fldCharType="end"/>
      </w:r>
    </w:p>
    <w:p w:rsidR="006169FD" w:rsidRDefault="006169FD">
      <w:pPr>
        <w:pStyle w:val="TOC4"/>
        <w:tabs>
          <w:tab w:val="right" w:leader="dot" w:pos="7077"/>
        </w:tabs>
        <w:rPr>
          <w:rFonts w:asciiTheme="minorHAnsi" w:eastAsiaTheme="minorEastAsia" w:hAnsiTheme="minorHAnsi" w:cstheme="minorBidi"/>
          <w:b w:val="0"/>
          <w:szCs w:val="22"/>
        </w:rPr>
      </w:pPr>
      <w:r>
        <w:t>Division 4 — Declaration on originating summons</w:t>
      </w:r>
    </w:p>
    <w:p w:rsidR="006169FD" w:rsidRDefault="006169FD">
      <w:pPr>
        <w:pStyle w:val="TOC8"/>
        <w:rPr>
          <w:rFonts w:asciiTheme="minorHAnsi" w:eastAsiaTheme="minorEastAsia" w:hAnsiTheme="minorHAnsi" w:cstheme="minorBidi"/>
          <w:szCs w:val="22"/>
        </w:rPr>
      </w:pPr>
      <w:r>
        <w:t>10</w:t>
      </w:r>
      <w:r w:rsidRPr="00AA3DF9">
        <w:rPr>
          <w:snapToGrid w:val="0"/>
        </w:rPr>
        <w:t>.</w:t>
      </w:r>
      <w:r w:rsidRPr="00AA3DF9">
        <w:rPr>
          <w:snapToGrid w:val="0"/>
        </w:rPr>
        <w:tab/>
        <w:t>Construction of written instruments</w:t>
      </w:r>
      <w:r>
        <w:tab/>
      </w:r>
      <w:r>
        <w:fldChar w:fldCharType="begin"/>
      </w:r>
      <w:r>
        <w:instrText xml:space="preserve"> PAGEREF _Toc75863439 \h </w:instrText>
      </w:r>
      <w:r>
        <w:fldChar w:fldCharType="separate"/>
      </w:r>
      <w:r w:rsidR="00FC1D84">
        <w:t>348</w:t>
      </w:r>
      <w:r>
        <w:fldChar w:fldCharType="end"/>
      </w:r>
    </w:p>
    <w:p w:rsidR="006169FD" w:rsidRDefault="006169FD">
      <w:pPr>
        <w:pStyle w:val="TOC8"/>
        <w:rPr>
          <w:rFonts w:asciiTheme="minorHAnsi" w:eastAsiaTheme="minorEastAsia" w:hAnsiTheme="minorHAnsi" w:cstheme="minorBidi"/>
          <w:szCs w:val="22"/>
        </w:rPr>
      </w:pPr>
      <w:r>
        <w:t>11</w:t>
      </w:r>
      <w:r w:rsidRPr="00AA3DF9">
        <w:rPr>
          <w:snapToGrid w:val="0"/>
        </w:rPr>
        <w:t>.</w:t>
      </w:r>
      <w:r w:rsidRPr="00AA3DF9">
        <w:rPr>
          <w:snapToGrid w:val="0"/>
        </w:rPr>
        <w:tab/>
        <w:t>Construction or validity of legislation</w:t>
      </w:r>
      <w:r>
        <w:tab/>
      </w:r>
      <w:r>
        <w:fldChar w:fldCharType="begin"/>
      </w:r>
      <w:r>
        <w:instrText xml:space="preserve"> PAGEREF _Toc75863440 \h </w:instrText>
      </w:r>
      <w:r>
        <w:fldChar w:fldCharType="separate"/>
      </w:r>
      <w:r w:rsidR="00FC1D84">
        <w:t>349</w:t>
      </w:r>
      <w:r>
        <w:fldChar w:fldCharType="end"/>
      </w:r>
    </w:p>
    <w:p w:rsidR="006169FD" w:rsidRDefault="006169FD">
      <w:pPr>
        <w:pStyle w:val="TOC8"/>
        <w:rPr>
          <w:rFonts w:asciiTheme="minorHAnsi" w:eastAsiaTheme="minorEastAsia" w:hAnsiTheme="minorHAnsi" w:cstheme="minorBidi"/>
          <w:szCs w:val="22"/>
        </w:rPr>
      </w:pPr>
      <w:r>
        <w:t>12</w:t>
      </w:r>
      <w:r w:rsidRPr="00AA3DF9">
        <w:rPr>
          <w:snapToGrid w:val="0"/>
        </w:rPr>
        <w:t>.</w:t>
      </w:r>
      <w:r w:rsidRPr="00AA3DF9">
        <w:rPr>
          <w:snapToGrid w:val="0"/>
        </w:rPr>
        <w:tab/>
        <w:t>Court may refuse to determine summons in some cases</w:t>
      </w:r>
      <w:r>
        <w:tab/>
      </w:r>
      <w:r>
        <w:fldChar w:fldCharType="begin"/>
      </w:r>
      <w:r>
        <w:instrText xml:space="preserve"> PAGEREF _Toc75863441 \h </w:instrText>
      </w:r>
      <w:r>
        <w:fldChar w:fldCharType="separate"/>
      </w:r>
      <w:r w:rsidR="00FC1D84">
        <w:t>349</w:t>
      </w:r>
      <w:r>
        <w:fldChar w:fldCharType="end"/>
      </w:r>
    </w:p>
    <w:p w:rsidR="006169FD" w:rsidRDefault="006169FD">
      <w:pPr>
        <w:pStyle w:val="TOC8"/>
        <w:rPr>
          <w:rFonts w:asciiTheme="minorHAnsi" w:eastAsiaTheme="minorEastAsia" w:hAnsiTheme="minorHAnsi" w:cstheme="minorBidi"/>
          <w:szCs w:val="22"/>
        </w:rPr>
      </w:pPr>
      <w:r>
        <w:t>13</w:t>
      </w:r>
      <w:r w:rsidRPr="00AA3DF9">
        <w:rPr>
          <w:snapToGrid w:val="0"/>
        </w:rPr>
        <w:t>.</w:t>
      </w:r>
      <w:r w:rsidRPr="00AA3DF9">
        <w:rPr>
          <w:snapToGrid w:val="0"/>
        </w:rPr>
        <w:tab/>
        <w:t>Effect of contracts for sale etc. of land</w:t>
      </w:r>
      <w:r>
        <w:tab/>
      </w:r>
      <w:r>
        <w:fldChar w:fldCharType="begin"/>
      </w:r>
      <w:r>
        <w:instrText xml:space="preserve"> PAGEREF _Toc75863442 \h </w:instrText>
      </w:r>
      <w:r>
        <w:fldChar w:fldCharType="separate"/>
      </w:r>
      <w:r w:rsidR="00FC1D84">
        <w:t>349</w:t>
      </w:r>
      <w:r>
        <w:fldChar w:fldCharType="end"/>
      </w:r>
    </w:p>
    <w:p w:rsidR="006169FD" w:rsidRDefault="006169FD">
      <w:pPr>
        <w:pStyle w:val="TOC4"/>
        <w:tabs>
          <w:tab w:val="right" w:leader="dot" w:pos="7077"/>
        </w:tabs>
        <w:rPr>
          <w:rFonts w:asciiTheme="minorHAnsi" w:eastAsiaTheme="minorEastAsia" w:hAnsiTheme="minorHAnsi" w:cstheme="minorBidi"/>
          <w:b w:val="0"/>
          <w:szCs w:val="22"/>
        </w:rPr>
      </w:pPr>
      <w:r>
        <w:t>Division 5 — General</w:t>
      </w:r>
    </w:p>
    <w:p w:rsidR="006169FD" w:rsidRDefault="006169FD">
      <w:pPr>
        <w:pStyle w:val="TOC8"/>
        <w:rPr>
          <w:rFonts w:asciiTheme="minorHAnsi" w:eastAsiaTheme="minorEastAsia" w:hAnsiTheme="minorHAnsi" w:cstheme="minorBidi"/>
          <w:szCs w:val="22"/>
        </w:rPr>
      </w:pPr>
      <w:r>
        <w:t>14</w:t>
      </w:r>
      <w:r w:rsidRPr="00AA3DF9">
        <w:rPr>
          <w:snapToGrid w:val="0"/>
        </w:rPr>
        <w:t>.</w:t>
      </w:r>
      <w:r w:rsidRPr="00AA3DF9">
        <w:rPr>
          <w:snapToGrid w:val="0"/>
        </w:rPr>
        <w:tab/>
        <w:t>Form and issue of originating summons</w:t>
      </w:r>
      <w:r>
        <w:tab/>
      </w:r>
      <w:r>
        <w:fldChar w:fldCharType="begin"/>
      </w:r>
      <w:r>
        <w:instrText xml:space="preserve"> PAGEREF _Toc75863444 \h </w:instrText>
      </w:r>
      <w:r>
        <w:fldChar w:fldCharType="separate"/>
      </w:r>
      <w:r w:rsidR="00FC1D84">
        <w:t>349</w:t>
      </w:r>
      <w:r>
        <w:fldChar w:fldCharType="end"/>
      </w:r>
    </w:p>
    <w:p w:rsidR="006169FD" w:rsidRDefault="006169FD">
      <w:pPr>
        <w:pStyle w:val="TOC8"/>
        <w:rPr>
          <w:rFonts w:asciiTheme="minorHAnsi" w:eastAsiaTheme="minorEastAsia" w:hAnsiTheme="minorHAnsi" w:cstheme="minorBidi"/>
          <w:szCs w:val="22"/>
        </w:rPr>
      </w:pPr>
      <w:r>
        <w:t>15</w:t>
      </w:r>
      <w:r w:rsidRPr="00AA3DF9">
        <w:rPr>
          <w:snapToGrid w:val="0"/>
        </w:rPr>
        <w:t>.</w:t>
      </w:r>
      <w:r w:rsidRPr="00AA3DF9">
        <w:rPr>
          <w:snapToGrid w:val="0"/>
        </w:rPr>
        <w:tab/>
        <w:t>Order 7 applies to originating summons</w:t>
      </w:r>
      <w:r>
        <w:tab/>
      </w:r>
      <w:r>
        <w:fldChar w:fldCharType="begin"/>
      </w:r>
      <w:r>
        <w:instrText xml:space="preserve"> PAGEREF _Toc75863445 \h </w:instrText>
      </w:r>
      <w:r>
        <w:fldChar w:fldCharType="separate"/>
      </w:r>
      <w:r w:rsidR="00FC1D84">
        <w:t>350</w:t>
      </w:r>
      <w:r>
        <w:fldChar w:fldCharType="end"/>
      </w:r>
    </w:p>
    <w:p w:rsidR="006169FD" w:rsidRDefault="006169FD">
      <w:pPr>
        <w:pStyle w:val="TOC8"/>
        <w:rPr>
          <w:rFonts w:asciiTheme="minorHAnsi" w:eastAsiaTheme="minorEastAsia" w:hAnsiTheme="minorHAnsi" w:cstheme="minorBidi"/>
          <w:szCs w:val="22"/>
        </w:rPr>
      </w:pPr>
      <w:r>
        <w:t>16</w:t>
      </w:r>
      <w:r w:rsidRPr="00AA3DF9">
        <w:rPr>
          <w:snapToGrid w:val="0"/>
        </w:rPr>
        <w:t>.</w:t>
      </w:r>
      <w:r w:rsidRPr="00AA3DF9">
        <w:rPr>
          <w:snapToGrid w:val="0"/>
        </w:rPr>
        <w:tab/>
        <w:t>Time for appearance</w:t>
      </w:r>
      <w:r>
        <w:tab/>
      </w:r>
      <w:r>
        <w:fldChar w:fldCharType="begin"/>
      </w:r>
      <w:r>
        <w:instrText xml:space="preserve"> PAGEREF _Toc75863446 \h </w:instrText>
      </w:r>
      <w:r>
        <w:fldChar w:fldCharType="separate"/>
      </w:r>
      <w:r w:rsidR="00FC1D84">
        <w:t>350</w:t>
      </w:r>
      <w:r>
        <w:fldChar w:fldCharType="end"/>
      </w:r>
    </w:p>
    <w:p w:rsidR="006169FD" w:rsidRDefault="006169FD">
      <w:pPr>
        <w:pStyle w:val="TOC8"/>
        <w:rPr>
          <w:rFonts w:asciiTheme="minorHAnsi" w:eastAsiaTheme="minorEastAsia" w:hAnsiTheme="minorHAnsi" w:cstheme="minorBidi"/>
          <w:szCs w:val="22"/>
        </w:rPr>
      </w:pPr>
      <w:r>
        <w:t>17</w:t>
      </w:r>
      <w:r w:rsidRPr="00AA3DF9">
        <w:rPr>
          <w:snapToGrid w:val="0"/>
        </w:rPr>
        <w:t>.</w:t>
      </w:r>
      <w:r w:rsidRPr="00AA3DF9">
        <w:rPr>
          <w:snapToGrid w:val="0"/>
        </w:rPr>
        <w:tab/>
        <w:t>Entry of appearance</w:t>
      </w:r>
      <w:r>
        <w:tab/>
      </w:r>
      <w:r>
        <w:fldChar w:fldCharType="begin"/>
      </w:r>
      <w:r>
        <w:instrText xml:space="preserve"> PAGEREF _Toc75863447 \h </w:instrText>
      </w:r>
      <w:r>
        <w:fldChar w:fldCharType="separate"/>
      </w:r>
      <w:r w:rsidR="00FC1D84">
        <w:t>350</w:t>
      </w:r>
      <w:r>
        <w:fldChar w:fldCharType="end"/>
      </w:r>
    </w:p>
    <w:p w:rsidR="006169FD" w:rsidRDefault="006169FD">
      <w:pPr>
        <w:pStyle w:val="TOC8"/>
        <w:rPr>
          <w:rFonts w:asciiTheme="minorHAnsi" w:eastAsiaTheme="minorEastAsia" w:hAnsiTheme="minorHAnsi" w:cstheme="minorBidi"/>
          <w:szCs w:val="22"/>
        </w:rPr>
      </w:pPr>
      <w:r>
        <w:t>18</w:t>
      </w:r>
      <w:r w:rsidRPr="00AA3DF9">
        <w:rPr>
          <w:snapToGrid w:val="0"/>
        </w:rPr>
        <w:t>.</w:t>
      </w:r>
      <w:r w:rsidRPr="00AA3DF9">
        <w:rPr>
          <w:snapToGrid w:val="0"/>
        </w:rPr>
        <w:tab/>
        <w:t>When appearance not required</w:t>
      </w:r>
      <w:r>
        <w:tab/>
      </w:r>
      <w:r>
        <w:fldChar w:fldCharType="begin"/>
      </w:r>
      <w:r>
        <w:instrText xml:space="preserve"> PAGEREF _Toc75863448 \h </w:instrText>
      </w:r>
      <w:r>
        <w:fldChar w:fldCharType="separate"/>
      </w:r>
      <w:r w:rsidR="00FC1D84">
        <w:t>351</w:t>
      </w:r>
      <w:r>
        <w:fldChar w:fldCharType="end"/>
      </w:r>
    </w:p>
    <w:p w:rsidR="006169FD" w:rsidRDefault="006169FD">
      <w:pPr>
        <w:pStyle w:val="TOC8"/>
        <w:rPr>
          <w:rFonts w:asciiTheme="minorHAnsi" w:eastAsiaTheme="minorEastAsia" w:hAnsiTheme="minorHAnsi" w:cstheme="minorBidi"/>
          <w:szCs w:val="22"/>
        </w:rPr>
      </w:pPr>
      <w:r>
        <w:t>18A</w:t>
      </w:r>
      <w:r w:rsidRPr="00AA3DF9">
        <w:rPr>
          <w:snapToGrid w:val="0"/>
        </w:rPr>
        <w:t>.</w:t>
      </w:r>
      <w:r w:rsidRPr="00AA3DF9">
        <w:rPr>
          <w:snapToGrid w:val="0"/>
        </w:rPr>
        <w:tab/>
        <w:t>Time for service where appearance not required</w:t>
      </w:r>
      <w:r>
        <w:tab/>
      </w:r>
      <w:r>
        <w:fldChar w:fldCharType="begin"/>
      </w:r>
      <w:r>
        <w:instrText xml:space="preserve"> PAGEREF _Toc75863449 \h </w:instrText>
      </w:r>
      <w:r>
        <w:fldChar w:fldCharType="separate"/>
      </w:r>
      <w:r w:rsidR="00FC1D84">
        <w:t>352</w:t>
      </w:r>
      <w:r>
        <w:fldChar w:fldCharType="end"/>
      </w:r>
    </w:p>
    <w:p w:rsidR="006169FD" w:rsidRDefault="006169FD">
      <w:pPr>
        <w:pStyle w:val="TOC8"/>
        <w:rPr>
          <w:rFonts w:asciiTheme="minorHAnsi" w:eastAsiaTheme="minorEastAsia" w:hAnsiTheme="minorHAnsi" w:cstheme="minorBidi"/>
          <w:szCs w:val="22"/>
        </w:rPr>
      </w:pPr>
      <w:r>
        <w:t>19</w:t>
      </w:r>
      <w:r w:rsidRPr="00AA3DF9">
        <w:rPr>
          <w:snapToGrid w:val="0"/>
        </w:rPr>
        <w:t>.</w:t>
      </w:r>
      <w:r w:rsidRPr="00AA3DF9">
        <w:rPr>
          <w:snapToGrid w:val="0"/>
        </w:rPr>
        <w:tab/>
        <w:t>Fixing time for hearing summons</w:t>
      </w:r>
      <w:r>
        <w:tab/>
      </w:r>
      <w:r>
        <w:fldChar w:fldCharType="begin"/>
      </w:r>
      <w:r>
        <w:instrText xml:space="preserve"> PAGEREF _Toc75863450 \h </w:instrText>
      </w:r>
      <w:r>
        <w:fldChar w:fldCharType="separate"/>
      </w:r>
      <w:r w:rsidR="00FC1D84">
        <w:t>352</w:t>
      </w:r>
      <w:r>
        <w:fldChar w:fldCharType="end"/>
      </w:r>
    </w:p>
    <w:p w:rsidR="006169FD" w:rsidRDefault="006169FD">
      <w:pPr>
        <w:pStyle w:val="TOC8"/>
        <w:rPr>
          <w:rFonts w:asciiTheme="minorHAnsi" w:eastAsiaTheme="minorEastAsia" w:hAnsiTheme="minorHAnsi" w:cstheme="minorBidi"/>
          <w:szCs w:val="22"/>
        </w:rPr>
      </w:pPr>
      <w:r>
        <w:t>21</w:t>
      </w:r>
      <w:r w:rsidRPr="00AA3DF9">
        <w:rPr>
          <w:snapToGrid w:val="0"/>
        </w:rPr>
        <w:t>.</w:t>
      </w:r>
      <w:r w:rsidRPr="00AA3DF9">
        <w:rPr>
          <w:snapToGrid w:val="0"/>
        </w:rPr>
        <w:tab/>
        <w:t>Evidence at hearing to be by affidavit</w:t>
      </w:r>
      <w:r>
        <w:tab/>
      </w:r>
      <w:r>
        <w:fldChar w:fldCharType="begin"/>
      </w:r>
      <w:r>
        <w:instrText xml:space="preserve"> PAGEREF _Toc75863451 \h </w:instrText>
      </w:r>
      <w:r>
        <w:fldChar w:fldCharType="separate"/>
      </w:r>
      <w:r w:rsidR="00FC1D84">
        <w:t>353</w:t>
      </w:r>
      <w:r>
        <w:fldChar w:fldCharType="end"/>
      </w:r>
    </w:p>
    <w:p w:rsidR="006169FD" w:rsidRDefault="006169FD">
      <w:pPr>
        <w:pStyle w:val="TOC8"/>
        <w:rPr>
          <w:rFonts w:asciiTheme="minorHAnsi" w:eastAsiaTheme="minorEastAsia" w:hAnsiTheme="minorHAnsi" w:cstheme="minorBidi"/>
          <w:szCs w:val="22"/>
        </w:rPr>
      </w:pPr>
      <w:r>
        <w:t>22</w:t>
      </w:r>
      <w:r w:rsidRPr="00AA3DF9">
        <w:rPr>
          <w:snapToGrid w:val="0"/>
        </w:rPr>
        <w:t>.</w:t>
      </w:r>
      <w:r w:rsidRPr="00AA3DF9">
        <w:rPr>
          <w:snapToGrid w:val="0"/>
        </w:rPr>
        <w:tab/>
        <w:t>Hearings in absence of party</w:t>
      </w:r>
      <w:r>
        <w:tab/>
      </w:r>
      <w:r>
        <w:fldChar w:fldCharType="begin"/>
      </w:r>
      <w:r>
        <w:instrText xml:space="preserve"> PAGEREF _Toc75863452 \h </w:instrText>
      </w:r>
      <w:r>
        <w:fldChar w:fldCharType="separate"/>
      </w:r>
      <w:r w:rsidR="00FC1D84">
        <w:t>353</w:t>
      </w:r>
      <w:r>
        <w:fldChar w:fldCharType="end"/>
      </w:r>
    </w:p>
    <w:p w:rsidR="006169FD" w:rsidRDefault="006169FD">
      <w:pPr>
        <w:pStyle w:val="TOC8"/>
        <w:rPr>
          <w:rFonts w:asciiTheme="minorHAnsi" w:eastAsiaTheme="minorEastAsia" w:hAnsiTheme="minorHAnsi" w:cstheme="minorBidi"/>
          <w:szCs w:val="22"/>
        </w:rPr>
      </w:pPr>
      <w:r>
        <w:t>23</w:t>
      </w:r>
      <w:r w:rsidRPr="00AA3DF9">
        <w:rPr>
          <w:snapToGrid w:val="0"/>
        </w:rPr>
        <w:t>.</w:t>
      </w:r>
      <w:r w:rsidRPr="00AA3DF9">
        <w:rPr>
          <w:snapToGrid w:val="0"/>
        </w:rPr>
        <w:tab/>
        <w:t xml:space="preserve">Order made </w:t>
      </w:r>
      <w:r w:rsidRPr="00AA3DF9">
        <w:rPr>
          <w:i/>
          <w:snapToGrid w:val="0"/>
        </w:rPr>
        <w:t>ex parte</w:t>
      </w:r>
      <w:r w:rsidRPr="00AA3DF9">
        <w:rPr>
          <w:snapToGrid w:val="0"/>
        </w:rPr>
        <w:t xml:space="preserve"> may be set aside</w:t>
      </w:r>
      <w:r>
        <w:tab/>
      </w:r>
      <w:r>
        <w:fldChar w:fldCharType="begin"/>
      </w:r>
      <w:r>
        <w:instrText xml:space="preserve"> PAGEREF _Toc75863453 \h </w:instrText>
      </w:r>
      <w:r>
        <w:fldChar w:fldCharType="separate"/>
      </w:r>
      <w:r w:rsidR="00FC1D84">
        <w:t>354</w:t>
      </w:r>
      <w:r>
        <w:fldChar w:fldCharType="end"/>
      </w:r>
    </w:p>
    <w:p w:rsidR="006169FD" w:rsidRDefault="006169FD">
      <w:pPr>
        <w:pStyle w:val="TOC8"/>
        <w:rPr>
          <w:rFonts w:asciiTheme="minorHAnsi" w:eastAsiaTheme="minorEastAsia" w:hAnsiTheme="minorHAnsi" w:cstheme="minorBidi"/>
          <w:szCs w:val="22"/>
        </w:rPr>
      </w:pPr>
      <w:r>
        <w:t>24</w:t>
      </w:r>
      <w:r w:rsidRPr="00AA3DF9">
        <w:rPr>
          <w:snapToGrid w:val="0"/>
        </w:rPr>
        <w:t>.</w:t>
      </w:r>
      <w:r w:rsidRPr="00AA3DF9">
        <w:rPr>
          <w:snapToGrid w:val="0"/>
        </w:rPr>
        <w:tab/>
        <w:t>Costs thrown away by non</w:t>
      </w:r>
      <w:r w:rsidRPr="00AA3DF9">
        <w:rPr>
          <w:snapToGrid w:val="0"/>
        </w:rPr>
        <w:noBreakHyphen/>
        <w:t>attendance of party</w:t>
      </w:r>
      <w:r>
        <w:tab/>
      </w:r>
      <w:r>
        <w:fldChar w:fldCharType="begin"/>
      </w:r>
      <w:r>
        <w:instrText xml:space="preserve"> PAGEREF _Toc75863454 \h </w:instrText>
      </w:r>
      <w:r>
        <w:fldChar w:fldCharType="separate"/>
      </w:r>
      <w:r w:rsidR="00FC1D84">
        <w:t>354</w:t>
      </w:r>
      <w:r>
        <w:fldChar w:fldCharType="end"/>
      </w:r>
    </w:p>
    <w:p w:rsidR="006169FD" w:rsidRDefault="006169FD">
      <w:pPr>
        <w:pStyle w:val="TOC8"/>
        <w:rPr>
          <w:rFonts w:asciiTheme="minorHAnsi" w:eastAsiaTheme="minorEastAsia" w:hAnsiTheme="minorHAnsi" w:cstheme="minorBidi"/>
          <w:szCs w:val="22"/>
        </w:rPr>
      </w:pPr>
      <w:r>
        <w:t>25</w:t>
      </w:r>
      <w:r w:rsidRPr="00AA3DF9">
        <w:rPr>
          <w:snapToGrid w:val="0"/>
        </w:rPr>
        <w:t>.</w:t>
      </w:r>
      <w:r w:rsidRPr="00AA3DF9">
        <w:rPr>
          <w:snapToGrid w:val="0"/>
        </w:rPr>
        <w:tab/>
        <w:t>Hearings not completed on hearing date</w:t>
      </w:r>
      <w:r>
        <w:tab/>
      </w:r>
      <w:r>
        <w:fldChar w:fldCharType="begin"/>
      </w:r>
      <w:r>
        <w:instrText xml:space="preserve"> PAGEREF _Toc75863455 \h </w:instrText>
      </w:r>
      <w:r>
        <w:fldChar w:fldCharType="separate"/>
      </w:r>
      <w:r w:rsidR="00FC1D84">
        <w:t>354</w:t>
      </w:r>
      <w:r>
        <w:fldChar w:fldCharType="end"/>
      </w:r>
    </w:p>
    <w:p w:rsidR="006169FD" w:rsidRDefault="006169FD">
      <w:pPr>
        <w:pStyle w:val="TOC8"/>
        <w:rPr>
          <w:rFonts w:asciiTheme="minorHAnsi" w:eastAsiaTheme="minorEastAsia" w:hAnsiTheme="minorHAnsi" w:cstheme="minorBidi"/>
          <w:szCs w:val="22"/>
        </w:rPr>
      </w:pPr>
      <w:r>
        <w:t>26</w:t>
      </w:r>
      <w:r w:rsidRPr="00AA3DF9">
        <w:rPr>
          <w:snapToGrid w:val="0"/>
        </w:rPr>
        <w:t>.</w:t>
      </w:r>
      <w:r w:rsidRPr="00AA3DF9">
        <w:rPr>
          <w:snapToGrid w:val="0"/>
        </w:rPr>
        <w:tab/>
        <w:t>Other matters that may be included in one summons</w:t>
      </w:r>
      <w:r>
        <w:tab/>
      </w:r>
      <w:r>
        <w:fldChar w:fldCharType="begin"/>
      </w:r>
      <w:r>
        <w:instrText xml:space="preserve"> PAGEREF _Toc75863456 \h </w:instrText>
      </w:r>
      <w:r>
        <w:fldChar w:fldCharType="separate"/>
      </w:r>
      <w:r w:rsidR="00FC1D84">
        <w:t>354</w:t>
      </w:r>
      <w:r>
        <w:fldChar w:fldCharType="end"/>
      </w:r>
    </w:p>
    <w:p w:rsidR="006169FD" w:rsidRDefault="006169FD">
      <w:pPr>
        <w:pStyle w:val="TOC8"/>
        <w:rPr>
          <w:rFonts w:asciiTheme="minorHAnsi" w:eastAsiaTheme="minorEastAsia" w:hAnsiTheme="minorHAnsi" w:cstheme="minorBidi"/>
          <w:szCs w:val="22"/>
        </w:rPr>
      </w:pPr>
      <w:r>
        <w:t>27</w:t>
      </w:r>
      <w:r w:rsidRPr="00AA3DF9">
        <w:rPr>
          <w:snapToGrid w:val="0"/>
        </w:rPr>
        <w:t>.</w:t>
      </w:r>
      <w:r w:rsidRPr="00AA3DF9">
        <w:rPr>
          <w:snapToGrid w:val="0"/>
        </w:rPr>
        <w:tab/>
        <w:t>Directions as to hearings, evidence etc.</w:t>
      </w:r>
      <w:r>
        <w:tab/>
      </w:r>
      <w:r>
        <w:fldChar w:fldCharType="begin"/>
      </w:r>
      <w:r>
        <w:instrText xml:space="preserve"> PAGEREF _Toc75863457 \h </w:instrText>
      </w:r>
      <w:r>
        <w:fldChar w:fldCharType="separate"/>
      </w:r>
      <w:r w:rsidR="00FC1D84">
        <w:t>355</w:t>
      </w:r>
      <w:r>
        <w:fldChar w:fldCharType="end"/>
      </w:r>
    </w:p>
    <w:p w:rsidR="006169FD" w:rsidRDefault="006169FD">
      <w:pPr>
        <w:pStyle w:val="TOC8"/>
        <w:rPr>
          <w:rFonts w:asciiTheme="minorHAnsi" w:eastAsiaTheme="minorEastAsia" w:hAnsiTheme="minorHAnsi" w:cstheme="minorBidi"/>
          <w:szCs w:val="22"/>
        </w:rPr>
      </w:pPr>
      <w:r>
        <w:t>28</w:t>
      </w:r>
      <w:r w:rsidRPr="00AA3DF9">
        <w:rPr>
          <w:snapToGrid w:val="0"/>
        </w:rPr>
        <w:t>.</w:t>
      </w:r>
      <w:r w:rsidRPr="00AA3DF9">
        <w:rPr>
          <w:snapToGrid w:val="0"/>
        </w:rPr>
        <w:tab/>
        <w:t>Adjourning hearings</w:t>
      </w:r>
      <w:r>
        <w:tab/>
      </w:r>
      <w:r>
        <w:fldChar w:fldCharType="begin"/>
      </w:r>
      <w:r>
        <w:instrText xml:space="preserve"> PAGEREF _Toc75863458 \h </w:instrText>
      </w:r>
      <w:r>
        <w:fldChar w:fldCharType="separate"/>
      </w:r>
      <w:r w:rsidR="00FC1D84">
        <w:t>355</w:t>
      </w:r>
      <w:r>
        <w:fldChar w:fldCharType="end"/>
      </w:r>
    </w:p>
    <w:p w:rsidR="006169FD" w:rsidRDefault="006169FD">
      <w:pPr>
        <w:pStyle w:val="TOC8"/>
        <w:rPr>
          <w:rFonts w:asciiTheme="minorHAnsi" w:eastAsiaTheme="minorEastAsia" w:hAnsiTheme="minorHAnsi" w:cstheme="minorBidi"/>
          <w:szCs w:val="22"/>
        </w:rPr>
      </w:pPr>
      <w:r>
        <w:t>29</w:t>
      </w:r>
      <w:r w:rsidRPr="00AA3DF9">
        <w:rPr>
          <w:snapToGrid w:val="0"/>
        </w:rPr>
        <w:t>.</w:t>
      </w:r>
      <w:r w:rsidRPr="00AA3DF9">
        <w:rPr>
          <w:snapToGrid w:val="0"/>
        </w:rPr>
        <w:tab/>
        <w:t>Court’s powers and procedure at hearings</w:t>
      </w:r>
      <w:r>
        <w:tab/>
      </w:r>
      <w:r>
        <w:fldChar w:fldCharType="begin"/>
      </w:r>
      <w:r>
        <w:instrText xml:space="preserve"> PAGEREF _Toc75863459 \h </w:instrText>
      </w:r>
      <w:r>
        <w:fldChar w:fldCharType="separate"/>
      </w:r>
      <w:r w:rsidR="00FC1D84">
        <w:t>356</w:t>
      </w:r>
      <w:r>
        <w:fldChar w:fldCharType="end"/>
      </w:r>
    </w:p>
    <w:p w:rsidR="006169FD" w:rsidRDefault="006169FD">
      <w:pPr>
        <w:pStyle w:val="TOC8"/>
        <w:rPr>
          <w:rFonts w:asciiTheme="minorHAnsi" w:eastAsiaTheme="minorEastAsia" w:hAnsiTheme="minorHAnsi" w:cstheme="minorBidi"/>
          <w:szCs w:val="22"/>
        </w:rPr>
      </w:pPr>
      <w:r>
        <w:t>30</w:t>
      </w:r>
      <w:r w:rsidRPr="00AA3DF9">
        <w:rPr>
          <w:snapToGrid w:val="0"/>
        </w:rPr>
        <w:t>.</w:t>
      </w:r>
      <w:r w:rsidRPr="00AA3DF9">
        <w:rPr>
          <w:snapToGrid w:val="0"/>
        </w:rPr>
        <w:tab/>
      </w:r>
      <w:r w:rsidRPr="00AA3DF9">
        <w:rPr>
          <w:i/>
          <w:snapToGrid w:val="0"/>
        </w:rPr>
        <w:t xml:space="preserve">Transfer of Land Act 1893 </w:t>
      </w:r>
      <w:r w:rsidRPr="00AA3DF9">
        <w:rPr>
          <w:snapToGrid w:val="0"/>
        </w:rPr>
        <w:t>s. 129C applications, directions as to</w:t>
      </w:r>
      <w:r>
        <w:tab/>
      </w:r>
      <w:r>
        <w:fldChar w:fldCharType="begin"/>
      </w:r>
      <w:r>
        <w:instrText xml:space="preserve"> PAGEREF _Toc75863460 \h </w:instrText>
      </w:r>
      <w:r>
        <w:fldChar w:fldCharType="separate"/>
      </w:r>
      <w:r w:rsidR="00FC1D84">
        <w:t>356</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59 — Applications and proceedings in chambers</w:t>
      </w:r>
    </w:p>
    <w:p w:rsidR="006169FD" w:rsidRDefault="006169FD">
      <w:pPr>
        <w:pStyle w:val="TOC8"/>
        <w:rPr>
          <w:rFonts w:asciiTheme="minorHAnsi" w:eastAsiaTheme="minorEastAsia" w:hAnsiTheme="minorHAnsi" w:cstheme="minorBidi"/>
          <w:szCs w:val="22"/>
        </w:rPr>
      </w:pPr>
      <w:r>
        <w:t>1</w:t>
      </w:r>
      <w:r w:rsidRPr="00AA3DF9">
        <w:rPr>
          <w:snapToGrid w:val="0"/>
        </w:rPr>
        <w:t>.</w:t>
      </w:r>
      <w:r w:rsidRPr="00AA3DF9">
        <w:rPr>
          <w:snapToGrid w:val="0"/>
        </w:rPr>
        <w:tab/>
        <w:t>Business to be dealt with in chambers</w:t>
      </w:r>
      <w:r>
        <w:tab/>
      </w:r>
      <w:r>
        <w:fldChar w:fldCharType="begin"/>
      </w:r>
      <w:r>
        <w:instrText xml:space="preserve"> PAGEREF _Toc75863462 \h </w:instrText>
      </w:r>
      <w:r>
        <w:fldChar w:fldCharType="separate"/>
      </w:r>
      <w:r w:rsidR="00FC1D84">
        <w:t>358</w:t>
      </w:r>
      <w:r>
        <w:fldChar w:fldCharType="end"/>
      </w:r>
    </w:p>
    <w:p w:rsidR="006169FD" w:rsidRDefault="006169FD">
      <w:pPr>
        <w:pStyle w:val="TOC8"/>
        <w:rPr>
          <w:rFonts w:asciiTheme="minorHAnsi" w:eastAsiaTheme="minorEastAsia" w:hAnsiTheme="minorHAnsi" w:cstheme="minorBidi"/>
          <w:szCs w:val="22"/>
        </w:rPr>
      </w:pPr>
      <w:r>
        <w:t>2</w:t>
      </w:r>
      <w:r w:rsidRPr="00AA3DF9">
        <w:rPr>
          <w:snapToGrid w:val="0"/>
        </w:rPr>
        <w:t>.</w:t>
      </w:r>
      <w:r w:rsidRPr="00AA3DF9">
        <w:rPr>
          <w:snapToGrid w:val="0"/>
        </w:rPr>
        <w:tab/>
        <w:t>Hearings may be in open court or chambers</w:t>
      </w:r>
      <w:r>
        <w:tab/>
      </w:r>
      <w:r>
        <w:fldChar w:fldCharType="begin"/>
      </w:r>
      <w:r>
        <w:instrText xml:space="preserve"> PAGEREF _Toc75863463 \h </w:instrText>
      </w:r>
      <w:r>
        <w:fldChar w:fldCharType="separate"/>
      </w:r>
      <w:r w:rsidR="00FC1D84">
        <w:t>359</w:t>
      </w:r>
      <w:r>
        <w:fldChar w:fldCharType="end"/>
      </w:r>
    </w:p>
    <w:p w:rsidR="006169FD" w:rsidRDefault="006169FD">
      <w:pPr>
        <w:pStyle w:val="TOC8"/>
        <w:rPr>
          <w:rFonts w:asciiTheme="minorHAnsi" w:eastAsiaTheme="minorEastAsia" w:hAnsiTheme="minorHAnsi" w:cstheme="minorBidi"/>
          <w:szCs w:val="22"/>
        </w:rPr>
      </w:pPr>
      <w:r>
        <w:t>3</w:t>
      </w:r>
      <w:r w:rsidRPr="00AA3DF9">
        <w:rPr>
          <w:snapToGrid w:val="0"/>
        </w:rPr>
        <w:t>.</w:t>
      </w:r>
      <w:r w:rsidRPr="00AA3DF9">
        <w:rPr>
          <w:snapToGrid w:val="0"/>
        </w:rPr>
        <w:tab/>
        <w:t>Applications in chambers</w:t>
      </w:r>
      <w:r>
        <w:tab/>
      </w:r>
      <w:r>
        <w:fldChar w:fldCharType="begin"/>
      </w:r>
      <w:r>
        <w:instrText xml:space="preserve"> PAGEREF _Toc75863464 \h </w:instrText>
      </w:r>
      <w:r>
        <w:fldChar w:fldCharType="separate"/>
      </w:r>
      <w:r w:rsidR="00FC1D84">
        <w:t>360</w:t>
      </w:r>
      <w:r>
        <w:fldChar w:fldCharType="end"/>
      </w:r>
    </w:p>
    <w:p w:rsidR="006169FD" w:rsidRDefault="006169FD">
      <w:pPr>
        <w:pStyle w:val="TOC8"/>
        <w:rPr>
          <w:rFonts w:asciiTheme="minorHAnsi" w:eastAsiaTheme="minorEastAsia" w:hAnsiTheme="minorHAnsi" w:cstheme="minorBidi"/>
          <w:szCs w:val="22"/>
        </w:rPr>
      </w:pPr>
      <w:r>
        <w:t>4</w:t>
      </w:r>
      <w:r w:rsidRPr="00AA3DF9">
        <w:rPr>
          <w:snapToGrid w:val="0"/>
        </w:rPr>
        <w:t>.</w:t>
      </w:r>
      <w:r w:rsidRPr="00AA3DF9">
        <w:rPr>
          <w:snapToGrid w:val="0"/>
        </w:rPr>
        <w:tab/>
        <w:t>Form and issue of summons</w:t>
      </w:r>
      <w:r>
        <w:tab/>
      </w:r>
      <w:r>
        <w:fldChar w:fldCharType="begin"/>
      </w:r>
      <w:r>
        <w:instrText xml:space="preserve"> PAGEREF _Toc75863465 \h </w:instrText>
      </w:r>
      <w:r>
        <w:fldChar w:fldCharType="separate"/>
      </w:r>
      <w:r w:rsidR="00FC1D84">
        <w:t>360</w:t>
      </w:r>
      <w:r>
        <w:fldChar w:fldCharType="end"/>
      </w:r>
    </w:p>
    <w:p w:rsidR="006169FD" w:rsidRDefault="006169FD">
      <w:pPr>
        <w:pStyle w:val="TOC8"/>
        <w:rPr>
          <w:rFonts w:asciiTheme="minorHAnsi" w:eastAsiaTheme="minorEastAsia" w:hAnsiTheme="minorHAnsi" w:cstheme="minorBidi"/>
          <w:szCs w:val="22"/>
        </w:rPr>
      </w:pPr>
      <w:r>
        <w:t>5</w:t>
      </w:r>
      <w:r w:rsidRPr="00AA3DF9">
        <w:rPr>
          <w:snapToGrid w:val="0"/>
        </w:rPr>
        <w:t>.</w:t>
      </w:r>
      <w:r w:rsidRPr="00AA3DF9">
        <w:rPr>
          <w:snapToGrid w:val="0"/>
        </w:rPr>
        <w:tab/>
        <w:t>Summons, service of</w:t>
      </w:r>
      <w:r>
        <w:tab/>
      </w:r>
      <w:r>
        <w:fldChar w:fldCharType="begin"/>
      </w:r>
      <w:r>
        <w:instrText xml:space="preserve"> PAGEREF _Toc75863466 \h </w:instrText>
      </w:r>
      <w:r>
        <w:fldChar w:fldCharType="separate"/>
      </w:r>
      <w:r w:rsidR="00FC1D84">
        <w:t>361</w:t>
      </w:r>
      <w:r>
        <w:fldChar w:fldCharType="end"/>
      </w:r>
    </w:p>
    <w:p w:rsidR="006169FD" w:rsidRDefault="006169FD">
      <w:pPr>
        <w:pStyle w:val="TOC8"/>
        <w:rPr>
          <w:rFonts w:asciiTheme="minorHAnsi" w:eastAsiaTheme="minorEastAsia" w:hAnsiTheme="minorHAnsi" w:cstheme="minorBidi"/>
          <w:szCs w:val="22"/>
        </w:rPr>
      </w:pPr>
      <w:r>
        <w:t>6</w:t>
      </w:r>
      <w:r w:rsidRPr="00AA3DF9">
        <w:rPr>
          <w:snapToGrid w:val="0"/>
        </w:rPr>
        <w:t>.</w:t>
      </w:r>
      <w:r w:rsidRPr="00AA3DF9">
        <w:rPr>
          <w:snapToGrid w:val="0"/>
        </w:rPr>
        <w:tab/>
        <w:t>Experts, assistance of</w:t>
      </w:r>
      <w:r>
        <w:tab/>
      </w:r>
      <w:r>
        <w:fldChar w:fldCharType="begin"/>
      </w:r>
      <w:r>
        <w:instrText xml:space="preserve"> PAGEREF _Toc75863467 \h </w:instrText>
      </w:r>
      <w:r>
        <w:fldChar w:fldCharType="separate"/>
      </w:r>
      <w:r w:rsidR="00FC1D84">
        <w:t>361</w:t>
      </w:r>
      <w:r>
        <w:fldChar w:fldCharType="end"/>
      </w:r>
    </w:p>
    <w:p w:rsidR="006169FD" w:rsidRDefault="006169FD">
      <w:pPr>
        <w:pStyle w:val="TOC8"/>
        <w:rPr>
          <w:rFonts w:asciiTheme="minorHAnsi" w:eastAsiaTheme="minorEastAsia" w:hAnsiTheme="minorHAnsi" w:cstheme="minorBidi"/>
          <w:szCs w:val="22"/>
        </w:rPr>
      </w:pPr>
      <w:r>
        <w:t>7</w:t>
      </w:r>
      <w:r w:rsidRPr="00AA3DF9">
        <w:rPr>
          <w:snapToGrid w:val="0"/>
        </w:rPr>
        <w:t>.</w:t>
      </w:r>
      <w:r w:rsidRPr="00AA3DF9">
        <w:rPr>
          <w:snapToGrid w:val="0"/>
        </w:rPr>
        <w:tab/>
        <w:t>Application of O. 58 r. 22 to 28</w:t>
      </w:r>
      <w:r>
        <w:tab/>
      </w:r>
      <w:r>
        <w:fldChar w:fldCharType="begin"/>
      </w:r>
      <w:r>
        <w:instrText xml:space="preserve"> PAGEREF _Toc75863468 \h </w:instrText>
      </w:r>
      <w:r>
        <w:fldChar w:fldCharType="separate"/>
      </w:r>
      <w:r w:rsidR="00FC1D84">
        <w:t>361</w:t>
      </w:r>
      <w:r>
        <w:fldChar w:fldCharType="end"/>
      </w:r>
    </w:p>
    <w:p w:rsidR="006169FD" w:rsidRDefault="006169FD">
      <w:pPr>
        <w:pStyle w:val="TOC8"/>
        <w:rPr>
          <w:rFonts w:asciiTheme="minorHAnsi" w:eastAsiaTheme="minorEastAsia" w:hAnsiTheme="minorHAnsi" w:cstheme="minorBidi"/>
          <w:szCs w:val="22"/>
        </w:rPr>
      </w:pPr>
      <w:r>
        <w:lastRenderedPageBreak/>
        <w:t>8</w:t>
      </w:r>
      <w:r w:rsidRPr="00AA3DF9">
        <w:rPr>
          <w:snapToGrid w:val="0"/>
        </w:rPr>
        <w:t>.</w:t>
      </w:r>
      <w:r w:rsidRPr="00AA3DF9">
        <w:rPr>
          <w:snapToGrid w:val="0"/>
        </w:rPr>
        <w:tab/>
        <w:t>Stay of proceedings, ordering</w:t>
      </w:r>
      <w:r>
        <w:tab/>
      </w:r>
      <w:r>
        <w:fldChar w:fldCharType="begin"/>
      </w:r>
      <w:r>
        <w:instrText xml:space="preserve"> PAGEREF _Toc75863469 \h </w:instrText>
      </w:r>
      <w:r>
        <w:fldChar w:fldCharType="separate"/>
      </w:r>
      <w:r w:rsidR="00FC1D84">
        <w:t>362</w:t>
      </w:r>
      <w:r>
        <w:fldChar w:fldCharType="end"/>
      </w:r>
    </w:p>
    <w:p w:rsidR="006169FD" w:rsidRDefault="006169FD">
      <w:pPr>
        <w:pStyle w:val="TOC8"/>
        <w:rPr>
          <w:rFonts w:asciiTheme="minorHAnsi" w:eastAsiaTheme="minorEastAsia" w:hAnsiTheme="minorHAnsi" w:cstheme="minorBidi"/>
          <w:szCs w:val="22"/>
        </w:rPr>
      </w:pPr>
      <w:r>
        <w:t>9</w:t>
      </w:r>
      <w:r w:rsidRPr="00AA3DF9">
        <w:rPr>
          <w:snapToGrid w:val="0"/>
        </w:rPr>
        <w:t>.</w:t>
      </w:r>
      <w:r w:rsidRPr="00AA3DF9">
        <w:rPr>
          <w:snapToGrid w:val="0"/>
        </w:rPr>
        <w:tab/>
        <w:t>Parties to confer before making application</w:t>
      </w:r>
      <w:r>
        <w:tab/>
      </w:r>
      <w:r>
        <w:fldChar w:fldCharType="begin"/>
      </w:r>
      <w:r>
        <w:instrText xml:space="preserve"> PAGEREF _Toc75863470 \h </w:instrText>
      </w:r>
      <w:r>
        <w:fldChar w:fldCharType="separate"/>
      </w:r>
      <w:r w:rsidR="00FC1D84">
        <w:t>362</w:t>
      </w:r>
      <w:r>
        <w:fldChar w:fldCharType="end"/>
      </w:r>
    </w:p>
    <w:p w:rsidR="006169FD" w:rsidRDefault="006169FD">
      <w:pPr>
        <w:pStyle w:val="TOC8"/>
        <w:rPr>
          <w:rFonts w:asciiTheme="minorHAnsi" w:eastAsiaTheme="minorEastAsia" w:hAnsiTheme="minorHAnsi" w:cstheme="minorBidi"/>
          <w:szCs w:val="22"/>
        </w:rPr>
      </w:pPr>
      <w:r>
        <w:t>10</w:t>
      </w:r>
      <w:r w:rsidRPr="00AA3DF9">
        <w:rPr>
          <w:snapToGrid w:val="0"/>
        </w:rPr>
        <w:t>.</w:t>
      </w:r>
      <w:r w:rsidRPr="00AA3DF9">
        <w:rPr>
          <w:snapToGrid w:val="0"/>
        </w:rPr>
        <w:tab/>
        <w:t>Orders, form of</w:t>
      </w:r>
      <w:r>
        <w:tab/>
      </w:r>
      <w:r>
        <w:fldChar w:fldCharType="begin"/>
      </w:r>
      <w:r>
        <w:instrText xml:space="preserve"> PAGEREF _Toc75863471 \h </w:instrText>
      </w:r>
      <w:r>
        <w:fldChar w:fldCharType="separate"/>
      </w:r>
      <w:r w:rsidR="00FC1D84">
        <w:t>362</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60</w:t>
      </w:r>
      <w:r w:rsidRPr="00AA3DF9">
        <w:rPr>
          <w:b w:val="0"/>
        </w:rPr>
        <w:t> </w:t>
      </w:r>
      <w:r>
        <w:t>—</w:t>
      </w:r>
      <w:r w:rsidRPr="00AA3DF9">
        <w:rPr>
          <w:b w:val="0"/>
        </w:rPr>
        <w:t> </w:t>
      </w:r>
      <w:r>
        <w:t>Masters’ jurisdiction</w:t>
      </w:r>
    </w:p>
    <w:p w:rsidR="006169FD" w:rsidRDefault="006169FD">
      <w:pPr>
        <w:pStyle w:val="TOC8"/>
        <w:rPr>
          <w:rFonts w:asciiTheme="minorHAnsi" w:eastAsiaTheme="minorEastAsia" w:hAnsiTheme="minorHAnsi" w:cstheme="minorBidi"/>
          <w:szCs w:val="22"/>
        </w:rPr>
      </w:pPr>
      <w:r>
        <w:t>1.</w:t>
      </w:r>
      <w:r>
        <w:tab/>
        <w:t>Masters’ general jurisdiction</w:t>
      </w:r>
      <w:r>
        <w:tab/>
      </w:r>
      <w:r>
        <w:fldChar w:fldCharType="begin"/>
      </w:r>
      <w:r>
        <w:instrText xml:space="preserve"> PAGEREF _Toc75863473 \h </w:instrText>
      </w:r>
      <w:r>
        <w:fldChar w:fldCharType="separate"/>
      </w:r>
      <w:r w:rsidR="00FC1D84">
        <w:t>363</w:t>
      </w:r>
      <w:r>
        <w:fldChar w:fldCharType="end"/>
      </w:r>
    </w:p>
    <w:p w:rsidR="006169FD" w:rsidRDefault="006169FD">
      <w:pPr>
        <w:pStyle w:val="TOC8"/>
        <w:rPr>
          <w:rFonts w:asciiTheme="minorHAnsi" w:eastAsiaTheme="minorEastAsia" w:hAnsiTheme="minorHAnsi" w:cstheme="minorBidi"/>
          <w:szCs w:val="22"/>
        </w:rPr>
      </w:pPr>
      <w:r>
        <w:t>2.</w:t>
      </w:r>
      <w:r>
        <w:tab/>
        <w:t>Master may refer matter to judge or Court of Appeal</w:t>
      </w:r>
      <w:r>
        <w:tab/>
      </w:r>
      <w:r>
        <w:fldChar w:fldCharType="begin"/>
      </w:r>
      <w:r>
        <w:instrText xml:space="preserve"> PAGEREF _Toc75863474 \h </w:instrText>
      </w:r>
      <w:r>
        <w:fldChar w:fldCharType="separate"/>
      </w:r>
      <w:r w:rsidR="00FC1D84">
        <w:t>364</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60A — Jurisdiction of registrars and appeals from registrars’ decisions</w:t>
      </w:r>
    </w:p>
    <w:p w:rsidR="006169FD" w:rsidRDefault="006169FD">
      <w:pPr>
        <w:pStyle w:val="TOC8"/>
        <w:rPr>
          <w:rFonts w:asciiTheme="minorHAnsi" w:eastAsiaTheme="minorEastAsia" w:hAnsiTheme="minorHAnsi" w:cstheme="minorBidi"/>
          <w:szCs w:val="22"/>
        </w:rPr>
      </w:pPr>
      <w:r>
        <w:t>1</w:t>
      </w:r>
      <w:r w:rsidRPr="00AA3DF9">
        <w:rPr>
          <w:snapToGrid w:val="0"/>
        </w:rPr>
        <w:t>.</w:t>
      </w:r>
      <w:r w:rsidRPr="00AA3DF9">
        <w:rPr>
          <w:snapToGrid w:val="0"/>
        </w:rPr>
        <w:tab/>
      </w:r>
      <w:r>
        <w:t>Registrars’ general jurisdiction</w:t>
      </w:r>
      <w:r>
        <w:tab/>
      </w:r>
      <w:r>
        <w:fldChar w:fldCharType="begin"/>
      </w:r>
      <w:r>
        <w:instrText xml:space="preserve"> PAGEREF _Toc75863476 \h </w:instrText>
      </w:r>
      <w:r>
        <w:fldChar w:fldCharType="separate"/>
      </w:r>
      <w:r w:rsidR="00FC1D84">
        <w:t>365</w:t>
      </w:r>
      <w:r>
        <w:fldChar w:fldCharType="end"/>
      </w:r>
    </w:p>
    <w:p w:rsidR="006169FD" w:rsidRDefault="006169FD">
      <w:pPr>
        <w:pStyle w:val="TOC8"/>
        <w:rPr>
          <w:rFonts w:asciiTheme="minorHAnsi" w:eastAsiaTheme="minorEastAsia" w:hAnsiTheme="minorHAnsi" w:cstheme="minorBidi"/>
          <w:szCs w:val="22"/>
        </w:rPr>
      </w:pPr>
      <w:r>
        <w:t>2.</w:t>
      </w:r>
      <w:r>
        <w:tab/>
        <w:t>Registrars’ jurisdiction with respect to case management</w:t>
      </w:r>
      <w:r>
        <w:tab/>
      </w:r>
      <w:r>
        <w:fldChar w:fldCharType="begin"/>
      </w:r>
      <w:r>
        <w:instrText xml:space="preserve"> PAGEREF _Toc75863477 \h </w:instrText>
      </w:r>
      <w:r>
        <w:fldChar w:fldCharType="separate"/>
      </w:r>
      <w:r w:rsidR="00FC1D84">
        <w:t>365</w:t>
      </w:r>
      <w:r>
        <w:fldChar w:fldCharType="end"/>
      </w:r>
    </w:p>
    <w:p w:rsidR="006169FD" w:rsidRDefault="006169FD">
      <w:pPr>
        <w:pStyle w:val="TOC8"/>
        <w:rPr>
          <w:rFonts w:asciiTheme="minorHAnsi" w:eastAsiaTheme="minorEastAsia" w:hAnsiTheme="minorHAnsi" w:cstheme="minorBidi"/>
          <w:szCs w:val="22"/>
        </w:rPr>
      </w:pPr>
      <w:r>
        <w:t>2A.</w:t>
      </w:r>
      <w:r>
        <w:tab/>
        <w:t>Registrars to deal with applications within their jurisdiction</w:t>
      </w:r>
      <w:r>
        <w:tab/>
      </w:r>
      <w:r>
        <w:fldChar w:fldCharType="begin"/>
      </w:r>
      <w:r>
        <w:instrText xml:space="preserve"> PAGEREF _Toc75863478 \h </w:instrText>
      </w:r>
      <w:r>
        <w:fldChar w:fldCharType="separate"/>
      </w:r>
      <w:r w:rsidR="00FC1D84">
        <w:t>367</w:t>
      </w:r>
      <w:r>
        <w:fldChar w:fldCharType="end"/>
      </w:r>
    </w:p>
    <w:p w:rsidR="006169FD" w:rsidRDefault="006169FD">
      <w:pPr>
        <w:pStyle w:val="TOC8"/>
        <w:rPr>
          <w:rFonts w:asciiTheme="minorHAnsi" w:eastAsiaTheme="minorEastAsia" w:hAnsiTheme="minorHAnsi" w:cstheme="minorBidi"/>
          <w:szCs w:val="22"/>
        </w:rPr>
      </w:pPr>
      <w:r>
        <w:t>3.</w:t>
      </w:r>
      <w:r>
        <w:tab/>
        <w:t>Registrar may refer proceedings to judge or master</w:t>
      </w:r>
      <w:r>
        <w:tab/>
      </w:r>
      <w:r>
        <w:fldChar w:fldCharType="begin"/>
      </w:r>
      <w:r>
        <w:instrText xml:space="preserve"> PAGEREF _Toc75863479 \h </w:instrText>
      </w:r>
      <w:r>
        <w:fldChar w:fldCharType="separate"/>
      </w:r>
      <w:r w:rsidR="00FC1D84">
        <w:t>367</w:t>
      </w:r>
      <w:r>
        <w:fldChar w:fldCharType="end"/>
      </w:r>
    </w:p>
    <w:p w:rsidR="006169FD" w:rsidRDefault="006169FD">
      <w:pPr>
        <w:pStyle w:val="TOC8"/>
        <w:rPr>
          <w:rFonts w:asciiTheme="minorHAnsi" w:eastAsiaTheme="minorEastAsia" w:hAnsiTheme="minorHAnsi" w:cstheme="minorBidi"/>
          <w:szCs w:val="22"/>
        </w:rPr>
      </w:pPr>
      <w:r>
        <w:t>4.</w:t>
      </w:r>
      <w:r>
        <w:tab/>
        <w:t>Appeals from decisions of registrars</w:t>
      </w:r>
      <w:r>
        <w:tab/>
      </w:r>
      <w:r>
        <w:fldChar w:fldCharType="begin"/>
      </w:r>
      <w:r>
        <w:instrText xml:space="preserve"> PAGEREF _Toc75863480 \h </w:instrText>
      </w:r>
      <w:r>
        <w:fldChar w:fldCharType="separate"/>
      </w:r>
      <w:r w:rsidR="00FC1D84">
        <w:t>368</w:t>
      </w:r>
      <w:r>
        <w:fldChar w:fldCharType="end"/>
      </w:r>
    </w:p>
    <w:p w:rsidR="006169FD" w:rsidRDefault="006169FD">
      <w:pPr>
        <w:pStyle w:val="TOC8"/>
        <w:rPr>
          <w:rFonts w:asciiTheme="minorHAnsi" w:eastAsiaTheme="minorEastAsia" w:hAnsiTheme="minorHAnsi" w:cstheme="minorBidi"/>
          <w:szCs w:val="22"/>
        </w:rPr>
      </w:pPr>
      <w:r>
        <w:t>5.</w:t>
      </w:r>
      <w:r>
        <w:tab/>
        <w:t>Appeal procedure</w:t>
      </w:r>
      <w:r>
        <w:tab/>
      </w:r>
      <w:r>
        <w:fldChar w:fldCharType="begin"/>
      </w:r>
      <w:r>
        <w:instrText xml:space="preserve"> PAGEREF _Toc75863481 \h </w:instrText>
      </w:r>
      <w:r>
        <w:fldChar w:fldCharType="separate"/>
      </w:r>
      <w:r w:rsidR="00FC1D84">
        <w:t>368</w:t>
      </w:r>
      <w:r>
        <w:fldChar w:fldCharType="end"/>
      </w:r>
    </w:p>
    <w:p w:rsidR="006169FD" w:rsidRDefault="006169FD">
      <w:pPr>
        <w:pStyle w:val="TOC8"/>
        <w:rPr>
          <w:rFonts w:asciiTheme="minorHAnsi" w:eastAsiaTheme="minorEastAsia" w:hAnsiTheme="minorHAnsi" w:cstheme="minorBidi"/>
          <w:szCs w:val="22"/>
        </w:rPr>
      </w:pPr>
      <w:r>
        <w:t>6A.</w:t>
      </w:r>
      <w:r>
        <w:tab/>
        <w:t>Other parties to appeal to advise certain matters</w:t>
      </w:r>
      <w:r>
        <w:tab/>
      </w:r>
      <w:r>
        <w:fldChar w:fldCharType="begin"/>
      </w:r>
      <w:r>
        <w:instrText xml:space="preserve"> PAGEREF _Toc75863482 \h </w:instrText>
      </w:r>
      <w:r>
        <w:fldChar w:fldCharType="separate"/>
      </w:r>
      <w:r w:rsidR="00FC1D84">
        <w:t>369</w:t>
      </w:r>
      <w:r>
        <w:fldChar w:fldCharType="end"/>
      </w:r>
    </w:p>
    <w:p w:rsidR="006169FD" w:rsidRDefault="006169FD">
      <w:pPr>
        <w:pStyle w:val="TOC8"/>
        <w:rPr>
          <w:rFonts w:asciiTheme="minorHAnsi" w:eastAsiaTheme="minorEastAsia" w:hAnsiTheme="minorHAnsi" w:cstheme="minorBidi"/>
          <w:szCs w:val="22"/>
        </w:rPr>
      </w:pPr>
      <w:r>
        <w:t>6.</w:t>
      </w:r>
      <w:r>
        <w:tab/>
        <w:t>Appeal is by way of new hearing</w:t>
      </w:r>
      <w:r>
        <w:tab/>
      </w:r>
      <w:r>
        <w:fldChar w:fldCharType="begin"/>
      </w:r>
      <w:r>
        <w:instrText xml:space="preserve"> PAGEREF _Toc75863483 \h </w:instrText>
      </w:r>
      <w:r>
        <w:fldChar w:fldCharType="separate"/>
      </w:r>
      <w:r w:rsidR="00FC1D84">
        <w:t>369</w:t>
      </w:r>
      <w:r>
        <w:fldChar w:fldCharType="end"/>
      </w:r>
    </w:p>
    <w:p w:rsidR="006169FD" w:rsidRDefault="006169FD">
      <w:pPr>
        <w:pStyle w:val="TOC8"/>
        <w:rPr>
          <w:rFonts w:asciiTheme="minorHAnsi" w:eastAsiaTheme="minorEastAsia" w:hAnsiTheme="minorHAnsi" w:cstheme="minorBidi"/>
          <w:szCs w:val="22"/>
        </w:rPr>
      </w:pPr>
      <w:r>
        <w:t>7.</w:t>
      </w:r>
      <w:r>
        <w:tab/>
        <w:t>This Order not to apply to Court of Appeal Registrar</w:t>
      </w:r>
      <w:r>
        <w:tab/>
      </w:r>
      <w:r>
        <w:fldChar w:fldCharType="begin"/>
      </w:r>
      <w:r>
        <w:instrText xml:space="preserve"> PAGEREF _Toc75863484 \h </w:instrText>
      </w:r>
      <w:r>
        <w:fldChar w:fldCharType="separate"/>
      </w:r>
      <w:r w:rsidR="00FC1D84">
        <w:t>369</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61 — Proceedings under judgments and orders</w:t>
      </w:r>
    </w:p>
    <w:p w:rsidR="006169FD" w:rsidRDefault="006169FD">
      <w:pPr>
        <w:pStyle w:val="TOC4"/>
        <w:tabs>
          <w:tab w:val="right" w:leader="dot" w:pos="7077"/>
        </w:tabs>
        <w:rPr>
          <w:rFonts w:asciiTheme="minorHAnsi" w:eastAsiaTheme="minorEastAsia" w:hAnsiTheme="minorHAnsi" w:cstheme="minorBidi"/>
          <w:b w:val="0"/>
          <w:szCs w:val="22"/>
        </w:rPr>
      </w:pPr>
      <w:r>
        <w:t>Division 1 — Application of order</w:t>
      </w:r>
    </w:p>
    <w:p w:rsidR="006169FD" w:rsidRDefault="006169FD">
      <w:pPr>
        <w:pStyle w:val="TOC8"/>
        <w:rPr>
          <w:rFonts w:asciiTheme="minorHAnsi" w:eastAsiaTheme="minorEastAsia" w:hAnsiTheme="minorHAnsi" w:cstheme="minorBidi"/>
          <w:szCs w:val="22"/>
        </w:rPr>
      </w:pPr>
      <w:r>
        <w:t>1</w:t>
      </w:r>
      <w:r w:rsidRPr="00AA3DF9">
        <w:rPr>
          <w:snapToGrid w:val="0"/>
        </w:rPr>
        <w:t>.</w:t>
      </w:r>
      <w:r w:rsidRPr="00AA3DF9">
        <w:rPr>
          <w:snapToGrid w:val="0"/>
        </w:rPr>
        <w:tab/>
        <w:t>Application to proceedings under orders</w:t>
      </w:r>
      <w:r>
        <w:tab/>
      </w:r>
      <w:r>
        <w:fldChar w:fldCharType="begin"/>
      </w:r>
      <w:r>
        <w:instrText xml:space="preserve"> PAGEREF _Toc75863487 \h </w:instrText>
      </w:r>
      <w:r>
        <w:fldChar w:fldCharType="separate"/>
      </w:r>
      <w:r w:rsidR="00FC1D84">
        <w:t>370</w:t>
      </w:r>
      <w:r>
        <w:fldChar w:fldCharType="end"/>
      </w:r>
    </w:p>
    <w:p w:rsidR="006169FD" w:rsidRDefault="006169FD">
      <w:pPr>
        <w:pStyle w:val="TOC4"/>
        <w:tabs>
          <w:tab w:val="right" w:leader="dot" w:pos="7077"/>
        </w:tabs>
        <w:rPr>
          <w:rFonts w:asciiTheme="minorHAnsi" w:eastAsiaTheme="minorEastAsia" w:hAnsiTheme="minorHAnsi" w:cstheme="minorBidi"/>
          <w:b w:val="0"/>
          <w:szCs w:val="22"/>
        </w:rPr>
      </w:pPr>
      <w:r>
        <w:t>Division 2 — Summons to proceed</w:t>
      </w:r>
    </w:p>
    <w:p w:rsidR="006169FD" w:rsidRDefault="006169FD">
      <w:pPr>
        <w:pStyle w:val="TOC8"/>
        <w:rPr>
          <w:rFonts w:asciiTheme="minorHAnsi" w:eastAsiaTheme="minorEastAsia" w:hAnsiTheme="minorHAnsi" w:cstheme="minorBidi"/>
          <w:szCs w:val="22"/>
        </w:rPr>
      </w:pPr>
      <w:r>
        <w:t>2</w:t>
      </w:r>
      <w:r w:rsidRPr="00AA3DF9">
        <w:rPr>
          <w:snapToGrid w:val="0"/>
        </w:rPr>
        <w:t>.</w:t>
      </w:r>
      <w:r w:rsidRPr="00AA3DF9">
        <w:rPr>
          <w:snapToGrid w:val="0"/>
        </w:rPr>
        <w:tab/>
        <w:t>Summons to proceed, requirement for and proceedings on</w:t>
      </w:r>
      <w:r>
        <w:tab/>
      </w:r>
      <w:r>
        <w:fldChar w:fldCharType="begin"/>
      </w:r>
      <w:r>
        <w:instrText xml:space="preserve"> PAGEREF _Toc75863489 \h </w:instrText>
      </w:r>
      <w:r>
        <w:fldChar w:fldCharType="separate"/>
      </w:r>
      <w:r w:rsidR="00FC1D84">
        <w:t>370</w:t>
      </w:r>
      <w:r>
        <w:fldChar w:fldCharType="end"/>
      </w:r>
    </w:p>
    <w:p w:rsidR="006169FD" w:rsidRDefault="006169FD">
      <w:pPr>
        <w:pStyle w:val="TOC8"/>
        <w:rPr>
          <w:rFonts w:asciiTheme="minorHAnsi" w:eastAsiaTheme="minorEastAsia" w:hAnsiTheme="minorHAnsi" w:cstheme="minorBidi"/>
          <w:szCs w:val="22"/>
        </w:rPr>
      </w:pPr>
      <w:r>
        <w:t>3</w:t>
      </w:r>
      <w:r w:rsidRPr="00AA3DF9">
        <w:rPr>
          <w:snapToGrid w:val="0"/>
        </w:rPr>
        <w:t>.</w:t>
      </w:r>
      <w:r w:rsidRPr="00AA3DF9">
        <w:rPr>
          <w:snapToGrid w:val="0"/>
        </w:rPr>
        <w:tab/>
        <w:t>Notice of judgment, Court may order service of in some cases</w:t>
      </w:r>
      <w:r>
        <w:tab/>
      </w:r>
      <w:r>
        <w:fldChar w:fldCharType="begin"/>
      </w:r>
      <w:r>
        <w:instrText xml:space="preserve"> PAGEREF _Toc75863490 \h </w:instrText>
      </w:r>
      <w:r>
        <w:fldChar w:fldCharType="separate"/>
      </w:r>
      <w:r w:rsidR="00FC1D84">
        <w:t>371</w:t>
      </w:r>
      <w:r>
        <w:fldChar w:fldCharType="end"/>
      </w:r>
    </w:p>
    <w:p w:rsidR="006169FD" w:rsidRDefault="006169FD">
      <w:pPr>
        <w:pStyle w:val="TOC8"/>
        <w:rPr>
          <w:rFonts w:asciiTheme="minorHAnsi" w:eastAsiaTheme="minorEastAsia" w:hAnsiTheme="minorHAnsi" w:cstheme="minorBidi"/>
          <w:szCs w:val="22"/>
        </w:rPr>
      </w:pPr>
      <w:r>
        <w:t>4</w:t>
      </w:r>
      <w:r w:rsidRPr="00AA3DF9">
        <w:rPr>
          <w:snapToGrid w:val="0"/>
        </w:rPr>
        <w:t>.</w:t>
      </w:r>
      <w:r w:rsidRPr="00AA3DF9">
        <w:rPr>
          <w:snapToGrid w:val="0"/>
        </w:rPr>
        <w:tab/>
        <w:t>Settling deed if parties differ, procedure for</w:t>
      </w:r>
      <w:r>
        <w:tab/>
      </w:r>
      <w:r>
        <w:fldChar w:fldCharType="begin"/>
      </w:r>
      <w:r>
        <w:instrText xml:space="preserve"> PAGEREF _Toc75863491 \h </w:instrText>
      </w:r>
      <w:r>
        <w:fldChar w:fldCharType="separate"/>
      </w:r>
      <w:r w:rsidR="00FC1D84">
        <w:t>372</w:t>
      </w:r>
      <w:r>
        <w:fldChar w:fldCharType="end"/>
      </w:r>
    </w:p>
    <w:p w:rsidR="006169FD" w:rsidRDefault="006169FD">
      <w:pPr>
        <w:pStyle w:val="TOC8"/>
        <w:rPr>
          <w:rFonts w:asciiTheme="minorHAnsi" w:eastAsiaTheme="minorEastAsia" w:hAnsiTheme="minorHAnsi" w:cstheme="minorBidi"/>
          <w:szCs w:val="22"/>
        </w:rPr>
      </w:pPr>
      <w:r>
        <w:t>5</w:t>
      </w:r>
      <w:r w:rsidRPr="00AA3DF9">
        <w:rPr>
          <w:snapToGrid w:val="0"/>
        </w:rPr>
        <w:t>.</w:t>
      </w:r>
      <w:r w:rsidRPr="00AA3DF9">
        <w:rPr>
          <w:snapToGrid w:val="0"/>
        </w:rPr>
        <w:tab/>
        <w:t>When service of notice of judgment may be dispensed with</w:t>
      </w:r>
      <w:r>
        <w:tab/>
      </w:r>
      <w:r>
        <w:fldChar w:fldCharType="begin"/>
      </w:r>
      <w:r>
        <w:instrText xml:space="preserve"> PAGEREF _Toc75863492 \h </w:instrText>
      </w:r>
      <w:r>
        <w:fldChar w:fldCharType="separate"/>
      </w:r>
      <w:r w:rsidR="00FC1D84">
        <w:t>373</w:t>
      </w:r>
      <w:r>
        <w:fldChar w:fldCharType="end"/>
      </w:r>
    </w:p>
    <w:p w:rsidR="006169FD" w:rsidRDefault="006169FD">
      <w:pPr>
        <w:pStyle w:val="TOC8"/>
        <w:rPr>
          <w:rFonts w:asciiTheme="minorHAnsi" w:eastAsiaTheme="minorEastAsia" w:hAnsiTheme="minorHAnsi" w:cstheme="minorBidi"/>
          <w:szCs w:val="22"/>
        </w:rPr>
      </w:pPr>
      <w:r>
        <w:t>6</w:t>
      </w:r>
      <w:r w:rsidRPr="00AA3DF9">
        <w:rPr>
          <w:snapToGrid w:val="0"/>
        </w:rPr>
        <w:t>.</w:t>
      </w:r>
      <w:r w:rsidRPr="00AA3DF9">
        <w:rPr>
          <w:snapToGrid w:val="0"/>
        </w:rPr>
        <w:tab/>
        <w:t>Judgment for accounts etc., power to bind persons in some cases</w:t>
      </w:r>
      <w:r>
        <w:tab/>
      </w:r>
      <w:r>
        <w:fldChar w:fldCharType="begin"/>
      </w:r>
      <w:r>
        <w:instrText xml:space="preserve"> PAGEREF _Toc75863493 \h </w:instrText>
      </w:r>
      <w:r>
        <w:fldChar w:fldCharType="separate"/>
      </w:r>
      <w:r w:rsidR="00FC1D84">
        <w:t>373</w:t>
      </w:r>
      <w:r>
        <w:fldChar w:fldCharType="end"/>
      </w:r>
    </w:p>
    <w:p w:rsidR="006169FD" w:rsidRDefault="006169FD">
      <w:pPr>
        <w:pStyle w:val="TOC8"/>
        <w:rPr>
          <w:rFonts w:asciiTheme="minorHAnsi" w:eastAsiaTheme="minorEastAsia" w:hAnsiTheme="minorHAnsi" w:cstheme="minorBidi"/>
          <w:szCs w:val="22"/>
        </w:rPr>
      </w:pPr>
      <w:r>
        <w:lastRenderedPageBreak/>
        <w:t>7</w:t>
      </w:r>
      <w:r w:rsidRPr="00AA3DF9">
        <w:rPr>
          <w:snapToGrid w:val="0"/>
        </w:rPr>
        <w:t>.</w:t>
      </w:r>
      <w:r w:rsidRPr="00AA3DF9">
        <w:rPr>
          <w:snapToGrid w:val="0"/>
        </w:rPr>
        <w:tab/>
        <w:t>Procedure where some parties not served etc.</w:t>
      </w:r>
      <w:r>
        <w:tab/>
      </w:r>
      <w:r>
        <w:fldChar w:fldCharType="begin"/>
      </w:r>
      <w:r>
        <w:instrText xml:space="preserve"> PAGEREF _Toc75863494 \h </w:instrText>
      </w:r>
      <w:r>
        <w:fldChar w:fldCharType="separate"/>
      </w:r>
      <w:r w:rsidR="00FC1D84">
        <w:t>373</w:t>
      </w:r>
      <w:r>
        <w:fldChar w:fldCharType="end"/>
      </w:r>
    </w:p>
    <w:p w:rsidR="006169FD" w:rsidRDefault="006169FD">
      <w:pPr>
        <w:pStyle w:val="TOC8"/>
        <w:rPr>
          <w:rFonts w:asciiTheme="minorHAnsi" w:eastAsiaTheme="minorEastAsia" w:hAnsiTheme="minorHAnsi" w:cstheme="minorBidi"/>
          <w:szCs w:val="22"/>
        </w:rPr>
      </w:pPr>
      <w:r>
        <w:t>8</w:t>
      </w:r>
      <w:r w:rsidRPr="00AA3DF9">
        <w:rPr>
          <w:snapToGrid w:val="0"/>
        </w:rPr>
        <w:t>.</w:t>
      </w:r>
      <w:r w:rsidRPr="00AA3DF9">
        <w:rPr>
          <w:snapToGrid w:val="0"/>
        </w:rPr>
        <w:tab/>
        <w:t>Course of proceedings in chambers</w:t>
      </w:r>
      <w:r>
        <w:tab/>
      </w:r>
      <w:r>
        <w:fldChar w:fldCharType="begin"/>
      </w:r>
      <w:r>
        <w:instrText xml:space="preserve"> PAGEREF _Toc75863495 \h </w:instrText>
      </w:r>
      <w:r>
        <w:fldChar w:fldCharType="separate"/>
      </w:r>
      <w:r w:rsidR="00FC1D84">
        <w:t>374</w:t>
      </w:r>
      <w:r>
        <w:fldChar w:fldCharType="end"/>
      </w:r>
    </w:p>
    <w:p w:rsidR="006169FD" w:rsidRDefault="006169FD">
      <w:pPr>
        <w:pStyle w:val="TOC4"/>
        <w:tabs>
          <w:tab w:val="right" w:leader="dot" w:pos="7077"/>
        </w:tabs>
        <w:rPr>
          <w:rFonts w:asciiTheme="minorHAnsi" w:eastAsiaTheme="minorEastAsia" w:hAnsiTheme="minorHAnsi" w:cstheme="minorBidi"/>
          <w:b w:val="0"/>
          <w:szCs w:val="22"/>
        </w:rPr>
      </w:pPr>
      <w:r>
        <w:t>Division 3 — Attendances</w:t>
      </w:r>
    </w:p>
    <w:p w:rsidR="006169FD" w:rsidRDefault="006169FD">
      <w:pPr>
        <w:pStyle w:val="TOC8"/>
        <w:rPr>
          <w:rFonts w:asciiTheme="minorHAnsi" w:eastAsiaTheme="minorEastAsia" w:hAnsiTheme="minorHAnsi" w:cstheme="minorBidi"/>
          <w:szCs w:val="22"/>
        </w:rPr>
      </w:pPr>
      <w:r>
        <w:t>9</w:t>
      </w:r>
      <w:r w:rsidRPr="00AA3DF9">
        <w:rPr>
          <w:snapToGrid w:val="0"/>
        </w:rPr>
        <w:t>.</w:t>
      </w:r>
      <w:r w:rsidRPr="00AA3DF9">
        <w:rPr>
          <w:snapToGrid w:val="0"/>
        </w:rPr>
        <w:tab/>
        <w:t>Classifying interests of parties</w:t>
      </w:r>
      <w:r>
        <w:tab/>
      </w:r>
      <w:r>
        <w:fldChar w:fldCharType="begin"/>
      </w:r>
      <w:r>
        <w:instrText xml:space="preserve"> PAGEREF _Toc75863497 \h </w:instrText>
      </w:r>
      <w:r>
        <w:fldChar w:fldCharType="separate"/>
      </w:r>
      <w:r w:rsidR="00FC1D84">
        <w:t>374</w:t>
      </w:r>
      <w:r>
        <w:fldChar w:fldCharType="end"/>
      </w:r>
    </w:p>
    <w:p w:rsidR="006169FD" w:rsidRDefault="006169FD">
      <w:pPr>
        <w:pStyle w:val="TOC8"/>
        <w:rPr>
          <w:rFonts w:asciiTheme="minorHAnsi" w:eastAsiaTheme="minorEastAsia" w:hAnsiTheme="minorHAnsi" w:cstheme="minorBidi"/>
          <w:szCs w:val="22"/>
        </w:rPr>
      </w:pPr>
      <w:r>
        <w:t>10</w:t>
      </w:r>
      <w:r w:rsidRPr="00AA3DF9">
        <w:rPr>
          <w:snapToGrid w:val="0"/>
        </w:rPr>
        <w:t>.</w:t>
      </w:r>
      <w:r w:rsidRPr="00AA3DF9">
        <w:rPr>
          <w:snapToGrid w:val="0"/>
        </w:rPr>
        <w:tab/>
        <w:t>Judge may require distinct solicitor to represent parties</w:t>
      </w:r>
      <w:r>
        <w:tab/>
      </w:r>
      <w:r>
        <w:fldChar w:fldCharType="begin"/>
      </w:r>
      <w:r>
        <w:instrText xml:space="preserve"> PAGEREF _Toc75863498 \h </w:instrText>
      </w:r>
      <w:r>
        <w:fldChar w:fldCharType="separate"/>
      </w:r>
      <w:r w:rsidR="00FC1D84">
        <w:t>375</w:t>
      </w:r>
      <w:r>
        <w:fldChar w:fldCharType="end"/>
      </w:r>
    </w:p>
    <w:p w:rsidR="006169FD" w:rsidRDefault="006169FD">
      <w:pPr>
        <w:pStyle w:val="TOC8"/>
        <w:rPr>
          <w:rFonts w:asciiTheme="minorHAnsi" w:eastAsiaTheme="minorEastAsia" w:hAnsiTheme="minorHAnsi" w:cstheme="minorBidi"/>
          <w:szCs w:val="22"/>
        </w:rPr>
      </w:pPr>
      <w:r>
        <w:t>11</w:t>
      </w:r>
      <w:r w:rsidRPr="00AA3DF9">
        <w:rPr>
          <w:snapToGrid w:val="0"/>
        </w:rPr>
        <w:t>.</w:t>
      </w:r>
      <w:r w:rsidRPr="00AA3DF9">
        <w:rPr>
          <w:snapToGrid w:val="0"/>
        </w:rPr>
        <w:tab/>
        <w:t>Attendance of parties not directed to attend</w:t>
      </w:r>
      <w:r>
        <w:tab/>
      </w:r>
      <w:r>
        <w:fldChar w:fldCharType="begin"/>
      </w:r>
      <w:r>
        <w:instrText xml:space="preserve"> PAGEREF _Toc75863499 \h </w:instrText>
      </w:r>
      <w:r>
        <w:fldChar w:fldCharType="separate"/>
      </w:r>
      <w:r w:rsidR="00FC1D84">
        <w:t>375</w:t>
      </w:r>
      <w:r>
        <w:fldChar w:fldCharType="end"/>
      </w:r>
    </w:p>
    <w:p w:rsidR="006169FD" w:rsidRDefault="006169FD">
      <w:pPr>
        <w:pStyle w:val="TOC8"/>
        <w:rPr>
          <w:rFonts w:asciiTheme="minorHAnsi" w:eastAsiaTheme="minorEastAsia" w:hAnsiTheme="minorHAnsi" w:cstheme="minorBidi"/>
          <w:szCs w:val="22"/>
        </w:rPr>
      </w:pPr>
      <w:r>
        <w:t>12</w:t>
      </w:r>
      <w:r w:rsidRPr="00AA3DF9">
        <w:rPr>
          <w:snapToGrid w:val="0"/>
        </w:rPr>
        <w:t>.</w:t>
      </w:r>
      <w:r w:rsidRPr="00AA3DF9">
        <w:rPr>
          <w:snapToGrid w:val="0"/>
        </w:rPr>
        <w:tab/>
        <w:t>Order stating parties directed to attend</w:t>
      </w:r>
      <w:r>
        <w:tab/>
      </w:r>
      <w:r>
        <w:fldChar w:fldCharType="begin"/>
      </w:r>
      <w:r>
        <w:instrText xml:space="preserve"> PAGEREF _Toc75863500 \h </w:instrText>
      </w:r>
      <w:r>
        <w:fldChar w:fldCharType="separate"/>
      </w:r>
      <w:r w:rsidR="00FC1D84">
        <w:t>375</w:t>
      </w:r>
      <w:r>
        <w:fldChar w:fldCharType="end"/>
      </w:r>
    </w:p>
    <w:p w:rsidR="006169FD" w:rsidRDefault="006169FD">
      <w:pPr>
        <w:pStyle w:val="TOC4"/>
        <w:tabs>
          <w:tab w:val="right" w:leader="dot" w:pos="7077"/>
        </w:tabs>
        <w:rPr>
          <w:rFonts w:asciiTheme="minorHAnsi" w:eastAsiaTheme="minorEastAsia" w:hAnsiTheme="minorHAnsi" w:cstheme="minorBidi"/>
          <w:b w:val="0"/>
          <w:szCs w:val="22"/>
        </w:rPr>
      </w:pPr>
      <w:r>
        <w:t>Division 4 — Claims of creditors and other claimants</w:t>
      </w:r>
    </w:p>
    <w:p w:rsidR="006169FD" w:rsidRDefault="006169FD">
      <w:pPr>
        <w:pStyle w:val="TOC8"/>
        <w:rPr>
          <w:rFonts w:asciiTheme="minorHAnsi" w:eastAsiaTheme="minorEastAsia" w:hAnsiTheme="minorHAnsi" w:cstheme="minorBidi"/>
          <w:szCs w:val="22"/>
        </w:rPr>
      </w:pPr>
      <w:r>
        <w:t>13</w:t>
      </w:r>
      <w:r w:rsidRPr="00AA3DF9">
        <w:rPr>
          <w:snapToGrid w:val="0"/>
        </w:rPr>
        <w:t>.</w:t>
      </w:r>
      <w:r w:rsidRPr="00AA3DF9">
        <w:rPr>
          <w:snapToGrid w:val="0"/>
        </w:rPr>
        <w:tab/>
        <w:t>Advertisements for creditors etc., power to direct</w:t>
      </w:r>
      <w:r>
        <w:tab/>
      </w:r>
      <w:r>
        <w:fldChar w:fldCharType="begin"/>
      </w:r>
      <w:r>
        <w:instrText xml:space="preserve"> PAGEREF _Toc75863502 \h </w:instrText>
      </w:r>
      <w:r>
        <w:fldChar w:fldCharType="separate"/>
      </w:r>
      <w:r w:rsidR="00FC1D84">
        <w:t>375</w:t>
      </w:r>
      <w:r>
        <w:fldChar w:fldCharType="end"/>
      </w:r>
    </w:p>
    <w:p w:rsidR="006169FD" w:rsidRDefault="006169FD">
      <w:pPr>
        <w:pStyle w:val="TOC8"/>
        <w:rPr>
          <w:rFonts w:asciiTheme="minorHAnsi" w:eastAsiaTheme="minorEastAsia" w:hAnsiTheme="minorHAnsi" w:cstheme="minorBidi"/>
          <w:szCs w:val="22"/>
        </w:rPr>
      </w:pPr>
      <w:r>
        <w:t>14</w:t>
      </w:r>
      <w:r w:rsidRPr="00AA3DF9">
        <w:rPr>
          <w:snapToGrid w:val="0"/>
        </w:rPr>
        <w:t>.</w:t>
      </w:r>
      <w:r w:rsidRPr="00AA3DF9">
        <w:rPr>
          <w:snapToGrid w:val="0"/>
        </w:rPr>
        <w:tab/>
        <w:t>Advertisements, preparation etc. of</w:t>
      </w:r>
      <w:r>
        <w:tab/>
      </w:r>
      <w:r>
        <w:fldChar w:fldCharType="begin"/>
      </w:r>
      <w:r>
        <w:instrText xml:space="preserve"> PAGEREF _Toc75863503 \h </w:instrText>
      </w:r>
      <w:r>
        <w:fldChar w:fldCharType="separate"/>
      </w:r>
      <w:r w:rsidR="00FC1D84">
        <w:t>376</w:t>
      </w:r>
      <w:r>
        <w:fldChar w:fldCharType="end"/>
      </w:r>
    </w:p>
    <w:p w:rsidR="006169FD" w:rsidRDefault="006169FD">
      <w:pPr>
        <w:pStyle w:val="TOC8"/>
        <w:rPr>
          <w:rFonts w:asciiTheme="minorHAnsi" w:eastAsiaTheme="minorEastAsia" w:hAnsiTheme="minorHAnsi" w:cstheme="minorBidi"/>
          <w:szCs w:val="22"/>
        </w:rPr>
      </w:pPr>
      <w:r>
        <w:t>15</w:t>
      </w:r>
      <w:r w:rsidRPr="00AA3DF9">
        <w:rPr>
          <w:snapToGrid w:val="0"/>
        </w:rPr>
        <w:t>.</w:t>
      </w:r>
      <w:r w:rsidRPr="00AA3DF9">
        <w:rPr>
          <w:snapToGrid w:val="0"/>
        </w:rPr>
        <w:tab/>
        <w:t>Advertisements, contents of</w:t>
      </w:r>
      <w:r>
        <w:tab/>
      </w:r>
      <w:r>
        <w:fldChar w:fldCharType="begin"/>
      </w:r>
      <w:r>
        <w:instrText xml:space="preserve"> PAGEREF _Toc75863504 \h </w:instrText>
      </w:r>
      <w:r>
        <w:fldChar w:fldCharType="separate"/>
      </w:r>
      <w:r w:rsidR="00FC1D84">
        <w:t>376</w:t>
      </w:r>
      <w:r>
        <w:fldChar w:fldCharType="end"/>
      </w:r>
    </w:p>
    <w:p w:rsidR="006169FD" w:rsidRDefault="006169FD">
      <w:pPr>
        <w:pStyle w:val="TOC8"/>
        <w:rPr>
          <w:rFonts w:asciiTheme="minorHAnsi" w:eastAsiaTheme="minorEastAsia" w:hAnsiTheme="minorHAnsi" w:cstheme="minorBidi"/>
          <w:szCs w:val="22"/>
        </w:rPr>
      </w:pPr>
      <w:r>
        <w:t>15A.</w:t>
      </w:r>
      <w:r>
        <w:tab/>
        <w:t>Claims to state claimant’s contact details</w:t>
      </w:r>
      <w:r>
        <w:tab/>
      </w:r>
      <w:r>
        <w:fldChar w:fldCharType="begin"/>
      </w:r>
      <w:r>
        <w:instrText xml:space="preserve"> PAGEREF _Toc75863505 \h </w:instrText>
      </w:r>
      <w:r>
        <w:fldChar w:fldCharType="separate"/>
      </w:r>
      <w:r w:rsidR="00FC1D84">
        <w:t>376</w:t>
      </w:r>
      <w:r>
        <w:fldChar w:fldCharType="end"/>
      </w:r>
    </w:p>
    <w:p w:rsidR="006169FD" w:rsidRDefault="006169FD">
      <w:pPr>
        <w:pStyle w:val="TOC8"/>
        <w:rPr>
          <w:rFonts w:asciiTheme="minorHAnsi" w:eastAsiaTheme="minorEastAsia" w:hAnsiTheme="minorHAnsi" w:cstheme="minorBidi"/>
          <w:szCs w:val="22"/>
        </w:rPr>
      </w:pPr>
      <w:r>
        <w:t>16</w:t>
      </w:r>
      <w:r w:rsidRPr="00AA3DF9">
        <w:rPr>
          <w:snapToGrid w:val="0"/>
        </w:rPr>
        <w:t>.</w:t>
      </w:r>
      <w:r w:rsidRPr="00AA3DF9">
        <w:rPr>
          <w:snapToGrid w:val="0"/>
        </w:rPr>
        <w:tab/>
        <w:t>Failure to claim within specified time</w:t>
      </w:r>
      <w:r>
        <w:tab/>
      </w:r>
      <w:r>
        <w:fldChar w:fldCharType="begin"/>
      </w:r>
      <w:r>
        <w:instrText xml:space="preserve"> PAGEREF _Toc75863506 \h </w:instrText>
      </w:r>
      <w:r>
        <w:fldChar w:fldCharType="separate"/>
      </w:r>
      <w:r w:rsidR="00FC1D84">
        <w:t>376</w:t>
      </w:r>
      <w:r>
        <w:fldChar w:fldCharType="end"/>
      </w:r>
    </w:p>
    <w:p w:rsidR="006169FD" w:rsidRDefault="006169FD">
      <w:pPr>
        <w:pStyle w:val="TOC8"/>
        <w:rPr>
          <w:rFonts w:asciiTheme="minorHAnsi" w:eastAsiaTheme="minorEastAsia" w:hAnsiTheme="minorHAnsi" w:cstheme="minorBidi"/>
          <w:szCs w:val="22"/>
        </w:rPr>
      </w:pPr>
      <w:r>
        <w:t>17</w:t>
      </w:r>
      <w:r w:rsidRPr="00AA3DF9">
        <w:rPr>
          <w:snapToGrid w:val="0"/>
        </w:rPr>
        <w:t>.</w:t>
      </w:r>
      <w:r w:rsidRPr="00AA3DF9">
        <w:rPr>
          <w:snapToGrid w:val="0"/>
        </w:rPr>
        <w:tab/>
        <w:t>Examination and verification of claims</w:t>
      </w:r>
      <w:r>
        <w:tab/>
      </w:r>
      <w:r>
        <w:fldChar w:fldCharType="begin"/>
      </w:r>
      <w:r>
        <w:instrText xml:space="preserve"> PAGEREF _Toc75863507 \h </w:instrText>
      </w:r>
      <w:r>
        <w:fldChar w:fldCharType="separate"/>
      </w:r>
      <w:r w:rsidR="00FC1D84">
        <w:t>377</w:t>
      </w:r>
      <w:r>
        <w:fldChar w:fldCharType="end"/>
      </w:r>
    </w:p>
    <w:p w:rsidR="006169FD" w:rsidRDefault="006169FD">
      <w:pPr>
        <w:pStyle w:val="TOC8"/>
        <w:rPr>
          <w:rFonts w:asciiTheme="minorHAnsi" w:eastAsiaTheme="minorEastAsia" w:hAnsiTheme="minorHAnsi" w:cstheme="minorBidi"/>
          <w:szCs w:val="22"/>
        </w:rPr>
      </w:pPr>
      <w:r>
        <w:t>18</w:t>
      </w:r>
      <w:r w:rsidRPr="00AA3DF9">
        <w:rPr>
          <w:snapToGrid w:val="0"/>
        </w:rPr>
        <w:t>.</w:t>
      </w:r>
      <w:r w:rsidRPr="00AA3DF9">
        <w:rPr>
          <w:snapToGrid w:val="0"/>
        </w:rPr>
        <w:tab/>
        <w:t>Adjudicating on claims</w:t>
      </w:r>
      <w:r>
        <w:tab/>
      </w:r>
      <w:r>
        <w:fldChar w:fldCharType="begin"/>
      </w:r>
      <w:r>
        <w:instrText xml:space="preserve"> PAGEREF _Toc75863508 \h </w:instrText>
      </w:r>
      <w:r>
        <w:fldChar w:fldCharType="separate"/>
      </w:r>
      <w:r w:rsidR="00FC1D84">
        <w:t>378</w:t>
      </w:r>
      <w:r>
        <w:fldChar w:fldCharType="end"/>
      </w:r>
    </w:p>
    <w:p w:rsidR="006169FD" w:rsidRDefault="006169FD">
      <w:pPr>
        <w:pStyle w:val="TOC8"/>
        <w:rPr>
          <w:rFonts w:asciiTheme="minorHAnsi" w:eastAsiaTheme="minorEastAsia" w:hAnsiTheme="minorHAnsi" w:cstheme="minorBidi"/>
          <w:szCs w:val="22"/>
        </w:rPr>
      </w:pPr>
      <w:r>
        <w:t>19</w:t>
      </w:r>
      <w:r w:rsidRPr="00AA3DF9">
        <w:rPr>
          <w:snapToGrid w:val="0"/>
        </w:rPr>
        <w:t>.</w:t>
      </w:r>
      <w:r w:rsidRPr="00AA3DF9">
        <w:rPr>
          <w:snapToGrid w:val="0"/>
        </w:rPr>
        <w:tab/>
        <w:t>Adjourning adjudications; fixing time for filing evidence etc.</w:t>
      </w:r>
      <w:r>
        <w:tab/>
      </w:r>
      <w:r>
        <w:fldChar w:fldCharType="begin"/>
      </w:r>
      <w:r>
        <w:instrText xml:space="preserve"> PAGEREF _Toc75863509 \h </w:instrText>
      </w:r>
      <w:r>
        <w:fldChar w:fldCharType="separate"/>
      </w:r>
      <w:r w:rsidR="00FC1D84">
        <w:t>379</w:t>
      </w:r>
      <w:r>
        <w:fldChar w:fldCharType="end"/>
      </w:r>
    </w:p>
    <w:p w:rsidR="006169FD" w:rsidRDefault="006169FD">
      <w:pPr>
        <w:pStyle w:val="TOC8"/>
        <w:rPr>
          <w:rFonts w:asciiTheme="minorHAnsi" w:eastAsiaTheme="minorEastAsia" w:hAnsiTheme="minorHAnsi" w:cstheme="minorBidi"/>
          <w:szCs w:val="22"/>
        </w:rPr>
      </w:pPr>
      <w:r>
        <w:t>20</w:t>
      </w:r>
      <w:r w:rsidRPr="00AA3DF9">
        <w:rPr>
          <w:snapToGrid w:val="0"/>
        </w:rPr>
        <w:t>.</w:t>
      </w:r>
      <w:r w:rsidRPr="00AA3DF9">
        <w:rPr>
          <w:snapToGrid w:val="0"/>
        </w:rPr>
        <w:tab/>
        <w:t>Service of notice of judgment on certain claimants</w:t>
      </w:r>
      <w:r>
        <w:tab/>
      </w:r>
      <w:r>
        <w:fldChar w:fldCharType="begin"/>
      </w:r>
      <w:r>
        <w:instrText xml:space="preserve"> PAGEREF _Toc75863510 \h </w:instrText>
      </w:r>
      <w:r>
        <w:fldChar w:fldCharType="separate"/>
      </w:r>
      <w:r w:rsidR="00FC1D84">
        <w:t>379</w:t>
      </w:r>
      <w:r>
        <w:fldChar w:fldCharType="end"/>
      </w:r>
    </w:p>
    <w:p w:rsidR="006169FD" w:rsidRDefault="006169FD">
      <w:pPr>
        <w:pStyle w:val="TOC8"/>
        <w:rPr>
          <w:rFonts w:asciiTheme="minorHAnsi" w:eastAsiaTheme="minorEastAsia" w:hAnsiTheme="minorHAnsi" w:cstheme="minorBidi"/>
          <w:szCs w:val="22"/>
        </w:rPr>
      </w:pPr>
      <w:r>
        <w:t>21</w:t>
      </w:r>
      <w:r w:rsidRPr="00AA3DF9">
        <w:rPr>
          <w:snapToGrid w:val="0"/>
        </w:rPr>
        <w:t>.</w:t>
      </w:r>
      <w:r w:rsidRPr="00AA3DF9">
        <w:rPr>
          <w:snapToGrid w:val="0"/>
        </w:rPr>
        <w:tab/>
        <w:t>Notice of claims allowed or disallowed</w:t>
      </w:r>
      <w:r>
        <w:tab/>
      </w:r>
      <w:r>
        <w:fldChar w:fldCharType="begin"/>
      </w:r>
      <w:r>
        <w:instrText xml:space="preserve"> PAGEREF _Toc75863511 \h </w:instrText>
      </w:r>
      <w:r>
        <w:fldChar w:fldCharType="separate"/>
      </w:r>
      <w:r w:rsidR="00FC1D84">
        <w:t>380</w:t>
      </w:r>
      <w:r>
        <w:fldChar w:fldCharType="end"/>
      </w:r>
    </w:p>
    <w:p w:rsidR="006169FD" w:rsidRDefault="006169FD">
      <w:pPr>
        <w:pStyle w:val="TOC4"/>
        <w:tabs>
          <w:tab w:val="right" w:leader="dot" w:pos="7077"/>
        </w:tabs>
        <w:rPr>
          <w:rFonts w:asciiTheme="minorHAnsi" w:eastAsiaTheme="minorEastAsia" w:hAnsiTheme="minorHAnsi" w:cstheme="minorBidi"/>
          <w:b w:val="0"/>
          <w:szCs w:val="22"/>
        </w:rPr>
      </w:pPr>
      <w:r>
        <w:t>Division 5 — Interest</w:t>
      </w:r>
    </w:p>
    <w:p w:rsidR="006169FD" w:rsidRDefault="006169FD">
      <w:pPr>
        <w:pStyle w:val="TOC8"/>
        <w:rPr>
          <w:rFonts w:asciiTheme="minorHAnsi" w:eastAsiaTheme="minorEastAsia" w:hAnsiTheme="minorHAnsi" w:cstheme="minorBidi"/>
          <w:szCs w:val="22"/>
        </w:rPr>
      </w:pPr>
      <w:r>
        <w:t>23</w:t>
      </w:r>
      <w:r w:rsidRPr="00AA3DF9">
        <w:rPr>
          <w:snapToGrid w:val="0"/>
        </w:rPr>
        <w:t>.</w:t>
      </w:r>
      <w:r w:rsidRPr="00AA3DF9">
        <w:rPr>
          <w:snapToGrid w:val="0"/>
        </w:rPr>
        <w:tab/>
        <w:t>Interest on debts</w:t>
      </w:r>
      <w:r>
        <w:tab/>
      </w:r>
      <w:r>
        <w:fldChar w:fldCharType="begin"/>
      </w:r>
      <w:r>
        <w:instrText xml:space="preserve"> PAGEREF _Toc75863513 \h </w:instrText>
      </w:r>
      <w:r>
        <w:fldChar w:fldCharType="separate"/>
      </w:r>
      <w:r w:rsidR="00FC1D84">
        <w:t>381</w:t>
      </w:r>
      <w:r>
        <w:fldChar w:fldCharType="end"/>
      </w:r>
    </w:p>
    <w:p w:rsidR="006169FD" w:rsidRDefault="006169FD">
      <w:pPr>
        <w:pStyle w:val="TOC8"/>
        <w:rPr>
          <w:rFonts w:asciiTheme="minorHAnsi" w:eastAsiaTheme="minorEastAsia" w:hAnsiTheme="minorHAnsi" w:cstheme="minorBidi"/>
          <w:szCs w:val="22"/>
        </w:rPr>
      </w:pPr>
      <w:r>
        <w:t>24</w:t>
      </w:r>
      <w:r w:rsidRPr="00AA3DF9">
        <w:rPr>
          <w:snapToGrid w:val="0"/>
        </w:rPr>
        <w:t>.</w:t>
      </w:r>
      <w:r w:rsidRPr="00AA3DF9">
        <w:rPr>
          <w:snapToGrid w:val="0"/>
        </w:rPr>
        <w:tab/>
        <w:t>Interest on legacies</w:t>
      </w:r>
      <w:r>
        <w:tab/>
      </w:r>
      <w:r>
        <w:fldChar w:fldCharType="begin"/>
      </w:r>
      <w:r>
        <w:instrText xml:space="preserve"> PAGEREF _Toc75863514 \h </w:instrText>
      </w:r>
      <w:r>
        <w:fldChar w:fldCharType="separate"/>
      </w:r>
      <w:r w:rsidR="00FC1D84">
        <w:t>381</w:t>
      </w:r>
      <w:r>
        <w:fldChar w:fldCharType="end"/>
      </w:r>
    </w:p>
    <w:p w:rsidR="006169FD" w:rsidRDefault="006169FD">
      <w:pPr>
        <w:pStyle w:val="TOC4"/>
        <w:tabs>
          <w:tab w:val="right" w:leader="dot" w:pos="7077"/>
        </w:tabs>
        <w:rPr>
          <w:rFonts w:asciiTheme="minorHAnsi" w:eastAsiaTheme="minorEastAsia" w:hAnsiTheme="minorHAnsi" w:cstheme="minorBidi"/>
          <w:b w:val="0"/>
          <w:szCs w:val="22"/>
        </w:rPr>
      </w:pPr>
      <w:r>
        <w:t>Division 6 — Masters’ and registrars’ certificates</w:t>
      </w:r>
    </w:p>
    <w:p w:rsidR="006169FD" w:rsidRDefault="006169FD">
      <w:pPr>
        <w:pStyle w:val="TOC8"/>
        <w:rPr>
          <w:rFonts w:asciiTheme="minorHAnsi" w:eastAsiaTheme="minorEastAsia" w:hAnsiTheme="minorHAnsi" w:cstheme="minorBidi"/>
          <w:szCs w:val="22"/>
        </w:rPr>
      </w:pPr>
      <w:r>
        <w:t>25</w:t>
      </w:r>
      <w:r w:rsidRPr="00AA3DF9">
        <w:rPr>
          <w:snapToGrid w:val="0"/>
        </w:rPr>
        <w:t>.</w:t>
      </w:r>
      <w:r w:rsidRPr="00AA3DF9">
        <w:rPr>
          <w:snapToGrid w:val="0"/>
        </w:rPr>
        <w:tab/>
        <w:t>Master’s certificate</w:t>
      </w:r>
      <w:r>
        <w:tab/>
      </w:r>
      <w:r>
        <w:fldChar w:fldCharType="begin"/>
      </w:r>
      <w:r>
        <w:instrText xml:space="preserve"> PAGEREF _Toc75863516 \h </w:instrText>
      </w:r>
      <w:r>
        <w:fldChar w:fldCharType="separate"/>
      </w:r>
      <w:r w:rsidR="00FC1D84">
        <w:t>381</w:t>
      </w:r>
      <w:r>
        <w:fldChar w:fldCharType="end"/>
      </w:r>
    </w:p>
    <w:p w:rsidR="006169FD" w:rsidRDefault="006169FD">
      <w:pPr>
        <w:pStyle w:val="TOC8"/>
        <w:rPr>
          <w:rFonts w:asciiTheme="minorHAnsi" w:eastAsiaTheme="minorEastAsia" w:hAnsiTheme="minorHAnsi" w:cstheme="minorBidi"/>
          <w:szCs w:val="22"/>
        </w:rPr>
      </w:pPr>
      <w:r>
        <w:t>26</w:t>
      </w:r>
      <w:r w:rsidRPr="00AA3DF9">
        <w:rPr>
          <w:snapToGrid w:val="0"/>
        </w:rPr>
        <w:t>.</w:t>
      </w:r>
      <w:r w:rsidRPr="00AA3DF9">
        <w:rPr>
          <w:snapToGrid w:val="0"/>
        </w:rPr>
        <w:tab/>
        <w:t>Settling and filing master’s certificate</w:t>
      </w:r>
      <w:r>
        <w:tab/>
      </w:r>
      <w:r>
        <w:fldChar w:fldCharType="begin"/>
      </w:r>
      <w:r>
        <w:instrText xml:space="preserve"> PAGEREF _Toc75863517 \h </w:instrText>
      </w:r>
      <w:r>
        <w:fldChar w:fldCharType="separate"/>
      </w:r>
      <w:r w:rsidR="00FC1D84">
        <w:t>382</w:t>
      </w:r>
      <w:r>
        <w:fldChar w:fldCharType="end"/>
      </w:r>
    </w:p>
    <w:p w:rsidR="006169FD" w:rsidRDefault="006169FD">
      <w:pPr>
        <w:pStyle w:val="TOC8"/>
        <w:rPr>
          <w:rFonts w:asciiTheme="minorHAnsi" w:eastAsiaTheme="minorEastAsia" w:hAnsiTheme="minorHAnsi" w:cstheme="minorBidi"/>
          <w:szCs w:val="22"/>
        </w:rPr>
      </w:pPr>
      <w:r>
        <w:t>27</w:t>
      </w:r>
      <w:r w:rsidRPr="00AA3DF9">
        <w:rPr>
          <w:snapToGrid w:val="0"/>
        </w:rPr>
        <w:t>.</w:t>
      </w:r>
      <w:r w:rsidRPr="00AA3DF9">
        <w:rPr>
          <w:snapToGrid w:val="0"/>
        </w:rPr>
        <w:tab/>
        <w:t>Judge may determine questions in proceedings before master</w:t>
      </w:r>
      <w:r>
        <w:tab/>
      </w:r>
      <w:r>
        <w:fldChar w:fldCharType="begin"/>
      </w:r>
      <w:r>
        <w:instrText xml:space="preserve"> PAGEREF _Toc75863518 \h </w:instrText>
      </w:r>
      <w:r>
        <w:fldChar w:fldCharType="separate"/>
      </w:r>
      <w:r w:rsidR="00FC1D84">
        <w:t>382</w:t>
      </w:r>
      <w:r>
        <w:fldChar w:fldCharType="end"/>
      </w:r>
    </w:p>
    <w:p w:rsidR="006169FD" w:rsidRDefault="006169FD">
      <w:pPr>
        <w:pStyle w:val="TOC8"/>
        <w:rPr>
          <w:rFonts w:asciiTheme="minorHAnsi" w:eastAsiaTheme="minorEastAsia" w:hAnsiTheme="minorHAnsi" w:cstheme="minorBidi"/>
          <w:szCs w:val="22"/>
        </w:rPr>
      </w:pPr>
      <w:r>
        <w:t>28</w:t>
      </w:r>
      <w:r w:rsidRPr="00AA3DF9">
        <w:rPr>
          <w:snapToGrid w:val="0"/>
        </w:rPr>
        <w:t>.</w:t>
      </w:r>
      <w:r w:rsidRPr="00AA3DF9">
        <w:rPr>
          <w:snapToGrid w:val="0"/>
        </w:rPr>
        <w:tab/>
        <w:t>Appeal against master’s certificate</w:t>
      </w:r>
      <w:r>
        <w:tab/>
      </w:r>
      <w:r>
        <w:fldChar w:fldCharType="begin"/>
      </w:r>
      <w:r>
        <w:instrText xml:space="preserve"> PAGEREF _Toc75863519 \h </w:instrText>
      </w:r>
      <w:r>
        <w:fldChar w:fldCharType="separate"/>
      </w:r>
      <w:r w:rsidR="00FC1D84">
        <w:t>383</w:t>
      </w:r>
      <w:r>
        <w:fldChar w:fldCharType="end"/>
      </w:r>
    </w:p>
    <w:p w:rsidR="006169FD" w:rsidRDefault="006169FD">
      <w:pPr>
        <w:pStyle w:val="TOC8"/>
        <w:rPr>
          <w:rFonts w:asciiTheme="minorHAnsi" w:eastAsiaTheme="minorEastAsia" w:hAnsiTheme="minorHAnsi" w:cstheme="minorBidi"/>
          <w:szCs w:val="22"/>
        </w:rPr>
      </w:pPr>
      <w:r>
        <w:t>28A</w:t>
      </w:r>
      <w:r w:rsidRPr="00AA3DF9">
        <w:rPr>
          <w:snapToGrid w:val="0"/>
        </w:rPr>
        <w:t>.</w:t>
      </w:r>
      <w:r w:rsidRPr="00AA3DF9">
        <w:rPr>
          <w:snapToGrid w:val="0"/>
        </w:rPr>
        <w:tab/>
        <w:t>Judge may discharge or vary registrar’s certificate</w:t>
      </w:r>
      <w:r>
        <w:tab/>
      </w:r>
      <w:r>
        <w:fldChar w:fldCharType="begin"/>
      </w:r>
      <w:r>
        <w:instrText xml:space="preserve"> PAGEREF _Toc75863520 \h </w:instrText>
      </w:r>
      <w:r>
        <w:fldChar w:fldCharType="separate"/>
      </w:r>
      <w:r w:rsidR="00FC1D84">
        <w:t>384</w:t>
      </w:r>
      <w:r>
        <w:fldChar w:fldCharType="end"/>
      </w:r>
    </w:p>
    <w:p w:rsidR="006169FD" w:rsidRDefault="006169FD">
      <w:pPr>
        <w:pStyle w:val="TOC4"/>
        <w:tabs>
          <w:tab w:val="right" w:leader="dot" w:pos="7077"/>
        </w:tabs>
        <w:rPr>
          <w:rFonts w:asciiTheme="minorHAnsi" w:eastAsiaTheme="minorEastAsia" w:hAnsiTheme="minorHAnsi" w:cstheme="minorBidi"/>
          <w:b w:val="0"/>
          <w:szCs w:val="22"/>
        </w:rPr>
      </w:pPr>
      <w:r>
        <w:t>Division 7 — Further consideration</w:t>
      </w:r>
    </w:p>
    <w:p w:rsidR="006169FD" w:rsidRDefault="006169FD">
      <w:pPr>
        <w:pStyle w:val="TOC8"/>
        <w:rPr>
          <w:rFonts w:asciiTheme="minorHAnsi" w:eastAsiaTheme="minorEastAsia" w:hAnsiTheme="minorHAnsi" w:cstheme="minorBidi"/>
          <w:szCs w:val="22"/>
        </w:rPr>
      </w:pPr>
      <w:r>
        <w:t>29</w:t>
      </w:r>
      <w:r w:rsidRPr="00AA3DF9">
        <w:rPr>
          <w:snapToGrid w:val="0"/>
        </w:rPr>
        <w:t>.</w:t>
      </w:r>
      <w:r w:rsidRPr="00AA3DF9">
        <w:rPr>
          <w:snapToGrid w:val="0"/>
        </w:rPr>
        <w:tab/>
        <w:t>Summons to have matter in chambers further considered</w:t>
      </w:r>
      <w:r>
        <w:tab/>
      </w:r>
      <w:r>
        <w:fldChar w:fldCharType="begin"/>
      </w:r>
      <w:r>
        <w:instrText xml:space="preserve"> PAGEREF _Toc75863522 \h </w:instrText>
      </w:r>
      <w:r>
        <w:fldChar w:fldCharType="separate"/>
      </w:r>
      <w:r w:rsidR="00FC1D84">
        <w:t>384</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62 — </w:t>
      </w:r>
      <w:r w:rsidRPr="00AA3DF9">
        <w:rPr>
          <w:i/>
          <w:iCs/>
        </w:rPr>
        <w:t>Trustees Act 1962</w:t>
      </w:r>
      <w:r>
        <w:t xml:space="preserve"> rules</w:t>
      </w:r>
    </w:p>
    <w:p w:rsidR="006169FD" w:rsidRDefault="006169FD">
      <w:pPr>
        <w:pStyle w:val="TOC8"/>
        <w:rPr>
          <w:rFonts w:asciiTheme="minorHAnsi" w:eastAsiaTheme="minorEastAsia" w:hAnsiTheme="minorHAnsi" w:cstheme="minorBidi"/>
          <w:szCs w:val="22"/>
        </w:rPr>
      </w:pPr>
      <w:r>
        <w:t>1</w:t>
      </w:r>
      <w:r w:rsidRPr="00AA3DF9">
        <w:rPr>
          <w:snapToGrid w:val="0"/>
        </w:rPr>
        <w:t>.</w:t>
      </w:r>
      <w:r w:rsidRPr="00AA3DF9">
        <w:rPr>
          <w:snapToGrid w:val="0"/>
        </w:rPr>
        <w:tab/>
        <w:t>Making applications under Act</w:t>
      </w:r>
      <w:r>
        <w:tab/>
      </w:r>
      <w:r>
        <w:fldChar w:fldCharType="begin"/>
      </w:r>
      <w:r>
        <w:instrText xml:space="preserve"> PAGEREF _Toc75863524 \h </w:instrText>
      </w:r>
      <w:r>
        <w:fldChar w:fldCharType="separate"/>
      </w:r>
      <w:r w:rsidR="00FC1D84">
        <w:t>386</w:t>
      </w:r>
      <w:r>
        <w:fldChar w:fldCharType="end"/>
      </w:r>
    </w:p>
    <w:p w:rsidR="006169FD" w:rsidRDefault="006169FD">
      <w:pPr>
        <w:pStyle w:val="TOC8"/>
        <w:rPr>
          <w:rFonts w:asciiTheme="minorHAnsi" w:eastAsiaTheme="minorEastAsia" w:hAnsiTheme="minorHAnsi" w:cstheme="minorBidi"/>
          <w:szCs w:val="22"/>
        </w:rPr>
      </w:pPr>
      <w:r>
        <w:lastRenderedPageBreak/>
        <w:t>2</w:t>
      </w:r>
      <w:r w:rsidRPr="00AA3DF9">
        <w:rPr>
          <w:snapToGrid w:val="0"/>
        </w:rPr>
        <w:t>.</w:t>
      </w:r>
      <w:r w:rsidRPr="00AA3DF9">
        <w:rPr>
          <w:snapToGrid w:val="0"/>
        </w:rPr>
        <w:tab/>
        <w:t>Title of proceedings</w:t>
      </w:r>
      <w:r>
        <w:tab/>
      </w:r>
      <w:r>
        <w:fldChar w:fldCharType="begin"/>
      </w:r>
      <w:r>
        <w:instrText xml:space="preserve"> PAGEREF _Toc75863525 \h </w:instrText>
      </w:r>
      <w:r>
        <w:fldChar w:fldCharType="separate"/>
      </w:r>
      <w:r w:rsidR="00FC1D84">
        <w:t>386</w:t>
      </w:r>
      <w:r>
        <w:fldChar w:fldCharType="end"/>
      </w:r>
    </w:p>
    <w:p w:rsidR="006169FD" w:rsidRDefault="006169FD">
      <w:pPr>
        <w:pStyle w:val="TOC8"/>
        <w:rPr>
          <w:rFonts w:asciiTheme="minorHAnsi" w:eastAsiaTheme="minorEastAsia" w:hAnsiTheme="minorHAnsi" w:cstheme="minorBidi"/>
          <w:szCs w:val="22"/>
        </w:rPr>
      </w:pPr>
      <w:r>
        <w:t>3</w:t>
      </w:r>
      <w:r w:rsidRPr="00AA3DF9">
        <w:rPr>
          <w:snapToGrid w:val="0"/>
        </w:rPr>
        <w:t>.</w:t>
      </w:r>
      <w:r w:rsidRPr="00AA3DF9">
        <w:rPr>
          <w:snapToGrid w:val="0"/>
        </w:rPr>
        <w:tab/>
        <w:t>Payment into court under Act s. 99</w:t>
      </w:r>
      <w:r>
        <w:tab/>
      </w:r>
      <w:r>
        <w:fldChar w:fldCharType="begin"/>
      </w:r>
      <w:r>
        <w:instrText xml:space="preserve"> PAGEREF _Toc75863526 \h </w:instrText>
      </w:r>
      <w:r>
        <w:fldChar w:fldCharType="separate"/>
      </w:r>
      <w:r w:rsidR="00FC1D84">
        <w:t>386</w:t>
      </w:r>
      <w:r>
        <w:fldChar w:fldCharType="end"/>
      </w:r>
    </w:p>
    <w:p w:rsidR="006169FD" w:rsidRDefault="006169FD">
      <w:pPr>
        <w:pStyle w:val="TOC8"/>
        <w:rPr>
          <w:rFonts w:asciiTheme="minorHAnsi" w:eastAsiaTheme="minorEastAsia" w:hAnsiTheme="minorHAnsi" w:cstheme="minorBidi"/>
          <w:szCs w:val="22"/>
        </w:rPr>
      </w:pPr>
      <w:r>
        <w:t>4</w:t>
      </w:r>
      <w:r w:rsidRPr="00AA3DF9">
        <w:rPr>
          <w:snapToGrid w:val="0"/>
        </w:rPr>
        <w:t>.</w:t>
      </w:r>
      <w:r w:rsidRPr="00AA3DF9">
        <w:rPr>
          <w:snapToGrid w:val="0"/>
        </w:rPr>
        <w:tab/>
        <w:t>Notice of payment in etc.</w:t>
      </w:r>
      <w:r>
        <w:tab/>
      </w:r>
      <w:r>
        <w:fldChar w:fldCharType="begin"/>
      </w:r>
      <w:r>
        <w:instrText xml:space="preserve"> PAGEREF _Toc75863527 \h </w:instrText>
      </w:r>
      <w:r>
        <w:fldChar w:fldCharType="separate"/>
      </w:r>
      <w:r w:rsidR="00FC1D84">
        <w:t>387</w:t>
      </w:r>
      <w:r>
        <w:fldChar w:fldCharType="end"/>
      </w:r>
    </w:p>
    <w:p w:rsidR="006169FD" w:rsidRDefault="006169FD">
      <w:pPr>
        <w:pStyle w:val="TOC8"/>
        <w:rPr>
          <w:rFonts w:asciiTheme="minorHAnsi" w:eastAsiaTheme="minorEastAsia" w:hAnsiTheme="minorHAnsi" w:cstheme="minorBidi"/>
          <w:szCs w:val="22"/>
        </w:rPr>
      </w:pPr>
      <w:r>
        <w:t>5</w:t>
      </w:r>
      <w:r w:rsidRPr="00AA3DF9">
        <w:rPr>
          <w:snapToGrid w:val="0"/>
        </w:rPr>
        <w:t>.</w:t>
      </w:r>
      <w:r w:rsidRPr="00AA3DF9">
        <w:rPr>
          <w:snapToGrid w:val="0"/>
        </w:rPr>
        <w:tab/>
        <w:t>Applications in respect of money etc. paid into court</w:t>
      </w:r>
      <w:r>
        <w:tab/>
      </w:r>
      <w:r>
        <w:fldChar w:fldCharType="begin"/>
      </w:r>
      <w:r>
        <w:instrText xml:space="preserve"> PAGEREF _Toc75863528 \h </w:instrText>
      </w:r>
      <w:r>
        <w:fldChar w:fldCharType="separate"/>
      </w:r>
      <w:r w:rsidR="00FC1D84">
        <w:t>387</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65</w:t>
      </w:r>
      <w:r w:rsidRPr="00AA3DF9">
        <w:rPr>
          <w:b w:val="0"/>
        </w:rPr>
        <w:t> </w:t>
      </w:r>
      <w:r>
        <w:t>—</w:t>
      </w:r>
      <w:r w:rsidRPr="00AA3DF9">
        <w:rPr>
          <w:b w:val="0"/>
        </w:rPr>
        <w:t> </w:t>
      </w:r>
      <w:r>
        <w:t>Appeals to the General Division</w:t>
      </w:r>
    </w:p>
    <w:p w:rsidR="006169FD" w:rsidRDefault="006169FD">
      <w:pPr>
        <w:pStyle w:val="TOC4"/>
        <w:tabs>
          <w:tab w:val="right" w:leader="dot" w:pos="7077"/>
        </w:tabs>
        <w:rPr>
          <w:rFonts w:asciiTheme="minorHAnsi" w:eastAsiaTheme="minorEastAsia" w:hAnsiTheme="minorHAnsi" w:cstheme="minorBidi"/>
          <w:b w:val="0"/>
          <w:szCs w:val="22"/>
        </w:rPr>
      </w:pPr>
      <w:r>
        <w:t>Division 1 — Preliminary matters</w:t>
      </w:r>
    </w:p>
    <w:p w:rsidR="006169FD" w:rsidRDefault="006169FD">
      <w:pPr>
        <w:pStyle w:val="TOC8"/>
        <w:rPr>
          <w:rFonts w:asciiTheme="minorHAnsi" w:eastAsiaTheme="minorEastAsia" w:hAnsiTheme="minorHAnsi" w:cstheme="minorBidi"/>
          <w:szCs w:val="22"/>
        </w:rPr>
      </w:pPr>
      <w:r>
        <w:t>1.</w:t>
      </w:r>
      <w:r>
        <w:tab/>
        <w:t>Terms used</w:t>
      </w:r>
      <w:r>
        <w:tab/>
      </w:r>
      <w:r>
        <w:fldChar w:fldCharType="begin"/>
      </w:r>
      <w:r>
        <w:instrText xml:space="preserve"> PAGEREF _Toc75863531 \h </w:instrText>
      </w:r>
      <w:r>
        <w:fldChar w:fldCharType="separate"/>
      </w:r>
      <w:r w:rsidR="00FC1D84">
        <w:t>388</w:t>
      </w:r>
      <w:r>
        <w:fldChar w:fldCharType="end"/>
      </w:r>
    </w:p>
    <w:p w:rsidR="006169FD" w:rsidRDefault="006169FD">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_Toc75863532 \h </w:instrText>
      </w:r>
      <w:r>
        <w:fldChar w:fldCharType="separate"/>
      </w:r>
      <w:r w:rsidR="00FC1D84">
        <w:t>389</w:t>
      </w:r>
      <w:r>
        <w:fldChar w:fldCharType="end"/>
      </w:r>
    </w:p>
    <w:p w:rsidR="006169FD" w:rsidRDefault="006169FD">
      <w:pPr>
        <w:pStyle w:val="TOC4"/>
        <w:tabs>
          <w:tab w:val="right" w:leader="dot" w:pos="7077"/>
        </w:tabs>
        <w:rPr>
          <w:rFonts w:asciiTheme="minorHAnsi" w:eastAsiaTheme="minorEastAsia" w:hAnsiTheme="minorHAnsi" w:cstheme="minorBidi"/>
          <w:b w:val="0"/>
          <w:szCs w:val="22"/>
        </w:rPr>
      </w:pPr>
      <w:r>
        <w:t>Division 2 — General matters</w:t>
      </w:r>
    </w:p>
    <w:p w:rsidR="006169FD" w:rsidRDefault="006169FD">
      <w:pPr>
        <w:pStyle w:val="TOC8"/>
        <w:rPr>
          <w:rFonts w:asciiTheme="minorHAnsi" w:eastAsiaTheme="minorEastAsia" w:hAnsiTheme="minorHAnsi" w:cstheme="minorBidi"/>
          <w:szCs w:val="22"/>
        </w:rPr>
      </w:pPr>
      <w:r>
        <w:t>3.</w:t>
      </w:r>
      <w:r>
        <w:tab/>
        <w:t>Hearings by telephone</w:t>
      </w:r>
      <w:r>
        <w:tab/>
      </w:r>
      <w:r>
        <w:fldChar w:fldCharType="begin"/>
      </w:r>
      <w:r>
        <w:instrText xml:space="preserve"> PAGEREF _Toc75863534 \h </w:instrText>
      </w:r>
      <w:r>
        <w:fldChar w:fldCharType="separate"/>
      </w:r>
      <w:r w:rsidR="00FC1D84">
        <w:t>389</w:t>
      </w:r>
      <w:r>
        <w:fldChar w:fldCharType="end"/>
      </w:r>
    </w:p>
    <w:p w:rsidR="006169FD" w:rsidRDefault="006169FD">
      <w:pPr>
        <w:pStyle w:val="TOC8"/>
        <w:rPr>
          <w:rFonts w:asciiTheme="minorHAnsi" w:eastAsiaTheme="minorEastAsia" w:hAnsiTheme="minorHAnsi" w:cstheme="minorBidi"/>
          <w:szCs w:val="22"/>
        </w:rPr>
      </w:pPr>
      <w:r>
        <w:t>4.</w:t>
      </w:r>
      <w:r>
        <w:tab/>
        <w:t>Judge’s general jurisdiction</w:t>
      </w:r>
      <w:r>
        <w:tab/>
      </w:r>
      <w:r>
        <w:fldChar w:fldCharType="begin"/>
      </w:r>
      <w:r>
        <w:instrText xml:space="preserve"> PAGEREF _Toc75863535 \h </w:instrText>
      </w:r>
      <w:r>
        <w:fldChar w:fldCharType="separate"/>
      </w:r>
      <w:r w:rsidR="00FC1D84">
        <w:t>390</w:t>
      </w:r>
      <w:r>
        <w:fldChar w:fldCharType="end"/>
      </w:r>
    </w:p>
    <w:p w:rsidR="006169FD" w:rsidRDefault="006169FD">
      <w:pPr>
        <w:pStyle w:val="TOC8"/>
        <w:rPr>
          <w:rFonts w:asciiTheme="minorHAnsi" w:eastAsiaTheme="minorEastAsia" w:hAnsiTheme="minorHAnsi" w:cstheme="minorBidi"/>
          <w:szCs w:val="22"/>
        </w:rPr>
      </w:pPr>
      <w:r>
        <w:t>5.</w:t>
      </w:r>
      <w:r>
        <w:tab/>
        <w:t>Non</w:t>
      </w:r>
      <w:r>
        <w:noBreakHyphen/>
        <w:t>attendance by party, consequences of</w:t>
      </w:r>
      <w:r>
        <w:tab/>
      </w:r>
      <w:r>
        <w:fldChar w:fldCharType="begin"/>
      </w:r>
      <w:r>
        <w:instrText xml:space="preserve"> PAGEREF _Toc75863536 \h </w:instrText>
      </w:r>
      <w:r>
        <w:fldChar w:fldCharType="separate"/>
      </w:r>
      <w:r w:rsidR="00FC1D84">
        <w:t>391</w:t>
      </w:r>
      <w:r>
        <w:fldChar w:fldCharType="end"/>
      </w:r>
    </w:p>
    <w:p w:rsidR="006169FD" w:rsidRDefault="006169FD">
      <w:pPr>
        <w:pStyle w:val="TOC8"/>
        <w:rPr>
          <w:rFonts w:asciiTheme="minorHAnsi" w:eastAsiaTheme="minorEastAsia" w:hAnsiTheme="minorHAnsi" w:cstheme="minorBidi"/>
          <w:szCs w:val="22"/>
        </w:rPr>
      </w:pPr>
      <w:r>
        <w:t>6.</w:t>
      </w:r>
      <w:r>
        <w:tab/>
        <w:t>Decisions made in absence of party</w:t>
      </w:r>
      <w:r>
        <w:tab/>
      </w:r>
      <w:r>
        <w:fldChar w:fldCharType="begin"/>
      </w:r>
      <w:r>
        <w:instrText xml:space="preserve"> PAGEREF _Toc75863537 \h </w:instrText>
      </w:r>
      <w:r>
        <w:fldChar w:fldCharType="separate"/>
      </w:r>
      <w:r w:rsidR="00FC1D84">
        <w:t>391</w:t>
      </w:r>
      <w:r>
        <w:fldChar w:fldCharType="end"/>
      </w:r>
    </w:p>
    <w:p w:rsidR="006169FD" w:rsidRDefault="006169FD">
      <w:pPr>
        <w:pStyle w:val="TOC8"/>
        <w:rPr>
          <w:rFonts w:asciiTheme="minorHAnsi" w:eastAsiaTheme="minorEastAsia" w:hAnsiTheme="minorHAnsi" w:cstheme="minorBidi"/>
          <w:szCs w:val="22"/>
        </w:rPr>
      </w:pPr>
      <w:r>
        <w:t>7.</w:t>
      </w:r>
      <w:r>
        <w:tab/>
        <w:t>Decisions made on the papers</w:t>
      </w:r>
      <w:r>
        <w:tab/>
      </w:r>
      <w:r>
        <w:fldChar w:fldCharType="begin"/>
      </w:r>
      <w:r>
        <w:instrText xml:space="preserve"> PAGEREF _Toc75863538 \h </w:instrText>
      </w:r>
      <w:r>
        <w:fldChar w:fldCharType="separate"/>
      </w:r>
      <w:r w:rsidR="00FC1D84">
        <w:t>391</w:t>
      </w:r>
      <w:r>
        <w:fldChar w:fldCharType="end"/>
      </w:r>
    </w:p>
    <w:p w:rsidR="006169FD" w:rsidRDefault="006169FD">
      <w:pPr>
        <w:pStyle w:val="TOC4"/>
        <w:tabs>
          <w:tab w:val="right" w:leader="dot" w:pos="7077"/>
        </w:tabs>
        <w:rPr>
          <w:rFonts w:asciiTheme="minorHAnsi" w:eastAsiaTheme="minorEastAsia" w:hAnsiTheme="minorHAnsi" w:cstheme="minorBidi"/>
          <w:b w:val="0"/>
          <w:szCs w:val="22"/>
        </w:rPr>
      </w:pPr>
      <w:r>
        <w:t>Division 3 — Procedure on appeals</w:t>
      </w:r>
    </w:p>
    <w:p w:rsidR="006169FD" w:rsidRDefault="006169FD">
      <w:pPr>
        <w:pStyle w:val="TOC8"/>
        <w:rPr>
          <w:rFonts w:asciiTheme="minorHAnsi" w:eastAsiaTheme="minorEastAsia" w:hAnsiTheme="minorHAnsi" w:cstheme="minorBidi"/>
          <w:szCs w:val="22"/>
        </w:rPr>
      </w:pPr>
      <w:r>
        <w:t>8.</w:t>
      </w:r>
      <w:r>
        <w:tab/>
        <w:t>Nature of appeals</w:t>
      </w:r>
      <w:r>
        <w:tab/>
      </w:r>
      <w:r>
        <w:fldChar w:fldCharType="begin"/>
      </w:r>
      <w:r>
        <w:instrText xml:space="preserve"> PAGEREF _Toc75863540 \h </w:instrText>
      </w:r>
      <w:r>
        <w:fldChar w:fldCharType="separate"/>
      </w:r>
      <w:r w:rsidR="00FC1D84">
        <w:t>392</w:t>
      </w:r>
      <w:r>
        <w:fldChar w:fldCharType="end"/>
      </w:r>
    </w:p>
    <w:p w:rsidR="006169FD" w:rsidRDefault="006169FD">
      <w:pPr>
        <w:pStyle w:val="TOC8"/>
        <w:rPr>
          <w:rFonts w:asciiTheme="minorHAnsi" w:eastAsiaTheme="minorEastAsia" w:hAnsiTheme="minorHAnsi" w:cstheme="minorBidi"/>
          <w:szCs w:val="22"/>
        </w:rPr>
      </w:pPr>
      <w:r>
        <w:t>9.</w:t>
      </w:r>
      <w:r>
        <w:tab/>
        <w:t>Time for appealing</w:t>
      </w:r>
      <w:r>
        <w:tab/>
      </w:r>
      <w:r>
        <w:fldChar w:fldCharType="begin"/>
      </w:r>
      <w:r>
        <w:instrText xml:space="preserve"> PAGEREF _Toc75863541 \h </w:instrText>
      </w:r>
      <w:r>
        <w:fldChar w:fldCharType="separate"/>
      </w:r>
      <w:r w:rsidR="00FC1D84">
        <w:t>392</w:t>
      </w:r>
      <w:r>
        <w:fldChar w:fldCharType="end"/>
      </w:r>
    </w:p>
    <w:p w:rsidR="006169FD" w:rsidRDefault="006169FD">
      <w:pPr>
        <w:pStyle w:val="TOC8"/>
        <w:rPr>
          <w:rFonts w:asciiTheme="minorHAnsi" w:eastAsiaTheme="minorEastAsia" w:hAnsiTheme="minorHAnsi" w:cstheme="minorBidi"/>
          <w:szCs w:val="22"/>
        </w:rPr>
      </w:pPr>
      <w:r>
        <w:t>10.</w:t>
      </w:r>
      <w:r>
        <w:tab/>
        <w:t>Appeal, how to commence</w:t>
      </w:r>
      <w:r>
        <w:tab/>
      </w:r>
      <w:r>
        <w:fldChar w:fldCharType="begin"/>
      </w:r>
      <w:r>
        <w:instrText xml:space="preserve"> PAGEREF _Toc75863542 \h </w:instrText>
      </w:r>
      <w:r>
        <w:fldChar w:fldCharType="separate"/>
      </w:r>
      <w:r w:rsidR="00FC1D84">
        <w:t>393</w:t>
      </w:r>
      <w:r>
        <w:fldChar w:fldCharType="end"/>
      </w:r>
    </w:p>
    <w:p w:rsidR="006169FD" w:rsidRDefault="006169FD">
      <w:pPr>
        <w:pStyle w:val="TOC8"/>
        <w:rPr>
          <w:rFonts w:asciiTheme="minorHAnsi" w:eastAsiaTheme="minorEastAsia" w:hAnsiTheme="minorHAnsi" w:cstheme="minorBidi"/>
          <w:szCs w:val="22"/>
        </w:rPr>
      </w:pPr>
      <w:r>
        <w:t>11.</w:t>
      </w:r>
      <w:r>
        <w:tab/>
        <w:t>Primary court to be notified and to supply records</w:t>
      </w:r>
      <w:r>
        <w:tab/>
      </w:r>
      <w:r>
        <w:fldChar w:fldCharType="begin"/>
      </w:r>
      <w:r>
        <w:instrText xml:space="preserve"> PAGEREF _Toc75863543 \h </w:instrText>
      </w:r>
      <w:r>
        <w:fldChar w:fldCharType="separate"/>
      </w:r>
      <w:r w:rsidR="00FC1D84">
        <w:t>394</w:t>
      </w:r>
      <w:r>
        <w:fldChar w:fldCharType="end"/>
      </w:r>
    </w:p>
    <w:p w:rsidR="006169FD" w:rsidRDefault="006169FD">
      <w:pPr>
        <w:pStyle w:val="TOC8"/>
        <w:rPr>
          <w:rFonts w:asciiTheme="minorHAnsi" w:eastAsiaTheme="minorEastAsia" w:hAnsiTheme="minorHAnsi" w:cstheme="minorBidi"/>
          <w:szCs w:val="22"/>
        </w:rPr>
      </w:pPr>
      <w:r>
        <w:t>12.</w:t>
      </w:r>
      <w:r>
        <w:tab/>
        <w:t>Respondent’s options</w:t>
      </w:r>
      <w:r>
        <w:tab/>
      </w:r>
      <w:r>
        <w:fldChar w:fldCharType="begin"/>
      </w:r>
      <w:r>
        <w:instrText xml:space="preserve"> PAGEREF _Toc75863544 \h </w:instrText>
      </w:r>
      <w:r>
        <w:fldChar w:fldCharType="separate"/>
      </w:r>
      <w:r w:rsidR="00FC1D84">
        <w:t>394</w:t>
      </w:r>
      <w:r>
        <w:fldChar w:fldCharType="end"/>
      </w:r>
    </w:p>
    <w:p w:rsidR="006169FD" w:rsidRDefault="006169FD">
      <w:pPr>
        <w:pStyle w:val="TOC8"/>
        <w:rPr>
          <w:rFonts w:asciiTheme="minorHAnsi" w:eastAsiaTheme="minorEastAsia" w:hAnsiTheme="minorHAnsi" w:cstheme="minorBidi"/>
          <w:szCs w:val="22"/>
        </w:rPr>
      </w:pPr>
      <w:r>
        <w:t>13.</w:t>
      </w:r>
      <w:r>
        <w:tab/>
        <w:t>Interim order, applying for</w:t>
      </w:r>
      <w:r>
        <w:tab/>
      </w:r>
      <w:r>
        <w:fldChar w:fldCharType="begin"/>
      </w:r>
      <w:r>
        <w:instrText xml:space="preserve"> PAGEREF _Toc75863545 \h </w:instrText>
      </w:r>
      <w:r>
        <w:fldChar w:fldCharType="separate"/>
      </w:r>
      <w:r w:rsidR="00FC1D84">
        <w:t>395</w:t>
      </w:r>
      <w:r>
        <w:fldChar w:fldCharType="end"/>
      </w:r>
    </w:p>
    <w:p w:rsidR="006169FD" w:rsidRDefault="006169FD">
      <w:pPr>
        <w:pStyle w:val="TOC8"/>
        <w:rPr>
          <w:rFonts w:asciiTheme="minorHAnsi" w:eastAsiaTheme="minorEastAsia" w:hAnsiTheme="minorHAnsi" w:cstheme="minorBidi"/>
          <w:szCs w:val="22"/>
        </w:rPr>
      </w:pPr>
      <w:r>
        <w:t>14.</w:t>
      </w:r>
      <w:r>
        <w:tab/>
        <w:t>Urgent appeal order, nature of</w:t>
      </w:r>
      <w:r>
        <w:tab/>
      </w:r>
      <w:r>
        <w:fldChar w:fldCharType="begin"/>
      </w:r>
      <w:r>
        <w:instrText xml:space="preserve"> PAGEREF _Toc75863546 \h </w:instrText>
      </w:r>
      <w:r>
        <w:fldChar w:fldCharType="separate"/>
      </w:r>
      <w:r w:rsidR="00FC1D84">
        <w:t>395</w:t>
      </w:r>
      <w:r>
        <w:fldChar w:fldCharType="end"/>
      </w:r>
    </w:p>
    <w:p w:rsidR="006169FD" w:rsidRDefault="006169FD">
      <w:pPr>
        <w:pStyle w:val="TOC8"/>
        <w:rPr>
          <w:rFonts w:asciiTheme="minorHAnsi" w:eastAsiaTheme="minorEastAsia" w:hAnsiTheme="minorHAnsi" w:cstheme="minorBidi"/>
          <w:szCs w:val="22"/>
        </w:rPr>
      </w:pPr>
      <w:r>
        <w:t>15.</w:t>
      </w:r>
      <w:r>
        <w:tab/>
        <w:t>Consenting to orders</w:t>
      </w:r>
      <w:r>
        <w:tab/>
      </w:r>
      <w:r>
        <w:fldChar w:fldCharType="begin"/>
      </w:r>
      <w:r>
        <w:instrText xml:space="preserve"> PAGEREF _Toc75863547 \h </w:instrText>
      </w:r>
      <w:r>
        <w:fldChar w:fldCharType="separate"/>
      </w:r>
      <w:r w:rsidR="00FC1D84">
        <w:t>396</w:t>
      </w:r>
      <w:r>
        <w:fldChar w:fldCharType="end"/>
      </w:r>
    </w:p>
    <w:p w:rsidR="006169FD" w:rsidRDefault="006169FD">
      <w:pPr>
        <w:pStyle w:val="TOC8"/>
        <w:rPr>
          <w:rFonts w:asciiTheme="minorHAnsi" w:eastAsiaTheme="minorEastAsia" w:hAnsiTheme="minorHAnsi" w:cstheme="minorBidi"/>
          <w:szCs w:val="22"/>
        </w:rPr>
      </w:pPr>
      <w:r>
        <w:t>16.</w:t>
      </w:r>
      <w:r>
        <w:tab/>
        <w:t>Appeal books not needed unless ordered</w:t>
      </w:r>
      <w:r>
        <w:tab/>
      </w:r>
      <w:r>
        <w:fldChar w:fldCharType="begin"/>
      </w:r>
      <w:r>
        <w:instrText xml:space="preserve"> PAGEREF _Toc75863548 \h </w:instrText>
      </w:r>
      <w:r>
        <w:fldChar w:fldCharType="separate"/>
      </w:r>
      <w:r w:rsidR="00FC1D84">
        <w:t>396</w:t>
      </w:r>
      <w:r>
        <w:fldChar w:fldCharType="end"/>
      </w:r>
    </w:p>
    <w:p w:rsidR="006169FD" w:rsidRDefault="006169FD">
      <w:pPr>
        <w:pStyle w:val="TOC4"/>
        <w:tabs>
          <w:tab w:val="right" w:leader="dot" w:pos="7077"/>
        </w:tabs>
        <w:rPr>
          <w:rFonts w:asciiTheme="minorHAnsi" w:eastAsiaTheme="minorEastAsia" w:hAnsiTheme="minorHAnsi" w:cstheme="minorBidi"/>
          <w:b w:val="0"/>
          <w:szCs w:val="22"/>
        </w:rPr>
      </w:pPr>
      <w:r>
        <w:t>Division 4 — Concluding an appeal</w:t>
      </w:r>
    </w:p>
    <w:p w:rsidR="006169FD" w:rsidRDefault="006169FD">
      <w:pPr>
        <w:pStyle w:val="TOC8"/>
        <w:rPr>
          <w:rFonts w:asciiTheme="minorHAnsi" w:eastAsiaTheme="minorEastAsia" w:hAnsiTheme="minorHAnsi" w:cstheme="minorBidi"/>
          <w:szCs w:val="22"/>
        </w:rPr>
      </w:pPr>
      <w:r>
        <w:t>17.</w:t>
      </w:r>
      <w:r>
        <w:tab/>
        <w:t>Discontinuing an appeal</w:t>
      </w:r>
      <w:r>
        <w:tab/>
      </w:r>
      <w:r>
        <w:fldChar w:fldCharType="begin"/>
      </w:r>
      <w:r>
        <w:instrText xml:space="preserve"> PAGEREF _Toc75863550 \h </w:instrText>
      </w:r>
      <w:r>
        <w:fldChar w:fldCharType="separate"/>
      </w:r>
      <w:r w:rsidR="00FC1D84">
        <w:t>396</w:t>
      </w:r>
      <w:r>
        <w:fldChar w:fldCharType="end"/>
      </w:r>
    </w:p>
    <w:p w:rsidR="006169FD" w:rsidRDefault="006169FD">
      <w:pPr>
        <w:pStyle w:val="TOC8"/>
        <w:rPr>
          <w:rFonts w:asciiTheme="minorHAnsi" w:eastAsiaTheme="minorEastAsia" w:hAnsiTheme="minorHAnsi" w:cstheme="minorBidi"/>
          <w:szCs w:val="22"/>
        </w:rPr>
      </w:pPr>
      <w:r>
        <w:t>18.</w:t>
      </w:r>
      <w:r>
        <w:tab/>
        <w:t>Settling an appeal</w:t>
      </w:r>
      <w:r>
        <w:tab/>
      </w:r>
      <w:r>
        <w:fldChar w:fldCharType="begin"/>
      </w:r>
      <w:r>
        <w:instrText xml:space="preserve"> PAGEREF _Toc75863551 \h </w:instrText>
      </w:r>
      <w:r>
        <w:fldChar w:fldCharType="separate"/>
      </w:r>
      <w:r w:rsidR="00FC1D84">
        <w:t>397</w:t>
      </w:r>
      <w:r>
        <w:fldChar w:fldCharType="end"/>
      </w:r>
    </w:p>
    <w:p w:rsidR="006169FD" w:rsidRDefault="006169FD">
      <w:pPr>
        <w:pStyle w:val="TOC8"/>
        <w:rPr>
          <w:rFonts w:asciiTheme="minorHAnsi" w:eastAsiaTheme="minorEastAsia" w:hAnsiTheme="minorHAnsi" w:cstheme="minorBidi"/>
          <w:szCs w:val="22"/>
        </w:rPr>
      </w:pPr>
      <w:r>
        <w:t>19.</w:t>
      </w:r>
      <w:r>
        <w:tab/>
        <w:t>Return of exhibits</w:t>
      </w:r>
      <w:r>
        <w:tab/>
      </w:r>
      <w:r>
        <w:fldChar w:fldCharType="begin"/>
      </w:r>
      <w:r>
        <w:instrText xml:space="preserve"> PAGEREF _Toc75863552 \h </w:instrText>
      </w:r>
      <w:r>
        <w:fldChar w:fldCharType="separate"/>
      </w:r>
      <w:r w:rsidR="00FC1D84">
        <w:t>397</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65C — </w:t>
      </w:r>
      <w:r w:rsidRPr="00AA3DF9">
        <w:rPr>
          <w:i/>
          <w:iCs/>
        </w:rPr>
        <w:t>Electoral Act 1907</w:t>
      </w:r>
      <w:r>
        <w:t xml:space="preserve"> section 62N rules</w:t>
      </w:r>
    </w:p>
    <w:p w:rsidR="006169FD" w:rsidRDefault="006169FD">
      <w:pPr>
        <w:pStyle w:val="TOC8"/>
        <w:rPr>
          <w:rFonts w:asciiTheme="minorHAnsi" w:eastAsiaTheme="minorEastAsia" w:hAnsiTheme="minorHAnsi" w:cstheme="minorBidi"/>
          <w:szCs w:val="22"/>
        </w:rPr>
      </w:pPr>
      <w:r>
        <w:t>1.</w:t>
      </w:r>
      <w:r>
        <w:tab/>
        <w:t>Term used: Electoral Commissioner</w:t>
      </w:r>
      <w:r>
        <w:tab/>
      </w:r>
      <w:r>
        <w:fldChar w:fldCharType="begin"/>
      </w:r>
      <w:r>
        <w:instrText xml:space="preserve"> PAGEREF _Toc75863554 \h </w:instrText>
      </w:r>
      <w:r>
        <w:fldChar w:fldCharType="separate"/>
      </w:r>
      <w:r w:rsidR="00FC1D84">
        <w:t>400</w:t>
      </w:r>
      <w:r>
        <w:fldChar w:fldCharType="end"/>
      </w:r>
    </w:p>
    <w:p w:rsidR="006169FD" w:rsidRDefault="006169FD">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_Toc75863555 \h </w:instrText>
      </w:r>
      <w:r>
        <w:fldChar w:fldCharType="separate"/>
      </w:r>
      <w:r w:rsidR="00FC1D84">
        <w:t>400</w:t>
      </w:r>
      <w:r>
        <w:fldChar w:fldCharType="end"/>
      </w:r>
    </w:p>
    <w:p w:rsidR="006169FD" w:rsidRDefault="006169FD">
      <w:pPr>
        <w:pStyle w:val="TOC8"/>
        <w:rPr>
          <w:rFonts w:asciiTheme="minorHAnsi" w:eastAsiaTheme="minorEastAsia" w:hAnsiTheme="minorHAnsi" w:cstheme="minorBidi"/>
          <w:szCs w:val="22"/>
        </w:rPr>
      </w:pPr>
      <w:r>
        <w:t>3.</w:t>
      </w:r>
      <w:r>
        <w:tab/>
        <w:t>Application for review</w:t>
      </w:r>
      <w:r>
        <w:tab/>
      </w:r>
      <w:r>
        <w:fldChar w:fldCharType="begin"/>
      </w:r>
      <w:r>
        <w:instrText xml:space="preserve"> PAGEREF _Toc75863556 \h </w:instrText>
      </w:r>
      <w:r>
        <w:fldChar w:fldCharType="separate"/>
      </w:r>
      <w:r w:rsidR="00FC1D84">
        <w:t>400</w:t>
      </w:r>
      <w:r>
        <w:fldChar w:fldCharType="end"/>
      </w:r>
    </w:p>
    <w:p w:rsidR="006169FD" w:rsidRDefault="006169FD">
      <w:pPr>
        <w:pStyle w:val="TOC8"/>
        <w:rPr>
          <w:rFonts w:asciiTheme="minorHAnsi" w:eastAsiaTheme="minorEastAsia" w:hAnsiTheme="minorHAnsi" w:cstheme="minorBidi"/>
          <w:szCs w:val="22"/>
        </w:rPr>
      </w:pPr>
      <w:r>
        <w:t>4.</w:t>
      </w:r>
      <w:r>
        <w:tab/>
        <w:t>Title of proceedings</w:t>
      </w:r>
      <w:r>
        <w:tab/>
      </w:r>
      <w:r>
        <w:fldChar w:fldCharType="begin"/>
      </w:r>
      <w:r>
        <w:instrText xml:space="preserve"> PAGEREF _Toc75863557 \h </w:instrText>
      </w:r>
      <w:r>
        <w:fldChar w:fldCharType="separate"/>
      </w:r>
      <w:r w:rsidR="00FC1D84">
        <w:t>400</w:t>
      </w:r>
      <w:r>
        <w:fldChar w:fldCharType="end"/>
      </w:r>
    </w:p>
    <w:p w:rsidR="006169FD" w:rsidRDefault="006169FD">
      <w:pPr>
        <w:pStyle w:val="TOC8"/>
        <w:rPr>
          <w:rFonts w:asciiTheme="minorHAnsi" w:eastAsiaTheme="minorEastAsia" w:hAnsiTheme="minorHAnsi" w:cstheme="minorBidi"/>
          <w:szCs w:val="22"/>
        </w:rPr>
      </w:pPr>
      <w:r>
        <w:lastRenderedPageBreak/>
        <w:t>5.</w:t>
      </w:r>
      <w:r>
        <w:tab/>
        <w:t>Hearing the review</w:t>
      </w:r>
      <w:r>
        <w:tab/>
      </w:r>
      <w:r>
        <w:fldChar w:fldCharType="begin"/>
      </w:r>
      <w:r>
        <w:instrText xml:space="preserve"> PAGEREF _Toc75863558 \h </w:instrText>
      </w:r>
      <w:r>
        <w:fldChar w:fldCharType="separate"/>
      </w:r>
      <w:r w:rsidR="00FC1D84">
        <w:t>401</w:t>
      </w:r>
      <w:r>
        <w:fldChar w:fldCharType="end"/>
      </w:r>
    </w:p>
    <w:p w:rsidR="006169FD" w:rsidRDefault="006169FD">
      <w:pPr>
        <w:pStyle w:val="TOC8"/>
        <w:rPr>
          <w:rFonts w:asciiTheme="minorHAnsi" w:eastAsiaTheme="minorEastAsia" w:hAnsiTheme="minorHAnsi" w:cstheme="minorBidi"/>
          <w:szCs w:val="22"/>
        </w:rPr>
      </w:pPr>
      <w:r>
        <w:t>6.</w:t>
      </w:r>
      <w:r>
        <w:tab/>
        <w:t>Date of hearing</w:t>
      </w:r>
      <w:r>
        <w:tab/>
      </w:r>
      <w:r>
        <w:fldChar w:fldCharType="begin"/>
      </w:r>
      <w:r>
        <w:instrText xml:space="preserve"> PAGEREF _Toc75863559 \h </w:instrText>
      </w:r>
      <w:r>
        <w:fldChar w:fldCharType="separate"/>
      </w:r>
      <w:r w:rsidR="00FC1D84">
        <w:t>401</w:t>
      </w:r>
      <w:r>
        <w:fldChar w:fldCharType="end"/>
      </w:r>
    </w:p>
    <w:p w:rsidR="006169FD" w:rsidRDefault="006169FD">
      <w:pPr>
        <w:pStyle w:val="TOC8"/>
        <w:rPr>
          <w:rFonts w:asciiTheme="minorHAnsi" w:eastAsiaTheme="minorEastAsia" w:hAnsiTheme="minorHAnsi" w:cstheme="minorBidi"/>
          <w:szCs w:val="22"/>
        </w:rPr>
      </w:pPr>
      <w:r>
        <w:t>7.</w:t>
      </w:r>
      <w:r>
        <w:tab/>
        <w:t>Review book</w:t>
      </w:r>
      <w:r>
        <w:tab/>
      </w:r>
      <w:r>
        <w:fldChar w:fldCharType="begin"/>
      </w:r>
      <w:r>
        <w:instrText xml:space="preserve"> PAGEREF _Toc75863560 \h </w:instrText>
      </w:r>
      <w:r>
        <w:fldChar w:fldCharType="separate"/>
      </w:r>
      <w:r w:rsidR="00FC1D84">
        <w:t>402</w:t>
      </w:r>
      <w:r>
        <w:fldChar w:fldCharType="end"/>
      </w:r>
    </w:p>
    <w:p w:rsidR="006169FD" w:rsidRDefault="006169FD">
      <w:pPr>
        <w:pStyle w:val="TOC8"/>
        <w:rPr>
          <w:rFonts w:asciiTheme="minorHAnsi" w:eastAsiaTheme="minorEastAsia" w:hAnsiTheme="minorHAnsi" w:cstheme="minorBidi"/>
          <w:szCs w:val="22"/>
        </w:rPr>
      </w:pPr>
      <w:r>
        <w:t>8.</w:t>
      </w:r>
      <w:r>
        <w:tab/>
        <w:t>Applicant limited to grounds in originating motion</w:t>
      </w:r>
      <w:r>
        <w:tab/>
      </w:r>
      <w:r>
        <w:fldChar w:fldCharType="begin"/>
      </w:r>
      <w:r>
        <w:instrText xml:space="preserve"> PAGEREF _Toc75863561 \h </w:instrText>
      </w:r>
      <w:r>
        <w:fldChar w:fldCharType="separate"/>
      </w:r>
      <w:r w:rsidR="00FC1D84">
        <w:t>402</w:t>
      </w:r>
      <w:r>
        <w:fldChar w:fldCharType="end"/>
      </w:r>
    </w:p>
    <w:p w:rsidR="006169FD" w:rsidRDefault="006169FD">
      <w:pPr>
        <w:pStyle w:val="TOC8"/>
        <w:rPr>
          <w:rFonts w:asciiTheme="minorHAnsi" w:eastAsiaTheme="minorEastAsia" w:hAnsiTheme="minorHAnsi" w:cstheme="minorBidi"/>
          <w:szCs w:val="22"/>
        </w:rPr>
      </w:pPr>
      <w:r>
        <w:t>9.</w:t>
      </w:r>
      <w:r>
        <w:tab/>
        <w:t>Right to be heard in opposition</w:t>
      </w:r>
      <w:r>
        <w:tab/>
      </w:r>
      <w:r>
        <w:fldChar w:fldCharType="begin"/>
      </w:r>
      <w:r>
        <w:instrText xml:space="preserve"> PAGEREF _Toc75863562 \h </w:instrText>
      </w:r>
      <w:r>
        <w:fldChar w:fldCharType="separate"/>
      </w:r>
      <w:r w:rsidR="00FC1D84">
        <w:t>402</w:t>
      </w:r>
      <w:r>
        <w:fldChar w:fldCharType="end"/>
      </w:r>
    </w:p>
    <w:p w:rsidR="006169FD" w:rsidRDefault="006169FD">
      <w:pPr>
        <w:pStyle w:val="TOC8"/>
        <w:rPr>
          <w:rFonts w:asciiTheme="minorHAnsi" w:eastAsiaTheme="minorEastAsia" w:hAnsiTheme="minorHAnsi" w:cstheme="minorBidi"/>
          <w:szCs w:val="22"/>
        </w:rPr>
      </w:pPr>
      <w:r>
        <w:t>10.</w:t>
      </w:r>
      <w:r>
        <w:tab/>
        <w:t>Additional affidavits, determination of issue etc.</w:t>
      </w:r>
      <w:r>
        <w:tab/>
      </w:r>
      <w:r>
        <w:fldChar w:fldCharType="begin"/>
      </w:r>
      <w:r>
        <w:instrText xml:space="preserve"> PAGEREF _Toc75863563 \h </w:instrText>
      </w:r>
      <w:r>
        <w:fldChar w:fldCharType="separate"/>
      </w:r>
      <w:r w:rsidR="00FC1D84">
        <w:t>403</w:t>
      </w:r>
      <w:r>
        <w:fldChar w:fldCharType="end"/>
      </w:r>
    </w:p>
    <w:p w:rsidR="006169FD" w:rsidRDefault="006169FD">
      <w:pPr>
        <w:pStyle w:val="TOC8"/>
        <w:rPr>
          <w:rFonts w:asciiTheme="minorHAnsi" w:eastAsiaTheme="minorEastAsia" w:hAnsiTheme="minorHAnsi" w:cstheme="minorBidi"/>
          <w:szCs w:val="22"/>
        </w:rPr>
      </w:pPr>
      <w:r>
        <w:t>11.</w:t>
      </w:r>
      <w:r>
        <w:tab/>
        <w:t>Order as to result of review</w:t>
      </w:r>
      <w:r>
        <w:tab/>
      </w:r>
      <w:r>
        <w:fldChar w:fldCharType="begin"/>
      </w:r>
      <w:r>
        <w:instrText xml:space="preserve"> PAGEREF _Toc75863564 \h </w:instrText>
      </w:r>
      <w:r>
        <w:fldChar w:fldCharType="separate"/>
      </w:r>
      <w:r w:rsidR="00FC1D84">
        <w:t>403</w:t>
      </w:r>
      <w:r>
        <w:fldChar w:fldCharType="end"/>
      </w:r>
    </w:p>
    <w:p w:rsidR="006169FD" w:rsidRDefault="006169FD">
      <w:pPr>
        <w:pStyle w:val="TOC8"/>
        <w:rPr>
          <w:rFonts w:asciiTheme="minorHAnsi" w:eastAsiaTheme="minorEastAsia" w:hAnsiTheme="minorHAnsi" w:cstheme="minorBidi"/>
          <w:szCs w:val="22"/>
        </w:rPr>
      </w:pPr>
      <w:r>
        <w:t>12.</w:t>
      </w:r>
      <w:r>
        <w:tab/>
        <w:t>Application of rules of court</w:t>
      </w:r>
      <w:r>
        <w:tab/>
      </w:r>
      <w:r>
        <w:fldChar w:fldCharType="begin"/>
      </w:r>
      <w:r>
        <w:instrText xml:space="preserve"> PAGEREF _Toc75863565 \h </w:instrText>
      </w:r>
      <w:r>
        <w:fldChar w:fldCharType="separate"/>
      </w:r>
      <w:r w:rsidR="00FC1D84">
        <w:t>403</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66 — Costs</w:t>
      </w:r>
    </w:p>
    <w:p w:rsidR="006169FD" w:rsidRDefault="006169FD">
      <w:pPr>
        <w:pStyle w:val="TOC4"/>
        <w:tabs>
          <w:tab w:val="right" w:leader="dot" w:pos="7077"/>
        </w:tabs>
        <w:rPr>
          <w:rFonts w:asciiTheme="minorHAnsi" w:eastAsiaTheme="minorEastAsia" w:hAnsiTheme="minorHAnsi" w:cstheme="minorBidi"/>
          <w:b w:val="0"/>
          <w:szCs w:val="22"/>
        </w:rPr>
      </w:pPr>
      <w:r>
        <w:t>Division 1 — General</w:t>
      </w:r>
    </w:p>
    <w:p w:rsidR="006169FD" w:rsidRDefault="006169FD">
      <w:pPr>
        <w:pStyle w:val="TOC8"/>
        <w:rPr>
          <w:rFonts w:asciiTheme="minorHAnsi" w:eastAsiaTheme="minorEastAsia" w:hAnsiTheme="minorHAnsi" w:cstheme="minorBidi"/>
          <w:szCs w:val="22"/>
        </w:rPr>
      </w:pPr>
      <w:r>
        <w:t>1</w:t>
      </w:r>
      <w:r w:rsidRPr="00AA3DF9">
        <w:rPr>
          <w:snapToGrid w:val="0"/>
        </w:rPr>
        <w:t>.</w:t>
      </w:r>
      <w:r w:rsidRPr="00AA3DF9">
        <w:rPr>
          <w:snapToGrid w:val="0"/>
        </w:rPr>
        <w:tab/>
        <w:t>General rules as to costs</w:t>
      </w:r>
      <w:r>
        <w:tab/>
      </w:r>
      <w:r>
        <w:fldChar w:fldCharType="begin"/>
      </w:r>
      <w:r>
        <w:instrText xml:space="preserve"> PAGEREF _Toc75863568 \h </w:instrText>
      </w:r>
      <w:r>
        <w:fldChar w:fldCharType="separate"/>
      </w:r>
      <w:r w:rsidR="00FC1D84">
        <w:t>404</w:t>
      </w:r>
      <w:r>
        <w:fldChar w:fldCharType="end"/>
      </w:r>
    </w:p>
    <w:p w:rsidR="006169FD" w:rsidRDefault="006169FD">
      <w:pPr>
        <w:pStyle w:val="TOC8"/>
        <w:rPr>
          <w:rFonts w:asciiTheme="minorHAnsi" w:eastAsiaTheme="minorEastAsia" w:hAnsiTheme="minorHAnsi" w:cstheme="minorBidi"/>
          <w:szCs w:val="22"/>
        </w:rPr>
      </w:pPr>
      <w:r>
        <w:t>2</w:t>
      </w:r>
      <w:r w:rsidRPr="00AA3DF9">
        <w:rPr>
          <w:snapToGrid w:val="0"/>
        </w:rPr>
        <w:t>.</w:t>
      </w:r>
      <w:r w:rsidRPr="00AA3DF9">
        <w:rPr>
          <w:snapToGrid w:val="0"/>
        </w:rPr>
        <w:tab/>
        <w:t>Costs where several causes of action, defendants etc.</w:t>
      </w:r>
      <w:r>
        <w:tab/>
      </w:r>
      <w:r>
        <w:fldChar w:fldCharType="begin"/>
      </w:r>
      <w:r>
        <w:instrText xml:space="preserve"> PAGEREF _Toc75863569 \h </w:instrText>
      </w:r>
      <w:r>
        <w:fldChar w:fldCharType="separate"/>
      </w:r>
      <w:r w:rsidR="00FC1D84">
        <w:t>405</w:t>
      </w:r>
      <w:r>
        <w:fldChar w:fldCharType="end"/>
      </w:r>
    </w:p>
    <w:p w:rsidR="006169FD" w:rsidRDefault="006169FD">
      <w:pPr>
        <w:pStyle w:val="TOC8"/>
        <w:rPr>
          <w:rFonts w:asciiTheme="minorHAnsi" w:eastAsiaTheme="minorEastAsia" w:hAnsiTheme="minorHAnsi" w:cstheme="minorBidi"/>
          <w:szCs w:val="22"/>
        </w:rPr>
      </w:pPr>
      <w:r>
        <w:t>3</w:t>
      </w:r>
      <w:r w:rsidRPr="00AA3DF9">
        <w:rPr>
          <w:snapToGrid w:val="0"/>
        </w:rPr>
        <w:t>.</w:t>
      </w:r>
      <w:r w:rsidRPr="00AA3DF9">
        <w:rPr>
          <w:snapToGrid w:val="0"/>
        </w:rPr>
        <w:tab/>
        <w:t>Costs of amendment without leave or where facts or documents not admitted</w:t>
      </w:r>
      <w:r>
        <w:tab/>
      </w:r>
      <w:r>
        <w:fldChar w:fldCharType="begin"/>
      </w:r>
      <w:r>
        <w:instrText xml:space="preserve"> PAGEREF _Toc75863570 \h </w:instrText>
      </w:r>
      <w:r>
        <w:fldChar w:fldCharType="separate"/>
      </w:r>
      <w:r w:rsidR="00FC1D84">
        <w:t>406</w:t>
      </w:r>
      <w:r>
        <w:fldChar w:fldCharType="end"/>
      </w:r>
    </w:p>
    <w:p w:rsidR="006169FD" w:rsidRDefault="006169FD">
      <w:pPr>
        <w:pStyle w:val="TOC8"/>
        <w:rPr>
          <w:rFonts w:asciiTheme="minorHAnsi" w:eastAsiaTheme="minorEastAsia" w:hAnsiTheme="minorHAnsi" w:cstheme="minorBidi"/>
          <w:szCs w:val="22"/>
        </w:rPr>
      </w:pPr>
      <w:r>
        <w:t>4</w:t>
      </w:r>
      <w:r w:rsidRPr="00AA3DF9">
        <w:rPr>
          <w:snapToGrid w:val="0"/>
        </w:rPr>
        <w:t>.</w:t>
      </w:r>
      <w:r w:rsidRPr="00AA3DF9">
        <w:rPr>
          <w:snapToGrid w:val="0"/>
        </w:rPr>
        <w:tab/>
        <w:t>Action as to property, ordering costs out of property</w:t>
      </w:r>
      <w:r>
        <w:tab/>
      </w:r>
      <w:r>
        <w:fldChar w:fldCharType="begin"/>
      </w:r>
      <w:r>
        <w:instrText xml:space="preserve"> PAGEREF _Toc75863571 \h </w:instrText>
      </w:r>
      <w:r>
        <w:fldChar w:fldCharType="separate"/>
      </w:r>
      <w:r w:rsidR="00FC1D84">
        <w:t>406</w:t>
      </w:r>
      <w:r>
        <w:fldChar w:fldCharType="end"/>
      </w:r>
    </w:p>
    <w:p w:rsidR="006169FD" w:rsidRDefault="006169FD">
      <w:pPr>
        <w:pStyle w:val="TOC8"/>
        <w:rPr>
          <w:rFonts w:asciiTheme="minorHAnsi" w:eastAsiaTheme="minorEastAsia" w:hAnsiTheme="minorHAnsi" w:cstheme="minorBidi"/>
          <w:szCs w:val="22"/>
        </w:rPr>
      </w:pPr>
      <w:r>
        <w:t>5</w:t>
      </w:r>
      <w:r w:rsidRPr="00AA3DF9">
        <w:rPr>
          <w:snapToGrid w:val="0"/>
        </w:rPr>
        <w:t>.</w:t>
      </w:r>
      <w:r w:rsidRPr="00AA3DF9">
        <w:rPr>
          <w:snapToGrid w:val="0"/>
        </w:rPr>
        <w:tab/>
        <w:t>Lawyer may be ordered to pay costs etc.</w:t>
      </w:r>
      <w:r>
        <w:tab/>
      </w:r>
      <w:r>
        <w:fldChar w:fldCharType="begin"/>
      </w:r>
      <w:r>
        <w:instrText xml:space="preserve"> PAGEREF _Toc75863572 \h </w:instrText>
      </w:r>
      <w:r>
        <w:fldChar w:fldCharType="separate"/>
      </w:r>
      <w:r w:rsidR="00FC1D84">
        <w:t>407</w:t>
      </w:r>
      <w:r>
        <w:fldChar w:fldCharType="end"/>
      </w:r>
    </w:p>
    <w:p w:rsidR="006169FD" w:rsidRDefault="006169FD">
      <w:pPr>
        <w:pStyle w:val="TOC8"/>
        <w:rPr>
          <w:rFonts w:asciiTheme="minorHAnsi" w:eastAsiaTheme="minorEastAsia" w:hAnsiTheme="minorHAnsi" w:cstheme="minorBidi"/>
          <w:szCs w:val="22"/>
        </w:rPr>
      </w:pPr>
      <w:r>
        <w:t>6</w:t>
      </w:r>
      <w:r w:rsidRPr="00AA3DF9">
        <w:rPr>
          <w:snapToGrid w:val="0"/>
        </w:rPr>
        <w:t>.</w:t>
      </w:r>
      <w:r w:rsidRPr="00AA3DF9">
        <w:rPr>
          <w:snapToGrid w:val="0"/>
        </w:rPr>
        <w:tab/>
        <w:t xml:space="preserve">Solicitor guardian </w:t>
      </w:r>
      <w:r w:rsidRPr="00AA3DF9">
        <w:rPr>
          <w:i/>
          <w:snapToGrid w:val="0"/>
        </w:rPr>
        <w:t>ad litem</w:t>
      </w:r>
      <w:r w:rsidRPr="00AA3DF9">
        <w:rPr>
          <w:snapToGrid w:val="0"/>
        </w:rPr>
        <w:t>, costs of</w:t>
      </w:r>
      <w:r>
        <w:tab/>
      </w:r>
      <w:r>
        <w:fldChar w:fldCharType="begin"/>
      </w:r>
      <w:r>
        <w:instrText xml:space="preserve"> PAGEREF _Toc75863573 \h </w:instrText>
      </w:r>
      <w:r>
        <w:fldChar w:fldCharType="separate"/>
      </w:r>
      <w:r w:rsidR="00FC1D84">
        <w:t>408</w:t>
      </w:r>
      <w:r>
        <w:fldChar w:fldCharType="end"/>
      </w:r>
    </w:p>
    <w:p w:rsidR="006169FD" w:rsidRDefault="006169FD">
      <w:pPr>
        <w:pStyle w:val="TOC8"/>
        <w:rPr>
          <w:rFonts w:asciiTheme="minorHAnsi" w:eastAsiaTheme="minorEastAsia" w:hAnsiTheme="minorHAnsi" w:cstheme="minorBidi"/>
          <w:szCs w:val="22"/>
        </w:rPr>
      </w:pPr>
      <w:r>
        <w:t>7</w:t>
      </w:r>
      <w:r w:rsidRPr="00AA3DF9">
        <w:rPr>
          <w:snapToGrid w:val="0"/>
        </w:rPr>
        <w:t>.</w:t>
      </w:r>
      <w:r w:rsidRPr="00AA3DF9">
        <w:rPr>
          <w:snapToGrid w:val="0"/>
        </w:rPr>
        <w:tab/>
        <w:t>Set</w:t>
      </w:r>
      <w:r w:rsidRPr="00AA3DF9">
        <w:rPr>
          <w:snapToGrid w:val="0"/>
        </w:rPr>
        <w:noBreakHyphen/>
        <w:t>off may be allowed despite solicitor’s lien</w:t>
      </w:r>
      <w:r>
        <w:tab/>
      </w:r>
      <w:r>
        <w:fldChar w:fldCharType="begin"/>
      </w:r>
      <w:r>
        <w:instrText xml:space="preserve"> PAGEREF _Toc75863574 \h </w:instrText>
      </w:r>
      <w:r>
        <w:fldChar w:fldCharType="separate"/>
      </w:r>
      <w:r w:rsidR="00FC1D84">
        <w:t>408</w:t>
      </w:r>
      <w:r>
        <w:fldChar w:fldCharType="end"/>
      </w:r>
    </w:p>
    <w:p w:rsidR="006169FD" w:rsidRDefault="006169FD">
      <w:pPr>
        <w:pStyle w:val="TOC8"/>
        <w:rPr>
          <w:rFonts w:asciiTheme="minorHAnsi" w:eastAsiaTheme="minorEastAsia" w:hAnsiTheme="minorHAnsi" w:cstheme="minorBidi"/>
          <w:szCs w:val="22"/>
        </w:rPr>
      </w:pPr>
      <w:r>
        <w:t>8</w:t>
      </w:r>
      <w:r w:rsidRPr="00AA3DF9">
        <w:rPr>
          <w:snapToGrid w:val="0"/>
        </w:rPr>
        <w:t>.</w:t>
      </w:r>
      <w:r w:rsidRPr="00AA3DF9">
        <w:rPr>
          <w:snapToGrid w:val="0"/>
        </w:rPr>
        <w:tab/>
        <w:t>State solicitors, costs of</w:t>
      </w:r>
      <w:r>
        <w:tab/>
      </w:r>
      <w:r>
        <w:fldChar w:fldCharType="begin"/>
      </w:r>
      <w:r>
        <w:instrText xml:space="preserve"> PAGEREF _Toc75863575 \h </w:instrText>
      </w:r>
      <w:r>
        <w:fldChar w:fldCharType="separate"/>
      </w:r>
      <w:r w:rsidR="00FC1D84">
        <w:t>409</w:t>
      </w:r>
      <w:r>
        <w:fldChar w:fldCharType="end"/>
      </w:r>
    </w:p>
    <w:p w:rsidR="006169FD" w:rsidRDefault="006169FD">
      <w:pPr>
        <w:pStyle w:val="TOC8"/>
        <w:rPr>
          <w:rFonts w:asciiTheme="minorHAnsi" w:eastAsiaTheme="minorEastAsia" w:hAnsiTheme="minorHAnsi" w:cstheme="minorBidi"/>
          <w:szCs w:val="22"/>
        </w:rPr>
      </w:pPr>
      <w:r>
        <w:t>8A.</w:t>
      </w:r>
      <w:r>
        <w:tab/>
        <w:t>Lawyer acting pro bono, costs in case of</w:t>
      </w:r>
      <w:r>
        <w:tab/>
      </w:r>
      <w:r>
        <w:fldChar w:fldCharType="begin"/>
      </w:r>
      <w:r>
        <w:instrText xml:space="preserve"> PAGEREF _Toc75863576 \h </w:instrText>
      </w:r>
      <w:r>
        <w:fldChar w:fldCharType="separate"/>
      </w:r>
      <w:r w:rsidR="00FC1D84">
        <w:t>409</w:t>
      </w:r>
      <w:r>
        <w:fldChar w:fldCharType="end"/>
      </w:r>
    </w:p>
    <w:p w:rsidR="006169FD" w:rsidRDefault="006169FD">
      <w:pPr>
        <w:pStyle w:val="TOC8"/>
        <w:rPr>
          <w:rFonts w:asciiTheme="minorHAnsi" w:eastAsiaTheme="minorEastAsia" w:hAnsiTheme="minorHAnsi" w:cstheme="minorBidi"/>
          <w:szCs w:val="22"/>
        </w:rPr>
      </w:pPr>
      <w:r>
        <w:t>9</w:t>
      </w:r>
      <w:r w:rsidRPr="00AA3DF9">
        <w:rPr>
          <w:snapToGrid w:val="0"/>
        </w:rPr>
        <w:t>.</w:t>
      </w:r>
      <w:r w:rsidRPr="00AA3DF9">
        <w:rPr>
          <w:snapToGrid w:val="0"/>
        </w:rPr>
        <w:tab/>
        <w:t>Restriction of discretion to order costs in some cases</w:t>
      </w:r>
      <w:r>
        <w:tab/>
      </w:r>
      <w:r>
        <w:fldChar w:fldCharType="begin"/>
      </w:r>
      <w:r>
        <w:instrText xml:space="preserve"> PAGEREF _Toc75863577 \h </w:instrText>
      </w:r>
      <w:r>
        <w:fldChar w:fldCharType="separate"/>
      </w:r>
      <w:r w:rsidR="00FC1D84">
        <w:t>409</w:t>
      </w:r>
      <w:r>
        <w:fldChar w:fldCharType="end"/>
      </w:r>
    </w:p>
    <w:p w:rsidR="006169FD" w:rsidRDefault="006169FD">
      <w:pPr>
        <w:pStyle w:val="TOC8"/>
        <w:rPr>
          <w:rFonts w:asciiTheme="minorHAnsi" w:eastAsiaTheme="minorEastAsia" w:hAnsiTheme="minorHAnsi" w:cstheme="minorBidi"/>
          <w:szCs w:val="22"/>
        </w:rPr>
      </w:pPr>
      <w:r>
        <w:t>10</w:t>
      </w:r>
      <w:r w:rsidRPr="00AA3DF9">
        <w:rPr>
          <w:snapToGrid w:val="0"/>
        </w:rPr>
        <w:t>.</w:t>
      </w:r>
      <w:r w:rsidRPr="00AA3DF9">
        <w:rPr>
          <w:snapToGrid w:val="0"/>
        </w:rPr>
        <w:tab/>
        <w:t>Stage at which costs may be dealt with</w:t>
      </w:r>
      <w:r>
        <w:tab/>
      </w:r>
      <w:r>
        <w:fldChar w:fldCharType="begin"/>
      </w:r>
      <w:r>
        <w:instrText xml:space="preserve"> PAGEREF _Toc75863578 \h </w:instrText>
      </w:r>
      <w:r>
        <w:fldChar w:fldCharType="separate"/>
      </w:r>
      <w:r w:rsidR="00FC1D84">
        <w:t>410</w:t>
      </w:r>
      <w:r>
        <w:fldChar w:fldCharType="end"/>
      </w:r>
    </w:p>
    <w:p w:rsidR="006169FD" w:rsidRDefault="006169FD">
      <w:pPr>
        <w:pStyle w:val="TOC8"/>
        <w:rPr>
          <w:rFonts w:asciiTheme="minorHAnsi" w:eastAsiaTheme="minorEastAsia" w:hAnsiTheme="minorHAnsi" w:cstheme="minorBidi"/>
          <w:szCs w:val="22"/>
        </w:rPr>
      </w:pPr>
      <w:r>
        <w:t>11</w:t>
      </w:r>
      <w:r w:rsidRPr="00AA3DF9">
        <w:rPr>
          <w:snapToGrid w:val="0"/>
        </w:rPr>
        <w:t>.</w:t>
      </w:r>
      <w:r w:rsidRPr="00AA3DF9">
        <w:rPr>
          <w:snapToGrid w:val="0"/>
        </w:rPr>
        <w:tab/>
        <w:t>Scale of costs</w:t>
      </w:r>
      <w:r>
        <w:tab/>
      </w:r>
      <w:r>
        <w:fldChar w:fldCharType="begin"/>
      </w:r>
      <w:r>
        <w:instrText xml:space="preserve"> PAGEREF _Toc75863579 \h </w:instrText>
      </w:r>
      <w:r>
        <w:fldChar w:fldCharType="separate"/>
      </w:r>
      <w:r w:rsidR="00FC1D84">
        <w:t>411</w:t>
      </w:r>
      <w:r>
        <w:fldChar w:fldCharType="end"/>
      </w:r>
    </w:p>
    <w:p w:rsidR="006169FD" w:rsidRDefault="006169FD">
      <w:pPr>
        <w:pStyle w:val="TOC8"/>
        <w:rPr>
          <w:rFonts w:asciiTheme="minorHAnsi" w:eastAsiaTheme="minorEastAsia" w:hAnsiTheme="minorHAnsi" w:cstheme="minorBidi"/>
          <w:szCs w:val="22"/>
        </w:rPr>
      </w:pPr>
      <w:r>
        <w:t>13</w:t>
      </w:r>
      <w:r w:rsidRPr="00AA3DF9">
        <w:rPr>
          <w:snapToGrid w:val="0"/>
        </w:rPr>
        <w:t>.</w:t>
      </w:r>
      <w:r w:rsidRPr="00AA3DF9">
        <w:rPr>
          <w:snapToGrid w:val="0"/>
        </w:rPr>
        <w:tab/>
        <w:t>Costs where scale does not apply</w:t>
      </w:r>
      <w:r>
        <w:tab/>
      </w:r>
      <w:r>
        <w:fldChar w:fldCharType="begin"/>
      </w:r>
      <w:r>
        <w:instrText xml:space="preserve"> PAGEREF _Toc75863580 \h </w:instrText>
      </w:r>
      <w:r>
        <w:fldChar w:fldCharType="separate"/>
      </w:r>
      <w:r w:rsidR="00FC1D84">
        <w:t>412</w:t>
      </w:r>
      <w:r>
        <w:fldChar w:fldCharType="end"/>
      </w:r>
    </w:p>
    <w:p w:rsidR="006169FD" w:rsidRDefault="006169FD">
      <w:pPr>
        <w:pStyle w:val="TOC8"/>
        <w:rPr>
          <w:rFonts w:asciiTheme="minorHAnsi" w:eastAsiaTheme="minorEastAsia" w:hAnsiTheme="minorHAnsi" w:cstheme="minorBidi"/>
          <w:szCs w:val="22"/>
        </w:rPr>
      </w:pPr>
      <w:r>
        <w:t>14</w:t>
      </w:r>
      <w:r w:rsidRPr="00AA3DF9">
        <w:rPr>
          <w:snapToGrid w:val="0"/>
        </w:rPr>
        <w:t>.</w:t>
      </w:r>
      <w:r w:rsidRPr="00AA3DF9">
        <w:rPr>
          <w:snapToGrid w:val="0"/>
        </w:rPr>
        <w:tab/>
        <w:t>Lump sum award for costs, interim award as to</w:t>
      </w:r>
      <w:r>
        <w:tab/>
      </w:r>
      <w:r>
        <w:fldChar w:fldCharType="begin"/>
      </w:r>
      <w:r>
        <w:instrText xml:space="preserve"> PAGEREF _Toc75863581 \h </w:instrText>
      </w:r>
      <w:r>
        <w:fldChar w:fldCharType="separate"/>
      </w:r>
      <w:r w:rsidR="00FC1D84">
        <w:t>412</w:t>
      </w:r>
      <w:r>
        <w:fldChar w:fldCharType="end"/>
      </w:r>
    </w:p>
    <w:p w:rsidR="006169FD" w:rsidRDefault="006169FD">
      <w:pPr>
        <w:pStyle w:val="TOC8"/>
        <w:rPr>
          <w:rFonts w:asciiTheme="minorHAnsi" w:eastAsiaTheme="minorEastAsia" w:hAnsiTheme="minorHAnsi" w:cstheme="minorBidi"/>
          <w:szCs w:val="22"/>
        </w:rPr>
      </w:pPr>
      <w:r>
        <w:t>17</w:t>
      </w:r>
      <w:r w:rsidRPr="00AA3DF9">
        <w:rPr>
          <w:snapToGrid w:val="0"/>
        </w:rPr>
        <w:t>.</w:t>
      </w:r>
      <w:r w:rsidRPr="00AA3DF9">
        <w:rPr>
          <w:snapToGrid w:val="0"/>
        </w:rPr>
        <w:tab/>
        <w:t>Cases that Magistrates Court could have decided, costs in</w:t>
      </w:r>
      <w:r>
        <w:tab/>
      </w:r>
      <w:r>
        <w:fldChar w:fldCharType="begin"/>
      </w:r>
      <w:r>
        <w:instrText xml:space="preserve"> PAGEREF _Toc75863582 \h </w:instrText>
      </w:r>
      <w:r>
        <w:fldChar w:fldCharType="separate"/>
      </w:r>
      <w:r w:rsidR="00FC1D84">
        <w:t>412</w:t>
      </w:r>
      <w:r>
        <w:fldChar w:fldCharType="end"/>
      </w:r>
    </w:p>
    <w:p w:rsidR="006169FD" w:rsidRDefault="006169FD">
      <w:pPr>
        <w:pStyle w:val="TOC8"/>
        <w:rPr>
          <w:rFonts w:asciiTheme="minorHAnsi" w:eastAsiaTheme="minorEastAsia" w:hAnsiTheme="minorHAnsi" w:cstheme="minorBidi"/>
          <w:szCs w:val="22"/>
        </w:rPr>
      </w:pPr>
      <w:r>
        <w:t>18</w:t>
      </w:r>
      <w:r w:rsidRPr="00AA3DF9">
        <w:rPr>
          <w:snapToGrid w:val="0"/>
        </w:rPr>
        <w:t>.</w:t>
      </w:r>
      <w:r w:rsidRPr="00AA3DF9">
        <w:rPr>
          <w:snapToGrid w:val="0"/>
        </w:rPr>
        <w:tab/>
        <w:t>Matters not provided for in scale</w:t>
      </w:r>
      <w:r>
        <w:tab/>
      </w:r>
      <w:r>
        <w:fldChar w:fldCharType="begin"/>
      </w:r>
      <w:r>
        <w:instrText xml:space="preserve"> PAGEREF _Toc75863583 \h </w:instrText>
      </w:r>
      <w:r>
        <w:fldChar w:fldCharType="separate"/>
      </w:r>
      <w:r w:rsidR="00FC1D84">
        <w:t>413</w:t>
      </w:r>
      <w:r>
        <w:fldChar w:fldCharType="end"/>
      </w:r>
    </w:p>
    <w:p w:rsidR="006169FD" w:rsidRDefault="006169FD">
      <w:pPr>
        <w:pStyle w:val="TOC8"/>
        <w:rPr>
          <w:rFonts w:asciiTheme="minorHAnsi" w:eastAsiaTheme="minorEastAsia" w:hAnsiTheme="minorHAnsi" w:cstheme="minorBidi"/>
          <w:szCs w:val="22"/>
        </w:rPr>
      </w:pPr>
      <w:r>
        <w:t>19</w:t>
      </w:r>
      <w:r w:rsidRPr="00AA3DF9">
        <w:rPr>
          <w:snapToGrid w:val="0"/>
        </w:rPr>
        <w:t>.</w:t>
      </w:r>
      <w:r w:rsidRPr="00AA3DF9">
        <w:rPr>
          <w:snapToGrid w:val="0"/>
        </w:rPr>
        <w:tab/>
        <w:t>Disbursements etc. allowable on taxation</w:t>
      </w:r>
      <w:r>
        <w:tab/>
      </w:r>
      <w:r>
        <w:fldChar w:fldCharType="begin"/>
      </w:r>
      <w:r>
        <w:instrText xml:space="preserve"> PAGEREF _Toc75863584 \h </w:instrText>
      </w:r>
      <w:r>
        <w:fldChar w:fldCharType="separate"/>
      </w:r>
      <w:r w:rsidR="00FC1D84">
        <w:t>414</w:t>
      </w:r>
      <w:r>
        <w:fldChar w:fldCharType="end"/>
      </w:r>
    </w:p>
    <w:p w:rsidR="006169FD" w:rsidRDefault="006169FD">
      <w:pPr>
        <w:pStyle w:val="TOC8"/>
        <w:rPr>
          <w:rFonts w:asciiTheme="minorHAnsi" w:eastAsiaTheme="minorEastAsia" w:hAnsiTheme="minorHAnsi" w:cstheme="minorBidi"/>
          <w:szCs w:val="22"/>
        </w:rPr>
      </w:pPr>
      <w:r>
        <w:t>20</w:t>
      </w:r>
      <w:r w:rsidRPr="00AA3DF9">
        <w:rPr>
          <w:snapToGrid w:val="0"/>
        </w:rPr>
        <w:t>.</w:t>
      </w:r>
      <w:r w:rsidRPr="00AA3DF9">
        <w:rPr>
          <w:snapToGrid w:val="0"/>
        </w:rPr>
        <w:tab/>
        <w:t>Basis for calculating costs</w:t>
      </w:r>
      <w:r>
        <w:tab/>
      </w:r>
      <w:r>
        <w:fldChar w:fldCharType="begin"/>
      </w:r>
      <w:r>
        <w:instrText xml:space="preserve"> PAGEREF _Toc75863585 \h </w:instrText>
      </w:r>
      <w:r>
        <w:fldChar w:fldCharType="separate"/>
      </w:r>
      <w:r w:rsidR="00FC1D84">
        <w:t>414</w:t>
      </w:r>
      <w:r>
        <w:fldChar w:fldCharType="end"/>
      </w:r>
    </w:p>
    <w:p w:rsidR="006169FD" w:rsidRDefault="006169FD">
      <w:pPr>
        <w:pStyle w:val="TOC8"/>
        <w:rPr>
          <w:rFonts w:asciiTheme="minorHAnsi" w:eastAsiaTheme="minorEastAsia" w:hAnsiTheme="minorHAnsi" w:cstheme="minorBidi"/>
          <w:szCs w:val="22"/>
        </w:rPr>
      </w:pPr>
      <w:r>
        <w:t>21</w:t>
      </w:r>
      <w:r w:rsidRPr="00AA3DF9">
        <w:rPr>
          <w:snapToGrid w:val="0"/>
        </w:rPr>
        <w:t>.</w:t>
      </w:r>
      <w:r w:rsidRPr="00AA3DF9">
        <w:rPr>
          <w:snapToGrid w:val="0"/>
        </w:rPr>
        <w:tab/>
        <w:t>No substantial trial, costs in case of</w:t>
      </w:r>
      <w:r>
        <w:tab/>
      </w:r>
      <w:r>
        <w:fldChar w:fldCharType="begin"/>
      </w:r>
      <w:r>
        <w:instrText xml:space="preserve"> PAGEREF _Toc75863586 \h </w:instrText>
      </w:r>
      <w:r>
        <w:fldChar w:fldCharType="separate"/>
      </w:r>
      <w:r w:rsidR="00FC1D84">
        <w:t>415</w:t>
      </w:r>
      <w:r>
        <w:fldChar w:fldCharType="end"/>
      </w:r>
    </w:p>
    <w:p w:rsidR="006169FD" w:rsidRDefault="006169FD">
      <w:pPr>
        <w:pStyle w:val="TOC8"/>
        <w:rPr>
          <w:rFonts w:asciiTheme="minorHAnsi" w:eastAsiaTheme="minorEastAsia" w:hAnsiTheme="minorHAnsi" w:cstheme="minorBidi"/>
          <w:szCs w:val="22"/>
        </w:rPr>
      </w:pPr>
      <w:r>
        <w:t>23</w:t>
      </w:r>
      <w:r w:rsidRPr="00AA3DF9">
        <w:rPr>
          <w:snapToGrid w:val="0"/>
        </w:rPr>
        <w:t>.</w:t>
      </w:r>
      <w:r w:rsidRPr="00AA3DF9">
        <w:rPr>
          <w:snapToGrid w:val="0"/>
        </w:rPr>
        <w:tab/>
        <w:t>Certain fees in scales may be increased if inadequate</w:t>
      </w:r>
      <w:r>
        <w:tab/>
      </w:r>
      <w:r>
        <w:fldChar w:fldCharType="begin"/>
      </w:r>
      <w:r>
        <w:instrText xml:space="preserve"> PAGEREF _Toc75863587 \h </w:instrText>
      </w:r>
      <w:r>
        <w:fldChar w:fldCharType="separate"/>
      </w:r>
      <w:r w:rsidR="00FC1D84">
        <w:t>415</w:t>
      </w:r>
      <w:r>
        <w:fldChar w:fldCharType="end"/>
      </w:r>
    </w:p>
    <w:p w:rsidR="006169FD" w:rsidRDefault="006169FD">
      <w:pPr>
        <w:pStyle w:val="TOC8"/>
        <w:rPr>
          <w:rFonts w:asciiTheme="minorHAnsi" w:eastAsiaTheme="minorEastAsia" w:hAnsiTheme="minorHAnsi" w:cstheme="minorBidi"/>
          <w:szCs w:val="22"/>
        </w:rPr>
      </w:pPr>
      <w:r>
        <w:t>24</w:t>
      </w:r>
      <w:r w:rsidRPr="00AA3DF9">
        <w:rPr>
          <w:snapToGrid w:val="0"/>
        </w:rPr>
        <w:t>.</w:t>
      </w:r>
      <w:r w:rsidRPr="00AA3DF9">
        <w:rPr>
          <w:snapToGrid w:val="0"/>
        </w:rPr>
        <w:tab/>
        <w:t>Judgment for person under disability, solicitor’s costs in case of</w:t>
      </w:r>
      <w:r>
        <w:tab/>
      </w:r>
      <w:r>
        <w:fldChar w:fldCharType="begin"/>
      </w:r>
      <w:r>
        <w:instrText xml:space="preserve"> PAGEREF _Toc75863588 \h </w:instrText>
      </w:r>
      <w:r>
        <w:fldChar w:fldCharType="separate"/>
      </w:r>
      <w:r w:rsidR="00FC1D84">
        <w:t>416</w:t>
      </w:r>
      <w:r>
        <w:fldChar w:fldCharType="end"/>
      </w:r>
    </w:p>
    <w:p w:rsidR="006169FD" w:rsidRDefault="006169FD">
      <w:pPr>
        <w:pStyle w:val="TOC8"/>
        <w:rPr>
          <w:rFonts w:asciiTheme="minorHAnsi" w:eastAsiaTheme="minorEastAsia" w:hAnsiTheme="minorHAnsi" w:cstheme="minorBidi"/>
          <w:szCs w:val="22"/>
        </w:rPr>
      </w:pPr>
      <w:r>
        <w:t>25.</w:t>
      </w:r>
      <w:r>
        <w:tab/>
        <w:t>Own costs orders</w:t>
      </w:r>
      <w:r>
        <w:tab/>
      </w:r>
      <w:r>
        <w:fldChar w:fldCharType="begin"/>
      </w:r>
      <w:r>
        <w:instrText xml:space="preserve"> PAGEREF _Toc75863589 \h </w:instrText>
      </w:r>
      <w:r>
        <w:fldChar w:fldCharType="separate"/>
      </w:r>
      <w:r w:rsidR="00FC1D84">
        <w:t>417</w:t>
      </w:r>
      <w:r>
        <w:fldChar w:fldCharType="end"/>
      </w:r>
    </w:p>
    <w:p w:rsidR="006169FD" w:rsidRDefault="006169FD">
      <w:pPr>
        <w:pStyle w:val="TOC4"/>
        <w:tabs>
          <w:tab w:val="right" w:leader="dot" w:pos="7077"/>
        </w:tabs>
        <w:rPr>
          <w:rFonts w:asciiTheme="minorHAnsi" w:eastAsiaTheme="minorEastAsia" w:hAnsiTheme="minorHAnsi" w:cstheme="minorBidi"/>
          <w:b w:val="0"/>
          <w:szCs w:val="22"/>
        </w:rPr>
      </w:pPr>
      <w:r>
        <w:lastRenderedPageBreak/>
        <w:t>Division 2 — Taxation of costs</w:t>
      </w:r>
    </w:p>
    <w:p w:rsidR="006169FD" w:rsidRDefault="006169FD">
      <w:pPr>
        <w:pStyle w:val="TOC8"/>
        <w:rPr>
          <w:rFonts w:asciiTheme="minorHAnsi" w:eastAsiaTheme="minorEastAsia" w:hAnsiTheme="minorHAnsi" w:cstheme="minorBidi"/>
          <w:szCs w:val="22"/>
        </w:rPr>
      </w:pPr>
      <w:r>
        <w:t>32</w:t>
      </w:r>
      <w:r w:rsidRPr="00AA3DF9">
        <w:rPr>
          <w:snapToGrid w:val="0"/>
        </w:rPr>
        <w:t>.</w:t>
      </w:r>
      <w:r w:rsidRPr="00AA3DF9">
        <w:rPr>
          <w:snapToGrid w:val="0"/>
        </w:rPr>
        <w:tab/>
        <w:t>Bills of costs to be taxed</w:t>
      </w:r>
      <w:r>
        <w:tab/>
      </w:r>
      <w:r>
        <w:fldChar w:fldCharType="begin"/>
      </w:r>
      <w:r>
        <w:instrText xml:space="preserve"> PAGEREF _Toc75863591 \h </w:instrText>
      </w:r>
      <w:r>
        <w:fldChar w:fldCharType="separate"/>
      </w:r>
      <w:r w:rsidR="00FC1D84">
        <w:t>419</w:t>
      </w:r>
      <w:r>
        <w:fldChar w:fldCharType="end"/>
      </w:r>
    </w:p>
    <w:p w:rsidR="006169FD" w:rsidRDefault="006169FD">
      <w:pPr>
        <w:pStyle w:val="TOC8"/>
        <w:rPr>
          <w:rFonts w:asciiTheme="minorHAnsi" w:eastAsiaTheme="minorEastAsia" w:hAnsiTheme="minorHAnsi" w:cstheme="minorBidi"/>
          <w:szCs w:val="22"/>
        </w:rPr>
      </w:pPr>
      <w:r>
        <w:t>33</w:t>
      </w:r>
      <w:r w:rsidRPr="00AA3DF9">
        <w:rPr>
          <w:snapToGrid w:val="0"/>
        </w:rPr>
        <w:t>.</w:t>
      </w:r>
      <w:r w:rsidRPr="00AA3DF9">
        <w:rPr>
          <w:snapToGrid w:val="0"/>
        </w:rPr>
        <w:tab/>
        <w:t>Indorsements on bill of costs</w:t>
      </w:r>
      <w:r>
        <w:tab/>
      </w:r>
      <w:r>
        <w:fldChar w:fldCharType="begin"/>
      </w:r>
      <w:r>
        <w:instrText xml:space="preserve"> PAGEREF _Toc75863592 \h </w:instrText>
      </w:r>
      <w:r>
        <w:fldChar w:fldCharType="separate"/>
      </w:r>
      <w:r w:rsidR="00FC1D84">
        <w:t>419</w:t>
      </w:r>
      <w:r>
        <w:fldChar w:fldCharType="end"/>
      </w:r>
    </w:p>
    <w:p w:rsidR="006169FD" w:rsidRDefault="006169FD">
      <w:pPr>
        <w:pStyle w:val="TOC8"/>
        <w:rPr>
          <w:rFonts w:asciiTheme="minorHAnsi" w:eastAsiaTheme="minorEastAsia" w:hAnsiTheme="minorHAnsi" w:cstheme="minorBidi"/>
          <w:szCs w:val="22"/>
        </w:rPr>
      </w:pPr>
      <w:r>
        <w:t>34</w:t>
      </w:r>
      <w:r w:rsidRPr="00AA3DF9">
        <w:rPr>
          <w:snapToGrid w:val="0"/>
        </w:rPr>
        <w:t>.</w:t>
      </w:r>
      <w:r w:rsidRPr="00AA3DF9">
        <w:rPr>
          <w:snapToGrid w:val="0"/>
        </w:rPr>
        <w:tab/>
        <w:t>When notice of taxation need not be given</w:t>
      </w:r>
      <w:r>
        <w:tab/>
      </w:r>
      <w:r>
        <w:fldChar w:fldCharType="begin"/>
      </w:r>
      <w:r>
        <w:instrText xml:space="preserve"> PAGEREF _Toc75863593 \h </w:instrText>
      </w:r>
      <w:r>
        <w:fldChar w:fldCharType="separate"/>
      </w:r>
      <w:r w:rsidR="00FC1D84">
        <w:t>419</w:t>
      </w:r>
      <w:r>
        <w:fldChar w:fldCharType="end"/>
      </w:r>
    </w:p>
    <w:p w:rsidR="006169FD" w:rsidRDefault="006169FD">
      <w:pPr>
        <w:pStyle w:val="TOC8"/>
        <w:rPr>
          <w:rFonts w:asciiTheme="minorHAnsi" w:eastAsiaTheme="minorEastAsia" w:hAnsiTheme="minorHAnsi" w:cstheme="minorBidi"/>
          <w:szCs w:val="22"/>
        </w:rPr>
      </w:pPr>
      <w:r>
        <w:t>35</w:t>
      </w:r>
      <w:r w:rsidRPr="00AA3DF9">
        <w:rPr>
          <w:snapToGrid w:val="0"/>
        </w:rPr>
        <w:t>.</w:t>
      </w:r>
      <w:r w:rsidRPr="00AA3DF9">
        <w:rPr>
          <w:snapToGrid w:val="0"/>
        </w:rPr>
        <w:tab/>
        <w:t>Notice of taxation</w:t>
      </w:r>
      <w:r>
        <w:tab/>
      </w:r>
      <w:r>
        <w:fldChar w:fldCharType="begin"/>
      </w:r>
      <w:r>
        <w:instrText xml:space="preserve"> PAGEREF _Toc75863594 \h </w:instrText>
      </w:r>
      <w:r>
        <w:fldChar w:fldCharType="separate"/>
      </w:r>
      <w:r w:rsidR="00FC1D84">
        <w:t>420</w:t>
      </w:r>
      <w:r>
        <w:fldChar w:fldCharType="end"/>
      </w:r>
    </w:p>
    <w:p w:rsidR="006169FD" w:rsidRDefault="006169FD">
      <w:pPr>
        <w:pStyle w:val="TOC8"/>
        <w:rPr>
          <w:rFonts w:asciiTheme="minorHAnsi" w:eastAsiaTheme="minorEastAsia" w:hAnsiTheme="minorHAnsi" w:cstheme="minorBidi"/>
          <w:szCs w:val="22"/>
        </w:rPr>
      </w:pPr>
      <w:r>
        <w:t>36</w:t>
      </w:r>
      <w:r w:rsidRPr="00AA3DF9">
        <w:rPr>
          <w:snapToGrid w:val="0"/>
        </w:rPr>
        <w:t>.</w:t>
      </w:r>
      <w:r w:rsidRPr="00AA3DF9">
        <w:rPr>
          <w:snapToGrid w:val="0"/>
        </w:rPr>
        <w:tab/>
        <w:t>Vouchers as to disbursements to be filed</w:t>
      </w:r>
      <w:r>
        <w:tab/>
      </w:r>
      <w:r>
        <w:fldChar w:fldCharType="begin"/>
      </w:r>
      <w:r>
        <w:instrText xml:space="preserve"> PAGEREF _Toc75863595 \h </w:instrText>
      </w:r>
      <w:r>
        <w:fldChar w:fldCharType="separate"/>
      </w:r>
      <w:r w:rsidR="00FC1D84">
        <w:t>420</w:t>
      </w:r>
      <w:r>
        <w:fldChar w:fldCharType="end"/>
      </w:r>
    </w:p>
    <w:p w:rsidR="006169FD" w:rsidRDefault="006169FD">
      <w:pPr>
        <w:pStyle w:val="TOC8"/>
        <w:rPr>
          <w:rFonts w:asciiTheme="minorHAnsi" w:eastAsiaTheme="minorEastAsia" w:hAnsiTheme="minorHAnsi" w:cstheme="minorBidi"/>
          <w:szCs w:val="22"/>
        </w:rPr>
      </w:pPr>
      <w:r>
        <w:t>37</w:t>
      </w:r>
      <w:r w:rsidRPr="00AA3DF9">
        <w:rPr>
          <w:snapToGrid w:val="0"/>
        </w:rPr>
        <w:t>.</w:t>
      </w:r>
      <w:r w:rsidRPr="00AA3DF9">
        <w:rPr>
          <w:snapToGrid w:val="0"/>
        </w:rPr>
        <w:tab/>
        <w:t>Solicitor delaying taxation</w:t>
      </w:r>
      <w:r>
        <w:tab/>
      </w:r>
      <w:r>
        <w:fldChar w:fldCharType="begin"/>
      </w:r>
      <w:r>
        <w:instrText xml:space="preserve"> PAGEREF _Toc75863596 \h </w:instrText>
      </w:r>
      <w:r>
        <w:fldChar w:fldCharType="separate"/>
      </w:r>
      <w:r w:rsidR="00FC1D84">
        <w:t>420</w:t>
      </w:r>
      <w:r>
        <w:fldChar w:fldCharType="end"/>
      </w:r>
    </w:p>
    <w:p w:rsidR="006169FD" w:rsidRDefault="006169FD">
      <w:pPr>
        <w:pStyle w:val="TOC8"/>
        <w:rPr>
          <w:rFonts w:asciiTheme="minorHAnsi" w:eastAsiaTheme="minorEastAsia" w:hAnsiTheme="minorHAnsi" w:cstheme="minorBidi"/>
          <w:szCs w:val="22"/>
        </w:rPr>
      </w:pPr>
      <w:r>
        <w:t>38</w:t>
      </w:r>
      <w:r w:rsidRPr="00AA3DF9">
        <w:rPr>
          <w:snapToGrid w:val="0"/>
        </w:rPr>
        <w:t>.</w:t>
      </w:r>
      <w:r w:rsidRPr="00AA3DF9">
        <w:rPr>
          <w:snapToGrid w:val="0"/>
        </w:rPr>
        <w:tab/>
        <w:t>Appointment to tax costs to be peremptory</w:t>
      </w:r>
      <w:r>
        <w:tab/>
      </w:r>
      <w:r>
        <w:fldChar w:fldCharType="begin"/>
      </w:r>
      <w:r>
        <w:instrText xml:space="preserve"> PAGEREF _Toc75863597 \h </w:instrText>
      </w:r>
      <w:r>
        <w:fldChar w:fldCharType="separate"/>
      </w:r>
      <w:r w:rsidR="00FC1D84">
        <w:t>420</w:t>
      </w:r>
      <w:r>
        <w:fldChar w:fldCharType="end"/>
      </w:r>
    </w:p>
    <w:p w:rsidR="006169FD" w:rsidRDefault="006169FD">
      <w:pPr>
        <w:pStyle w:val="TOC8"/>
        <w:rPr>
          <w:rFonts w:asciiTheme="minorHAnsi" w:eastAsiaTheme="minorEastAsia" w:hAnsiTheme="minorHAnsi" w:cstheme="minorBidi"/>
          <w:szCs w:val="22"/>
        </w:rPr>
      </w:pPr>
      <w:r>
        <w:t>39</w:t>
      </w:r>
      <w:r w:rsidRPr="00AA3DF9">
        <w:rPr>
          <w:snapToGrid w:val="0"/>
        </w:rPr>
        <w:t>.</w:t>
      </w:r>
      <w:r w:rsidRPr="00AA3DF9">
        <w:rPr>
          <w:snapToGrid w:val="0"/>
        </w:rPr>
        <w:tab/>
        <w:t>Taxing officer may direct bills of costs to be brought in</w:t>
      </w:r>
      <w:r>
        <w:tab/>
      </w:r>
      <w:r>
        <w:fldChar w:fldCharType="begin"/>
      </w:r>
      <w:r>
        <w:instrText xml:space="preserve"> PAGEREF _Toc75863598 \h </w:instrText>
      </w:r>
      <w:r>
        <w:fldChar w:fldCharType="separate"/>
      </w:r>
      <w:r w:rsidR="00FC1D84">
        <w:t>420</w:t>
      </w:r>
      <w:r>
        <w:fldChar w:fldCharType="end"/>
      </w:r>
    </w:p>
    <w:p w:rsidR="006169FD" w:rsidRDefault="006169FD">
      <w:pPr>
        <w:pStyle w:val="TOC8"/>
        <w:rPr>
          <w:rFonts w:asciiTheme="minorHAnsi" w:eastAsiaTheme="minorEastAsia" w:hAnsiTheme="minorHAnsi" w:cstheme="minorBidi"/>
          <w:szCs w:val="22"/>
        </w:rPr>
      </w:pPr>
      <w:r>
        <w:t>40</w:t>
      </w:r>
      <w:r w:rsidRPr="00AA3DF9">
        <w:rPr>
          <w:snapToGrid w:val="0"/>
        </w:rPr>
        <w:t>.</w:t>
      </w:r>
      <w:r w:rsidRPr="00AA3DF9">
        <w:rPr>
          <w:snapToGrid w:val="0"/>
        </w:rPr>
        <w:tab/>
        <w:t>Default by party in taxing costs</w:t>
      </w:r>
      <w:r>
        <w:tab/>
      </w:r>
      <w:r>
        <w:fldChar w:fldCharType="begin"/>
      </w:r>
      <w:r>
        <w:instrText xml:space="preserve"> PAGEREF _Toc75863599 \h </w:instrText>
      </w:r>
      <w:r>
        <w:fldChar w:fldCharType="separate"/>
      </w:r>
      <w:r w:rsidR="00FC1D84">
        <w:t>421</w:t>
      </w:r>
      <w:r>
        <w:fldChar w:fldCharType="end"/>
      </w:r>
    </w:p>
    <w:p w:rsidR="006169FD" w:rsidRDefault="006169FD">
      <w:pPr>
        <w:pStyle w:val="TOC8"/>
        <w:rPr>
          <w:rFonts w:asciiTheme="minorHAnsi" w:eastAsiaTheme="minorEastAsia" w:hAnsiTheme="minorHAnsi" w:cstheme="minorBidi"/>
          <w:szCs w:val="22"/>
        </w:rPr>
      </w:pPr>
      <w:r>
        <w:t>41</w:t>
      </w:r>
      <w:r w:rsidRPr="00AA3DF9">
        <w:rPr>
          <w:snapToGrid w:val="0"/>
        </w:rPr>
        <w:t>.</w:t>
      </w:r>
      <w:r w:rsidRPr="00AA3DF9">
        <w:rPr>
          <w:snapToGrid w:val="0"/>
        </w:rPr>
        <w:tab/>
        <w:t>If costs payable out of property, notice to clients may be directed</w:t>
      </w:r>
      <w:r>
        <w:tab/>
      </w:r>
      <w:r>
        <w:fldChar w:fldCharType="begin"/>
      </w:r>
      <w:r>
        <w:instrText xml:space="preserve"> PAGEREF _Toc75863600 \h </w:instrText>
      </w:r>
      <w:r>
        <w:fldChar w:fldCharType="separate"/>
      </w:r>
      <w:r w:rsidR="00FC1D84">
        <w:t>421</w:t>
      </w:r>
      <w:r>
        <w:fldChar w:fldCharType="end"/>
      </w:r>
    </w:p>
    <w:p w:rsidR="006169FD" w:rsidRDefault="006169FD">
      <w:pPr>
        <w:pStyle w:val="TOC8"/>
        <w:rPr>
          <w:rFonts w:asciiTheme="minorHAnsi" w:eastAsiaTheme="minorEastAsia" w:hAnsiTheme="minorHAnsi" w:cstheme="minorBidi"/>
          <w:szCs w:val="22"/>
        </w:rPr>
      </w:pPr>
      <w:r>
        <w:t>42</w:t>
      </w:r>
      <w:r w:rsidRPr="00AA3DF9">
        <w:rPr>
          <w:snapToGrid w:val="0"/>
        </w:rPr>
        <w:t>.</w:t>
      </w:r>
      <w:r w:rsidRPr="00AA3DF9">
        <w:rPr>
          <w:snapToGrid w:val="0"/>
        </w:rPr>
        <w:tab/>
        <w:t>Bills of costs, content of</w:t>
      </w:r>
      <w:r>
        <w:tab/>
      </w:r>
      <w:r>
        <w:fldChar w:fldCharType="begin"/>
      </w:r>
      <w:r>
        <w:instrText xml:space="preserve"> PAGEREF _Toc75863601 \h </w:instrText>
      </w:r>
      <w:r>
        <w:fldChar w:fldCharType="separate"/>
      </w:r>
      <w:r w:rsidR="00FC1D84">
        <w:t>421</w:t>
      </w:r>
      <w:r>
        <w:fldChar w:fldCharType="end"/>
      </w:r>
    </w:p>
    <w:p w:rsidR="006169FD" w:rsidRDefault="006169FD">
      <w:pPr>
        <w:pStyle w:val="TOC8"/>
        <w:rPr>
          <w:rFonts w:asciiTheme="minorHAnsi" w:eastAsiaTheme="minorEastAsia" w:hAnsiTheme="minorHAnsi" w:cstheme="minorBidi"/>
          <w:szCs w:val="22"/>
        </w:rPr>
      </w:pPr>
      <w:r>
        <w:t>43</w:t>
      </w:r>
      <w:r w:rsidRPr="00AA3DF9">
        <w:rPr>
          <w:snapToGrid w:val="0"/>
        </w:rPr>
        <w:t>.</w:t>
      </w:r>
      <w:r w:rsidRPr="00AA3DF9">
        <w:rPr>
          <w:snapToGrid w:val="0"/>
        </w:rPr>
        <w:tab/>
        <w:t>Taxing officer’s decisions on fact are final</w:t>
      </w:r>
      <w:r>
        <w:tab/>
      </w:r>
      <w:r>
        <w:fldChar w:fldCharType="begin"/>
      </w:r>
      <w:r>
        <w:instrText xml:space="preserve"> PAGEREF _Toc75863602 \h </w:instrText>
      </w:r>
      <w:r>
        <w:fldChar w:fldCharType="separate"/>
      </w:r>
      <w:r w:rsidR="00FC1D84">
        <w:t>422</w:t>
      </w:r>
      <w:r>
        <w:fldChar w:fldCharType="end"/>
      </w:r>
    </w:p>
    <w:p w:rsidR="006169FD" w:rsidRDefault="006169FD">
      <w:pPr>
        <w:pStyle w:val="TOC8"/>
        <w:rPr>
          <w:rFonts w:asciiTheme="minorHAnsi" w:eastAsiaTheme="minorEastAsia" w:hAnsiTheme="minorHAnsi" w:cstheme="minorBidi"/>
          <w:szCs w:val="22"/>
        </w:rPr>
      </w:pPr>
      <w:r>
        <w:t>44</w:t>
      </w:r>
      <w:r w:rsidRPr="00AA3DF9">
        <w:rPr>
          <w:snapToGrid w:val="0"/>
        </w:rPr>
        <w:t>.</w:t>
      </w:r>
      <w:r w:rsidRPr="00AA3DF9">
        <w:rPr>
          <w:snapToGrid w:val="0"/>
        </w:rPr>
        <w:tab/>
        <w:t>Taxing officer’s powers</w:t>
      </w:r>
      <w:r>
        <w:tab/>
      </w:r>
      <w:r>
        <w:fldChar w:fldCharType="begin"/>
      </w:r>
      <w:r>
        <w:instrText xml:space="preserve"> PAGEREF _Toc75863603 \h </w:instrText>
      </w:r>
      <w:r>
        <w:fldChar w:fldCharType="separate"/>
      </w:r>
      <w:r w:rsidR="00FC1D84">
        <w:t>422</w:t>
      </w:r>
      <w:r>
        <w:fldChar w:fldCharType="end"/>
      </w:r>
    </w:p>
    <w:p w:rsidR="006169FD" w:rsidRDefault="006169FD">
      <w:pPr>
        <w:pStyle w:val="TOC8"/>
        <w:rPr>
          <w:rFonts w:asciiTheme="minorHAnsi" w:eastAsiaTheme="minorEastAsia" w:hAnsiTheme="minorHAnsi" w:cstheme="minorBidi"/>
          <w:szCs w:val="22"/>
        </w:rPr>
      </w:pPr>
      <w:r>
        <w:t>45</w:t>
      </w:r>
      <w:r w:rsidRPr="00AA3DF9">
        <w:rPr>
          <w:snapToGrid w:val="0"/>
        </w:rPr>
        <w:t>.</w:t>
      </w:r>
      <w:r w:rsidRPr="00AA3DF9">
        <w:rPr>
          <w:snapToGrid w:val="0"/>
        </w:rPr>
        <w:tab/>
        <w:t>Taxing officer may refer taxation question to Court</w:t>
      </w:r>
      <w:r>
        <w:tab/>
      </w:r>
      <w:r>
        <w:fldChar w:fldCharType="begin"/>
      </w:r>
      <w:r>
        <w:instrText xml:space="preserve"> PAGEREF _Toc75863604 \h </w:instrText>
      </w:r>
      <w:r>
        <w:fldChar w:fldCharType="separate"/>
      </w:r>
      <w:r w:rsidR="00FC1D84">
        <w:t>423</w:t>
      </w:r>
      <w:r>
        <w:fldChar w:fldCharType="end"/>
      </w:r>
    </w:p>
    <w:p w:rsidR="006169FD" w:rsidRDefault="006169FD">
      <w:pPr>
        <w:pStyle w:val="TOC8"/>
        <w:rPr>
          <w:rFonts w:asciiTheme="minorHAnsi" w:eastAsiaTheme="minorEastAsia" w:hAnsiTheme="minorHAnsi" w:cstheme="minorBidi"/>
          <w:szCs w:val="22"/>
        </w:rPr>
      </w:pPr>
      <w:r>
        <w:t>46</w:t>
      </w:r>
      <w:r w:rsidRPr="00AA3DF9">
        <w:rPr>
          <w:snapToGrid w:val="0"/>
        </w:rPr>
        <w:t>.</w:t>
      </w:r>
      <w:r w:rsidRPr="00AA3DF9">
        <w:rPr>
          <w:snapToGrid w:val="0"/>
        </w:rPr>
        <w:tab/>
        <w:t>Where proceedings adjourned into court</w:t>
      </w:r>
      <w:r>
        <w:tab/>
      </w:r>
      <w:r>
        <w:fldChar w:fldCharType="begin"/>
      </w:r>
      <w:r>
        <w:instrText xml:space="preserve"> PAGEREF _Toc75863605 \h </w:instrText>
      </w:r>
      <w:r>
        <w:fldChar w:fldCharType="separate"/>
      </w:r>
      <w:r w:rsidR="00FC1D84">
        <w:t>423</w:t>
      </w:r>
      <w:r>
        <w:fldChar w:fldCharType="end"/>
      </w:r>
    </w:p>
    <w:p w:rsidR="006169FD" w:rsidRDefault="006169FD">
      <w:pPr>
        <w:pStyle w:val="TOC8"/>
        <w:rPr>
          <w:rFonts w:asciiTheme="minorHAnsi" w:eastAsiaTheme="minorEastAsia" w:hAnsiTheme="minorHAnsi" w:cstheme="minorBidi"/>
          <w:szCs w:val="22"/>
        </w:rPr>
      </w:pPr>
      <w:r>
        <w:t>47</w:t>
      </w:r>
      <w:r w:rsidRPr="00AA3DF9">
        <w:rPr>
          <w:snapToGrid w:val="0"/>
        </w:rPr>
        <w:t>.</w:t>
      </w:r>
      <w:r w:rsidRPr="00AA3DF9">
        <w:rPr>
          <w:snapToGrid w:val="0"/>
        </w:rPr>
        <w:tab/>
        <w:t>Interrogatories and discovery, costs of</w:t>
      </w:r>
      <w:r>
        <w:tab/>
      </w:r>
      <w:r>
        <w:fldChar w:fldCharType="begin"/>
      </w:r>
      <w:r>
        <w:instrText xml:space="preserve"> PAGEREF _Toc75863606 \h </w:instrText>
      </w:r>
      <w:r>
        <w:fldChar w:fldCharType="separate"/>
      </w:r>
      <w:r w:rsidR="00FC1D84">
        <w:t>423</w:t>
      </w:r>
      <w:r>
        <w:fldChar w:fldCharType="end"/>
      </w:r>
    </w:p>
    <w:p w:rsidR="006169FD" w:rsidRDefault="006169FD">
      <w:pPr>
        <w:pStyle w:val="TOC8"/>
        <w:rPr>
          <w:rFonts w:asciiTheme="minorHAnsi" w:eastAsiaTheme="minorEastAsia" w:hAnsiTheme="minorHAnsi" w:cstheme="minorBidi"/>
          <w:szCs w:val="22"/>
        </w:rPr>
      </w:pPr>
      <w:r>
        <w:t>48</w:t>
      </w:r>
      <w:r w:rsidRPr="00AA3DF9">
        <w:rPr>
          <w:snapToGrid w:val="0"/>
        </w:rPr>
        <w:t>.</w:t>
      </w:r>
      <w:r w:rsidRPr="00AA3DF9">
        <w:rPr>
          <w:snapToGrid w:val="0"/>
        </w:rPr>
        <w:tab/>
        <w:t>Costs of motion etc. follow event</w:t>
      </w:r>
      <w:r>
        <w:tab/>
      </w:r>
      <w:r>
        <w:fldChar w:fldCharType="begin"/>
      </w:r>
      <w:r>
        <w:instrText xml:space="preserve"> PAGEREF _Toc75863607 \h </w:instrText>
      </w:r>
      <w:r>
        <w:fldChar w:fldCharType="separate"/>
      </w:r>
      <w:r w:rsidR="00FC1D84">
        <w:t>424</w:t>
      </w:r>
      <w:r>
        <w:fldChar w:fldCharType="end"/>
      </w:r>
    </w:p>
    <w:p w:rsidR="006169FD" w:rsidRDefault="006169FD">
      <w:pPr>
        <w:pStyle w:val="TOC8"/>
        <w:rPr>
          <w:rFonts w:asciiTheme="minorHAnsi" w:eastAsiaTheme="minorEastAsia" w:hAnsiTheme="minorHAnsi" w:cstheme="minorBidi"/>
          <w:szCs w:val="22"/>
        </w:rPr>
      </w:pPr>
      <w:r>
        <w:t>49</w:t>
      </w:r>
      <w:r w:rsidRPr="00AA3DF9">
        <w:rPr>
          <w:snapToGrid w:val="0"/>
        </w:rPr>
        <w:t>.</w:t>
      </w:r>
      <w:r w:rsidRPr="00AA3DF9">
        <w:rPr>
          <w:snapToGrid w:val="0"/>
        </w:rPr>
        <w:tab/>
        <w:t>Motion etc. stood over to trial and no order made as to costs, costs in case of</w:t>
      </w:r>
      <w:r>
        <w:tab/>
      </w:r>
      <w:r>
        <w:fldChar w:fldCharType="begin"/>
      </w:r>
      <w:r>
        <w:instrText xml:space="preserve"> PAGEREF _Toc75863608 \h </w:instrText>
      </w:r>
      <w:r>
        <w:fldChar w:fldCharType="separate"/>
      </w:r>
      <w:r w:rsidR="00FC1D84">
        <w:t>424</w:t>
      </w:r>
      <w:r>
        <w:fldChar w:fldCharType="end"/>
      </w:r>
    </w:p>
    <w:p w:rsidR="006169FD" w:rsidRDefault="006169FD">
      <w:pPr>
        <w:pStyle w:val="TOC8"/>
        <w:rPr>
          <w:rFonts w:asciiTheme="minorHAnsi" w:eastAsiaTheme="minorEastAsia" w:hAnsiTheme="minorHAnsi" w:cstheme="minorBidi"/>
          <w:szCs w:val="22"/>
        </w:rPr>
      </w:pPr>
      <w:r>
        <w:t>50</w:t>
      </w:r>
      <w:r w:rsidRPr="00AA3DF9">
        <w:rPr>
          <w:snapToGrid w:val="0"/>
        </w:rPr>
        <w:t>.</w:t>
      </w:r>
      <w:r w:rsidRPr="00AA3DF9">
        <w:rPr>
          <w:snapToGrid w:val="0"/>
        </w:rPr>
        <w:tab/>
        <w:t>Costs reserved</w:t>
      </w:r>
      <w:r>
        <w:tab/>
      </w:r>
      <w:r>
        <w:fldChar w:fldCharType="begin"/>
      </w:r>
      <w:r>
        <w:instrText xml:space="preserve"> PAGEREF _Toc75863609 \h </w:instrText>
      </w:r>
      <w:r>
        <w:fldChar w:fldCharType="separate"/>
      </w:r>
      <w:r w:rsidR="00FC1D84">
        <w:t>424</w:t>
      </w:r>
      <w:r>
        <w:fldChar w:fldCharType="end"/>
      </w:r>
    </w:p>
    <w:p w:rsidR="006169FD" w:rsidRDefault="006169FD">
      <w:pPr>
        <w:pStyle w:val="TOC8"/>
        <w:rPr>
          <w:rFonts w:asciiTheme="minorHAnsi" w:eastAsiaTheme="minorEastAsia" w:hAnsiTheme="minorHAnsi" w:cstheme="minorBidi"/>
          <w:szCs w:val="22"/>
        </w:rPr>
      </w:pPr>
      <w:r>
        <w:t>51.</w:t>
      </w:r>
      <w:r>
        <w:tab/>
        <w:t>When Court may fix costs</w:t>
      </w:r>
      <w:r>
        <w:tab/>
      </w:r>
      <w:r>
        <w:fldChar w:fldCharType="begin"/>
      </w:r>
      <w:r>
        <w:instrText xml:space="preserve"> PAGEREF _Toc75863610 \h </w:instrText>
      </w:r>
      <w:r>
        <w:fldChar w:fldCharType="separate"/>
      </w:r>
      <w:r w:rsidR="00FC1D84">
        <w:t>424</w:t>
      </w:r>
      <w:r>
        <w:fldChar w:fldCharType="end"/>
      </w:r>
    </w:p>
    <w:p w:rsidR="006169FD" w:rsidRDefault="006169FD">
      <w:pPr>
        <w:pStyle w:val="TOC8"/>
        <w:rPr>
          <w:rFonts w:asciiTheme="minorHAnsi" w:eastAsiaTheme="minorEastAsia" w:hAnsiTheme="minorHAnsi" w:cstheme="minorBidi"/>
          <w:szCs w:val="22"/>
        </w:rPr>
      </w:pPr>
      <w:r>
        <w:t>52</w:t>
      </w:r>
      <w:r w:rsidRPr="00AA3DF9">
        <w:rPr>
          <w:snapToGrid w:val="0"/>
        </w:rPr>
        <w:t>.</w:t>
      </w:r>
      <w:r w:rsidRPr="00AA3DF9">
        <w:rPr>
          <w:snapToGrid w:val="0"/>
        </w:rPr>
        <w:tab/>
        <w:t>Taxing officer may refer question to judge if costs to be apportioned etc.</w:t>
      </w:r>
      <w:r>
        <w:tab/>
      </w:r>
      <w:r>
        <w:fldChar w:fldCharType="begin"/>
      </w:r>
      <w:r>
        <w:instrText xml:space="preserve"> PAGEREF _Toc75863611 \h </w:instrText>
      </w:r>
      <w:r>
        <w:fldChar w:fldCharType="separate"/>
      </w:r>
      <w:r w:rsidR="00FC1D84">
        <w:t>425</w:t>
      </w:r>
      <w:r>
        <w:fldChar w:fldCharType="end"/>
      </w:r>
    </w:p>
    <w:p w:rsidR="006169FD" w:rsidRDefault="006169FD">
      <w:pPr>
        <w:pStyle w:val="TOC4"/>
        <w:tabs>
          <w:tab w:val="right" w:leader="dot" w:pos="7077"/>
        </w:tabs>
        <w:rPr>
          <w:rFonts w:asciiTheme="minorHAnsi" w:eastAsiaTheme="minorEastAsia" w:hAnsiTheme="minorHAnsi" w:cstheme="minorBidi"/>
          <w:b w:val="0"/>
          <w:szCs w:val="22"/>
        </w:rPr>
      </w:pPr>
      <w:r>
        <w:t>Division 3 — Review of taxation</w:t>
      </w:r>
    </w:p>
    <w:p w:rsidR="006169FD" w:rsidRDefault="006169FD">
      <w:pPr>
        <w:pStyle w:val="TOC8"/>
        <w:rPr>
          <w:rFonts w:asciiTheme="minorHAnsi" w:eastAsiaTheme="minorEastAsia" w:hAnsiTheme="minorHAnsi" w:cstheme="minorBidi"/>
          <w:szCs w:val="22"/>
        </w:rPr>
      </w:pPr>
      <w:r>
        <w:t>53</w:t>
      </w:r>
      <w:r w:rsidRPr="00AA3DF9">
        <w:rPr>
          <w:snapToGrid w:val="0"/>
        </w:rPr>
        <w:t>.</w:t>
      </w:r>
      <w:r w:rsidRPr="00AA3DF9">
        <w:rPr>
          <w:snapToGrid w:val="0"/>
        </w:rPr>
        <w:tab/>
        <w:t>Party dissatisfied with taxation may object and apply for review</w:t>
      </w:r>
      <w:r>
        <w:tab/>
      </w:r>
      <w:r>
        <w:fldChar w:fldCharType="begin"/>
      </w:r>
      <w:r>
        <w:instrText xml:space="preserve"> PAGEREF _Toc75863613 \h </w:instrText>
      </w:r>
      <w:r>
        <w:fldChar w:fldCharType="separate"/>
      </w:r>
      <w:r w:rsidR="00FC1D84">
        <w:t>425</w:t>
      </w:r>
      <w:r>
        <w:fldChar w:fldCharType="end"/>
      </w:r>
    </w:p>
    <w:p w:rsidR="006169FD" w:rsidRDefault="006169FD">
      <w:pPr>
        <w:pStyle w:val="TOC8"/>
        <w:rPr>
          <w:rFonts w:asciiTheme="minorHAnsi" w:eastAsiaTheme="minorEastAsia" w:hAnsiTheme="minorHAnsi" w:cstheme="minorBidi"/>
          <w:szCs w:val="22"/>
        </w:rPr>
      </w:pPr>
      <w:r>
        <w:t>54</w:t>
      </w:r>
      <w:r w:rsidRPr="00AA3DF9">
        <w:rPr>
          <w:snapToGrid w:val="0"/>
        </w:rPr>
        <w:t>.</w:t>
      </w:r>
      <w:r w:rsidRPr="00AA3DF9">
        <w:rPr>
          <w:snapToGrid w:val="0"/>
        </w:rPr>
        <w:tab/>
        <w:t>Review of taxation by taxing officer</w:t>
      </w:r>
      <w:r>
        <w:tab/>
      </w:r>
      <w:r>
        <w:fldChar w:fldCharType="begin"/>
      </w:r>
      <w:r>
        <w:instrText xml:space="preserve"> PAGEREF _Toc75863614 \h </w:instrText>
      </w:r>
      <w:r>
        <w:fldChar w:fldCharType="separate"/>
      </w:r>
      <w:r w:rsidR="00FC1D84">
        <w:t>426</w:t>
      </w:r>
      <w:r>
        <w:fldChar w:fldCharType="end"/>
      </w:r>
    </w:p>
    <w:p w:rsidR="006169FD" w:rsidRDefault="006169FD">
      <w:pPr>
        <w:pStyle w:val="TOC8"/>
        <w:rPr>
          <w:rFonts w:asciiTheme="minorHAnsi" w:eastAsiaTheme="minorEastAsia" w:hAnsiTheme="minorHAnsi" w:cstheme="minorBidi"/>
          <w:szCs w:val="22"/>
        </w:rPr>
      </w:pPr>
      <w:r>
        <w:t>55</w:t>
      </w:r>
      <w:r w:rsidRPr="00AA3DF9">
        <w:rPr>
          <w:snapToGrid w:val="0"/>
        </w:rPr>
        <w:t>.</w:t>
      </w:r>
      <w:r w:rsidRPr="00AA3DF9">
        <w:rPr>
          <w:snapToGrid w:val="0"/>
        </w:rPr>
        <w:tab/>
        <w:t>Review of taxation by judge</w:t>
      </w:r>
      <w:r>
        <w:tab/>
      </w:r>
      <w:r>
        <w:fldChar w:fldCharType="begin"/>
      </w:r>
      <w:r>
        <w:instrText xml:space="preserve"> PAGEREF _Toc75863615 \h </w:instrText>
      </w:r>
      <w:r>
        <w:fldChar w:fldCharType="separate"/>
      </w:r>
      <w:r w:rsidR="00FC1D84">
        <w:t>427</w:t>
      </w:r>
      <w:r>
        <w:fldChar w:fldCharType="end"/>
      </w:r>
    </w:p>
    <w:p w:rsidR="006169FD" w:rsidRDefault="006169FD">
      <w:pPr>
        <w:pStyle w:val="TOC8"/>
        <w:rPr>
          <w:rFonts w:asciiTheme="minorHAnsi" w:eastAsiaTheme="minorEastAsia" w:hAnsiTheme="minorHAnsi" w:cstheme="minorBidi"/>
          <w:szCs w:val="22"/>
        </w:rPr>
      </w:pPr>
      <w:r>
        <w:t>56</w:t>
      </w:r>
      <w:r w:rsidRPr="00AA3DF9">
        <w:rPr>
          <w:snapToGrid w:val="0"/>
        </w:rPr>
        <w:t>.</w:t>
      </w:r>
      <w:r w:rsidRPr="00AA3DF9">
        <w:rPr>
          <w:snapToGrid w:val="0"/>
        </w:rPr>
        <w:tab/>
        <w:t>No further evidence on review except with leave</w:t>
      </w:r>
      <w:r>
        <w:tab/>
      </w:r>
      <w:r>
        <w:fldChar w:fldCharType="begin"/>
      </w:r>
      <w:r>
        <w:instrText xml:space="preserve"> PAGEREF _Toc75863616 \h </w:instrText>
      </w:r>
      <w:r>
        <w:fldChar w:fldCharType="separate"/>
      </w:r>
      <w:r w:rsidR="00FC1D84">
        <w:t>427</w:t>
      </w:r>
      <w:r>
        <w:fldChar w:fldCharType="end"/>
      </w:r>
    </w:p>
    <w:p w:rsidR="006169FD" w:rsidRDefault="006169FD">
      <w:pPr>
        <w:pStyle w:val="TOC4"/>
        <w:tabs>
          <w:tab w:val="right" w:leader="dot" w:pos="7077"/>
        </w:tabs>
        <w:rPr>
          <w:rFonts w:asciiTheme="minorHAnsi" w:eastAsiaTheme="minorEastAsia" w:hAnsiTheme="minorHAnsi" w:cstheme="minorBidi"/>
          <w:b w:val="0"/>
          <w:szCs w:val="22"/>
        </w:rPr>
      </w:pPr>
      <w:r>
        <w:t>Division 4 — Miscellaneous</w:t>
      </w:r>
    </w:p>
    <w:p w:rsidR="006169FD" w:rsidRDefault="006169FD">
      <w:pPr>
        <w:pStyle w:val="TOC8"/>
        <w:rPr>
          <w:rFonts w:asciiTheme="minorHAnsi" w:eastAsiaTheme="minorEastAsia" w:hAnsiTheme="minorHAnsi" w:cstheme="minorBidi"/>
          <w:szCs w:val="22"/>
        </w:rPr>
      </w:pPr>
      <w:r>
        <w:t>57</w:t>
      </w:r>
      <w:r w:rsidRPr="00AA3DF9">
        <w:rPr>
          <w:snapToGrid w:val="0"/>
        </w:rPr>
        <w:t>.</w:t>
      </w:r>
      <w:r w:rsidRPr="00AA3DF9">
        <w:rPr>
          <w:snapToGrid w:val="0"/>
        </w:rPr>
        <w:tab/>
        <w:t>Taxing officer’s certificate enforceable as judgment</w:t>
      </w:r>
      <w:r>
        <w:tab/>
      </w:r>
      <w:r>
        <w:fldChar w:fldCharType="begin"/>
      </w:r>
      <w:r>
        <w:instrText xml:space="preserve"> PAGEREF _Toc75863618 \h </w:instrText>
      </w:r>
      <w:r>
        <w:fldChar w:fldCharType="separate"/>
      </w:r>
      <w:r w:rsidR="00FC1D84">
        <w:t>427</w:t>
      </w:r>
      <w:r>
        <w:fldChar w:fldCharType="end"/>
      </w:r>
    </w:p>
    <w:p w:rsidR="006169FD" w:rsidRDefault="006169FD">
      <w:pPr>
        <w:pStyle w:val="TOC8"/>
        <w:rPr>
          <w:rFonts w:asciiTheme="minorHAnsi" w:eastAsiaTheme="minorEastAsia" w:hAnsiTheme="minorHAnsi" w:cstheme="minorBidi"/>
          <w:szCs w:val="22"/>
        </w:rPr>
      </w:pPr>
      <w:r>
        <w:t>58</w:t>
      </w:r>
      <w:r w:rsidRPr="00AA3DF9">
        <w:rPr>
          <w:snapToGrid w:val="0"/>
        </w:rPr>
        <w:t>.</w:t>
      </w:r>
      <w:r w:rsidRPr="00AA3DF9">
        <w:rPr>
          <w:snapToGrid w:val="0"/>
        </w:rPr>
        <w:tab/>
        <w:t>Stay on review</w:t>
      </w:r>
      <w:r>
        <w:tab/>
      </w:r>
      <w:r>
        <w:fldChar w:fldCharType="begin"/>
      </w:r>
      <w:r>
        <w:instrText xml:space="preserve"> PAGEREF _Toc75863619 \h </w:instrText>
      </w:r>
      <w:r>
        <w:fldChar w:fldCharType="separate"/>
      </w:r>
      <w:r w:rsidR="00FC1D84">
        <w:t>427</w:t>
      </w:r>
      <w:r>
        <w:fldChar w:fldCharType="end"/>
      </w:r>
    </w:p>
    <w:p w:rsidR="006169FD" w:rsidRDefault="006169FD">
      <w:pPr>
        <w:pStyle w:val="TOC8"/>
        <w:rPr>
          <w:rFonts w:asciiTheme="minorHAnsi" w:eastAsiaTheme="minorEastAsia" w:hAnsiTheme="minorHAnsi" w:cstheme="minorBidi"/>
          <w:szCs w:val="22"/>
        </w:rPr>
      </w:pPr>
      <w:r>
        <w:t>59</w:t>
      </w:r>
      <w:r w:rsidRPr="00AA3DF9">
        <w:rPr>
          <w:snapToGrid w:val="0"/>
        </w:rPr>
        <w:t>.</w:t>
      </w:r>
      <w:r w:rsidRPr="00AA3DF9">
        <w:rPr>
          <w:snapToGrid w:val="0"/>
        </w:rPr>
        <w:tab/>
        <w:t>Party liable to be paid and to pay costs, taxing officer’s powers in case of</w:t>
      </w:r>
      <w:r>
        <w:tab/>
      </w:r>
      <w:r>
        <w:fldChar w:fldCharType="begin"/>
      </w:r>
      <w:r>
        <w:instrText xml:space="preserve"> PAGEREF _Toc75863620 \h </w:instrText>
      </w:r>
      <w:r>
        <w:fldChar w:fldCharType="separate"/>
      </w:r>
      <w:r w:rsidR="00FC1D84">
        <w:t>428</w:t>
      </w:r>
      <w:r>
        <w:fldChar w:fldCharType="end"/>
      </w:r>
    </w:p>
    <w:p w:rsidR="006169FD" w:rsidRDefault="006169FD">
      <w:pPr>
        <w:pStyle w:val="TOC8"/>
        <w:rPr>
          <w:rFonts w:asciiTheme="minorHAnsi" w:eastAsiaTheme="minorEastAsia" w:hAnsiTheme="minorHAnsi" w:cstheme="minorBidi"/>
          <w:szCs w:val="22"/>
        </w:rPr>
      </w:pPr>
      <w:r>
        <w:lastRenderedPageBreak/>
        <w:t>60</w:t>
      </w:r>
      <w:r w:rsidRPr="00AA3DF9">
        <w:rPr>
          <w:snapToGrid w:val="0"/>
        </w:rPr>
        <w:t>.</w:t>
      </w:r>
      <w:r w:rsidRPr="00AA3DF9">
        <w:rPr>
          <w:snapToGrid w:val="0"/>
        </w:rPr>
        <w:tab/>
        <w:t>Taking of accounts, taxing officer’s duties and powers on</w:t>
      </w:r>
      <w:r>
        <w:tab/>
      </w:r>
      <w:r>
        <w:fldChar w:fldCharType="begin"/>
      </w:r>
      <w:r>
        <w:instrText xml:space="preserve"> PAGEREF _Toc75863621 \h </w:instrText>
      </w:r>
      <w:r>
        <w:fldChar w:fldCharType="separate"/>
      </w:r>
      <w:r w:rsidR="00FC1D84">
        <w:t>428</w:t>
      </w:r>
      <w:r>
        <w:fldChar w:fldCharType="end"/>
      </w:r>
    </w:p>
    <w:p w:rsidR="006169FD" w:rsidRDefault="006169FD">
      <w:pPr>
        <w:pStyle w:val="TOC8"/>
        <w:rPr>
          <w:rFonts w:asciiTheme="minorHAnsi" w:eastAsiaTheme="minorEastAsia" w:hAnsiTheme="minorHAnsi" w:cstheme="minorBidi"/>
          <w:szCs w:val="22"/>
        </w:rPr>
      </w:pPr>
      <w:r>
        <w:t>61</w:t>
      </w:r>
      <w:r w:rsidRPr="00AA3DF9">
        <w:rPr>
          <w:snapToGrid w:val="0"/>
        </w:rPr>
        <w:t>.</w:t>
      </w:r>
      <w:r w:rsidRPr="00AA3DF9">
        <w:rPr>
          <w:snapToGrid w:val="0"/>
        </w:rPr>
        <w:tab/>
        <w:t>Interim certificate in matters of account</w:t>
      </w:r>
      <w:r>
        <w:tab/>
      </w:r>
      <w:r>
        <w:fldChar w:fldCharType="begin"/>
      </w:r>
      <w:r>
        <w:instrText xml:space="preserve"> PAGEREF _Toc75863622 \h </w:instrText>
      </w:r>
      <w:r>
        <w:fldChar w:fldCharType="separate"/>
      </w:r>
      <w:r w:rsidR="00FC1D84">
        <w:t>428</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67 — Central Office, officers</w:t>
      </w:r>
    </w:p>
    <w:p w:rsidR="006169FD" w:rsidRDefault="006169FD">
      <w:pPr>
        <w:pStyle w:val="TOC8"/>
        <w:rPr>
          <w:rFonts w:asciiTheme="minorHAnsi" w:eastAsiaTheme="minorEastAsia" w:hAnsiTheme="minorHAnsi" w:cstheme="minorBidi"/>
          <w:szCs w:val="22"/>
        </w:rPr>
      </w:pPr>
      <w:r>
        <w:t>1</w:t>
      </w:r>
      <w:r w:rsidRPr="00AA3DF9">
        <w:rPr>
          <w:snapToGrid w:val="0"/>
        </w:rPr>
        <w:t>.</w:t>
      </w:r>
      <w:r w:rsidRPr="00AA3DF9">
        <w:rPr>
          <w:snapToGrid w:val="0"/>
        </w:rPr>
        <w:tab/>
        <w:t>Superintendence of Central Office</w:t>
      </w:r>
      <w:r>
        <w:tab/>
      </w:r>
      <w:r>
        <w:fldChar w:fldCharType="begin"/>
      </w:r>
      <w:r>
        <w:instrText xml:space="preserve"> PAGEREF _Toc75863624 \h </w:instrText>
      </w:r>
      <w:r>
        <w:fldChar w:fldCharType="separate"/>
      </w:r>
      <w:r w:rsidR="00FC1D84">
        <w:t>430</w:t>
      </w:r>
      <w:r>
        <w:fldChar w:fldCharType="end"/>
      </w:r>
    </w:p>
    <w:p w:rsidR="006169FD" w:rsidRDefault="006169FD">
      <w:pPr>
        <w:pStyle w:val="TOC8"/>
        <w:rPr>
          <w:rFonts w:asciiTheme="minorHAnsi" w:eastAsiaTheme="minorEastAsia" w:hAnsiTheme="minorHAnsi" w:cstheme="minorBidi"/>
          <w:szCs w:val="22"/>
        </w:rPr>
      </w:pPr>
      <w:r>
        <w:t>2</w:t>
      </w:r>
      <w:r w:rsidRPr="00AA3DF9">
        <w:rPr>
          <w:snapToGrid w:val="0"/>
        </w:rPr>
        <w:t>.</w:t>
      </w:r>
      <w:r w:rsidRPr="00AA3DF9">
        <w:rPr>
          <w:snapToGrid w:val="0"/>
        </w:rPr>
        <w:tab/>
        <w:t>Ministerial acts of registrar</w:t>
      </w:r>
      <w:r>
        <w:tab/>
      </w:r>
      <w:r>
        <w:fldChar w:fldCharType="begin"/>
      </w:r>
      <w:r>
        <w:instrText xml:space="preserve"> PAGEREF _Toc75863625 \h </w:instrText>
      </w:r>
      <w:r>
        <w:fldChar w:fldCharType="separate"/>
      </w:r>
      <w:r w:rsidR="00FC1D84">
        <w:t>430</w:t>
      </w:r>
      <w:r>
        <w:fldChar w:fldCharType="end"/>
      </w:r>
    </w:p>
    <w:p w:rsidR="006169FD" w:rsidRDefault="006169FD">
      <w:pPr>
        <w:pStyle w:val="TOC8"/>
        <w:rPr>
          <w:rFonts w:asciiTheme="minorHAnsi" w:eastAsiaTheme="minorEastAsia" w:hAnsiTheme="minorHAnsi" w:cstheme="minorBidi"/>
          <w:szCs w:val="22"/>
        </w:rPr>
      </w:pPr>
      <w:r>
        <w:t>3</w:t>
      </w:r>
      <w:r w:rsidRPr="00AA3DF9">
        <w:rPr>
          <w:snapToGrid w:val="0"/>
        </w:rPr>
        <w:t>.</w:t>
      </w:r>
      <w:r w:rsidRPr="00AA3DF9">
        <w:rPr>
          <w:snapToGrid w:val="0"/>
        </w:rPr>
        <w:tab/>
        <w:t>Taking of oaths and affidavits</w:t>
      </w:r>
      <w:r>
        <w:tab/>
      </w:r>
      <w:r>
        <w:fldChar w:fldCharType="begin"/>
      </w:r>
      <w:r>
        <w:instrText xml:space="preserve"> PAGEREF _Toc75863626 \h </w:instrText>
      </w:r>
      <w:r>
        <w:fldChar w:fldCharType="separate"/>
      </w:r>
      <w:r w:rsidR="00FC1D84">
        <w:t>430</w:t>
      </w:r>
      <w:r>
        <w:fldChar w:fldCharType="end"/>
      </w:r>
    </w:p>
    <w:p w:rsidR="006169FD" w:rsidRDefault="006169FD">
      <w:pPr>
        <w:pStyle w:val="TOC8"/>
        <w:rPr>
          <w:rFonts w:asciiTheme="minorHAnsi" w:eastAsiaTheme="minorEastAsia" w:hAnsiTheme="minorHAnsi" w:cstheme="minorBidi"/>
          <w:szCs w:val="22"/>
        </w:rPr>
      </w:pPr>
      <w:r>
        <w:t>4</w:t>
      </w:r>
      <w:r w:rsidRPr="00AA3DF9">
        <w:rPr>
          <w:snapToGrid w:val="0"/>
        </w:rPr>
        <w:t>.</w:t>
      </w:r>
      <w:r w:rsidRPr="00AA3DF9">
        <w:rPr>
          <w:snapToGrid w:val="0"/>
        </w:rPr>
        <w:tab/>
        <w:t>Seals</w:t>
      </w:r>
      <w:r>
        <w:tab/>
      </w:r>
      <w:r>
        <w:fldChar w:fldCharType="begin"/>
      </w:r>
      <w:r>
        <w:instrText xml:space="preserve"> PAGEREF _Toc75863627 \h </w:instrText>
      </w:r>
      <w:r>
        <w:fldChar w:fldCharType="separate"/>
      </w:r>
      <w:r w:rsidR="00FC1D84">
        <w:t>430</w:t>
      </w:r>
      <w:r>
        <w:fldChar w:fldCharType="end"/>
      </w:r>
    </w:p>
    <w:p w:rsidR="006169FD" w:rsidRDefault="006169FD">
      <w:pPr>
        <w:pStyle w:val="TOC8"/>
        <w:rPr>
          <w:rFonts w:asciiTheme="minorHAnsi" w:eastAsiaTheme="minorEastAsia" w:hAnsiTheme="minorHAnsi" w:cstheme="minorBidi"/>
          <w:szCs w:val="22"/>
        </w:rPr>
      </w:pPr>
      <w:r>
        <w:t>5</w:t>
      </w:r>
      <w:r w:rsidRPr="00AA3DF9">
        <w:rPr>
          <w:snapToGrid w:val="0"/>
        </w:rPr>
        <w:t>.</w:t>
      </w:r>
      <w:r w:rsidRPr="00AA3DF9">
        <w:rPr>
          <w:snapToGrid w:val="0"/>
        </w:rPr>
        <w:tab/>
        <w:t>Abuse of process etc., procedure in case of</w:t>
      </w:r>
      <w:r>
        <w:tab/>
      </w:r>
      <w:r>
        <w:fldChar w:fldCharType="begin"/>
      </w:r>
      <w:r>
        <w:instrText xml:space="preserve"> PAGEREF _Toc75863628 \h </w:instrText>
      </w:r>
      <w:r>
        <w:fldChar w:fldCharType="separate"/>
      </w:r>
      <w:r w:rsidR="00FC1D84">
        <w:t>430</w:t>
      </w:r>
      <w:r>
        <w:fldChar w:fldCharType="end"/>
      </w:r>
    </w:p>
    <w:p w:rsidR="006169FD" w:rsidRDefault="006169FD">
      <w:pPr>
        <w:pStyle w:val="TOC8"/>
        <w:rPr>
          <w:rFonts w:asciiTheme="minorHAnsi" w:eastAsiaTheme="minorEastAsia" w:hAnsiTheme="minorHAnsi" w:cstheme="minorBidi"/>
          <w:szCs w:val="22"/>
        </w:rPr>
      </w:pPr>
      <w:r>
        <w:t>6</w:t>
      </w:r>
      <w:r w:rsidRPr="00AA3DF9">
        <w:rPr>
          <w:snapToGrid w:val="0"/>
        </w:rPr>
        <w:t>.</w:t>
      </w:r>
      <w:r w:rsidRPr="00AA3DF9">
        <w:rPr>
          <w:snapToGrid w:val="0"/>
        </w:rPr>
        <w:tab/>
        <w:t>Sealed documents, evidentiary status of</w:t>
      </w:r>
      <w:r>
        <w:tab/>
      </w:r>
      <w:r>
        <w:fldChar w:fldCharType="begin"/>
      </w:r>
      <w:r>
        <w:instrText xml:space="preserve"> PAGEREF _Toc75863629 \h </w:instrText>
      </w:r>
      <w:r>
        <w:fldChar w:fldCharType="separate"/>
      </w:r>
      <w:r w:rsidR="00FC1D84">
        <w:t>431</w:t>
      </w:r>
      <w:r>
        <w:fldChar w:fldCharType="end"/>
      </w:r>
    </w:p>
    <w:p w:rsidR="006169FD" w:rsidRDefault="006169FD">
      <w:pPr>
        <w:pStyle w:val="TOC8"/>
        <w:rPr>
          <w:rFonts w:asciiTheme="minorHAnsi" w:eastAsiaTheme="minorEastAsia" w:hAnsiTheme="minorHAnsi" w:cstheme="minorBidi"/>
          <w:szCs w:val="22"/>
        </w:rPr>
      </w:pPr>
      <w:r>
        <w:t>7</w:t>
      </w:r>
      <w:r w:rsidRPr="00AA3DF9">
        <w:rPr>
          <w:snapToGrid w:val="0"/>
        </w:rPr>
        <w:t>.</w:t>
      </w:r>
      <w:r w:rsidRPr="00AA3DF9">
        <w:rPr>
          <w:snapToGrid w:val="0"/>
        </w:rPr>
        <w:tab/>
        <w:t>Petition, award etc. to be filed before judgment etc. passed</w:t>
      </w:r>
      <w:r>
        <w:tab/>
      </w:r>
      <w:r>
        <w:fldChar w:fldCharType="begin"/>
      </w:r>
      <w:r>
        <w:instrText xml:space="preserve"> PAGEREF _Toc75863630 \h </w:instrText>
      </w:r>
      <w:r>
        <w:fldChar w:fldCharType="separate"/>
      </w:r>
      <w:r w:rsidR="00FC1D84">
        <w:t>431</w:t>
      </w:r>
      <w:r>
        <w:fldChar w:fldCharType="end"/>
      </w:r>
    </w:p>
    <w:p w:rsidR="006169FD" w:rsidRDefault="006169FD">
      <w:pPr>
        <w:pStyle w:val="TOC8"/>
        <w:rPr>
          <w:rFonts w:asciiTheme="minorHAnsi" w:eastAsiaTheme="minorEastAsia" w:hAnsiTheme="minorHAnsi" w:cstheme="minorBidi"/>
          <w:szCs w:val="22"/>
        </w:rPr>
      </w:pPr>
      <w:r>
        <w:t>8.</w:t>
      </w:r>
      <w:r>
        <w:tab/>
        <w:t>Indexes to filed documents</w:t>
      </w:r>
      <w:r>
        <w:tab/>
      </w:r>
      <w:r>
        <w:fldChar w:fldCharType="begin"/>
      </w:r>
      <w:r>
        <w:instrText xml:space="preserve"> PAGEREF _Toc75863631 \h </w:instrText>
      </w:r>
      <w:r>
        <w:fldChar w:fldCharType="separate"/>
      </w:r>
      <w:r w:rsidR="00FC1D84">
        <w:t>432</w:t>
      </w:r>
      <w:r>
        <w:fldChar w:fldCharType="end"/>
      </w:r>
    </w:p>
    <w:p w:rsidR="006169FD" w:rsidRDefault="006169FD">
      <w:pPr>
        <w:pStyle w:val="TOC8"/>
        <w:rPr>
          <w:rFonts w:asciiTheme="minorHAnsi" w:eastAsiaTheme="minorEastAsia" w:hAnsiTheme="minorHAnsi" w:cstheme="minorBidi"/>
          <w:szCs w:val="22"/>
        </w:rPr>
      </w:pPr>
      <w:r>
        <w:t>9</w:t>
      </w:r>
      <w:r w:rsidRPr="00AA3DF9">
        <w:rPr>
          <w:snapToGrid w:val="0"/>
        </w:rPr>
        <w:t>.</w:t>
      </w:r>
      <w:r w:rsidRPr="00AA3DF9">
        <w:rPr>
          <w:snapToGrid w:val="0"/>
        </w:rPr>
        <w:tab/>
        <w:t>Date of filing to be marked etc.</w:t>
      </w:r>
      <w:r>
        <w:tab/>
      </w:r>
      <w:r>
        <w:fldChar w:fldCharType="begin"/>
      </w:r>
      <w:r>
        <w:instrText xml:space="preserve"> PAGEREF _Toc75863632 \h </w:instrText>
      </w:r>
      <w:r>
        <w:fldChar w:fldCharType="separate"/>
      </w:r>
      <w:r w:rsidR="00FC1D84">
        <w:t>432</w:t>
      </w:r>
      <w:r>
        <w:fldChar w:fldCharType="end"/>
      </w:r>
    </w:p>
    <w:p w:rsidR="006169FD" w:rsidRDefault="006169FD">
      <w:pPr>
        <w:pStyle w:val="TOC8"/>
        <w:rPr>
          <w:rFonts w:asciiTheme="minorHAnsi" w:eastAsiaTheme="minorEastAsia" w:hAnsiTheme="minorHAnsi" w:cstheme="minorBidi"/>
          <w:szCs w:val="22"/>
        </w:rPr>
      </w:pPr>
      <w:r>
        <w:t>10.</w:t>
      </w:r>
      <w:r>
        <w:tab/>
        <w:t>Custody of documents and things</w:t>
      </w:r>
      <w:r>
        <w:tab/>
      </w:r>
      <w:r>
        <w:fldChar w:fldCharType="begin"/>
      </w:r>
      <w:r>
        <w:instrText xml:space="preserve"> PAGEREF _Toc75863633 \h </w:instrText>
      </w:r>
      <w:r>
        <w:fldChar w:fldCharType="separate"/>
      </w:r>
      <w:r w:rsidR="00FC1D84">
        <w:t>432</w:t>
      </w:r>
      <w:r>
        <w:fldChar w:fldCharType="end"/>
      </w:r>
    </w:p>
    <w:p w:rsidR="006169FD" w:rsidRDefault="006169FD">
      <w:pPr>
        <w:pStyle w:val="TOC8"/>
        <w:rPr>
          <w:rFonts w:asciiTheme="minorHAnsi" w:eastAsiaTheme="minorEastAsia" w:hAnsiTheme="minorHAnsi" w:cstheme="minorBidi"/>
          <w:szCs w:val="22"/>
        </w:rPr>
      </w:pPr>
      <w:r>
        <w:t>12</w:t>
      </w:r>
      <w:r w:rsidRPr="00AA3DF9">
        <w:rPr>
          <w:snapToGrid w:val="0"/>
        </w:rPr>
        <w:t>.</w:t>
      </w:r>
      <w:r w:rsidRPr="00AA3DF9">
        <w:rPr>
          <w:snapToGrid w:val="0"/>
        </w:rPr>
        <w:tab/>
        <w:t>Deposit of documents</w:t>
      </w:r>
      <w:r>
        <w:tab/>
      </w:r>
      <w:r>
        <w:fldChar w:fldCharType="begin"/>
      </w:r>
      <w:r>
        <w:instrText xml:space="preserve"> PAGEREF _Toc75863634 \h </w:instrText>
      </w:r>
      <w:r>
        <w:fldChar w:fldCharType="separate"/>
      </w:r>
      <w:r w:rsidR="00FC1D84">
        <w:t>433</w:t>
      </w:r>
      <w:r>
        <w:fldChar w:fldCharType="end"/>
      </w:r>
    </w:p>
    <w:p w:rsidR="006169FD" w:rsidRDefault="006169FD">
      <w:pPr>
        <w:pStyle w:val="TOC8"/>
        <w:rPr>
          <w:rFonts w:asciiTheme="minorHAnsi" w:eastAsiaTheme="minorEastAsia" w:hAnsiTheme="minorHAnsi" w:cstheme="minorBidi"/>
          <w:szCs w:val="22"/>
        </w:rPr>
      </w:pPr>
      <w:r>
        <w:t>13</w:t>
      </w:r>
      <w:r w:rsidRPr="00AA3DF9">
        <w:rPr>
          <w:snapToGrid w:val="0"/>
        </w:rPr>
        <w:t>.</w:t>
      </w:r>
      <w:r w:rsidRPr="00AA3DF9">
        <w:rPr>
          <w:snapToGrid w:val="0"/>
        </w:rPr>
        <w:tab/>
        <w:t>Restriction on removal of documents</w:t>
      </w:r>
      <w:r>
        <w:tab/>
      </w:r>
      <w:r>
        <w:fldChar w:fldCharType="begin"/>
      </w:r>
      <w:r>
        <w:instrText xml:space="preserve"> PAGEREF _Toc75863635 \h </w:instrText>
      </w:r>
      <w:r>
        <w:fldChar w:fldCharType="separate"/>
      </w:r>
      <w:r w:rsidR="00FC1D84">
        <w:t>433</w:t>
      </w:r>
      <w:r>
        <w:fldChar w:fldCharType="end"/>
      </w:r>
    </w:p>
    <w:p w:rsidR="006169FD" w:rsidRDefault="006169FD">
      <w:pPr>
        <w:pStyle w:val="TOC8"/>
        <w:rPr>
          <w:rFonts w:asciiTheme="minorHAnsi" w:eastAsiaTheme="minorEastAsia" w:hAnsiTheme="minorHAnsi" w:cstheme="minorBidi"/>
          <w:szCs w:val="22"/>
        </w:rPr>
      </w:pPr>
      <w:r>
        <w:t>14</w:t>
      </w:r>
      <w:r w:rsidRPr="00AA3DF9">
        <w:rPr>
          <w:snapToGrid w:val="0"/>
        </w:rPr>
        <w:t>.</w:t>
      </w:r>
      <w:r w:rsidRPr="00AA3DF9">
        <w:rPr>
          <w:snapToGrid w:val="0"/>
        </w:rPr>
        <w:tab/>
        <w:t>Deposit for officer’s expenses</w:t>
      </w:r>
      <w:r>
        <w:tab/>
      </w:r>
      <w:r>
        <w:fldChar w:fldCharType="begin"/>
      </w:r>
      <w:r>
        <w:instrText xml:space="preserve"> PAGEREF _Toc75863636 \h </w:instrText>
      </w:r>
      <w:r>
        <w:fldChar w:fldCharType="separate"/>
      </w:r>
      <w:r w:rsidR="00FC1D84">
        <w:t>433</w:t>
      </w:r>
      <w:r>
        <w:fldChar w:fldCharType="end"/>
      </w:r>
    </w:p>
    <w:p w:rsidR="006169FD" w:rsidRDefault="006169FD">
      <w:pPr>
        <w:pStyle w:val="TOC8"/>
        <w:rPr>
          <w:rFonts w:asciiTheme="minorHAnsi" w:eastAsiaTheme="minorEastAsia" w:hAnsiTheme="minorHAnsi" w:cstheme="minorBidi"/>
          <w:szCs w:val="22"/>
        </w:rPr>
      </w:pPr>
      <w:r>
        <w:t>15</w:t>
      </w:r>
      <w:r w:rsidRPr="00AA3DF9">
        <w:rPr>
          <w:snapToGrid w:val="0"/>
        </w:rPr>
        <w:t>.</w:t>
      </w:r>
      <w:r w:rsidRPr="00AA3DF9">
        <w:rPr>
          <w:snapToGrid w:val="0"/>
        </w:rPr>
        <w:tab/>
        <w:t>Admissions, awards etc. to be filed</w:t>
      </w:r>
      <w:r>
        <w:tab/>
      </w:r>
      <w:r>
        <w:fldChar w:fldCharType="begin"/>
      </w:r>
      <w:r>
        <w:instrText xml:space="preserve"> PAGEREF _Toc75863637 \h </w:instrText>
      </w:r>
      <w:r>
        <w:fldChar w:fldCharType="separate"/>
      </w:r>
      <w:r w:rsidR="00FC1D84">
        <w:t>433</w:t>
      </w:r>
      <w:r>
        <w:fldChar w:fldCharType="end"/>
      </w:r>
    </w:p>
    <w:p w:rsidR="006169FD" w:rsidRDefault="006169FD">
      <w:pPr>
        <w:pStyle w:val="TOC8"/>
        <w:rPr>
          <w:rFonts w:asciiTheme="minorHAnsi" w:eastAsiaTheme="minorEastAsia" w:hAnsiTheme="minorHAnsi" w:cstheme="minorBidi"/>
          <w:szCs w:val="22"/>
        </w:rPr>
      </w:pPr>
      <w:r>
        <w:t>16</w:t>
      </w:r>
      <w:r w:rsidRPr="00AA3DF9">
        <w:rPr>
          <w:snapToGrid w:val="0"/>
        </w:rPr>
        <w:t>.</w:t>
      </w:r>
      <w:r w:rsidRPr="00AA3DF9">
        <w:rPr>
          <w:snapToGrid w:val="0"/>
        </w:rPr>
        <w:tab/>
        <w:t>New forms</w:t>
      </w:r>
      <w:r>
        <w:tab/>
      </w:r>
      <w:r>
        <w:fldChar w:fldCharType="begin"/>
      </w:r>
      <w:r>
        <w:instrText xml:space="preserve"> PAGEREF _Toc75863638 \h </w:instrText>
      </w:r>
      <w:r>
        <w:fldChar w:fldCharType="separate"/>
      </w:r>
      <w:r w:rsidR="00FC1D84">
        <w:t>434</w:t>
      </w:r>
      <w:r>
        <w:fldChar w:fldCharType="end"/>
      </w:r>
    </w:p>
    <w:p w:rsidR="006169FD" w:rsidRDefault="006169FD">
      <w:pPr>
        <w:pStyle w:val="TOC8"/>
        <w:rPr>
          <w:rFonts w:asciiTheme="minorHAnsi" w:eastAsiaTheme="minorEastAsia" w:hAnsiTheme="minorHAnsi" w:cstheme="minorBidi"/>
          <w:szCs w:val="22"/>
        </w:rPr>
      </w:pPr>
      <w:r>
        <w:t>17</w:t>
      </w:r>
      <w:r w:rsidRPr="00AA3DF9">
        <w:rPr>
          <w:snapToGrid w:val="0"/>
        </w:rPr>
        <w:t>.</w:t>
      </w:r>
      <w:r w:rsidRPr="00AA3DF9">
        <w:rPr>
          <w:snapToGrid w:val="0"/>
        </w:rPr>
        <w:tab/>
        <w:t>Accounts etc. to be taken by registrar, rules applying to</w:t>
      </w:r>
      <w:r>
        <w:tab/>
      </w:r>
      <w:r>
        <w:fldChar w:fldCharType="begin"/>
      </w:r>
      <w:r>
        <w:instrText xml:space="preserve"> PAGEREF _Toc75863639 \h </w:instrText>
      </w:r>
      <w:r>
        <w:fldChar w:fldCharType="separate"/>
      </w:r>
      <w:r w:rsidR="00FC1D84">
        <w:t>434</w:t>
      </w:r>
      <w:r>
        <w:fldChar w:fldCharType="end"/>
      </w:r>
    </w:p>
    <w:p w:rsidR="006169FD" w:rsidRDefault="006169FD">
      <w:pPr>
        <w:pStyle w:val="TOC8"/>
        <w:rPr>
          <w:rFonts w:asciiTheme="minorHAnsi" w:eastAsiaTheme="minorEastAsia" w:hAnsiTheme="minorHAnsi" w:cstheme="minorBidi"/>
          <w:szCs w:val="22"/>
        </w:rPr>
      </w:pPr>
      <w:r>
        <w:t>18</w:t>
      </w:r>
      <w:r w:rsidRPr="00AA3DF9">
        <w:rPr>
          <w:snapToGrid w:val="0"/>
        </w:rPr>
        <w:t>.</w:t>
      </w:r>
      <w:r w:rsidRPr="00AA3DF9">
        <w:rPr>
          <w:snapToGrid w:val="0"/>
        </w:rPr>
        <w:tab/>
        <w:t>Reference in judgment etc. to registrar, effect of</w:t>
      </w:r>
      <w:r>
        <w:tab/>
      </w:r>
      <w:r>
        <w:fldChar w:fldCharType="begin"/>
      </w:r>
      <w:r>
        <w:instrText xml:space="preserve"> PAGEREF _Toc75863640 \h </w:instrText>
      </w:r>
      <w:r>
        <w:fldChar w:fldCharType="separate"/>
      </w:r>
      <w:r w:rsidR="00FC1D84">
        <w:t>434</w:t>
      </w:r>
      <w:r>
        <w:fldChar w:fldCharType="end"/>
      </w:r>
    </w:p>
    <w:p w:rsidR="006169FD" w:rsidRDefault="006169FD">
      <w:pPr>
        <w:pStyle w:val="TOC8"/>
        <w:rPr>
          <w:rFonts w:asciiTheme="minorHAnsi" w:eastAsiaTheme="minorEastAsia" w:hAnsiTheme="minorHAnsi" w:cstheme="minorBidi"/>
          <w:szCs w:val="22"/>
        </w:rPr>
      </w:pPr>
      <w:r>
        <w:t>19.</w:t>
      </w:r>
      <w:r>
        <w:tab/>
        <w:t>Principal Registrar may declare ECMS unavailable</w:t>
      </w:r>
      <w:r>
        <w:tab/>
      </w:r>
      <w:r>
        <w:fldChar w:fldCharType="begin"/>
      </w:r>
      <w:r>
        <w:instrText xml:space="preserve"> PAGEREF _Toc75863641 \h </w:instrText>
      </w:r>
      <w:r>
        <w:fldChar w:fldCharType="separate"/>
      </w:r>
      <w:r w:rsidR="00FC1D84">
        <w:t>434</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67A</w:t>
      </w:r>
      <w:r w:rsidRPr="00AA3DF9">
        <w:rPr>
          <w:b w:val="0"/>
        </w:rPr>
        <w:t> </w:t>
      </w:r>
      <w:r>
        <w:t>—</w:t>
      </w:r>
      <w:r w:rsidRPr="00AA3DF9">
        <w:rPr>
          <w:b w:val="0"/>
        </w:rPr>
        <w:t> </w:t>
      </w:r>
      <w:r>
        <w:t>Filing documents</w:t>
      </w:r>
    </w:p>
    <w:p w:rsidR="006169FD" w:rsidRDefault="006169FD">
      <w:pPr>
        <w:pStyle w:val="TOC4"/>
        <w:tabs>
          <w:tab w:val="right" w:leader="dot" w:pos="7077"/>
        </w:tabs>
        <w:rPr>
          <w:rFonts w:asciiTheme="minorHAnsi" w:eastAsiaTheme="minorEastAsia" w:hAnsiTheme="minorHAnsi" w:cstheme="minorBidi"/>
          <w:b w:val="0"/>
          <w:szCs w:val="22"/>
        </w:rPr>
      </w:pPr>
      <w:r>
        <w:t>Division 1 — Preliminary matters</w:t>
      </w:r>
    </w:p>
    <w:p w:rsidR="006169FD" w:rsidRDefault="006169FD">
      <w:pPr>
        <w:pStyle w:val="TOC8"/>
        <w:rPr>
          <w:rFonts w:asciiTheme="minorHAnsi" w:eastAsiaTheme="minorEastAsia" w:hAnsiTheme="minorHAnsi" w:cstheme="minorBidi"/>
          <w:szCs w:val="22"/>
        </w:rPr>
      </w:pPr>
      <w:r>
        <w:t>1.</w:t>
      </w:r>
      <w:r>
        <w:tab/>
        <w:t>Terms used</w:t>
      </w:r>
      <w:r>
        <w:tab/>
      </w:r>
      <w:r>
        <w:fldChar w:fldCharType="begin"/>
      </w:r>
      <w:r>
        <w:instrText xml:space="preserve"> PAGEREF _Toc75863644 \h </w:instrText>
      </w:r>
      <w:r>
        <w:fldChar w:fldCharType="separate"/>
      </w:r>
      <w:r w:rsidR="00FC1D84">
        <w:t>436</w:t>
      </w:r>
      <w:r>
        <w:fldChar w:fldCharType="end"/>
      </w:r>
    </w:p>
    <w:p w:rsidR="006169FD" w:rsidRDefault="006169FD">
      <w:pPr>
        <w:pStyle w:val="TOC4"/>
        <w:tabs>
          <w:tab w:val="right" w:leader="dot" w:pos="7077"/>
        </w:tabs>
        <w:rPr>
          <w:rFonts w:asciiTheme="minorHAnsi" w:eastAsiaTheme="minorEastAsia" w:hAnsiTheme="minorHAnsi" w:cstheme="minorBidi"/>
          <w:b w:val="0"/>
          <w:szCs w:val="22"/>
        </w:rPr>
      </w:pPr>
      <w:r>
        <w:t>Division 2 — Filing documents</w:t>
      </w:r>
    </w:p>
    <w:p w:rsidR="006169FD" w:rsidRDefault="006169FD">
      <w:pPr>
        <w:pStyle w:val="TOC8"/>
        <w:rPr>
          <w:rFonts w:asciiTheme="minorHAnsi" w:eastAsiaTheme="minorEastAsia" w:hAnsiTheme="minorHAnsi" w:cstheme="minorBidi"/>
          <w:szCs w:val="22"/>
        </w:rPr>
      </w:pPr>
      <w:r>
        <w:t>2.</w:t>
      </w:r>
      <w:r>
        <w:tab/>
        <w:t>General rules about filing documents</w:t>
      </w:r>
      <w:r>
        <w:tab/>
      </w:r>
      <w:r>
        <w:fldChar w:fldCharType="begin"/>
      </w:r>
      <w:r>
        <w:instrText xml:space="preserve"> PAGEREF _Toc75863646 \h </w:instrText>
      </w:r>
      <w:r>
        <w:fldChar w:fldCharType="separate"/>
      </w:r>
      <w:r w:rsidR="00FC1D84">
        <w:t>436</w:t>
      </w:r>
      <w:r>
        <w:fldChar w:fldCharType="end"/>
      </w:r>
    </w:p>
    <w:p w:rsidR="006169FD" w:rsidRDefault="006169FD">
      <w:pPr>
        <w:pStyle w:val="TOC8"/>
        <w:rPr>
          <w:rFonts w:asciiTheme="minorHAnsi" w:eastAsiaTheme="minorEastAsia" w:hAnsiTheme="minorHAnsi" w:cstheme="minorBidi"/>
          <w:szCs w:val="22"/>
        </w:rPr>
      </w:pPr>
      <w:r>
        <w:t>3.</w:t>
      </w:r>
      <w:r>
        <w:tab/>
        <w:t>Documents must be filed using ECMS</w:t>
      </w:r>
      <w:r>
        <w:tab/>
      </w:r>
      <w:r>
        <w:fldChar w:fldCharType="begin"/>
      </w:r>
      <w:r>
        <w:instrText xml:space="preserve"> PAGEREF _Toc75863647 \h </w:instrText>
      </w:r>
      <w:r>
        <w:fldChar w:fldCharType="separate"/>
      </w:r>
      <w:r w:rsidR="00FC1D84">
        <w:t>437</w:t>
      </w:r>
      <w:r>
        <w:fldChar w:fldCharType="end"/>
      </w:r>
    </w:p>
    <w:p w:rsidR="006169FD" w:rsidRDefault="006169FD">
      <w:pPr>
        <w:pStyle w:val="TOC8"/>
        <w:rPr>
          <w:rFonts w:asciiTheme="minorHAnsi" w:eastAsiaTheme="minorEastAsia" w:hAnsiTheme="minorHAnsi" w:cstheme="minorBidi"/>
          <w:szCs w:val="22"/>
        </w:rPr>
      </w:pPr>
      <w:r>
        <w:t>4.</w:t>
      </w:r>
      <w:r>
        <w:tab/>
        <w:t>Documents presented for filing using ECMS or email</w:t>
      </w:r>
      <w:r>
        <w:tab/>
      </w:r>
      <w:r>
        <w:fldChar w:fldCharType="begin"/>
      </w:r>
      <w:r>
        <w:instrText xml:space="preserve"> PAGEREF _Toc75863648 \h </w:instrText>
      </w:r>
      <w:r>
        <w:fldChar w:fldCharType="separate"/>
      </w:r>
      <w:r w:rsidR="00FC1D84">
        <w:t>439</w:t>
      </w:r>
      <w:r>
        <w:fldChar w:fldCharType="end"/>
      </w:r>
    </w:p>
    <w:p w:rsidR="006169FD" w:rsidRDefault="006169FD">
      <w:pPr>
        <w:pStyle w:val="TOC8"/>
        <w:rPr>
          <w:rFonts w:asciiTheme="minorHAnsi" w:eastAsiaTheme="minorEastAsia" w:hAnsiTheme="minorHAnsi" w:cstheme="minorBidi"/>
          <w:szCs w:val="22"/>
        </w:rPr>
      </w:pPr>
      <w:r>
        <w:t>5.</w:t>
      </w:r>
      <w:r>
        <w:tab/>
        <w:t>Delivering documents for filing</w:t>
      </w:r>
      <w:r>
        <w:tab/>
      </w:r>
      <w:r>
        <w:fldChar w:fldCharType="begin"/>
      </w:r>
      <w:r>
        <w:instrText xml:space="preserve"> PAGEREF _Toc75863649 \h </w:instrText>
      </w:r>
      <w:r>
        <w:fldChar w:fldCharType="separate"/>
      </w:r>
      <w:r w:rsidR="00FC1D84">
        <w:t>441</w:t>
      </w:r>
      <w:r>
        <w:fldChar w:fldCharType="end"/>
      </w:r>
    </w:p>
    <w:p w:rsidR="006169FD" w:rsidRDefault="006169FD">
      <w:pPr>
        <w:pStyle w:val="TOC8"/>
        <w:rPr>
          <w:rFonts w:asciiTheme="minorHAnsi" w:eastAsiaTheme="minorEastAsia" w:hAnsiTheme="minorHAnsi" w:cstheme="minorBidi"/>
          <w:szCs w:val="22"/>
        </w:rPr>
      </w:pPr>
      <w:r>
        <w:t>6.</w:t>
      </w:r>
      <w:r>
        <w:tab/>
        <w:t>Posting documents for filing</w:t>
      </w:r>
      <w:r>
        <w:tab/>
      </w:r>
      <w:r>
        <w:fldChar w:fldCharType="begin"/>
      </w:r>
      <w:r>
        <w:instrText xml:space="preserve"> PAGEREF _Toc75863650 \h </w:instrText>
      </w:r>
      <w:r>
        <w:fldChar w:fldCharType="separate"/>
      </w:r>
      <w:r w:rsidR="00FC1D84">
        <w:t>441</w:t>
      </w:r>
      <w:r>
        <w:fldChar w:fldCharType="end"/>
      </w:r>
    </w:p>
    <w:p w:rsidR="006169FD" w:rsidRDefault="006169FD">
      <w:pPr>
        <w:pStyle w:val="TOC8"/>
        <w:rPr>
          <w:rFonts w:asciiTheme="minorHAnsi" w:eastAsiaTheme="minorEastAsia" w:hAnsiTheme="minorHAnsi" w:cstheme="minorBidi"/>
          <w:szCs w:val="22"/>
        </w:rPr>
      </w:pPr>
      <w:r>
        <w:t>7.</w:t>
      </w:r>
      <w:r>
        <w:tab/>
        <w:t>Faxing documents for filing</w:t>
      </w:r>
      <w:r>
        <w:tab/>
      </w:r>
      <w:r>
        <w:fldChar w:fldCharType="begin"/>
      </w:r>
      <w:r>
        <w:instrText xml:space="preserve"> PAGEREF _Toc75863651 \h </w:instrText>
      </w:r>
      <w:r>
        <w:fldChar w:fldCharType="separate"/>
      </w:r>
      <w:r w:rsidR="00FC1D84">
        <w:t>442</w:t>
      </w:r>
      <w:r>
        <w:fldChar w:fldCharType="end"/>
      </w:r>
    </w:p>
    <w:p w:rsidR="006169FD" w:rsidRDefault="006169FD">
      <w:pPr>
        <w:pStyle w:val="TOC8"/>
        <w:rPr>
          <w:rFonts w:asciiTheme="minorHAnsi" w:eastAsiaTheme="minorEastAsia" w:hAnsiTheme="minorHAnsi" w:cstheme="minorBidi"/>
          <w:szCs w:val="22"/>
        </w:rPr>
      </w:pPr>
      <w:r>
        <w:t>8.</w:t>
      </w:r>
      <w:r>
        <w:tab/>
        <w:t>How filed paper documents are to be dealt with</w:t>
      </w:r>
      <w:r>
        <w:tab/>
      </w:r>
      <w:r>
        <w:fldChar w:fldCharType="begin"/>
      </w:r>
      <w:r>
        <w:instrText xml:space="preserve"> PAGEREF _Toc75863652 \h </w:instrText>
      </w:r>
      <w:r>
        <w:fldChar w:fldCharType="separate"/>
      </w:r>
      <w:r w:rsidR="00FC1D84">
        <w:t>444</w:t>
      </w:r>
      <w:r>
        <w:fldChar w:fldCharType="end"/>
      </w:r>
    </w:p>
    <w:p w:rsidR="006169FD" w:rsidRDefault="006169FD">
      <w:pPr>
        <w:pStyle w:val="TOC4"/>
        <w:tabs>
          <w:tab w:val="right" w:leader="dot" w:pos="7077"/>
        </w:tabs>
        <w:rPr>
          <w:rFonts w:asciiTheme="minorHAnsi" w:eastAsiaTheme="minorEastAsia" w:hAnsiTheme="minorHAnsi" w:cstheme="minorBidi"/>
          <w:b w:val="0"/>
          <w:szCs w:val="22"/>
        </w:rPr>
      </w:pPr>
      <w:r>
        <w:lastRenderedPageBreak/>
        <w:t>Division 3 — Documents containing sensitive information</w:t>
      </w:r>
    </w:p>
    <w:p w:rsidR="006169FD" w:rsidRDefault="006169FD">
      <w:pPr>
        <w:pStyle w:val="TOC8"/>
        <w:rPr>
          <w:rFonts w:asciiTheme="minorHAnsi" w:eastAsiaTheme="minorEastAsia" w:hAnsiTheme="minorHAnsi" w:cstheme="minorBidi"/>
          <w:szCs w:val="22"/>
        </w:rPr>
      </w:pPr>
      <w:r>
        <w:t>9.</w:t>
      </w:r>
      <w:r>
        <w:tab/>
        <w:t>Terms used</w:t>
      </w:r>
      <w:r>
        <w:tab/>
      </w:r>
      <w:r>
        <w:fldChar w:fldCharType="begin"/>
      </w:r>
      <w:r>
        <w:instrText xml:space="preserve"> PAGEREF _Toc75863654 \h </w:instrText>
      </w:r>
      <w:r>
        <w:fldChar w:fldCharType="separate"/>
      </w:r>
      <w:r w:rsidR="00FC1D84">
        <w:t>445</w:t>
      </w:r>
      <w:r>
        <w:fldChar w:fldCharType="end"/>
      </w:r>
    </w:p>
    <w:p w:rsidR="006169FD" w:rsidRDefault="006169FD">
      <w:pPr>
        <w:pStyle w:val="TOC8"/>
        <w:rPr>
          <w:rFonts w:asciiTheme="minorHAnsi" w:eastAsiaTheme="minorEastAsia" w:hAnsiTheme="minorHAnsi" w:cstheme="minorBidi"/>
          <w:szCs w:val="22"/>
        </w:rPr>
      </w:pPr>
      <w:r>
        <w:t>10.</w:t>
      </w:r>
      <w:r>
        <w:tab/>
        <w:t>Person to advise Court if filing sensitive document</w:t>
      </w:r>
      <w:r>
        <w:tab/>
      </w:r>
      <w:r>
        <w:fldChar w:fldCharType="begin"/>
      </w:r>
      <w:r>
        <w:instrText xml:space="preserve"> PAGEREF _Toc75863655 \h </w:instrText>
      </w:r>
      <w:r>
        <w:fldChar w:fldCharType="separate"/>
      </w:r>
      <w:r w:rsidR="00FC1D84">
        <w:t>445</w:t>
      </w:r>
      <w:r>
        <w:fldChar w:fldCharType="end"/>
      </w:r>
    </w:p>
    <w:p w:rsidR="006169FD" w:rsidRDefault="006169FD">
      <w:pPr>
        <w:pStyle w:val="TOC8"/>
        <w:rPr>
          <w:rFonts w:asciiTheme="minorHAnsi" w:eastAsiaTheme="minorEastAsia" w:hAnsiTheme="minorHAnsi" w:cstheme="minorBidi"/>
          <w:szCs w:val="22"/>
        </w:rPr>
      </w:pPr>
      <w:r>
        <w:t>11.</w:t>
      </w:r>
      <w:r>
        <w:tab/>
        <w:t>Documents containing restricted information</w:t>
      </w:r>
      <w:r>
        <w:tab/>
      </w:r>
      <w:r>
        <w:fldChar w:fldCharType="begin"/>
      </w:r>
      <w:r>
        <w:instrText xml:space="preserve"> PAGEREF _Toc75863656 \h </w:instrText>
      </w:r>
      <w:r>
        <w:fldChar w:fldCharType="separate"/>
      </w:r>
      <w:r w:rsidR="00FC1D84">
        <w:t>447</w:t>
      </w:r>
      <w:r>
        <w:fldChar w:fldCharType="end"/>
      </w:r>
    </w:p>
    <w:p w:rsidR="006169FD" w:rsidRDefault="006169FD">
      <w:pPr>
        <w:pStyle w:val="TOC8"/>
        <w:rPr>
          <w:rFonts w:asciiTheme="minorHAnsi" w:eastAsiaTheme="minorEastAsia" w:hAnsiTheme="minorHAnsi" w:cstheme="minorBidi"/>
          <w:szCs w:val="22"/>
        </w:rPr>
      </w:pPr>
      <w:r>
        <w:t>12.</w:t>
      </w:r>
      <w:r>
        <w:tab/>
        <w:t>Documents containing information to which access should be restricted</w:t>
      </w:r>
      <w:r>
        <w:tab/>
      </w:r>
      <w:r>
        <w:fldChar w:fldCharType="begin"/>
      </w:r>
      <w:r>
        <w:instrText xml:space="preserve"> PAGEREF _Toc75863657 \h </w:instrText>
      </w:r>
      <w:r>
        <w:fldChar w:fldCharType="separate"/>
      </w:r>
      <w:r w:rsidR="00FC1D84">
        <w:t>449</w:t>
      </w:r>
      <w:r>
        <w:fldChar w:fldCharType="end"/>
      </w:r>
    </w:p>
    <w:p w:rsidR="006169FD" w:rsidRDefault="006169FD">
      <w:pPr>
        <w:pStyle w:val="TOC8"/>
        <w:rPr>
          <w:rFonts w:asciiTheme="minorHAnsi" w:eastAsiaTheme="minorEastAsia" w:hAnsiTheme="minorHAnsi" w:cstheme="minorBidi"/>
          <w:szCs w:val="22"/>
        </w:rPr>
      </w:pPr>
      <w:r>
        <w:t>13.</w:t>
      </w:r>
      <w:r>
        <w:tab/>
        <w:t>Restricted documents</w:t>
      </w:r>
      <w:r>
        <w:tab/>
      </w:r>
      <w:r>
        <w:fldChar w:fldCharType="begin"/>
      </w:r>
      <w:r>
        <w:instrText xml:space="preserve"> PAGEREF _Toc75863658 \h </w:instrText>
      </w:r>
      <w:r>
        <w:fldChar w:fldCharType="separate"/>
      </w:r>
      <w:r w:rsidR="00FC1D84">
        <w:t>450</w:t>
      </w:r>
      <w:r>
        <w:fldChar w:fldCharType="end"/>
      </w:r>
    </w:p>
    <w:p w:rsidR="006169FD" w:rsidRDefault="006169FD">
      <w:pPr>
        <w:pStyle w:val="TOC8"/>
        <w:rPr>
          <w:rFonts w:asciiTheme="minorHAnsi" w:eastAsiaTheme="minorEastAsia" w:hAnsiTheme="minorHAnsi" w:cstheme="minorBidi"/>
          <w:szCs w:val="22"/>
        </w:rPr>
      </w:pPr>
      <w:r>
        <w:t>14.</w:t>
      </w:r>
      <w:r>
        <w:tab/>
        <w:t>Documents that are not to be accessible to judiciary</w:t>
      </w:r>
      <w:r>
        <w:tab/>
      </w:r>
      <w:r>
        <w:fldChar w:fldCharType="begin"/>
      </w:r>
      <w:r>
        <w:instrText xml:space="preserve"> PAGEREF _Toc75863659 \h </w:instrText>
      </w:r>
      <w:r>
        <w:fldChar w:fldCharType="separate"/>
      </w:r>
      <w:r w:rsidR="00FC1D84">
        <w:t>452</w:t>
      </w:r>
      <w:r>
        <w:fldChar w:fldCharType="end"/>
      </w:r>
    </w:p>
    <w:p w:rsidR="006169FD" w:rsidRDefault="006169FD">
      <w:pPr>
        <w:pStyle w:val="TOC4"/>
        <w:tabs>
          <w:tab w:val="right" w:leader="dot" w:pos="7077"/>
        </w:tabs>
        <w:rPr>
          <w:rFonts w:asciiTheme="minorHAnsi" w:eastAsiaTheme="minorEastAsia" w:hAnsiTheme="minorHAnsi" w:cstheme="minorBidi"/>
          <w:b w:val="0"/>
          <w:szCs w:val="22"/>
        </w:rPr>
      </w:pPr>
      <w:r>
        <w:t>Division 4 — Miscellaneous matters</w:t>
      </w:r>
    </w:p>
    <w:p w:rsidR="006169FD" w:rsidRDefault="006169FD">
      <w:pPr>
        <w:pStyle w:val="TOC8"/>
        <w:rPr>
          <w:rFonts w:asciiTheme="minorHAnsi" w:eastAsiaTheme="minorEastAsia" w:hAnsiTheme="minorHAnsi" w:cstheme="minorBidi"/>
          <w:szCs w:val="22"/>
        </w:rPr>
      </w:pPr>
      <w:r>
        <w:t>15.</w:t>
      </w:r>
      <w:r>
        <w:tab/>
        <w:t>Principal Registrar may delegate</w:t>
      </w:r>
      <w:r>
        <w:tab/>
      </w:r>
      <w:r>
        <w:fldChar w:fldCharType="begin"/>
      </w:r>
      <w:r>
        <w:instrText xml:space="preserve"> PAGEREF _Toc75863661 \h </w:instrText>
      </w:r>
      <w:r>
        <w:fldChar w:fldCharType="separate"/>
      </w:r>
      <w:r w:rsidR="00FC1D84">
        <w:t>453</w:t>
      </w:r>
      <w:r>
        <w:fldChar w:fldCharType="end"/>
      </w:r>
    </w:p>
    <w:p w:rsidR="006169FD" w:rsidRDefault="006169FD">
      <w:pPr>
        <w:pStyle w:val="TOC8"/>
        <w:rPr>
          <w:rFonts w:asciiTheme="minorHAnsi" w:eastAsiaTheme="minorEastAsia" w:hAnsiTheme="minorHAnsi" w:cstheme="minorBidi"/>
          <w:szCs w:val="22"/>
        </w:rPr>
      </w:pPr>
      <w:r>
        <w:t>16.</w:t>
      </w:r>
      <w:r>
        <w:tab/>
        <w:t>Principal Registrar may refer matters to judge or master</w:t>
      </w:r>
      <w:r>
        <w:tab/>
      </w:r>
      <w:r>
        <w:fldChar w:fldCharType="begin"/>
      </w:r>
      <w:r>
        <w:instrText xml:space="preserve"> PAGEREF _Toc75863662 \h </w:instrText>
      </w:r>
      <w:r>
        <w:fldChar w:fldCharType="separate"/>
      </w:r>
      <w:r w:rsidR="00FC1D84">
        <w:t>453</w:t>
      </w:r>
      <w:r>
        <w:fldChar w:fldCharType="end"/>
      </w:r>
    </w:p>
    <w:p w:rsidR="006169FD" w:rsidRDefault="006169FD">
      <w:pPr>
        <w:pStyle w:val="TOC8"/>
        <w:rPr>
          <w:rFonts w:asciiTheme="minorHAnsi" w:eastAsiaTheme="minorEastAsia" w:hAnsiTheme="minorHAnsi" w:cstheme="minorBidi"/>
          <w:szCs w:val="22"/>
        </w:rPr>
      </w:pPr>
      <w:r>
        <w:t>17.</w:t>
      </w:r>
      <w:r>
        <w:tab/>
        <w:t>Appeals from decisions made under this Order</w:t>
      </w:r>
      <w:r>
        <w:tab/>
      </w:r>
      <w:r>
        <w:fldChar w:fldCharType="begin"/>
      </w:r>
      <w:r>
        <w:instrText xml:space="preserve"> PAGEREF _Toc75863663 \h </w:instrText>
      </w:r>
      <w:r>
        <w:fldChar w:fldCharType="separate"/>
      </w:r>
      <w:r w:rsidR="00FC1D84">
        <w:t>454</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67B</w:t>
      </w:r>
      <w:r w:rsidRPr="00AA3DF9">
        <w:rPr>
          <w:b w:val="0"/>
        </w:rPr>
        <w:t> </w:t>
      </w:r>
      <w:r>
        <w:t>—</w:t>
      </w:r>
      <w:r w:rsidRPr="00AA3DF9">
        <w:rPr>
          <w:b w:val="0"/>
        </w:rPr>
        <w:t> </w:t>
      </w:r>
      <w:r>
        <w:t>Access to information and things held by the Court</w:t>
      </w:r>
    </w:p>
    <w:p w:rsidR="006169FD" w:rsidRDefault="006169FD">
      <w:pPr>
        <w:pStyle w:val="TOC4"/>
        <w:tabs>
          <w:tab w:val="right" w:leader="dot" w:pos="7077"/>
        </w:tabs>
        <w:rPr>
          <w:rFonts w:asciiTheme="minorHAnsi" w:eastAsiaTheme="minorEastAsia" w:hAnsiTheme="minorHAnsi" w:cstheme="minorBidi"/>
          <w:b w:val="0"/>
          <w:szCs w:val="22"/>
        </w:rPr>
      </w:pPr>
      <w:r>
        <w:t>Division 1 — Preliminary matters</w:t>
      </w:r>
    </w:p>
    <w:p w:rsidR="006169FD" w:rsidRDefault="006169FD">
      <w:pPr>
        <w:pStyle w:val="TOC8"/>
        <w:rPr>
          <w:rFonts w:asciiTheme="minorHAnsi" w:eastAsiaTheme="minorEastAsia" w:hAnsiTheme="minorHAnsi" w:cstheme="minorBidi"/>
          <w:szCs w:val="22"/>
        </w:rPr>
      </w:pPr>
      <w:r>
        <w:t>1.</w:t>
      </w:r>
      <w:r>
        <w:tab/>
        <w:t>Terms used</w:t>
      </w:r>
      <w:r>
        <w:tab/>
      </w:r>
      <w:r>
        <w:fldChar w:fldCharType="begin"/>
      </w:r>
      <w:r>
        <w:instrText xml:space="preserve"> PAGEREF _Toc75863666 \h </w:instrText>
      </w:r>
      <w:r>
        <w:fldChar w:fldCharType="separate"/>
      </w:r>
      <w:r w:rsidR="00FC1D84">
        <w:t>455</w:t>
      </w:r>
      <w:r>
        <w:fldChar w:fldCharType="end"/>
      </w:r>
    </w:p>
    <w:p w:rsidR="006169FD" w:rsidRDefault="006169FD">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_Toc75863667 \h </w:instrText>
      </w:r>
      <w:r>
        <w:fldChar w:fldCharType="separate"/>
      </w:r>
      <w:r w:rsidR="00FC1D84">
        <w:t>456</w:t>
      </w:r>
      <w:r>
        <w:fldChar w:fldCharType="end"/>
      </w:r>
    </w:p>
    <w:p w:rsidR="006169FD" w:rsidRDefault="006169FD">
      <w:pPr>
        <w:pStyle w:val="TOC8"/>
        <w:rPr>
          <w:rFonts w:asciiTheme="minorHAnsi" w:eastAsiaTheme="minorEastAsia" w:hAnsiTheme="minorHAnsi" w:cstheme="minorBidi"/>
          <w:szCs w:val="22"/>
        </w:rPr>
      </w:pPr>
      <w:r>
        <w:t>3.</w:t>
      </w:r>
      <w:r>
        <w:tab/>
        <w:t>Access to information and things under other legislation</w:t>
      </w:r>
      <w:r>
        <w:tab/>
      </w:r>
      <w:r>
        <w:fldChar w:fldCharType="begin"/>
      </w:r>
      <w:r>
        <w:instrText xml:space="preserve"> PAGEREF _Toc75863668 \h </w:instrText>
      </w:r>
      <w:r>
        <w:fldChar w:fldCharType="separate"/>
      </w:r>
      <w:r w:rsidR="00FC1D84">
        <w:t>457</w:t>
      </w:r>
      <w:r>
        <w:fldChar w:fldCharType="end"/>
      </w:r>
    </w:p>
    <w:p w:rsidR="006169FD" w:rsidRDefault="006169FD">
      <w:pPr>
        <w:pStyle w:val="TOC8"/>
        <w:rPr>
          <w:rFonts w:asciiTheme="minorHAnsi" w:eastAsiaTheme="minorEastAsia" w:hAnsiTheme="minorHAnsi" w:cstheme="minorBidi"/>
          <w:szCs w:val="22"/>
        </w:rPr>
      </w:pPr>
      <w:r>
        <w:t>4.</w:t>
      </w:r>
      <w:r>
        <w:tab/>
        <w:t>Order does not limit Court’s general power to release information</w:t>
      </w:r>
      <w:r>
        <w:tab/>
      </w:r>
      <w:r>
        <w:fldChar w:fldCharType="begin"/>
      </w:r>
      <w:r>
        <w:instrText xml:space="preserve"> PAGEREF _Toc75863669 \h </w:instrText>
      </w:r>
      <w:r>
        <w:fldChar w:fldCharType="separate"/>
      </w:r>
      <w:r w:rsidR="00FC1D84">
        <w:t>457</w:t>
      </w:r>
      <w:r>
        <w:fldChar w:fldCharType="end"/>
      </w:r>
    </w:p>
    <w:p w:rsidR="006169FD" w:rsidRDefault="006169FD">
      <w:pPr>
        <w:pStyle w:val="TOC4"/>
        <w:tabs>
          <w:tab w:val="right" w:leader="dot" w:pos="7077"/>
        </w:tabs>
        <w:rPr>
          <w:rFonts w:asciiTheme="minorHAnsi" w:eastAsiaTheme="minorEastAsia" w:hAnsiTheme="minorHAnsi" w:cstheme="minorBidi"/>
          <w:b w:val="0"/>
          <w:szCs w:val="22"/>
        </w:rPr>
      </w:pPr>
      <w:r>
        <w:t>Division 2 — Orders restricting access</w:t>
      </w:r>
    </w:p>
    <w:p w:rsidR="006169FD" w:rsidRDefault="006169FD">
      <w:pPr>
        <w:pStyle w:val="TOC8"/>
        <w:rPr>
          <w:rFonts w:asciiTheme="minorHAnsi" w:eastAsiaTheme="minorEastAsia" w:hAnsiTheme="minorHAnsi" w:cstheme="minorBidi"/>
          <w:szCs w:val="22"/>
        </w:rPr>
      </w:pPr>
      <w:r>
        <w:t>5.</w:t>
      </w:r>
      <w:r>
        <w:tab/>
        <w:t>Court’s powers to restrict access</w:t>
      </w:r>
      <w:r>
        <w:tab/>
      </w:r>
      <w:r>
        <w:fldChar w:fldCharType="begin"/>
      </w:r>
      <w:r>
        <w:instrText xml:space="preserve"> PAGEREF _Toc75863671 \h </w:instrText>
      </w:r>
      <w:r>
        <w:fldChar w:fldCharType="separate"/>
      </w:r>
      <w:r w:rsidR="00FC1D84">
        <w:t>457</w:t>
      </w:r>
      <w:r>
        <w:fldChar w:fldCharType="end"/>
      </w:r>
    </w:p>
    <w:p w:rsidR="006169FD" w:rsidRDefault="006169FD">
      <w:pPr>
        <w:pStyle w:val="TOC4"/>
        <w:tabs>
          <w:tab w:val="right" w:leader="dot" w:pos="7077"/>
        </w:tabs>
        <w:rPr>
          <w:rFonts w:asciiTheme="minorHAnsi" w:eastAsiaTheme="minorEastAsia" w:hAnsiTheme="minorHAnsi" w:cstheme="minorBidi"/>
          <w:b w:val="0"/>
          <w:szCs w:val="22"/>
        </w:rPr>
      </w:pPr>
      <w:r>
        <w:t>Division 3 — Entitlements to access</w:t>
      </w:r>
    </w:p>
    <w:p w:rsidR="006169FD" w:rsidRDefault="006169FD">
      <w:pPr>
        <w:pStyle w:val="TOC8"/>
        <w:rPr>
          <w:rFonts w:asciiTheme="minorHAnsi" w:eastAsiaTheme="minorEastAsia" w:hAnsiTheme="minorHAnsi" w:cstheme="minorBidi"/>
          <w:szCs w:val="22"/>
        </w:rPr>
      </w:pPr>
      <w:r>
        <w:t>6.</w:t>
      </w:r>
      <w:r>
        <w:tab/>
        <w:t>Entitlements of every person</w:t>
      </w:r>
      <w:r>
        <w:tab/>
      </w:r>
      <w:r>
        <w:fldChar w:fldCharType="begin"/>
      </w:r>
      <w:r>
        <w:instrText xml:space="preserve"> PAGEREF _Toc75863673 \h </w:instrText>
      </w:r>
      <w:r>
        <w:fldChar w:fldCharType="separate"/>
      </w:r>
      <w:r w:rsidR="00FC1D84">
        <w:t>459</w:t>
      </w:r>
      <w:r>
        <w:fldChar w:fldCharType="end"/>
      </w:r>
    </w:p>
    <w:p w:rsidR="006169FD" w:rsidRDefault="006169FD">
      <w:pPr>
        <w:pStyle w:val="TOC8"/>
        <w:rPr>
          <w:rFonts w:asciiTheme="minorHAnsi" w:eastAsiaTheme="minorEastAsia" w:hAnsiTheme="minorHAnsi" w:cstheme="minorBidi"/>
          <w:szCs w:val="22"/>
        </w:rPr>
      </w:pPr>
      <w:r>
        <w:t>7.</w:t>
      </w:r>
      <w:r>
        <w:tab/>
        <w:t>Entitlements of parties</w:t>
      </w:r>
      <w:r>
        <w:tab/>
      </w:r>
      <w:r>
        <w:fldChar w:fldCharType="begin"/>
      </w:r>
      <w:r>
        <w:instrText xml:space="preserve"> PAGEREF _Toc75863674 \h </w:instrText>
      </w:r>
      <w:r>
        <w:fldChar w:fldCharType="separate"/>
      </w:r>
      <w:r w:rsidR="00FC1D84">
        <w:t>463</w:t>
      </w:r>
      <w:r>
        <w:fldChar w:fldCharType="end"/>
      </w:r>
    </w:p>
    <w:p w:rsidR="006169FD" w:rsidRDefault="006169FD">
      <w:pPr>
        <w:pStyle w:val="TOC4"/>
        <w:tabs>
          <w:tab w:val="right" w:leader="dot" w:pos="7077"/>
        </w:tabs>
        <w:rPr>
          <w:rFonts w:asciiTheme="minorHAnsi" w:eastAsiaTheme="minorEastAsia" w:hAnsiTheme="minorHAnsi" w:cstheme="minorBidi"/>
          <w:b w:val="0"/>
          <w:szCs w:val="22"/>
        </w:rPr>
      </w:pPr>
      <w:r>
        <w:t>Division 4 — Access with the Court’s permission</w:t>
      </w:r>
    </w:p>
    <w:p w:rsidR="006169FD" w:rsidRDefault="006169FD">
      <w:pPr>
        <w:pStyle w:val="TOC8"/>
        <w:rPr>
          <w:rFonts w:asciiTheme="minorHAnsi" w:eastAsiaTheme="minorEastAsia" w:hAnsiTheme="minorHAnsi" w:cstheme="minorBidi"/>
          <w:szCs w:val="22"/>
        </w:rPr>
      </w:pPr>
      <w:r>
        <w:t>8.</w:t>
      </w:r>
      <w:r>
        <w:tab/>
        <w:t>Access with the Court’s permission</w:t>
      </w:r>
      <w:r>
        <w:tab/>
      </w:r>
      <w:r>
        <w:fldChar w:fldCharType="begin"/>
      </w:r>
      <w:r>
        <w:instrText xml:space="preserve"> PAGEREF _Toc75863676 \h </w:instrText>
      </w:r>
      <w:r>
        <w:fldChar w:fldCharType="separate"/>
      </w:r>
      <w:r w:rsidR="00FC1D84">
        <w:t>464</w:t>
      </w:r>
      <w:r>
        <w:fldChar w:fldCharType="end"/>
      </w:r>
    </w:p>
    <w:p w:rsidR="006169FD" w:rsidRDefault="006169FD">
      <w:pPr>
        <w:pStyle w:val="TOC8"/>
        <w:rPr>
          <w:rFonts w:asciiTheme="minorHAnsi" w:eastAsiaTheme="minorEastAsia" w:hAnsiTheme="minorHAnsi" w:cstheme="minorBidi"/>
          <w:szCs w:val="22"/>
        </w:rPr>
      </w:pPr>
      <w:r>
        <w:t>9.</w:t>
      </w:r>
      <w:r>
        <w:tab/>
        <w:t>When Court can give permission</w:t>
      </w:r>
      <w:r>
        <w:tab/>
      </w:r>
      <w:r>
        <w:fldChar w:fldCharType="begin"/>
      </w:r>
      <w:r>
        <w:instrText xml:space="preserve"> PAGEREF _Toc75863677 \h </w:instrText>
      </w:r>
      <w:r>
        <w:fldChar w:fldCharType="separate"/>
      </w:r>
      <w:r w:rsidR="00FC1D84">
        <w:t>464</w:t>
      </w:r>
      <w:r>
        <w:fldChar w:fldCharType="end"/>
      </w:r>
    </w:p>
    <w:p w:rsidR="006169FD" w:rsidRDefault="006169FD">
      <w:pPr>
        <w:pStyle w:val="TOC8"/>
        <w:rPr>
          <w:rFonts w:asciiTheme="minorHAnsi" w:eastAsiaTheme="minorEastAsia" w:hAnsiTheme="minorHAnsi" w:cstheme="minorBidi"/>
          <w:szCs w:val="22"/>
        </w:rPr>
      </w:pPr>
      <w:r>
        <w:t>10.</w:t>
      </w:r>
      <w:r>
        <w:tab/>
        <w:t>When media manager can give permission</w:t>
      </w:r>
      <w:r>
        <w:tab/>
      </w:r>
      <w:r>
        <w:fldChar w:fldCharType="begin"/>
      </w:r>
      <w:r>
        <w:instrText xml:space="preserve"> PAGEREF _Toc75863678 \h </w:instrText>
      </w:r>
      <w:r>
        <w:fldChar w:fldCharType="separate"/>
      </w:r>
      <w:r w:rsidR="00FC1D84">
        <w:t>466</w:t>
      </w:r>
      <w:r>
        <w:fldChar w:fldCharType="end"/>
      </w:r>
    </w:p>
    <w:p w:rsidR="006169FD" w:rsidRDefault="006169FD">
      <w:pPr>
        <w:pStyle w:val="TOC4"/>
        <w:tabs>
          <w:tab w:val="right" w:leader="dot" w:pos="7077"/>
        </w:tabs>
        <w:rPr>
          <w:rFonts w:asciiTheme="minorHAnsi" w:eastAsiaTheme="minorEastAsia" w:hAnsiTheme="minorHAnsi" w:cstheme="minorBidi"/>
          <w:b w:val="0"/>
          <w:szCs w:val="22"/>
        </w:rPr>
      </w:pPr>
      <w:r>
        <w:t>Division 5 — Applications for access</w:t>
      </w:r>
    </w:p>
    <w:p w:rsidR="006169FD" w:rsidRDefault="006169FD">
      <w:pPr>
        <w:pStyle w:val="TOC8"/>
        <w:rPr>
          <w:rFonts w:asciiTheme="minorHAnsi" w:eastAsiaTheme="minorEastAsia" w:hAnsiTheme="minorHAnsi" w:cstheme="minorBidi"/>
          <w:szCs w:val="22"/>
        </w:rPr>
      </w:pPr>
      <w:r>
        <w:t>11.</w:t>
      </w:r>
      <w:r>
        <w:tab/>
        <w:t>Applying for access</w:t>
      </w:r>
      <w:r>
        <w:tab/>
      </w:r>
      <w:r>
        <w:fldChar w:fldCharType="begin"/>
      </w:r>
      <w:r>
        <w:instrText xml:space="preserve"> PAGEREF _Toc75863680 \h </w:instrText>
      </w:r>
      <w:r>
        <w:fldChar w:fldCharType="separate"/>
      </w:r>
      <w:r w:rsidR="00FC1D84">
        <w:t>467</w:t>
      </w:r>
      <w:r>
        <w:fldChar w:fldCharType="end"/>
      </w:r>
    </w:p>
    <w:p w:rsidR="006169FD" w:rsidRDefault="006169FD">
      <w:pPr>
        <w:pStyle w:val="TOC8"/>
        <w:rPr>
          <w:rFonts w:asciiTheme="minorHAnsi" w:eastAsiaTheme="minorEastAsia" w:hAnsiTheme="minorHAnsi" w:cstheme="minorBidi"/>
          <w:szCs w:val="22"/>
        </w:rPr>
      </w:pPr>
      <w:r>
        <w:t>12.</w:t>
      </w:r>
      <w:r>
        <w:tab/>
        <w:t>Court’s powers as to applications for permission</w:t>
      </w:r>
      <w:r>
        <w:tab/>
      </w:r>
      <w:r>
        <w:fldChar w:fldCharType="begin"/>
      </w:r>
      <w:r>
        <w:instrText xml:space="preserve"> PAGEREF _Toc75863681 \h </w:instrText>
      </w:r>
      <w:r>
        <w:fldChar w:fldCharType="separate"/>
      </w:r>
      <w:r w:rsidR="00FC1D84">
        <w:t>469</w:t>
      </w:r>
      <w:r>
        <w:fldChar w:fldCharType="end"/>
      </w:r>
    </w:p>
    <w:p w:rsidR="006169FD" w:rsidRDefault="006169FD">
      <w:pPr>
        <w:pStyle w:val="TOC8"/>
        <w:rPr>
          <w:rFonts w:asciiTheme="minorHAnsi" w:eastAsiaTheme="minorEastAsia" w:hAnsiTheme="minorHAnsi" w:cstheme="minorBidi"/>
          <w:szCs w:val="22"/>
        </w:rPr>
      </w:pPr>
      <w:r>
        <w:lastRenderedPageBreak/>
        <w:t>13.</w:t>
      </w:r>
      <w:r>
        <w:tab/>
        <w:t>How applications are determined</w:t>
      </w:r>
      <w:r>
        <w:tab/>
      </w:r>
      <w:r>
        <w:fldChar w:fldCharType="begin"/>
      </w:r>
      <w:r>
        <w:instrText xml:space="preserve"> PAGEREF _Toc75863682 \h </w:instrText>
      </w:r>
      <w:r>
        <w:fldChar w:fldCharType="separate"/>
      </w:r>
      <w:r w:rsidR="00FC1D84">
        <w:t>469</w:t>
      </w:r>
      <w:r>
        <w:fldChar w:fldCharType="end"/>
      </w:r>
    </w:p>
    <w:p w:rsidR="006169FD" w:rsidRDefault="006169FD">
      <w:pPr>
        <w:pStyle w:val="TOC4"/>
        <w:tabs>
          <w:tab w:val="right" w:leader="dot" w:pos="7077"/>
        </w:tabs>
        <w:rPr>
          <w:rFonts w:asciiTheme="minorHAnsi" w:eastAsiaTheme="minorEastAsia" w:hAnsiTheme="minorHAnsi" w:cstheme="minorBidi"/>
          <w:b w:val="0"/>
          <w:szCs w:val="22"/>
        </w:rPr>
      </w:pPr>
      <w:r>
        <w:t>Division 6 — How access is given</w:t>
      </w:r>
    </w:p>
    <w:p w:rsidR="006169FD" w:rsidRDefault="006169FD">
      <w:pPr>
        <w:pStyle w:val="TOC8"/>
        <w:rPr>
          <w:rFonts w:asciiTheme="minorHAnsi" w:eastAsiaTheme="minorEastAsia" w:hAnsiTheme="minorHAnsi" w:cstheme="minorBidi"/>
          <w:szCs w:val="22"/>
        </w:rPr>
      </w:pPr>
      <w:r>
        <w:t>14.</w:t>
      </w:r>
      <w:r>
        <w:tab/>
        <w:t>How and when the Court gives access</w:t>
      </w:r>
      <w:r>
        <w:tab/>
      </w:r>
      <w:r>
        <w:fldChar w:fldCharType="begin"/>
      </w:r>
      <w:r>
        <w:instrText xml:space="preserve"> PAGEREF _Toc75863684 \h </w:instrText>
      </w:r>
      <w:r>
        <w:fldChar w:fldCharType="separate"/>
      </w:r>
      <w:r w:rsidR="00FC1D84">
        <w:t>470</w:t>
      </w:r>
      <w:r>
        <w:fldChar w:fldCharType="end"/>
      </w:r>
    </w:p>
    <w:p w:rsidR="006169FD" w:rsidRDefault="006169FD">
      <w:pPr>
        <w:pStyle w:val="TOC4"/>
        <w:tabs>
          <w:tab w:val="right" w:leader="dot" w:pos="7077"/>
        </w:tabs>
        <w:rPr>
          <w:rFonts w:asciiTheme="minorHAnsi" w:eastAsiaTheme="minorEastAsia" w:hAnsiTheme="minorHAnsi" w:cstheme="minorBidi"/>
          <w:b w:val="0"/>
          <w:szCs w:val="22"/>
        </w:rPr>
      </w:pPr>
      <w:r>
        <w:t>Division 7 — Access by non</w:t>
      </w:r>
      <w:r>
        <w:noBreakHyphen/>
        <w:t>parties to documents in cases commenced before 1 March 2018</w:t>
      </w:r>
    </w:p>
    <w:p w:rsidR="006169FD" w:rsidRDefault="006169FD">
      <w:pPr>
        <w:pStyle w:val="TOC8"/>
        <w:rPr>
          <w:rFonts w:asciiTheme="minorHAnsi" w:eastAsiaTheme="minorEastAsia" w:hAnsiTheme="minorHAnsi" w:cstheme="minorBidi"/>
          <w:szCs w:val="22"/>
        </w:rPr>
      </w:pPr>
      <w:r>
        <w:t>15.</w:t>
      </w:r>
      <w:r>
        <w:tab/>
        <w:t>Application of this Division</w:t>
      </w:r>
      <w:r>
        <w:tab/>
      </w:r>
      <w:r>
        <w:fldChar w:fldCharType="begin"/>
      </w:r>
      <w:r>
        <w:instrText xml:space="preserve"> PAGEREF _Toc75863686 \h </w:instrText>
      </w:r>
      <w:r>
        <w:fldChar w:fldCharType="separate"/>
      </w:r>
      <w:r w:rsidR="00FC1D84">
        <w:t>471</w:t>
      </w:r>
      <w:r>
        <w:fldChar w:fldCharType="end"/>
      </w:r>
    </w:p>
    <w:p w:rsidR="006169FD" w:rsidRDefault="006169FD">
      <w:pPr>
        <w:pStyle w:val="TOC8"/>
        <w:rPr>
          <w:rFonts w:asciiTheme="minorHAnsi" w:eastAsiaTheme="minorEastAsia" w:hAnsiTheme="minorHAnsi" w:cstheme="minorBidi"/>
          <w:szCs w:val="22"/>
        </w:rPr>
      </w:pPr>
      <w:r>
        <w:t>16.</w:t>
      </w:r>
      <w:r>
        <w:tab/>
        <w:t>Documents that can be inspected or copied</w:t>
      </w:r>
      <w:r>
        <w:tab/>
      </w:r>
      <w:r>
        <w:fldChar w:fldCharType="begin"/>
      </w:r>
      <w:r>
        <w:instrText xml:space="preserve"> PAGEREF _Toc75863687 \h </w:instrText>
      </w:r>
      <w:r>
        <w:fldChar w:fldCharType="separate"/>
      </w:r>
      <w:r w:rsidR="00FC1D84">
        <w:t>472</w:t>
      </w:r>
      <w:r>
        <w:fldChar w:fldCharType="end"/>
      </w:r>
    </w:p>
    <w:p w:rsidR="006169FD" w:rsidRDefault="006169FD">
      <w:pPr>
        <w:pStyle w:val="TOC4"/>
        <w:tabs>
          <w:tab w:val="right" w:leader="dot" w:pos="7077"/>
        </w:tabs>
        <w:rPr>
          <w:rFonts w:asciiTheme="minorHAnsi" w:eastAsiaTheme="minorEastAsia" w:hAnsiTheme="minorHAnsi" w:cstheme="minorBidi"/>
          <w:b w:val="0"/>
          <w:szCs w:val="22"/>
        </w:rPr>
      </w:pPr>
      <w:r>
        <w:t>Division 8 — Miscellaneous matters</w:t>
      </w:r>
    </w:p>
    <w:p w:rsidR="006169FD" w:rsidRDefault="006169FD">
      <w:pPr>
        <w:pStyle w:val="TOC8"/>
        <w:rPr>
          <w:rFonts w:asciiTheme="minorHAnsi" w:eastAsiaTheme="minorEastAsia" w:hAnsiTheme="minorHAnsi" w:cstheme="minorBidi"/>
          <w:szCs w:val="22"/>
        </w:rPr>
      </w:pPr>
      <w:r>
        <w:t>17.</w:t>
      </w:r>
      <w:r>
        <w:tab/>
        <w:t>Registrars’ decisions may be dealt with by judge or master</w:t>
      </w:r>
      <w:r>
        <w:tab/>
      </w:r>
      <w:r>
        <w:fldChar w:fldCharType="begin"/>
      </w:r>
      <w:r>
        <w:instrText xml:space="preserve"> PAGEREF _Toc75863689 \h </w:instrText>
      </w:r>
      <w:r>
        <w:fldChar w:fldCharType="separate"/>
      </w:r>
      <w:r w:rsidR="00FC1D84">
        <w:t>472</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68 — Sittings, vacations and office hours</w:t>
      </w:r>
    </w:p>
    <w:p w:rsidR="006169FD" w:rsidRDefault="006169FD">
      <w:pPr>
        <w:pStyle w:val="TOC8"/>
        <w:rPr>
          <w:rFonts w:asciiTheme="minorHAnsi" w:eastAsiaTheme="minorEastAsia" w:hAnsiTheme="minorHAnsi" w:cstheme="minorBidi"/>
          <w:szCs w:val="22"/>
        </w:rPr>
      </w:pPr>
      <w:r>
        <w:t>1</w:t>
      </w:r>
      <w:r w:rsidRPr="00AA3DF9">
        <w:rPr>
          <w:snapToGrid w:val="0"/>
        </w:rPr>
        <w:t>.</w:t>
      </w:r>
      <w:r w:rsidRPr="00AA3DF9">
        <w:rPr>
          <w:snapToGrid w:val="0"/>
        </w:rPr>
        <w:tab/>
        <w:t>Civil sittings</w:t>
      </w:r>
      <w:r>
        <w:tab/>
      </w:r>
      <w:r>
        <w:fldChar w:fldCharType="begin"/>
      </w:r>
      <w:r>
        <w:instrText xml:space="preserve"> PAGEREF _Toc75863691 \h </w:instrText>
      </w:r>
      <w:r>
        <w:fldChar w:fldCharType="separate"/>
      </w:r>
      <w:r w:rsidR="00FC1D84">
        <w:t>474</w:t>
      </w:r>
      <w:r>
        <w:fldChar w:fldCharType="end"/>
      </w:r>
    </w:p>
    <w:p w:rsidR="006169FD" w:rsidRDefault="006169FD">
      <w:pPr>
        <w:pStyle w:val="TOC8"/>
        <w:rPr>
          <w:rFonts w:asciiTheme="minorHAnsi" w:eastAsiaTheme="minorEastAsia" w:hAnsiTheme="minorHAnsi" w:cstheme="minorBidi"/>
          <w:szCs w:val="22"/>
        </w:rPr>
      </w:pPr>
      <w:r>
        <w:t>2</w:t>
      </w:r>
      <w:r w:rsidRPr="00AA3DF9">
        <w:rPr>
          <w:snapToGrid w:val="0"/>
        </w:rPr>
        <w:t>.</w:t>
      </w:r>
      <w:r w:rsidRPr="00AA3DF9">
        <w:rPr>
          <w:snapToGrid w:val="0"/>
        </w:rPr>
        <w:tab/>
        <w:t>Criminal sittings</w:t>
      </w:r>
      <w:r>
        <w:tab/>
      </w:r>
      <w:r>
        <w:fldChar w:fldCharType="begin"/>
      </w:r>
      <w:r>
        <w:instrText xml:space="preserve"> PAGEREF _Toc75863692 \h </w:instrText>
      </w:r>
      <w:r>
        <w:fldChar w:fldCharType="separate"/>
      </w:r>
      <w:r w:rsidR="00FC1D84">
        <w:t>474</w:t>
      </w:r>
      <w:r>
        <w:fldChar w:fldCharType="end"/>
      </w:r>
    </w:p>
    <w:p w:rsidR="006169FD" w:rsidRDefault="006169FD">
      <w:pPr>
        <w:pStyle w:val="TOC8"/>
        <w:rPr>
          <w:rFonts w:asciiTheme="minorHAnsi" w:eastAsiaTheme="minorEastAsia" w:hAnsiTheme="minorHAnsi" w:cstheme="minorBidi"/>
          <w:szCs w:val="22"/>
        </w:rPr>
      </w:pPr>
      <w:r>
        <w:t>3</w:t>
      </w:r>
      <w:r w:rsidRPr="00AA3DF9">
        <w:rPr>
          <w:snapToGrid w:val="0"/>
        </w:rPr>
        <w:t>.</w:t>
      </w:r>
      <w:r w:rsidRPr="00AA3DF9">
        <w:rPr>
          <w:snapToGrid w:val="0"/>
        </w:rPr>
        <w:tab/>
        <w:t>Court vacations</w:t>
      </w:r>
      <w:r>
        <w:tab/>
      </w:r>
      <w:r>
        <w:fldChar w:fldCharType="begin"/>
      </w:r>
      <w:r>
        <w:instrText xml:space="preserve"> PAGEREF _Toc75863693 \h </w:instrText>
      </w:r>
      <w:r>
        <w:fldChar w:fldCharType="separate"/>
      </w:r>
      <w:r w:rsidR="00FC1D84">
        <w:t>474</w:t>
      </w:r>
      <w:r>
        <w:fldChar w:fldCharType="end"/>
      </w:r>
    </w:p>
    <w:p w:rsidR="006169FD" w:rsidRDefault="006169FD">
      <w:pPr>
        <w:pStyle w:val="TOC8"/>
        <w:rPr>
          <w:rFonts w:asciiTheme="minorHAnsi" w:eastAsiaTheme="minorEastAsia" w:hAnsiTheme="minorHAnsi" w:cstheme="minorBidi"/>
          <w:szCs w:val="22"/>
        </w:rPr>
      </w:pPr>
      <w:r>
        <w:t>4</w:t>
      </w:r>
      <w:r w:rsidRPr="00AA3DF9">
        <w:rPr>
          <w:snapToGrid w:val="0"/>
        </w:rPr>
        <w:t>.</w:t>
      </w:r>
      <w:r w:rsidRPr="00AA3DF9">
        <w:rPr>
          <w:snapToGrid w:val="0"/>
        </w:rPr>
        <w:tab/>
        <w:t>Days included in sitting and vacation</w:t>
      </w:r>
      <w:r>
        <w:tab/>
      </w:r>
      <w:r>
        <w:fldChar w:fldCharType="begin"/>
      </w:r>
      <w:r>
        <w:instrText xml:space="preserve"> PAGEREF _Toc75863694 \h </w:instrText>
      </w:r>
      <w:r>
        <w:fldChar w:fldCharType="separate"/>
      </w:r>
      <w:r w:rsidR="00FC1D84">
        <w:t>475</w:t>
      </w:r>
      <w:r>
        <w:fldChar w:fldCharType="end"/>
      </w:r>
    </w:p>
    <w:p w:rsidR="006169FD" w:rsidRDefault="006169FD">
      <w:pPr>
        <w:pStyle w:val="TOC8"/>
        <w:rPr>
          <w:rFonts w:asciiTheme="minorHAnsi" w:eastAsiaTheme="minorEastAsia" w:hAnsiTheme="minorHAnsi" w:cstheme="minorBidi"/>
          <w:szCs w:val="22"/>
        </w:rPr>
      </w:pPr>
      <w:r>
        <w:t>5</w:t>
      </w:r>
      <w:r w:rsidRPr="00AA3DF9">
        <w:rPr>
          <w:snapToGrid w:val="0"/>
        </w:rPr>
        <w:t>.</w:t>
      </w:r>
      <w:r w:rsidRPr="00AA3DF9">
        <w:rPr>
          <w:snapToGrid w:val="0"/>
        </w:rPr>
        <w:tab/>
        <w:t>When Court’s offices are open</w:t>
      </w:r>
      <w:r>
        <w:tab/>
      </w:r>
      <w:r>
        <w:fldChar w:fldCharType="begin"/>
      </w:r>
      <w:r>
        <w:instrText xml:space="preserve"> PAGEREF _Toc75863695 \h </w:instrText>
      </w:r>
      <w:r>
        <w:fldChar w:fldCharType="separate"/>
      </w:r>
      <w:r w:rsidR="00FC1D84">
        <w:t>475</w:t>
      </w:r>
      <w:r>
        <w:fldChar w:fldCharType="end"/>
      </w:r>
    </w:p>
    <w:p w:rsidR="006169FD" w:rsidRDefault="006169FD">
      <w:pPr>
        <w:pStyle w:val="TOC8"/>
        <w:rPr>
          <w:rFonts w:asciiTheme="minorHAnsi" w:eastAsiaTheme="minorEastAsia" w:hAnsiTheme="minorHAnsi" w:cstheme="minorBidi"/>
          <w:szCs w:val="22"/>
        </w:rPr>
      </w:pPr>
      <w:r>
        <w:t>6</w:t>
      </w:r>
      <w:r w:rsidRPr="00AA3DF9">
        <w:rPr>
          <w:snapToGrid w:val="0"/>
        </w:rPr>
        <w:t>.</w:t>
      </w:r>
      <w:r w:rsidRPr="00AA3DF9">
        <w:rPr>
          <w:snapToGrid w:val="0"/>
        </w:rPr>
        <w:tab/>
        <w:t>Office hours</w:t>
      </w:r>
      <w:r>
        <w:tab/>
      </w:r>
      <w:r>
        <w:fldChar w:fldCharType="begin"/>
      </w:r>
      <w:r>
        <w:instrText xml:space="preserve"> PAGEREF _Toc75863696 \h </w:instrText>
      </w:r>
      <w:r>
        <w:fldChar w:fldCharType="separate"/>
      </w:r>
      <w:r w:rsidR="00FC1D84">
        <w:t>475</w:t>
      </w:r>
      <w:r>
        <w:fldChar w:fldCharType="end"/>
      </w:r>
    </w:p>
    <w:p w:rsidR="006169FD" w:rsidRDefault="006169FD">
      <w:pPr>
        <w:pStyle w:val="TOC8"/>
        <w:rPr>
          <w:rFonts w:asciiTheme="minorHAnsi" w:eastAsiaTheme="minorEastAsia" w:hAnsiTheme="minorHAnsi" w:cstheme="minorBidi"/>
          <w:szCs w:val="22"/>
        </w:rPr>
      </w:pPr>
      <w:r>
        <w:t>7</w:t>
      </w:r>
      <w:r w:rsidRPr="00AA3DF9">
        <w:rPr>
          <w:snapToGrid w:val="0"/>
        </w:rPr>
        <w:t>.</w:t>
      </w:r>
      <w:r w:rsidRPr="00AA3DF9">
        <w:rPr>
          <w:snapToGrid w:val="0"/>
        </w:rPr>
        <w:tab/>
        <w:t>Vacation Judge</w:t>
      </w:r>
      <w:r>
        <w:tab/>
      </w:r>
      <w:r>
        <w:fldChar w:fldCharType="begin"/>
      </w:r>
      <w:r>
        <w:instrText xml:space="preserve"> PAGEREF _Toc75863697 \h </w:instrText>
      </w:r>
      <w:r>
        <w:fldChar w:fldCharType="separate"/>
      </w:r>
      <w:r w:rsidR="00FC1D84">
        <w:t>475</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69 — Paper, printing, notice, and copies</w:t>
      </w:r>
    </w:p>
    <w:p w:rsidR="006169FD" w:rsidRDefault="006169FD">
      <w:pPr>
        <w:pStyle w:val="TOC8"/>
        <w:rPr>
          <w:rFonts w:asciiTheme="minorHAnsi" w:eastAsiaTheme="minorEastAsia" w:hAnsiTheme="minorHAnsi" w:cstheme="minorBidi"/>
          <w:szCs w:val="22"/>
        </w:rPr>
      </w:pPr>
      <w:r>
        <w:t>1</w:t>
      </w:r>
      <w:r w:rsidRPr="00AA3DF9">
        <w:rPr>
          <w:snapToGrid w:val="0"/>
        </w:rPr>
        <w:t>.</w:t>
      </w:r>
      <w:r w:rsidRPr="00AA3DF9">
        <w:rPr>
          <w:snapToGrid w:val="0"/>
        </w:rPr>
        <w:tab/>
        <w:t>Printing of documents, rules as to</w:t>
      </w:r>
      <w:r>
        <w:tab/>
      </w:r>
      <w:r>
        <w:fldChar w:fldCharType="begin"/>
      </w:r>
      <w:r>
        <w:instrText xml:space="preserve"> PAGEREF _Toc75863699 \h </w:instrText>
      </w:r>
      <w:r>
        <w:fldChar w:fldCharType="separate"/>
      </w:r>
      <w:r w:rsidR="00FC1D84">
        <w:t>476</w:t>
      </w:r>
      <w:r>
        <w:fldChar w:fldCharType="end"/>
      </w:r>
    </w:p>
    <w:p w:rsidR="006169FD" w:rsidRDefault="006169FD">
      <w:pPr>
        <w:pStyle w:val="TOC8"/>
        <w:rPr>
          <w:rFonts w:asciiTheme="minorHAnsi" w:eastAsiaTheme="minorEastAsia" w:hAnsiTheme="minorHAnsi" w:cstheme="minorBidi"/>
          <w:szCs w:val="22"/>
        </w:rPr>
      </w:pPr>
      <w:r>
        <w:t>2</w:t>
      </w:r>
      <w:r w:rsidRPr="00AA3DF9">
        <w:rPr>
          <w:snapToGrid w:val="0"/>
        </w:rPr>
        <w:t>.</w:t>
      </w:r>
      <w:r w:rsidRPr="00AA3DF9">
        <w:rPr>
          <w:snapToGrid w:val="0"/>
        </w:rPr>
        <w:tab/>
        <w:t>Requirements as to documents prepared by parties</w:t>
      </w:r>
      <w:r>
        <w:tab/>
      </w:r>
      <w:r>
        <w:fldChar w:fldCharType="begin"/>
      </w:r>
      <w:r>
        <w:instrText xml:space="preserve"> PAGEREF _Toc75863700 \h </w:instrText>
      </w:r>
      <w:r>
        <w:fldChar w:fldCharType="separate"/>
      </w:r>
      <w:r w:rsidR="00FC1D84">
        <w:t>476</w:t>
      </w:r>
      <w:r>
        <w:fldChar w:fldCharType="end"/>
      </w:r>
    </w:p>
    <w:p w:rsidR="006169FD" w:rsidRDefault="006169FD">
      <w:pPr>
        <w:pStyle w:val="TOC8"/>
        <w:rPr>
          <w:rFonts w:asciiTheme="minorHAnsi" w:eastAsiaTheme="minorEastAsia" w:hAnsiTheme="minorHAnsi" w:cstheme="minorBidi"/>
          <w:szCs w:val="22"/>
        </w:rPr>
      </w:pPr>
      <w:r>
        <w:t>4</w:t>
      </w:r>
      <w:r w:rsidRPr="00AA3DF9">
        <w:rPr>
          <w:snapToGrid w:val="0"/>
        </w:rPr>
        <w:t>.</w:t>
      </w:r>
      <w:r w:rsidRPr="00AA3DF9">
        <w:rPr>
          <w:snapToGrid w:val="0"/>
        </w:rPr>
        <w:tab/>
        <w:t>Copies of documents for other parties</w:t>
      </w:r>
      <w:r>
        <w:tab/>
      </w:r>
      <w:r>
        <w:fldChar w:fldCharType="begin"/>
      </w:r>
      <w:r>
        <w:instrText xml:space="preserve"> PAGEREF _Toc75863701 \h </w:instrText>
      </w:r>
      <w:r>
        <w:fldChar w:fldCharType="separate"/>
      </w:r>
      <w:r w:rsidR="00FC1D84">
        <w:t>479</w:t>
      </w:r>
      <w:r>
        <w:fldChar w:fldCharType="end"/>
      </w:r>
    </w:p>
    <w:p w:rsidR="006169FD" w:rsidRDefault="006169FD">
      <w:pPr>
        <w:pStyle w:val="TOC8"/>
        <w:rPr>
          <w:rFonts w:asciiTheme="minorHAnsi" w:eastAsiaTheme="minorEastAsia" w:hAnsiTheme="minorHAnsi" w:cstheme="minorBidi"/>
          <w:szCs w:val="22"/>
        </w:rPr>
      </w:pPr>
      <w:r>
        <w:t>5</w:t>
      </w:r>
      <w:r w:rsidRPr="00AA3DF9">
        <w:rPr>
          <w:snapToGrid w:val="0"/>
        </w:rPr>
        <w:t>.</w:t>
      </w:r>
      <w:r w:rsidRPr="00AA3DF9">
        <w:rPr>
          <w:snapToGrid w:val="0"/>
        </w:rPr>
        <w:tab/>
        <w:t>Requirements as to copies</w:t>
      </w:r>
      <w:r>
        <w:tab/>
      </w:r>
      <w:r>
        <w:fldChar w:fldCharType="begin"/>
      </w:r>
      <w:r>
        <w:instrText xml:space="preserve"> PAGEREF _Toc75863702 \h </w:instrText>
      </w:r>
      <w:r>
        <w:fldChar w:fldCharType="separate"/>
      </w:r>
      <w:r w:rsidR="00FC1D84">
        <w:t>479</w:t>
      </w:r>
      <w:r>
        <w:fldChar w:fldCharType="end"/>
      </w:r>
    </w:p>
    <w:p w:rsidR="006169FD" w:rsidRDefault="006169FD">
      <w:pPr>
        <w:pStyle w:val="TOC8"/>
        <w:rPr>
          <w:rFonts w:asciiTheme="minorHAnsi" w:eastAsiaTheme="minorEastAsia" w:hAnsiTheme="minorHAnsi" w:cstheme="minorBidi"/>
          <w:szCs w:val="22"/>
        </w:rPr>
      </w:pPr>
      <w:r>
        <w:t>6</w:t>
      </w:r>
      <w:r w:rsidRPr="00AA3DF9">
        <w:rPr>
          <w:snapToGrid w:val="0"/>
        </w:rPr>
        <w:t>.</w:t>
      </w:r>
      <w:r w:rsidRPr="00AA3DF9">
        <w:rPr>
          <w:snapToGrid w:val="0"/>
        </w:rPr>
        <w:tab/>
        <w:t xml:space="preserve">Copies of affidavits on certain </w:t>
      </w:r>
      <w:r w:rsidRPr="00AA3DF9">
        <w:rPr>
          <w:i/>
          <w:snapToGrid w:val="0"/>
        </w:rPr>
        <w:t>ex parte</w:t>
      </w:r>
      <w:r w:rsidRPr="00AA3DF9">
        <w:rPr>
          <w:snapToGrid w:val="0"/>
        </w:rPr>
        <w:t xml:space="preserve"> applications</w:t>
      </w:r>
      <w:r>
        <w:tab/>
      </w:r>
      <w:r>
        <w:fldChar w:fldCharType="begin"/>
      </w:r>
      <w:r>
        <w:instrText xml:space="preserve"> PAGEREF _Toc75863703 \h </w:instrText>
      </w:r>
      <w:r>
        <w:fldChar w:fldCharType="separate"/>
      </w:r>
      <w:r w:rsidR="00FC1D84">
        <w:t>480</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70 — Disability</w:t>
      </w:r>
    </w:p>
    <w:p w:rsidR="006169FD" w:rsidRDefault="006169FD">
      <w:pPr>
        <w:pStyle w:val="TOC8"/>
        <w:rPr>
          <w:rFonts w:asciiTheme="minorHAnsi" w:eastAsiaTheme="minorEastAsia" w:hAnsiTheme="minorHAnsi" w:cstheme="minorBidi"/>
          <w:szCs w:val="22"/>
        </w:rPr>
      </w:pPr>
      <w:r>
        <w:t>1</w:t>
      </w:r>
      <w:r w:rsidRPr="00AA3DF9">
        <w:rPr>
          <w:snapToGrid w:val="0"/>
        </w:rPr>
        <w:t>.</w:t>
      </w:r>
      <w:r w:rsidRPr="00AA3DF9">
        <w:rPr>
          <w:snapToGrid w:val="0"/>
        </w:rPr>
        <w:tab/>
        <w:t>Terms used</w:t>
      </w:r>
      <w:r>
        <w:tab/>
      </w:r>
      <w:r>
        <w:fldChar w:fldCharType="begin"/>
      </w:r>
      <w:r>
        <w:instrText xml:space="preserve"> PAGEREF _Toc75863705 \h </w:instrText>
      </w:r>
      <w:r>
        <w:fldChar w:fldCharType="separate"/>
      </w:r>
      <w:r w:rsidR="00FC1D84">
        <w:t>481</w:t>
      </w:r>
      <w:r>
        <w:fldChar w:fldCharType="end"/>
      </w:r>
    </w:p>
    <w:p w:rsidR="006169FD" w:rsidRDefault="006169FD">
      <w:pPr>
        <w:pStyle w:val="TOC8"/>
        <w:rPr>
          <w:rFonts w:asciiTheme="minorHAnsi" w:eastAsiaTheme="minorEastAsia" w:hAnsiTheme="minorHAnsi" w:cstheme="minorBidi"/>
          <w:szCs w:val="22"/>
        </w:rPr>
      </w:pPr>
      <w:r>
        <w:t>2</w:t>
      </w:r>
      <w:r w:rsidRPr="00AA3DF9">
        <w:rPr>
          <w:snapToGrid w:val="0"/>
        </w:rPr>
        <w:t>.</w:t>
      </w:r>
      <w:r w:rsidRPr="00AA3DF9">
        <w:rPr>
          <w:snapToGrid w:val="0"/>
        </w:rPr>
        <w:tab/>
        <w:t>Persons under disability suing or defending</w:t>
      </w:r>
      <w:r>
        <w:tab/>
      </w:r>
      <w:r>
        <w:fldChar w:fldCharType="begin"/>
      </w:r>
      <w:r>
        <w:instrText xml:space="preserve"> PAGEREF _Toc75863706 \h </w:instrText>
      </w:r>
      <w:r>
        <w:fldChar w:fldCharType="separate"/>
      </w:r>
      <w:r w:rsidR="00FC1D84">
        <w:t>481</w:t>
      </w:r>
      <w:r>
        <w:fldChar w:fldCharType="end"/>
      </w:r>
    </w:p>
    <w:p w:rsidR="006169FD" w:rsidRDefault="006169FD">
      <w:pPr>
        <w:pStyle w:val="TOC8"/>
        <w:rPr>
          <w:rFonts w:asciiTheme="minorHAnsi" w:eastAsiaTheme="minorEastAsia" w:hAnsiTheme="minorHAnsi" w:cstheme="minorBidi"/>
          <w:szCs w:val="22"/>
        </w:rPr>
      </w:pPr>
      <w:r>
        <w:t>3</w:t>
      </w:r>
      <w:r w:rsidRPr="00AA3DF9">
        <w:rPr>
          <w:snapToGrid w:val="0"/>
        </w:rPr>
        <w:t>.</w:t>
      </w:r>
      <w:r w:rsidRPr="00AA3DF9">
        <w:rPr>
          <w:snapToGrid w:val="0"/>
        </w:rPr>
        <w:tab/>
        <w:t xml:space="preserve">Appointment of next friend or guardian </w:t>
      </w:r>
      <w:r w:rsidRPr="00AA3DF9">
        <w:rPr>
          <w:i/>
          <w:snapToGrid w:val="0"/>
        </w:rPr>
        <w:t>ad litem</w:t>
      </w:r>
      <w:r>
        <w:tab/>
      </w:r>
      <w:r>
        <w:fldChar w:fldCharType="begin"/>
      </w:r>
      <w:r>
        <w:instrText xml:space="preserve"> PAGEREF _Toc75863707 \h </w:instrText>
      </w:r>
      <w:r>
        <w:fldChar w:fldCharType="separate"/>
      </w:r>
      <w:r w:rsidR="00FC1D84">
        <w:t>483</w:t>
      </w:r>
      <w:r>
        <w:fldChar w:fldCharType="end"/>
      </w:r>
    </w:p>
    <w:p w:rsidR="006169FD" w:rsidRDefault="006169FD">
      <w:pPr>
        <w:pStyle w:val="TOC8"/>
        <w:rPr>
          <w:rFonts w:asciiTheme="minorHAnsi" w:eastAsiaTheme="minorEastAsia" w:hAnsiTheme="minorHAnsi" w:cstheme="minorBidi"/>
          <w:szCs w:val="22"/>
        </w:rPr>
      </w:pPr>
      <w:r>
        <w:t>4</w:t>
      </w:r>
      <w:r w:rsidRPr="00AA3DF9">
        <w:rPr>
          <w:snapToGrid w:val="0"/>
        </w:rPr>
        <w:t>.</w:t>
      </w:r>
      <w:r w:rsidRPr="00AA3DF9">
        <w:rPr>
          <w:snapToGrid w:val="0"/>
        </w:rPr>
        <w:tab/>
        <w:t>Special provisions for probate actions</w:t>
      </w:r>
      <w:r>
        <w:tab/>
      </w:r>
      <w:r>
        <w:fldChar w:fldCharType="begin"/>
      </w:r>
      <w:r>
        <w:instrText xml:space="preserve"> PAGEREF _Toc75863708 \h </w:instrText>
      </w:r>
      <w:r>
        <w:fldChar w:fldCharType="separate"/>
      </w:r>
      <w:r w:rsidR="00FC1D84">
        <w:t>485</w:t>
      </w:r>
      <w:r>
        <w:fldChar w:fldCharType="end"/>
      </w:r>
    </w:p>
    <w:p w:rsidR="006169FD" w:rsidRDefault="006169FD">
      <w:pPr>
        <w:pStyle w:val="TOC8"/>
        <w:rPr>
          <w:rFonts w:asciiTheme="minorHAnsi" w:eastAsiaTheme="minorEastAsia" w:hAnsiTheme="minorHAnsi" w:cstheme="minorBidi"/>
          <w:szCs w:val="22"/>
        </w:rPr>
      </w:pPr>
      <w:r>
        <w:t>5</w:t>
      </w:r>
      <w:r w:rsidRPr="00AA3DF9">
        <w:rPr>
          <w:snapToGrid w:val="0"/>
        </w:rPr>
        <w:t>.</w:t>
      </w:r>
      <w:r w:rsidRPr="00AA3DF9">
        <w:rPr>
          <w:snapToGrid w:val="0"/>
        </w:rPr>
        <w:tab/>
        <w:t>Procedure on no appearance by person under disability</w:t>
      </w:r>
      <w:r>
        <w:tab/>
      </w:r>
      <w:r>
        <w:fldChar w:fldCharType="begin"/>
      </w:r>
      <w:r>
        <w:instrText xml:space="preserve"> PAGEREF _Toc75863709 \h </w:instrText>
      </w:r>
      <w:r>
        <w:fldChar w:fldCharType="separate"/>
      </w:r>
      <w:r w:rsidR="00FC1D84">
        <w:t>487</w:t>
      </w:r>
      <w:r>
        <w:fldChar w:fldCharType="end"/>
      </w:r>
    </w:p>
    <w:p w:rsidR="006169FD" w:rsidRDefault="006169FD">
      <w:pPr>
        <w:pStyle w:val="TOC8"/>
        <w:rPr>
          <w:rFonts w:asciiTheme="minorHAnsi" w:eastAsiaTheme="minorEastAsia" w:hAnsiTheme="minorHAnsi" w:cstheme="minorBidi"/>
          <w:szCs w:val="22"/>
        </w:rPr>
      </w:pPr>
      <w:r>
        <w:lastRenderedPageBreak/>
        <w:t>6</w:t>
      </w:r>
      <w:r w:rsidRPr="00AA3DF9">
        <w:rPr>
          <w:snapToGrid w:val="0"/>
        </w:rPr>
        <w:t>.</w:t>
      </w:r>
      <w:r w:rsidRPr="00AA3DF9">
        <w:rPr>
          <w:snapToGrid w:val="0"/>
        </w:rPr>
        <w:tab/>
        <w:t>Time for application by person under disability to discharge or vary order under O. 18 r. 7</w:t>
      </w:r>
      <w:r>
        <w:tab/>
      </w:r>
      <w:r>
        <w:fldChar w:fldCharType="begin"/>
      </w:r>
      <w:r>
        <w:instrText xml:space="preserve"> PAGEREF _Toc75863710 \h </w:instrText>
      </w:r>
      <w:r>
        <w:fldChar w:fldCharType="separate"/>
      </w:r>
      <w:r w:rsidR="00FC1D84">
        <w:t>489</w:t>
      </w:r>
      <w:r>
        <w:fldChar w:fldCharType="end"/>
      </w:r>
    </w:p>
    <w:p w:rsidR="006169FD" w:rsidRDefault="006169FD">
      <w:pPr>
        <w:pStyle w:val="TOC8"/>
        <w:rPr>
          <w:rFonts w:asciiTheme="minorHAnsi" w:eastAsiaTheme="minorEastAsia" w:hAnsiTheme="minorHAnsi" w:cstheme="minorBidi"/>
          <w:szCs w:val="22"/>
        </w:rPr>
      </w:pPr>
      <w:r>
        <w:t>7</w:t>
      </w:r>
      <w:r w:rsidRPr="00AA3DF9">
        <w:rPr>
          <w:snapToGrid w:val="0"/>
        </w:rPr>
        <w:t>.</w:t>
      </w:r>
      <w:r w:rsidRPr="00AA3DF9">
        <w:rPr>
          <w:snapToGrid w:val="0"/>
        </w:rPr>
        <w:tab/>
        <w:t>Removal of next friend or guardian</w:t>
      </w:r>
      <w:r>
        <w:tab/>
      </w:r>
      <w:r>
        <w:fldChar w:fldCharType="begin"/>
      </w:r>
      <w:r>
        <w:instrText xml:space="preserve"> PAGEREF _Toc75863711 \h </w:instrText>
      </w:r>
      <w:r>
        <w:fldChar w:fldCharType="separate"/>
      </w:r>
      <w:r w:rsidR="00FC1D84">
        <w:t>489</w:t>
      </w:r>
      <w:r>
        <w:fldChar w:fldCharType="end"/>
      </w:r>
    </w:p>
    <w:p w:rsidR="006169FD" w:rsidRDefault="006169FD">
      <w:pPr>
        <w:pStyle w:val="TOC8"/>
        <w:rPr>
          <w:rFonts w:asciiTheme="minorHAnsi" w:eastAsiaTheme="minorEastAsia" w:hAnsiTheme="minorHAnsi" w:cstheme="minorBidi"/>
          <w:szCs w:val="22"/>
        </w:rPr>
      </w:pPr>
      <w:r>
        <w:t>8.</w:t>
      </w:r>
      <w:r>
        <w:tab/>
        <w:t>No implied admission from pleading</w:t>
      </w:r>
      <w:r>
        <w:tab/>
      </w:r>
      <w:r>
        <w:fldChar w:fldCharType="begin"/>
      </w:r>
      <w:r>
        <w:instrText xml:space="preserve"> PAGEREF _Toc75863712 \h </w:instrText>
      </w:r>
      <w:r>
        <w:fldChar w:fldCharType="separate"/>
      </w:r>
      <w:r w:rsidR="00FC1D84">
        <w:t>489</w:t>
      </w:r>
      <w:r>
        <w:fldChar w:fldCharType="end"/>
      </w:r>
    </w:p>
    <w:p w:rsidR="006169FD" w:rsidRDefault="006169FD">
      <w:pPr>
        <w:pStyle w:val="TOC8"/>
        <w:rPr>
          <w:rFonts w:asciiTheme="minorHAnsi" w:eastAsiaTheme="minorEastAsia" w:hAnsiTheme="minorHAnsi" w:cstheme="minorBidi"/>
          <w:szCs w:val="22"/>
        </w:rPr>
      </w:pPr>
      <w:r>
        <w:t>9</w:t>
      </w:r>
      <w:r w:rsidRPr="00AA3DF9">
        <w:rPr>
          <w:snapToGrid w:val="0"/>
        </w:rPr>
        <w:t>.</w:t>
      </w:r>
      <w:r w:rsidRPr="00AA3DF9">
        <w:rPr>
          <w:snapToGrid w:val="0"/>
        </w:rPr>
        <w:tab/>
        <w:t>Discovery and interrogatories</w:t>
      </w:r>
      <w:r>
        <w:tab/>
      </w:r>
      <w:r>
        <w:fldChar w:fldCharType="begin"/>
      </w:r>
      <w:r>
        <w:instrText xml:space="preserve"> PAGEREF _Toc75863713 \h </w:instrText>
      </w:r>
      <w:r>
        <w:fldChar w:fldCharType="separate"/>
      </w:r>
      <w:r w:rsidR="00FC1D84">
        <w:t>490</w:t>
      </w:r>
      <w:r>
        <w:fldChar w:fldCharType="end"/>
      </w:r>
    </w:p>
    <w:p w:rsidR="006169FD" w:rsidRDefault="006169FD">
      <w:pPr>
        <w:pStyle w:val="TOC8"/>
        <w:rPr>
          <w:rFonts w:asciiTheme="minorHAnsi" w:eastAsiaTheme="minorEastAsia" w:hAnsiTheme="minorHAnsi" w:cstheme="minorBidi"/>
          <w:szCs w:val="22"/>
        </w:rPr>
      </w:pPr>
      <w:r>
        <w:t>10</w:t>
      </w:r>
      <w:r w:rsidRPr="00AA3DF9">
        <w:rPr>
          <w:snapToGrid w:val="0"/>
        </w:rPr>
        <w:t>.</w:t>
      </w:r>
      <w:r w:rsidRPr="00AA3DF9">
        <w:rPr>
          <w:snapToGrid w:val="0"/>
        </w:rPr>
        <w:tab/>
        <w:t>Settlement etc. of action by person under disability</w:t>
      </w:r>
      <w:r>
        <w:tab/>
      </w:r>
      <w:r>
        <w:fldChar w:fldCharType="begin"/>
      </w:r>
      <w:r>
        <w:instrText xml:space="preserve"> PAGEREF _Toc75863714 \h </w:instrText>
      </w:r>
      <w:r>
        <w:fldChar w:fldCharType="separate"/>
      </w:r>
      <w:r w:rsidR="00FC1D84">
        <w:t>490</w:t>
      </w:r>
      <w:r>
        <w:fldChar w:fldCharType="end"/>
      </w:r>
    </w:p>
    <w:p w:rsidR="006169FD" w:rsidRDefault="006169FD">
      <w:pPr>
        <w:pStyle w:val="TOC8"/>
        <w:rPr>
          <w:rFonts w:asciiTheme="minorHAnsi" w:eastAsiaTheme="minorEastAsia" w:hAnsiTheme="minorHAnsi" w:cstheme="minorBidi"/>
          <w:szCs w:val="22"/>
        </w:rPr>
      </w:pPr>
      <w:r>
        <w:t>10A.</w:t>
      </w:r>
      <w:r>
        <w:tab/>
        <w:t>Settlement etc. of appeal by person under disability</w:t>
      </w:r>
      <w:r>
        <w:tab/>
      </w:r>
      <w:r>
        <w:fldChar w:fldCharType="begin"/>
      </w:r>
      <w:r>
        <w:instrText xml:space="preserve"> PAGEREF _Toc75863715 \h </w:instrText>
      </w:r>
      <w:r>
        <w:fldChar w:fldCharType="separate"/>
      </w:r>
      <w:r w:rsidR="00FC1D84">
        <w:t>490</w:t>
      </w:r>
      <w:r>
        <w:fldChar w:fldCharType="end"/>
      </w:r>
    </w:p>
    <w:p w:rsidR="006169FD" w:rsidRDefault="006169FD">
      <w:pPr>
        <w:pStyle w:val="TOC8"/>
        <w:rPr>
          <w:rFonts w:asciiTheme="minorHAnsi" w:eastAsiaTheme="minorEastAsia" w:hAnsiTheme="minorHAnsi" w:cstheme="minorBidi"/>
          <w:szCs w:val="22"/>
        </w:rPr>
      </w:pPr>
      <w:r>
        <w:t>11</w:t>
      </w:r>
      <w:r w:rsidRPr="00AA3DF9">
        <w:rPr>
          <w:snapToGrid w:val="0"/>
        </w:rPr>
        <w:t>.</w:t>
      </w:r>
      <w:r w:rsidRPr="00AA3DF9">
        <w:rPr>
          <w:snapToGrid w:val="0"/>
        </w:rPr>
        <w:tab/>
        <w:t>Settlement etc. before action commenced</w:t>
      </w:r>
      <w:r>
        <w:tab/>
      </w:r>
      <w:r>
        <w:fldChar w:fldCharType="begin"/>
      </w:r>
      <w:r>
        <w:instrText xml:space="preserve"> PAGEREF _Toc75863716 \h </w:instrText>
      </w:r>
      <w:r>
        <w:fldChar w:fldCharType="separate"/>
      </w:r>
      <w:r w:rsidR="00FC1D84">
        <w:t>491</w:t>
      </w:r>
      <w:r>
        <w:fldChar w:fldCharType="end"/>
      </w:r>
    </w:p>
    <w:p w:rsidR="006169FD" w:rsidRDefault="006169FD">
      <w:pPr>
        <w:pStyle w:val="TOC8"/>
        <w:rPr>
          <w:rFonts w:asciiTheme="minorHAnsi" w:eastAsiaTheme="minorEastAsia" w:hAnsiTheme="minorHAnsi" w:cstheme="minorBidi"/>
          <w:szCs w:val="22"/>
        </w:rPr>
      </w:pPr>
      <w:r>
        <w:t>12</w:t>
      </w:r>
      <w:r w:rsidRPr="00AA3DF9">
        <w:rPr>
          <w:snapToGrid w:val="0"/>
        </w:rPr>
        <w:t>.</w:t>
      </w:r>
      <w:r w:rsidRPr="00AA3DF9">
        <w:rPr>
          <w:snapToGrid w:val="0"/>
        </w:rPr>
        <w:tab/>
        <w:t>Control of money recovered for person under disability</w:t>
      </w:r>
      <w:r>
        <w:tab/>
      </w:r>
      <w:r>
        <w:fldChar w:fldCharType="begin"/>
      </w:r>
      <w:r>
        <w:instrText xml:space="preserve"> PAGEREF _Toc75863717 \h </w:instrText>
      </w:r>
      <w:r>
        <w:fldChar w:fldCharType="separate"/>
      </w:r>
      <w:r w:rsidR="00FC1D84">
        <w:t>491</w:t>
      </w:r>
      <w:r>
        <w:fldChar w:fldCharType="end"/>
      </w:r>
    </w:p>
    <w:p w:rsidR="006169FD" w:rsidRDefault="006169FD">
      <w:pPr>
        <w:pStyle w:val="TOC8"/>
        <w:rPr>
          <w:rFonts w:asciiTheme="minorHAnsi" w:eastAsiaTheme="minorEastAsia" w:hAnsiTheme="minorHAnsi" w:cstheme="minorBidi"/>
          <w:szCs w:val="22"/>
        </w:rPr>
      </w:pPr>
      <w:r>
        <w:t>13</w:t>
      </w:r>
      <w:r w:rsidRPr="00AA3DF9">
        <w:rPr>
          <w:snapToGrid w:val="0"/>
        </w:rPr>
        <w:t>.</w:t>
      </w:r>
      <w:r w:rsidRPr="00AA3DF9">
        <w:rPr>
          <w:snapToGrid w:val="0"/>
        </w:rPr>
        <w:tab/>
        <w:t>Personal service on person under disability</w:t>
      </w:r>
      <w:r>
        <w:tab/>
      </w:r>
      <w:r>
        <w:fldChar w:fldCharType="begin"/>
      </w:r>
      <w:r>
        <w:instrText xml:space="preserve"> PAGEREF _Toc75863718 \h </w:instrText>
      </w:r>
      <w:r>
        <w:fldChar w:fldCharType="separate"/>
      </w:r>
      <w:r w:rsidR="00FC1D84">
        <w:t>492</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71 — Partners, business names</w:t>
      </w:r>
    </w:p>
    <w:p w:rsidR="006169FD" w:rsidRDefault="006169FD">
      <w:pPr>
        <w:pStyle w:val="TOC8"/>
        <w:rPr>
          <w:rFonts w:asciiTheme="minorHAnsi" w:eastAsiaTheme="minorEastAsia" w:hAnsiTheme="minorHAnsi" w:cstheme="minorBidi"/>
          <w:szCs w:val="22"/>
        </w:rPr>
      </w:pPr>
      <w:r>
        <w:t>1</w:t>
      </w:r>
      <w:r w:rsidRPr="00AA3DF9">
        <w:rPr>
          <w:snapToGrid w:val="0"/>
        </w:rPr>
        <w:t>.</w:t>
      </w:r>
      <w:r w:rsidRPr="00AA3DF9">
        <w:rPr>
          <w:snapToGrid w:val="0"/>
        </w:rPr>
        <w:tab/>
        <w:t>Partners may sue or be sued in name of firm</w:t>
      </w:r>
      <w:r>
        <w:tab/>
      </w:r>
      <w:r>
        <w:fldChar w:fldCharType="begin"/>
      </w:r>
      <w:r>
        <w:instrText xml:space="preserve"> PAGEREF _Toc75863720 \h </w:instrText>
      </w:r>
      <w:r>
        <w:fldChar w:fldCharType="separate"/>
      </w:r>
      <w:r w:rsidR="00FC1D84">
        <w:t>494</w:t>
      </w:r>
      <w:r>
        <w:fldChar w:fldCharType="end"/>
      </w:r>
    </w:p>
    <w:p w:rsidR="006169FD" w:rsidRDefault="006169FD">
      <w:pPr>
        <w:pStyle w:val="TOC8"/>
        <w:rPr>
          <w:rFonts w:asciiTheme="minorHAnsi" w:eastAsiaTheme="minorEastAsia" w:hAnsiTheme="minorHAnsi" w:cstheme="minorBidi"/>
          <w:szCs w:val="22"/>
        </w:rPr>
      </w:pPr>
      <w:r>
        <w:t>2</w:t>
      </w:r>
      <w:r w:rsidRPr="00AA3DF9">
        <w:rPr>
          <w:snapToGrid w:val="0"/>
        </w:rPr>
        <w:t>.</w:t>
      </w:r>
      <w:r w:rsidRPr="00AA3DF9">
        <w:rPr>
          <w:snapToGrid w:val="0"/>
        </w:rPr>
        <w:tab/>
        <w:t>Disclosure of partners’ names</w:t>
      </w:r>
      <w:r>
        <w:tab/>
      </w:r>
      <w:r>
        <w:fldChar w:fldCharType="begin"/>
      </w:r>
      <w:r>
        <w:instrText xml:space="preserve"> PAGEREF _Toc75863721 \h </w:instrText>
      </w:r>
      <w:r>
        <w:fldChar w:fldCharType="separate"/>
      </w:r>
      <w:r w:rsidR="00FC1D84">
        <w:t>494</w:t>
      </w:r>
      <w:r>
        <w:fldChar w:fldCharType="end"/>
      </w:r>
    </w:p>
    <w:p w:rsidR="006169FD" w:rsidRDefault="006169FD">
      <w:pPr>
        <w:pStyle w:val="TOC8"/>
        <w:rPr>
          <w:rFonts w:asciiTheme="minorHAnsi" w:eastAsiaTheme="minorEastAsia" w:hAnsiTheme="minorHAnsi" w:cstheme="minorBidi"/>
          <w:szCs w:val="22"/>
        </w:rPr>
      </w:pPr>
      <w:r>
        <w:t>3</w:t>
      </w:r>
      <w:r w:rsidRPr="00AA3DF9">
        <w:rPr>
          <w:snapToGrid w:val="0"/>
        </w:rPr>
        <w:t>.</w:t>
      </w:r>
      <w:r w:rsidRPr="00AA3DF9">
        <w:rPr>
          <w:snapToGrid w:val="0"/>
        </w:rPr>
        <w:tab/>
        <w:t>Service on firm</w:t>
      </w:r>
      <w:r>
        <w:tab/>
      </w:r>
      <w:r>
        <w:fldChar w:fldCharType="begin"/>
      </w:r>
      <w:r>
        <w:instrText xml:space="preserve"> PAGEREF _Toc75863722 \h </w:instrText>
      </w:r>
      <w:r>
        <w:fldChar w:fldCharType="separate"/>
      </w:r>
      <w:r w:rsidR="00FC1D84">
        <w:t>495</w:t>
      </w:r>
      <w:r>
        <w:fldChar w:fldCharType="end"/>
      </w:r>
    </w:p>
    <w:p w:rsidR="006169FD" w:rsidRDefault="006169FD">
      <w:pPr>
        <w:pStyle w:val="TOC8"/>
        <w:rPr>
          <w:rFonts w:asciiTheme="minorHAnsi" w:eastAsiaTheme="minorEastAsia" w:hAnsiTheme="minorHAnsi" w:cstheme="minorBidi"/>
          <w:szCs w:val="22"/>
        </w:rPr>
      </w:pPr>
      <w:r>
        <w:t>4</w:t>
      </w:r>
      <w:r w:rsidRPr="00AA3DF9">
        <w:rPr>
          <w:snapToGrid w:val="0"/>
        </w:rPr>
        <w:t>.</w:t>
      </w:r>
      <w:r w:rsidRPr="00AA3DF9">
        <w:rPr>
          <w:snapToGrid w:val="0"/>
        </w:rPr>
        <w:tab/>
        <w:t>Person served under r. 3 to be notified of character in which he is served</w:t>
      </w:r>
      <w:r>
        <w:tab/>
      </w:r>
      <w:r>
        <w:fldChar w:fldCharType="begin"/>
      </w:r>
      <w:r>
        <w:instrText xml:space="preserve"> PAGEREF _Toc75863723 \h </w:instrText>
      </w:r>
      <w:r>
        <w:fldChar w:fldCharType="separate"/>
      </w:r>
      <w:r w:rsidR="00FC1D84">
        <w:t>495</w:t>
      </w:r>
      <w:r>
        <w:fldChar w:fldCharType="end"/>
      </w:r>
    </w:p>
    <w:p w:rsidR="006169FD" w:rsidRDefault="006169FD">
      <w:pPr>
        <w:pStyle w:val="TOC8"/>
        <w:rPr>
          <w:rFonts w:asciiTheme="minorHAnsi" w:eastAsiaTheme="minorEastAsia" w:hAnsiTheme="minorHAnsi" w:cstheme="minorBidi"/>
          <w:szCs w:val="22"/>
        </w:rPr>
      </w:pPr>
      <w:r>
        <w:t>5</w:t>
      </w:r>
      <w:r w:rsidRPr="00AA3DF9">
        <w:rPr>
          <w:snapToGrid w:val="0"/>
        </w:rPr>
        <w:t>.</w:t>
      </w:r>
      <w:r w:rsidRPr="00AA3DF9">
        <w:rPr>
          <w:snapToGrid w:val="0"/>
        </w:rPr>
        <w:tab/>
        <w:t>Appearance of partners</w:t>
      </w:r>
      <w:r>
        <w:tab/>
      </w:r>
      <w:r>
        <w:fldChar w:fldCharType="begin"/>
      </w:r>
      <w:r>
        <w:instrText xml:space="preserve"> PAGEREF _Toc75863724 \h </w:instrText>
      </w:r>
      <w:r>
        <w:fldChar w:fldCharType="separate"/>
      </w:r>
      <w:r w:rsidR="00FC1D84">
        <w:t>496</w:t>
      </w:r>
      <w:r>
        <w:fldChar w:fldCharType="end"/>
      </w:r>
    </w:p>
    <w:p w:rsidR="006169FD" w:rsidRDefault="006169FD">
      <w:pPr>
        <w:pStyle w:val="TOC8"/>
        <w:rPr>
          <w:rFonts w:asciiTheme="minorHAnsi" w:eastAsiaTheme="minorEastAsia" w:hAnsiTheme="minorHAnsi" w:cstheme="minorBidi"/>
          <w:szCs w:val="22"/>
        </w:rPr>
      </w:pPr>
      <w:r>
        <w:t>6</w:t>
      </w:r>
      <w:r w:rsidRPr="00AA3DF9">
        <w:rPr>
          <w:snapToGrid w:val="0"/>
        </w:rPr>
        <w:t>.</w:t>
      </w:r>
      <w:r w:rsidRPr="00AA3DF9">
        <w:rPr>
          <w:snapToGrid w:val="0"/>
        </w:rPr>
        <w:tab/>
        <w:t>No appearance except by partners</w:t>
      </w:r>
      <w:r>
        <w:tab/>
      </w:r>
      <w:r>
        <w:fldChar w:fldCharType="begin"/>
      </w:r>
      <w:r>
        <w:instrText xml:space="preserve"> PAGEREF _Toc75863725 \h </w:instrText>
      </w:r>
      <w:r>
        <w:fldChar w:fldCharType="separate"/>
      </w:r>
      <w:r w:rsidR="00FC1D84">
        <w:t>496</w:t>
      </w:r>
      <w:r>
        <w:fldChar w:fldCharType="end"/>
      </w:r>
    </w:p>
    <w:p w:rsidR="006169FD" w:rsidRDefault="006169FD">
      <w:pPr>
        <w:pStyle w:val="TOC8"/>
        <w:rPr>
          <w:rFonts w:asciiTheme="minorHAnsi" w:eastAsiaTheme="minorEastAsia" w:hAnsiTheme="minorHAnsi" w:cstheme="minorBidi"/>
          <w:szCs w:val="22"/>
        </w:rPr>
      </w:pPr>
      <w:r>
        <w:t>7</w:t>
      </w:r>
      <w:r w:rsidRPr="00AA3DF9">
        <w:rPr>
          <w:snapToGrid w:val="0"/>
        </w:rPr>
        <w:t>.</w:t>
      </w:r>
      <w:r w:rsidRPr="00AA3DF9">
        <w:rPr>
          <w:snapToGrid w:val="0"/>
        </w:rPr>
        <w:tab/>
        <w:t>Appearance under protest of person served as partner</w:t>
      </w:r>
      <w:r>
        <w:tab/>
      </w:r>
      <w:r>
        <w:fldChar w:fldCharType="begin"/>
      </w:r>
      <w:r>
        <w:instrText xml:space="preserve"> PAGEREF _Toc75863726 \h </w:instrText>
      </w:r>
      <w:r>
        <w:fldChar w:fldCharType="separate"/>
      </w:r>
      <w:r w:rsidR="00FC1D84">
        <w:t>496</w:t>
      </w:r>
      <w:r>
        <w:fldChar w:fldCharType="end"/>
      </w:r>
    </w:p>
    <w:p w:rsidR="006169FD" w:rsidRDefault="006169FD">
      <w:pPr>
        <w:pStyle w:val="TOC8"/>
        <w:rPr>
          <w:rFonts w:asciiTheme="minorHAnsi" w:eastAsiaTheme="minorEastAsia" w:hAnsiTheme="minorHAnsi" w:cstheme="minorBidi"/>
          <w:szCs w:val="22"/>
        </w:rPr>
      </w:pPr>
      <w:r>
        <w:t>9.</w:t>
      </w:r>
      <w:r>
        <w:tab/>
        <w:t>Rules 1 to 7 apply also to some actions between firm and its members etc.</w:t>
      </w:r>
      <w:r>
        <w:tab/>
      </w:r>
      <w:r>
        <w:fldChar w:fldCharType="begin"/>
      </w:r>
      <w:r>
        <w:instrText xml:space="preserve"> PAGEREF _Toc75863727 \h </w:instrText>
      </w:r>
      <w:r>
        <w:fldChar w:fldCharType="separate"/>
      </w:r>
      <w:r w:rsidR="00FC1D84">
        <w:t>497</w:t>
      </w:r>
      <w:r>
        <w:fldChar w:fldCharType="end"/>
      </w:r>
    </w:p>
    <w:p w:rsidR="006169FD" w:rsidRDefault="006169FD">
      <w:pPr>
        <w:pStyle w:val="TOC8"/>
        <w:rPr>
          <w:rFonts w:asciiTheme="minorHAnsi" w:eastAsiaTheme="minorEastAsia" w:hAnsiTheme="minorHAnsi" w:cstheme="minorBidi"/>
          <w:szCs w:val="22"/>
        </w:rPr>
      </w:pPr>
      <w:r>
        <w:t>11</w:t>
      </w:r>
      <w:r w:rsidRPr="00AA3DF9">
        <w:rPr>
          <w:snapToGrid w:val="0"/>
        </w:rPr>
        <w:t>.</w:t>
      </w:r>
      <w:r w:rsidRPr="00AA3DF9">
        <w:rPr>
          <w:snapToGrid w:val="0"/>
        </w:rPr>
        <w:tab/>
        <w:t>Rules 2 to 9 apply to proceedings begun by originating summons</w:t>
      </w:r>
      <w:r>
        <w:tab/>
      </w:r>
      <w:r>
        <w:fldChar w:fldCharType="begin"/>
      </w:r>
      <w:r>
        <w:instrText xml:space="preserve"> PAGEREF _Toc75863728 \h </w:instrText>
      </w:r>
      <w:r>
        <w:fldChar w:fldCharType="separate"/>
      </w:r>
      <w:r w:rsidR="00FC1D84">
        <w:t>497</w:t>
      </w:r>
      <w:r>
        <w:fldChar w:fldCharType="end"/>
      </w:r>
    </w:p>
    <w:p w:rsidR="006169FD" w:rsidRDefault="006169FD">
      <w:pPr>
        <w:pStyle w:val="TOC8"/>
        <w:rPr>
          <w:rFonts w:asciiTheme="minorHAnsi" w:eastAsiaTheme="minorEastAsia" w:hAnsiTheme="minorHAnsi" w:cstheme="minorBidi"/>
          <w:szCs w:val="22"/>
        </w:rPr>
      </w:pPr>
      <w:r>
        <w:t>12</w:t>
      </w:r>
      <w:r w:rsidRPr="00AA3DF9">
        <w:rPr>
          <w:snapToGrid w:val="0"/>
        </w:rPr>
        <w:t>.</w:t>
      </w:r>
      <w:r w:rsidRPr="00AA3DF9">
        <w:rPr>
          <w:snapToGrid w:val="0"/>
        </w:rPr>
        <w:tab/>
        <w:t>Application to person using business name</w:t>
      </w:r>
      <w:r>
        <w:tab/>
      </w:r>
      <w:r>
        <w:fldChar w:fldCharType="begin"/>
      </w:r>
      <w:r>
        <w:instrText xml:space="preserve"> PAGEREF _Toc75863729 \h </w:instrText>
      </w:r>
      <w:r>
        <w:fldChar w:fldCharType="separate"/>
      </w:r>
      <w:r w:rsidR="00FC1D84">
        <w:t>497</w:t>
      </w:r>
      <w:r>
        <w:fldChar w:fldCharType="end"/>
      </w:r>
    </w:p>
    <w:p w:rsidR="006169FD" w:rsidRDefault="006169FD">
      <w:pPr>
        <w:pStyle w:val="TOC8"/>
        <w:rPr>
          <w:rFonts w:asciiTheme="minorHAnsi" w:eastAsiaTheme="minorEastAsia" w:hAnsiTheme="minorHAnsi" w:cstheme="minorBidi"/>
          <w:szCs w:val="22"/>
        </w:rPr>
      </w:pPr>
      <w:r>
        <w:t>13</w:t>
      </w:r>
      <w:r w:rsidRPr="00AA3DF9">
        <w:rPr>
          <w:snapToGrid w:val="0"/>
        </w:rPr>
        <w:t>.</w:t>
      </w:r>
      <w:r w:rsidRPr="00AA3DF9">
        <w:rPr>
          <w:snapToGrid w:val="0"/>
        </w:rPr>
        <w:tab/>
        <w:t>Application to charge partner’s interest in partnership etc.</w:t>
      </w:r>
      <w:r>
        <w:tab/>
      </w:r>
      <w:r>
        <w:fldChar w:fldCharType="begin"/>
      </w:r>
      <w:r>
        <w:instrText xml:space="preserve"> PAGEREF _Toc75863730 \h </w:instrText>
      </w:r>
      <w:r>
        <w:fldChar w:fldCharType="separate"/>
      </w:r>
      <w:r w:rsidR="00FC1D84">
        <w:t>498</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71A</w:t>
      </w:r>
      <w:r w:rsidRPr="00AA3DF9">
        <w:rPr>
          <w:b w:val="0"/>
        </w:rPr>
        <w:t> </w:t>
      </w:r>
      <w:r>
        <w:t>—</w:t>
      </w:r>
      <w:r w:rsidRPr="00AA3DF9">
        <w:rPr>
          <w:b w:val="0"/>
        </w:rPr>
        <w:t> </w:t>
      </w:r>
      <w:r>
        <w:t>Contact details of parties and others</w:t>
      </w:r>
    </w:p>
    <w:p w:rsidR="006169FD" w:rsidRDefault="006169FD">
      <w:pPr>
        <w:pStyle w:val="TOC8"/>
        <w:rPr>
          <w:rFonts w:asciiTheme="minorHAnsi" w:eastAsiaTheme="minorEastAsia" w:hAnsiTheme="minorHAnsi" w:cstheme="minorBidi"/>
          <w:szCs w:val="22"/>
        </w:rPr>
      </w:pPr>
      <w:r>
        <w:t>1.</w:t>
      </w:r>
      <w:r>
        <w:tab/>
        <w:t>Addresses of places, requirements for</w:t>
      </w:r>
      <w:r>
        <w:tab/>
      </w:r>
      <w:r>
        <w:fldChar w:fldCharType="begin"/>
      </w:r>
      <w:r>
        <w:instrText xml:space="preserve"> PAGEREF _Toc75863732 \h </w:instrText>
      </w:r>
      <w:r>
        <w:fldChar w:fldCharType="separate"/>
      </w:r>
      <w:r w:rsidR="00FC1D84">
        <w:t>499</w:t>
      </w:r>
      <w:r>
        <w:fldChar w:fldCharType="end"/>
      </w:r>
    </w:p>
    <w:p w:rsidR="006169FD" w:rsidRDefault="006169FD">
      <w:pPr>
        <w:pStyle w:val="TOC8"/>
        <w:rPr>
          <w:rFonts w:asciiTheme="minorHAnsi" w:eastAsiaTheme="minorEastAsia" w:hAnsiTheme="minorHAnsi" w:cstheme="minorBidi"/>
          <w:szCs w:val="22"/>
        </w:rPr>
      </w:pPr>
      <w:r>
        <w:t>2.</w:t>
      </w:r>
      <w:r>
        <w:tab/>
        <w:t>Geographical addresses</w:t>
      </w:r>
      <w:r>
        <w:tab/>
      </w:r>
      <w:r>
        <w:fldChar w:fldCharType="begin"/>
      </w:r>
      <w:r>
        <w:instrText xml:space="preserve"> PAGEREF _Toc75863733 \h </w:instrText>
      </w:r>
      <w:r>
        <w:fldChar w:fldCharType="separate"/>
      </w:r>
      <w:r w:rsidR="00FC1D84">
        <w:t>499</w:t>
      </w:r>
      <w:r>
        <w:fldChar w:fldCharType="end"/>
      </w:r>
    </w:p>
    <w:p w:rsidR="006169FD" w:rsidRDefault="006169FD">
      <w:pPr>
        <w:pStyle w:val="TOC8"/>
        <w:rPr>
          <w:rFonts w:asciiTheme="minorHAnsi" w:eastAsiaTheme="minorEastAsia" w:hAnsiTheme="minorHAnsi" w:cstheme="minorBidi"/>
          <w:szCs w:val="22"/>
        </w:rPr>
      </w:pPr>
      <w:r>
        <w:t>3A.</w:t>
      </w:r>
      <w:r>
        <w:tab/>
        <w:t>Court may dispense with requirement to state geographical address</w:t>
      </w:r>
      <w:r>
        <w:tab/>
      </w:r>
      <w:r>
        <w:fldChar w:fldCharType="begin"/>
      </w:r>
      <w:r>
        <w:instrText xml:space="preserve"> PAGEREF _Toc75863734 \h </w:instrText>
      </w:r>
      <w:r>
        <w:fldChar w:fldCharType="separate"/>
      </w:r>
      <w:r w:rsidR="00FC1D84">
        <w:t>500</w:t>
      </w:r>
      <w:r>
        <w:fldChar w:fldCharType="end"/>
      </w:r>
    </w:p>
    <w:p w:rsidR="006169FD" w:rsidRDefault="006169FD">
      <w:pPr>
        <w:pStyle w:val="TOC8"/>
        <w:rPr>
          <w:rFonts w:asciiTheme="minorHAnsi" w:eastAsiaTheme="minorEastAsia" w:hAnsiTheme="minorHAnsi" w:cstheme="minorBidi"/>
          <w:szCs w:val="22"/>
        </w:rPr>
      </w:pPr>
      <w:r>
        <w:t>3.</w:t>
      </w:r>
      <w:r>
        <w:tab/>
        <w:t>Service details, meaning of</w:t>
      </w:r>
      <w:r>
        <w:tab/>
      </w:r>
      <w:r>
        <w:fldChar w:fldCharType="begin"/>
      </w:r>
      <w:r>
        <w:instrText xml:space="preserve"> PAGEREF _Toc75863735 \h </w:instrText>
      </w:r>
      <w:r>
        <w:fldChar w:fldCharType="separate"/>
      </w:r>
      <w:r w:rsidR="00FC1D84">
        <w:t>501</w:t>
      </w:r>
      <w:r>
        <w:fldChar w:fldCharType="end"/>
      </w:r>
    </w:p>
    <w:p w:rsidR="006169FD" w:rsidRDefault="006169FD">
      <w:pPr>
        <w:pStyle w:val="TOC8"/>
        <w:rPr>
          <w:rFonts w:asciiTheme="minorHAnsi" w:eastAsiaTheme="minorEastAsia" w:hAnsiTheme="minorHAnsi" w:cstheme="minorBidi"/>
          <w:szCs w:val="22"/>
        </w:rPr>
      </w:pPr>
      <w:r>
        <w:t>4.</w:t>
      </w:r>
      <w:r>
        <w:tab/>
        <w:t>Documents without contact details to be rejected</w:t>
      </w:r>
      <w:r>
        <w:tab/>
      </w:r>
      <w:r>
        <w:fldChar w:fldCharType="begin"/>
      </w:r>
      <w:r>
        <w:instrText xml:space="preserve"> PAGEREF _Toc75863736 \h </w:instrText>
      </w:r>
      <w:r>
        <w:fldChar w:fldCharType="separate"/>
      </w:r>
      <w:r w:rsidR="00FC1D84">
        <w:t>502</w:t>
      </w:r>
      <w:r>
        <w:fldChar w:fldCharType="end"/>
      </w:r>
    </w:p>
    <w:p w:rsidR="006169FD" w:rsidRDefault="006169FD">
      <w:pPr>
        <w:pStyle w:val="TOC8"/>
        <w:rPr>
          <w:rFonts w:asciiTheme="minorHAnsi" w:eastAsiaTheme="minorEastAsia" w:hAnsiTheme="minorHAnsi" w:cstheme="minorBidi"/>
          <w:szCs w:val="22"/>
        </w:rPr>
      </w:pPr>
      <w:r>
        <w:t>5.</w:t>
      </w:r>
      <w:r>
        <w:tab/>
        <w:t>Changes of information to be notified</w:t>
      </w:r>
      <w:r>
        <w:tab/>
      </w:r>
      <w:r>
        <w:fldChar w:fldCharType="begin"/>
      </w:r>
      <w:r>
        <w:instrText xml:space="preserve"> PAGEREF _Toc75863737 \h </w:instrText>
      </w:r>
      <w:r>
        <w:fldChar w:fldCharType="separate"/>
      </w:r>
      <w:r w:rsidR="00FC1D84">
        <w:t>503</w:t>
      </w:r>
      <w:r>
        <w:fldChar w:fldCharType="end"/>
      </w:r>
    </w:p>
    <w:p w:rsidR="006169FD" w:rsidRDefault="006169FD">
      <w:pPr>
        <w:pStyle w:val="TOC8"/>
        <w:rPr>
          <w:rFonts w:asciiTheme="minorHAnsi" w:eastAsiaTheme="minorEastAsia" w:hAnsiTheme="minorHAnsi" w:cstheme="minorBidi"/>
          <w:szCs w:val="22"/>
        </w:rPr>
      </w:pPr>
      <w:r>
        <w:t>6.</w:t>
      </w:r>
      <w:r>
        <w:tab/>
        <w:t>Fictitious details in documents, court powers as to</w:t>
      </w:r>
      <w:r>
        <w:tab/>
      </w:r>
      <w:r>
        <w:fldChar w:fldCharType="begin"/>
      </w:r>
      <w:r>
        <w:instrText xml:space="preserve"> PAGEREF _Toc75863738 \h </w:instrText>
      </w:r>
      <w:r>
        <w:fldChar w:fldCharType="separate"/>
      </w:r>
      <w:r w:rsidR="00FC1D84">
        <w:t>503</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lastRenderedPageBreak/>
        <w:t>Order 72 — Service of documents</w:t>
      </w:r>
    </w:p>
    <w:p w:rsidR="006169FD" w:rsidRDefault="006169FD">
      <w:pPr>
        <w:pStyle w:val="TOC8"/>
        <w:rPr>
          <w:rFonts w:asciiTheme="minorHAnsi" w:eastAsiaTheme="minorEastAsia" w:hAnsiTheme="minorHAnsi" w:cstheme="minorBidi"/>
          <w:szCs w:val="22"/>
        </w:rPr>
      </w:pPr>
      <w:r>
        <w:t>1</w:t>
      </w:r>
      <w:r w:rsidRPr="00AA3DF9">
        <w:rPr>
          <w:snapToGrid w:val="0"/>
        </w:rPr>
        <w:t>.</w:t>
      </w:r>
      <w:r w:rsidRPr="00AA3DF9">
        <w:rPr>
          <w:snapToGrid w:val="0"/>
        </w:rPr>
        <w:tab/>
        <w:t>When personal service required</w:t>
      </w:r>
      <w:r>
        <w:tab/>
      </w:r>
      <w:r>
        <w:fldChar w:fldCharType="begin"/>
      </w:r>
      <w:r>
        <w:instrText xml:space="preserve"> PAGEREF _Toc75863740 \h </w:instrText>
      </w:r>
      <w:r>
        <w:fldChar w:fldCharType="separate"/>
      </w:r>
      <w:r w:rsidR="00FC1D84">
        <w:t>504</w:t>
      </w:r>
      <w:r>
        <w:fldChar w:fldCharType="end"/>
      </w:r>
    </w:p>
    <w:p w:rsidR="006169FD" w:rsidRDefault="006169FD">
      <w:pPr>
        <w:pStyle w:val="TOC8"/>
        <w:rPr>
          <w:rFonts w:asciiTheme="minorHAnsi" w:eastAsiaTheme="minorEastAsia" w:hAnsiTheme="minorHAnsi" w:cstheme="minorBidi"/>
          <w:szCs w:val="22"/>
        </w:rPr>
      </w:pPr>
      <w:r>
        <w:t>2</w:t>
      </w:r>
      <w:r w:rsidRPr="00AA3DF9">
        <w:rPr>
          <w:snapToGrid w:val="0"/>
        </w:rPr>
        <w:t>.</w:t>
      </w:r>
      <w:r w:rsidRPr="00AA3DF9">
        <w:rPr>
          <w:snapToGrid w:val="0"/>
        </w:rPr>
        <w:tab/>
        <w:t>Personal service on individual</w:t>
      </w:r>
      <w:r>
        <w:tab/>
      </w:r>
      <w:r>
        <w:fldChar w:fldCharType="begin"/>
      </w:r>
      <w:r>
        <w:instrText xml:space="preserve"> PAGEREF _Toc75863741 \h </w:instrText>
      </w:r>
      <w:r>
        <w:fldChar w:fldCharType="separate"/>
      </w:r>
      <w:r w:rsidR="00FC1D84">
        <w:t>504</w:t>
      </w:r>
      <w:r>
        <w:fldChar w:fldCharType="end"/>
      </w:r>
    </w:p>
    <w:p w:rsidR="006169FD" w:rsidRDefault="006169FD">
      <w:pPr>
        <w:pStyle w:val="TOC8"/>
        <w:rPr>
          <w:rFonts w:asciiTheme="minorHAnsi" w:eastAsiaTheme="minorEastAsia" w:hAnsiTheme="minorHAnsi" w:cstheme="minorBidi"/>
          <w:szCs w:val="22"/>
        </w:rPr>
      </w:pPr>
      <w:r>
        <w:t>3</w:t>
      </w:r>
      <w:r w:rsidRPr="00AA3DF9">
        <w:rPr>
          <w:snapToGrid w:val="0"/>
        </w:rPr>
        <w:t>.</w:t>
      </w:r>
      <w:r w:rsidRPr="00AA3DF9">
        <w:rPr>
          <w:snapToGrid w:val="0"/>
        </w:rPr>
        <w:tab/>
        <w:t>Personal service on body corporate</w:t>
      </w:r>
      <w:r>
        <w:tab/>
      </w:r>
      <w:r>
        <w:fldChar w:fldCharType="begin"/>
      </w:r>
      <w:r>
        <w:instrText xml:space="preserve"> PAGEREF _Toc75863742 \h </w:instrText>
      </w:r>
      <w:r>
        <w:fldChar w:fldCharType="separate"/>
      </w:r>
      <w:r w:rsidR="00FC1D84">
        <w:t>504</w:t>
      </w:r>
      <w:r>
        <w:fldChar w:fldCharType="end"/>
      </w:r>
    </w:p>
    <w:p w:rsidR="006169FD" w:rsidRDefault="006169FD">
      <w:pPr>
        <w:pStyle w:val="TOC8"/>
        <w:rPr>
          <w:rFonts w:asciiTheme="minorHAnsi" w:eastAsiaTheme="minorEastAsia" w:hAnsiTheme="minorHAnsi" w:cstheme="minorBidi"/>
          <w:szCs w:val="22"/>
        </w:rPr>
      </w:pPr>
      <w:r>
        <w:t>3A.</w:t>
      </w:r>
      <w:r>
        <w:tab/>
        <w:t>Personal service on State</w:t>
      </w:r>
      <w:r>
        <w:tab/>
      </w:r>
      <w:r>
        <w:fldChar w:fldCharType="begin"/>
      </w:r>
      <w:r>
        <w:instrText xml:space="preserve"> PAGEREF _Toc75863743 \h </w:instrText>
      </w:r>
      <w:r>
        <w:fldChar w:fldCharType="separate"/>
      </w:r>
      <w:r w:rsidR="00FC1D84">
        <w:t>505</w:t>
      </w:r>
      <w:r>
        <w:fldChar w:fldCharType="end"/>
      </w:r>
    </w:p>
    <w:p w:rsidR="006169FD" w:rsidRDefault="006169FD">
      <w:pPr>
        <w:pStyle w:val="TOC8"/>
        <w:rPr>
          <w:rFonts w:asciiTheme="minorHAnsi" w:eastAsiaTheme="minorEastAsia" w:hAnsiTheme="minorHAnsi" w:cstheme="minorBidi"/>
          <w:szCs w:val="22"/>
        </w:rPr>
      </w:pPr>
      <w:r>
        <w:t>4</w:t>
      </w:r>
      <w:r w:rsidRPr="00AA3DF9">
        <w:rPr>
          <w:snapToGrid w:val="0"/>
        </w:rPr>
        <w:t>.</w:t>
      </w:r>
      <w:r w:rsidRPr="00AA3DF9">
        <w:rPr>
          <w:snapToGrid w:val="0"/>
        </w:rPr>
        <w:tab/>
        <w:t>Substituted service</w:t>
      </w:r>
      <w:r>
        <w:tab/>
      </w:r>
      <w:r>
        <w:fldChar w:fldCharType="begin"/>
      </w:r>
      <w:r>
        <w:instrText xml:space="preserve"> PAGEREF _Toc75863744 \h </w:instrText>
      </w:r>
      <w:r>
        <w:fldChar w:fldCharType="separate"/>
      </w:r>
      <w:r w:rsidR="00FC1D84">
        <w:t>505</w:t>
      </w:r>
      <w:r>
        <w:fldChar w:fldCharType="end"/>
      </w:r>
    </w:p>
    <w:p w:rsidR="006169FD" w:rsidRDefault="006169FD">
      <w:pPr>
        <w:pStyle w:val="TOC8"/>
        <w:rPr>
          <w:rFonts w:asciiTheme="minorHAnsi" w:eastAsiaTheme="minorEastAsia" w:hAnsiTheme="minorHAnsi" w:cstheme="minorBidi"/>
          <w:szCs w:val="22"/>
        </w:rPr>
      </w:pPr>
      <w:r>
        <w:t>5.</w:t>
      </w:r>
      <w:r>
        <w:tab/>
        <w:t>Ordinary service, how effected</w:t>
      </w:r>
      <w:r>
        <w:tab/>
      </w:r>
      <w:r>
        <w:fldChar w:fldCharType="begin"/>
      </w:r>
      <w:r>
        <w:instrText xml:space="preserve"> PAGEREF _Toc75863745 \h </w:instrText>
      </w:r>
      <w:r>
        <w:fldChar w:fldCharType="separate"/>
      </w:r>
      <w:r w:rsidR="00FC1D84">
        <w:t>505</w:t>
      </w:r>
      <w:r>
        <w:fldChar w:fldCharType="end"/>
      </w:r>
    </w:p>
    <w:p w:rsidR="006169FD" w:rsidRDefault="006169FD">
      <w:pPr>
        <w:pStyle w:val="TOC8"/>
        <w:rPr>
          <w:rFonts w:asciiTheme="minorHAnsi" w:eastAsiaTheme="minorEastAsia" w:hAnsiTheme="minorHAnsi" w:cstheme="minorBidi"/>
          <w:szCs w:val="22"/>
        </w:rPr>
      </w:pPr>
      <w:r>
        <w:t>5A.</w:t>
      </w:r>
      <w:r>
        <w:tab/>
        <w:t>Ordinary service, when effected</w:t>
      </w:r>
      <w:r>
        <w:tab/>
      </w:r>
      <w:r>
        <w:fldChar w:fldCharType="begin"/>
      </w:r>
      <w:r>
        <w:instrText xml:space="preserve"> PAGEREF _Toc75863746 \h </w:instrText>
      </w:r>
      <w:r>
        <w:fldChar w:fldCharType="separate"/>
      </w:r>
      <w:r w:rsidR="00FC1D84">
        <w:t>507</w:t>
      </w:r>
      <w:r>
        <w:fldChar w:fldCharType="end"/>
      </w:r>
    </w:p>
    <w:p w:rsidR="006169FD" w:rsidRDefault="006169FD">
      <w:pPr>
        <w:pStyle w:val="TOC8"/>
        <w:rPr>
          <w:rFonts w:asciiTheme="minorHAnsi" w:eastAsiaTheme="minorEastAsia" w:hAnsiTheme="minorHAnsi" w:cstheme="minorBidi"/>
          <w:szCs w:val="22"/>
        </w:rPr>
      </w:pPr>
      <w:r>
        <w:t>6.</w:t>
      </w:r>
      <w:r>
        <w:tab/>
        <w:t>Service of documents by Court</w:t>
      </w:r>
      <w:r>
        <w:tab/>
      </w:r>
      <w:r>
        <w:fldChar w:fldCharType="begin"/>
      </w:r>
      <w:r>
        <w:instrText xml:space="preserve"> PAGEREF _Toc75863747 \h </w:instrText>
      </w:r>
      <w:r>
        <w:fldChar w:fldCharType="separate"/>
      </w:r>
      <w:r w:rsidR="00FC1D84">
        <w:t>508</w:t>
      </w:r>
      <w:r>
        <w:fldChar w:fldCharType="end"/>
      </w:r>
    </w:p>
    <w:p w:rsidR="006169FD" w:rsidRDefault="006169FD">
      <w:pPr>
        <w:pStyle w:val="TOC8"/>
        <w:rPr>
          <w:rFonts w:asciiTheme="minorHAnsi" w:eastAsiaTheme="minorEastAsia" w:hAnsiTheme="minorHAnsi" w:cstheme="minorBidi"/>
          <w:szCs w:val="22"/>
        </w:rPr>
      </w:pPr>
      <w:r>
        <w:t>6A.</w:t>
      </w:r>
      <w:r>
        <w:tab/>
        <w:t>Serving documents by email</w:t>
      </w:r>
      <w:r>
        <w:tab/>
      </w:r>
      <w:r>
        <w:fldChar w:fldCharType="begin"/>
      </w:r>
      <w:r>
        <w:instrText xml:space="preserve"> PAGEREF _Toc75863748 \h </w:instrText>
      </w:r>
      <w:r>
        <w:fldChar w:fldCharType="separate"/>
      </w:r>
      <w:r w:rsidR="00FC1D84">
        <w:t>509</w:t>
      </w:r>
      <w:r>
        <w:fldChar w:fldCharType="end"/>
      </w:r>
    </w:p>
    <w:p w:rsidR="006169FD" w:rsidRDefault="006169FD">
      <w:pPr>
        <w:pStyle w:val="TOC8"/>
        <w:rPr>
          <w:rFonts w:asciiTheme="minorHAnsi" w:eastAsiaTheme="minorEastAsia" w:hAnsiTheme="minorHAnsi" w:cstheme="minorBidi"/>
          <w:szCs w:val="22"/>
        </w:rPr>
      </w:pPr>
      <w:r>
        <w:t>7</w:t>
      </w:r>
      <w:r w:rsidRPr="00AA3DF9">
        <w:rPr>
          <w:snapToGrid w:val="0"/>
        </w:rPr>
        <w:t>.</w:t>
      </w:r>
      <w:r w:rsidRPr="00AA3DF9">
        <w:rPr>
          <w:snapToGrid w:val="0"/>
        </w:rPr>
        <w:tab/>
        <w:t>Affidavits of service, content of</w:t>
      </w:r>
      <w:r>
        <w:tab/>
      </w:r>
      <w:r>
        <w:fldChar w:fldCharType="begin"/>
      </w:r>
      <w:r>
        <w:instrText xml:space="preserve"> PAGEREF _Toc75863749 \h </w:instrText>
      </w:r>
      <w:r>
        <w:fldChar w:fldCharType="separate"/>
      </w:r>
      <w:r w:rsidR="00FC1D84">
        <w:t>509</w:t>
      </w:r>
      <w:r>
        <w:fldChar w:fldCharType="end"/>
      </w:r>
    </w:p>
    <w:p w:rsidR="006169FD" w:rsidRDefault="006169FD">
      <w:pPr>
        <w:pStyle w:val="TOC8"/>
        <w:rPr>
          <w:rFonts w:asciiTheme="minorHAnsi" w:eastAsiaTheme="minorEastAsia" w:hAnsiTheme="minorHAnsi" w:cstheme="minorBidi"/>
          <w:szCs w:val="22"/>
        </w:rPr>
      </w:pPr>
      <w:r>
        <w:t>8</w:t>
      </w:r>
      <w:r w:rsidRPr="00AA3DF9">
        <w:rPr>
          <w:snapToGrid w:val="0"/>
        </w:rPr>
        <w:t>.</w:t>
      </w:r>
      <w:r w:rsidRPr="00AA3DF9">
        <w:rPr>
          <w:snapToGrid w:val="0"/>
        </w:rPr>
        <w:tab/>
        <w:t>No service required in certain cases</w:t>
      </w:r>
      <w:r>
        <w:tab/>
      </w:r>
      <w:r>
        <w:fldChar w:fldCharType="begin"/>
      </w:r>
      <w:r>
        <w:instrText xml:space="preserve"> PAGEREF _Toc75863750 \h </w:instrText>
      </w:r>
      <w:r>
        <w:fldChar w:fldCharType="separate"/>
      </w:r>
      <w:r w:rsidR="00FC1D84">
        <w:t>509</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73 — Probate proceedings</w:t>
      </w:r>
    </w:p>
    <w:p w:rsidR="006169FD" w:rsidRDefault="006169FD">
      <w:pPr>
        <w:pStyle w:val="TOC8"/>
        <w:rPr>
          <w:rFonts w:asciiTheme="minorHAnsi" w:eastAsiaTheme="minorEastAsia" w:hAnsiTheme="minorHAnsi" w:cstheme="minorBidi"/>
          <w:szCs w:val="22"/>
        </w:rPr>
      </w:pPr>
      <w:r>
        <w:t>1</w:t>
      </w:r>
      <w:r w:rsidRPr="00AA3DF9">
        <w:rPr>
          <w:snapToGrid w:val="0"/>
        </w:rPr>
        <w:t>.</w:t>
      </w:r>
      <w:r w:rsidRPr="00AA3DF9">
        <w:rPr>
          <w:snapToGrid w:val="0"/>
        </w:rPr>
        <w:tab/>
        <w:t>Application of this Order and terms used</w:t>
      </w:r>
      <w:r>
        <w:tab/>
      </w:r>
      <w:r>
        <w:fldChar w:fldCharType="begin"/>
      </w:r>
      <w:r>
        <w:instrText xml:space="preserve"> PAGEREF _Toc75863752 \h </w:instrText>
      </w:r>
      <w:r>
        <w:fldChar w:fldCharType="separate"/>
      </w:r>
      <w:r w:rsidR="00FC1D84">
        <w:t>510</w:t>
      </w:r>
      <w:r>
        <w:fldChar w:fldCharType="end"/>
      </w:r>
    </w:p>
    <w:p w:rsidR="006169FD" w:rsidRDefault="006169FD">
      <w:pPr>
        <w:pStyle w:val="TOC8"/>
        <w:rPr>
          <w:rFonts w:asciiTheme="minorHAnsi" w:eastAsiaTheme="minorEastAsia" w:hAnsiTheme="minorHAnsi" w:cstheme="minorBidi"/>
          <w:szCs w:val="22"/>
        </w:rPr>
      </w:pPr>
      <w:r>
        <w:t>2</w:t>
      </w:r>
      <w:r w:rsidRPr="00AA3DF9">
        <w:rPr>
          <w:snapToGrid w:val="0"/>
        </w:rPr>
        <w:t>.</w:t>
      </w:r>
      <w:r w:rsidRPr="00AA3DF9">
        <w:rPr>
          <w:snapToGrid w:val="0"/>
        </w:rPr>
        <w:tab/>
        <w:t>Commencing probate action</w:t>
      </w:r>
      <w:r>
        <w:tab/>
      </w:r>
      <w:r>
        <w:fldChar w:fldCharType="begin"/>
      </w:r>
      <w:r>
        <w:instrText xml:space="preserve"> PAGEREF _Toc75863753 \h </w:instrText>
      </w:r>
      <w:r>
        <w:fldChar w:fldCharType="separate"/>
      </w:r>
      <w:r w:rsidR="00FC1D84">
        <w:t>510</w:t>
      </w:r>
      <w:r>
        <w:fldChar w:fldCharType="end"/>
      </w:r>
    </w:p>
    <w:p w:rsidR="006169FD" w:rsidRDefault="006169FD">
      <w:pPr>
        <w:pStyle w:val="TOC8"/>
        <w:rPr>
          <w:rFonts w:asciiTheme="minorHAnsi" w:eastAsiaTheme="minorEastAsia" w:hAnsiTheme="minorHAnsi" w:cstheme="minorBidi"/>
          <w:szCs w:val="22"/>
        </w:rPr>
      </w:pPr>
      <w:r>
        <w:t>4</w:t>
      </w:r>
      <w:r w:rsidRPr="00AA3DF9">
        <w:rPr>
          <w:snapToGrid w:val="0"/>
        </w:rPr>
        <w:t>.</w:t>
      </w:r>
      <w:r w:rsidRPr="00AA3DF9">
        <w:rPr>
          <w:snapToGrid w:val="0"/>
        </w:rPr>
        <w:tab/>
        <w:t>Intervention by person who is not defendant</w:t>
      </w:r>
      <w:r>
        <w:tab/>
      </w:r>
      <w:r>
        <w:fldChar w:fldCharType="begin"/>
      </w:r>
      <w:r>
        <w:instrText xml:space="preserve"> PAGEREF _Toc75863754 \h </w:instrText>
      </w:r>
      <w:r>
        <w:fldChar w:fldCharType="separate"/>
      </w:r>
      <w:r w:rsidR="00FC1D84">
        <w:t>511</w:t>
      </w:r>
      <w:r>
        <w:fldChar w:fldCharType="end"/>
      </w:r>
    </w:p>
    <w:p w:rsidR="006169FD" w:rsidRDefault="006169FD">
      <w:pPr>
        <w:pStyle w:val="TOC8"/>
        <w:rPr>
          <w:rFonts w:asciiTheme="minorHAnsi" w:eastAsiaTheme="minorEastAsia" w:hAnsiTheme="minorHAnsi" w:cstheme="minorBidi"/>
          <w:szCs w:val="22"/>
        </w:rPr>
      </w:pPr>
      <w:r>
        <w:t>5</w:t>
      </w:r>
      <w:r w:rsidRPr="00AA3DF9">
        <w:rPr>
          <w:snapToGrid w:val="0"/>
        </w:rPr>
        <w:t>.</w:t>
      </w:r>
      <w:r w:rsidRPr="00AA3DF9">
        <w:rPr>
          <w:snapToGrid w:val="0"/>
        </w:rPr>
        <w:tab/>
        <w:t>Citation against non-party with adverse interest</w:t>
      </w:r>
      <w:r>
        <w:tab/>
      </w:r>
      <w:r>
        <w:fldChar w:fldCharType="begin"/>
      </w:r>
      <w:r>
        <w:instrText xml:space="preserve"> PAGEREF _Toc75863755 \h </w:instrText>
      </w:r>
      <w:r>
        <w:fldChar w:fldCharType="separate"/>
      </w:r>
      <w:r w:rsidR="00FC1D84">
        <w:t>511</w:t>
      </w:r>
      <w:r>
        <w:fldChar w:fldCharType="end"/>
      </w:r>
    </w:p>
    <w:p w:rsidR="006169FD" w:rsidRDefault="006169FD">
      <w:pPr>
        <w:pStyle w:val="TOC8"/>
        <w:rPr>
          <w:rFonts w:asciiTheme="minorHAnsi" w:eastAsiaTheme="minorEastAsia" w:hAnsiTheme="minorHAnsi" w:cstheme="minorBidi"/>
          <w:szCs w:val="22"/>
        </w:rPr>
      </w:pPr>
      <w:r>
        <w:t>6</w:t>
      </w:r>
      <w:r w:rsidRPr="00AA3DF9">
        <w:rPr>
          <w:snapToGrid w:val="0"/>
        </w:rPr>
        <w:t>.</w:t>
      </w:r>
      <w:r w:rsidRPr="00AA3DF9">
        <w:rPr>
          <w:snapToGrid w:val="0"/>
        </w:rPr>
        <w:tab/>
        <w:t>Person cited failing to appear</w:t>
      </w:r>
      <w:r>
        <w:tab/>
      </w:r>
      <w:r>
        <w:fldChar w:fldCharType="begin"/>
      </w:r>
      <w:r>
        <w:instrText xml:space="preserve"> PAGEREF _Toc75863756 \h </w:instrText>
      </w:r>
      <w:r>
        <w:fldChar w:fldCharType="separate"/>
      </w:r>
      <w:r w:rsidR="00FC1D84">
        <w:t>511</w:t>
      </w:r>
      <w:r>
        <w:fldChar w:fldCharType="end"/>
      </w:r>
    </w:p>
    <w:p w:rsidR="006169FD" w:rsidRDefault="006169FD">
      <w:pPr>
        <w:pStyle w:val="TOC8"/>
        <w:rPr>
          <w:rFonts w:asciiTheme="minorHAnsi" w:eastAsiaTheme="minorEastAsia" w:hAnsiTheme="minorHAnsi" w:cstheme="minorBidi"/>
          <w:szCs w:val="22"/>
        </w:rPr>
      </w:pPr>
      <w:r>
        <w:t>7</w:t>
      </w:r>
      <w:r w:rsidRPr="00AA3DF9">
        <w:rPr>
          <w:snapToGrid w:val="0"/>
        </w:rPr>
        <w:t>.</w:t>
      </w:r>
      <w:r w:rsidRPr="00AA3DF9">
        <w:rPr>
          <w:snapToGrid w:val="0"/>
        </w:rPr>
        <w:tab/>
        <w:t>Entry of appearance</w:t>
      </w:r>
      <w:r>
        <w:tab/>
      </w:r>
      <w:r>
        <w:fldChar w:fldCharType="begin"/>
      </w:r>
      <w:r>
        <w:instrText xml:space="preserve"> PAGEREF _Toc75863757 \h </w:instrText>
      </w:r>
      <w:r>
        <w:fldChar w:fldCharType="separate"/>
      </w:r>
      <w:r w:rsidR="00FC1D84">
        <w:t>511</w:t>
      </w:r>
      <w:r>
        <w:fldChar w:fldCharType="end"/>
      </w:r>
    </w:p>
    <w:p w:rsidR="006169FD" w:rsidRDefault="006169FD">
      <w:pPr>
        <w:pStyle w:val="TOC8"/>
        <w:rPr>
          <w:rFonts w:asciiTheme="minorHAnsi" w:eastAsiaTheme="minorEastAsia" w:hAnsiTheme="minorHAnsi" w:cstheme="minorBidi"/>
          <w:szCs w:val="22"/>
        </w:rPr>
      </w:pPr>
      <w:r>
        <w:t>8</w:t>
      </w:r>
      <w:r w:rsidRPr="00AA3DF9">
        <w:rPr>
          <w:snapToGrid w:val="0"/>
        </w:rPr>
        <w:t>.</w:t>
      </w:r>
      <w:r w:rsidRPr="00AA3DF9">
        <w:rPr>
          <w:snapToGrid w:val="0"/>
        </w:rPr>
        <w:tab/>
        <w:t>Citation to executor etc. to bring in probate etc.</w:t>
      </w:r>
      <w:r>
        <w:tab/>
      </w:r>
      <w:r>
        <w:fldChar w:fldCharType="begin"/>
      </w:r>
      <w:r>
        <w:instrText xml:space="preserve"> PAGEREF _Toc75863758 \h </w:instrText>
      </w:r>
      <w:r>
        <w:fldChar w:fldCharType="separate"/>
      </w:r>
      <w:r w:rsidR="00FC1D84">
        <w:t>512</w:t>
      </w:r>
      <w:r>
        <w:fldChar w:fldCharType="end"/>
      </w:r>
    </w:p>
    <w:p w:rsidR="006169FD" w:rsidRDefault="006169FD">
      <w:pPr>
        <w:pStyle w:val="TOC8"/>
        <w:rPr>
          <w:rFonts w:asciiTheme="minorHAnsi" w:eastAsiaTheme="minorEastAsia" w:hAnsiTheme="minorHAnsi" w:cstheme="minorBidi"/>
          <w:szCs w:val="22"/>
        </w:rPr>
      </w:pPr>
      <w:r>
        <w:t>8A.</w:t>
      </w:r>
      <w:r>
        <w:tab/>
        <w:t>Applications to include draft citation</w:t>
      </w:r>
      <w:r>
        <w:tab/>
      </w:r>
      <w:r>
        <w:fldChar w:fldCharType="begin"/>
      </w:r>
      <w:r>
        <w:instrText xml:space="preserve"> PAGEREF _Toc75863759 \h </w:instrText>
      </w:r>
      <w:r>
        <w:fldChar w:fldCharType="separate"/>
      </w:r>
      <w:r w:rsidR="00FC1D84">
        <w:t>512</w:t>
      </w:r>
      <w:r>
        <w:fldChar w:fldCharType="end"/>
      </w:r>
    </w:p>
    <w:p w:rsidR="006169FD" w:rsidRDefault="006169FD">
      <w:pPr>
        <w:pStyle w:val="TOC8"/>
        <w:rPr>
          <w:rFonts w:asciiTheme="minorHAnsi" w:eastAsiaTheme="minorEastAsia" w:hAnsiTheme="minorHAnsi" w:cstheme="minorBidi"/>
          <w:szCs w:val="22"/>
        </w:rPr>
      </w:pPr>
      <w:r>
        <w:t>9</w:t>
      </w:r>
      <w:r w:rsidRPr="00AA3DF9">
        <w:rPr>
          <w:snapToGrid w:val="0"/>
        </w:rPr>
        <w:t>.</w:t>
      </w:r>
      <w:r w:rsidRPr="00AA3DF9">
        <w:rPr>
          <w:snapToGrid w:val="0"/>
        </w:rPr>
        <w:tab/>
        <w:t>Citations, issue of</w:t>
      </w:r>
      <w:r>
        <w:tab/>
      </w:r>
      <w:r>
        <w:fldChar w:fldCharType="begin"/>
      </w:r>
      <w:r>
        <w:instrText xml:space="preserve"> PAGEREF _Toc75863760 \h </w:instrText>
      </w:r>
      <w:r>
        <w:fldChar w:fldCharType="separate"/>
      </w:r>
      <w:r w:rsidR="00FC1D84">
        <w:t>512</w:t>
      </w:r>
      <w:r>
        <w:fldChar w:fldCharType="end"/>
      </w:r>
    </w:p>
    <w:p w:rsidR="006169FD" w:rsidRDefault="006169FD">
      <w:pPr>
        <w:pStyle w:val="TOC8"/>
        <w:rPr>
          <w:rFonts w:asciiTheme="minorHAnsi" w:eastAsiaTheme="minorEastAsia" w:hAnsiTheme="minorHAnsi" w:cstheme="minorBidi"/>
          <w:szCs w:val="22"/>
        </w:rPr>
      </w:pPr>
      <w:r>
        <w:t>10</w:t>
      </w:r>
      <w:r w:rsidRPr="00AA3DF9">
        <w:rPr>
          <w:snapToGrid w:val="0"/>
        </w:rPr>
        <w:t>.</w:t>
      </w:r>
      <w:r w:rsidRPr="00AA3DF9">
        <w:rPr>
          <w:snapToGrid w:val="0"/>
        </w:rPr>
        <w:tab/>
        <w:t>Citations, service of</w:t>
      </w:r>
      <w:r>
        <w:tab/>
      </w:r>
      <w:r>
        <w:fldChar w:fldCharType="begin"/>
      </w:r>
      <w:r>
        <w:instrText xml:space="preserve"> PAGEREF _Toc75863761 \h </w:instrText>
      </w:r>
      <w:r>
        <w:fldChar w:fldCharType="separate"/>
      </w:r>
      <w:r w:rsidR="00FC1D84">
        <w:t>513</w:t>
      </w:r>
      <w:r>
        <w:fldChar w:fldCharType="end"/>
      </w:r>
    </w:p>
    <w:p w:rsidR="006169FD" w:rsidRDefault="006169FD">
      <w:pPr>
        <w:pStyle w:val="TOC8"/>
        <w:rPr>
          <w:rFonts w:asciiTheme="minorHAnsi" w:eastAsiaTheme="minorEastAsia" w:hAnsiTheme="minorHAnsi" w:cstheme="minorBidi"/>
          <w:szCs w:val="22"/>
        </w:rPr>
      </w:pPr>
      <w:r>
        <w:t>11</w:t>
      </w:r>
      <w:r w:rsidRPr="00AA3DF9">
        <w:rPr>
          <w:snapToGrid w:val="0"/>
        </w:rPr>
        <w:t>.</w:t>
      </w:r>
      <w:r w:rsidRPr="00AA3DF9">
        <w:rPr>
          <w:snapToGrid w:val="0"/>
        </w:rPr>
        <w:tab/>
        <w:t>Affidavit of scripts</w:t>
      </w:r>
      <w:r>
        <w:tab/>
      </w:r>
      <w:r>
        <w:fldChar w:fldCharType="begin"/>
      </w:r>
      <w:r>
        <w:instrText xml:space="preserve"> PAGEREF _Toc75863762 \h </w:instrText>
      </w:r>
      <w:r>
        <w:fldChar w:fldCharType="separate"/>
      </w:r>
      <w:r w:rsidR="00FC1D84">
        <w:t>513</w:t>
      </w:r>
      <w:r>
        <w:fldChar w:fldCharType="end"/>
      </w:r>
    </w:p>
    <w:p w:rsidR="006169FD" w:rsidRDefault="006169FD">
      <w:pPr>
        <w:pStyle w:val="TOC8"/>
        <w:rPr>
          <w:rFonts w:asciiTheme="minorHAnsi" w:eastAsiaTheme="minorEastAsia" w:hAnsiTheme="minorHAnsi" w:cstheme="minorBidi"/>
          <w:szCs w:val="22"/>
        </w:rPr>
      </w:pPr>
      <w:r>
        <w:t>12</w:t>
      </w:r>
      <w:r w:rsidRPr="00AA3DF9">
        <w:rPr>
          <w:snapToGrid w:val="0"/>
        </w:rPr>
        <w:t>.</w:t>
      </w:r>
      <w:r w:rsidRPr="00AA3DF9">
        <w:rPr>
          <w:snapToGrid w:val="0"/>
        </w:rPr>
        <w:tab/>
        <w:t>Scripts in pencil, affidavits as to; inspecting affidavits of scripts</w:t>
      </w:r>
      <w:r>
        <w:tab/>
      </w:r>
      <w:r>
        <w:fldChar w:fldCharType="begin"/>
      </w:r>
      <w:r>
        <w:instrText xml:space="preserve"> PAGEREF _Toc75863763 \h </w:instrText>
      </w:r>
      <w:r>
        <w:fldChar w:fldCharType="separate"/>
      </w:r>
      <w:r w:rsidR="00FC1D84">
        <w:t>514</w:t>
      </w:r>
      <w:r>
        <w:fldChar w:fldCharType="end"/>
      </w:r>
    </w:p>
    <w:p w:rsidR="006169FD" w:rsidRDefault="006169FD">
      <w:pPr>
        <w:pStyle w:val="TOC8"/>
        <w:rPr>
          <w:rFonts w:asciiTheme="minorHAnsi" w:eastAsiaTheme="minorEastAsia" w:hAnsiTheme="minorHAnsi" w:cstheme="minorBidi"/>
          <w:szCs w:val="22"/>
        </w:rPr>
      </w:pPr>
      <w:r>
        <w:t>13</w:t>
      </w:r>
      <w:r w:rsidRPr="00AA3DF9">
        <w:rPr>
          <w:snapToGrid w:val="0"/>
        </w:rPr>
        <w:t>.</w:t>
      </w:r>
      <w:r w:rsidRPr="00AA3DF9">
        <w:rPr>
          <w:snapToGrid w:val="0"/>
        </w:rPr>
        <w:tab/>
        <w:t>Default of appearance</w:t>
      </w:r>
      <w:r>
        <w:tab/>
      </w:r>
      <w:r>
        <w:fldChar w:fldCharType="begin"/>
      </w:r>
      <w:r>
        <w:instrText xml:space="preserve"> PAGEREF _Toc75863764 \h </w:instrText>
      </w:r>
      <w:r>
        <w:fldChar w:fldCharType="separate"/>
      </w:r>
      <w:r w:rsidR="00FC1D84">
        <w:t>514</w:t>
      </w:r>
      <w:r>
        <w:fldChar w:fldCharType="end"/>
      </w:r>
    </w:p>
    <w:p w:rsidR="006169FD" w:rsidRDefault="006169FD">
      <w:pPr>
        <w:pStyle w:val="TOC8"/>
        <w:rPr>
          <w:rFonts w:asciiTheme="minorHAnsi" w:eastAsiaTheme="minorEastAsia" w:hAnsiTheme="minorHAnsi" w:cstheme="minorBidi"/>
          <w:szCs w:val="22"/>
        </w:rPr>
      </w:pPr>
      <w:r>
        <w:t>14</w:t>
      </w:r>
      <w:r w:rsidRPr="00AA3DF9">
        <w:rPr>
          <w:snapToGrid w:val="0"/>
        </w:rPr>
        <w:t>.</w:t>
      </w:r>
      <w:r w:rsidRPr="00AA3DF9">
        <w:rPr>
          <w:snapToGrid w:val="0"/>
        </w:rPr>
        <w:tab/>
        <w:t>Counterclaim</w:t>
      </w:r>
      <w:r>
        <w:tab/>
      </w:r>
      <w:r>
        <w:fldChar w:fldCharType="begin"/>
      </w:r>
      <w:r>
        <w:instrText xml:space="preserve"> PAGEREF _Toc75863765 \h </w:instrText>
      </w:r>
      <w:r>
        <w:fldChar w:fldCharType="separate"/>
      </w:r>
      <w:r w:rsidR="00FC1D84">
        <w:t>515</w:t>
      </w:r>
      <w:r>
        <w:fldChar w:fldCharType="end"/>
      </w:r>
    </w:p>
    <w:p w:rsidR="006169FD" w:rsidRDefault="006169FD">
      <w:pPr>
        <w:pStyle w:val="TOC8"/>
        <w:rPr>
          <w:rFonts w:asciiTheme="minorHAnsi" w:eastAsiaTheme="minorEastAsia" w:hAnsiTheme="minorHAnsi" w:cstheme="minorBidi"/>
          <w:szCs w:val="22"/>
        </w:rPr>
      </w:pPr>
      <w:r>
        <w:t>15</w:t>
      </w:r>
      <w:r w:rsidRPr="00AA3DF9">
        <w:rPr>
          <w:snapToGrid w:val="0"/>
        </w:rPr>
        <w:t>.</w:t>
      </w:r>
      <w:r w:rsidRPr="00AA3DF9">
        <w:rPr>
          <w:snapToGrid w:val="0"/>
        </w:rPr>
        <w:tab/>
        <w:t>Defendant may require only proof in solemn form</w:t>
      </w:r>
      <w:r>
        <w:tab/>
      </w:r>
      <w:r>
        <w:fldChar w:fldCharType="begin"/>
      </w:r>
      <w:r>
        <w:instrText xml:space="preserve"> PAGEREF _Toc75863766 \h </w:instrText>
      </w:r>
      <w:r>
        <w:fldChar w:fldCharType="separate"/>
      </w:r>
      <w:r w:rsidR="00FC1D84">
        <w:t>515</w:t>
      </w:r>
      <w:r>
        <w:fldChar w:fldCharType="end"/>
      </w:r>
    </w:p>
    <w:p w:rsidR="006169FD" w:rsidRDefault="006169FD">
      <w:pPr>
        <w:pStyle w:val="TOC8"/>
        <w:rPr>
          <w:rFonts w:asciiTheme="minorHAnsi" w:eastAsiaTheme="minorEastAsia" w:hAnsiTheme="minorHAnsi" w:cstheme="minorBidi"/>
          <w:szCs w:val="22"/>
        </w:rPr>
      </w:pPr>
      <w:r>
        <w:t>16</w:t>
      </w:r>
      <w:r w:rsidRPr="00AA3DF9">
        <w:rPr>
          <w:snapToGrid w:val="0"/>
        </w:rPr>
        <w:t>.</w:t>
      </w:r>
      <w:r w:rsidRPr="00AA3DF9">
        <w:rPr>
          <w:snapToGrid w:val="0"/>
        </w:rPr>
        <w:tab/>
        <w:t>Pleadings</w:t>
      </w:r>
      <w:r>
        <w:tab/>
      </w:r>
      <w:r>
        <w:fldChar w:fldCharType="begin"/>
      </w:r>
      <w:r>
        <w:instrText xml:space="preserve"> PAGEREF _Toc75863767 \h </w:instrText>
      </w:r>
      <w:r>
        <w:fldChar w:fldCharType="separate"/>
      </w:r>
      <w:r w:rsidR="00FC1D84">
        <w:t>515</w:t>
      </w:r>
      <w:r>
        <w:fldChar w:fldCharType="end"/>
      </w:r>
    </w:p>
    <w:p w:rsidR="006169FD" w:rsidRDefault="006169FD">
      <w:pPr>
        <w:pStyle w:val="TOC8"/>
        <w:rPr>
          <w:rFonts w:asciiTheme="minorHAnsi" w:eastAsiaTheme="minorEastAsia" w:hAnsiTheme="minorHAnsi" w:cstheme="minorBidi"/>
          <w:szCs w:val="22"/>
        </w:rPr>
      </w:pPr>
      <w:r>
        <w:t>17</w:t>
      </w:r>
      <w:r w:rsidRPr="00AA3DF9">
        <w:rPr>
          <w:snapToGrid w:val="0"/>
        </w:rPr>
        <w:t>.</w:t>
      </w:r>
      <w:r w:rsidRPr="00AA3DF9">
        <w:rPr>
          <w:snapToGrid w:val="0"/>
        </w:rPr>
        <w:tab/>
        <w:t>Default of pleadings</w:t>
      </w:r>
      <w:r>
        <w:tab/>
      </w:r>
      <w:r>
        <w:fldChar w:fldCharType="begin"/>
      </w:r>
      <w:r>
        <w:instrText xml:space="preserve"> PAGEREF _Toc75863768 \h </w:instrText>
      </w:r>
      <w:r>
        <w:fldChar w:fldCharType="separate"/>
      </w:r>
      <w:r w:rsidR="00FC1D84">
        <w:t>516</w:t>
      </w:r>
      <w:r>
        <w:fldChar w:fldCharType="end"/>
      </w:r>
    </w:p>
    <w:p w:rsidR="006169FD" w:rsidRDefault="006169FD">
      <w:pPr>
        <w:pStyle w:val="TOC8"/>
        <w:rPr>
          <w:rFonts w:asciiTheme="minorHAnsi" w:eastAsiaTheme="minorEastAsia" w:hAnsiTheme="minorHAnsi" w:cstheme="minorBidi"/>
          <w:szCs w:val="22"/>
        </w:rPr>
      </w:pPr>
      <w:r>
        <w:t>18</w:t>
      </w:r>
      <w:r w:rsidRPr="00AA3DF9">
        <w:rPr>
          <w:snapToGrid w:val="0"/>
        </w:rPr>
        <w:t>.</w:t>
      </w:r>
      <w:r w:rsidRPr="00AA3DF9">
        <w:rPr>
          <w:snapToGrid w:val="0"/>
        </w:rPr>
        <w:tab/>
        <w:t>Discontinuance</w:t>
      </w:r>
      <w:r>
        <w:tab/>
      </w:r>
      <w:r>
        <w:fldChar w:fldCharType="begin"/>
      </w:r>
      <w:r>
        <w:instrText xml:space="preserve"> PAGEREF _Toc75863769 \h </w:instrText>
      </w:r>
      <w:r>
        <w:fldChar w:fldCharType="separate"/>
      </w:r>
      <w:r w:rsidR="00FC1D84">
        <w:t>516</w:t>
      </w:r>
      <w:r>
        <w:fldChar w:fldCharType="end"/>
      </w:r>
    </w:p>
    <w:p w:rsidR="006169FD" w:rsidRDefault="006169FD">
      <w:pPr>
        <w:pStyle w:val="TOC8"/>
        <w:rPr>
          <w:rFonts w:asciiTheme="minorHAnsi" w:eastAsiaTheme="minorEastAsia" w:hAnsiTheme="minorHAnsi" w:cstheme="minorBidi"/>
          <w:szCs w:val="22"/>
        </w:rPr>
      </w:pPr>
      <w:r>
        <w:t>19</w:t>
      </w:r>
      <w:r w:rsidRPr="00AA3DF9">
        <w:rPr>
          <w:snapToGrid w:val="0"/>
        </w:rPr>
        <w:t>.</w:t>
      </w:r>
      <w:r w:rsidRPr="00AA3DF9">
        <w:rPr>
          <w:snapToGrid w:val="0"/>
        </w:rPr>
        <w:tab/>
        <w:t>Compromise</w:t>
      </w:r>
      <w:r>
        <w:tab/>
      </w:r>
      <w:r>
        <w:fldChar w:fldCharType="begin"/>
      </w:r>
      <w:r>
        <w:instrText xml:space="preserve"> PAGEREF _Toc75863770 \h </w:instrText>
      </w:r>
      <w:r>
        <w:fldChar w:fldCharType="separate"/>
      </w:r>
      <w:r w:rsidR="00FC1D84">
        <w:t>517</w:t>
      </w:r>
      <w:r>
        <w:fldChar w:fldCharType="end"/>
      </w:r>
    </w:p>
    <w:p w:rsidR="006169FD" w:rsidRDefault="006169FD">
      <w:pPr>
        <w:pStyle w:val="TOC8"/>
        <w:rPr>
          <w:rFonts w:asciiTheme="minorHAnsi" w:eastAsiaTheme="minorEastAsia" w:hAnsiTheme="minorHAnsi" w:cstheme="minorBidi"/>
          <w:szCs w:val="22"/>
        </w:rPr>
      </w:pPr>
      <w:r>
        <w:t>20</w:t>
      </w:r>
      <w:r w:rsidRPr="00AA3DF9">
        <w:rPr>
          <w:snapToGrid w:val="0"/>
        </w:rPr>
        <w:t>.</w:t>
      </w:r>
      <w:r w:rsidRPr="00AA3DF9">
        <w:rPr>
          <w:snapToGrid w:val="0"/>
        </w:rPr>
        <w:tab/>
        <w:t>Orders etc. to bring in will etc.</w:t>
      </w:r>
      <w:r>
        <w:tab/>
      </w:r>
      <w:r>
        <w:fldChar w:fldCharType="begin"/>
      </w:r>
      <w:r>
        <w:instrText xml:space="preserve"> PAGEREF _Toc75863771 \h </w:instrText>
      </w:r>
      <w:r>
        <w:fldChar w:fldCharType="separate"/>
      </w:r>
      <w:r w:rsidR="00FC1D84">
        <w:t>517</w:t>
      </w:r>
      <w:r>
        <w:fldChar w:fldCharType="end"/>
      </w:r>
    </w:p>
    <w:p w:rsidR="006169FD" w:rsidRDefault="006169FD">
      <w:pPr>
        <w:pStyle w:val="TOC8"/>
        <w:rPr>
          <w:rFonts w:asciiTheme="minorHAnsi" w:eastAsiaTheme="minorEastAsia" w:hAnsiTheme="minorHAnsi" w:cstheme="minorBidi"/>
          <w:szCs w:val="22"/>
        </w:rPr>
      </w:pPr>
      <w:r>
        <w:t>21</w:t>
      </w:r>
      <w:r w:rsidRPr="00AA3DF9">
        <w:rPr>
          <w:snapToGrid w:val="0"/>
        </w:rPr>
        <w:t>.</w:t>
      </w:r>
      <w:r w:rsidRPr="00AA3DF9">
        <w:rPr>
          <w:snapToGrid w:val="0"/>
        </w:rPr>
        <w:tab/>
        <w:t>Applications, making</w:t>
      </w:r>
      <w:r>
        <w:tab/>
      </w:r>
      <w:r>
        <w:fldChar w:fldCharType="begin"/>
      </w:r>
      <w:r>
        <w:instrText xml:space="preserve"> PAGEREF _Toc75863772 \h </w:instrText>
      </w:r>
      <w:r>
        <w:fldChar w:fldCharType="separate"/>
      </w:r>
      <w:r w:rsidR="00FC1D84">
        <w:t>517</w:t>
      </w:r>
      <w:r>
        <w:fldChar w:fldCharType="end"/>
      </w:r>
    </w:p>
    <w:p w:rsidR="006169FD" w:rsidRDefault="006169FD">
      <w:pPr>
        <w:pStyle w:val="TOC8"/>
        <w:rPr>
          <w:rFonts w:asciiTheme="minorHAnsi" w:eastAsiaTheme="minorEastAsia" w:hAnsiTheme="minorHAnsi" w:cstheme="minorBidi"/>
          <w:szCs w:val="22"/>
        </w:rPr>
      </w:pPr>
      <w:r>
        <w:t>22</w:t>
      </w:r>
      <w:r w:rsidRPr="00AA3DF9">
        <w:rPr>
          <w:snapToGrid w:val="0"/>
        </w:rPr>
        <w:t>.</w:t>
      </w:r>
      <w:r w:rsidRPr="00AA3DF9">
        <w:rPr>
          <w:snapToGrid w:val="0"/>
        </w:rPr>
        <w:tab/>
        <w:t>Administrator or receiver appointed pending litigation</w:t>
      </w:r>
      <w:r>
        <w:tab/>
      </w:r>
      <w:r>
        <w:fldChar w:fldCharType="begin"/>
      </w:r>
      <w:r>
        <w:instrText xml:space="preserve"> PAGEREF _Toc75863773 \h </w:instrText>
      </w:r>
      <w:r>
        <w:fldChar w:fldCharType="separate"/>
      </w:r>
      <w:r w:rsidR="00FC1D84">
        <w:t>518</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lastRenderedPageBreak/>
        <w:t>Order 75 — </w:t>
      </w:r>
      <w:r w:rsidRPr="00AA3DF9">
        <w:rPr>
          <w:i/>
          <w:iCs/>
        </w:rPr>
        <w:t xml:space="preserve">Family Provision Act 1972 </w:t>
      </w:r>
      <w:r>
        <w:t>rules </w:t>
      </w:r>
    </w:p>
    <w:p w:rsidR="006169FD" w:rsidRDefault="006169FD">
      <w:pPr>
        <w:pStyle w:val="TOC8"/>
        <w:rPr>
          <w:rFonts w:asciiTheme="minorHAnsi" w:eastAsiaTheme="minorEastAsia" w:hAnsiTheme="minorHAnsi" w:cstheme="minorBidi"/>
          <w:szCs w:val="22"/>
        </w:rPr>
      </w:pPr>
      <w:r>
        <w:t>1</w:t>
      </w:r>
      <w:r w:rsidRPr="00AA3DF9">
        <w:rPr>
          <w:snapToGrid w:val="0"/>
        </w:rPr>
        <w:t>.</w:t>
      </w:r>
      <w:r w:rsidRPr="00AA3DF9">
        <w:rPr>
          <w:snapToGrid w:val="0"/>
        </w:rPr>
        <w:tab/>
        <w:t>Terms used</w:t>
      </w:r>
      <w:r>
        <w:tab/>
      </w:r>
      <w:r>
        <w:fldChar w:fldCharType="begin"/>
      </w:r>
      <w:r>
        <w:instrText xml:space="preserve"> PAGEREF _Toc75863775 \h </w:instrText>
      </w:r>
      <w:r>
        <w:fldChar w:fldCharType="separate"/>
      </w:r>
      <w:r w:rsidR="00FC1D84">
        <w:t>519</w:t>
      </w:r>
      <w:r>
        <w:fldChar w:fldCharType="end"/>
      </w:r>
    </w:p>
    <w:p w:rsidR="006169FD" w:rsidRDefault="006169FD">
      <w:pPr>
        <w:pStyle w:val="TOC8"/>
        <w:rPr>
          <w:rFonts w:asciiTheme="minorHAnsi" w:eastAsiaTheme="minorEastAsia" w:hAnsiTheme="minorHAnsi" w:cstheme="minorBidi"/>
          <w:szCs w:val="22"/>
        </w:rPr>
      </w:pPr>
      <w:r>
        <w:t>2</w:t>
      </w:r>
      <w:r w:rsidRPr="00AA3DF9">
        <w:rPr>
          <w:snapToGrid w:val="0"/>
        </w:rPr>
        <w:t>.</w:t>
      </w:r>
      <w:r w:rsidRPr="00AA3DF9">
        <w:rPr>
          <w:snapToGrid w:val="0"/>
        </w:rPr>
        <w:tab/>
        <w:t>Applications under Act, making of</w:t>
      </w:r>
      <w:r>
        <w:tab/>
      </w:r>
      <w:r>
        <w:fldChar w:fldCharType="begin"/>
      </w:r>
      <w:r>
        <w:instrText xml:space="preserve"> PAGEREF _Toc75863776 \h </w:instrText>
      </w:r>
      <w:r>
        <w:fldChar w:fldCharType="separate"/>
      </w:r>
      <w:r w:rsidR="00FC1D84">
        <w:t>519</w:t>
      </w:r>
      <w:r>
        <w:fldChar w:fldCharType="end"/>
      </w:r>
    </w:p>
    <w:p w:rsidR="006169FD" w:rsidRDefault="006169FD">
      <w:pPr>
        <w:pStyle w:val="TOC8"/>
        <w:rPr>
          <w:rFonts w:asciiTheme="minorHAnsi" w:eastAsiaTheme="minorEastAsia" w:hAnsiTheme="minorHAnsi" w:cstheme="minorBidi"/>
          <w:szCs w:val="22"/>
        </w:rPr>
      </w:pPr>
      <w:r>
        <w:t>3.</w:t>
      </w:r>
      <w:r>
        <w:tab/>
        <w:t>Copy of summons to be placed on probate file or linked to electronic file</w:t>
      </w:r>
      <w:r>
        <w:tab/>
      </w:r>
      <w:r>
        <w:fldChar w:fldCharType="begin"/>
      </w:r>
      <w:r>
        <w:instrText xml:space="preserve"> PAGEREF _Toc75863777 \h </w:instrText>
      </w:r>
      <w:r>
        <w:fldChar w:fldCharType="separate"/>
      </w:r>
      <w:r w:rsidR="00FC1D84">
        <w:t>519</w:t>
      </w:r>
      <w:r>
        <w:fldChar w:fldCharType="end"/>
      </w:r>
    </w:p>
    <w:p w:rsidR="006169FD" w:rsidRDefault="006169FD">
      <w:pPr>
        <w:pStyle w:val="TOC8"/>
        <w:rPr>
          <w:rFonts w:asciiTheme="minorHAnsi" w:eastAsiaTheme="minorEastAsia" w:hAnsiTheme="minorHAnsi" w:cstheme="minorBidi"/>
          <w:szCs w:val="22"/>
        </w:rPr>
      </w:pPr>
      <w:r>
        <w:t>5</w:t>
      </w:r>
      <w:r w:rsidRPr="00AA3DF9">
        <w:rPr>
          <w:snapToGrid w:val="0"/>
        </w:rPr>
        <w:t>.</w:t>
      </w:r>
      <w:r w:rsidRPr="00AA3DF9">
        <w:rPr>
          <w:snapToGrid w:val="0"/>
        </w:rPr>
        <w:tab/>
        <w:t>Court may make inquiries etc.</w:t>
      </w:r>
      <w:r>
        <w:tab/>
      </w:r>
      <w:r>
        <w:fldChar w:fldCharType="begin"/>
      </w:r>
      <w:r>
        <w:instrText xml:space="preserve"> PAGEREF _Toc75863778 \h </w:instrText>
      </w:r>
      <w:r>
        <w:fldChar w:fldCharType="separate"/>
      </w:r>
      <w:r w:rsidR="00FC1D84">
        <w:t>520</w:t>
      </w:r>
      <w:r>
        <w:fldChar w:fldCharType="end"/>
      </w:r>
    </w:p>
    <w:p w:rsidR="006169FD" w:rsidRDefault="006169FD">
      <w:pPr>
        <w:pStyle w:val="TOC8"/>
        <w:rPr>
          <w:rFonts w:asciiTheme="minorHAnsi" w:eastAsiaTheme="minorEastAsia" w:hAnsiTheme="minorHAnsi" w:cstheme="minorBidi"/>
          <w:szCs w:val="22"/>
        </w:rPr>
      </w:pPr>
      <w:r>
        <w:t>6</w:t>
      </w:r>
      <w:r w:rsidRPr="00AA3DF9">
        <w:rPr>
          <w:snapToGrid w:val="0"/>
        </w:rPr>
        <w:t>.</w:t>
      </w:r>
      <w:r w:rsidRPr="00AA3DF9">
        <w:rPr>
          <w:snapToGrid w:val="0"/>
        </w:rPr>
        <w:tab/>
        <w:t>Parties may be added</w:t>
      </w:r>
      <w:r>
        <w:tab/>
      </w:r>
      <w:r>
        <w:fldChar w:fldCharType="begin"/>
      </w:r>
      <w:r>
        <w:instrText xml:space="preserve"> PAGEREF _Toc75863779 \h </w:instrText>
      </w:r>
      <w:r>
        <w:fldChar w:fldCharType="separate"/>
      </w:r>
      <w:r w:rsidR="00FC1D84">
        <w:t>521</w:t>
      </w:r>
      <w:r>
        <w:fldChar w:fldCharType="end"/>
      </w:r>
    </w:p>
    <w:p w:rsidR="006169FD" w:rsidRDefault="006169FD">
      <w:pPr>
        <w:pStyle w:val="TOC8"/>
        <w:rPr>
          <w:rFonts w:asciiTheme="minorHAnsi" w:eastAsiaTheme="minorEastAsia" w:hAnsiTheme="minorHAnsi" w:cstheme="minorBidi"/>
          <w:szCs w:val="22"/>
        </w:rPr>
      </w:pPr>
      <w:r>
        <w:t>7</w:t>
      </w:r>
      <w:r w:rsidRPr="00AA3DF9">
        <w:rPr>
          <w:snapToGrid w:val="0"/>
        </w:rPr>
        <w:t>.</w:t>
      </w:r>
      <w:r w:rsidRPr="00AA3DF9">
        <w:rPr>
          <w:snapToGrid w:val="0"/>
        </w:rPr>
        <w:tab/>
        <w:t>Representative defendant</w:t>
      </w:r>
      <w:r>
        <w:tab/>
      </w:r>
      <w:r>
        <w:fldChar w:fldCharType="begin"/>
      </w:r>
      <w:r>
        <w:instrText xml:space="preserve"> PAGEREF _Toc75863780 \h </w:instrText>
      </w:r>
      <w:r>
        <w:fldChar w:fldCharType="separate"/>
      </w:r>
      <w:r w:rsidR="00FC1D84">
        <w:t>521</w:t>
      </w:r>
      <w:r>
        <w:fldChar w:fldCharType="end"/>
      </w:r>
    </w:p>
    <w:p w:rsidR="006169FD" w:rsidRDefault="006169FD">
      <w:pPr>
        <w:pStyle w:val="TOC8"/>
        <w:rPr>
          <w:rFonts w:asciiTheme="minorHAnsi" w:eastAsiaTheme="minorEastAsia" w:hAnsiTheme="minorHAnsi" w:cstheme="minorBidi"/>
          <w:szCs w:val="22"/>
        </w:rPr>
      </w:pPr>
      <w:r>
        <w:t>8</w:t>
      </w:r>
      <w:r w:rsidRPr="00AA3DF9">
        <w:rPr>
          <w:snapToGrid w:val="0"/>
        </w:rPr>
        <w:t>.</w:t>
      </w:r>
      <w:r w:rsidRPr="00AA3DF9">
        <w:rPr>
          <w:snapToGrid w:val="0"/>
        </w:rPr>
        <w:tab/>
        <w:t>Probate etc. to be lodged at Registry if judgment for plaintiff</w:t>
      </w:r>
      <w:r>
        <w:tab/>
      </w:r>
      <w:r>
        <w:fldChar w:fldCharType="begin"/>
      </w:r>
      <w:r>
        <w:instrText xml:space="preserve"> PAGEREF _Toc75863781 \h </w:instrText>
      </w:r>
      <w:r>
        <w:fldChar w:fldCharType="separate"/>
      </w:r>
      <w:r w:rsidR="00FC1D84">
        <w:t>521</w:t>
      </w:r>
      <w:r>
        <w:fldChar w:fldCharType="end"/>
      </w:r>
    </w:p>
    <w:p w:rsidR="006169FD" w:rsidRDefault="006169FD">
      <w:pPr>
        <w:pStyle w:val="TOC8"/>
        <w:rPr>
          <w:rFonts w:asciiTheme="minorHAnsi" w:eastAsiaTheme="minorEastAsia" w:hAnsiTheme="minorHAnsi" w:cstheme="minorBidi"/>
          <w:szCs w:val="22"/>
        </w:rPr>
      </w:pPr>
      <w:r>
        <w:t>9</w:t>
      </w:r>
      <w:r w:rsidRPr="00AA3DF9">
        <w:rPr>
          <w:snapToGrid w:val="0"/>
        </w:rPr>
        <w:t>.</w:t>
      </w:r>
      <w:r w:rsidRPr="00AA3DF9">
        <w:rPr>
          <w:snapToGrid w:val="0"/>
        </w:rPr>
        <w:tab/>
        <w:t>Appearance to originating summons for extension of time not required</w:t>
      </w:r>
      <w:r>
        <w:tab/>
      </w:r>
      <w:r>
        <w:fldChar w:fldCharType="begin"/>
      </w:r>
      <w:r>
        <w:instrText xml:space="preserve"> PAGEREF _Toc75863782 \h </w:instrText>
      </w:r>
      <w:r>
        <w:fldChar w:fldCharType="separate"/>
      </w:r>
      <w:r w:rsidR="00FC1D84">
        <w:t>522</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75A</w:t>
      </w:r>
      <w:r w:rsidRPr="00AA3DF9">
        <w:rPr>
          <w:b w:val="0"/>
        </w:rPr>
        <w:t> </w:t>
      </w:r>
      <w:r>
        <w:t>—</w:t>
      </w:r>
      <w:r w:rsidRPr="00AA3DF9">
        <w:rPr>
          <w:b w:val="0"/>
        </w:rPr>
        <w:t> </w:t>
      </w:r>
      <w:r w:rsidRPr="00AA3DF9">
        <w:rPr>
          <w:i/>
          <w:iCs/>
        </w:rPr>
        <w:t xml:space="preserve">Legal Profession Act 2008 </w:t>
      </w:r>
      <w:r>
        <w:t>rules</w:t>
      </w:r>
    </w:p>
    <w:p w:rsidR="006169FD" w:rsidRDefault="006169FD">
      <w:pPr>
        <w:pStyle w:val="TOC8"/>
        <w:rPr>
          <w:rFonts w:asciiTheme="minorHAnsi" w:eastAsiaTheme="minorEastAsia" w:hAnsiTheme="minorHAnsi" w:cstheme="minorBidi"/>
          <w:szCs w:val="22"/>
        </w:rPr>
      </w:pPr>
      <w:r>
        <w:t>1</w:t>
      </w:r>
      <w:r w:rsidRPr="00AA3DF9">
        <w:rPr>
          <w:snapToGrid w:val="0"/>
        </w:rPr>
        <w:t>.</w:t>
      </w:r>
      <w:r w:rsidRPr="00AA3DF9">
        <w:rPr>
          <w:snapToGrid w:val="0"/>
        </w:rPr>
        <w:tab/>
        <w:t>Terms used</w:t>
      </w:r>
      <w:r>
        <w:tab/>
      </w:r>
      <w:r>
        <w:fldChar w:fldCharType="begin"/>
      </w:r>
      <w:r>
        <w:instrText xml:space="preserve"> PAGEREF _Toc75863784 \h </w:instrText>
      </w:r>
      <w:r>
        <w:fldChar w:fldCharType="separate"/>
      </w:r>
      <w:r w:rsidR="00FC1D84">
        <w:t>523</w:t>
      </w:r>
      <w:r>
        <w:fldChar w:fldCharType="end"/>
      </w:r>
    </w:p>
    <w:p w:rsidR="006169FD" w:rsidRDefault="006169FD">
      <w:pPr>
        <w:pStyle w:val="TOC8"/>
        <w:rPr>
          <w:rFonts w:asciiTheme="minorHAnsi" w:eastAsiaTheme="minorEastAsia" w:hAnsiTheme="minorHAnsi" w:cstheme="minorBidi"/>
          <w:szCs w:val="22"/>
        </w:rPr>
      </w:pPr>
      <w:r>
        <w:t>2.</w:t>
      </w:r>
      <w:r>
        <w:tab/>
        <w:t>Application for admission</w:t>
      </w:r>
      <w:r>
        <w:tab/>
      </w:r>
      <w:r>
        <w:fldChar w:fldCharType="begin"/>
      </w:r>
      <w:r>
        <w:instrText xml:space="preserve"> PAGEREF _Toc75863785 \h </w:instrText>
      </w:r>
      <w:r>
        <w:fldChar w:fldCharType="separate"/>
      </w:r>
      <w:r w:rsidR="00FC1D84">
        <w:t>523</w:t>
      </w:r>
      <w:r>
        <w:fldChar w:fldCharType="end"/>
      </w:r>
    </w:p>
    <w:p w:rsidR="006169FD" w:rsidRDefault="006169FD">
      <w:pPr>
        <w:pStyle w:val="TOC8"/>
        <w:rPr>
          <w:rFonts w:asciiTheme="minorHAnsi" w:eastAsiaTheme="minorEastAsia" w:hAnsiTheme="minorHAnsi" w:cstheme="minorBidi"/>
          <w:szCs w:val="22"/>
        </w:rPr>
      </w:pPr>
      <w:r>
        <w:t>3.</w:t>
      </w:r>
      <w:r>
        <w:tab/>
        <w:t>Attendance at hearing of application for admission</w:t>
      </w:r>
      <w:r>
        <w:tab/>
      </w:r>
      <w:r>
        <w:fldChar w:fldCharType="begin"/>
      </w:r>
      <w:r>
        <w:instrText xml:space="preserve"> PAGEREF _Toc75863786 \h </w:instrText>
      </w:r>
      <w:r>
        <w:fldChar w:fldCharType="separate"/>
      </w:r>
      <w:r w:rsidR="00FC1D84">
        <w:t>523</w:t>
      </w:r>
      <w:r>
        <w:fldChar w:fldCharType="end"/>
      </w:r>
    </w:p>
    <w:p w:rsidR="006169FD" w:rsidRDefault="006169FD">
      <w:pPr>
        <w:pStyle w:val="TOC8"/>
        <w:rPr>
          <w:rFonts w:asciiTheme="minorHAnsi" w:eastAsiaTheme="minorEastAsia" w:hAnsiTheme="minorHAnsi" w:cstheme="minorBidi"/>
          <w:szCs w:val="22"/>
        </w:rPr>
      </w:pPr>
      <w:r>
        <w:t>4.</w:t>
      </w:r>
      <w:r>
        <w:tab/>
        <w:t>Oath or affirmation</w:t>
      </w:r>
      <w:r>
        <w:tab/>
      </w:r>
      <w:r>
        <w:fldChar w:fldCharType="begin"/>
      </w:r>
      <w:r>
        <w:instrText xml:space="preserve"> PAGEREF _Toc75863787 \h </w:instrText>
      </w:r>
      <w:r>
        <w:fldChar w:fldCharType="separate"/>
      </w:r>
      <w:r w:rsidR="00FC1D84">
        <w:t>524</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76</w:t>
      </w:r>
      <w:r w:rsidRPr="00AA3DF9">
        <w:rPr>
          <w:b w:val="0"/>
        </w:rPr>
        <w:t> </w:t>
      </w:r>
      <w:r>
        <w:t>—</w:t>
      </w:r>
      <w:r w:rsidRPr="00AA3DF9">
        <w:rPr>
          <w:b w:val="0"/>
        </w:rPr>
        <w:t> </w:t>
      </w:r>
      <w:r w:rsidRPr="00AA3DF9">
        <w:rPr>
          <w:i/>
        </w:rPr>
        <w:t>Public Notaries Act 1979</w:t>
      </w:r>
      <w:r>
        <w:t xml:space="preserve"> rules</w:t>
      </w:r>
    </w:p>
    <w:p w:rsidR="006169FD" w:rsidRDefault="006169FD">
      <w:pPr>
        <w:pStyle w:val="TOC8"/>
        <w:rPr>
          <w:rFonts w:asciiTheme="minorHAnsi" w:eastAsiaTheme="minorEastAsia" w:hAnsiTheme="minorHAnsi" w:cstheme="minorBidi"/>
          <w:szCs w:val="22"/>
        </w:rPr>
      </w:pPr>
      <w:r>
        <w:t>1</w:t>
      </w:r>
      <w:r w:rsidRPr="00AA3DF9">
        <w:rPr>
          <w:snapToGrid w:val="0"/>
        </w:rPr>
        <w:t>.</w:t>
      </w:r>
      <w:r w:rsidRPr="00AA3DF9">
        <w:rPr>
          <w:snapToGrid w:val="0"/>
        </w:rPr>
        <w:tab/>
        <w:t>Terms used</w:t>
      </w:r>
      <w:r>
        <w:tab/>
      </w:r>
      <w:r>
        <w:fldChar w:fldCharType="begin"/>
      </w:r>
      <w:r>
        <w:instrText xml:space="preserve"> PAGEREF _Toc75863789 \h </w:instrText>
      </w:r>
      <w:r>
        <w:fldChar w:fldCharType="separate"/>
      </w:r>
      <w:r w:rsidR="00FC1D84">
        <w:t>525</w:t>
      </w:r>
      <w:r>
        <w:fldChar w:fldCharType="end"/>
      </w:r>
    </w:p>
    <w:p w:rsidR="006169FD" w:rsidRDefault="006169FD">
      <w:pPr>
        <w:pStyle w:val="TOC8"/>
        <w:rPr>
          <w:rFonts w:asciiTheme="minorHAnsi" w:eastAsiaTheme="minorEastAsia" w:hAnsiTheme="minorHAnsi" w:cstheme="minorBidi"/>
          <w:szCs w:val="22"/>
        </w:rPr>
      </w:pPr>
      <w:r>
        <w:t>1A.</w:t>
      </w:r>
      <w:r>
        <w:tab/>
        <w:t>Districts prescribed for Act</w:t>
      </w:r>
      <w:r>
        <w:tab/>
      </w:r>
      <w:r>
        <w:fldChar w:fldCharType="begin"/>
      </w:r>
      <w:r>
        <w:instrText xml:space="preserve"> PAGEREF _Toc75863790 \h </w:instrText>
      </w:r>
      <w:r>
        <w:fldChar w:fldCharType="separate"/>
      </w:r>
      <w:r w:rsidR="00FC1D84">
        <w:t>525</w:t>
      </w:r>
      <w:r>
        <w:fldChar w:fldCharType="end"/>
      </w:r>
    </w:p>
    <w:p w:rsidR="006169FD" w:rsidRDefault="006169FD">
      <w:pPr>
        <w:pStyle w:val="TOC8"/>
        <w:rPr>
          <w:rFonts w:asciiTheme="minorHAnsi" w:eastAsiaTheme="minorEastAsia" w:hAnsiTheme="minorHAnsi" w:cstheme="minorBidi"/>
          <w:szCs w:val="22"/>
        </w:rPr>
      </w:pPr>
      <w:r>
        <w:t>2</w:t>
      </w:r>
      <w:r w:rsidRPr="00AA3DF9">
        <w:rPr>
          <w:snapToGrid w:val="0"/>
        </w:rPr>
        <w:t>.</w:t>
      </w:r>
      <w:r w:rsidRPr="00AA3DF9">
        <w:rPr>
          <w:snapToGrid w:val="0"/>
        </w:rPr>
        <w:tab/>
        <w:t>Application for certificate of fitness (Act s. 8)</w:t>
      </w:r>
      <w:r>
        <w:tab/>
      </w:r>
      <w:r>
        <w:fldChar w:fldCharType="begin"/>
      </w:r>
      <w:r>
        <w:instrText xml:space="preserve"> PAGEREF _Toc75863791 \h </w:instrText>
      </w:r>
      <w:r>
        <w:fldChar w:fldCharType="separate"/>
      </w:r>
      <w:r w:rsidR="00FC1D84">
        <w:t>527</w:t>
      </w:r>
      <w:r>
        <w:fldChar w:fldCharType="end"/>
      </w:r>
    </w:p>
    <w:p w:rsidR="006169FD" w:rsidRDefault="006169FD">
      <w:pPr>
        <w:pStyle w:val="TOC8"/>
        <w:rPr>
          <w:rFonts w:asciiTheme="minorHAnsi" w:eastAsiaTheme="minorEastAsia" w:hAnsiTheme="minorHAnsi" w:cstheme="minorBidi"/>
          <w:szCs w:val="22"/>
        </w:rPr>
      </w:pPr>
      <w:r>
        <w:t>3</w:t>
      </w:r>
      <w:r w:rsidRPr="00AA3DF9">
        <w:rPr>
          <w:snapToGrid w:val="0"/>
        </w:rPr>
        <w:t>.</w:t>
      </w:r>
      <w:r w:rsidRPr="00AA3DF9">
        <w:rPr>
          <w:snapToGrid w:val="0"/>
        </w:rPr>
        <w:tab/>
        <w:t>Notice of intention to apply to be appointed Public Notary (Act s. 9)</w:t>
      </w:r>
      <w:r>
        <w:tab/>
      </w:r>
      <w:r>
        <w:fldChar w:fldCharType="begin"/>
      </w:r>
      <w:r>
        <w:instrText xml:space="preserve"> PAGEREF _Toc75863792 \h </w:instrText>
      </w:r>
      <w:r>
        <w:fldChar w:fldCharType="separate"/>
      </w:r>
      <w:r w:rsidR="00FC1D84">
        <w:t>528</w:t>
      </w:r>
      <w:r>
        <w:fldChar w:fldCharType="end"/>
      </w:r>
    </w:p>
    <w:p w:rsidR="006169FD" w:rsidRDefault="006169FD">
      <w:pPr>
        <w:pStyle w:val="TOC8"/>
        <w:rPr>
          <w:rFonts w:asciiTheme="minorHAnsi" w:eastAsiaTheme="minorEastAsia" w:hAnsiTheme="minorHAnsi" w:cstheme="minorBidi"/>
          <w:szCs w:val="22"/>
        </w:rPr>
      </w:pPr>
      <w:r>
        <w:t>4</w:t>
      </w:r>
      <w:r w:rsidRPr="00AA3DF9">
        <w:rPr>
          <w:snapToGrid w:val="0"/>
        </w:rPr>
        <w:t>.</w:t>
      </w:r>
      <w:r w:rsidRPr="00AA3DF9">
        <w:rPr>
          <w:snapToGrid w:val="0"/>
        </w:rPr>
        <w:tab/>
        <w:t>Application to be appointed Public Notary</w:t>
      </w:r>
      <w:r>
        <w:tab/>
      </w:r>
      <w:r>
        <w:fldChar w:fldCharType="begin"/>
      </w:r>
      <w:r>
        <w:instrText xml:space="preserve"> PAGEREF _Toc75863793 \h </w:instrText>
      </w:r>
      <w:r>
        <w:fldChar w:fldCharType="separate"/>
      </w:r>
      <w:r w:rsidR="00FC1D84">
        <w:t>529</w:t>
      </w:r>
      <w:r>
        <w:fldChar w:fldCharType="end"/>
      </w:r>
    </w:p>
    <w:p w:rsidR="006169FD" w:rsidRDefault="006169FD">
      <w:pPr>
        <w:pStyle w:val="TOC8"/>
        <w:rPr>
          <w:rFonts w:asciiTheme="minorHAnsi" w:eastAsiaTheme="minorEastAsia" w:hAnsiTheme="minorHAnsi" w:cstheme="minorBidi"/>
          <w:szCs w:val="22"/>
        </w:rPr>
      </w:pPr>
      <w:r>
        <w:t>5</w:t>
      </w:r>
      <w:r w:rsidRPr="00AA3DF9">
        <w:rPr>
          <w:snapToGrid w:val="0"/>
        </w:rPr>
        <w:t>.</w:t>
      </w:r>
      <w:r w:rsidRPr="00AA3DF9">
        <w:rPr>
          <w:snapToGrid w:val="0"/>
        </w:rPr>
        <w:tab/>
        <w:t>Certificates of appointment, form of</w:t>
      </w:r>
      <w:r>
        <w:tab/>
      </w:r>
      <w:r>
        <w:fldChar w:fldCharType="begin"/>
      </w:r>
      <w:r>
        <w:instrText xml:space="preserve"> PAGEREF _Toc75863794 \h </w:instrText>
      </w:r>
      <w:r>
        <w:fldChar w:fldCharType="separate"/>
      </w:r>
      <w:r w:rsidR="00FC1D84">
        <w:t>529</w:t>
      </w:r>
      <w:r>
        <w:fldChar w:fldCharType="end"/>
      </w:r>
    </w:p>
    <w:p w:rsidR="006169FD" w:rsidRDefault="006169FD">
      <w:pPr>
        <w:pStyle w:val="TOC8"/>
        <w:rPr>
          <w:rFonts w:asciiTheme="minorHAnsi" w:eastAsiaTheme="minorEastAsia" w:hAnsiTheme="minorHAnsi" w:cstheme="minorBidi"/>
          <w:szCs w:val="22"/>
        </w:rPr>
      </w:pPr>
      <w:r>
        <w:t>6</w:t>
      </w:r>
      <w:r w:rsidRPr="00AA3DF9">
        <w:rPr>
          <w:snapToGrid w:val="0"/>
        </w:rPr>
        <w:t>.</w:t>
      </w:r>
      <w:r w:rsidRPr="00AA3DF9">
        <w:rPr>
          <w:snapToGrid w:val="0"/>
        </w:rPr>
        <w:tab/>
        <w:t>Applications to suspend or strike off Public Notaries</w:t>
      </w:r>
      <w:r>
        <w:tab/>
      </w:r>
      <w:r>
        <w:fldChar w:fldCharType="begin"/>
      </w:r>
      <w:r>
        <w:instrText xml:space="preserve"> PAGEREF _Toc75863795 \h </w:instrText>
      </w:r>
      <w:r>
        <w:fldChar w:fldCharType="separate"/>
      </w:r>
      <w:r w:rsidR="00FC1D84">
        <w:t>530</w:t>
      </w:r>
      <w:r>
        <w:fldChar w:fldCharType="end"/>
      </w:r>
    </w:p>
    <w:p w:rsidR="006169FD" w:rsidRDefault="006169FD">
      <w:pPr>
        <w:pStyle w:val="TOC8"/>
        <w:rPr>
          <w:rFonts w:asciiTheme="minorHAnsi" w:eastAsiaTheme="minorEastAsia" w:hAnsiTheme="minorHAnsi" w:cstheme="minorBidi"/>
          <w:szCs w:val="22"/>
        </w:rPr>
      </w:pPr>
      <w:r>
        <w:t>7</w:t>
      </w:r>
      <w:r w:rsidRPr="00AA3DF9">
        <w:rPr>
          <w:snapToGrid w:val="0"/>
        </w:rPr>
        <w:t>.</w:t>
      </w:r>
      <w:r w:rsidRPr="00AA3DF9">
        <w:rPr>
          <w:snapToGrid w:val="0"/>
        </w:rPr>
        <w:tab/>
        <w:t>Fees payable on application for appointment</w:t>
      </w:r>
      <w:r>
        <w:tab/>
      </w:r>
      <w:r>
        <w:fldChar w:fldCharType="begin"/>
      </w:r>
      <w:r>
        <w:instrText xml:space="preserve"> PAGEREF _Toc75863796 \h </w:instrText>
      </w:r>
      <w:r>
        <w:fldChar w:fldCharType="separate"/>
      </w:r>
      <w:r w:rsidR="00FC1D84">
        <w:t>530</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80</w:t>
      </w:r>
      <w:r w:rsidRPr="00AA3DF9">
        <w:rPr>
          <w:b w:val="0"/>
        </w:rPr>
        <w:t> </w:t>
      </w:r>
      <w:r>
        <w:t>—</w:t>
      </w:r>
      <w:r w:rsidRPr="00AA3DF9">
        <w:rPr>
          <w:b w:val="0"/>
        </w:rPr>
        <w:t> </w:t>
      </w:r>
      <w:r w:rsidRPr="00AA3DF9">
        <w:rPr>
          <w:i/>
          <w:iCs/>
        </w:rPr>
        <w:t>Escheat (Procedure) Act 1940</w:t>
      </w:r>
      <w:r>
        <w:t xml:space="preserve"> rules</w:t>
      </w:r>
    </w:p>
    <w:p w:rsidR="006169FD" w:rsidRDefault="006169FD">
      <w:pPr>
        <w:pStyle w:val="TOC8"/>
        <w:rPr>
          <w:rFonts w:asciiTheme="minorHAnsi" w:eastAsiaTheme="minorEastAsia" w:hAnsiTheme="minorHAnsi" w:cstheme="minorBidi"/>
          <w:szCs w:val="22"/>
        </w:rPr>
      </w:pPr>
      <w:r>
        <w:t>1</w:t>
      </w:r>
      <w:r w:rsidRPr="00AA3DF9">
        <w:rPr>
          <w:snapToGrid w:val="0"/>
        </w:rPr>
        <w:t>.</w:t>
      </w:r>
      <w:r w:rsidRPr="00AA3DF9">
        <w:rPr>
          <w:snapToGrid w:val="0"/>
        </w:rPr>
        <w:tab/>
        <w:t>Term used: said Act</w:t>
      </w:r>
      <w:r>
        <w:tab/>
      </w:r>
      <w:r>
        <w:fldChar w:fldCharType="begin"/>
      </w:r>
      <w:r>
        <w:instrText xml:space="preserve"> PAGEREF _Toc75863798 \h </w:instrText>
      </w:r>
      <w:r>
        <w:fldChar w:fldCharType="separate"/>
      </w:r>
      <w:r w:rsidR="00FC1D84">
        <w:t>531</w:t>
      </w:r>
      <w:r>
        <w:fldChar w:fldCharType="end"/>
      </w:r>
    </w:p>
    <w:p w:rsidR="006169FD" w:rsidRDefault="006169FD">
      <w:pPr>
        <w:pStyle w:val="TOC8"/>
        <w:rPr>
          <w:rFonts w:asciiTheme="minorHAnsi" w:eastAsiaTheme="minorEastAsia" w:hAnsiTheme="minorHAnsi" w:cstheme="minorBidi"/>
          <w:szCs w:val="22"/>
        </w:rPr>
      </w:pPr>
      <w:r>
        <w:t>2</w:t>
      </w:r>
      <w:r w:rsidRPr="00AA3DF9">
        <w:rPr>
          <w:snapToGrid w:val="0"/>
        </w:rPr>
        <w:t>.</w:t>
      </w:r>
      <w:r w:rsidRPr="00AA3DF9">
        <w:rPr>
          <w:snapToGrid w:val="0"/>
        </w:rPr>
        <w:tab/>
        <w:t>Applications for Order of Escheat, making</w:t>
      </w:r>
      <w:r>
        <w:tab/>
      </w:r>
      <w:r>
        <w:fldChar w:fldCharType="begin"/>
      </w:r>
      <w:r>
        <w:instrText xml:space="preserve"> PAGEREF _Toc75863799 \h </w:instrText>
      </w:r>
      <w:r>
        <w:fldChar w:fldCharType="separate"/>
      </w:r>
      <w:r w:rsidR="00FC1D84">
        <w:t>531</w:t>
      </w:r>
      <w:r>
        <w:fldChar w:fldCharType="end"/>
      </w:r>
    </w:p>
    <w:p w:rsidR="006169FD" w:rsidRDefault="006169FD">
      <w:pPr>
        <w:pStyle w:val="TOC8"/>
        <w:rPr>
          <w:rFonts w:asciiTheme="minorHAnsi" w:eastAsiaTheme="minorEastAsia" w:hAnsiTheme="minorHAnsi" w:cstheme="minorBidi"/>
          <w:szCs w:val="22"/>
        </w:rPr>
      </w:pPr>
      <w:r>
        <w:lastRenderedPageBreak/>
        <w:t>3</w:t>
      </w:r>
      <w:r w:rsidRPr="00AA3DF9">
        <w:rPr>
          <w:snapToGrid w:val="0"/>
        </w:rPr>
        <w:t>.</w:t>
      </w:r>
      <w:r w:rsidRPr="00AA3DF9">
        <w:rPr>
          <w:snapToGrid w:val="0"/>
        </w:rPr>
        <w:tab/>
        <w:t>Notice of applications, form of</w:t>
      </w:r>
      <w:r>
        <w:tab/>
      </w:r>
      <w:r>
        <w:fldChar w:fldCharType="begin"/>
      </w:r>
      <w:r>
        <w:instrText xml:space="preserve"> PAGEREF _Toc75863800 \h </w:instrText>
      </w:r>
      <w:r>
        <w:fldChar w:fldCharType="separate"/>
      </w:r>
      <w:r w:rsidR="00FC1D84">
        <w:t>531</w:t>
      </w:r>
      <w:r>
        <w:fldChar w:fldCharType="end"/>
      </w:r>
    </w:p>
    <w:p w:rsidR="006169FD" w:rsidRDefault="006169FD">
      <w:pPr>
        <w:pStyle w:val="TOC8"/>
        <w:rPr>
          <w:rFonts w:asciiTheme="minorHAnsi" w:eastAsiaTheme="minorEastAsia" w:hAnsiTheme="minorHAnsi" w:cstheme="minorBidi"/>
          <w:szCs w:val="22"/>
        </w:rPr>
      </w:pPr>
      <w:r>
        <w:t>4</w:t>
      </w:r>
      <w:r w:rsidRPr="00AA3DF9">
        <w:rPr>
          <w:snapToGrid w:val="0"/>
        </w:rPr>
        <w:t>.</w:t>
      </w:r>
      <w:r w:rsidRPr="00AA3DF9">
        <w:rPr>
          <w:snapToGrid w:val="0"/>
        </w:rPr>
        <w:tab/>
        <w:t>Evidence; judge may direct inquiry</w:t>
      </w:r>
      <w:r>
        <w:tab/>
      </w:r>
      <w:r>
        <w:fldChar w:fldCharType="begin"/>
      </w:r>
      <w:r>
        <w:instrText xml:space="preserve"> PAGEREF _Toc75863801 \h </w:instrText>
      </w:r>
      <w:r>
        <w:fldChar w:fldCharType="separate"/>
      </w:r>
      <w:r w:rsidR="00FC1D84">
        <w:t>531</w:t>
      </w:r>
      <w:r>
        <w:fldChar w:fldCharType="end"/>
      </w:r>
    </w:p>
    <w:p w:rsidR="006169FD" w:rsidRDefault="006169FD">
      <w:pPr>
        <w:pStyle w:val="TOC8"/>
        <w:rPr>
          <w:rFonts w:asciiTheme="minorHAnsi" w:eastAsiaTheme="minorEastAsia" w:hAnsiTheme="minorHAnsi" w:cstheme="minorBidi"/>
          <w:szCs w:val="22"/>
        </w:rPr>
      </w:pPr>
      <w:r>
        <w:t>5</w:t>
      </w:r>
      <w:r w:rsidRPr="00AA3DF9">
        <w:rPr>
          <w:snapToGrid w:val="0"/>
        </w:rPr>
        <w:t>.</w:t>
      </w:r>
      <w:r w:rsidRPr="00AA3DF9">
        <w:rPr>
          <w:snapToGrid w:val="0"/>
        </w:rPr>
        <w:tab/>
        <w:t>Claimants to file affidavit verifying claim and may be heard</w:t>
      </w:r>
      <w:r>
        <w:tab/>
      </w:r>
      <w:r>
        <w:fldChar w:fldCharType="begin"/>
      </w:r>
      <w:r>
        <w:instrText xml:space="preserve"> PAGEREF _Toc75863802 \h </w:instrText>
      </w:r>
      <w:r>
        <w:fldChar w:fldCharType="separate"/>
      </w:r>
      <w:r w:rsidR="00FC1D84">
        <w:t>532</w:t>
      </w:r>
      <w:r>
        <w:fldChar w:fldCharType="end"/>
      </w:r>
    </w:p>
    <w:p w:rsidR="006169FD" w:rsidRDefault="006169FD">
      <w:pPr>
        <w:pStyle w:val="TOC8"/>
        <w:rPr>
          <w:rFonts w:asciiTheme="minorHAnsi" w:eastAsiaTheme="minorEastAsia" w:hAnsiTheme="minorHAnsi" w:cstheme="minorBidi"/>
          <w:szCs w:val="22"/>
        </w:rPr>
      </w:pPr>
      <w:r>
        <w:t>6</w:t>
      </w:r>
      <w:r w:rsidRPr="00AA3DF9">
        <w:rPr>
          <w:snapToGrid w:val="0"/>
        </w:rPr>
        <w:t>.</w:t>
      </w:r>
      <w:r w:rsidRPr="00AA3DF9">
        <w:rPr>
          <w:snapToGrid w:val="0"/>
        </w:rPr>
        <w:tab/>
        <w:t>Judge may order issue to be tried</w:t>
      </w:r>
      <w:r>
        <w:tab/>
      </w:r>
      <w:r>
        <w:fldChar w:fldCharType="begin"/>
      </w:r>
      <w:r>
        <w:instrText xml:space="preserve"> PAGEREF _Toc75863803 \h </w:instrText>
      </w:r>
      <w:r>
        <w:fldChar w:fldCharType="separate"/>
      </w:r>
      <w:r w:rsidR="00FC1D84">
        <w:t>532</w:t>
      </w:r>
      <w:r>
        <w:fldChar w:fldCharType="end"/>
      </w:r>
    </w:p>
    <w:p w:rsidR="006169FD" w:rsidRDefault="006169FD">
      <w:pPr>
        <w:pStyle w:val="TOC8"/>
        <w:rPr>
          <w:rFonts w:asciiTheme="minorHAnsi" w:eastAsiaTheme="minorEastAsia" w:hAnsiTheme="minorHAnsi" w:cstheme="minorBidi"/>
          <w:szCs w:val="22"/>
        </w:rPr>
      </w:pPr>
      <w:r>
        <w:t>7</w:t>
      </w:r>
      <w:r w:rsidRPr="00AA3DF9">
        <w:rPr>
          <w:snapToGrid w:val="0"/>
        </w:rPr>
        <w:t>.</w:t>
      </w:r>
      <w:r w:rsidRPr="00AA3DF9">
        <w:rPr>
          <w:snapToGrid w:val="0"/>
        </w:rPr>
        <w:tab/>
        <w:t>Order of Escheat, form of</w:t>
      </w:r>
      <w:r>
        <w:tab/>
      </w:r>
      <w:r>
        <w:fldChar w:fldCharType="begin"/>
      </w:r>
      <w:r>
        <w:instrText xml:space="preserve"> PAGEREF _Toc75863804 \h </w:instrText>
      </w:r>
      <w:r>
        <w:fldChar w:fldCharType="separate"/>
      </w:r>
      <w:r w:rsidR="00FC1D84">
        <w:t>532</w:t>
      </w:r>
      <w:r>
        <w:fldChar w:fldCharType="end"/>
      </w:r>
    </w:p>
    <w:p w:rsidR="006169FD" w:rsidRDefault="006169FD">
      <w:pPr>
        <w:pStyle w:val="TOC8"/>
        <w:rPr>
          <w:rFonts w:asciiTheme="minorHAnsi" w:eastAsiaTheme="minorEastAsia" w:hAnsiTheme="minorHAnsi" w:cstheme="minorBidi"/>
          <w:szCs w:val="22"/>
        </w:rPr>
      </w:pPr>
      <w:r>
        <w:t>8</w:t>
      </w:r>
      <w:r w:rsidRPr="00AA3DF9">
        <w:rPr>
          <w:snapToGrid w:val="0"/>
        </w:rPr>
        <w:t>.</w:t>
      </w:r>
      <w:r w:rsidRPr="00AA3DF9">
        <w:rPr>
          <w:snapToGrid w:val="0"/>
        </w:rPr>
        <w:tab/>
        <w:t>Costs</w:t>
      </w:r>
      <w:r>
        <w:tab/>
      </w:r>
      <w:r>
        <w:fldChar w:fldCharType="begin"/>
      </w:r>
      <w:r>
        <w:instrText xml:space="preserve"> PAGEREF _Toc75863805 \h </w:instrText>
      </w:r>
      <w:r>
        <w:fldChar w:fldCharType="separate"/>
      </w:r>
      <w:r w:rsidR="00FC1D84">
        <w:t>532</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80A</w:t>
      </w:r>
      <w:r w:rsidRPr="00AA3DF9">
        <w:rPr>
          <w:b w:val="0"/>
        </w:rPr>
        <w:t> </w:t>
      </w:r>
      <w:r>
        <w:t>—</w:t>
      </w:r>
      <w:r w:rsidRPr="00AA3DF9">
        <w:rPr>
          <w:b w:val="0"/>
        </w:rPr>
        <w:t> </w:t>
      </w:r>
      <w:r w:rsidRPr="00AA3DF9">
        <w:rPr>
          <w:i/>
          <w:iCs/>
        </w:rPr>
        <w:t>Royal Commission (Custody of Records) Act 1992</w:t>
      </w:r>
      <w:r>
        <w:t xml:space="preserve"> rules</w:t>
      </w:r>
    </w:p>
    <w:p w:rsidR="006169FD" w:rsidRDefault="006169FD">
      <w:pPr>
        <w:pStyle w:val="TOC8"/>
        <w:rPr>
          <w:rFonts w:asciiTheme="minorHAnsi" w:eastAsiaTheme="minorEastAsia" w:hAnsiTheme="minorHAnsi" w:cstheme="minorBidi"/>
          <w:szCs w:val="22"/>
        </w:rPr>
      </w:pPr>
      <w:r>
        <w:t>1</w:t>
      </w:r>
      <w:r w:rsidRPr="00AA3DF9">
        <w:rPr>
          <w:snapToGrid w:val="0"/>
        </w:rPr>
        <w:t>.</w:t>
      </w:r>
      <w:r w:rsidRPr="00AA3DF9">
        <w:rPr>
          <w:snapToGrid w:val="0"/>
        </w:rPr>
        <w:tab/>
        <w:t>Terms used</w:t>
      </w:r>
      <w:r>
        <w:tab/>
      </w:r>
      <w:r>
        <w:fldChar w:fldCharType="begin"/>
      </w:r>
      <w:r>
        <w:instrText xml:space="preserve"> PAGEREF _Toc75863807 \h </w:instrText>
      </w:r>
      <w:r>
        <w:fldChar w:fldCharType="separate"/>
      </w:r>
      <w:r w:rsidR="00FC1D84">
        <w:t>533</w:t>
      </w:r>
      <w:r>
        <w:fldChar w:fldCharType="end"/>
      </w:r>
    </w:p>
    <w:p w:rsidR="006169FD" w:rsidRDefault="006169FD">
      <w:pPr>
        <w:pStyle w:val="TOC8"/>
        <w:rPr>
          <w:rFonts w:asciiTheme="minorHAnsi" w:eastAsiaTheme="minorEastAsia" w:hAnsiTheme="minorHAnsi" w:cstheme="minorBidi"/>
          <w:szCs w:val="22"/>
        </w:rPr>
      </w:pPr>
      <w:r>
        <w:t>2</w:t>
      </w:r>
      <w:r w:rsidRPr="00AA3DF9">
        <w:rPr>
          <w:snapToGrid w:val="0"/>
        </w:rPr>
        <w:t>.</w:t>
      </w:r>
      <w:r w:rsidRPr="00AA3DF9">
        <w:rPr>
          <w:snapToGrid w:val="0"/>
        </w:rPr>
        <w:tab/>
        <w:t>Applications for leave to have access (Act s. 14)</w:t>
      </w:r>
      <w:r>
        <w:tab/>
      </w:r>
      <w:r>
        <w:fldChar w:fldCharType="begin"/>
      </w:r>
      <w:r>
        <w:instrText xml:space="preserve"> PAGEREF _Toc75863808 \h </w:instrText>
      </w:r>
      <w:r>
        <w:fldChar w:fldCharType="separate"/>
      </w:r>
      <w:r w:rsidR="00FC1D84">
        <w:t>533</w:t>
      </w:r>
      <w:r>
        <w:fldChar w:fldCharType="end"/>
      </w:r>
    </w:p>
    <w:p w:rsidR="006169FD" w:rsidRDefault="006169FD">
      <w:pPr>
        <w:pStyle w:val="TOC8"/>
        <w:rPr>
          <w:rFonts w:asciiTheme="minorHAnsi" w:eastAsiaTheme="minorEastAsia" w:hAnsiTheme="minorHAnsi" w:cstheme="minorBidi"/>
          <w:szCs w:val="22"/>
        </w:rPr>
      </w:pPr>
      <w:r>
        <w:t>3</w:t>
      </w:r>
      <w:r w:rsidRPr="00AA3DF9">
        <w:rPr>
          <w:snapToGrid w:val="0"/>
        </w:rPr>
        <w:t>.</w:t>
      </w:r>
      <w:r w:rsidRPr="00AA3DF9">
        <w:rPr>
          <w:snapToGrid w:val="0"/>
        </w:rPr>
        <w:tab/>
        <w:t>Order granting leave, form of</w:t>
      </w:r>
      <w:r>
        <w:tab/>
      </w:r>
      <w:r>
        <w:fldChar w:fldCharType="begin"/>
      </w:r>
      <w:r>
        <w:instrText xml:space="preserve"> PAGEREF _Toc75863809 \h </w:instrText>
      </w:r>
      <w:r>
        <w:fldChar w:fldCharType="separate"/>
      </w:r>
      <w:r w:rsidR="00FC1D84">
        <w:t>534</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81B</w:t>
      </w:r>
      <w:r w:rsidRPr="00AA3DF9">
        <w:rPr>
          <w:b w:val="0"/>
        </w:rPr>
        <w:t> </w:t>
      </w:r>
      <w:r>
        <w:t>—</w:t>
      </w:r>
      <w:r w:rsidRPr="00AA3DF9">
        <w:rPr>
          <w:b w:val="0"/>
        </w:rPr>
        <w:t> </w:t>
      </w:r>
      <w:r w:rsidRPr="00AA3DF9">
        <w:rPr>
          <w:i/>
          <w:iCs/>
        </w:rPr>
        <w:t>Service and Execution of Process Act 1992</w:t>
      </w:r>
      <w:r>
        <w:t xml:space="preserve"> (Commonwealth) rules</w:t>
      </w:r>
    </w:p>
    <w:p w:rsidR="006169FD" w:rsidRDefault="006169FD">
      <w:pPr>
        <w:pStyle w:val="TOC8"/>
        <w:rPr>
          <w:rFonts w:asciiTheme="minorHAnsi" w:eastAsiaTheme="minorEastAsia" w:hAnsiTheme="minorHAnsi" w:cstheme="minorBidi"/>
          <w:szCs w:val="22"/>
        </w:rPr>
      </w:pPr>
      <w:r>
        <w:t>1</w:t>
      </w:r>
      <w:r w:rsidRPr="00AA3DF9">
        <w:rPr>
          <w:snapToGrid w:val="0"/>
        </w:rPr>
        <w:t>.</w:t>
      </w:r>
      <w:r w:rsidRPr="00AA3DF9">
        <w:rPr>
          <w:snapToGrid w:val="0"/>
        </w:rPr>
        <w:tab/>
        <w:t>Terms used; how applications to be made</w:t>
      </w:r>
      <w:r>
        <w:tab/>
      </w:r>
      <w:r>
        <w:fldChar w:fldCharType="begin"/>
      </w:r>
      <w:r>
        <w:instrText xml:space="preserve"> PAGEREF _Toc75863811 \h </w:instrText>
      </w:r>
      <w:r>
        <w:fldChar w:fldCharType="separate"/>
      </w:r>
      <w:r w:rsidR="00FC1D84">
        <w:t>535</w:t>
      </w:r>
      <w:r>
        <w:fldChar w:fldCharType="end"/>
      </w:r>
    </w:p>
    <w:p w:rsidR="006169FD" w:rsidRDefault="006169FD">
      <w:pPr>
        <w:pStyle w:val="TOC8"/>
        <w:rPr>
          <w:rFonts w:asciiTheme="minorHAnsi" w:eastAsiaTheme="minorEastAsia" w:hAnsiTheme="minorHAnsi" w:cstheme="minorBidi"/>
          <w:szCs w:val="22"/>
        </w:rPr>
      </w:pPr>
      <w:r>
        <w:t>2</w:t>
      </w:r>
      <w:r w:rsidRPr="00AA3DF9">
        <w:rPr>
          <w:snapToGrid w:val="0"/>
        </w:rPr>
        <w:t>.</w:t>
      </w:r>
      <w:r w:rsidRPr="00AA3DF9">
        <w:rPr>
          <w:snapToGrid w:val="0"/>
        </w:rPr>
        <w:tab/>
        <w:t>Enforcing judgments under Act s. 105, procedure for</w:t>
      </w:r>
      <w:r>
        <w:tab/>
      </w:r>
      <w:r>
        <w:fldChar w:fldCharType="begin"/>
      </w:r>
      <w:r>
        <w:instrText xml:space="preserve"> PAGEREF _Toc75863812 \h </w:instrText>
      </w:r>
      <w:r>
        <w:fldChar w:fldCharType="separate"/>
      </w:r>
      <w:r w:rsidR="00FC1D84">
        <w:t>535</w:t>
      </w:r>
      <w:r>
        <w:fldChar w:fldCharType="end"/>
      </w:r>
    </w:p>
    <w:p w:rsidR="006169FD" w:rsidRDefault="006169FD">
      <w:pPr>
        <w:pStyle w:val="TOC8"/>
        <w:rPr>
          <w:rFonts w:asciiTheme="minorHAnsi" w:eastAsiaTheme="minorEastAsia" w:hAnsiTheme="minorHAnsi" w:cstheme="minorBidi"/>
          <w:szCs w:val="22"/>
        </w:rPr>
      </w:pPr>
      <w:r>
        <w:t>3</w:t>
      </w:r>
      <w:r w:rsidRPr="00AA3DF9">
        <w:rPr>
          <w:snapToGrid w:val="0"/>
        </w:rPr>
        <w:t>.</w:t>
      </w:r>
      <w:r w:rsidRPr="00AA3DF9">
        <w:rPr>
          <w:snapToGrid w:val="0"/>
        </w:rPr>
        <w:tab/>
        <w:t>Claiming interest under Act s. 108, procedure for</w:t>
      </w:r>
      <w:r>
        <w:tab/>
      </w:r>
      <w:r>
        <w:fldChar w:fldCharType="begin"/>
      </w:r>
      <w:r>
        <w:instrText xml:space="preserve"> PAGEREF _Toc75863813 \h </w:instrText>
      </w:r>
      <w:r>
        <w:fldChar w:fldCharType="separate"/>
      </w:r>
      <w:r w:rsidR="00FC1D84">
        <w:t>536</w:t>
      </w:r>
      <w:r>
        <w:fldChar w:fldCharType="end"/>
      </w:r>
    </w:p>
    <w:p w:rsidR="006169FD" w:rsidRDefault="006169FD">
      <w:pPr>
        <w:pStyle w:val="TOC8"/>
        <w:rPr>
          <w:rFonts w:asciiTheme="minorHAnsi" w:eastAsiaTheme="minorEastAsia" w:hAnsiTheme="minorHAnsi" w:cstheme="minorBidi"/>
          <w:szCs w:val="22"/>
        </w:rPr>
      </w:pPr>
      <w:r>
        <w:t>4.</w:t>
      </w:r>
      <w:r>
        <w:tab/>
        <w:t>Appeals under Act</w:t>
      </w:r>
      <w:r>
        <w:tab/>
      </w:r>
      <w:r>
        <w:fldChar w:fldCharType="begin"/>
      </w:r>
      <w:r>
        <w:instrText xml:space="preserve"> PAGEREF _Toc75863814 \h </w:instrText>
      </w:r>
      <w:r>
        <w:fldChar w:fldCharType="separate"/>
      </w:r>
      <w:r w:rsidR="00FC1D84">
        <w:t>536</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81C</w:t>
      </w:r>
      <w:r w:rsidRPr="00AA3DF9">
        <w:rPr>
          <w:b w:val="0"/>
        </w:rPr>
        <w:t> </w:t>
      </w:r>
      <w:r>
        <w:t>—</w:t>
      </w:r>
      <w:r w:rsidRPr="00AA3DF9">
        <w:rPr>
          <w:b w:val="0"/>
        </w:rPr>
        <w:t> </w:t>
      </w:r>
      <w:r>
        <w:t>Road traffic legislation</w:t>
      </w:r>
      <w:r w:rsidRPr="00AA3DF9">
        <w:rPr>
          <w:i/>
        </w:rPr>
        <w:t xml:space="preserve"> </w:t>
      </w:r>
      <w:r>
        <w:t>rules</w:t>
      </w:r>
    </w:p>
    <w:p w:rsidR="006169FD" w:rsidRDefault="006169FD">
      <w:pPr>
        <w:pStyle w:val="TOC8"/>
        <w:rPr>
          <w:rFonts w:asciiTheme="minorHAnsi" w:eastAsiaTheme="minorEastAsia" w:hAnsiTheme="minorHAnsi" w:cstheme="minorBidi"/>
          <w:szCs w:val="22"/>
        </w:rPr>
      </w:pPr>
      <w:r>
        <w:t>1.</w:t>
      </w:r>
      <w:r>
        <w:tab/>
        <w:t>Terms used</w:t>
      </w:r>
      <w:r>
        <w:tab/>
      </w:r>
      <w:r>
        <w:fldChar w:fldCharType="begin"/>
      </w:r>
      <w:r>
        <w:instrText xml:space="preserve"> PAGEREF _Toc75863816 \h </w:instrText>
      </w:r>
      <w:r>
        <w:fldChar w:fldCharType="separate"/>
      </w:r>
      <w:r w:rsidR="00FC1D84">
        <w:t>537</w:t>
      </w:r>
      <w:r>
        <w:fldChar w:fldCharType="end"/>
      </w:r>
    </w:p>
    <w:p w:rsidR="006169FD" w:rsidRDefault="006169FD">
      <w:pPr>
        <w:pStyle w:val="TOC8"/>
        <w:rPr>
          <w:rFonts w:asciiTheme="minorHAnsi" w:eastAsiaTheme="minorEastAsia" w:hAnsiTheme="minorHAnsi" w:cstheme="minorBidi"/>
          <w:szCs w:val="22"/>
        </w:rPr>
      </w:pPr>
      <w:r>
        <w:t>2.</w:t>
      </w:r>
      <w:r>
        <w:tab/>
        <w:t>Applications under RT (AD) Act s. 24, 27 or 35, how to be made</w:t>
      </w:r>
      <w:r>
        <w:tab/>
      </w:r>
      <w:r>
        <w:fldChar w:fldCharType="begin"/>
      </w:r>
      <w:r>
        <w:instrText xml:space="preserve"> PAGEREF _Toc75863817 \h </w:instrText>
      </w:r>
      <w:r>
        <w:fldChar w:fldCharType="separate"/>
      </w:r>
      <w:r w:rsidR="00FC1D84">
        <w:t>537</w:t>
      </w:r>
      <w:r>
        <w:fldChar w:fldCharType="end"/>
      </w:r>
    </w:p>
    <w:p w:rsidR="006169FD" w:rsidRDefault="006169FD">
      <w:pPr>
        <w:pStyle w:val="TOC8"/>
        <w:rPr>
          <w:rFonts w:asciiTheme="minorHAnsi" w:eastAsiaTheme="minorEastAsia" w:hAnsiTheme="minorHAnsi" w:cstheme="minorBidi"/>
          <w:szCs w:val="22"/>
        </w:rPr>
      </w:pPr>
      <w:r>
        <w:t>3.</w:t>
      </w:r>
      <w:r>
        <w:tab/>
        <w:t>Registrar’s functions when application is made</w:t>
      </w:r>
      <w:r>
        <w:tab/>
      </w:r>
      <w:r>
        <w:fldChar w:fldCharType="begin"/>
      </w:r>
      <w:r>
        <w:instrText xml:space="preserve"> PAGEREF _Toc75863818 \h </w:instrText>
      </w:r>
      <w:r>
        <w:fldChar w:fldCharType="separate"/>
      </w:r>
      <w:r w:rsidR="00FC1D84">
        <w:t>538</w:t>
      </w:r>
      <w:r>
        <w:fldChar w:fldCharType="end"/>
      </w:r>
    </w:p>
    <w:p w:rsidR="006169FD" w:rsidRDefault="006169FD">
      <w:pPr>
        <w:pStyle w:val="TOC8"/>
        <w:rPr>
          <w:rFonts w:asciiTheme="minorHAnsi" w:eastAsiaTheme="minorEastAsia" w:hAnsiTheme="minorHAnsi" w:cstheme="minorBidi"/>
          <w:szCs w:val="22"/>
        </w:rPr>
      </w:pPr>
      <w:r>
        <w:t>4.</w:t>
      </w:r>
      <w:r>
        <w:tab/>
        <w:t>Applicant to serve application etc.</w:t>
      </w:r>
      <w:r>
        <w:tab/>
      </w:r>
      <w:r>
        <w:fldChar w:fldCharType="begin"/>
      </w:r>
      <w:r>
        <w:instrText xml:space="preserve"> PAGEREF _Toc75863819 \h </w:instrText>
      </w:r>
      <w:r>
        <w:fldChar w:fldCharType="separate"/>
      </w:r>
      <w:r w:rsidR="00FC1D84">
        <w:t>538</w:t>
      </w:r>
      <w:r>
        <w:fldChar w:fldCharType="end"/>
      </w:r>
    </w:p>
    <w:p w:rsidR="006169FD" w:rsidRDefault="006169FD">
      <w:pPr>
        <w:pStyle w:val="TOC8"/>
        <w:rPr>
          <w:rFonts w:asciiTheme="minorHAnsi" w:eastAsiaTheme="minorEastAsia" w:hAnsiTheme="minorHAnsi" w:cstheme="minorBidi"/>
          <w:szCs w:val="22"/>
        </w:rPr>
      </w:pPr>
      <w:r>
        <w:t>5.</w:t>
      </w:r>
      <w:r>
        <w:tab/>
        <w:t>Hearing of application, appearance at</w:t>
      </w:r>
      <w:r>
        <w:tab/>
      </w:r>
      <w:r>
        <w:fldChar w:fldCharType="begin"/>
      </w:r>
      <w:r>
        <w:instrText xml:space="preserve"> PAGEREF _Toc75863820 \h </w:instrText>
      </w:r>
      <w:r>
        <w:fldChar w:fldCharType="separate"/>
      </w:r>
      <w:r w:rsidR="00FC1D84">
        <w:t>539</w:t>
      </w:r>
      <w:r>
        <w:fldChar w:fldCharType="end"/>
      </w:r>
    </w:p>
    <w:p w:rsidR="006169FD" w:rsidRDefault="006169FD">
      <w:pPr>
        <w:pStyle w:val="TOC8"/>
        <w:rPr>
          <w:rFonts w:asciiTheme="minorHAnsi" w:eastAsiaTheme="minorEastAsia" w:hAnsiTheme="minorHAnsi" w:cstheme="minorBidi"/>
          <w:szCs w:val="22"/>
        </w:rPr>
      </w:pPr>
      <w:r>
        <w:t>6.</w:t>
      </w:r>
      <w:r>
        <w:tab/>
        <w:t>Hearing of application, procedure on</w:t>
      </w:r>
      <w:r>
        <w:tab/>
      </w:r>
      <w:r>
        <w:fldChar w:fldCharType="begin"/>
      </w:r>
      <w:r>
        <w:instrText xml:space="preserve"> PAGEREF _Toc75863821 \h </w:instrText>
      </w:r>
      <w:r>
        <w:fldChar w:fldCharType="separate"/>
      </w:r>
      <w:r w:rsidR="00FC1D84">
        <w:t>539</w:t>
      </w:r>
      <w:r>
        <w:fldChar w:fldCharType="end"/>
      </w:r>
    </w:p>
    <w:p w:rsidR="006169FD" w:rsidRDefault="006169FD">
      <w:pPr>
        <w:pStyle w:val="TOC8"/>
        <w:rPr>
          <w:rFonts w:asciiTheme="minorHAnsi" w:eastAsiaTheme="minorEastAsia" w:hAnsiTheme="minorHAnsi" w:cstheme="minorBidi"/>
          <w:szCs w:val="22"/>
        </w:rPr>
      </w:pPr>
      <w:r>
        <w:t>7.</w:t>
      </w:r>
      <w:r>
        <w:tab/>
        <w:t>CEO to be notified of decision</w:t>
      </w:r>
      <w:r>
        <w:tab/>
      </w:r>
      <w:r>
        <w:fldChar w:fldCharType="begin"/>
      </w:r>
      <w:r>
        <w:instrText xml:space="preserve"> PAGEREF _Toc75863822 \h </w:instrText>
      </w:r>
      <w:r>
        <w:fldChar w:fldCharType="separate"/>
      </w:r>
      <w:r w:rsidR="00FC1D84">
        <w:t>540</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81E — Cross</w:t>
      </w:r>
      <w:r>
        <w:noBreakHyphen/>
        <w:t>vesting</w:t>
      </w:r>
    </w:p>
    <w:p w:rsidR="006169FD" w:rsidRDefault="006169FD">
      <w:pPr>
        <w:pStyle w:val="TOC8"/>
        <w:rPr>
          <w:rFonts w:asciiTheme="minorHAnsi" w:eastAsiaTheme="minorEastAsia" w:hAnsiTheme="minorHAnsi" w:cstheme="minorBidi"/>
          <w:szCs w:val="22"/>
        </w:rPr>
      </w:pPr>
      <w:r>
        <w:t>1</w:t>
      </w:r>
      <w:r w:rsidRPr="00AA3DF9">
        <w:rPr>
          <w:snapToGrid w:val="0"/>
        </w:rPr>
        <w:t>.</w:t>
      </w:r>
      <w:r w:rsidRPr="00AA3DF9">
        <w:rPr>
          <w:snapToGrid w:val="0"/>
        </w:rPr>
        <w:tab/>
        <w:t>Terms used</w:t>
      </w:r>
      <w:r>
        <w:tab/>
      </w:r>
      <w:r>
        <w:fldChar w:fldCharType="begin"/>
      </w:r>
      <w:r>
        <w:instrText xml:space="preserve"> PAGEREF _Toc75863824 \h </w:instrText>
      </w:r>
      <w:r>
        <w:fldChar w:fldCharType="separate"/>
      </w:r>
      <w:r w:rsidR="00FC1D84">
        <w:t>541</w:t>
      </w:r>
      <w:r>
        <w:fldChar w:fldCharType="end"/>
      </w:r>
    </w:p>
    <w:p w:rsidR="006169FD" w:rsidRDefault="006169FD">
      <w:pPr>
        <w:pStyle w:val="TOC8"/>
        <w:rPr>
          <w:rFonts w:asciiTheme="minorHAnsi" w:eastAsiaTheme="minorEastAsia" w:hAnsiTheme="minorHAnsi" w:cstheme="minorBidi"/>
          <w:szCs w:val="22"/>
        </w:rPr>
      </w:pPr>
      <w:r>
        <w:t>2</w:t>
      </w:r>
      <w:r w:rsidRPr="00AA3DF9">
        <w:rPr>
          <w:snapToGrid w:val="0"/>
        </w:rPr>
        <w:t>.</w:t>
      </w:r>
      <w:r w:rsidRPr="00AA3DF9">
        <w:rPr>
          <w:snapToGrid w:val="0"/>
        </w:rPr>
        <w:tab/>
        <w:t>Application of this Order</w:t>
      </w:r>
      <w:r>
        <w:tab/>
      </w:r>
      <w:r>
        <w:fldChar w:fldCharType="begin"/>
      </w:r>
      <w:r>
        <w:instrText xml:space="preserve"> PAGEREF _Toc75863825 \h </w:instrText>
      </w:r>
      <w:r>
        <w:fldChar w:fldCharType="separate"/>
      </w:r>
      <w:r w:rsidR="00FC1D84">
        <w:t>541</w:t>
      </w:r>
      <w:r>
        <w:fldChar w:fldCharType="end"/>
      </w:r>
    </w:p>
    <w:p w:rsidR="006169FD" w:rsidRDefault="006169FD">
      <w:pPr>
        <w:pStyle w:val="TOC8"/>
        <w:rPr>
          <w:rFonts w:asciiTheme="minorHAnsi" w:eastAsiaTheme="minorEastAsia" w:hAnsiTheme="minorHAnsi" w:cstheme="minorBidi"/>
          <w:szCs w:val="22"/>
        </w:rPr>
      </w:pPr>
      <w:r>
        <w:lastRenderedPageBreak/>
        <w:t>3</w:t>
      </w:r>
      <w:r w:rsidRPr="00AA3DF9">
        <w:rPr>
          <w:snapToGrid w:val="0"/>
        </w:rPr>
        <w:t>.</w:t>
      </w:r>
      <w:r w:rsidRPr="00AA3DF9">
        <w:rPr>
          <w:snapToGrid w:val="0"/>
        </w:rPr>
        <w:tab/>
        <w:t>Commencing proceedings that rely on cross-vesting laws</w:t>
      </w:r>
      <w:r>
        <w:tab/>
      </w:r>
      <w:r>
        <w:fldChar w:fldCharType="begin"/>
      </w:r>
      <w:r>
        <w:instrText xml:space="preserve"> PAGEREF _Toc75863826 \h </w:instrText>
      </w:r>
      <w:r>
        <w:fldChar w:fldCharType="separate"/>
      </w:r>
      <w:r w:rsidR="00FC1D84">
        <w:t>541</w:t>
      </w:r>
      <w:r>
        <w:fldChar w:fldCharType="end"/>
      </w:r>
    </w:p>
    <w:p w:rsidR="006169FD" w:rsidRDefault="006169FD">
      <w:pPr>
        <w:pStyle w:val="TOC8"/>
        <w:rPr>
          <w:rFonts w:asciiTheme="minorHAnsi" w:eastAsiaTheme="minorEastAsia" w:hAnsiTheme="minorHAnsi" w:cstheme="minorBidi"/>
          <w:szCs w:val="22"/>
        </w:rPr>
      </w:pPr>
      <w:r>
        <w:t>4</w:t>
      </w:r>
      <w:r w:rsidRPr="00AA3DF9">
        <w:rPr>
          <w:snapToGrid w:val="0"/>
        </w:rPr>
        <w:t>.</w:t>
      </w:r>
      <w:r w:rsidRPr="00AA3DF9">
        <w:rPr>
          <w:snapToGrid w:val="0"/>
        </w:rPr>
        <w:tab/>
        <w:t>Special federal matters</w:t>
      </w:r>
      <w:r>
        <w:tab/>
      </w:r>
      <w:r>
        <w:fldChar w:fldCharType="begin"/>
      </w:r>
      <w:r>
        <w:instrText xml:space="preserve"> PAGEREF _Toc75863827 \h </w:instrText>
      </w:r>
      <w:r>
        <w:fldChar w:fldCharType="separate"/>
      </w:r>
      <w:r w:rsidR="00FC1D84">
        <w:t>542</w:t>
      </w:r>
      <w:r>
        <w:fldChar w:fldCharType="end"/>
      </w:r>
    </w:p>
    <w:p w:rsidR="006169FD" w:rsidRDefault="006169FD">
      <w:pPr>
        <w:pStyle w:val="TOC8"/>
        <w:rPr>
          <w:rFonts w:asciiTheme="minorHAnsi" w:eastAsiaTheme="minorEastAsia" w:hAnsiTheme="minorHAnsi" w:cstheme="minorBidi"/>
          <w:szCs w:val="22"/>
        </w:rPr>
      </w:pPr>
      <w:r>
        <w:t>6</w:t>
      </w:r>
      <w:r w:rsidRPr="00AA3DF9">
        <w:rPr>
          <w:snapToGrid w:val="0"/>
        </w:rPr>
        <w:t>.</w:t>
      </w:r>
      <w:r w:rsidRPr="00AA3DF9">
        <w:rPr>
          <w:snapToGrid w:val="0"/>
        </w:rPr>
        <w:tab/>
        <w:t>Directions for conduct of proceedings</w:t>
      </w:r>
      <w:r>
        <w:tab/>
      </w:r>
      <w:r>
        <w:fldChar w:fldCharType="begin"/>
      </w:r>
      <w:r>
        <w:instrText xml:space="preserve"> PAGEREF _Toc75863828 \h </w:instrText>
      </w:r>
      <w:r>
        <w:fldChar w:fldCharType="separate"/>
      </w:r>
      <w:r w:rsidR="00FC1D84">
        <w:t>542</w:t>
      </w:r>
      <w:r>
        <w:fldChar w:fldCharType="end"/>
      </w:r>
    </w:p>
    <w:p w:rsidR="006169FD" w:rsidRDefault="006169FD">
      <w:pPr>
        <w:pStyle w:val="TOC8"/>
        <w:rPr>
          <w:rFonts w:asciiTheme="minorHAnsi" w:eastAsiaTheme="minorEastAsia" w:hAnsiTheme="minorHAnsi" w:cstheme="minorBidi"/>
          <w:szCs w:val="22"/>
        </w:rPr>
      </w:pPr>
      <w:r>
        <w:t>7</w:t>
      </w:r>
      <w:r w:rsidRPr="00AA3DF9">
        <w:rPr>
          <w:snapToGrid w:val="0"/>
        </w:rPr>
        <w:t>.</w:t>
      </w:r>
      <w:r w:rsidRPr="00AA3DF9">
        <w:rPr>
          <w:snapToGrid w:val="0"/>
        </w:rPr>
        <w:tab/>
        <w:t>Transfer of proceedings</w:t>
      </w:r>
      <w:r>
        <w:tab/>
      </w:r>
      <w:r>
        <w:fldChar w:fldCharType="begin"/>
      </w:r>
      <w:r>
        <w:instrText xml:space="preserve"> PAGEREF _Toc75863829 \h </w:instrText>
      </w:r>
      <w:r>
        <w:fldChar w:fldCharType="separate"/>
      </w:r>
      <w:r w:rsidR="00FC1D84">
        <w:t>543</w:t>
      </w:r>
      <w:r>
        <w:fldChar w:fldCharType="end"/>
      </w:r>
    </w:p>
    <w:p w:rsidR="006169FD" w:rsidRDefault="006169FD">
      <w:pPr>
        <w:pStyle w:val="TOC8"/>
        <w:rPr>
          <w:rFonts w:asciiTheme="minorHAnsi" w:eastAsiaTheme="minorEastAsia" w:hAnsiTheme="minorHAnsi" w:cstheme="minorBidi"/>
          <w:szCs w:val="22"/>
        </w:rPr>
      </w:pPr>
      <w:r>
        <w:t>8</w:t>
      </w:r>
      <w:r w:rsidRPr="00AA3DF9">
        <w:rPr>
          <w:snapToGrid w:val="0"/>
        </w:rPr>
        <w:t>.</w:t>
      </w:r>
      <w:r w:rsidRPr="00AA3DF9">
        <w:rPr>
          <w:snapToGrid w:val="0"/>
        </w:rPr>
        <w:tab/>
        <w:t>Applications to be dealt with by judge</w:t>
      </w:r>
      <w:r>
        <w:tab/>
      </w:r>
      <w:r>
        <w:fldChar w:fldCharType="begin"/>
      </w:r>
      <w:r>
        <w:instrText xml:space="preserve"> PAGEREF _Toc75863830 \h </w:instrText>
      </w:r>
      <w:r>
        <w:fldChar w:fldCharType="separate"/>
      </w:r>
      <w:r w:rsidR="00FC1D84">
        <w:t>543</w:t>
      </w:r>
      <w:r>
        <w:fldChar w:fldCharType="end"/>
      </w:r>
    </w:p>
    <w:p w:rsidR="006169FD" w:rsidRDefault="006169FD">
      <w:pPr>
        <w:pStyle w:val="TOC8"/>
        <w:rPr>
          <w:rFonts w:asciiTheme="minorHAnsi" w:eastAsiaTheme="minorEastAsia" w:hAnsiTheme="minorHAnsi" w:cstheme="minorBidi"/>
          <w:szCs w:val="22"/>
        </w:rPr>
      </w:pPr>
      <w:r>
        <w:t>9</w:t>
      </w:r>
      <w:r w:rsidRPr="00AA3DF9">
        <w:rPr>
          <w:snapToGrid w:val="0"/>
        </w:rPr>
        <w:t>.</w:t>
      </w:r>
      <w:r w:rsidRPr="00AA3DF9">
        <w:rPr>
          <w:snapToGrid w:val="0"/>
        </w:rPr>
        <w:tab/>
        <w:t>Transfer on Attorney General’s application (Act s. 5 or 6)</w:t>
      </w:r>
      <w:r>
        <w:tab/>
      </w:r>
      <w:r>
        <w:fldChar w:fldCharType="begin"/>
      </w:r>
      <w:r>
        <w:instrText xml:space="preserve"> PAGEREF _Toc75863831 \h </w:instrText>
      </w:r>
      <w:r>
        <w:fldChar w:fldCharType="separate"/>
      </w:r>
      <w:r w:rsidR="00FC1D84">
        <w:t>544</w:t>
      </w:r>
      <w:r>
        <w:fldChar w:fldCharType="end"/>
      </w:r>
    </w:p>
    <w:p w:rsidR="006169FD" w:rsidRDefault="006169FD">
      <w:pPr>
        <w:pStyle w:val="TOC8"/>
        <w:rPr>
          <w:rFonts w:asciiTheme="minorHAnsi" w:eastAsiaTheme="minorEastAsia" w:hAnsiTheme="minorHAnsi" w:cstheme="minorBidi"/>
          <w:szCs w:val="22"/>
        </w:rPr>
      </w:pPr>
      <w:r>
        <w:t>10</w:t>
      </w:r>
      <w:r w:rsidRPr="00AA3DF9">
        <w:rPr>
          <w:snapToGrid w:val="0"/>
        </w:rPr>
        <w:t>.</w:t>
      </w:r>
      <w:r w:rsidRPr="00AA3DF9">
        <w:rPr>
          <w:snapToGrid w:val="0"/>
        </w:rPr>
        <w:tab/>
        <w:t>Transfer under Act s. 8, Court’s powers on</w:t>
      </w:r>
      <w:r>
        <w:tab/>
      </w:r>
      <w:r>
        <w:fldChar w:fldCharType="begin"/>
      </w:r>
      <w:r>
        <w:instrText xml:space="preserve"> PAGEREF _Toc75863832 \h </w:instrText>
      </w:r>
      <w:r>
        <w:fldChar w:fldCharType="separate"/>
      </w:r>
      <w:r w:rsidR="00FC1D84">
        <w:t>544</w:t>
      </w:r>
      <w:r>
        <w:fldChar w:fldCharType="end"/>
      </w:r>
    </w:p>
    <w:p w:rsidR="006169FD" w:rsidRDefault="006169FD">
      <w:pPr>
        <w:pStyle w:val="TOC8"/>
        <w:rPr>
          <w:rFonts w:asciiTheme="minorHAnsi" w:eastAsiaTheme="minorEastAsia" w:hAnsiTheme="minorHAnsi" w:cstheme="minorBidi"/>
          <w:szCs w:val="22"/>
        </w:rPr>
      </w:pPr>
      <w:r>
        <w:t>11</w:t>
      </w:r>
      <w:r w:rsidRPr="00AA3DF9">
        <w:rPr>
          <w:snapToGrid w:val="0"/>
        </w:rPr>
        <w:t>.</w:t>
      </w:r>
      <w:r w:rsidRPr="00AA3DF9">
        <w:rPr>
          <w:snapToGrid w:val="0"/>
        </w:rPr>
        <w:tab/>
        <w:t>Procedure if laws etc. of other place to apply under Act s. 11(1)</w:t>
      </w:r>
      <w:r>
        <w:tab/>
      </w:r>
      <w:r>
        <w:fldChar w:fldCharType="begin"/>
      </w:r>
      <w:r>
        <w:instrText xml:space="preserve"> PAGEREF _Toc75863833 \h </w:instrText>
      </w:r>
      <w:r>
        <w:fldChar w:fldCharType="separate"/>
      </w:r>
      <w:r w:rsidR="00FC1D84">
        <w:t>544</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81F</w:t>
      </w:r>
      <w:r w:rsidRPr="00AA3DF9">
        <w:rPr>
          <w:b w:val="0"/>
        </w:rPr>
        <w:t> </w:t>
      </w:r>
      <w:r>
        <w:t>—</w:t>
      </w:r>
      <w:r w:rsidRPr="00AA3DF9">
        <w:rPr>
          <w:b w:val="0"/>
        </w:rPr>
        <w:t> </w:t>
      </w:r>
      <w:r w:rsidRPr="00AA3DF9">
        <w:rPr>
          <w:i/>
          <w:iCs/>
        </w:rPr>
        <w:t>Proceeds of Crime Act </w:t>
      </w:r>
      <w:r w:rsidRPr="00AA3DF9">
        <w:rPr>
          <w:i/>
        </w:rPr>
        <w:t>2002</w:t>
      </w:r>
      <w:r>
        <w:t xml:space="preserve"> (Commonwealth) rules</w:t>
      </w:r>
    </w:p>
    <w:p w:rsidR="006169FD" w:rsidRDefault="006169FD">
      <w:pPr>
        <w:pStyle w:val="TOC8"/>
        <w:rPr>
          <w:rFonts w:asciiTheme="minorHAnsi" w:eastAsiaTheme="minorEastAsia" w:hAnsiTheme="minorHAnsi" w:cstheme="minorBidi"/>
          <w:szCs w:val="22"/>
        </w:rPr>
      </w:pPr>
      <w:r>
        <w:t>1.</w:t>
      </w:r>
      <w:r>
        <w:tab/>
        <w:t>Terms used</w:t>
      </w:r>
      <w:r>
        <w:tab/>
      </w:r>
      <w:r>
        <w:fldChar w:fldCharType="begin"/>
      </w:r>
      <w:r>
        <w:instrText xml:space="preserve"> PAGEREF _Toc75863835 \h </w:instrText>
      </w:r>
      <w:r>
        <w:fldChar w:fldCharType="separate"/>
      </w:r>
      <w:r w:rsidR="00FC1D84">
        <w:t>546</w:t>
      </w:r>
      <w:r>
        <w:fldChar w:fldCharType="end"/>
      </w:r>
    </w:p>
    <w:p w:rsidR="006169FD" w:rsidRDefault="006169FD">
      <w:pPr>
        <w:pStyle w:val="TOC8"/>
        <w:rPr>
          <w:rFonts w:asciiTheme="minorHAnsi" w:eastAsiaTheme="minorEastAsia" w:hAnsiTheme="minorHAnsi" w:cstheme="minorBidi"/>
          <w:szCs w:val="22"/>
        </w:rPr>
      </w:pPr>
      <w:r>
        <w:t>2.</w:t>
      </w:r>
      <w:r>
        <w:tab/>
        <w:t>Applications under Act, how to be made</w:t>
      </w:r>
      <w:r>
        <w:tab/>
      </w:r>
      <w:r>
        <w:fldChar w:fldCharType="begin"/>
      </w:r>
      <w:r>
        <w:instrText xml:space="preserve"> PAGEREF _Toc75863836 \h </w:instrText>
      </w:r>
      <w:r>
        <w:fldChar w:fldCharType="separate"/>
      </w:r>
      <w:r w:rsidR="00FC1D84">
        <w:t>546</w:t>
      </w:r>
      <w:r>
        <w:fldChar w:fldCharType="end"/>
      </w:r>
    </w:p>
    <w:p w:rsidR="006169FD" w:rsidRDefault="006169FD">
      <w:pPr>
        <w:pStyle w:val="TOC8"/>
        <w:rPr>
          <w:rFonts w:asciiTheme="minorHAnsi" w:eastAsiaTheme="minorEastAsia" w:hAnsiTheme="minorHAnsi" w:cstheme="minorBidi"/>
          <w:szCs w:val="22"/>
        </w:rPr>
      </w:pPr>
      <w:r>
        <w:t>3.</w:t>
      </w:r>
      <w:r>
        <w:tab/>
        <w:t>Service on DPP (Cwlth) in Perth</w:t>
      </w:r>
      <w:r>
        <w:tab/>
      </w:r>
      <w:r>
        <w:fldChar w:fldCharType="begin"/>
      </w:r>
      <w:r>
        <w:instrText xml:space="preserve"> PAGEREF _Toc75863837 \h </w:instrText>
      </w:r>
      <w:r>
        <w:fldChar w:fldCharType="separate"/>
      </w:r>
      <w:r w:rsidR="00FC1D84">
        <w:t>548</w:t>
      </w:r>
      <w:r>
        <w:fldChar w:fldCharType="end"/>
      </w:r>
    </w:p>
    <w:p w:rsidR="006169FD" w:rsidRDefault="006169FD">
      <w:pPr>
        <w:pStyle w:val="TOC8"/>
        <w:rPr>
          <w:rFonts w:asciiTheme="minorHAnsi" w:eastAsiaTheme="minorEastAsia" w:hAnsiTheme="minorHAnsi" w:cstheme="minorBidi"/>
          <w:szCs w:val="22"/>
        </w:rPr>
      </w:pPr>
      <w:r>
        <w:t>4.</w:t>
      </w:r>
      <w:r>
        <w:tab/>
        <w:t>DPP to file grounds for contesting application</w:t>
      </w:r>
      <w:r>
        <w:tab/>
      </w:r>
      <w:r>
        <w:fldChar w:fldCharType="begin"/>
      </w:r>
      <w:r>
        <w:instrText xml:space="preserve"> PAGEREF _Toc75863838 \h </w:instrText>
      </w:r>
      <w:r>
        <w:fldChar w:fldCharType="separate"/>
      </w:r>
      <w:r w:rsidR="00FC1D84">
        <w:t>548</w:t>
      </w:r>
      <w:r>
        <w:fldChar w:fldCharType="end"/>
      </w:r>
    </w:p>
    <w:p w:rsidR="006169FD" w:rsidRDefault="006169FD">
      <w:pPr>
        <w:pStyle w:val="TOC8"/>
        <w:rPr>
          <w:rFonts w:asciiTheme="minorHAnsi" w:eastAsiaTheme="minorEastAsia" w:hAnsiTheme="minorHAnsi" w:cstheme="minorBidi"/>
          <w:szCs w:val="22"/>
        </w:rPr>
      </w:pPr>
      <w:r>
        <w:t>5.</w:t>
      </w:r>
      <w:r>
        <w:tab/>
        <w:t>Summons for directions</w:t>
      </w:r>
      <w:r>
        <w:tab/>
      </w:r>
      <w:r>
        <w:fldChar w:fldCharType="begin"/>
      </w:r>
      <w:r>
        <w:instrText xml:space="preserve"> PAGEREF _Toc75863839 \h </w:instrText>
      </w:r>
      <w:r>
        <w:fldChar w:fldCharType="separate"/>
      </w:r>
      <w:r w:rsidR="00FC1D84">
        <w:t>548</w:t>
      </w:r>
      <w:r>
        <w:fldChar w:fldCharType="end"/>
      </w:r>
    </w:p>
    <w:p w:rsidR="006169FD" w:rsidRDefault="006169FD">
      <w:pPr>
        <w:pStyle w:val="TOC8"/>
        <w:rPr>
          <w:rFonts w:asciiTheme="minorHAnsi" w:eastAsiaTheme="minorEastAsia" w:hAnsiTheme="minorHAnsi" w:cstheme="minorBidi"/>
          <w:szCs w:val="22"/>
        </w:rPr>
      </w:pPr>
      <w:r>
        <w:t>6.</w:t>
      </w:r>
      <w:r>
        <w:tab/>
        <w:t>Court may give directions at any time</w:t>
      </w:r>
      <w:r>
        <w:tab/>
      </w:r>
      <w:r>
        <w:fldChar w:fldCharType="begin"/>
      </w:r>
      <w:r>
        <w:instrText xml:space="preserve"> PAGEREF _Toc75863840 \h </w:instrText>
      </w:r>
      <w:r>
        <w:fldChar w:fldCharType="separate"/>
      </w:r>
      <w:r w:rsidR="00FC1D84">
        <w:t>549</w:t>
      </w:r>
      <w:r>
        <w:fldChar w:fldCharType="end"/>
      </w:r>
    </w:p>
    <w:p w:rsidR="006169FD" w:rsidRDefault="006169FD">
      <w:pPr>
        <w:pStyle w:val="TOC8"/>
        <w:rPr>
          <w:rFonts w:asciiTheme="minorHAnsi" w:eastAsiaTheme="minorEastAsia" w:hAnsiTheme="minorHAnsi" w:cstheme="minorBidi"/>
          <w:szCs w:val="22"/>
        </w:rPr>
      </w:pPr>
      <w:r>
        <w:t>7.</w:t>
      </w:r>
      <w:r>
        <w:tab/>
        <w:t>Representative respondent</w:t>
      </w:r>
      <w:r>
        <w:tab/>
      </w:r>
      <w:r>
        <w:fldChar w:fldCharType="begin"/>
      </w:r>
      <w:r>
        <w:instrText xml:space="preserve"> PAGEREF _Toc75863841 \h </w:instrText>
      </w:r>
      <w:r>
        <w:fldChar w:fldCharType="separate"/>
      </w:r>
      <w:r w:rsidR="00FC1D84">
        <w:t>549</w:t>
      </w:r>
      <w:r>
        <w:fldChar w:fldCharType="end"/>
      </w:r>
    </w:p>
    <w:p w:rsidR="006169FD" w:rsidRDefault="006169FD">
      <w:pPr>
        <w:pStyle w:val="TOC8"/>
        <w:rPr>
          <w:rFonts w:asciiTheme="minorHAnsi" w:eastAsiaTheme="minorEastAsia" w:hAnsiTheme="minorHAnsi" w:cstheme="minorBidi"/>
          <w:szCs w:val="22"/>
        </w:rPr>
      </w:pPr>
      <w:r>
        <w:t>8.</w:t>
      </w:r>
      <w:r>
        <w:tab/>
        <w:t>Evidence on applications</w:t>
      </w:r>
      <w:r>
        <w:tab/>
      </w:r>
      <w:r>
        <w:fldChar w:fldCharType="begin"/>
      </w:r>
      <w:r>
        <w:instrText xml:space="preserve"> PAGEREF _Toc75863842 \h </w:instrText>
      </w:r>
      <w:r>
        <w:fldChar w:fldCharType="separate"/>
      </w:r>
      <w:r w:rsidR="00FC1D84">
        <w:t>550</w:t>
      </w:r>
      <w:r>
        <w:fldChar w:fldCharType="end"/>
      </w:r>
    </w:p>
    <w:p w:rsidR="006169FD" w:rsidRDefault="006169FD">
      <w:pPr>
        <w:pStyle w:val="TOC8"/>
        <w:rPr>
          <w:rFonts w:asciiTheme="minorHAnsi" w:eastAsiaTheme="minorEastAsia" w:hAnsiTheme="minorHAnsi" w:cstheme="minorBidi"/>
          <w:szCs w:val="22"/>
        </w:rPr>
      </w:pPr>
      <w:r>
        <w:t>9.</w:t>
      </w:r>
      <w:r>
        <w:tab/>
        <w:t>Court may order separate hearing</w:t>
      </w:r>
      <w:r>
        <w:tab/>
      </w:r>
      <w:r>
        <w:fldChar w:fldCharType="begin"/>
      </w:r>
      <w:r>
        <w:instrText xml:space="preserve"> PAGEREF _Toc75863843 \h </w:instrText>
      </w:r>
      <w:r>
        <w:fldChar w:fldCharType="separate"/>
      </w:r>
      <w:r w:rsidR="00FC1D84">
        <w:t>550</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81FA</w:t>
      </w:r>
      <w:r w:rsidRPr="00AA3DF9">
        <w:rPr>
          <w:b w:val="0"/>
        </w:rPr>
        <w:t> </w:t>
      </w:r>
      <w:r>
        <w:t>—</w:t>
      </w:r>
      <w:r w:rsidRPr="00AA3DF9">
        <w:rPr>
          <w:b w:val="0"/>
        </w:rPr>
        <w:t> </w:t>
      </w:r>
      <w:r w:rsidRPr="00AA3DF9">
        <w:rPr>
          <w:i/>
          <w:iCs/>
        </w:rPr>
        <w:t>Criminal Property Confiscation Act 2000</w:t>
      </w:r>
      <w:r>
        <w:t xml:space="preserve"> rules</w:t>
      </w:r>
    </w:p>
    <w:p w:rsidR="006169FD" w:rsidRDefault="006169FD">
      <w:pPr>
        <w:pStyle w:val="TOC4"/>
        <w:tabs>
          <w:tab w:val="right" w:leader="dot" w:pos="7077"/>
        </w:tabs>
        <w:rPr>
          <w:rFonts w:asciiTheme="minorHAnsi" w:eastAsiaTheme="minorEastAsia" w:hAnsiTheme="minorHAnsi" w:cstheme="minorBidi"/>
          <w:b w:val="0"/>
          <w:szCs w:val="22"/>
        </w:rPr>
      </w:pPr>
      <w:r>
        <w:t>Part 1 —</w:t>
      </w:r>
      <w:r w:rsidRPr="00AA3DF9">
        <w:rPr>
          <w:b w:val="0"/>
        </w:rPr>
        <w:t> </w:t>
      </w:r>
      <w:r>
        <w:t>Preliminary</w:t>
      </w:r>
    </w:p>
    <w:p w:rsidR="006169FD" w:rsidRDefault="006169FD">
      <w:pPr>
        <w:pStyle w:val="TOC8"/>
        <w:rPr>
          <w:rFonts w:asciiTheme="minorHAnsi" w:eastAsiaTheme="minorEastAsia" w:hAnsiTheme="minorHAnsi" w:cstheme="minorBidi"/>
          <w:szCs w:val="22"/>
        </w:rPr>
      </w:pPr>
      <w:r>
        <w:t>1.</w:t>
      </w:r>
      <w:r>
        <w:tab/>
        <w:t>Terms used</w:t>
      </w:r>
      <w:r>
        <w:tab/>
      </w:r>
      <w:r>
        <w:fldChar w:fldCharType="begin"/>
      </w:r>
      <w:r>
        <w:instrText xml:space="preserve"> PAGEREF _Toc75863846 \h </w:instrText>
      </w:r>
      <w:r>
        <w:fldChar w:fldCharType="separate"/>
      </w:r>
      <w:r w:rsidR="00FC1D84">
        <w:t>551</w:t>
      </w:r>
      <w:r>
        <w:fldChar w:fldCharType="end"/>
      </w:r>
    </w:p>
    <w:p w:rsidR="006169FD" w:rsidRDefault="006169FD">
      <w:pPr>
        <w:pStyle w:val="TOC4"/>
        <w:tabs>
          <w:tab w:val="right" w:leader="dot" w:pos="7077"/>
        </w:tabs>
        <w:rPr>
          <w:rFonts w:asciiTheme="minorHAnsi" w:eastAsiaTheme="minorEastAsia" w:hAnsiTheme="minorHAnsi" w:cstheme="minorBidi"/>
          <w:b w:val="0"/>
          <w:szCs w:val="22"/>
        </w:rPr>
      </w:pPr>
      <w:r>
        <w:t>Part 2 — Proceedings under the Confiscation Act 2000</w:t>
      </w:r>
    </w:p>
    <w:p w:rsidR="006169FD" w:rsidRDefault="006169FD">
      <w:pPr>
        <w:pStyle w:val="TOC8"/>
        <w:rPr>
          <w:rFonts w:asciiTheme="minorHAnsi" w:eastAsiaTheme="minorEastAsia" w:hAnsiTheme="minorHAnsi" w:cstheme="minorBidi"/>
          <w:szCs w:val="22"/>
        </w:rPr>
      </w:pPr>
      <w:r>
        <w:t>2.</w:t>
      </w:r>
      <w:r>
        <w:tab/>
        <w:t>Declarations under Act s. 30, applications for</w:t>
      </w:r>
      <w:r>
        <w:tab/>
      </w:r>
      <w:r>
        <w:fldChar w:fldCharType="begin"/>
      </w:r>
      <w:r>
        <w:instrText xml:space="preserve"> PAGEREF _Toc75863848 \h </w:instrText>
      </w:r>
      <w:r>
        <w:fldChar w:fldCharType="separate"/>
      </w:r>
      <w:r w:rsidR="00FC1D84">
        <w:t>552</w:t>
      </w:r>
      <w:r>
        <w:fldChar w:fldCharType="end"/>
      </w:r>
    </w:p>
    <w:p w:rsidR="006169FD" w:rsidRDefault="006169FD">
      <w:pPr>
        <w:pStyle w:val="TOC8"/>
        <w:rPr>
          <w:rFonts w:asciiTheme="minorHAnsi" w:eastAsiaTheme="minorEastAsia" w:hAnsiTheme="minorHAnsi" w:cstheme="minorBidi"/>
          <w:szCs w:val="22"/>
        </w:rPr>
      </w:pPr>
      <w:r>
        <w:t>3.</w:t>
      </w:r>
      <w:r>
        <w:tab/>
        <w:t>Other declarations or orders, applications for</w:t>
      </w:r>
      <w:r>
        <w:tab/>
      </w:r>
      <w:r>
        <w:fldChar w:fldCharType="begin"/>
      </w:r>
      <w:r>
        <w:instrText xml:space="preserve"> PAGEREF _Toc75863849 \h </w:instrText>
      </w:r>
      <w:r>
        <w:fldChar w:fldCharType="separate"/>
      </w:r>
      <w:r w:rsidR="00FC1D84">
        <w:t>553</w:t>
      </w:r>
      <w:r>
        <w:fldChar w:fldCharType="end"/>
      </w:r>
    </w:p>
    <w:p w:rsidR="006169FD" w:rsidRDefault="006169FD">
      <w:pPr>
        <w:pStyle w:val="TOC8"/>
        <w:rPr>
          <w:rFonts w:asciiTheme="minorHAnsi" w:eastAsiaTheme="minorEastAsia" w:hAnsiTheme="minorHAnsi" w:cstheme="minorBidi"/>
          <w:szCs w:val="22"/>
        </w:rPr>
      </w:pPr>
      <w:r>
        <w:t>4.</w:t>
      </w:r>
      <w:r>
        <w:tab/>
        <w:t>Affidavit in support required for some applications</w:t>
      </w:r>
      <w:r>
        <w:tab/>
      </w:r>
      <w:r>
        <w:fldChar w:fldCharType="begin"/>
      </w:r>
      <w:r>
        <w:instrText xml:space="preserve"> PAGEREF _Toc75863850 \h </w:instrText>
      </w:r>
      <w:r>
        <w:fldChar w:fldCharType="separate"/>
      </w:r>
      <w:r w:rsidR="00FC1D84">
        <w:t>554</w:t>
      </w:r>
      <w:r>
        <w:fldChar w:fldCharType="end"/>
      </w:r>
    </w:p>
    <w:p w:rsidR="006169FD" w:rsidRDefault="006169FD">
      <w:pPr>
        <w:pStyle w:val="TOC8"/>
        <w:rPr>
          <w:rFonts w:asciiTheme="minorHAnsi" w:eastAsiaTheme="minorEastAsia" w:hAnsiTheme="minorHAnsi" w:cstheme="minorBidi"/>
          <w:szCs w:val="22"/>
        </w:rPr>
      </w:pPr>
      <w:r>
        <w:t>5.</w:t>
      </w:r>
      <w:r>
        <w:tab/>
        <w:t>Objections to confiscation of property, making of</w:t>
      </w:r>
      <w:r>
        <w:tab/>
      </w:r>
      <w:r>
        <w:fldChar w:fldCharType="begin"/>
      </w:r>
      <w:r>
        <w:instrText xml:space="preserve"> PAGEREF _Toc75863851 \h </w:instrText>
      </w:r>
      <w:r>
        <w:fldChar w:fldCharType="separate"/>
      </w:r>
      <w:r w:rsidR="00FC1D84">
        <w:t>554</w:t>
      </w:r>
      <w:r>
        <w:fldChar w:fldCharType="end"/>
      </w:r>
    </w:p>
    <w:p w:rsidR="006169FD" w:rsidRDefault="006169FD">
      <w:pPr>
        <w:pStyle w:val="TOC8"/>
        <w:rPr>
          <w:rFonts w:asciiTheme="minorHAnsi" w:eastAsiaTheme="minorEastAsia" w:hAnsiTheme="minorHAnsi" w:cstheme="minorBidi"/>
          <w:szCs w:val="22"/>
        </w:rPr>
      </w:pPr>
      <w:r>
        <w:t>6.</w:t>
      </w:r>
      <w:r>
        <w:tab/>
        <w:t>DPP or CCC to be served</w:t>
      </w:r>
      <w:r>
        <w:tab/>
      </w:r>
      <w:r>
        <w:fldChar w:fldCharType="begin"/>
      </w:r>
      <w:r>
        <w:instrText xml:space="preserve"> PAGEREF _Toc75863852 \h </w:instrText>
      </w:r>
      <w:r>
        <w:fldChar w:fldCharType="separate"/>
      </w:r>
      <w:r w:rsidR="00FC1D84">
        <w:t>555</w:t>
      </w:r>
      <w:r>
        <w:fldChar w:fldCharType="end"/>
      </w:r>
    </w:p>
    <w:p w:rsidR="006169FD" w:rsidRDefault="006169FD">
      <w:pPr>
        <w:pStyle w:val="TOC8"/>
        <w:rPr>
          <w:rFonts w:asciiTheme="minorHAnsi" w:eastAsiaTheme="minorEastAsia" w:hAnsiTheme="minorHAnsi" w:cstheme="minorBidi"/>
          <w:szCs w:val="22"/>
        </w:rPr>
      </w:pPr>
      <w:r>
        <w:t>7.</w:t>
      </w:r>
      <w:r>
        <w:tab/>
        <w:t>Directions</w:t>
      </w:r>
      <w:r>
        <w:tab/>
      </w:r>
      <w:r>
        <w:fldChar w:fldCharType="begin"/>
      </w:r>
      <w:r>
        <w:instrText xml:space="preserve"> PAGEREF _Toc75863853 \h </w:instrText>
      </w:r>
      <w:r>
        <w:fldChar w:fldCharType="separate"/>
      </w:r>
      <w:r w:rsidR="00FC1D84">
        <w:t>555</w:t>
      </w:r>
      <w:r>
        <w:fldChar w:fldCharType="end"/>
      </w:r>
    </w:p>
    <w:p w:rsidR="006169FD" w:rsidRDefault="006169FD">
      <w:pPr>
        <w:pStyle w:val="TOC8"/>
        <w:rPr>
          <w:rFonts w:asciiTheme="minorHAnsi" w:eastAsiaTheme="minorEastAsia" w:hAnsiTheme="minorHAnsi" w:cstheme="minorBidi"/>
          <w:szCs w:val="22"/>
        </w:rPr>
      </w:pPr>
      <w:r>
        <w:t>8.</w:t>
      </w:r>
      <w:r>
        <w:tab/>
        <w:t>Conference not required</w:t>
      </w:r>
      <w:r>
        <w:tab/>
      </w:r>
      <w:r>
        <w:fldChar w:fldCharType="begin"/>
      </w:r>
      <w:r>
        <w:instrText xml:space="preserve"> PAGEREF _Toc75863854 \h </w:instrText>
      </w:r>
      <w:r>
        <w:fldChar w:fldCharType="separate"/>
      </w:r>
      <w:r w:rsidR="00FC1D84">
        <w:t>555</w:t>
      </w:r>
      <w:r>
        <w:fldChar w:fldCharType="end"/>
      </w:r>
    </w:p>
    <w:p w:rsidR="006169FD" w:rsidRDefault="006169FD">
      <w:pPr>
        <w:pStyle w:val="TOC8"/>
        <w:rPr>
          <w:rFonts w:asciiTheme="minorHAnsi" w:eastAsiaTheme="minorEastAsia" w:hAnsiTheme="minorHAnsi" w:cstheme="minorBidi"/>
          <w:szCs w:val="22"/>
        </w:rPr>
      </w:pPr>
      <w:r>
        <w:t>9.</w:t>
      </w:r>
      <w:r>
        <w:tab/>
        <w:t>Representative defendant</w:t>
      </w:r>
      <w:r>
        <w:tab/>
      </w:r>
      <w:r>
        <w:fldChar w:fldCharType="begin"/>
      </w:r>
      <w:r>
        <w:instrText xml:space="preserve"> PAGEREF _Toc75863855 \h </w:instrText>
      </w:r>
      <w:r>
        <w:fldChar w:fldCharType="separate"/>
      </w:r>
      <w:r w:rsidR="00FC1D84">
        <w:t>556</w:t>
      </w:r>
      <w:r>
        <w:fldChar w:fldCharType="end"/>
      </w:r>
    </w:p>
    <w:p w:rsidR="006169FD" w:rsidRDefault="006169FD">
      <w:pPr>
        <w:pStyle w:val="TOC4"/>
        <w:tabs>
          <w:tab w:val="right" w:leader="dot" w:pos="7077"/>
        </w:tabs>
        <w:rPr>
          <w:rFonts w:asciiTheme="minorHAnsi" w:eastAsiaTheme="minorEastAsia" w:hAnsiTheme="minorHAnsi" w:cstheme="minorBidi"/>
          <w:b w:val="0"/>
          <w:szCs w:val="22"/>
        </w:rPr>
      </w:pPr>
      <w:r>
        <w:lastRenderedPageBreak/>
        <w:t>Part 3 — Registration of freezing notices and interstate orders</w:t>
      </w:r>
    </w:p>
    <w:p w:rsidR="006169FD" w:rsidRDefault="006169FD">
      <w:pPr>
        <w:pStyle w:val="TOC8"/>
        <w:rPr>
          <w:rFonts w:asciiTheme="minorHAnsi" w:eastAsiaTheme="minorEastAsia" w:hAnsiTheme="minorHAnsi" w:cstheme="minorBidi"/>
          <w:szCs w:val="22"/>
        </w:rPr>
      </w:pPr>
      <w:r>
        <w:t>10.</w:t>
      </w:r>
      <w:r>
        <w:tab/>
        <w:t>Freezing notices, registration of etc.</w:t>
      </w:r>
      <w:r>
        <w:tab/>
      </w:r>
      <w:r>
        <w:fldChar w:fldCharType="begin"/>
      </w:r>
      <w:r>
        <w:instrText xml:space="preserve"> PAGEREF _Toc75863857 \h </w:instrText>
      </w:r>
      <w:r>
        <w:fldChar w:fldCharType="separate"/>
      </w:r>
      <w:r w:rsidR="00FC1D84">
        <w:t>556</w:t>
      </w:r>
      <w:r>
        <w:fldChar w:fldCharType="end"/>
      </w:r>
    </w:p>
    <w:p w:rsidR="006169FD" w:rsidRDefault="006169FD">
      <w:pPr>
        <w:pStyle w:val="TOC8"/>
        <w:rPr>
          <w:rFonts w:asciiTheme="minorHAnsi" w:eastAsiaTheme="minorEastAsia" w:hAnsiTheme="minorHAnsi" w:cstheme="minorBidi"/>
          <w:szCs w:val="22"/>
        </w:rPr>
      </w:pPr>
      <w:r>
        <w:t>11.</w:t>
      </w:r>
      <w:r>
        <w:tab/>
        <w:t>Interstate orders, registration of etc.</w:t>
      </w:r>
      <w:r>
        <w:tab/>
      </w:r>
      <w:r>
        <w:fldChar w:fldCharType="begin"/>
      </w:r>
      <w:r>
        <w:instrText xml:space="preserve"> PAGEREF _Toc75863858 \h </w:instrText>
      </w:r>
      <w:r>
        <w:fldChar w:fldCharType="separate"/>
      </w:r>
      <w:r w:rsidR="00FC1D84">
        <w:t>557</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81G</w:t>
      </w:r>
      <w:r w:rsidRPr="00AA3DF9">
        <w:t> </w:t>
      </w:r>
      <w:r>
        <w:t>— </w:t>
      </w:r>
      <w:r w:rsidRPr="00AA3DF9">
        <w:rPr>
          <w:i/>
          <w:iCs/>
        </w:rPr>
        <w:t>Criminal and Found Property Disposal Act 2006</w:t>
      </w:r>
      <w:r>
        <w:t xml:space="preserve"> rules</w:t>
      </w:r>
    </w:p>
    <w:p w:rsidR="006169FD" w:rsidRDefault="006169FD">
      <w:pPr>
        <w:pStyle w:val="TOC8"/>
        <w:rPr>
          <w:rFonts w:asciiTheme="minorHAnsi" w:eastAsiaTheme="minorEastAsia" w:hAnsiTheme="minorHAnsi" w:cstheme="minorBidi"/>
          <w:szCs w:val="22"/>
        </w:rPr>
      </w:pPr>
      <w:r>
        <w:t>1.</w:t>
      </w:r>
      <w:r>
        <w:tab/>
        <w:t>Terms used</w:t>
      </w:r>
      <w:r>
        <w:tab/>
      </w:r>
      <w:r>
        <w:fldChar w:fldCharType="begin"/>
      </w:r>
      <w:r>
        <w:instrText xml:space="preserve"> PAGEREF _Toc75863860 \h </w:instrText>
      </w:r>
      <w:r>
        <w:fldChar w:fldCharType="separate"/>
      </w:r>
      <w:r w:rsidR="00FC1D84">
        <w:t>558</w:t>
      </w:r>
      <w:r>
        <w:fldChar w:fldCharType="end"/>
      </w:r>
    </w:p>
    <w:p w:rsidR="006169FD" w:rsidRDefault="006169FD">
      <w:pPr>
        <w:pStyle w:val="TOC8"/>
        <w:rPr>
          <w:rFonts w:asciiTheme="minorHAnsi" w:eastAsiaTheme="minorEastAsia" w:hAnsiTheme="minorHAnsi" w:cstheme="minorBidi"/>
          <w:szCs w:val="22"/>
        </w:rPr>
      </w:pPr>
      <w:r>
        <w:t>2.</w:t>
      </w:r>
      <w:r>
        <w:tab/>
        <w:t>General matters</w:t>
      </w:r>
      <w:r>
        <w:tab/>
      </w:r>
      <w:r>
        <w:fldChar w:fldCharType="begin"/>
      </w:r>
      <w:r>
        <w:instrText xml:space="preserve"> PAGEREF _Toc75863861 \h </w:instrText>
      </w:r>
      <w:r>
        <w:fldChar w:fldCharType="separate"/>
      </w:r>
      <w:r w:rsidR="00FC1D84">
        <w:t>558</w:t>
      </w:r>
      <w:r>
        <w:fldChar w:fldCharType="end"/>
      </w:r>
    </w:p>
    <w:p w:rsidR="006169FD" w:rsidRDefault="006169FD">
      <w:pPr>
        <w:pStyle w:val="TOC8"/>
        <w:rPr>
          <w:rFonts w:asciiTheme="minorHAnsi" w:eastAsiaTheme="minorEastAsia" w:hAnsiTheme="minorHAnsi" w:cstheme="minorBidi"/>
          <w:szCs w:val="22"/>
        </w:rPr>
      </w:pPr>
      <w:r>
        <w:t>3.</w:t>
      </w:r>
      <w:r>
        <w:tab/>
        <w:t>Claims, how to be made</w:t>
      </w:r>
      <w:r>
        <w:tab/>
      </w:r>
      <w:r>
        <w:fldChar w:fldCharType="begin"/>
      </w:r>
      <w:r>
        <w:instrText xml:space="preserve"> PAGEREF _Toc75863862 \h </w:instrText>
      </w:r>
      <w:r>
        <w:fldChar w:fldCharType="separate"/>
      </w:r>
      <w:r w:rsidR="00FC1D84">
        <w:t>559</w:t>
      </w:r>
      <w:r>
        <w:fldChar w:fldCharType="end"/>
      </w:r>
    </w:p>
    <w:p w:rsidR="006169FD" w:rsidRDefault="006169FD">
      <w:pPr>
        <w:pStyle w:val="TOC8"/>
        <w:rPr>
          <w:rFonts w:asciiTheme="minorHAnsi" w:eastAsiaTheme="minorEastAsia" w:hAnsiTheme="minorHAnsi" w:cstheme="minorBidi"/>
          <w:szCs w:val="22"/>
        </w:rPr>
      </w:pPr>
      <w:r>
        <w:t>4.</w:t>
      </w:r>
      <w:r>
        <w:tab/>
        <w:t>Defendant may file memorandum of appearance</w:t>
      </w:r>
      <w:r>
        <w:tab/>
      </w:r>
      <w:r>
        <w:fldChar w:fldCharType="begin"/>
      </w:r>
      <w:r>
        <w:instrText xml:space="preserve"> PAGEREF _Toc75863863 \h </w:instrText>
      </w:r>
      <w:r>
        <w:fldChar w:fldCharType="separate"/>
      </w:r>
      <w:r w:rsidR="00FC1D84">
        <w:t>559</w:t>
      </w:r>
      <w:r>
        <w:fldChar w:fldCharType="end"/>
      </w:r>
    </w:p>
    <w:p w:rsidR="006169FD" w:rsidRDefault="006169FD">
      <w:pPr>
        <w:pStyle w:val="TOC8"/>
        <w:rPr>
          <w:rFonts w:asciiTheme="minorHAnsi" w:eastAsiaTheme="minorEastAsia" w:hAnsiTheme="minorHAnsi" w:cstheme="minorBidi"/>
          <w:szCs w:val="22"/>
        </w:rPr>
      </w:pPr>
      <w:r>
        <w:t>5.</w:t>
      </w:r>
      <w:r>
        <w:tab/>
        <w:t>Defendant may file affidavit in response</w:t>
      </w:r>
      <w:r>
        <w:tab/>
      </w:r>
      <w:r>
        <w:fldChar w:fldCharType="begin"/>
      </w:r>
      <w:r>
        <w:instrText xml:space="preserve"> PAGEREF _Toc75863864 \h </w:instrText>
      </w:r>
      <w:r>
        <w:fldChar w:fldCharType="separate"/>
      </w:r>
      <w:r w:rsidR="00FC1D84">
        <w:t>560</w:t>
      </w:r>
      <w:r>
        <w:fldChar w:fldCharType="end"/>
      </w:r>
    </w:p>
    <w:p w:rsidR="006169FD" w:rsidRDefault="006169FD">
      <w:pPr>
        <w:pStyle w:val="TOC8"/>
        <w:rPr>
          <w:rFonts w:asciiTheme="minorHAnsi" w:eastAsiaTheme="minorEastAsia" w:hAnsiTheme="minorHAnsi" w:cstheme="minorBidi"/>
          <w:szCs w:val="22"/>
        </w:rPr>
      </w:pPr>
      <w:r>
        <w:t>6.</w:t>
      </w:r>
      <w:r>
        <w:tab/>
        <w:t>Applications in course of proceedings on claim</w:t>
      </w:r>
      <w:r>
        <w:tab/>
      </w:r>
      <w:r>
        <w:fldChar w:fldCharType="begin"/>
      </w:r>
      <w:r>
        <w:instrText xml:space="preserve"> PAGEREF _Toc75863865 \h </w:instrText>
      </w:r>
      <w:r>
        <w:fldChar w:fldCharType="separate"/>
      </w:r>
      <w:r w:rsidR="00FC1D84">
        <w:t>560</w:t>
      </w:r>
      <w:r>
        <w:fldChar w:fldCharType="end"/>
      </w:r>
    </w:p>
    <w:p w:rsidR="006169FD" w:rsidRDefault="006169FD">
      <w:pPr>
        <w:pStyle w:val="TOC8"/>
        <w:rPr>
          <w:rFonts w:asciiTheme="minorHAnsi" w:eastAsiaTheme="minorEastAsia" w:hAnsiTheme="minorHAnsi" w:cstheme="minorBidi"/>
          <w:szCs w:val="22"/>
        </w:rPr>
      </w:pPr>
      <w:r>
        <w:t>7.</w:t>
      </w:r>
      <w:r>
        <w:tab/>
        <w:t>Hearing claims</w:t>
      </w:r>
      <w:r>
        <w:tab/>
      </w:r>
      <w:r>
        <w:fldChar w:fldCharType="begin"/>
      </w:r>
      <w:r>
        <w:instrText xml:space="preserve"> PAGEREF _Toc75863866 \h </w:instrText>
      </w:r>
      <w:r>
        <w:fldChar w:fldCharType="separate"/>
      </w:r>
      <w:r w:rsidR="00FC1D84">
        <w:t>560</w:t>
      </w:r>
      <w:r>
        <w:fldChar w:fldCharType="end"/>
      </w:r>
    </w:p>
    <w:p w:rsidR="006169FD" w:rsidRDefault="006169FD">
      <w:pPr>
        <w:pStyle w:val="TOC8"/>
        <w:rPr>
          <w:rFonts w:asciiTheme="minorHAnsi" w:eastAsiaTheme="minorEastAsia" w:hAnsiTheme="minorHAnsi" w:cstheme="minorBidi"/>
          <w:szCs w:val="22"/>
        </w:rPr>
      </w:pPr>
      <w:r>
        <w:t>8.</w:t>
      </w:r>
      <w:r>
        <w:tab/>
        <w:t>Costs</w:t>
      </w:r>
      <w:r>
        <w:tab/>
      </w:r>
      <w:r>
        <w:fldChar w:fldCharType="begin"/>
      </w:r>
      <w:r>
        <w:instrText xml:space="preserve"> PAGEREF _Toc75863867 \h </w:instrText>
      </w:r>
      <w:r>
        <w:fldChar w:fldCharType="separate"/>
      </w:r>
      <w:r w:rsidR="00FC1D84">
        <w:t>561</w:t>
      </w:r>
      <w:r>
        <w:fldChar w:fldCharType="end"/>
      </w:r>
    </w:p>
    <w:p w:rsidR="006169FD" w:rsidRDefault="006169FD">
      <w:pPr>
        <w:pStyle w:val="TOC8"/>
        <w:rPr>
          <w:rFonts w:asciiTheme="minorHAnsi" w:eastAsiaTheme="minorEastAsia" w:hAnsiTheme="minorHAnsi" w:cstheme="minorBidi"/>
          <w:szCs w:val="22"/>
        </w:rPr>
      </w:pPr>
      <w:r>
        <w:t>9.</w:t>
      </w:r>
      <w:r>
        <w:tab/>
        <w:t>Documents cannot be filed electronically</w:t>
      </w:r>
      <w:r>
        <w:tab/>
      </w:r>
      <w:r>
        <w:fldChar w:fldCharType="begin"/>
      </w:r>
      <w:r>
        <w:instrText xml:space="preserve"> PAGEREF _Toc75863868 \h </w:instrText>
      </w:r>
      <w:r>
        <w:fldChar w:fldCharType="separate"/>
      </w:r>
      <w:r w:rsidR="00FC1D84">
        <w:t>561</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81H</w:t>
      </w:r>
      <w:r w:rsidRPr="00AA3DF9">
        <w:rPr>
          <w:b w:val="0"/>
        </w:rPr>
        <w:t> </w:t>
      </w:r>
      <w:r>
        <w:t>—</w:t>
      </w:r>
      <w:r w:rsidRPr="00AA3DF9">
        <w:rPr>
          <w:b w:val="0"/>
        </w:rPr>
        <w:t> </w:t>
      </w:r>
      <w:r w:rsidRPr="00AA3DF9">
        <w:rPr>
          <w:i/>
          <w:iCs/>
        </w:rPr>
        <w:t xml:space="preserve">Surveillance Devices Act 1998 </w:t>
      </w:r>
      <w:r>
        <w:t>rules</w:t>
      </w:r>
    </w:p>
    <w:p w:rsidR="006169FD" w:rsidRDefault="006169FD">
      <w:pPr>
        <w:pStyle w:val="TOC8"/>
        <w:rPr>
          <w:rFonts w:asciiTheme="minorHAnsi" w:eastAsiaTheme="minorEastAsia" w:hAnsiTheme="minorHAnsi" w:cstheme="minorBidi"/>
          <w:szCs w:val="22"/>
        </w:rPr>
      </w:pPr>
      <w:r>
        <w:t>1.</w:t>
      </w:r>
      <w:r>
        <w:tab/>
        <w:t>Term used: Act</w:t>
      </w:r>
      <w:r>
        <w:tab/>
      </w:r>
      <w:r>
        <w:fldChar w:fldCharType="begin"/>
      </w:r>
      <w:r>
        <w:instrText xml:space="preserve"> PAGEREF _Toc75863870 \h </w:instrText>
      </w:r>
      <w:r>
        <w:fldChar w:fldCharType="separate"/>
      </w:r>
      <w:r w:rsidR="00FC1D84">
        <w:t>562</w:t>
      </w:r>
      <w:r>
        <w:fldChar w:fldCharType="end"/>
      </w:r>
    </w:p>
    <w:p w:rsidR="006169FD" w:rsidRDefault="006169FD">
      <w:pPr>
        <w:pStyle w:val="TOC8"/>
        <w:rPr>
          <w:rFonts w:asciiTheme="minorHAnsi" w:eastAsiaTheme="minorEastAsia" w:hAnsiTheme="minorHAnsi" w:cstheme="minorBidi"/>
          <w:szCs w:val="22"/>
        </w:rPr>
      </w:pPr>
      <w:r>
        <w:t>2.</w:t>
      </w:r>
      <w:r>
        <w:tab/>
        <w:t>Warrants, applications for</w:t>
      </w:r>
      <w:r>
        <w:tab/>
      </w:r>
      <w:r>
        <w:fldChar w:fldCharType="begin"/>
      </w:r>
      <w:r>
        <w:instrText xml:space="preserve"> PAGEREF _Toc75863871 \h </w:instrText>
      </w:r>
      <w:r>
        <w:fldChar w:fldCharType="separate"/>
      </w:r>
      <w:r w:rsidR="00FC1D84">
        <w:t>562</w:t>
      </w:r>
      <w:r>
        <w:fldChar w:fldCharType="end"/>
      </w:r>
    </w:p>
    <w:p w:rsidR="006169FD" w:rsidRDefault="006169FD">
      <w:pPr>
        <w:pStyle w:val="TOC8"/>
        <w:rPr>
          <w:rFonts w:asciiTheme="minorHAnsi" w:eastAsiaTheme="minorEastAsia" w:hAnsiTheme="minorHAnsi" w:cstheme="minorBidi"/>
          <w:szCs w:val="22"/>
        </w:rPr>
      </w:pPr>
      <w:r>
        <w:t>3.</w:t>
      </w:r>
      <w:r>
        <w:tab/>
        <w:t>Report to judge (Act s. 21 or 30)</w:t>
      </w:r>
      <w:r>
        <w:tab/>
      </w:r>
      <w:r>
        <w:fldChar w:fldCharType="begin"/>
      </w:r>
      <w:r>
        <w:instrText xml:space="preserve"> PAGEREF _Toc75863872 \h </w:instrText>
      </w:r>
      <w:r>
        <w:fldChar w:fldCharType="separate"/>
      </w:r>
      <w:r w:rsidR="00FC1D84">
        <w:t>562</w:t>
      </w:r>
      <w:r>
        <w:fldChar w:fldCharType="end"/>
      </w:r>
    </w:p>
    <w:p w:rsidR="006169FD" w:rsidRDefault="006169FD">
      <w:pPr>
        <w:pStyle w:val="TOC8"/>
        <w:rPr>
          <w:rFonts w:asciiTheme="minorHAnsi" w:eastAsiaTheme="minorEastAsia" w:hAnsiTheme="minorHAnsi" w:cstheme="minorBidi"/>
          <w:szCs w:val="22"/>
        </w:rPr>
      </w:pPr>
      <w:r>
        <w:t>4.</w:t>
      </w:r>
      <w:r>
        <w:tab/>
        <w:t>Order allowing publication etc. (Act s. 31), application for</w:t>
      </w:r>
      <w:r>
        <w:tab/>
      </w:r>
      <w:r>
        <w:fldChar w:fldCharType="begin"/>
      </w:r>
      <w:r>
        <w:instrText xml:space="preserve"> PAGEREF _Toc75863873 \h </w:instrText>
      </w:r>
      <w:r>
        <w:fldChar w:fldCharType="separate"/>
      </w:r>
      <w:r w:rsidR="00FC1D84">
        <w:t>562</w:t>
      </w:r>
      <w:r>
        <w:fldChar w:fldCharType="end"/>
      </w:r>
    </w:p>
    <w:p w:rsidR="006169FD" w:rsidRDefault="006169FD">
      <w:pPr>
        <w:pStyle w:val="TOC8"/>
        <w:rPr>
          <w:rFonts w:asciiTheme="minorHAnsi" w:eastAsiaTheme="minorEastAsia" w:hAnsiTheme="minorHAnsi" w:cstheme="minorBidi"/>
          <w:szCs w:val="22"/>
        </w:rPr>
      </w:pPr>
      <w:r>
        <w:t>5.</w:t>
      </w:r>
      <w:r>
        <w:tab/>
        <w:t>Identification of persons in documents</w:t>
      </w:r>
      <w:r>
        <w:tab/>
      </w:r>
      <w:r>
        <w:fldChar w:fldCharType="begin"/>
      </w:r>
      <w:r>
        <w:instrText xml:space="preserve"> PAGEREF _Toc75863874 \h </w:instrText>
      </w:r>
      <w:r>
        <w:fldChar w:fldCharType="separate"/>
      </w:r>
      <w:r w:rsidR="00FC1D84">
        <w:t>563</w:t>
      </w:r>
      <w:r>
        <w:fldChar w:fldCharType="end"/>
      </w:r>
    </w:p>
    <w:p w:rsidR="006169FD" w:rsidRDefault="006169FD">
      <w:pPr>
        <w:pStyle w:val="TOC8"/>
        <w:rPr>
          <w:rFonts w:asciiTheme="minorHAnsi" w:eastAsiaTheme="minorEastAsia" w:hAnsiTheme="minorHAnsi" w:cstheme="minorBidi"/>
          <w:szCs w:val="22"/>
        </w:rPr>
      </w:pPr>
      <w:r>
        <w:t>6.</w:t>
      </w:r>
      <w:r>
        <w:tab/>
        <w:t>Practice Directions</w:t>
      </w:r>
      <w:r>
        <w:tab/>
      </w:r>
      <w:r>
        <w:fldChar w:fldCharType="begin"/>
      </w:r>
      <w:r>
        <w:instrText xml:space="preserve"> PAGEREF _Toc75863875 \h </w:instrText>
      </w:r>
      <w:r>
        <w:fldChar w:fldCharType="separate"/>
      </w:r>
      <w:r w:rsidR="00FC1D84">
        <w:t>563</w:t>
      </w:r>
      <w:r>
        <w:fldChar w:fldCharType="end"/>
      </w:r>
    </w:p>
    <w:p w:rsidR="006169FD" w:rsidRDefault="006169FD">
      <w:pPr>
        <w:pStyle w:val="TOC8"/>
        <w:rPr>
          <w:rFonts w:asciiTheme="minorHAnsi" w:eastAsiaTheme="minorEastAsia" w:hAnsiTheme="minorHAnsi" w:cstheme="minorBidi"/>
          <w:szCs w:val="22"/>
        </w:rPr>
      </w:pPr>
      <w:r>
        <w:t>7.</w:t>
      </w:r>
      <w:r>
        <w:tab/>
        <w:t>Documents cannot be filed electronically</w:t>
      </w:r>
      <w:r>
        <w:tab/>
      </w:r>
      <w:r>
        <w:fldChar w:fldCharType="begin"/>
      </w:r>
      <w:r>
        <w:instrText xml:space="preserve"> PAGEREF _Toc75863876 \h </w:instrText>
      </w:r>
      <w:r>
        <w:fldChar w:fldCharType="separate"/>
      </w:r>
      <w:r w:rsidR="00FC1D84">
        <w:t>563</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82 — Sheriff’s rules</w:t>
      </w:r>
    </w:p>
    <w:p w:rsidR="006169FD" w:rsidRDefault="006169FD">
      <w:pPr>
        <w:pStyle w:val="TOC8"/>
        <w:rPr>
          <w:rFonts w:asciiTheme="minorHAnsi" w:eastAsiaTheme="minorEastAsia" w:hAnsiTheme="minorHAnsi" w:cstheme="minorBidi"/>
          <w:szCs w:val="22"/>
        </w:rPr>
      </w:pPr>
      <w:r>
        <w:t>7</w:t>
      </w:r>
      <w:r w:rsidRPr="00AA3DF9">
        <w:rPr>
          <w:snapToGrid w:val="0"/>
        </w:rPr>
        <w:t>.</w:t>
      </w:r>
      <w:r w:rsidRPr="00AA3DF9">
        <w:rPr>
          <w:snapToGrid w:val="0"/>
        </w:rPr>
        <w:tab/>
        <w:t>Service of process by sheriff</w:t>
      </w:r>
      <w:r>
        <w:tab/>
      </w:r>
      <w:r>
        <w:fldChar w:fldCharType="begin"/>
      </w:r>
      <w:r>
        <w:instrText xml:space="preserve"> PAGEREF _Toc75863878 \h </w:instrText>
      </w:r>
      <w:r>
        <w:fldChar w:fldCharType="separate"/>
      </w:r>
      <w:r w:rsidR="00FC1D84">
        <w:t>564</w:t>
      </w:r>
      <w:r>
        <w:fldChar w:fldCharType="end"/>
      </w:r>
    </w:p>
    <w:p w:rsidR="006169FD" w:rsidRDefault="006169FD">
      <w:pPr>
        <w:pStyle w:val="TOC8"/>
        <w:rPr>
          <w:rFonts w:asciiTheme="minorHAnsi" w:eastAsiaTheme="minorEastAsia" w:hAnsiTheme="minorHAnsi" w:cstheme="minorBidi"/>
          <w:szCs w:val="22"/>
        </w:rPr>
      </w:pPr>
      <w:r>
        <w:t>9</w:t>
      </w:r>
      <w:r w:rsidRPr="00AA3DF9">
        <w:rPr>
          <w:snapToGrid w:val="0"/>
        </w:rPr>
        <w:t>.</w:t>
      </w:r>
      <w:r w:rsidRPr="00AA3DF9">
        <w:rPr>
          <w:snapToGrid w:val="0"/>
        </w:rPr>
        <w:tab/>
        <w:t>Fees etc. payable to sheriff, disputes as to</w:t>
      </w:r>
      <w:r>
        <w:tab/>
      </w:r>
      <w:r>
        <w:fldChar w:fldCharType="begin"/>
      </w:r>
      <w:r>
        <w:instrText xml:space="preserve"> PAGEREF _Toc75863879 \h </w:instrText>
      </w:r>
      <w:r>
        <w:fldChar w:fldCharType="separate"/>
      </w:r>
      <w:r w:rsidR="00FC1D84">
        <w:t>564</w:t>
      </w:r>
      <w:r>
        <w:fldChar w:fldCharType="end"/>
      </w:r>
    </w:p>
    <w:p w:rsidR="006169FD" w:rsidRDefault="006169FD">
      <w:pPr>
        <w:pStyle w:val="TOC8"/>
        <w:rPr>
          <w:rFonts w:asciiTheme="minorHAnsi" w:eastAsiaTheme="minorEastAsia" w:hAnsiTheme="minorHAnsi" w:cstheme="minorBidi"/>
          <w:szCs w:val="22"/>
        </w:rPr>
      </w:pPr>
      <w:r>
        <w:t>11</w:t>
      </w:r>
      <w:r w:rsidRPr="00AA3DF9">
        <w:rPr>
          <w:snapToGrid w:val="0"/>
        </w:rPr>
        <w:t>.</w:t>
      </w:r>
      <w:r w:rsidRPr="00AA3DF9">
        <w:rPr>
          <w:snapToGrid w:val="0"/>
        </w:rPr>
        <w:tab/>
        <w:t>Deposit on account of sheriff’s fees</w:t>
      </w:r>
      <w:r>
        <w:tab/>
      </w:r>
      <w:r>
        <w:fldChar w:fldCharType="begin"/>
      </w:r>
      <w:r>
        <w:instrText xml:space="preserve"> PAGEREF _Toc75863880 \h </w:instrText>
      </w:r>
      <w:r>
        <w:fldChar w:fldCharType="separate"/>
      </w:r>
      <w:r w:rsidR="00FC1D84">
        <w:t>565</w:t>
      </w:r>
      <w:r>
        <w:fldChar w:fldCharType="end"/>
      </w:r>
    </w:p>
    <w:p w:rsidR="006169FD" w:rsidRDefault="006169FD">
      <w:pPr>
        <w:pStyle w:val="TOC8"/>
        <w:rPr>
          <w:rFonts w:asciiTheme="minorHAnsi" w:eastAsiaTheme="minorEastAsia" w:hAnsiTheme="minorHAnsi" w:cstheme="minorBidi"/>
          <w:szCs w:val="22"/>
        </w:rPr>
      </w:pPr>
      <w:r>
        <w:t>14</w:t>
      </w:r>
      <w:r w:rsidRPr="00AA3DF9">
        <w:rPr>
          <w:snapToGrid w:val="0"/>
        </w:rPr>
        <w:t>.</w:t>
      </w:r>
      <w:r w:rsidRPr="00AA3DF9">
        <w:rPr>
          <w:snapToGrid w:val="0"/>
        </w:rPr>
        <w:tab/>
        <w:t>Travel distance by sheriff for service</w:t>
      </w:r>
      <w:r>
        <w:tab/>
      </w:r>
      <w:r>
        <w:fldChar w:fldCharType="begin"/>
      </w:r>
      <w:r>
        <w:instrText xml:space="preserve"> PAGEREF _Toc75863881 \h </w:instrText>
      </w:r>
      <w:r>
        <w:fldChar w:fldCharType="separate"/>
      </w:r>
      <w:r w:rsidR="00FC1D84">
        <w:t>565</w:t>
      </w:r>
      <w:r>
        <w:fldChar w:fldCharType="end"/>
      </w:r>
    </w:p>
    <w:p w:rsidR="006169FD" w:rsidRDefault="006169FD">
      <w:pPr>
        <w:pStyle w:val="TOC8"/>
        <w:rPr>
          <w:rFonts w:asciiTheme="minorHAnsi" w:eastAsiaTheme="minorEastAsia" w:hAnsiTheme="minorHAnsi" w:cstheme="minorBidi"/>
          <w:szCs w:val="22"/>
        </w:rPr>
      </w:pPr>
      <w:r>
        <w:t>16</w:t>
      </w:r>
      <w:r w:rsidRPr="00AA3DF9">
        <w:rPr>
          <w:snapToGrid w:val="0"/>
        </w:rPr>
        <w:t>.</w:t>
      </w:r>
      <w:r w:rsidRPr="00AA3DF9">
        <w:rPr>
          <w:snapToGrid w:val="0"/>
        </w:rPr>
        <w:tab/>
        <w:t>Non</w:t>
      </w:r>
      <w:r w:rsidRPr="00AA3DF9">
        <w:rPr>
          <w:snapToGrid w:val="0"/>
        </w:rPr>
        <w:noBreakHyphen/>
        <w:t>payment of sheriff’s fees, consequences of</w:t>
      </w:r>
      <w:r>
        <w:tab/>
      </w:r>
      <w:r>
        <w:fldChar w:fldCharType="begin"/>
      </w:r>
      <w:r>
        <w:instrText xml:space="preserve"> PAGEREF _Toc75863882 \h </w:instrText>
      </w:r>
      <w:r>
        <w:fldChar w:fldCharType="separate"/>
      </w:r>
      <w:r w:rsidR="00FC1D84">
        <w:t>565</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83 — Consolidation of pending causes and matters</w:t>
      </w:r>
    </w:p>
    <w:p w:rsidR="006169FD" w:rsidRDefault="006169FD">
      <w:pPr>
        <w:pStyle w:val="TOC8"/>
        <w:rPr>
          <w:rFonts w:asciiTheme="minorHAnsi" w:eastAsiaTheme="minorEastAsia" w:hAnsiTheme="minorHAnsi" w:cstheme="minorBidi"/>
          <w:szCs w:val="22"/>
        </w:rPr>
      </w:pPr>
      <w:r>
        <w:t>1</w:t>
      </w:r>
      <w:r w:rsidRPr="00AA3DF9">
        <w:rPr>
          <w:snapToGrid w:val="0"/>
        </w:rPr>
        <w:t>.</w:t>
      </w:r>
      <w:r w:rsidRPr="00AA3DF9">
        <w:rPr>
          <w:snapToGrid w:val="0"/>
        </w:rPr>
        <w:tab/>
        <w:t>Causes may be consolidated</w:t>
      </w:r>
      <w:r>
        <w:tab/>
      </w:r>
      <w:r>
        <w:fldChar w:fldCharType="begin"/>
      </w:r>
      <w:r>
        <w:instrText xml:space="preserve"> PAGEREF _Toc75863884 \h </w:instrText>
      </w:r>
      <w:r>
        <w:fldChar w:fldCharType="separate"/>
      </w:r>
      <w:r w:rsidR="00FC1D84">
        <w:t>567</w:t>
      </w:r>
      <w:r>
        <w:fldChar w:fldCharType="end"/>
      </w:r>
    </w:p>
    <w:p w:rsidR="006169FD" w:rsidRDefault="006169FD">
      <w:pPr>
        <w:pStyle w:val="TOC8"/>
        <w:rPr>
          <w:rFonts w:asciiTheme="minorHAnsi" w:eastAsiaTheme="minorEastAsia" w:hAnsiTheme="minorHAnsi" w:cstheme="minorBidi"/>
          <w:szCs w:val="22"/>
        </w:rPr>
      </w:pPr>
      <w:r>
        <w:lastRenderedPageBreak/>
        <w:t>2</w:t>
      </w:r>
      <w:r w:rsidRPr="00AA3DF9">
        <w:rPr>
          <w:snapToGrid w:val="0"/>
        </w:rPr>
        <w:t>.</w:t>
      </w:r>
      <w:r w:rsidRPr="00AA3DF9">
        <w:rPr>
          <w:snapToGrid w:val="0"/>
        </w:rPr>
        <w:tab/>
        <w:t>Consolidation with action removed from another court</w:t>
      </w:r>
      <w:r>
        <w:tab/>
      </w:r>
      <w:r>
        <w:fldChar w:fldCharType="begin"/>
      </w:r>
      <w:r>
        <w:instrText xml:space="preserve"> PAGEREF _Toc75863885 \h </w:instrText>
      </w:r>
      <w:r>
        <w:fldChar w:fldCharType="separate"/>
      </w:r>
      <w:r w:rsidR="00FC1D84">
        <w:t>567</w:t>
      </w:r>
      <w:r>
        <w:fldChar w:fldCharType="end"/>
      </w:r>
    </w:p>
    <w:p w:rsidR="006169FD" w:rsidRDefault="006169FD">
      <w:pPr>
        <w:pStyle w:val="TOC8"/>
        <w:rPr>
          <w:rFonts w:asciiTheme="minorHAnsi" w:eastAsiaTheme="minorEastAsia" w:hAnsiTheme="minorHAnsi" w:cstheme="minorBidi"/>
          <w:szCs w:val="22"/>
        </w:rPr>
      </w:pPr>
      <w:r>
        <w:t>3</w:t>
      </w:r>
      <w:r w:rsidRPr="00AA3DF9">
        <w:rPr>
          <w:snapToGrid w:val="0"/>
        </w:rPr>
        <w:t>.</w:t>
      </w:r>
      <w:r w:rsidRPr="00AA3DF9">
        <w:rPr>
          <w:snapToGrid w:val="0"/>
        </w:rPr>
        <w:tab/>
        <w:t>Directions</w:t>
      </w:r>
      <w:r>
        <w:tab/>
      </w:r>
      <w:r>
        <w:fldChar w:fldCharType="begin"/>
      </w:r>
      <w:r>
        <w:instrText xml:space="preserve"> PAGEREF _Toc75863886 \h </w:instrText>
      </w:r>
      <w:r>
        <w:fldChar w:fldCharType="separate"/>
      </w:r>
      <w:r w:rsidR="00FC1D84">
        <w:t>567</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84 — General rules</w:t>
      </w:r>
    </w:p>
    <w:p w:rsidR="006169FD" w:rsidRDefault="006169FD">
      <w:pPr>
        <w:pStyle w:val="TOC8"/>
        <w:rPr>
          <w:rFonts w:asciiTheme="minorHAnsi" w:eastAsiaTheme="minorEastAsia" w:hAnsiTheme="minorHAnsi" w:cstheme="minorBidi"/>
          <w:szCs w:val="22"/>
        </w:rPr>
      </w:pPr>
      <w:r>
        <w:t>1</w:t>
      </w:r>
      <w:r w:rsidRPr="00AA3DF9">
        <w:rPr>
          <w:snapToGrid w:val="0"/>
        </w:rPr>
        <w:t>.</w:t>
      </w:r>
      <w:r w:rsidRPr="00AA3DF9">
        <w:rPr>
          <w:snapToGrid w:val="0"/>
        </w:rPr>
        <w:tab/>
        <w:t>Repealed Orders not revived</w:t>
      </w:r>
      <w:r>
        <w:tab/>
      </w:r>
      <w:r>
        <w:fldChar w:fldCharType="begin"/>
      </w:r>
      <w:r>
        <w:instrText xml:space="preserve"> PAGEREF _Toc75863888 \h </w:instrText>
      </w:r>
      <w:r>
        <w:fldChar w:fldCharType="separate"/>
      </w:r>
      <w:r w:rsidR="00FC1D84">
        <w:t>568</w:t>
      </w:r>
      <w:r>
        <w:fldChar w:fldCharType="end"/>
      </w:r>
    </w:p>
    <w:p w:rsidR="006169FD" w:rsidRDefault="006169FD">
      <w:pPr>
        <w:pStyle w:val="TOC8"/>
        <w:rPr>
          <w:rFonts w:asciiTheme="minorHAnsi" w:eastAsiaTheme="minorEastAsia" w:hAnsiTheme="minorHAnsi" w:cstheme="minorBidi"/>
          <w:szCs w:val="22"/>
        </w:rPr>
      </w:pPr>
      <w:r>
        <w:t>2</w:t>
      </w:r>
      <w:r w:rsidRPr="00AA3DF9">
        <w:rPr>
          <w:snapToGrid w:val="0"/>
        </w:rPr>
        <w:t>.</w:t>
      </w:r>
      <w:r w:rsidRPr="00AA3DF9">
        <w:rPr>
          <w:snapToGrid w:val="0"/>
        </w:rPr>
        <w:tab/>
        <w:t>Cases not provided for</w:t>
      </w:r>
      <w:r>
        <w:tab/>
      </w:r>
      <w:r>
        <w:fldChar w:fldCharType="begin"/>
      </w:r>
      <w:r>
        <w:instrText xml:space="preserve"> PAGEREF _Toc75863889 \h </w:instrText>
      </w:r>
      <w:r>
        <w:fldChar w:fldCharType="separate"/>
      </w:r>
      <w:r w:rsidR="00FC1D84">
        <w:t>568</w:t>
      </w:r>
      <w:r>
        <w:fldChar w:fldCharType="end"/>
      </w:r>
    </w:p>
    <w:p w:rsidR="006169FD" w:rsidRDefault="006169FD">
      <w:pPr>
        <w:pStyle w:val="TOC8"/>
        <w:rPr>
          <w:rFonts w:asciiTheme="minorHAnsi" w:eastAsiaTheme="minorEastAsia" w:hAnsiTheme="minorHAnsi" w:cstheme="minorBidi"/>
          <w:szCs w:val="22"/>
        </w:rPr>
      </w:pPr>
      <w:r>
        <w:t>3</w:t>
      </w:r>
      <w:r w:rsidRPr="00AA3DF9">
        <w:rPr>
          <w:snapToGrid w:val="0"/>
        </w:rPr>
        <w:t>.</w:t>
      </w:r>
      <w:r w:rsidRPr="00AA3DF9">
        <w:rPr>
          <w:snapToGrid w:val="0"/>
        </w:rPr>
        <w:tab/>
        <w:t>Publication of written reasons for judgment</w:t>
      </w:r>
      <w:r>
        <w:tab/>
      </w:r>
      <w:r>
        <w:fldChar w:fldCharType="begin"/>
      </w:r>
      <w:r>
        <w:instrText xml:space="preserve"> PAGEREF _Toc75863890 \h </w:instrText>
      </w:r>
      <w:r>
        <w:fldChar w:fldCharType="separate"/>
      </w:r>
      <w:r w:rsidR="00FC1D84">
        <w:t>568</w:t>
      </w:r>
      <w:r>
        <w:fldChar w:fldCharType="end"/>
      </w:r>
    </w:p>
    <w:p w:rsidR="006169FD" w:rsidRDefault="006169FD">
      <w:pPr>
        <w:pStyle w:val="TOC8"/>
        <w:rPr>
          <w:rFonts w:asciiTheme="minorHAnsi" w:eastAsiaTheme="minorEastAsia" w:hAnsiTheme="minorHAnsi" w:cstheme="minorBidi"/>
          <w:szCs w:val="22"/>
        </w:rPr>
      </w:pPr>
      <w:r>
        <w:t>4</w:t>
      </w:r>
      <w:r w:rsidRPr="00AA3DF9">
        <w:rPr>
          <w:snapToGrid w:val="0"/>
        </w:rPr>
        <w:t>.</w:t>
      </w:r>
      <w:r w:rsidRPr="00AA3DF9">
        <w:rPr>
          <w:snapToGrid w:val="0"/>
        </w:rPr>
        <w:tab/>
        <w:t>Bankruptcy jurisdiction, duty of Registrar in Bankruptcy as to seals, records etc.</w:t>
      </w:r>
      <w:r>
        <w:tab/>
      </w:r>
      <w:r>
        <w:fldChar w:fldCharType="begin"/>
      </w:r>
      <w:r>
        <w:instrText xml:space="preserve"> PAGEREF _Toc75863891 \h </w:instrText>
      </w:r>
      <w:r>
        <w:fldChar w:fldCharType="separate"/>
      </w:r>
      <w:r w:rsidR="00FC1D84">
        <w:t>569</w:t>
      </w:r>
      <w:r>
        <w:fldChar w:fldCharType="end"/>
      </w:r>
    </w:p>
    <w:p w:rsidR="006169FD" w:rsidRDefault="006169FD">
      <w:pPr>
        <w:pStyle w:val="TOC8"/>
        <w:rPr>
          <w:rFonts w:asciiTheme="minorHAnsi" w:eastAsiaTheme="minorEastAsia" w:hAnsiTheme="minorHAnsi" w:cstheme="minorBidi"/>
          <w:szCs w:val="22"/>
        </w:rPr>
      </w:pPr>
      <w:r>
        <w:t>5</w:t>
      </w:r>
      <w:r w:rsidRPr="00AA3DF9">
        <w:rPr>
          <w:snapToGrid w:val="0"/>
        </w:rPr>
        <w:t>.</w:t>
      </w:r>
      <w:r w:rsidRPr="00AA3DF9">
        <w:rPr>
          <w:snapToGrid w:val="0"/>
        </w:rPr>
        <w:tab/>
      </w:r>
      <w:r w:rsidRPr="00AA3DF9">
        <w:rPr>
          <w:i/>
          <w:iCs/>
          <w:snapToGrid w:val="0"/>
        </w:rPr>
        <w:t xml:space="preserve">Public Trustee Act 1941 </w:t>
      </w:r>
      <w:r w:rsidRPr="00AA3DF9">
        <w:rPr>
          <w:snapToGrid w:val="0"/>
        </w:rPr>
        <w:t>s. 27, proceedings under</w:t>
      </w:r>
      <w:r>
        <w:tab/>
      </w:r>
      <w:r>
        <w:fldChar w:fldCharType="begin"/>
      </w:r>
      <w:r>
        <w:instrText xml:space="preserve"> PAGEREF _Toc75863892 \h </w:instrText>
      </w:r>
      <w:r>
        <w:fldChar w:fldCharType="separate"/>
      </w:r>
      <w:r w:rsidR="00FC1D84">
        <w:t>569</w:t>
      </w:r>
      <w:r>
        <w:fldChar w:fldCharType="end"/>
      </w:r>
    </w:p>
    <w:p w:rsidR="006169FD" w:rsidRDefault="006169FD">
      <w:pPr>
        <w:pStyle w:val="TOC8"/>
        <w:rPr>
          <w:rFonts w:asciiTheme="minorHAnsi" w:eastAsiaTheme="minorEastAsia" w:hAnsiTheme="minorHAnsi" w:cstheme="minorBidi"/>
          <w:szCs w:val="22"/>
        </w:rPr>
      </w:pPr>
      <w:r>
        <w:t>6</w:t>
      </w:r>
      <w:r w:rsidRPr="00AA3DF9">
        <w:rPr>
          <w:snapToGrid w:val="0"/>
        </w:rPr>
        <w:t>.</w:t>
      </w:r>
      <w:r w:rsidRPr="00AA3DF9">
        <w:rPr>
          <w:snapToGrid w:val="0"/>
        </w:rPr>
        <w:tab/>
        <w:t>Sale proceeds paid into court, claimants to must file affidavit</w:t>
      </w:r>
      <w:r>
        <w:tab/>
      </w:r>
      <w:r>
        <w:fldChar w:fldCharType="begin"/>
      </w:r>
      <w:r>
        <w:instrText xml:space="preserve"> PAGEREF _Toc75863893 \h </w:instrText>
      </w:r>
      <w:r>
        <w:fldChar w:fldCharType="separate"/>
      </w:r>
      <w:r w:rsidR="00FC1D84">
        <w:t>570</w:t>
      </w:r>
      <w:r>
        <w:fldChar w:fldCharType="end"/>
      </w:r>
    </w:p>
    <w:p w:rsidR="006169FD" w:rsidRDefault="006169FD">
      <w:pPr>
        <w:pStyle w:val="TOC8"/>
        <w:rPr>
          <w:rFonts w:asciiTheme="minorHAnsi" w:eastAsiaTheme="minorEastAsia" w:hAnsiTheme="minorHAnsi" w:cstheme="minorBidi"/>
          <w:szCs w:val="22"/>
        </w:rPr>
      </w:pPr>
      <w:r>
        <w:t>7</w:t>
      </w:r>
      <w:r w:rsidRPr="00AA3DF9">
        <w:rPr>
          <w:snapToGrid w:val="0"/>
        </w:rPr>
        <w:t>.</w:t>
      </w:r>
      <w:r w:rsidRPr="00AA3DF9">
        <w:rPr>
          <w:snapToGrid w:val="0"/>
        </w:rPr>
        <w:tab/>
        <w:t>Account by solicitor to client, applying for and order as to</w:t>
      </w:r>
      <w:r>
        <w:tab/>
      </w:r>
      <w:r>
        <w:fldChar w:fldCharType="begin"/>
      </w:r>
      <w:r>
        <w:instrText xml:space="preserve"> PAGEREF _Toc75863894 \h </w:instrText>
      </w:r>
      <w:r>
        <w:fldChar w:fldCharType="separate"/>
      </w:r>
      <w:r w:rsidR="00FC1D84">
        <w:t>570</w:t>
      </w:r>
      <w:r>
        <w:fldChar w:fldCharType="end"/>
      </w:r>
    </w:p>
    <w:p w:rsidR="006169FD" w:rsidRDefault="006169FD">
      <w:pPr>
        <w:pStyle w:val="TOC8"/>
        <w:rPr>
          <w:rFonts w:asciiTheme="minorHAnsi" w:eastAsiaTheme="minorEastAsia" w:hAnsiTheme="minorHAnsi" w:cstheme="minorBidi"/>
          <w:szCs w:val="22"/>
        </w:rPr>
      </w:pPr>
      <w:r>
        <w:t>8.</w:t>
      </w:r>
      <w:r>
        <w:tab/>
        <w:t>Interest and apportionment, certification of</w:t>
      </w:r>
      <w:r>
        <w:tab/>
      </w:r>
      <w:r>
        <w:fldChar w:fldCharType="begin"/>
      </w:r>
      <w:r>
        <w:instrText xml:space="preserve"> PAGEREF _Toc75863895 \h </w:instrText>
      </w:r>
      <w:r>
        <w:fldChar w:fldCharType="separate"/>
      </w:r>
      <w:r w:rsidR="00FC1D84">
        <w:t>570</w:t>
      </w:r>
      <w:r>
        <w:fldChar w:fldCharType="end"/>
      </w:r>
    </w:p>
    <w:p w:rsidR="006169FD" w:rsidRDefault="006169FD">
      <w:pPr>
        <w:pStyle w:val="TOC8"/>
        <w:rPr>
          <w:rFonts w:asciiTheme="minorHAnsi" w:eastAsiaTheme="minorEastAsia" w:hAnsiTheme="minorHAnsi" w:cstheme="minorBidi"/>
          <w:szCs w:val="22"/>
        </w:rPr>
      </w:pPr>
      <w:r>
        <w:t>9</w:t>
      </w:r>
      <w:r w:rsidRPr="00AA3DF9">
        <w:rPr>
          <w:snapToGrid w:val="0"/>
        </w:rPr>
        <w:t>.</w:t>
      </w:r>
      <w:r w:rsidRPr="00AA3DF9">
        <w:rPr>
          <w:snapToGrid w:val="0"/>
        </w:rPr>
        <w:tab/>
      </w:r>
      <w:r w:rsidRPr="00AA3DF9">
        <w:rPr>
          <w:i/>
          <w:snapToGrid w:val="0"/>
        </w:rPr>
        <w:t>Admiralty Act 1988</w:t>
      </w:r>
      <w:r w:rsidRPr="00AA3DF9">
        <w:rPr>
          <w:snapToGrid w:val="0"/>
        </w:rPr>
        <w:t xml:space="preserve"> (Cwlth) rules, registrar etc. may exercise powers etc. under</w:t>
      </w:r>
      <w:r>
        <w:tab/>
      </w:r>
      <w:r>
        <w:fldChar w:fldCharType="begin"/>
      </w:r>
      <w:r>
        <w:instrText xml:space="preserve"> PAGEREF _Toc75863896 \h </w:instrText>
      </w:r>
      <w:r>
        <w:fldChar w:fldCharType="separate"/>
      </w:r>
      <w:r w:rsidR="00FC1D84">
        <w:t>571</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Order 85</w:t>
      </w:r>
      <w:r w:rsidRPr="00AA3DF9">
        <w:rPr>
          <w:b w:val="0"/>
        </w:rPr>
        <w:t> </w:t>
      </w:r>
      <w:r>
        <w:t>—</w:t>
      </w:r>
      <w:r w:rsidRPr="00AA3DF9">
        <w:rPr>
          <w:b w:val="0"/>
        </w:rPr>
        <w:t> </w:t>
      </w:r>
      <w:r w:rsidRPr="00AA3DF9">
        <w:rPr>
          <w:i/>
          <w:iCs/>
        </w:rPr>
        <w:t>Federal Courts (State Jurisdiction) Act 1999</w:t>
      </w:r>
      <w:r>
        <w:t xml:space="preserve"> rules</w:t>
      </w:r>
    </w:p>
    <w:p w:rsidR="006169FD" w:rsidRDefault="006169FD">
      <w:pPr>
        <w:pStyle w:val="TOC8"/>
        <w:rPr>
          <w:rFonts w:asciiTheme="minorHAnsi" w:eastAsiaTheme="minorEastAsia" w:hAnsiTheme="minorHAnsi" w:cstheme="minorBidi"/>
          <w:szCs w:val="22"/>
        </w:rPr>
      </w:pPr>
      <w:r>
        <w:t>1.</w:t>
      </w:r>
      <w:r>
        <w:tab/>
        <w:t>Terms used</w:t>
      </w:r>
      <w:r>
        <w:tab/>
      </w:r>
      <w:r>
        <w:fldChar w:fldCharType="begin"/>
      </w:r>
      <w:r>
        <w:instrText xml:space="preserve"> PAGEREF _Toc75863898 \h </w:instrText>
      </w:r>
      <w:r>
        <w:fldChar w:fldCharType="separate"/>
      </w:r>
      <w:r w:rsidR="00FC1D84">
        <w:t>572</w:t>
      </w:r>
      <w:r>
        <w:fldChar w:fldCharType="end"/>
      </w:r>
    </w:p>
    <w:p w:rsidR="006169FD" w:rsidRDefault="006169FD">
      <w:pPr>
        <w:pStyle w:val="TOC8"/>
        <w:rPr>
          <w:rFonts w:asciiTheme="minorHAnsi" w:eastAsiaTheme="minorEastAsia" w:hAnsiTheme="minorHAnsi" w:cstheme="minorBidi"/>
          <w:szCs w:val="22"/>
        </w:rPr>
      </w:pPr>
      <w:r>
        <w:t>2.</w:t>
      </w:r>
      <w:r>
        <w:tab/>
        <w:t>Title of proceedings</w:t>
      </w:r>
      <w:r>
        <w:tab/>
      </w:r>
      <w:r>
        <w:fldChar w:fldCharType="begin"/>
      </w:r>
      <w:r>
        <w:instrText xml:space="preserve"> PAGEREF _Toc75863899 \h </w:instrText>
      </w:r>
      <w:r>
        <w:fldChar w:fldCharType="separate"/>
      </w:r>
      <w:r w:rsidR="00FC1D84">
        <w:t>572</w:t>
      </w:r>
      <w:r>
        <w:fldChar w:fldCharType="end"/>
      </w:r>
    </w:p>
    <w:p w:rsidR="006169FD" w:rsidRDefault="006169FD">
      <w:pPr>
        <w:pStyle w:val="TOC8"/>
        <w:rPr>
          <w:rFonts w:asciiTheme="minorHAnsi" w:eastAsiaTheme="minorEastAsia" w:hAnsiTheme="minorHAnsi" w:cstheme="minorBidi"/>
          <w:szCs w:val="22"/>
        </w:rPr>
      </w:pPr>
      <w:r>
        <w:t>3.</w:t>
      </w:r>
      <w:r>
        <w:tab/>
        <w:t>No proceedings on ineffective judgment before application to have it registered</w:t>
      </w:r>
      <w:r>
        <w:tab/>
      </w:r>
      <w:r>
        <w:fldChar w:fldCharType="begin"/>
      </w:r>
      <w:r>
        <w:instrText xml:space="preserve"> PAGEREF _Toc75863900 \h </w:instrText>
      </w:r>
      <w:r>
        <w:fldChar w:fldCharType="separate"/>
      </w:r>
      <w:r w:rsidR="00FC1D84">
        <w:t>572</w:t>
      </w:r>
      <w:r>
        <w:fldChar w:fldCharType="end"/>
      </w:r>
    </w:p>
    <w:p w:rsidR="006169FD" w:rsidRDefault="006169FD">
      <w:pPr>
        <w:pStyle w:val="TOC8"/>
        <w:rPr>
          <w:rFonts w:asciiTheme="minorHAnsi" w:eastAsiaTheme="minorEastAsia" w:hAnsiTheme="minorHAnsi" w:cstheme="minorBidi"/>
          <w:szCs w:val="22"/>
        </w:rPr>
      </w:pPr>
      <w:r>
        <w:t>4.</w:t>
      </w:r>
      <w:r>
        <w:tab/>
        <w:t>Ineffective judgment, application for registration of</w:t>
      </w:r>
      <w:r>
        <w:tab/>
      </w:r>
      <w:r>
        <w:fldChar w:fldCharType="begin"/>
      </w:r>
      <w:r>
        <w:instrText xml:space="preserve"> PAGEREF _Toc75863901 \h </w:instrText>
      </w:r>
      <w:r>
        <w:fldChar w:fldCharType="separate"/>
      </w:r>
      <w:r w:rsidR="00FC1D84">
        <w:t>573</w:t>
      </w:r>
      <w:r>
        <w:fldChar w:fldCharType="end"/>
      </w:r>
    </w:p>
    <w:p w:rsidR="006169FD" w:rsidRDefault="006169FD">
      <w:pPr>
        <w:pStyle w:val="TOC8"/>
        <w:rPr>
          <w:rFonts w:asciiTheme="minorHAnsi" w:eastAsiaTheme="minorEastAsia" w:hAnsiTheme="minorHAnsi" w:cstheme="minorBidi"/>
          <w:szCs w:val="22"/>
        </w:rPr>
      </w:pPr>
      <w:r>
        <w:t>5.</w:t>
      </w:r>
      <w:r>
        <w:tab/>
        <w:t>Ineffective judgments, registration of</w:t>
      </w:r>
      <w:r>
        <w:tab/>
      </w:r>
      <w:r>
        <w:fldChar w:fldCharType="begin"/>
      </w:r>
      <w:r>
        <w:instrText xml:space="preserve"> PAGEREF _Toc75863902 \h </w:instrText>
      </w:r>
      <w:r>
        <w:fldChar w:fldCharType="separate"/>
      </w:r>
      <w:r w:rsidR="00FC1D84">
        <w:t>574</w:t>
      </w:r>
      <w:r>
        <w:fldChar w:fldCharType="end"/>
      </w:r>
    </w:p>
    <w:p w:rsidR="006169FD" w:rsidRDefault="006169FD">
      <w:pPr>
        <w:pStyle w:val="TOC8"/>
        <w:rPr>
          <w:rFonts w:asciiTheme="minorHAnsi" w:eastAsiaTheme="minorEastAsia" w:hAnsiTheme="minorHAnsi" w:cstheme="minorBidi"/>
          <w:szCs w:val="22"/>
        </w:rPr>
      </w:pPr>
      <w:r>
        <w:t>6.</w:t>
      </w:r>
      <w:r>
        <w:tab/>
        <w:t>Act s. 10, application for order under</w:t>
      </w:r>
      <w:r>
        <w:tab/>
      </w:r>
      <w:r>
        <w:fldChar w:fldCharType="begin"/>
      </w:r>
      <w:r>
        <w:instrText xml:space="preserve"> PAGEREF _Toc75863903 \h </w:instrText>
      </w:r>
      <w:r>
        <w:fldChar w:fldCharType="separate"/>
      </w:r>
      <w:r w:rsidR="00FC1D84">
        <w:t>574</w:t>
      </w:r>
      <w:r>
        <w:fldChar w:fldCharType="end"/>
      </w:r>
    </w:p>
    <w:p w:rsidR="006169FD" w:rsidRDefault="006169FD">
      <w:pPr>
        <w:pStyle w:val="TOC8"/>
        <w:rPr>
          <w:rFonts w:asciiTheme="minorHAnsi" w:eastAsiaTheme="minorEastAsia" w:hAnsiTheme="minorHAnsi" w:cstheme="minorBidi"/>
          <w:szCs w:val="22"/>
        </w:rPr>
      </w:pPr>
      <w:r>
        <w:t>7.</w:t>
      </w:r>
      <w:r>
        <w:tab/>
        <w:t>Act s. 11, application for order under</w:t>
      </w:r>
      <w:r>
        <w:tab/>
      </w:r>
      <w:r>
        <w:fldChar w:fldCharType="begin"/>
      </w:r>
      <w:r>
        <w:instrText xml:space="preserve"> PAGEREF _Toc75863904 \h </w:instrText>
      </w:r>
      <w:r>
        <w:fldChar w:fldCharType="separate"/>
      </w:r>
      <w:r w:rsidR="00FC1D84">
        <w:t>575</w:t>
      </w:r>
      <w:r>
        <w:fldChar w:fldCharType="end"/>
      </w:r>
    </w:p>
    <w:p w:rsidR="006169FD" w:rsidRDefault="006169FD">
      <w:pPr>
        <w:pStyle w:val="TOC8"/>
        <w:rPr>
          <w:rFonts w:asciiTheme="minorHAnsi" w:eastAsiaTheme="minorEastAsia" w:hAnsiTheme="minorHAnsi" w:cstheme="minorBidi"/>
          <w:szCs w:val="22"/>
        </w:rPr>
      </w:pPr>
      <w:r>
        <w:t>8.</w:t>
      </w:r>
      <w:r>
        <w:tab/>
        <w:t>Act s. 11, effect of order under</w:t>
      </w:r>
      <w:r>
        <w:tab/>
      </w:r>
      <w:r>
        <w:fldChar w:fldCharType="begin"/>
      </w:r>
      <w:r>
        <w:instrText xml:space="preserve"> PAGEREF _Toc75863905 \h </w:instrText>
      </w:r>
      <w:r>
        <w:fldChar w:fldCharType="separate"/>
      </w:r>
      <w:r w:rsidR="00FC1D84">
        <w:t>575</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Schedule 2 — Forms</w:t>
      </w:r>
    </w:p>
    <w:p w:rsidR="006169FD" w:rsidRDefault="006169FD">
      <w:pPr>
        <w:pStyle w:val="TOC8"/>
        <w:rPr>
          <w:rFonts w:asciiTheme="minorHAnsi" w:eastAsiaTheme="minorEastAsia" w:hAnsiTheme="minorHAnsi" w:cstheme="minorBidi"/>
          <w:szCs w:val="22"/>
        </w:rPr>
      </w:pPr>
      <w:r>
        <w:t>1.</w:t>
      </w:r>
      <w:r>
        <w:tab/>
        <w:t>Writ of summons (general form) (O. 5 r. 1)</w:t>
      </w:r>
      <w:r>
        <w:tab/>
      </w:r>
      <w:r>
        <w:fldChar w:fldCharType="begin"/>
      </w:r>
      <w:r>
        <w:instrText xml:space="preserve"> PAGEREF _Toc75863907 \h </w:instrText>
      </w:r>
      <w:r>
        <w:fldChar w:fldCharType="separate"/>
      </w:r>
      <w:r w:rsidR="00FC1D84">
        <w:t>577</w:t>
      </w:r>
      <w:r>
        <w:fldChar w:fldCharType="end"/>
      </w:r>
    </w:p>
    <w:p w:rsidR="006169FD" w:rsidRDefault="006169FD">
      <w:pPr>
        <w:pStyle w:val="TOC8"/>
        <w:rPr>
          <w:rFonts w:asciiTheme="minorHAnsi" w:eastAsiaTheme="minorEastAsia" w:hAnsiTheme="minorHAnsi" w:cstheme="minorBidi"/>
          <w:szCs w:val="22"/>
        </w:rPr>
      </w:pPr>
      <w:r>
        <w:t>2.</w:t>
      </w:r>
      <w:r>
        <w:tab/>
        <w:t>Writ of summons indorsed with statement of claim (O. 5 r. 1)</w:t>
      </w:r>
      <w:r>
        <w:tab/>
      </w:r>
      <w:r>
        <w:fldChar w:fldCharType="begin"/>
      </w:r>
      <w:r>
        <w:instrText xml:space="preserve"> PAGEREF _Toc75863908 \h </w:instrText>
      </w:r>
      <w:r>
        <w:fldChar w:fldCharType="separate"/>
      </w:r>
      <w:r w:rsidR="00FC1D84">
        <w:t>578</w:t>
      </w:r>
      <w:r>
        <w:fldChar w:fldCharType="end"/>
      </w:r>
    </w:p>
    <w:p w:rsidR="006169FD" w:rsidRDefault="006169FD">
      <w:pPr>
        <w:pStyle w:val="TOC8"/>
        <w:rPr>
          <w:rFonts w:asciiTheme="minorHAnsi" w:eastAsiaTheme="minorEastAsia" w:hAnsiTheme="minorHAnsi" w:cstheme="minorBidi"/>
          <w:szCs w:val="22"/>
        </w:rPr>
      </w:pPr>
      <w:r>
        <w:t>3.</w:t>
      </w:r>
      <w:r w:rsidRPr="00AA3DF9">
        <w:tab/>
      </w:r>
      <w:r>
        <w:t>Writ of summons to be served outside WA</w:t>
      </w:r>
      <w:r>
        <w:tab/>
      </w:r>
      <w:r>
        <w:fldChar w:fldCharType="begin"/>
      </w:r>
      <w:r>
        <w:instrText xml:space="preserve"> PAGEREF _Toc75863909 \h </w:instrText>
      </w:r>
      <w:r>
        <w:fldChar w:fldCharType="separate"/>
      </w:r>
      <w:r w:rsidR="00FC1D84">
        <w:t>580</w:t>
      </w:r>
      <w:r>
        <w:fldChar w:fldCharType="end"/>
      </w:r>
    </w:p>
    <w:p w:rsidR="006169FD" w:rsidRDefault="006169FD">
      <w:pPr>
        <w:pStyle w:val="TOC8"/>
        <w:rPr>
          <w:rFonts w:asciiTheme="minorHAnsi" w:eastAsiaTheme="minorEastAsia" w:hAnsiTheme="minorHAnsi" w:cstheme="minorBidi"/>
          <w:szCs w:val="22"/>
        </w:rPr>
      </w:pPr>
      <w:r>
        <w:t>4.</w:t>
      </w:r>
      <w:r>
        <w:tab/>
        <w:t>Notice to defendant in action for possession, foreclosure or sale of mortgaged property (O. 4AA r. 3)</w:t>
      </w:r>
      <w:r>
        <w:tab/>
      </w:r>
      <w:r>
        <w:fldChar w:fldCharType="begin"/>
      </w:r>
      <w:r>
        <w:instrText xml:space="preserve"> PAGEREF _Toc75863910 \h </w:instrText>
      </w:r>
      <w:r>
        <w:fldChar w:fldCharType="separate"/>
      </w:r>
      <w:r w:rsidR="00FC1D84">
        <w:t>581</w:t>
      </w:r>
      <w:r>
        <w:fldChar w:fldCharType="end"/>
      </w:r>
    </w:p>
    <w:p w:rsidR="006169FD" w:rsidRDefault="006169FD">
      <w:pPr>
        <w:pStyle w:val="TOC8"/>
        <w:rPr>
          <w:rFonts w:asciiTheme="minorHAnsi" w:eastAsiaTheme="minorEastAsia" w:hAnsiTheme="minorHAnsi" w:cstheme="minorBidi"/>
          <w:szCs w:val="22"/>
        </w:rPr>
      </w:pPr>
      <w:r>
        <w:lastRenderedPageBreak/>
        <w:t>5.</w:t>
      </w:r>
      <w:r w:rsidRPr="00AA3DF9">
        <w:tab/>
      </w:r>
      <w:r>
        <w:t>Indorsements of representative capacity of parties (O. 6 r. 5)</w:t>
      </w:r>
      <w:r>
        <w:tab/>
      </w:r>
      <w:r>
        <w:fldChar w:fldCharType="begin"/>
      </w:r>
      <w:r>
        <w:instrText xml:space="preserve"> PAGEREF _Toc75863911 \h </w:instrText>
      </w:r>
      <w:r>
        <w:fldChar w:fldCharType="separate"/>
      </w:r>
      <w:r w:rsidR="00FC1D84">
        <w:t>583</w:t>
      </w:r>
      <w:r>
        <w:fldChar w:fldCharType="end"/>
      </w:r>
    </w:p>
    <w:p w:rsidR="006169FD" w:rsidRDefault="006169FD">
      <w:pPr>
        <w:pStyle w:val="TOC8"/>
        <w:rPr>
          <w:rFonts w:asciiTheme="minorHAnsi" w:eastAsiaTheme="minorEastAsia" w:hAnsiTheme="minorHAnsi" w:cstheme="minorBidi"/>
          <w:szCs w:val="22"/>
        </w:rPr>
      </w:pPr>
      <w:r>
        <w:t>5A.</w:t>
      </w:r>
      <w:r>
        <w:tab/>
        <w:t>Request for service abroad of judicial documents and certificate (O. 11A r. 4, 6 &amp; 16)</w:t>
      </w:r>
      <w:r>
        <w:tab/>
      </w:r>
      <w:r>
        <w:fldChar w:fldCharType="begin"/>
      </w:r>
      <w:r>
        <w:instrText xml:space="preserve"> PAGEREF _Toc75863912 \h </w:instrText>
      </w:r>
      <w:r>
        <w:fldChar w:fldCharType="separate"/>
      </w:r>
      <w:r w:rsidR="00FC1D84">
        <w:t>585</w:t>
      </w:r>
      <w:r>
        <w:fldChar w:fldCharType="end"/>
      </w:r>
    </w:p>
    <w:p w:rsidR="006169FD" w:rsidRDefault="006169FD">
      <w:pPr>
        <w:pStyle w:val="TOC8"/>
        <w:rPr>
          <w:rFonts w:asciiTheme="minorHAnsi" w:eastAsiaTheme="minorEastAsia" w:hAnsiTheme="minorHAnsi" w:cstheme="minorBidi"/>
          <w:szCs w:val="22"/>
        </w:rPr>
      </w:pPr>
      <w:r>
        <w:t>5B.</w:t>
      </w:r>
      <w:r>
        <w:tab/>
        <w:t>Summary of the document to be served (O. 11A r. 4)</w:t>
      </w:r>
      <w:r>
        <w:tab/>
      </w:r>
      <w:r>
        <w:fldChar w:fldCharType="begin"/>
      </w:r>
      <w:r>
        <w:instrText xml:space="preserve"> PAGEREF _Toc75863913 \h </w:instrText>
      </w:r>
      <w:r>
        <w:fldChar w:fldCharType="separate"/>
      </w:r>
      <w:r w:rsidR="00FC1D84">
        <w:t>588</w:t>
      </w:r>
      <w:r>
        <w:fldChar w:fldCharType="end"/>
      </w:r>
    </w:p>
    <w:p w:rsidR="006169FD" w:rsidRDefault="006169FD">
      <w:pPr>
        <w:pStyle w:val="TOC8"/>
        <w:rPr>
          <w:rFonts w:asciiTheme="minorHAnsi" w:eastAsiaTheme="minorEastAsia" w:hAnsiTheme="minorHAnsi" w:cstheme="minorBidi"/>
          <w:szCs w:val="22"/>
        </w:rPr>
      </w:pPr>
      <w:r>
        <w:t>7.</w:t>
      </w:r>
      <w:r w:rsidRPr="00AA3DF9">
        <w:tab/>
      </w:r>
      <w:r>
        <w:t>Notice limiting defence (O. 12 r. 10)</w:t>
      </w:r>
      <w:r>
        <w:tab/>
      </w:r>
      <w:r>
        <w:fldChar w:fldCharType="begin"/>
      </w:r>
      <w:r>
        <w:instrText xml:space="preserve"> PAGEREF _Toc75863914 \h </w:instrText>
      </w:r>
      <w:r>
        <w:fldChar w:fldCharType="separate"/>
      </w:r>
      <w:r w:rsidR="00FC1D84">
        <w:t>591</w:t>
      </w:r>
      <w:r>
        <w:fldChar w:fldCharType="end"/>
      </w:r>
    </w:p>
    <w:p w:rsidR="006169FD" w:rsidRDefault="006169FD">
      <w:pPr>
        <w:pStyle w:val="TOC8"/>
        <w:rPr>
          <w:rFonts w:asciiTheme="minorHAnsi" w:eastAsiaTheme="minorEastAsia" w:hAnsiTheme="minorHAnsi" w:cstheme="minorBidi"/>
          <w:szCs w:val="22"/>
        </w:rPr>
      </w:pPr>
      <w:r>
        <w:t>10.</w:t>
      </w:r>
      <w:r w:rsidRPr="00AA3DF9">
        <w:tab/>
      </w:r>
      <w:r>
        <w:t>Forms for Order 18</w:t>
      </w:r>
      <w:r>
        <w:tab/>
      </w:r>
      <w:r>
        <w:fldChar w:fldCharType="begin"/>
      </w:r>
      <w:r>
        <w:instrText xml:space="preserve"> PAGEREF _Toc75863915 \h </w:instrText>
      </w:r>
      <w:r>
        <w:fldChar w:fldCharType="separate"/>
      </w:r>
      <w:r w:rsidR="00FC1D84">
        <w:t>592</w:t>
      </w:r>
      <w:r>
        <w:fldChar w:fldCharType="end"/>
      </w:r>
    </w:p>
    <w:p w:rsidR="006169FD" w:rsidRDefault="006169FD">
      <w:pPr>
        <w:pStyle w:val="TOC8"/>
        <w:rPr>
          <w:rFonts w:asciiTheme="minorHAnsi" w:eastAsiaTheme="minorEastAsia" w:hAnsiTheme="minorHAnsi" w:cstheme="minorBidi"/>
          <w:szCs w:val="22"/>
        </w:rPr>
      </w:pPr>
      <w:r>
        <w:t>11.</w:t>
      </w:r>
      <w:r w:rsidRPr="00AA3DF9">
        <w:tab/>
      </w:r>
      <w:r>
        <w:t>Third party notice (general form) (O. 19 r. 1)</w:t>
      </w:r>
      <w:r>
        <w:tab/>
      </w:r>
      <w:r>
        <w:fldChar w:fldCharType="begin"/>
      </w:r>
      <w:r>
        <w:instrText xml:space="preserve"> PAGEREF _Toc75863916 \h </w:instrText>
      </w:r>
      <w:r>
        <w:fldChar w:fldCharType="separate"/>
      </w:r>
      <w:r w:rsidR="00FC1D84">
        <w:t>594</w:t>
      </w:r>
      <w:r>
        <w:fldChar w:fldCharType="end"/>
      </w:r>
    </w:p>
    <w:p w:rsidR="006169FD" w:rsidRDefault="006169FD">
      <w:pPr>
        <w:pStyle w:val="TOC8"/>
        <w:rPr>
          <w:rFonts w:asciiTheme="minorHAnsi" w:eastAsiaTheme="minorEastAsia" w:hAnsiTheme="minorHAnsi" w:cstheme="minorBidi"/>
          <w:szCs w:val="22"/>
        </w:rPr>
      </w:pPr>
      <w:r>
        <w:t>12.</w:t>
      </w:r>
      <w:r w:rsidRPr="00AA3DF9">
        <w:tab/>
      </w:r>
      <w:r>
        <w:t>Third party notice where question or issue to be determined (O. 19 r. 1)</w:t>
      </w:r>
      <w:r>
        <w:tab/>
      </w:r>
      <w:r>
        <w:fldChar w:fldCharType="begin"/>
      </w:r>
      <w:r>
        <w:instrText xml:space="preserve"> PAGEREF _Toc75863917 \h </w:instrText>
      </w:r>
      <w:r>
        <w:fldChar w:fldCharType="separate"/>
      </w:r>
      <w:r w:rsidR="00FC1D84">
        <w:t>595</w:t>
      </w:r>
      <w:r>
        <w:fldChar w:fldCharType="end"/>
      </w:r>
    </w:p>
    <w:p w:rsidR="006169FD" w:rsidRDefault="006169FD">
      <w:pPr>
        <w:pStyle w:val="TOC8"/>
        <w:rPr>
          <w:rFonts w:asciiTheme="minorHAnsi" w:eastAsiaTheme="minorEastAsia" w:hAnsiTheme="minorHAnsi" w:cstheme="minorBidi"/>
          <w:szCs w:val="22"/>
        </w:rPr>
      </w:pPr>
      <w:r>
        <w:t>17.</w:t>
      </w:r>
      <w:r>
        <w:tab/>
        <w:t>List of documents (O. 26 r. 4(1) &amp; 8)</w:t>
      </w:r>
      <w:r>
        <w:tab/>
      </w:r>
      <w:r>
        <w:fldChar w:fldCharType="begin"/>
      </w:r>
      <w:r>
        <w:instrText xml:space="preserve"> PAGEREF _Toc75863918 \h </w:instrText>
      </w:r>
      <w:r>
        <w:fldChar w:fldCharType="separate"/>
      </w:r>
      <w:r w:rsidR="00FC1D84">
        <w:t>596</w:t>
      </w:r>
      <w:r>
        <w:fldChar w:fldCharType="end"/>
      </w:r>
    </w:p>
    <w:p w:rsidR="006169FD" w:rsidRDefault="006169FD">
      <w:pPr>
        <w:pStyle w:val="TOC8"/>
        <w:rPr>
          <w:rFonts w:asciiTheme="minorHAnsi" w:eastAsiaTheme="minorEastAsia" w:hAnsiTheme="minorHAnsi" w:cstheme="minorBidi"/>
          <w:szCs w:val="22"/>
        </w:rPr>
      </w:pPr>
      <w:r>
        <w:t>18.</w:t>
      </w:r>
      <w:r w:rsidRPr="00AA3DF9">
        <w:tab/>
      </w:r>
      <w:r>
        <w:t>Affidavit verifying list of documents (O. 26 r. 4(3))</w:t>
      </w:r>
      <w:r>
        <w:tab/>
      </w:r>
      <w:r>
        <w:fldChar w:fldCharType="begin"/>
      </w:r>
      <w:r>
        <w:instrText xml:space="preserve"> PAGEREF _Toc75863919 \h </w:instrText>
      </w:r>
      <w:r>
        <w:fldChar w:fldCharType="separate"/>
      </w:r>
      <w:r w:rsidR="00FC1D84">
        <w:t>599</w:t>
      </w:r>
      <w:r>
        <w:fldChar w:fldCharType="end"/>
      </w:r>
    </w:p>
    <w:p w:rsidR="006169FD" w:rsidRDefault="006169FD">
      <w:pPr>
        <w:pStyle w:val="TOC8"/>
        <w:rPr>
          <w:rFonts w:asciiTheme="minorHAnsi" w:eastAsiaTheme="minorEastAsia" w:hAnsiTheme="minorHAnsi" w:cstheme="minorBidi"/>
          <w:szCs w:val="22"/>
        </w:rPr>
      </w:pPr>
      <w:r>
        <w:t>21.</w:t>
      </w:r>
      <w:r>
        <w:tab/>
        <w:t>Subpoena to give oral evidence (O. 36B r. 3(1))</w:t>
      </w:r>
      <w:r>
        <w:tab/>
      </w:r>
      <w:r>
        <w:fldChar w:fldCharType="begin"/>
      </w:r>
      <w:r>
        <w:instrText xml:space="preserve"> PAGEREF _Toc75863920 \h </w:instrText>
      </w:r>
      <w:r>
        <w:fldChar w:fldCharType="separate"/>
      </w:r>
      <w:r w:rsidR="00FC1D84">
        <w:t>600</w:t>
      </w:r>
      <w:r>
        <w:fldChar w:fldCharType="end"/>
      </w:r>
    </w:p>
    <w:p w:rsidR="006169FD" w:rsidRDefault="006169FD">
      <w:pPr>
        <w:pStyle w:val="TOC8"/>
        <w:rPr>
          <w:rFonts w:asciiTheme="minorHAnsi" w:eastAsiaTheme="minorEastAsia" w:hAnsiTheme="minorHAnsi" w:cstheme="minorBidi"/>
          <w:szCs w:val="22"/>
        </w:rPr>
      </w:pPr>
      <w:r>
        <w:t>21A.</w:t>
      </w:r>
      <w:r>
        <w:tab/>
        <w:t>Subpoena to produce documents (O. 36B r. 3(1))</w:t>
      </w:r>
      <w:r>
        <w:tab/>
      </w:r>
      <w:r>
        <w:fldChar w:fldCharType="begin"/>
      </w:r>
      <w:r>
        <w:instrText xml:space="preserve"> PAGEREF _Toc75863921 \h </w:instrText>
      </w:r>
      <w:r>
        <w:fldChar w:fldCharType="separate"/>
      </w:r>
      <w:r w:rsidR="00FC1D84">
        <w:t>601</w:t>
      </w:r>
      <w:r>
        <w:fldChar w:fldCharType="end"/>
      </w:r>
    </w:p>
    <w:p w:rsidR="006169FD" w:rsidRDefault="006169FD">
      <w:pPr>
        <w:pStyle w:val="TOC8"/>
        <w:rPr>
          <w:rFonts w:asciiTheme="minorHAnsi" w:eastAsiaTheme="minorEastAsia" w:hAnsiTheme="minorHAnsi" w:cstheme="minorBidi"/>
          <w:szCs w:val="22"/>
        </w:rPr>
      </w:pPr>
      <w:r>
        <w:t>21B.</w:t>
      </w:r>
      <w:r>
        <w:tab/>
        <w:t>Subpoena to give oral evidence and produce documents (O. 36B r. 3(1))</w:t>
      </w:r>
      <w:r>
        <w:tab/>
      </w:r>
      <w:r>
        <w:fldChar w:fldCharType="begin"/>
      </w:r>
      <w:r>
        <w:instrText xml:space="preserve"> PAGEREF _Toc75863922 \h </w:instrText>
      </w:r>
      <w:r>
        <w:fldChar w:fldCharType="separate"/>
      </w:r>
      <w:r w:rsidR="00FC1D84">
        <w:t>604</w:t>
      </w:r>
      <w:r>
        <w:fldChar w:fldCharType="end"/>
      </w:r>
    </w:p>
    <w:p w:rsidR="006169FD" w:rsidRDefault="006169FD">
      <w:pPr>
        <w:pStyle w:val="TOC8"/>
        <w:rPr>
          <w:rFonts w:asciiTheme="minorHAnsi" w:eastAsiaTheme="minorEastAsia" w:hAnsiTheme="minorHAnsi" w:cstheme="minorBidi"/>
          <w:szCs w:val="22"/>
        </w:rPr>
      </w:pPr>
      <w:r>
        <w:t>22A.</w:t>
      </w:r>
      <w:r>
        <w:tab/>
        <w:t>Subpoena notice and declaration (O. 36B r. 10(3))</w:t>
      </w:r>
      <w:r>
        <w:tab/>
      </w:r>
      <w:r>
        <w:fldChar w:fldCharType="begin"/>
      </w:r>
      <w:r>
        <w:instrText xml:space="preserve"> PAGEREF _Toc75863923 \h </w:instrText>
      </w:r>
      <w:r>
        <w:fldChar w:fldCharType="separate"/>
      </w:r>
      <w:r w:rsidR="00FC1D84">
        <w:t>608</w:t>
      </w:r>
      <w:r>
        <w:fldChar w:fldCharType="end"/>
      </w:r>
    </w:p>
    <w:p w:rsidR="006169FD" w:rsidRDefault="006169FD">
      <w:pPr>
        <w:pStyle w:val="TOC8"/>
        <w:rPr>
          <w:rFonts w:asciiTheme="minorHAnsi" w:eastAsiaTheme="minorEastAsia" w:hAnsiTheme="minorHAnsi" w:cstheme="minorBidi"/>
          <w:szCs w:val="22"/>
        </w:rPr>
      </w:pPr>
      <w:r>
        <w:t>23.</w:t>
      </w:r>
      <w:r>
        <w:tab/>
        <w:t>Subpoena to give evidence to WA Supreme Court (to be served in NZ) (O. 39A r. 2A)</w:t>
      </w:r>
      <w:r>
        <w:tab/>
      </w:r>
      <w:r>
        <w:fldChar w:fldCharType="begin"/>
      </w:r>
      <w:r>
        <w:instrText xml:space="preserve"> PAGEREF _Toc75863924 \h </w:instrText>
      </w:r>
      <w:r>
        <w:fldChar w:fldCharType="separate"/>
      </w:r>
      <w:r w:rsidR="00FC1D84">
        <w:t>609</w:t>
      </w:r>
      <w:r>
        <w:fldChar w:fldCharType="end"/>
      </w:r>
    </w:p>
    <w:p w:rsidR="006169FD" w:rsidRDefault="006169FD">
      <w:pPr>
        <w:pStyle w:val="TOC8"/>
        <w:rPr>
          <w:rFonts w:asciiTheme="minorHAnsi" w:eastAsiaTheme="minorEastAsia" w:hAnsiTheme="minorHAnsi" w:cstheme="minorBidi"/>
          <w:szCs w:val="22"/>
        </w:rPr>
      </w:pPr>
      <w:r>
        <w:t>23A.</w:t>
      </w:r>
      <w:r>
        <w:tab/>
        <w:t>Subpoena to produce documents to WA Supreme Court (to be served in NZ) (O. 39A r. 2A)</w:t>
      </w:r>
      <w:r>
        <w:tab/>
      </w:r>
      <w:r>
        <w:fldChar w:fldCharType="begin"/>
      </w:r>
      <w:r>
        <w:instrText xml:space="preserve"> PAGEREF _Toc75863925 \h </w:instrText>
      </w:r>
      <w:r>
        <w:fldChar w:fldCharType="separate"/>
      </w:r>
      <w:r w:rsidR="00FC1D84">
        <w:t>614</w:t>
      </w:r>
      <w:r>
        <w:fldChar w:fldCharType="end"/>
      </w:r>
    </w:p>
    <w:p w:rsidR="006169FD" w:rsidRDefault="006169FD">
      <w:pPr>
        <w:pStyle w:val="TOC8"/>
        <w:rPr>
          <w:rFonts w:asciiTheme="minorHAnsi" w:eastAsiaTheme="minorEastAsia" w:hAnsiTheme="minorHAnsi" w:cstheme="minorBidi"/>
          <w:szCs w:val="22"/>
        </w:rPr>
      </w:pPr>
      <w:r>
        <w:t>23B.</w:t>
      </w:r>
      <w:r>
        <w:tab/>
        <w:t>Subpoena to give evidence and produce documents to WA Supreme Court (to be served in NZ) (O. 39A r. 2A)</w:t>
      </w:r>
      <w:r>
        <w:tab/>
      </w:r>
      <w:r>
        <w:fldChar w:fldCharType="begin"/>
      </w:r>
      <w:r>
        <w:instrText xml:space="preserve"> PAGEREF _Toc75863926 \h </w:instrText>
      </w:r>
      <w:r>
        <w:fldChar w:fldCharType="separate"/>
      </w:r>
      <w:r w:rsidR="00FC1D84">
        <w:t>620</w:t>
      </w:r>
      <w:r>
        <w:fldChar w:fldCharType="end"/>
      </w:r>
    </w:p>
    <w:p w:rsidR="006169FD" w:rsidRDefault="006169FD">
      <w:pPr>
        <w:pStyle w:val="TOC8"/>
        <w:rPr>
          <w:rFonts w:asciiTheme="minorHAnsi" w:eastAsiaTheme="minorEastAsia" w:hAnsiTheme="minorHAnsi" w:cstheme="minorBidi"/>
          <w:szCs w:val="22"/>
        </w:rPr>
      </w:pPr>
      <w:r>
        <w:t>25.</w:t>
      </w:r>
      <w:r w:rsidRPr="00AA3DF9">
        <w:tab/>
      </w:r>
      <w:r>
        <w:t>Order for examination of witness before trial (O. 38 r. 1)</w:t>
      </w:r>
      <w:r>
        <w:tab/>
      </w:r>
      <w:r>
        <w:fldChar w:fldCharType="begin"/>
      </w:r>
      <w:r>
        <w:instrText xml:space="preserve"> PAGEREF _Toc75863927 \h </w:instrText>
      </w:r>
      <w:r>
        <w:fldChar w:fldCharType="separate"/>
      </w:r>
      <w:r w:rsidR="00FC1D84">
        <w:t>628</w:t>
      </w:r>
      <w:r>
        <w:fldChar w:fldCharType="end"/>
      </w:r>
    </w:p>
    <w:p w:rsidR="006169FD" w:rsidRDefault="006169FD">
      <w:pPr>
        <w:pStyle w:val="TOC8"/>
        <w:rPr>
          <w:rFonts w:asciiTheme="minorHAnsi" w:eastAsiaTheme="minorEastAsia" w:hAnsiTheme="minorHAnsi" w:cstheme="minorBidi"/>
          <w:szCs w:val="22"/>
        </w:rPr>
      </w:pPr>
      <w:r>
        <w:t>26.</w:t>
      </w:r>
      <w:r w:rsidRPr="00AA3DF9">
        <w:tab/>
      </w:r>
      <w:r w:rsidRPr="00AA3DF9">
        <w:rPr>
          <w:i/>
        </w:rPr>
        <w:t xml:space="preserve">Evidence Act 1906 </w:t>
      </w:r>
      <w:r>
        <w:t>s. 110 or 111, order under (O. 38A r. 5)</w:t>
      </w:r>
      <w:r>
        <w:tab/>
      </w:r>
      <w:r>
        <w:fldChar w:fldCharType="begin"/>
      </w:r>
      <w:r>
        <w:instrText xml:space="preserve"> PAGEREF _Toc75863928 \h </w:instrText>
      </w:r>
      <w:r>
        <w:fldChar w:fldCharType="separate"/>
      </w:r>
      <w:r w:rsidR="00FC1D84">
        <w:t>629</w:t>
      </w:r>
      <w:r>
        <w:fldChar w:fldCharType="end"/>
      </w:r>
    </w:p>
    <w:p w:rsidR="006169FD" w:rsidRDefault="006169FD">
      <w:pPr>
        <w:pStyle w:val="TOC8"/>
        <w:rPr>
          <w:rFonts w:asciiTheme="minorHAnsi" w:eastAsiaTheme="minorEastAsia" w:hAnsiTheme="minorHAnsi" w:cstheme="minorBidi"/>
          <w:szCs w:val="22"/>
        </w:rPr>
      </w:pPr>
      <w:r>
        <w:t>28.</w:t>
      </w:r>
      <w:r w:rsidRPr="00AA3DF9">
        <w:tab/>
      </w:r>
      <w:r>
        <w:t>Letter of request (O. 38A r. 3(4))</w:t>
      </w:r>
      <w:r>
        <w:tab/>
      </w:r>
      <w:r>
        <w:fldChar w:fldCharType="begin"/>
      </w:r>
      <w:r>
        <w:instrText xml:space="preserve"> PAGEREF _Toc75863929 \h </w:instrText>
      </w:r>
      <w:r>
        <w:fldChar w:fldCharType="separate"/>
      </w:r>
      <w:r w:rsidR="00FC1D84">
        <w:t>631</w:t>
      </w:r>
      <w:r>
        <w:fldChar w:fldCharType="end"/>
      </w:r>
    </w:p>
    <w:p w:rsidR="006169FD" w:rsidRDefault="006169FD">
      <w:pPr>
        <w:pStyle w:val="TOC8"/>
        <w:rPr>
          <w:rFonts w:asciiTheme="minorHAnsi" w:eastAsiaTheme="minorEastAsia" w:hAnsiTheme="minorHAnsi" w:cstheme="minorBidi"/>
          <w:szCs w:val="22"/>
        </w:rPr>
      </w:pPr>
      <w:r>
        <w:t>29.</w:t>
      </w:r>
      <w:r w:rsidRPr="00AA3DF9">
        <w:tab/>
      </w:r>
      <w:r>
        <w:t>Undertaking as to costs of letter of request (O. 38A r. 5)</w:t>
      </w:r>
      <w:r>
        <w:tab/>
      </w:r>
      <w:r>
        <w:fldChar w:fldCharType="begin"/>
      </w:r>
      <w:r>
        <w:instrText xml:space="preserve"> PAGEREF _Toc75863930 \h </w:instrText>
      </w:r>
      <w:r>
        <w:fldChar w:fldCharType="separate"/>
      </w:r>
      <w:r w:rsidR="00FC1D84">
        <w:t>632</w:t>
      </w:r>
      <w:r>
        <w:fldChar w:fldCharType="end"/>
      </w:r>
    </w:p>
    <w:p w:rsidR="006169FD" w:rsidRDefault="006169FD">
      <w:pPr>
        <w:pStyle w:val="TOC8"/>
        <w:rPr>
          <w:rFonts w:asciiTheme="minorHAnsi" w:eastAsiaTheme="minorEastAsia" w:hAnsiTheme="minorHAnsi" w:cstheme="minorBidi"/>
          <w:szCs w:val="22"/>
        </w:rPr>
      </w:pPr>
      <w:r>
        <w:t>30.</w:t>
      </w:r>
      <w:r w:rsidRPr="00AA3DF9">
        <w:tab/>
      </w:r>
      <w:r w:rsidRPr="00AA3DF9">
        <w:rPr>
          <w:i/>
        </w:rPr>
        <w:t xml:space="preserve">Evidence Act 1906 </w:t>
      </w:r>
      <w:r>
        <w:t>s. 117, order under (O. 39 r. 3)</w:t>
      </w:r>
      <w:r>
        <w:tab/>
      </w:r>
      <w:r>
        <w:fldChar w:fldCharType="begin"/>
      </w:r>
      <w:r>
        <w:instrText xml:space="preserve"> PAGEREF _Toc75863931 \h </w:instrText>
      </w:r>
      <w:r>
        <w:fldChar w:fldCharType="separate"/>
      </w:r>
      <w:r w:rsidR="00FC1D84">
        <w:t>633</w:t>
      </w:r>
      <w:r>
        <w:fldChar w:fldCharType="end"/>
      </w:r>
    </w:p>
    <w:p w:rsidR="006169FD" w:rsidRDefault="006169FD">
      <w:pPr>
        <w:pStyle w:val="TOC8"/>
        <w:rPr>
          <w:rFonts w:asciiTheme="minorHAnsi" w:eastAsiaTheme="minorEastAsia" w:hAnsiTheme="minorHAnsi" w:cstheme="minorBidi"/>
          <w:szCs w:val="22"/>
        </w:rPr>
      </w:pPr>
      <w:r>
        <w:t>31.</w:t>
      </w:r>
      <w:r w:rsidRPr="00AA3DF9">
        <w:tab/>
      </w:r>
      <w:r>
        <w:t>Certificate (O. 39 r. 5(2))</w:t>
      </w:r>
      <w:r>
        <w:tab/>
      </w:r>
      <w:r>
        <w:fldChar w:fldCharType="begin"/>
      </w:r>
      <w:r>
        <w:instrText xml:space="preserve"> PAGEREF _Toc75863932 \h </w:instrText>
      </w:r>
      <w:r>
        <w:fldChar w:fldCharType="separate"/>
      </w:r>
      <w:r w:rsidR="00FC1D84">
        <w:t>634</w:t>
      </w:r>
      <w:r>
        <w:fldChar w:fldCharType="end"/>
      </w:r>
    </w:p>
    <w:p w:rsidR="006169FD" w:rsidRDefault="006169FD">
      <w:pPr>
        <w:pStyle w:val="TOC8"/>
        <w:rPr>
          <w:rFonts w:asciiTheme="minorHAnsi" w:eastAsiaTheme="minorEastAsia" w:hAnsiTheme="minorHAnsi" w:cstheme="minorBidi"/>
          <w:szCs w:val="22"/>
        </w:rPr>
      </w:pPr>
      <w:r>
        <w:t>31A.</w:t>
      </w:r>
      <w:r w:rsidRPr="00AA3DF9">
        <w:tab/>
      </w:r>
      <w:r>
        <w:t>Application for subpoena to be set aside (O. 39A r. 4(1))</w:t>
      </w:r>
      <w:r>
        <w:tab/>
      </w:r>
      <w:r>
        <w:fldChar w:fldCharType="begin"/>
      </w:r>
      <w:r>
        <w:instrText xml:space="preserve"> PAGEREF _Toc75863933 \h </w:instrText>
      </w:r>
      <w:r>
        <w:fldChar w:fldCharType="separate"/>
      </w:r>
      <w:r w:rsidR="00FC1D84">
        <w:t>634</w:t>
      </w:r>
      <w:r>
        <w:fldChar w:fldCharType="end"/>
      </w:r>
    </w:p>
    <w:p w:rsidR="006169FD" w:rsidRDefault="006169FD">
      <w:pPr>
        <w:pStyle w:val="TOC8"/>
        <w:rPr>
          <w:rFonts w:asciiTheme="minorHAnsi" w:eastAsiaTheme="minorEastAsia" w:hAnsiTheme="minorHAnsi" w:cstheme="minorBidi"/>
          <w:szCs w:val="22"/>
        </w:rPr>
      </w:pPr>
      <w:r>
        <w:t>31B.</w:t>
      </w:r>
      <w:r>
        <w:tab/>
        <w:t>Request for application to be determined with hearing (O. 39A r. 4(8))</w:t>
      </w:r>
      <w:r>
        <w:tab/>
      </w:r>
      <w:r>
        <w:fldChar w:fldCharType="begin"/>
      </w:r>
      <w:r>
        <w:instrText xml:space="preserve"> PAGEREF _Toc75863934 \h </w:instrText>
      </w:r>
      <w:r>
        <w:fldChar w:fldCharType="separate"/>
      </w:r>
      <w:r w:rsidR="00FC1D84">
        <w:t>635</w:t>
      </w:r>
      <w:r>
        <w:fldChar w:fldCharType="end"/>
      </w:r>
    </w:p>
    <w:p w:rsidR="006169FD" w:rsidRDefault="006169FD">
      <w:pPr>
        <w:pStyle w:val="TOC8"/>
        <w:rPr>
          <w:rFonts w:asciiTheme="minorHAnsi" w:eastAsiaTheme="minorEastAsia" w:hAnsiTheme="minorHAnsi" w:cstheme="minorBidi"/>
          <w:szCs w:val="22"/>
        </w:rPr>
      </w:pPr>
      <w:r>
        <w:t>31C.</w:t>
      </w:r>
      <w:r>
        <w:tab/>
        <w:t>Request to appear remotely in hearing to set aside subpoena (O. 39A r. 4(9))</w:t>
      </w:r>
      <w:r>
        <w:tab/>
      </w:r>
      <w:r>
        <w:fldChar w:fldCharType="begin"/>
      </w:r>
      <w:r>
        <w:instrText xml:space="preserve"> PAGEREF _Toc75863935 \h </w:instrText>
      </w:r>
      <w:r>
        <w:fldChar w:fldCharType="separate"/>
      </w:r>
      <w:r w:rsidR="00FC1D84">
        <w:t>635</w:t>
      </w:r>
      <w:r>
        <w:fldChar w:fldCharType="end"/>
      </w:r>
    </w:p>
    <w:p w:rsidR="006169FD" w:rsidRDefault="006169FD">
      <w:pPr>
        <w:pStyle w:val="TOC8"/>
        <w:rPr>
          <w:rFonts w:asciiTheme="minorHAnsi" w:eastAsiaTheme="minorEastAsia" w:hAnsiTheme="minorHAnsi" w:cstheme="minorBidi"/>
          <w:szCs w:val="22"/>
        </w:rPr>
      </w:pPr>
      <w:r>
        <w:lastRenderedPageBreak/>
        <w:t>31D.</w:t>
      </w:r>
      <w:r>
        <w:tab/>
        <w:t>Certificate of non</w:t>
      </w:r>
      <w:r>
        <w:noBreakHyphen/>
        <w:t>compliance with subpoena (O. 39A r. 5)</w:t>
      </w:r>
      <w:r>
        <w:tab/>
      </w:r>
      <w:r>
        <w:fldChar w:fldCharType="begin"/>
      </w:r>
      <w:r>
        <w:instrText xml:space="preserve"> PAGEREF _Toc75863936 \h </w:instrText>
      </w:r>
      <w:r>
        <w:fldChar w:fldCharType="separate"/>
      </w:r>
      <w:r w:rsidR="00FC1D84">
        <w:t>636</w:t>
      </w:r>
      <w:r>
        <w:fldChar w:fldCharType="end"/>
      </w:r>
    </w:p>
    <w:p w:rsidR="006169FD" w:rsidRDefault="006169FD">
      <w:pPr>
        <w:pStyle w:val="TOC8"/>
        <w:rPr>
          <w:rFonts w:asciiTheme="minorHAnsi" w:eastAsiaTheme="minorEastAsia" w:hAnsiTheme="minorHAnsi" w:cstheme="minorBidi"/>
          <w:szCs w:val="22"/>
        </w:rPr>
      </w:pPr>
      <w:r>
        <w:t>32.</w:t>
      </w:r>
      <w:r>
        <w:tab/>
        <w:t>Default judgment for liquidated demand (O. 13 r. 2; O. 42 r. 1)</w:t>
      </w:r>
      <w:r>
        <w:tab/>
      </w:r>
      <w:r>
        <w:fldChar w:fldCharType="begin"/>
      </w:r>
      <w:r>
        <w:instrText xml:space="preserve"> PAGEREF _Toc75863937 \h </w:instrText>
      </w:r>
      <w:r>
        <w:fldChar w:fldCharType="separate"/>
      </w:r>
      <w:r w:rsidR="00FC1D84">
        <w:t>636</w:t>
      </w:r>
      <w:r>
        <w:fldChar w:fldCharType="end"/>
      </w:r>
    </w:p>
    <w:p w:rsidR="006169FD" w:rsidRDefault="006169FD">
      <w:pPr>
        <w:pStyle w:val="TOC8"/>
        <w:rPr>
          <w:rFonts w:asciiTheme="minorHAnsi" w:eastAsiaTheme="minorEastAsia" w:hAnsiTheme="minorHAnsi" w:cstheme="minorBidi"/>
          <w:szCs w:val="22"/>
        </w:rPr>
      </w:pPr>
      <w:r>
        <w:t>33.</w:t>
      </w:r>
      <w:r>
        <w:tab/>
        <w:t>Default judgment where demand unliquidated (O. 13 r. 3; O. 42 r. 1)</w:t>
      </w:r>
      <w:r>
        <w:tab/>
      </w:r>
      <w:r>
        <w:fldChar w:fldCharType="begin"/>
      </w:r>
      <w:r>
        <w:instrText xml:space="preserve"> PAGEREF _Toc75863938 \h </w:instrText>
      </w:r>
      <w:r>
        <w:fldChar w:fldCharType="separate"/>
      </w:r>
      <w:r w:rsidR="00FC1D84">
        <w:t>638</w:t>
      </w:r>
      <w:r>
        <w:fldChar w:fldCharType="end"/>
      </w:r>
    </w:p>
    <w:p w:rsidR="006169FD" w:rsidRDefault="006169FD">
      <w:pPr>
        <w:pStyle w:val="TOC8"/>
        <w:rPr>
          <w:rFonts w:asciiTheme="minorHAnsi" w:eastAsiaTheme="minorEastAsia" w:hAnsiTheme="minorHAnsi" w:cstheme="minorBidi"/>
          <w:szCs w:val="22"/>
        </w:rPr>
      </w:pPr>
      <w:r>
        <w:t>34.</w:t>
      </w:r>
      <w:r>
        <w:tab/>
        <w:t>Default judgment in action relating to detention of goods other than in a mortgage action (O. 13 r. 4; O. 42 r. 1)</w:t>
      </w:r>
      <w:r>
        <w:tab/>
      </w:r>
      <w:r>
        <w:fldChar w:fldCharType="begin"/>
      </w:r>
      <w:r>
        <w:instrText xml:space="preserve"> PAGEREF _Toc75863939 \h </w:instrText>
      </w:r>
      <w:r>
        <w:fldChar w:fldCharType="separate"/>
      </w:r>
      <w:r w:rsidR="00FC1D84">
        <w:t>639</w:t>
      </w:r>
      <w:r>
        <w:fldChar w:fldCharType="end"/>
      </w:r>
    </w:p>
    <w:p w:rsidR="006169FD" w:rsidRDefault="006169FD">
      <w:pPr>
        <w:pStyle w:val="TOC8"/>
        <w:rPr>
          <w:rFonts w:asciiTheme="minorHAnsi" w:eastAsiaTheme="minorEastAsia" w:hAnsiTheme="minorHAnsi" w:cstheme="minorBidi"/>
          <w:szCs w:val="22"/>
        </w:rPr>
      </w:pPr>
      <w:r>
        <w:t>35.</w:t>
      </w:r>
      <w:r>
        <w:tab/>
        <w:t>Default judgment after assessment of damages etc. (O. 13 r. 3 &amp; 4; O. 42 r. 1)</w:t>
      </w:r>
      <w:r>
        <w:tab/>
      </w:r>
      <w:r>
        <w:fldChar w:fldCharType="begin"/>
      </w:r>
      <w:r>
        <w:instrText xml:space="preserve"> PAGEREF _Toc75863940 \h </w:instrText>
      </w:r>
      <w:r>
        <w:fldChar w:fldCharType="separate"/>
      </w:r>
      <w:r w:rsidR="00FC1D84">
        <w:t>641</w:t>
      </w:r>
      <w:r>
        <w:fldChar w:fldCharType="end"/>
      </w:r>
    </w:p>
    <w:p w:rsidR="006169FD" w:rsidRDefault="006169FD">
      <w:pPr>
        <w:pStyle w:val="TOC8"/>
        <w:rPr>
          <w:rFonts w:asciiTheme="minorHAnsi" w:eastAsiaTheme="minorEastAsia" w:hAnsiTheme="minorHAnsi" w:cstheme="minorBidi"/>
          <w:szCs w:val="22"/>
        </w:rPr>
      </w:pPr>
      <w:r>
        <w:t>36.</w:t>
      </w:r>
      <w:r>
        <w:tab/>
        <w:t>Default judgment for possession of land other than in a mortgage action (O. 13 r. 5; O. 42 r. 1)</w:t>
      </w:r>
      <w:r>
        <w:tab/>
      </w:r>
      <w:r>
        <w:fldChar w:fldCharType="begin"/>
      </w:r>
      <w:r>
        <w:instrText xml:space="preserve"> PAGEREF _Toc75863941 \h </w:instrText>
      </w:r>
      <w:r>
        <w:fldChar w:fldCharType="separate"/>
      </w:r>
      <w:r w:rsidR="00FC1D84">
        <w:t>643</w:t>
      </w:r>
      <w:r>
        <w:fldChar w:fldCharType="end"/>
      </w:r>
    </w:p>
    <w:p w:rsidR="006169FD" w:rsidRDefault="006169FD">
      <w:pPr>
        <w:pStyle w:val="TOC8"/>
        <w:rPr>
          <w:rFonts w:asciiTheme="minorHAnsi" w:eastAsiaTheme="minorEastAsia" w:hAnsiTheme="minorHAnsi" w:cstheme="minorBidi"/>
          <w:szCs w:val="22"/>
        </w:rPr>
      </w:pPr>
      <w:r>
        <w:t>36A.</w:t>
      </w:r>
      <w:r>
        <w:tab/>
        <w:t>Notice to defendant of intention to request Court to make orders for possession, foreclosure or sale of mortgaged property (O. 13 r. 6)</w:t>
      </w:r>
      <w:r>
        <w:tab/>
      </w:r>
      <w:r>
        <w:fldChar w:fldCharType="begin"/>
      </w:r>
      <w:r>
        <w:instrText xml:space="preserve"> PAGEREF _Toc75863942 \h </w:instrText>
      </w:r>
      <w:r>
        <w:fldChar w:fldCharType="separate"/>
      </w:r>
      <w:r w:rsidR="00FC1D84">
        <w:t>644</w:t>
      </w:r>
      <w:r>
        <w:fldChar w:fldCharType="end"/>
      </w:r>
    </w:p>
    <w:p w:rsidR="006169FD" w:rsidRDefault="006169FD">
      <w:pPr>
        <w:pStyle w:val="TOC8"/>
        <w:rPr>
          <w:rFonts w:asciiTheme="minorHAnsi" w:eastAsiaTheme="minorEastAsia" w:hAnsiTheme="minorHAnsi" w:cstheme="minorBidi"/>
          <w:szCs w:val="22"/>
        </w:rPr>
      </w:pPr>
      <w:r>
        <w:t>36B.</w:t>
      </w:r>
      <w:r>
        <w:tab/>
        <w:t>Request to enter default judgment in a mortgage action (O. 13 r. 6)</w:t>
      </w:r>
      <w:r>
        <w:tab/>
      </w:r>
      <w:r>
        <w:fldChar w:fldCharType="begin"/>
      </w:r>
      <w:r>
        <w:instrText xml:space="preserve"> PAGEREF _Toc75863943 \h </w:instrText>
      </w:r>
      <w:r>
        <w:fldChar w:fldCharType="separate"/>
      </w:r>
      <w:r w:rsidR="00FC1D84">
        <w:t>645</w:t>
      </w:r>
      <w:r>
        <w:fldChar w:fldCharType="end"/>
      </w:r>
    </w:p>
    <w:p w:rsidR="006169FD" w:rsidRDefault="006169FD">
      <w:pPr>
        <w:pStyle w:val="TOC8"/>
        <w:rPr>
          <w:rFonts w:asciiTheme="minorHAnsi" w:eastAsiaTheme="minorEastAsia" w:hAnsiTheme="minorHAnsi" w:cstheme="minorBidi"/>
          <w:szCs w:val="22"/>
        </w:rPr>
      </w:pPr>
      <w:r>
        <w:t>36C.</w:t>
      </w:r>
      <w:r>
        <w:tab/>
        <w:t>Default judgment in a mortgage action (O. 13 r. 6; O. 42 r. 1)</w:t>
      </w:r>
      <w:r>
        <w:tab/>
      </w:r>
      <w:r>
        <w:fldChar w:fldCharType="begin"/>
      </w:r>
      <w:r>
        <w:instrText xml:space="preserve"> PAGEREF _Toc75863944 \h </w:instrText>
      </w:r>
      <w:r>
        <w:fldChar w:fldCharType="separate"/>
      </w:r>
      <w:r w:rsidR="00FC1D84">
        <w:t>647</w:t>
      </w:r>
      <w:r>
        <w:fldChar w:fldCharType="end"/>
      </w:r>
    </w:p>
    <w:p w:rsidR="006169FD" w:rsidRDefault="006169FD">
      <w:pPr>
        <w:pStyle w:val="TOC8"/>
        <w:rPr>
          <w:rFonts w:asciiTheme="minorHAnsi" w:eastAsiaTheme="minorEastAsia" w:hAnsiTheme="minorHAnsi" w:cstheme="minorBidi"/>
          <w:szCs w:val="22"/>
        </w:rPr>
      </w:pPr>
      <w:r>
        <w:t>37.</w:t>
      </w:r>
      <w:r>
        <w:tab/>
        <w:t>Judgment (other than default judgment) after assessment of damages etc. (O. 42 r. 1)</w:t>
      </w:r>
      <w:r>
        <w:tab/>
      </w:r>
      <w:r>
        <w:fldChar w:fldCharType="begin"/>
      </w:r>
      <w:r>
        <w:instrText xml:space="preserve"> PAGEREF _Toc75863945 \h </w:instrText>
      </w:r>
      <w:r>
        <w:fldChar w:fldCharType="separate"/>
      </w:r>
      <w:r w:rsidR="00FC1D84">
        <w:t>649</w:t>
      </w:r>
      <w:r>
        <w:fldChar w:fldCharType="end"/>
      </w:r>
    </w:p>
    <w:p w:rsidR="006169FD" w:rsidRDefault="006169FD">
      <w:pPr>
        <w:pStyle w:val="TOC8"/>
        <w:rPr>
          <w:rFonts w:asciiTheme="minorHAnsi" w:eastAsiaTheme="minorEastAsia" w:hAnsiTheme="minorHAnsi" w:cstheme="minorBidi"/>
          <w:szCs w:val="22"/>
        </w:rPr>
      </w:pPr>
      <w:r>
        <w:t>38.</w:t>
      </w:r>
      <w:r w:rsidRPr="00AA3DF9">
        <w:tab/>
      </w:r>
      <w:r>
        <w:t>Judgment under Order 14 (O. 14 r. 3)</w:t>
      </w:r>
      <w:r>
        <w:tab/>
      </w:r>
      <w:r>
        <w:fldChar w:fldCharType="begin"/>
      </w:r>
      <w:r>
        <w:instrText xml:space="preserve"> PAGEREF _Toc75863946 \h </w:instrText>
      </w:r>
      <w:r>
        <w:fldChar w:fldCharType="separate"/>
      </w:r>
      <w:r w:rsidR="00FC1D84">
        <w:t>650</w:t>
      </w:r>
      <w:r>
        <w:fldChar w:fldCharType="end"/>
      </w:r>
    </w:p>
    <w:p w:rsidR="006169FD" w:rsidRDefault="006169FD">
      <w:pPr>
        <w:pStyle w:val="TOC8"/>
        <w:rPr>
          <w:rFonts w:asciiTheme="minorHAnsi" w:eastAsiaTheme="minorEastAsia" w:hAnsiTheme="minorHAnsi" w:cstheme="minorBidi"/>
          <w:szCs w:val="22"/>
        </w:rPr>
      </w:pPr>
      <w:r>
        <w:t>39.</w:t>
      </w:r>
      <w:r>
        <w:tab/>
        <w:t>Judgment after trial without jury (O. 42 r. 1)</w:t>
      </w:r>
      <w:r>
        <w:tab/>
      </w:r>
      <w:r>
        <w:fldChar w:fldCharType="begin"/>
      </w:r>
      <w:r>
        <w:instrText xml:space="preserve"> PAGEREF _Toc75863947 \h </w:instrText>
      </w:r>
      <w:r>
        <w:fldChar w:fldCharType="separate"/>
      </w:r>
      <w:r w:rsidR="00FC1D84">
        <w:t>650</w:t>
      </w:r>
      <w:r>
        <w:fldChar w:fldCharType="end"/>
      </w:r>
    </w:p>
    <w:p w:rsidR="006169FD" w:rsidRDefault="006169FD">
      <w:pPr>
        <w:pStyle w:val="TOC8"/>
        <w:rPr>
          <w:rFonts w:asciiTheme="minorHAnsi" w:eastAsiaTheme="minorEastAsia" w:hAnsiTheme="minorHAnsi" w:cstheme="minorBidi"/>
          <w:szCs w:val="22"/>
        </w:rPr>
      </w:pPr>
      <w:r>
        <w:t>40.</w:t>
      </w:r>
      <w:r>
        <w:tab/>
        <w:t>Judgment after trial with jury (O. 42 r. 1)</w:t>
      </w:r>
      <w:r>
        <w:tab/>
      </w:r>
      <w:r>
        <w:fldChar w:fldCharType="begin"/>
      </w:r>
      <w:r>
        <w:instrText xml:space="preserve"> PAGEREF _Toc75863948 \h </w:instrText>
      </w:r>
      <w:r>
        <w:fldChar w:fldCharType="separate"/>
      </w:r>
      <w:r w:rsidR="00FC1D84">
        <w:t>651</w:t>
      </w:r>
      <w:r>
        <w:fldChar w:fldCharType="end"/>
      </w:r>
    </w:p>
    <w:p w:rsidR="006169FD" w:rsidRDefault="006169FD">
      <w:pPr>
        <w:pStyle w:val="TOC8"/>
        <w:rPr>
          <w:rFonts w:asciiTheme="minorHAnsi" w:eastAsiaTheme="minorEastAsia" w:hAnsiTheme="minorHAnsi" w:cstheme="minorBidi"/>
          <w:szCs w:val="22"/>
        </w:rPr>
      </w:pPr>
      <w:r>
        <w:t>41.</w:t>
      </w:r>
      <w:r w:rsidRPr="00AA3DF9">
        <w:tab/>
      </w:r>
      <w:r>
        <w:t>Judgment after trial before master or special referee (O. 42 r. 1)</w:t>
      </w:r>
      <w:r>
        <w:tab/>
      </w:r>
      <w:r>
        <w:fldChar w:fldCharType="begin"/>
      </w:r>
      <w:r>
        <w:instrText xml:space="preserve"> PAGEREF _Toc75863949 \h </w:instrText>
      </w:r>
      <w:r>
        <w:fldChar w:fldCharType="separate"/>
      </w:r>
      <w:r w:rsidR="00FC1D84">
        <w:t>651</w:t>
      </w:r>
      <w:r>
        <w:fldChar w:fldCharType="end"/>
      </w:r>
    </w:p>
    <w:p w:rsidR="006169FD" w:rsidRDefault="006169FD">
      <w:pPr>
        <w:pStyle w:val="TOC8"/>
        <w:rPr>
          <w:rFonts w:asciiTheme="minorHAnsi" w:eastAsiaTheme="minorEastAsia" w:hAnsiTheme="minorHAnsi" w:cstheme="minorBidi"/>
          <w:szCs w:val="22"/>
        </w:rPr>
      </w:pPr>
      <w:r>
        <w:t>42.</w:t>
      </w:r>
      <w:r w:rsidRPr="00AA3DF9">
        <w:tab/>
      </w:r>
      <w:r>
        <w:t>Judgment after decision of preliminary issue (O. 32 r. 7; O. 42 r. 1)</w:t>
      </w:r>
      <w:r>
        <w:tab/>
      </w:r>
      <w:r>
        <w:fldChar w:fldCharType="begin"/>
      </w:r>
      <w:r>
        <w:instrText xml:space="preserve"> PAGEREF _Toc75863950 \h </w:instrText>
      </w:r>
      <w:r>
        <w:fldChar w:fldCharType="separate"/>
      </w:r>
      <w:r w:rsidR="00FC1D84">
        <w:t>652</w:t>
      </w:r>
      <w:r>
        <w:fldChar w:fldCharType="end"/>
      </w:r>
    </w:p>
    <w:p w:rsidR="006169FD" w:rsidRDefault="006169FD">
      <w:pPr>
        <w:pStyle w:val="TOC8"/>
        <w:rPr>
          <w:rFonts w:asciiTheme="minorHAnsi" w:eastAsiaTheme="minorEastAsia" w:hAnsiTheme="minorHAnsi" w:cstheme="minorBidi"/>
          <w:szCs w:val="22"/>
        </w:rPr>
      </w:pPr>
      <w:r>
        <w:t>43.</w:t>
      </w:r>
      <w:r w:rsidRPr="00AA3DF9">
        <w:tab/>
      </w:r>
      <w:r>
        <w:t>Judgment for defendant’s costs on discontinuance (O. 23 r. 2)</w:t>
      </w:r>
      <w:r>
        <w:tab/>
      </w:r>
      <w:r>
        <w:fldChar w:fldCharType="begin"/>
      </w:r>
      <w:r>
        <w:instrText xml:space="preserve"> PAGEREF _Toc75863951 \h </w:instrText>
      </w:r>
      <w:r>
        <w:fldChar w:fldCharType="separate"/>
      </w:r>
      <w:r w:rsidR="00FC1D84">
        <w:t>652</w:t>
      </w:r>
      <w:r>
        <w:fldChar w:fldCharType="end"/>
      </w:r>
    </w:p>
    <w:p w:rsidR="006169FD" w:rsidRDefault="006169FD">
      <w:pPr>
        <w:pStyle w:val="TOC8"/>
        <w:rPr>
          <w:rFonts w:asciiTheme="minorHAnsi" w:eastAsiaTheme="minorEastAsia" w:hAnsiTheme="minorHAnsi" w:cstheme="minorBidi"/>
          <w:szCs w:val="22"/>
        </w:rPr>
      </w:pPr>
      <w:r>
        <w:t>44.</w:t>
      </w:r>
      <w:r w:rsidRPr="00AA3DF9">
        <w:tab/>
      </w:r>
      <w:r>
        <w:t>Judgment by consent (O. 42 r. 1(2))</w:t>
      </w:r>
      <w:r>
        <w:tab/>
      </w:r>
      <w:r>
        <w:fldChar w:fldCharType="begin"/>
      </w:r>
      <w:r>
        <w:instrText xml:space="preserve"> PAGEREF _Toc75863952 \h </w:instrText>
      </w:r>
      <w:r>
        <w:fldChar w:fldCharType="separate"/>
      </w:r>
      <w:r w:rsidR="00FC1D84">
        <w:t>653</w:t>
      </w:r>
      <w:r>
        <w:fldChar w:fldCharType="end"/>
      </w:r>
    </w:p>
    <w:p w:rsidR="006169FD" w:rsidRDefault="006169FD">
      <w:pPr>
        <w:pStyle w:val="TOC8"/>
        <w:rPr>
          <w:rFonts w:asciiTheme="minorHAnsi" w:eastAsiaTheme="minorEastAsia" w:hAnsiTheme="minorHAnsi" w:cstheme="minorBidi"/>
          <w:szCs w:val="22"/>
        </w:rPr>
      </w:pPr>
      <w:r>
        <w:t>60.</w:t>
      </w:r>
      <w:r w:rsidRPr="00AA3DF9">
        <w:tab/>
      </w:r>
      <w:r>
        <w:t>Summons for appointment of receiver (O. 51 r. 1)</w:t>
      </w:r>
      <w:r>
        <w:tab/>
      </w:r>
      <w:r>
        <w:fldChar w:fldCharType="begin"/>
      </w:r>
      <w:r>
        <w:instrText xml:space="preserve"> PAGEREF _Toc75863953 \h </w:instrText>
      </w:r>
      <w:r>
        <w:fldChar w:fldCharType="separate"/>
      </w:r>
      <w:r w:rsidR="00FC1D84">
        <w:t>653</w:t>
      </w:r>
      <w:r>
        <w:fldChar w:fldCharType="end"/>
      </w:r>
    </w:p>
    <w:p w:rsidR="006169FD" w:rsidRDefault="006169FD">
      <w:pPr>
        <w:pStyle w:val="TOC8"/>
        <w:rPr>
          <w:rFonts w:asciiTheme="minorHAnsi" w:eastAsiaTheme="minorEastAsia" w:hAnsiTheme="minorHAnsi" w:cstheme="minorBidi"/>
          <w:szCs w:val="22"/>
        </w:rPr>
      </w:pPr>
      <w:r>
        <w:t>61.</w:t>
      </w:r>
      <w:r w:rsidRPr="00AA3DF9">
        <w:tab/>
      </w:r>
      <w:r>
        <w:t>Order directing summons for appointment of receiver and granting injunction meanwhile (O. 51 r. 1)</w:t>
      </w:r>
      <w:r>
        <w:tab/>
      </w:r>
      <w:r>
        <w:fldChar w:fldCharType="begin"/>
      </w:r>
      <w:r>
        <w:instrText xml:space="preserve"> PAGEREF _Toc75863954 \h </w:instrText>
      </w:r>
      <w:r>
        <w:fldChar w:fldCharType="separate"/>
      </w:r>
      <w:r w:rsidR="00FC1D84">
        <w:t>654</w:t>
      </w:r>
      <w:r>
        <w:fldChar w:fldCharType="end"/>
      </w:r>
    </w:p>
    <w:p w:rsidR="006169FD" w:rsidRDefault="006169FD">
      <w:pPr>
        <w:pStyle w:val="TOC8"/>
        <w:rPr>
          <w:rFonts w:asciiTheme="minorHAnsi" w:eastAsiaTheme="minorEastAsia" w:hAnsiTheme="minorHAnsi" w:cstheme="minorBidi"/>
          <w:szCs w:val="22"/>
        </w:rPr>
      </w:pPr>
      <w:r>
        <w:t>62.</w:t>
      </w:r>
      <w:r w:rsidRPr="00AA3DF9">
        <w:tab/>
      </w:r>
      <w:r>
        <w:t>Receiver order (interim) (O. 51 r. 1)</w:t>
      </w:r>
      <w:r>
        <w:tab/>
      </w:r>
      <w:r>
        <w:fldChar w:fldCharType="begin"/>
      </w:r>
      <w:r>
        <w:instrText xml:space="preserve"> PAGEREF _Toc75863955 \h </w:instrText>
      </w:r>
      <w:r>
        <w:fldChar w:fldCharType="separate"/>
      </w:r>
      <w:r w:rsidR="00FC1D84">
        <w:t>655</w:t>
      </w:r>
      <w:r>
        <w:fldChar w:fldCharType="end"/>
      </w:r>
    </w:p>
    <w:p w:rsidR="006169FD" w:rsidRDefault="006169FD">
      <w:pPr>
        <w:pStyle w:val="TOC8"/>
        <w:rPr>
          <w:rFonts w:asciiTheme="minorHAnsi" w:eastAsiaTheme="minorEastAsia" w:hAnsiTheme="minorHAnsi" w:cstheme="minorBidi"/>
          <w:szCs w:val="22"/>
        </w:rPr>
      </w:pPr>
      <w:r>
        <w:t>64.</w:t>
      </w:r>
      <w:r>
        <w:tab/>
        <w:t>Notice of originating motion (O. 54 r. 5)</w:t>
      </w:r>
      <w:r>
        <w:tab/>
      </w:r>
      <w:r>
        <w:fldChar w:fldCharType="begin"/>
      </w:r>
      <w:r>
        <w:instrText xml:space="preserve"> PAGEREF _Toc75863956 \h </w:instrText>
      </w:r>
      <w:r>
        <w:fldChar w:fldCharType="separate"/>
      </w:r>
      <w:r w:rsidR="00FC1D84">
        <w:t>655</w:t>
      </w:r>
      <w:r>
        <w:fldChar w:fldCharType="end"/>
      </w:r>
    </w:p>
    <w:p w:rsidR="006169FD" w:rsidRDefault="006169FD">
      <w:pPr>
        <w:pStyle w:val="TOC8"/>
        <w:rPr>
          <w:rFonts w:asciiTheme="minorHAnsi" w:eastAsiaTheme="minorEastAsia" w:hAnsiTheme="minorHAnsi" w:cstheme="minorBidi"/>
          <w:szCs w:val="22"/>
        </w:rPr>
      </w:pPr>
      <w:r>
        <w:t>65.</w:t>
      </w:r>
      <w:r w:rsidRPr="00AA3DF9">
        <w:tab/>
      </w:r>
      <w:r>
        <w:t>Notice of motion (O. 54 r. 5)</w:t>
      </w:r>
      <w:r>
        <w:tab/>
      </w:r>
      <w:r>
        <w:fldChar w:fldCharType="begin"/>
      </w:r>
      <w:r>
        <w:instrText xml:space="preserve"> PAGEREF _Toc75863957 \h </w:instrText>
      </w:r>
      <w:r>
        <w:fldChar w:fldCharType="separate"/>
      </w:r>
      <w:r w:rsidR="00FC1D84">
        <w:t>656</w:t>
      </w:r>
      <w:r>
        <w:fldChar w:fldCharType="end"/>
      </w:r>
    </w:p>
    <w:p w:rsidR="006169FD" w:rsidRDefault="006169FD">
      <w:pPr>
        <w:pStyle w:val="TOC8"/>
        <w:rPr>
          <w:rFonts w:asciiTheme="minorHAnsi" w:eastAsiaTheme="minorEastAsia" w:hAnsiTheme="minorHAnsi" w:cstheme="minorBidi"/>
          <w:szCs w:val="22"/>
        </w:rPr>
      </w:pPr>
      <w:r>
        <w:t>66.</w:t>
      </w:r>
      <w:r w:rsidRPr="00AA3DF9">
        <w:tab/>
      </w:r>
      <w:r>
        <w:t>Order of committal (O. 55 r. 7(4))</w:t>
      </w:r>
      <w:r>
        <w:tab/>
      </w:r>
      <w:r>
        <w:fldChar w:fldCharType="begin"/>
      </w:r>
      <w:r>
        <w:instrText xml:space="preserve"> PAGEREF _Toc75863958 \h </w:instrText>
      </w:r>
      <w:r>
        <w:fldChar w:fldCharType="separate"/>
      </w:r>
      <w:r w:rsidR="00FC1D84">
        <w:t>657</w:t>
      </w:r>
      <w:r>
        <w:fldChar w:fldCharType="end"/>
      </w:r>
    </w:p>
    <w:p w:rsidR="006169FD" w:rsidRDefault="006169FD">
      <w:pPr>
        <w:pStyle w:val="TOC8"/>
        <w:rPr>
          <w:rFonts w:asciiTheme="minorHAnsi" w:eastAsiaTheme="minorEastAsia" w:hAnsiTheme="minorHAnsi" w:cstheme="minorBidi"/>
          <w:szCs w:val="22"/>
        </w:rPr>
      </w:pPr>
      <w:r>
        <w:lastRenderedPageBreak/>
        <w:t>67.</w:t>
      </w:r>
      <w:r>
        <w:tab/>
        <w:t>Certiorari (O. 56 r. 14)</w:t>
      </w:r>
      <w:r>
        <w:tab/>
      </w:r>
      <w:r>
        <w:fldChar w:fldCharType="begin"/>
      </w:r>
      <w:r>
        <w:instrText xml:space="preserve"> PAGEREF _Toc75863959 \h </w:instrText>
      </w:r>
      <w:r>
        <w:fldChar w:fldCharType="separate"/>
      </w:r>
      <w:r w:rsidR="00FC1D84">
        <w:t>659</w:t>
      </w:r>
      <w:r>
        <w:fldChar w:fldCharType="end"/>
      </w:r>
    </w:p>
    <w:p w:rsidR="006169FD" w:rsidRDefault="006169FD">
      <w:pPr>
        <w:pStyle w:val="TOC8"/>
        <w:rPr>
          <w:rFonts w:asciiTheme="minorHAnsi" w:eastAsiaTheme="minorEastAsia" w:hAnsiTheme="minorHAnsi" w:cstheme="minorBidi"/>
          <w:szCs w:val="22"/>
        </w:rPr>
      </w:pPr>
      <w:r>
        <w:t>69.</w:t>
      </w:r>
      <w:r>
        <w:tab/>
        <w:t>Mandamus (O. 56 r. 16)</w:t>
      </w:r>
      <w:r>
        <w:tab/>
      </w:r>
      <w:r>
        <w:fldChar w:fldCharType="begin"/>
      </w:r>
      <w:r>
        <w:instrText xml:space="preserve"> PAGEREF _Toc75863960 \h </w:instrText>
      </w:r>
      <w:r>
        <w:fldChar w:fldCharType="separate"/>
      </w:r>
      <w:r w:rsidR="00FC1D84">
        <w:t>660</w:t>
      </w:r>
      <w:r>
        <w:fldChar w:fldCharType="end"/>
      </w:r>
    </w:p>
    <w:p w:rsidR="006169FD" w:rsidRDefault="006169FD">
      <w:pPr>
        <w:pStyle w:val="TOC8"/>
        <w:rPr>
          <w:rFonts w:asciiTheme="minorHAnsi" w:eastAsiaTheme="minorEastAsia" w:hAnsiTheme="minorHAnsi" w:cstheme="minorBidi"/>
          <w:szCs w:val="22"/>
        </w:rPr>
      </w:pPr>
      <w:r>
        <w:t>70.</w:t>
      </w:r>
      <w:r>
        <w:tab/>
      </w:r>
      <w:r w:rsidRPr="00AA3DF9">
        <w:rPr>
          <w:i/>
        </w:rPr>
        <w:t>Procedendo</w:t>
      </w:r>
      <w:r>
        <w:t xml:space="preserve"> (O. 56 r. 32)</w:t>
      </w:r>
      <w:r>
        <w:tab/>
      </w:r>
      <w:r>
        <w:fldChar w:fldCharType="begin"/>
      </w:r>
      <w:r>
        <w:instrText xml:space="preserve"> PAGEREF _Toc75863961 \h </w:instrText>
      </w:r>
      <w:r>
        <w:fldChar w:fldCharType="separate"/>
      </w:r>
      <w:r w:rsidR="00FC1D84">
        <w:t>661</w:t>
      </w:r>
      <w:r>
        <w:fldChar w:fldCharType="end"/>
      </w:r>
    </w:p>
    <w:p w:rsidR="006169FD" w:rsidRDefault="006169FD">
      <w:pPr>
        <w:pStyle w:val="TOC8"/>
        <w:rPr>
          <w:rFonts w:asciiTheme="minorHAnsi" w:eastAsiaTheme="minorEastAsia" w:hAnsiTheme="minorHAnsi" w:cstheme="minorBidi"/>
          <w:szCs w:val="22"/>
        </w:rPr>
      </w:pPr>
      <w:r>
        <w:t>71.</w:t>
      </w:r>
      <w:r>
        <w:tab/>
        <w:t>Prohibition (O. 56 r. 33)</w:t>
      </w:r>
      <w:r>
        <w:tab/>
      </w:r>
      <w:r>
        <w:fldChar w:fldCharType="begin"/>
      </w:r>
      <w:r>
        <w:instrText xml:space="preserve"> PAGEREF _Toc75863962 \h </w:instrText>
      </w:r>
      <w:r>
        <w:fldChar w:fldCharType="separate"/>
      </w:r>
      <w:r w:rsidR="00FC1D84">
        <w:t>661</w:t>
      </w:r>
      <w:r>
        <w:fldChar w:fldCharType="end"/>
      </w:r>
    </w:p>
    <w:p w:rsidR="006169FD" w:rsidRDefault="006169FD">
      <w:pPr>
        <w:pStyle w:val="TOC8"/>
        <w:rPr>
          <w:rFonts w:asciiTheme="minorHAnsi" w:eastAsiaTheme="minorEastAsia" w:hAnsiTheme="minorHAnsi" w:cstheme="minorBidi"/>
          <w:szCs w:val="22"/>
        </w:rPr>
      </w:pPr>
      <w:r>
        <w:t>73.</w:t>
      </w:r>
      <w:r>
        <w:tab/>
        <w:t>Habeas corpus (O. 57 r. 10)</w:t>
      </w:r>
      <w:r>
        <w:tab/>
      </w:r>
      <w:r>
        <w:fldChar w:fldCharType="begin"/>
      </w:r>
      <w:r>
        <w:instrText xml:space="preserve"> PAGEREF _Toc75863963 \h </w:instrText>
      </w:r>
      <w:r>
        <w:fldChar w:fldCharType="separate"/>
      </w:r>
      <w:r w:rsidR="00FC1D84">
        <w:t>661</w:t>
      </w:r>
      <w:r>
        <w:fldChar w:fldCharType="end"/>
      </w:r>
    </w:p>
    <w:p w:rsidR="006169FD" w:rsidRDefault="006169FD">
      <w:pPr>
        <w:pStyle w:val="TOC8"/>
        <w:rPr>
          <w:rFonts w:asciiTheme="minorHAnsi" w:eastAsiaTheme="minorEastAsia" w:hAnsiTheme="minorHAnsi" w:cstheme="minorBidi"/>
          <w:szCs w:val="22"/>
        </w:rPr>
      </w:pPr>
      <w:r>
        <w:t>74.</w:t>
      </w:r>
      <w:r w:rsidRPr="00AA3DF9">
        <w:tab/>
      </w:r>
      <w:r>
        <w:t>Originating summons, appearance required (O. 58 r. 14)</w:t>
      </w:r>
      <w:r>
        <w:tab/>
      </w:r>
      <w:r>
        <w:fldChar w:fldCharType="begin"/>
      </w:r>
      <w:r>
        <w:instrText xml:space="preserve"> PAGEREF _Toc75863964 \h </w:instrText>
      </w:r>
      <w:r>
        <w:fldChar w:fldCharType="separate"/>
      </w:r>
      <w:r w:rsidR="00FC1D84">
        <w:t>662</w:t>
      </w:r>
      <w:r>
        <w:fldChar w:fldCharType="end"/>
      </w:r>
    </w:p>
    <w:p w:rsidR="006169FD" w:rsidRDefault="006169FD">
      <w:pPr>
        <w:pStyle w:val="TOC8"/>
        <w:rPr>
          <w:rFonts w:asciiTheme="minorHAnsi" w:eastAsiaTheme="minorEastAsia" w:hAnsiTheme="minorHAnsi" w:cstheme="minorBidi"/>
          <w:szCs w:val="22"/>
        </w:rPr>
      </w:pPr>
      <w:r>
        <w:t>75.</w:t>
      </w:r>
      <w:r w:rsidRPr="00AA3DF9">
        <w:tab/>
      </w:r>
      <w:r>
        <w:t>Originating summons, appearance not required (O. 58 r. 14)</w:t>
      </w:r>
      <w:r>
        <w:tab/>
      </w:r>
      <w:r>
        <w:fldChar w:fldCharType="begin"/>
      </w:r>
      <w:r>
        <w:instrText xml:space="preserve"> PAGEREF _Toc75863965 \h </w:instrText>
      </w:r>
      <w:r>
        <w:fldChar w:fldCharType="separate"/>
      </w:r>
      <w:r w:rsidR="00FC1D84">
        <w:t>663</w:t>
      </w:r>
      <w:r>
        <w:fldChar w:fldCharType="end"/>
      </w:r>
    </w:p>
    <w:p w:rsidR="006169FD" w:rsidRDefault="006169FD">
      <w:pPr>
        <w:pStyle w:val="TOC8"/>
        <w:rPr>
          <w:rFonts w:asciiTheme="minorHAnsi" w:eastAsiaTheme="minorEastAsia" w:hAnsiTheme="minorHAnsi" w:cstheme="minorBidi"/>
          <w:szCs w:val="22"/>
        </w:rPr>
      </w:pPr>
      <w:r>
        <w:t>76.</w:t>
      </w:r>
      <w:r w:rsidRPr="00AA3DF9">
        <w:tab/>
      </w:r>
      <w:r>
        <w:t>Notice of appointment to hear originating summons (O. 58 r. 19)</w:t>
      </w:r>
      <w:r>
        <w:tab/>
      </w:r>
      <w:r>
        <w:fldChar w:fldCharType="begin"/>
      </w:r>
      <w:r>
        <w:instrText xml:space="preserve"> PAGEREF _Toc75863966 \h </w:instrText>
      </w:r>
      <w:r>
        <w:fldChar w:fldCharType="separate"/>
      </w:r>
      <w:r w:rsidR="00FC1D84">
        <w:t>663</w:t>
      </w:r>
      <w:r>
        <w:fldChar w:fldCharType="end"/>
      </w:r>
    </w:p>
    <w:p w:rsidR="006169FD" w:rsidRDefault="006169FD">
      <w:pPr>
        <w:pStyle w:val="TOC8"/>
        <w:rPr>
          <w:rFonts w:asciiTheme="minorHAnsi" w:eastAsiaTheme="minorEastAsia" w:hAnsiTheme="minorHAnsi" w:cstheme="minorBidi"/>
          <w:szCs w:val="22"/>
        </w:rPr>
      </w:pPr>
      <w:r>
        <w:t>77.</w:t>
      </w:r>
      <w:r w:rsidRPr="00AA3DF9">
        <w:tab/>
      </w:r>
      <w:r>
        <w:t>Summons (general form) (O. 59 r. 4(1))</w:t>
      </w:r>
      <w:r>
        <w:tab/>
      </w:r>
      <w:r>
        <w:fldChar w:fldCharType="begin"/>
      </w:r>
      <w:r>
        <w:instrText xml:space="preserve"> PAGEREF _Toc75863967 \h </w:instrText>
      </w:r>
      <w:r>
        <w:fldChar w:fldCharType="separate"/>
      </w:r>
      <w:r w:rsidR="00FC1D84">
        <w:t>664</w:t>
      </w:r>
      <w:r>
        <w:fldChar w:fldCharType="end"/>
      </w:r>
    </w:p>
    <w:p w:rsidR="006169FD" w:rsidRDefault="006169FD">
      <w:pPr>
        <w:pStyle w:val="TOC8"/>
        <w:rPr>
          <w:rFonts w:asciiTheme="minorHAnsi" w:eastAsiaTheme="minorEastAsia" w:hAnsiTheme="minorHAnsi" w:cstheme="minorBidi"/>
          <w:szCs w:val="22"/>
        </w:rPr>
      </w:pPr>
      <w:r>
        <w:t>78.</w:t>
      </w:r>
      <w:r>
        <w:tab/>
        <w:t>Order (general form) (O. 59 r. 10)</w:t>
      </w:r>
      <w:r>
        <w:tab/>
      </w:r>
      <w:r>
        <w:fldChar w:fldCharType="begin"/>
      </w:r>
      <w:r>
        <w:instrText xml:space="preserve"> PAGEREF _Toc75863968 \h </w:instrText>
      </w:r>
      <w:r>
        <w:fldChar w:fldCharType="separate"/>
      </w:r>
      <w:r w:rsidR="00FC1D84">
        <w:t>664</w:t>
      </w:r>
      <w:r>
        <w:fldChar w:fldCharType="end"/>
      </w:r>
    </w:p>
    <w:p w:rsidR="006169FD" w:rsidRDefault="006169FD">
      <w:pPr>
        <w:pStyle w:val="TOC8"/>
        <w:rPr>
          <w:rFonts w:asciiTheme="minorHAnsi" w:eastAsiaTheme="minorEastAsia" w:hAnsiTheme="minorHAnsi" w:cstheme="minorBidi"/>
          <w:szCs w:val="22"/>
        </w:rPr>
      </w:pPr>
      <w:r w:rsidRPr="00AA3DF9">
        <w:rPr>
          <w:bCs/>
        </w:rPr>
        <w:t>80A</w:t>
      </w:r>
      <w:r>
        <w:t>.</w:t>
      </w:r>
      <w:r>
        <w:tab/>
        <w:t>Appeal notice (Registrar’s decision) (O. 60A r. 5(3))</w:t>
      </w:r>
      <w:r>
        <w:tab/>
      </w:r>
      <w:r>
        <w:fldChar w:fldCharType="begin"/>
      </w:r>
      <w:r>
        <w:instrText xml:space="preserve"> PAGEREF _Toc75863969 \h </w:instrText>
      </w:r>
      <w:r>
        <w:fldChar w:fldCharType="separate"/>
      </w:r>
      <w:r w:rsidR="00FC1D84">
        <w:t>665</w:t>
      </w:r>
      <w:r>
        <w:fldChar w:fldCharType="end"/>
      </w:r>
    </w:p>
    <w:p w:rsidR="006169FD" w:rsidRDefault="006169FD">
      <w:pPr>
        <w:pStyle w:val="TOC8"/>
        <w:rPr>
          <w:rFonts w:asciiTheme="minorHAnsi" w:eastAsiaTheme="minorEastAsia" w:hAnsiTheme="minorHAnsi" w:cstheme="minorBidi"/>
          <w:szCs w:val="22"/>
        </w:rPr>
      </w:pPr>
      <w:r>
        <w:t>80.</w:t>
      </w:r>
      <w:r w:rsidRPr="00AA3DF9">
        <w:tab/>
      </w:r>
      <w:r>
        <w:t>Notice of judgment or order (O. 61 r. 3(3))</w:t>
      </w:r>
      <w:r>
        <w:tab/>
      </w:r>
      <w:r>
        <w:fldChar w:fldCharType="begin"/>
      </w:r>
      <w:r>
        <w:instrText xml:space="preserve"> PAGEREF _Toc75863970 \h </w:instrText>
      </w:r>
      <w:r>
        <w:fldChar w:fldCharType="separate"/>
      </w:r>
      <w:r w:rsidR="00FC1D84">
        <w:t>666</w:t>
      </w:r>
      <w:r>
        <w:fldChar w:fldCharType="end"/>
      </w:r>
    </w:p>
    <w:p w:rsidR="006169FD" w:rsidRDefault="006169FD">
      <w:pPr>
        <w:pStyle w:val="TOC8"/>
        <w:rPr>
          <w:rFonts w:asciiTheme="minorHAnsi" w:eastAsiaTheme="minorEastAsia" w:hAnsiTheme="minorHAnsi" w:cstheme="minorBidi"/>
          <w:szCs w:val="22"/>
        </w:rPr>
      </w:pPr>
      <w:r>
        <w:t>81.</w:t>
      </w:r>
      <w:r w:rsidRPr="00AA3DF9">
        <w:tab/>
      </w:r>
      <w:r>
        <w:t>Advertisement for creditors (O. 61 r. 15(2))</w:t>
      </w:r>
      <w:r>
        <w:tab/>
      </w:r>
      <w:r>
        <w:fldChar w:fldCharType="begin"/>
      </w:r>
      <w:r>
        <w:instrText xml:space="preserve"> PAGEREF _Toc75863971 \h </w:instrText>
      </w:r>
      <w:r>
        <w:fldChar w:fldCharType="separate"/>
      </w:r>
      <w:r w:rsidR="00FC1D84">
        <w:t>667</w:t>
      </w:r>
      <w:r>
        <w:fldChar w:fldCharType="end"/>
      </w:r>
    </w:p>
    <w:p w:rsidR="006169FD" w:rsidRDefault="006169FD">
      <w:pPr>
        <w:pStyle w:val="TOC8"/>
        <w:rPr>
          <w:rFonts w:asciiTheme="minorHAnsi" w:eastAsiaTheme="minorEastAsia" w:hAnsiTheme="minorHAnsi" w:cstheme="minorBidi"/>
          <w:szCs w:val="22"/>
        </w:rPr>
      </w:pPr>
      <w:r>
        <w:t>82.</w:t>
      </w:r>
      <w:r w:rsidRPr="00AA3DF9">
        <w:tab/>
      </w:r>
      <w:r>
        <w:t>Advertisement for claimants other than creditors (O. 61 r. 15(2))</w:t>
      </w:r>
      <w:r>
        <w:tab/>
      </w:r>
      <w:r>
        <w:fldChar w:fldCharType="begin"/>
      </w:r>
      <w:r>
        <w:instrText xml:space="preserve"> PAGEREF _Toc75863972 \h </w:instrText>
      </w:r>
      <w:r>
        <w:fldChar w:fldCharType="separate"/>
      </w:r>
      <w:r w:rsidR="00FC1D84">
        <w:t>667</w:t>
      </w:r>
      <w:r>
        <w:fldChar w:fldCharType="end"/>
      </w:r>
    </w:p>
    <w:p w:rsidR="006169FD" w:rsidRDefault="006169FD">
      <w:pPr>
        <w:pStyle w:val="TOC8"/>
        <w:rPr>
          <w:rFonts w:asciiTheme="minorHAnsi" w:eastAsiaTheme="minorEastAsia" w:hAnsiTheme="minorHAnsi" w:cstheme="minorBidi"/>
          <w:szCs w:val="22"/>
        </w:rPr>
      </w:pPr>
      <w:r>
        <w:t>83.</w:t>
      </w:r>
      <w:r w:rsidRPr="00AA3DF9">
        <w:tab/>
      </w:r>
      <w:r>
        <w:t>Appeal notice (O. 65 r. 10)</w:t>
      </w:r>
      <w:r>
        <w:tab/>
      </w:r>
      <w:r>
        <w:fldChar w:fldCharType="begin"/>
      </w:r>
      <w:r>
        <w:instrText xml:space="preserve"> PAGEREF _Toc75863973 \h </w:instrText>
      </w:r>
      <w:r>
        <w:fldChar w:fldCharType="separate"/>
      </w:r>
      <w:r w:rsidR="00FC1D84">
        <w:t>668</w:t>
      </w:r>
      <w:r>
        <w:fldChar w:fldCharType="end"/>
      </w:r>
    </w:p>
    <w:p w:rsidR="006169FD" w:rsidRDefault="006169FD">
      <w:pPr>
        <w:pStyle w:val="TOC8"/>
        <w:rPr>
          <w:rFonts w:asciiTheme="minorHAnsi" w:eastAsiaTheme="minorEastAsia" w:hAnsiTheme="minorHAnsi" w:cstheme="minorBidi"/>
          <w:szCs w:val="22"/>
        </w:rPr>
      </w:pPr>
      <w:r>
        <w:t>84.</w:t>
      </w:r>
      <w:r>
        <w:tab/>
        <w:t>Service certificate (O. 65 r. 10(7))</w:t>
      </w:r>
      <w:r>
        <w:tab/>
      </w:r>
      <w:r>
        <w:fldChar w:fldCharType="begin"/>
      </w:r>
      <w:r>
        <w:instrText xml:space="preserve"> PAGEREF _Toc75863974 \h </w:instrText>
      </w:r>
      <w:r>
        <w:fldChar w:fldCharType="separate"/>
      </w:r>
      <w:r w:rsidR="00FC1D84">
        <w:t>669</w:t>
      </w:r>
      <w:r>
        <w:fldChar w:fldCharType="end"/>
      </w:r>
    </w:p>
    <w:p w:rsidR="006169FD" w:rsidRDefault="006169FD">
      <w:pPr>
        <w:pStyle w:val="TOC8"/>
        <w:rPr>
          <w:rFonts w:asciiTheme="minorHAnsi" w:eastAsiaTheme="minorEastAsia" w:hAnsiTheme="minorHAnsi" w:cstheme="minorBidi"/>
          <w:szCs w:val="22"/>
        </w:rPr>
      </w:pPr>
      <w:r>
        <w:t>85.</w:t>
      </w:r>
      <w:r>
        <w:tab/>
        <w:t>Notice of respondent’s intention (O. 65 r. 12)</w:t>
      </w:r>
      <w:r>
        <w:tab/>
      </w:r>
      <w:r>
        <w:fldChar w:fldCharType="begin"/>
      </w:r>
      <w:r>
        <w:instrText xml:space="preserve"> PAGEREF _Toc75863975 \h </w:instrText>
      </w:r>
      <w:r>
        <w:fldChar w:fldCharType="separate"/>
      </w:r>
      <w:r w:rsidR="00FC1D84">
        <w:t>670</w:t>
      </w:r>
      <w:r>
        <w:fldChar w:fldCharType="end"/>
      </w:r>
    </w:p>
    <w:p w:rsidR="006169FD" w:rsidRDefault="006169FD">
      <w:pPr>
        <w:pStyle w:val="TOC8"/>
        <w:rPr>
          <w:rFonts w:asciiTheme="minorHAnsi" w:eastAsiaTheme="minorEastAsia" w:hAnsiTheme="minorHAnsi" w:cstheme="minorBidi"/>
          <w:szCs w:val="22"/>
        </w:rPr>
      </w:pPr>
      <w:r>
        <w:t>86.</w:t>
      </w:r>
      <w:r>
        <w:tab/>
        <w:t>Application in an appeal (O. 65 r. 13)</w:t>
      </w:r>
      <w:r>
        <w:tab/>
      </w:r>
      <w:r>
        <w:fldChar w:fldCharType="begin"/>
      </w:r>
      <w:r>
        <w:instrText xml:space="preserve"> PAGEREF _Toc75863976 \h </w:instrText>
      </w:r>
      <w:r>
        <w:fldChar w:fldCharType="separate"/>
      </w:r>
      <w:r w:rsidR="00FC1D84">
        <w:t>671</w:t>
      </w:r>
      <w:r>
        <w:fldChar w:fldCharType="end"/>
      </w:r>
    </w:p>
    <w:p w:rsidR="006169FD" w:rsidRDefault="006169FD">
      <w:pPr>
        <w:pStyle w:val="TOC8"/>
        <w:rPr>
          <w:rFonts w:asciiTheme="minorHAnsi" w:eastAsiaTheme="minorEastAsia" w:hAnsiTheme="minorHAnsi" w:cstheme="minorBidi"/>
          <w:szCs w:val="22"/>
        </w:rPr>
      </w:pPr>
      <w:r>
        <w:t>87.</w:t>
      </w:r>
      <w:r>
        <w:tab/>
        <w:t>Consent notice (O. 65 r. 15 &amp; 18)</w:t>
      </w:r>
      <w:r>
        <w:tab/>
      </w:r>
      <w:r>
        <w:fldChar w:fldCharType="begin"/>
      </w:r>
      <w:r>
        <w:instrText xml:space="preserve"> PAGEREF _Toc75863977 \h </w:instrText>
      </w:r>
      <w:r>
        <w:fldChar w:fldCharType="separate"/>
      </w:r>
      <w:r w:rsidR="00FC1D84">
        <w:t>671</w:t>
      </w:r>
      <w:r>
        <w:fldChar w:fldCharType="end"/>
      </w:r>
    </w:p>
    <w:p w:rsidR="006169FD" w:rsidRDefault="006169FD">
      <w:pPr>
        <w:pStyle w:val="TOC8"/>
        <w:rPr>
          <w:rFonts w:asciiTheme="minorHAnsi" w:eastAsiaTheme="minorEastAsia" w:hAnsiTheme="minorHAnsi" w:cstheme="minorBidi"/>
          <w:szCs w:val="22"/>
        </w:rPr>
      </w:pPr>
      <w:r>
        <w:t>88.</w:t>
      </w:r>
      <w:r>
        <w:tab/>
        <w:t>Request for hearing (O. 65 r. 7)</w:t>
      </w:r>
      <w:r>
        <w:tab/>
      </w:r>
      <w:r>
        <w:fldChar w:fldCharType="begin"/>
      </w:r>
      <w:r>
        <w:instrText xml:space="preserve"> PAGEREF _Toc75863978 \h </w:instrText>
      </w:r>
      <w:r>
        <w:fldChar w:fldCharType="separate"/>
      </w:r>
      <w:r w:rsidR="00FC1D84">
        <w:t>672</w:t>
      </w:r>
      <w:r>
        <w:fldChar w:fldCharType="end"/>
      </w:r>
    </w:p>
    <w:p w:rsidR="006169FD" w:rsidRDefault="006169FD">
      <w:pPr>
        <w:pStyle w:val="TOC8"/>
        <w:rPr>
          <w:rFonts w:asciiTheme="minorHAnsi" w:eastAsiaTheme="minorEastAsia" w:hAnsiTheme="minorHAnsi" w:cstheme="minorBidi"/>
          <w:szCs w:val="22"/>
        </w:rPr>
      </w:pPr>
      <w:r>
        <w:t>89.</w:t>
      </w:r>
      <w:r>
        <w:tab/>
        <w:t>Discontinuance notice (O. 65 r. 17)</w:t>
      </w:r>
      <w:r>
        <w:tab/>
      </w:r>
      <w:r>
        <w:fldChar w:fldCharType="begin"/>
      </w:r>
      <w:r>
        <w:instrText xml:space="preserve"> PAGEREF _Toc75863979 \h </w:instrText>
      </w:r>
      <w:r>
        <w:fldChar w:fldCharType="separate"/>
      </w:r>
      <w:r w:rsidR="00FC1D84">
        <w:t>672</w:t>
      </w:r>
      <w:r>
        <w:fldChar w:fldCharType="end"/>
      </w:r>
    </w:p>
    <w:p w:rsidR="006169FD" w:rsidRDefault="006169FD">
      <w:pPr>
        <w:pStyle w:val="TOC8"/>
        <w:rPr>
          <w:rFonts w:asciiTheme="minorHAnsi" w:eastAsiaTheme="minorEastAsia" w:hAnsiTheme="minorHAnsi" w:cstheme="minorBidi"/>
          <w:szCs w:val="22"/>
        </w:rPr>
      </w:pPr>
      <w:r>
        <w:t>93A.</w:t>
      </w:r>
      <w:r w:rsidRPr="00AA3DF9">
        <w:tab/>
      </w:r>
      <w:r w:rsidRPr="00AA3DF9">
        <w:rPr>
          <w:i/>
        </w:rPr>
        <w:t>Public Notaries Act 1979</w:t>
      </w:r>
      <w:r>
        <w:t xml:space="preserve"> s. 8, certificate (O. 76 r. 2)</w:t>
      </w:r>
      <w:r>
        <w:tab/>
      </w:r>
      <w:r>
        <w:fldChar w:fldCharType="begin"/>
      </w:r>
      <w:r>
        <w:instrText xml:space="preserve"> PAGEREF _Toc75863980 \h </w:instrText>
      </w:r>
      <w:r>
        <w:fldChar w:fldCharType="separate"/>
      </w:r>
      <w:r w:rsidR="00FC1D84">
        <w:t>673</w:t>
      </w:r>
      <w:r>
        <w:fldChar w:fldCharType="end"/>
      </w:r>
    </w:p>
    <w:p w:rsidR="006169FD" w:rsidRDefault="006169FD">
      <w:pPr>
        <w:pStyle w:val="TOC8"/>
        <w:rPr>
          <w:rFonts w:asciiTheme="minorHAnsi" w:eastAsiaTheme="minorEastAsia" w:hAnsiTheme="minorHAnsi" w:cstheme="minorBidi"/>
          <w:szCs w:val="22"/>
        </w:rPr>
      </w:pPr>
      <w:r>
        <w:t>93B.</w:t>
      </w:r>
      <w:r w:rsidRPr="00AA3DF9">
        <w:tab/>
      </w:r>
      <w:r>
        <w:t>Notice of intention to apply for appointment as public notary (O. 76 r. 3)</w:t>
      </w:r>
      <w:r>
        <w:tab/>
      </w:r>
      <w:r>
        <w:fldChar w:fldCharType="begin"/>
      </w:r>
      <w:r>
        <w:instrText xml:space="preserve"> PAGEREF _Toc75863981 \h </w:instrText>
      </w:r>
      <w:r>
        <w:fldChar w:fldCharType="separate"/>
      </w:r>
      <w:r w:rsidR="00FC1D84">
        <w:t>674</w:t>
      </w:r>
      <w:r>
        <w:fldChar w:fldCharType="end"/>
      </w:r>
    </w:p>
    <w:p w:rsidR="006169FD" w:rsidRDefault="006169FD">
      <w:pPr>
        <w:pStyle w:val="TOC8"/>
        <w:rPr>
          <w:rFonts w:asciiTheme="minorHAnsi" w:eastAsiaTheme="minorEastAsia" w:hAnsiTheme="minorHAnsi" w:cstheme="minorBidi"/>
          <w:szCs w:val="22"/>
        </w:rPr>
      </w:pPr>
      <w:r>
        <w:t>93C.</w:t>
      </w:r>
      <w:r w:rsidRPr="00AA3DF9">
        <w:tab/>
      </w:r>
      <w:r>
        <w:t>Certificate of appointment as public notary Western Australia (O. 76 r. 5(1))</w:t>
      </w:r>
      <w:r>
        <w:tab/>
      </w:r>
      <w:r>
        <w:fldChar w:fldCharType="begin"/>
      </w:r>
      <w:r>
        <w:instrText xml:space="preserve"> PAGEREF _Toc75863982 \h </w:instrText>
      </w:r>
      <w:r>
        <w:fldChar w:fldCharType="separate"/>
      </w:r>
      <w:r w:rsidR="00FC1D84">
        <w:t>674</w:t>
      </w:r>
      <w:r>
        <w:fldChar w:fldCharType="end"/>
      </w:r>
    </w:p>
    <w:p w:rsidR="006169FD" w:rsidRDefault="006169FD">
      <w:pPr>
        <w:pStyle w:val="TOC8"/>
        <w:rPr>
          <w:rFonts w:asciiTheme="minorHAnsi" w:eastAsiaTheme="minorEastAsia" w:hAnsiTheme="minorHAnsi" w:cstheme="minorBidi"/>
          <w:szCs w:val="22"/>
        </w:rPr>
      </w:pPr>
      <w:r>
        <w:t>93D.</w:t>
      </w:r>
      <w:r w:rsidRPr="00AA3DF9">
        <w:tab/>
      </w:r>
      <w:r>
        <w:t>Certificate that name of public notary remains on roll (O. 76 r. 5(2))</w:t>
      </w:r>
      <w:r>
        <w:tab/>
      </w:r>
      <w:r>
        <w:fldChar w:fldCharType="begin"/>
      </w:r>
      <w:r>
        <w:instrText xml:space="preserve"> PAGEREF _Toc75863983 \h </w:instrText>
      </w:r>
      <w:r>
        <w:fldChar w:fldCharType="separate"/>
      </w:r>
      <w:r w:rsidR="00FC1D84">
        <w:t>675</w:t>
      </w:r>
      <w:r>
        <w:fldChar w:fldCharType="end"/>
      </w:r>
    </w:p>
    <w:p w:rsidR="006169FD" w:rsidRDefault="006169FD">
      <w:pPr>
        <w:pStyle w:val="TOC8"/>
        <w:rPr>
          <w:rFonts w:asciiTheme="minorHAnsi" w:eastAsiaTheme="minorEastAsia" w:hAnsiTheme="minorHAnsi" w:cstheme="minorBidi"/>
          <w:szCs w:val="22"/>
        </w:rPr>
      </w:pPr>
      <w:r>
        <w:t>99.</w:t>
      </w:r>
      <w:r w:rsidRPr="00AA3DF9">
        <w:tab/>
      </w:r>
      <w:r w:rsidRPr="00AA3DF9">
        <w:rPr>
          <w:i/>
        </w:rPr>
        <w:t>Escheat (Procedure) Act 1940</w:t>
      </w:r>
      <w:r>
        <w:t>, notice of application under (O. 80 r. 3)</w:t>
      </w:r>
      <w:r>
        <w:tab/>
      </w:r>
      <w:r>
        <w:fldChar w:fldCharType="begin"/>
      </w:r>
      <w:r>
        <w:instrText xml:space="preserve"> PAGEREF _Toc75863984 \h </w:instrText>
      </w:r>
      <w:r>
        <w:fldChar w:fldCharType="separate"/>
      </w:r>
      <w:r w:rsidR="00FC1D84">
        <w:t>676</w:t>
      </w:r>
      <w:r>
        <w:fldChar w:fldCharType="end"/>
      </w:r>
    </w:p>
    <w:p w:rsidR="006169FD" w:rsidRDefault="006169FD">
      <w:pPr>
        <w:pStyle w:val="TOC8"/>
        <w:rPr>
          <w:rFonts w:asciiTheme="minorHAnsi" w:eastAsiaTheme="minorEastAsia" w:hAnsiTheme="minorHAnsi" w:cstheme="minorBidi"/>
          <w:szCs w:val="22"/>
        </w:rPr>
      </w:pPr>
      <w:r>
        <w:t>100.</w:t>
      </w:r>
      <w:r w:rsidRPr="00AA3DF9">
        <w:tab/>
      </w:r>
      <w:r w:rsidRPr="00AA3DF9">
        <w:rPr>
          <w:i/>
        </w:rPr>
        <w:t>Escheat (Procedure) Act 1940</w:t>
      </w:r>
      <w:r>
        <w:t>, order of escheat (O. 80 r. 7)</w:t>
      </w:r>
      <w:r>
        <w:tab/>
      </w:r>
      <w:r>
        <w:fldChar w:fldCharType="begin"/>
      </w:r>
      <w:r>
        <w:instrText xml:space="preserve"> PAGEREF _Toc75863985 \h </w:instrText>
      </w:r>
      <w:r>
        <w:fldChar w:fldCharType="separate"/>
      </w:r>
      <w:r w:rsidR="00FC1D84">
        <w:t>676</w:t>
      </w:r>
      <w:r>
        <w:fldChar w:fldCharType="end"/>
      </w:r>
    </w:p>
    <w:p w:rsidR="006169FD" w:rsidRDefault="006169FD">
      <w:pPr>
        <w:pStyle w:val="TOC8"/>
        <w:rPr>
          <w:rFonts w:asciiTheme="minorHAnsi" w:eastAsiaTheme="minorEastAsia" w:hAnsiTheme="minorHAnsi" w:cstheme="minorBidi"/>
          <w:szCs w:val="22"/>
        </w:rPr>
      </w:pPr>
      <w:r>
        <w:t>101.</w:t>
      </w:r>
      <w:r>
        <w:tab/>
        <w:t>Application for extraordinary licence (O. 81C r. 2(1))</w:t>
      </w:r>
      <w:r>
        <w:tab/>
      </w:r>
      <w:r>
        <w:fldChar w:fldCharType="begin"/>
      </w:r>
      <w:r>
        <w:instrText xml:space="preserve"> PAGEREF _Toc75863986 \h </w:instrText>
      </w:r>
      <w:r>
        <w:fldChar w:fldCharType="separate"/>
      </w:r>
      <w:r w:rsidR="00FC1D84">
        <w:t>677</w:t>
      </w:r>
      <w:r>
        <w:fldChar w:fldCharType="end"/>
      </w:r>
    </w:p>
    <w:p w:rsidR="006169FD" w:rsidRDefault="006169FD">
      <w:pPr>
        <w:pStyle w:val="TOC8"/>
        <w:rPr>
          <w:rFonts w:asciiTheme="minorHAnsi" w:eastAsiaTheme="minorEastAsia" w:hAnsiTheme="minorHAnsi" w:cstheme="minorBidi"/>
          <w:szCs w:val="22"/>
        </w:rPr>
      </w:pPr>
      <w:r>
        <w:lastRenderedPageBreak/>
        <w:t>102.</w:t>
      </w:r>
      <w:r>
        <w:tab/>
        <w:t>Application by holder to vary extraordinary licence (O. 81C r. 2(2))</w:t>
      </w:r>
      <w:r>
        <w:tab/>
      </w:r>
      <w:r>
        <w:fldChar w:fldCharType="begin"/>
      </w:r>
      <w:r>
        <w:instrText xml:space="preserve"> PAGEREF _Toc75863987 \h </w:instrText>
      </w:r>
      <w:r>
        <w:fldChar w:fldCharType="separate"/>
      </w:r>
      <w:r w:rsidR="00FC1D84">
        <w:t>678</w:t>
      </w:r>
      <w:r>
        <w:fldChar w:fldCharType="end"/>
      </w:r>
    </w:p>
    <w:p w:rsidR="006169FD" w:rsidRDefault="006169FD">
      <w:pPr>
        <w:pStyle w:val="TOC8"/>
        <w:rPr>
          <w:rFonts w:asciiTheme="minorHAnsi" w:eastAsiaTheme="minorEastAsia" w:hAnsiTheme="minorHAnsi" w:cstheme="minorBidi"/>
          <w:szCs w:val="22"/>
        </w:rPr>
      </w:pPr>
      <w:r>
        <w:t>103.</w:t>
      </w:r>
      <w:r>
        <w:tab/>
        <w:t>Application by CEO to vary, cancel extraordinary licence (O. 81C r. 2(3))</w:t>
      </w:r>
      <w:r>
        <w:tab/>
      </w:r>
      <w:r>
        <w:fldChar w:fldCharType="begin"/>
      </w:r>
      <w:r>
        <w:instrText xml:space="preserve"> PAGEREF _Toc75863988 \h </w:instrText>
      </w:r>
      <w:r>
        <w:fldChar w:fldCharType="separate"/>
      </w:r>
      <w:r w:rsidR="00FC1D84">
        <w:t>679</w:t>
      </w:r>
      <w:r>
        <w:fldChar w:fldCharType="end"/>
      </w:r>
    </w:p>
    <w:p w:rsidR="006169FD" w:rsidRDefault="006169FD">
      <w:pPr>
        <w:pStyle w:val="TOC8"/>
        <w:rPr>
          <w:rFonts w:asciiTheme="minorHAnsi" w:eastAsiaTheme="minorEastAsia" w:hAnsiTheme="minorHAnsi" w:cstheme="minorBidi"/>
          <w:szCs w:val="22"/>
        </w:rPr>
      </w:pPr>
      <w:r>
        <w:t>104.</w:t>
      </w:r>
      <w:r>
        <w:tab/>
        <w:t>Application for removal of disqualification (O. 81C r. 2(4))</w:t>
      </w:r>
      <w:r>
        <w:tab/>
      </w:r>
      <w:r>
        <w:fldChar w:fldCharType="begin"/>
      </w:r>
      <w:r>
        <w:instrText xml:space="preserve"> PAGEREF _Toc75863989 \h </w:instrText>
      </w:r>
      <w:r>
        <w:fldChar w:fldCharType="separate"/>
      </w:r>
      <w:r w:rsidR="00FC1D84">
        <w:t>680</w:t>
      </w:r>
      <w:r>
        <w:fldChar w:fldCharType="end"/>
      </w:r>
    </w:p>
    <w:p w:rsidR="006169FD" w:rsidRDefault="006169FD">
      <w:pPr>
        <w:pStyle w:val="TOC8"/>
        <w:rPr>
          <w:rFonts w:asciiTheme="minorHAnsi" w:eastAsiaTheme="minorEastAsia" w:hAnsiTheme="minorHAnsi" w:cstheme="minorBidi"/>
          <w:szCs w:val="22"/>
        </w:rPr>
      </w:pPr>
      <w:r>
        <w:t>108.</w:t>
      </w:r>
      <w:r>
        <w:tab/>
      </w:r>
      <w:r w:rsidRPr="00AA3DF9">
        <w:rPr>
          <w:i/>
        </w:rPr>
        <w:t>Criminal and Found Property Disposal Act 2006</w:t>
      </w:r>
      <w:r>
        <w:t>, claim under (O. 81G r. 3)</w:t>
      </w:r>
      <w:r>
        <w:tab/>
      </w:r>
      <w:r>
        <w:fldChar w:fldCharType="begin"/>
      </w:r>
      <w:r>
        <w:instrText xml:space="preserve"> PAGEREF _Toc75863990 \h </w:instrText>
      </w:r>
      <w:r>
        <w:fldChar w:fldCharType="separate"/>
      </w:r>
      <w:r w:rsidR="00FC1D84">
        <w:t>681</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Schedule 3 — Payment into and out of court</w:t>
      </w:r>
    </w:p>
    <w:p w:rsidR="006169FD" w:rsidRDefault="006169FD">
      <w:pPr>
        <w:pStyle w:val="TOC2"/>
        <w:tabs>
          <w:tab w:val="right" w:leader="dot" w:pos="7077"/>
        </w:tabs>
        <w:rPr>
          <w:rFonts w:asciiTheme="minorHAnsi" w:eastAsiaTheme="minorEastAsia" w:hAnsiTheme="minorHAnsi" w:cstheme="minorBidi"/>
          <w:b w:val="0"/>
          <w:sz w:val="22"/>
          <w:szCs w:val="22"/>
        </w:rPr>
      </w:pPr>
      <w:r>
        <w:t>Notes</w:t>
      </w:r>
    </w:p>
    <w:p w:rsidR="006169FD" w:rsidRDefault="006169FD" w:rsidP="006169FD">
      <w:pPr>
        <w:pStyle w:val="TOC8"/>
        <w:rPr>
          <w:rFonts w:asciiTheme="minorHAnsi" w:eastAsiaTheme="minorEastAsia" w:hAnsiTheme="minorHAnsi" w:cstheme="minorBidi"/>
          <w:szCs w:val="22"/>
        </w:rPr>
      </w:pPr>
      <w:r>
        <w:tab/>
        <w:t>Compilation table</w:t>
      </w:r>
      <w:r>
        <w:tab/>
      </w:r>
      <w:r>
        <w:fldChar w:fldCharType="begin"/>
      </w:r>
      <w:r>
        <w:instrText xml:space="preserve"> PAGEREF _Toc75863993 \h </w:instrText>
      </w:r>
      <w:r>
        <w:fldChar w:fldCharType="separate"/>
      </w:r>
      <w:r w:rsidR="00FC1D84">
        <w:t>687</w:t>
      </w:r>
      <w:r>
        <w:fldChar w:fldCharType="end"/>
      </w:r>
    </w:p>
    <w:p w:rsidR="006169FD" w:rsidRDefault="006169FD" w:rsidP="006169FD">
      <w:pPr>
        <w:pStyle w:val="TOC8"/>
        <w:rPr>
          <w:rFonts w:asciiTheme="minorHAnsi" w:eastAsiaTheme="minorEastAsia" w:hAnsiTheme="minorHAnsi" w:cstheme="minorBidi"/>
          <w:szCs w:val="22"/>
        </w:rPr>
      </w:pPr>
      <w:r>
        <w:tab/>
        <w:t>Other notes</w:t>
      </w:r>
      <w:r>
        <w:tab/>
      </w:r>
      <w:r>
        <w:fldChar w:fldCharType="begin"/>
      </w:r>
      <w:r>
        <w:instrText xml:space="preserve"> PAGEREF _Toc75863994 \h </w:instrText>
      </w:r>
      <w:r>
        <w:fldChar w:fldCharType="separate"/>
      </w:r>
      <w:r w:rsidR="00FC1D84">
        <w:t>696</w:t>
      </w:r>
      <w:r>
        <w:fldChar w:fldCharType="end"/>
      </w:r>
    </w:p>
    <w:p w:rsidR="006169FD" w:rsidRDefault="006169FD">
      <w:pPr>
        <w:pStyle w:val="TOC2"/>
        <w:tabs>
          <w:tab w:val="right" w:leader="dot" w:pos="7077"/>
        </w:tabs>
        <w:rPr>
          <w:rFonts w:asciiTheme="minorHAnsi" w:eastAsiaTheme="minorEastAsia" w:hAnsiTheme="minorHAnsi" w:cstheme="minorBidi"/>
          <w:b w:val="0"/>
          <w:sz w:val="22"/>
          <w:szCs w:val="22"/>
        </w:rPr>
      </w:pPr>
      <w:r>
        <w:t>Defined terms</w:t>
      </w:r>
    </w:p>
    <w:p w:rsidR="00425758" w:rsidRDefault="00425758">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425758" w:rsidRDefault="00425758">
      <w:pPr>
        <w:pStyle w:val="NoteHeading"/>
        <w:sectPr w:rsidR="00425758">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425758" w:rsidRDefault="00425758">
      <w:pPr>
        <w:pStyle w:val="PrincipalActReg"/>
        <w:rPr>
          <w:snapToGrid w:val="0"/>
        </w:rPr>
      </w:pPr>
      <w:r>
        <w:rPr>
          <w:snapToGrid w:val="0"/>
        </w:rPr>
        <w:lastRenderedPageBreak/>
        <w:t>Supreme Court Act 1935</w:t>
      </w:r>
    </w:p>
    <w:p w:rsidR="00425758" w:rsidRDefault="00425758">
      <w:pPr>
        <w:pStyle w:val="NameofActReg"/>
        <w:spacing w:before="1440"/>
      </w:pPr>
      <w:r>
        <w:t>Rules of the Supreme Court 1971</w:t>
      </w:r>
    </w:p>
    <w:p w:rsidR="00425758" w:rsidRDefault="00425758">
      <w:pPr>
        <w:pStyle w:val="Heading2"/>
        <w:pageBreakBefore w:val="0"/>
      </w:pPr>
      <w:bookmarkStart w:id="3" w:name="_Toc75511623"/>
      <w:bookmarkStart w:id="4" w:name="_Toc75862719"/>
      <w:r>
        <w:rPr>
          <w:rStyle w:val="CharPartNo"/>
        </w:rPr>
        <w:t>Order 1</w:t>
      </w:r>
      <w:r>
        <w:t> — </w:t>
      </w:r>
      <w:r>
        <w:rPr>
          <w:rStyle w:val="CharPartText"/>
        </w:rPr>
        <w:t>Application, elimination of delay and forms</w:t>
      </w:r>
      <w:bookmarkEnd w:id="3"/>
      <w:bookmarkEnd w:id="4"/>
    </w:p>
    <w:p w:rsidR="00425758" w:rsidRDefault="00425758">
      <w:pPr>
        <w:pStyle w:val="Footnoteheading"/>
        <w:ind w:left="890"/>
        <w:rPr>
          <w:snapToGrid w:val="0"/>
        </w:rPr>
      </w:pPr>
      <w:r>
        <w:rPr>
          <w:snapToGrid w:val="0"/>
        </w:rPr>
        <w:tab/>
        <w:t>[Heading inserted: Gazette 26 Mar 1993 p. 1840.]</w:t>
      </w:r>
    </w:p>
    <w:p w:rsidR="00425758" w:rsidRDefault="00425758">
      <w:pPr>
        <w:pStyle w:val="Heading5"/>
        <w:rPr>
          <w:snapToGrid w:val="0"/>
        </w:rPr>
      </w:pPr>
      <w:bookmarkStart w:id="5" w:name="_Toc75862720"/>
      <w:r>
        <w:rPr>
          <w:rStyle w:val="CharSectno"/>
        </w:rPr>
        <w:t>1</w:t>
      </w:r>
      <w:r>
        <w:rPr>
          <w:snapToGrid w:val="0"/>
        </w:rPr>
        <w:t>.</w:t>
      </w:r>
      <w:r>
        <w:rPr>
          <w:snapToGrid w:val="0"/>
        </w:rPr>
        <w:tab/>
        <w:t>Short title</w:t>
      </w:r>
      <w:bookmarkEnd w:id="5"/>
      <w:r>
        <w:rPr>
          <w:snapToGrid w:val="0"/>
        </w:rPr>
        <w:t xml:space="preserve"> </w:t>
      </w:r>
    </w:p>
    <w:p w:rsidR="00425758" w:rsidRDefault="00425758">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w:t>
      </w:r>
    </w:p>
    <w:p w:rsidR="00425758" w:rsidRDefault="00425758">
      <w:pPr>
        <w:pStyle w:val="Heading5"/>
        <w:rPr>
          <w:snapToGrid w:val="0"/>
        </w:rPr>
      </w:pPr>
      <w:bookmarkStart w:id="6" w:name="_Toc75862721"/>
      <w:r>
        <w:rPr>
          <w:rStyle w:val="CharSectno"/>
        </w:rPr>
        <w:t>2</w:t>
      </w:r>
      <w:r>
        <w:rPr>
          <w:snapToGrid w:val="0"/>
        </w:rPr>
        <w:t>.</w:t>
      </w:r>
      <w:r>
        <w:rPr>
          <w:snapToGrid w:val="0"/>
        </w:rPr>
        <w:tab/>
        <w:t>Commencement and saving</w:t>
      </w:r>
      <w:bookmarkEnd w:id="6"/>
      <w:r>
        <w:rPr>
          <w:snapToGrid w:val="0"/>
        </w:rPr>
        <w:t xml:space="preserve"> </w:t>
      </w:r>
    </w:p>
    <w:p w:rsidR="00425758" w:rsidRDefault="00425758">
      <w:pPr>
        <w:pStyle w:val="Subsection"/>
        <w:rPr>
          <w:snapToGrid w:val="0"/>
        </w:rPr>
      </w:pPr>
      <w:r>
        <w:rPr>
          <w:snapToGrid w:val="0"/>
        </w:rPr>
        <w:tab/>
        <w:t>(1)</w:t>
      </w:r>
      <w:r>
        <w:rPr>
          <w:snapToGrid w:val="0"/>
        </w:rPr>
        <w:tab/>
        <w:t>These rules shall take effect on 14 February 1972.</w:t>
      </w:r>
    </w:p>
    <w:p w:rsidR="00425758" w:rsidRDefault="00425758">
      <w:pPr>
        <w:pStyle w:val="Ednotesubsection"/>
      </w:pPr>
      <w:r>
        <w:tab/>
        <w:t>[(2)</w:t>
      </w:r>
      <w:r>
        <w:tab/>
        <w:t>deleted]</w:t>
      </w:r>
    </w:p>
    <w:p w:rsidR="00425758" w:rsidRDefault="00425758">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rsidR="00425758" w:rsidRDefault="00425758">
      <w:pPr>
        <w:pStyle w:val="Footnotesection"/>
        <w:ind w:left="890" w:hanging="890"/>
      </w:pPr>
      <w:r>
        <w:tab/>
        <w:t>[Rule 2 amended: Gazette 21 Feb 2007 p. 533; 22 Feb 2008 p. 634.]</w:t>
      </w:r>
    </w:p>
    <w:p w:rsidR="00425758" w:rsidRDefault="00425758">
      <w:pPr>
        <w:pStyle w:val="Heading5"/>
        <w:rPr>
          <w:snapToGrid w:val="0"/>
        </w:rPr>
      </w:pPr>
      <w:bookmarkStart w:id="7" w:name="_Toc75862722"/>
      <w:r>
        <w:rPr>
          <w:rStyle w:val="CharSectno"/>
        </w:rPr>
        <w:lastRenderedPageBreak/>
        <w:t>3</w:t>
      </w:r>
      <w:r>
        <w:rPr>
          <w:snapToGrid w:val="0"/>
        </w:rPr>
        <w:t>.</w:t>
      </w:r>
      <w:r>
        <w:rPr>
          <w:snapToGrid w:val="0"/>
        </w:rPr>
        <w:tab/>
        <w:t>Certain proceedings excluded</w:t>
      </w:r>
      <w:bookmarkEnd w:id="7"/>
      <w:r>
        <w:rPr>
          <w:snapToGrid w:val="0"/>
        </w:rPr>
        <w:t xml:space="preserve"> </w:t>
      </w:r>
    </w:p>
    <w:p w:rsidR="00425758" w:rsidRDefault="00425758">
      <w:pPr>
        <w:pStyle w:val="Subsection"/>
        <w:keepNext/>
        <w:rPr>
          <w:snapToGrid w:val="0"/>
        </w:rPr>
      </w:pPr>
      <w:r>
        <w:rPr>
          <w:snapToGrid w:val="0"/>
        </w:rPr>
        <w:tab/>
        <w:t>(1)</w:t>
      </w:r>
      <w:r>
        <w:rPr>
          <w:snapToGrid w:val="0"/>
        </w:rPr>
        <w:tab/>
        <w:t>Subject to the provisions of this Order, these rules shall have effect in relation to all proceedings in the Supreme Court.</w:t>
      </w:r>
    </w:p>
    <w:p w:rsidR="00425758" w:rsidRDefault="00425758">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rsidR="00425758" w:rsidRDefault="00425758">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rsidR="00425758">
        <w:trPr>
          <w:tblHeader/>
        </w:trPr>
        <w:tc>
          <w:tcPr>
            <w:tcW w:w="2989" w:type="dxa"/>
          </w:tcPr>
          <w:p w:rsidR="00425758" w:rsidRDefault="00425758">
            <w:pPr>
              <w:pStyle w:val="TableNAm"/>
              <w:keepNext/>
              <w:jc w:val="center"/>
              <w:rPr>
                <w:b/>
                <w:bCs/>
              </w:rPr>
            </w:pPr>
            <w:r>
              <w:rPr>
                <w:b/>
                <w:bCs/>
              </w:rPr>
              <w:t>Proceedings</w:t>
            </w:r>
          </w:p>
        </w:tc>
        <w:tc>
          <w:tcPr>
            <w:tcW w:w="3360" w:type="dxa"/>
          </w:tcPr>
          <w:p w:rsidR="00425758" w:rsidRDefault="00425758">
            <w:pPr>
              <w:pStyle w:val="TableNAm"/>
              <w:keepNext/>
              <w:jc w:val="center"/>
              <w:rPr>
                <w:b/>
                <w:bCs/>
              </w:rPr>
            </w:pPr>
            <w:r>
              <w:rPr>
                <w:b/>
                <w:bCs/>
              </w:rPr>
              <w:t>Enactments</w:t>
            </w:r>
          </w:p>
        </w:tc>
      </w:tr>
      <w:tr w:rsidR="00425758">
        <w:tc>
          <w:tcPr>
            <w:tcW w:w="2989" w:type="dxa"/>
          </w:tcPr>
          <w:p w:rsidR="00425758" w:rsidRDefault="00425758">
            <w:pPr>
              <w:pStyle w:val="TableNAm"/>
              <w:keepNext/>
              <w:tabs>
                <w:tab w:val="clear" w:pos="567"/>
                <w:tab w:val="left" w:pos="448"/>
              </w:tabs>
              <w:ind w:left="448" w:hanging="448"/>
              <w:rPr>
                <w:i/>
              </w:rPr>
            </w:pPr>
            <w:r>
              <w:rPr>
                <w:i/>
              </w:rPr>
              <w:t>[1.</w:t>
            </w:r>
            <w:r>
              <w:rPr>
                <w:i/>
              </w:rPr>
              <w:tab/>
              <w:t>deleted]</w:t>
            </w:r>
          </w:p>
        </w:tc>
        <w:tc>
          <w:tcPr>
            <w:tcW w:w="3360" w:type="dxa"/>
          </w:tcPr>
          <w:p w:rsidR="00425758" w:rsidRDefault="00425758">
            <w:pPr>
              <w:pStyle w:val="TableNAm"/>
              <w:keepNext/>
            </w:pPr>
          </w:p>
        </w:tc>
      </w:tr>
      <w:tr w:rsidR="00425758">
        <w:tc>
          <w:tcPr>
            <w:tcW w:w="2989" w:type="dxa"/>
          </w:tcPr>
          <w:p w:rsidR="00425758" w:rsidRDefault="00425758">
            <w:pPr>
              <w:pStyle w:val="TableNAm"/>
              <w:keepNext/>
              <w:tabs>
                <w:tab w:val="clear" w:pos="567"/>
                <w:tab w:val="left" w:pos="448"/>
              </w:tabs>
              <w:ind w:left="448" w:hanging="448"/>
            </w:pPr>
            <w:r>
              <w:t>2.</w:t>
            </w:r>
            <w:r>
              <w:tab/>
              <w:t>Non</w:t>
            </w:r>
            <w:r>
              <w:noBreakHyphen/>
              <w:t>contentious or common form probate business.</w:t>
            </w:r>
          </w:p>
        </w:tc>
        <w:tc>
          <w:tcPr>
            <w:tcW w:w="3360" w:type="dxa"/>
          </w:tcPr>
          <w:p w:rsidR="00425758" w:rsidRDefault="00425758">
            <w:pPr>
              <w:pStyle w:val="TableNAm"/>
            </w:pPr>
            <w:r>
              <w:rPr>
                <w:i/>
              </w:rPr>
              <w:t>Administration Act 1903</w:t>
            </w:r>
            <w:r>
              <w:t>, s. 144.</w:t>
            </w:r>
            <w:r>
              <w:br/>
            </w:r>
            <w:r>
              <w:rPr>
                <w:i/>
              </w:rPr>
              <w:t>Supreme Court Act 1935</w:t>
            </w:r>
            <w:r>
              <w:t>, s. 167.</w:t>
            </w:r>
            <w:r>
              <w:br/>
            </w:r>
            <w:r>
              <w:rPr>
                <w:i/>
              </w:rPr>
              <w:t>Public Trustee Act 1941</w:t>
            </w:r>
            <w:r>
              <w:t>, s. 65.</w:t>
            </w:r>
          </w:p>
        </w:tc>
      </w:tr>
      <w:tr w:rsidR="00425758">
        <w:tc>
          <w:tcPr>
            <w:tcW w:w="2989" w:type="dxa"/>
          </w:tcPr>
          <w:p w:rsidR="00425758" w:rsidRDefault="00425758">
            <w:pPr>
              <w:pStyle w:val="TableNAm"/>
              <w:tabs>
                <w:tab w:val="clear" w:pos="567"/>
                <w:tab w:val="left" w:pos="448"/>
              </w:tabs>
              <w:ind w:left="448" w:hanging="448"/>
              <w:rPr>
                <w:i/>
              </w:rPr>
            </w:pPr>
            <w:r>
              <w:rPr>
                <w:i/>
              </w:rPr>
              <w:t>[3.</w:t>
            </w:r>
            <w:r>
              <w:rPr>
                <w:i/>
              </w:rPr>
              <w:tab/>
              <w:t>deleted]</w:t>
            </w:r>
          </w:p>
        </w:tc>
        <w:tc>
          <w:tcPr>
            <w:tcW w:w="3360" w:type="dxa"/>
          </w:tcPr>
          <w:p w:rsidR="00425758" w:rsidRDefault="00425758">
            <w:pPr>
              <w:pStyle w:val="TableNAm"/>
            </w:pPr>
          </w:p>
        </w:tc>
      </w:tr>
      <w:tr w:rsidR="00425758">
        <w:tc>
          <w:tcPr>
            <w:tcW w:w="2989" w:type="dxa"/>
          </w:tcPr>
          <w:p w:rsidR="00425758" w:rsidRDefault="00425758">
            <w:pPr>
              <w:pStyle w:val="TableNAm"/>
              <w:tabs>
                <w:tab w:val="clear" w:pos="567"/>
                <w:tab w:val="left" w:pos="448"/>
              </w:tabs>
              <w:ind w:left="448" w:hanging="448"/>
            </w:pPr>
            <w:r>
              <w:t>4.</w:t>
            </w:r>
            <w:r>
              <w:tab/>
              <w:t>Proceedings in the Court of Disputed Returns to which the</w:t>
            </w:r>
            <w:r>
              <w:rPr>
                <w:i/>
              </w:rPr>
              <w:t xml:space="preserve"> Electoral Rules 1908</w:t>
            </w:r>
            <w:r>
              <w:rPr>
                <w:vertAlign w:val="superscript"/>
              </w:rPr>
              <w:t> 1</w:t>
            </w:r>
            <w:r>
              <w:t xml:space="preserve"> apply.</w:t>
            </w:r>
          </w:p>
        </w:tc>
        <w:tc>
          <w:tcPr>
            <w:tcW w:w="3360" w:type="dxa"/>
          </w:tcPr>
          <w:p w:rsidR="00425758" w:rsidRDefault="00425758">
            <w:pPr>
              <w:pStyle w:val="TableNAm"/>
            </w:pPr>
            <w:r>
              <w:rPr>
                <w:i/>
              </w:rPr>
              <w:t>Electoral Act 1907</w:t>
            </w:r>
            <w:r>
              <w:t>, s. 173.</w:t>
            </w:r>
          </w:p>
        </w:tc>
      </w:tr>
    </w:tbl>
    <w:p w:rsidR="00425758" w:rsidRDefault="00425758">
      <w:pPr>
        <w:pStyle w:val="Subsection"/>
        <w:spacing w:before="240"/>
        <w:rPr>
          <w:snapToGrid w:val="0"/>
        </w:rPr>
      </w:pPr>
      <w:r>
        <w:rPr>
          <w:snapToGrid w:val="0"/>
        </w:rPr>
        <w:tab/>
        <w:t>(3)</w:t>
      </w:r>
      <w:r>
        <w:rPr>
          <w:snapToGrid w:val="0"/>
        </w:rPr>
        <w:tab/>
        <w:t>These rules, save as expressly provided, shall not apply to — </w:t>
      </w:r>
    </w:p>
    <w:p w:rsidR="00425758" w:rsidRDefault="00425758">
      <w:pPr>
        <w:pStyle w:val="Indenta"/>
        <w:rPr>
          <w:snapToGrid w:val="0"/>
        </w:rPr>
      </w:pPr>
      <w:r>
        <w:rPr>
          <w:snapToGrid w:val="0"/>
        </w:rPr>
        <w:tab/>
        <w:t>(a)</w:t>
      </w:r>
      <w:r>
        <w:rPr>
          <w:snapToGrid w:val="0"/>
        </w:rPr>
        <w:tab/>
        <w:t>any criminal proceedings;</w:t>
      </w:r>
    </w:p>
    <w:p w:rsidR="00425758" w:rsidRDefault="00425758">
      <w:pPr>
        <w:pStyle w:val="Ednotepara"/>
        <w:spacing w:before="80"/>
        <w:rPr>
          <w:snapToGrid w:val="0"/>
        </w:rPr>
      </w:pPr>
      <w:r>
        <w:rPr>
          <w:snapToGrid w:val="0"/>
        </w:rPr>
        <w:tab/>
        <w:t>[(b)</w:t>
      </w:r>
      <w:r>
        <w:rPr>
          <w:snapToGrid w:val="0"/>
        </w:rPr>
        <w:tab/>
        <w:t>deleted]</w:t>
      </w:r>
    </w:p>
    <w:p w:rsidR="00425758" w:rsidRDefault="00425758">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rsidR="00425758" w:rsidRDefault="00425758">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w:t>
      </w:r>
      <w:r>
        <w:rPr>
          <w:snapToGrid w:val="0"/>
        </w:rPr>
        <w:lastRenderedPageBreak/>
        <w:t>provisions thereof are applied in relation to any of those proceedings.</w:t>
      </w:r>
    </w:p>
    <w:p w:rsidR="00425758" w:rsidRDefault="00425758">
      <w:pPr>
        <w:pStyle w:val="Footnotesection"/>
        <w:keepLines w:val="0"/>
        <w:spacing w:after="120"/>
        <w:ind w:left="890" w:hanging="890"/>
      </w:pPr>
      <w:r>
        <w:tab/>
        <w:t>[Rule 3 amended: Gazette 10 Sep 1973 p. 3428; 28 Jun 1994 p. 3049; 8 May 2000 p. 2161; 29 Dec 2000 p. 7918; 27 Jul 2001 p. 3895; 21 Feb 2007 p. 533; 28 Jun 2011 p. 2552</w:t>
      </w:r>
      <w:r>
        <w:noBreakHyphen/>
        <w:t xml:space="preserve">3.] </w:t>
      </w:r>
    </w:p>
    <w:p w:rsidR="00425758" w:rsidRDefault="00425758">
      <w:pPr>
        <w:pStyle w:val="Heading5"/>
        <w:rPr>
          <w:snapToGrid w:val="0"/>
        </w:rPr>
      </w:pPr>
      <w:bookmarkStart w:id="8" w:name="_Toc75862723"/>
      <w:r>
        <w:rPr>
          <w:rStyle w:val="CharSectno"/>
        </w:rPr>
        <w:t>3A</w:t>
      </w:r>
      <w:r>
        <w:rPr>
          <w:snapToGrid w:val="0"/>
        </w:rPr>
        <w:t>.</w:t>
      </w:r>
      <w:r>
        <w:rPr>
          <w:snapToGrid w:val="0"/>
        </w:rPr>
        <w:tab/>
        <w:t>Inherent powers not affected</w:t>
      </w:r>
      <w:bookmarkEnd w:id="8"/>
      <w:r>
        <w:rPr>
          <w:snapToGrid w:val="0"/>
        </w:rPr>
        <w:t xml:space="preserve"> </w:t>
      </w:r>
    </w:p>
    <w:p w:rsidR="00425758" w:rsidRDefault="00425758">
      <w:pPr>
        <w:pStyle w:val="Subsection"/>
        <w:rPr>
          <w:snapToGrid w:val="0"/>
        </w:rPr>
      </w:pPr>
      <w:r>
        <w:rPr>
          <w:snapToGrid w:val="0"/>
        </w:rPr>
        <w:tab/>
      </w:r>
      <w:r>
        <w:rPr>
          <w:snapToGrid w:val="0"/>
        </w:rPr>
        <w:tab/>
        <w:t>The inherent power of the Court to control the conduct of a proceeding is not affected by these rules.</w:t>
      </w:r>
    </w:p>
    <w:p w:rsidR="00425758" w:rsidRDefault="00425758">
      <w:pPr>
        <w:pStyle w:val="Footnotesection"/>
      </w:pPr>
      <w:r>
        <w:tab/>
        <w:t xml:space="preserve">[Rule 3A inserted: Gazette 28 Oct 1996 p. 5673.] </w:t>
      </w:r>
    </w:p>
    <w:p w:rsidR="00425758" w:rsidRDefault="00425758">
      <w:pPr>
        <w:pStyle w:val="Heading5"/>
        <w:rPr>
          <w:snapToGrid w:val="0"/>
        </w:rPr>
      </w:pPr>
      <w:bookmarkStart w:id="9" w:name="_Toc75862724"/>
      <w:r>
        <w:rPr>
          <w:rStyle w:val="CharSectno"/>
        </w:rPr>
        <w:t>4</w:t>
      </w:r>
      <w:r>
        <w:rPr>
          <w:snapToGrid w:val="0"/>
        </w:rPr>
        <w:t>.</w:t>
      </w:r>
      <w:r>
        <w:rPr>
          <w:snapToGrid w:val="0"/>
        </w:rPr>
        <w:tab/>
        <w:t>Terms used</w:t>
      </w:r>
      <w:bookmarkEnd w:id="9"/>
    </w:p>
    <w:p w:rsidR="00425758" w:rsidRDefault="00425758">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rsidR="00425758" w:rsidRDefault="00425758">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rsidR="00425758" w:rsidRDefault="00425758">
      <w:pPr>
        <w:pStyle w:val="Defstart"/>
      </w:pPr>
      <w:r>
        <w:rPr>
          <w:b/>
        </w:rPr>
        <w:tab/>
      </w:r>
      <w:r>
        <w:rPr>
          <w:rStyle w:val="CharDefText"/>
        </w:rPr>
        <w:t>Act</w:t>
      </w:r>
      <w:r>
        <w:t xml:space="preserve"> means the </w:t>
      </w:r>
      <w:r>
        <w:rPr>
          <w:i/>
        </w:rPr>
        <w:t>Supreme Court Act 1935</w:t>
      </w:r>
      <w:r>
        <w:t>;</w:t>
      </w:r>
    </w:p>
    <w:p w:rsidR="00425758" w:rsidRDefault="00425758">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Australia — </w:t>
      </w:r>
    </w:p>
    <w:p w:rsidR="00425758" w:rsidRDefault="00425758">
      <w:pPr>
        <w:pStyle w:val="Defpara"/>
      </w:pPr>
      <w:r>
        <w:tab/>
        <w:t>(a)</w:t>
      </w:r>
      <w:r>
        <w:tab/>
        <w:t>ambassador; and</w:t>
      </w:r>
    </w:p>
    <w:p w:rsidR="00425758" w:rsidRDefault="00425758">
      <w:pPr>
        <w:pStyle w:val="Defpara"/>
      </w:pPr>
      <w:r>
        <w:tab/>
        <w:t>(b)</w:t>
      </w:r>
      <w:r>
        <w:tab/>
        <w:t>high commissioner; and</w:t>
      </w:r>
    </w:p>
    <w:p w:rsidR="00425758" w:rsidRDefault="00425758">
      <w:pPr>
        <w:pStyle w:val="Defpara"/>
      </w:pPr>
      <w:r>
        <w:tab/>
        <w:t>(c)</w:t>
      </w:r>
      <w:r>
        <w:tab/>
        <w:t>minister; and</w:t>
      </w:r>
    </w:p>
    <w:p w:rsidR="00425758" w:rsidRDefault="00425758">
      <w:pPr>
        <w:pStyle w:val="Defpara"/>
      </w:pPr>
      <w:r>
        <w:tab/>
        <w:t>(d)</w:t>
      </w:r>
      <w:r>
        <w:tab/>
        <w:t>head of mission; and</w:t>
      </w:r>
    </w:p>
    <w:p w:rsidR="00425758" w:rsidRDefault="00425758">
      <w:pPr>
        <w:pStyle w:val="Defpara"/>
      </w:pPr>
      <w:r>
        <w:tab/>
        <w:t>(e)</w:t>
      </w:r>
      <w:r>
        <w:tab/>
        <w:t>commissioner; and</w:t>
      </w:r>
    </w:p>
    <w:p w:rsidR="00425758" w:rsidRDefault="00425758">
      <w:pPr>
        <w:pStyle w:val="Defpara"/>
      </w:pPr>
      <w:r>
        <w:tab/>
        <w:t>(f)</w:t>
      </w:r>
      <w:r>
        <w:tab/>
        <w:t>chargé d’affaires; and</w:t>
      </w:r>
    </w:p>
    <w:p w:rsidR="00425758" w:rsidRDefault="00425758">
      <w:pPr>
        <w:pStyle w:val="Defpara"/>
      </w:pPr>
      <w:r>
        <w:tab/>
        <w:t>(g)</w:t>
      </w:r>
      <w:r>
        <w:tab/>
        <w:t>counsellor, secretary or attaché at an embassy, high commissioner’s office, legation or other post; and</w:t>
      </w:r>
    </w:p>
    <w:p w:rsidR="00425758" w:rsidRDefault="00425758">
      <w:pPr>
        <w:pStyle w:val="Defpara"/>
      </w:pPr>
      <w:r>
        <w:lastRenderedPageBreak/>
        <w:tab/>
        <w:t>(h)</w:t>
      </w:r>
      <w:r>
        <w:tab/>
        <w:t>consul</w:t>
      </w:r>
      <w:r>
        <w:noBreakHyphen/>
        <w:t>general; and</w:t>
      </w:r>
    </w:p>
    <w:p w:rsidR="00425758" w:rsidRDefault="00425758">
      <w:pPr>
        <w:pStyle w:val="Defpara"/>
      </w:pPr>
      <w:r>
        <w:tab/>
        <w:t>(i)</w:t>
      </w:r>
      <w:r>
        <w:tab/>
        <w:t>consul; and</w:t>
      </w:r>
    </w:p>
    <w:p w:rsidR="00425758" w:rsidRDefault="00425758">
      <w:pPr>
        <w:pStyle w:val="Defpara"/>
      </w:pPr>
      <w:r>
        <w:tab/>
        <w:t>(j)</w:t>
      </w:r>
      <w:r>
        <w:tab/>
        <w:t>vice</w:t>
      </w:r>
      <w:r>
        <w:noBreakHyphen/>
        <w:t>consul; and</w:t>
      </w:r>
    </w:p>
    <w:p w:rsidR="00425758" w:rsidRDefault="00425758">
      <w:pPr>
        <w:pStyle w:val="Defpara"/>
      </w:pPr>
      <w:r>
        <w:tab/>
        <w:t>(k)</w:t>
      </w:r>
      <w:r>
        <w:tab/>
        <w:t>trade commissioner; and</w:t>
      </w:r>
    </w:p>
    <w:p w:rsidR="00425758" w:rsidRDefault="00425758">
      <w:pPr>
        <w:pStyle w:val="Defpara"/>
      </w:pPr>
      <w:r>
        <w:tab/>
        <w:t>(l)</w:t>
      </w:r>
      <w:r>
        <w:tab/>
        <w:t>consular agent;</w:t>
      </w:r>
    </w:p>
    <w:p w:rsidR="00425758" w:rsidRDefault="00425758">
      <w:pPr>
        <w:pStyle w:val="Defstart"/>
      </w:pPr>
      <w:r>
        <w:tab/>
      </w:r>
      <w:r>
        <w:rPr>
          <w:rStyle w:val="CharDefText"/>
        </w:rPr>
        <w:t>authorised user</w:t>
      </w:r>
      <w:r>
        <w:t>, of the ECMS, means a person who is registered with the Court to send documents to the Court, and to receive documents from the Court, by means of the ECMS;</w:t>
      </w:r>
    </w:p>
    <w:p w:rsidR="00425758" w:rsidRDefault="00425758">
      <w:pPr>
        <w:pStyle w:val="Defstart"/>
      </w:pPr>
      <w:r>
        <w:tab/>
      </w:r>
      <w:r>
        <w:rPr>
          <w:rStyle w:val="CharDefText"/>
        </w:rPr>
        <w:t>case manager</w:t>
      </w:r>
      <w:r>
        <w:t xml:space="preserve"> has the meaning given in Order 4A rule 1;</w:t>
      </w:r>
    </w:p>
    <w:p w:rsidR="00425758" w:rsidRDefault="00425758">
      <w:pPr>
        <w:pStyle w:val="Defstart"/>
      </w:pPr>
      <w:r>
        <w:rPr>
          <w:b/>
        </w:rPr>
        <w:tab/>
      </w:r>
      <w:r>
        <w:rPr>
          <w:rStyle w:val="CharDefText"/>
        </w:rPr>
        <w:t>Cause Book</w:t>
      </w:r>
      <w:r>
        <w:t xml:space="preserve"> means the book kept in the Central Office, in the manner directed by the Chief Justice from time to time, in which the number of and other details relating to a cause or matter are recorded;</w:t>
      </w:r>
    </w:p>
    <w:p w:rsidR="00425758" w:rsidRDefault="00425758">
      <w:pPr>
        <w:pStyle w:val="Defstart"/>
      </w:pPr>
      <w:r>
        <w:rPr>
          <w:b/>
        </w:rPr>
        <w:tab/>
      </w:r>
      <w:r>
        <w:rPr>
          <w:rStyle w:val="CharDefText"/>
        </w:rPr>
        <w:t>Central Office</w:t>
      </w:r>
      <w:r>
        <w:t xml:space="preserve"> means the central office of the Supreme Court at Perth;</w:t>
      </w:r>
    </w:p>
    <w:p w:rsidR="00425758" w:rsidRDefault="00425758">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rsidR="00425758" w:rsidRDefault="00425758">
      <w:pPr>
        <w:pStyle w:val="Defstart"/>
      </w:pPr>
      <w:r>
        <w:rPr>
          <w:b/>
        </w:rPr>
        <w:tab/>
      </w:r>
      <w:r>
        <w:rPr>
          <w:rStyle w:val="CharDefText"/>
        </w:rPr>
        <w:t>costs</w:t>
      </w:r>
      <w:r>
        <w:t xml:space="preserve"> includes fees to counsel, charges, disbursements, expenses and remuneration;</w:t>
      </w:r>
    </w:p>
    <w:p w:rsidR="00425758" w:rsidRDefault="00425758">
      <w:pPr>
        <w:pStyle w:val="Defstart"/>
      </w:pPr>
      <w:r>
        <w:tab/>
      </w:r>
      <w:r>
        <w:rPr>
          <w:rStyle w:val="CharDefText"/>
        </w:rPr>
        <w:t>Court</w:t>
      </w:r>
      <w:r>
        <w:t xml:space="preserve"> includes any officer of the Court exercising powers of the Court delegated to the officer by these rules;</w:t>
      </w:r>
    </w:p>
    <w:p w:rsidR="00425758" w:rsidRDefault="00425758">
      <w:pPr>
        <w:pStyle w:val="Defstart"/>
      </w:pPr>
      <w:r>
        <w:rPr>
          <w:b/>
        </w:rPr>
        <w:tab/>
      </w:r>
      <w:r>
        <w:rPr>
          <w:rStyle w:val="CharDefText"/>
        </w:rPr>
        <w:t>diplomatic agent</w:t>
      </w:r>
      <w:r>
        <w:t xml:space="preserve"> means an ambassador, envoy, minister, chargé d’affaires, or secretary of an embassy or a legation;</w:t>
      </w:r>
    </w:p>
    <w:p w:rsidR="00425758" w:rsidRDefault="00425758">
      <w:pPr>
        <w:pStyle w:val="Defstart"/>
      </w:pPr>
      <w:r>
        <w:tab/>
      </w:r>
      <w:r>
        <w:rPr>
          <w:rStyle w:val="CharDefText"/>
        </w:rPr>
        <w:t>ECMS</w:t>
      </w:r>
      <w:r>
        <w:t xml:space="preserve"> means the electronic case management system for the management of proceedings in Western Australian courts and tribunals;</w:t>
      </w:r>
    </w:p>
    <w:p w:rsidR="00425758" w:rsidRDefault="00425758">
      <w:pPr>
        <w:pStyle w:val="Defstart"/>
      </w:pPr>
      <w:r>
        <w:tab/>
      </w:r>
      <w:r>
        <w:rPr>
          <w:rStyle w:val="CharDefText"/>
        </w:rPr>
        <w:t>file</w:t>
      </w:r>
      <w:r>
        <w:t>, in relation to a document, means to comply with Order 67A in relation to the document;</w:t>
      </w:r>
    </w:p>
    <w:p w:rsidR="00425758" w:rsidRDefault="00425758">
      <w:pPr>
        <w:pStyle w:val="Defstart"/>
      </w:pPr>
      <w:r>
        <w:tab/>
      </w:r>
      <w:r>
        <w:rPr>
          <w:rStyle w:val="CharDefText"/>
        </w:rPr>
        <w:t>file electronically</w:t>
      </w:r>
      <w:r>
        <w:t>, in relation to a document, means file the document under Order 67A using the ECMS;</w:t>
      </w:r>
    </w:p>
    <w:p w:rsidR="00425758" w:rsidRDefault="00425758">
      <w:pPr>
        <w:pStyle w:val="Defstart"/>
        <w:keepNext/>
      </w:pPr>
      <w:r>
        <w:lastRenderedPageBreak/>
        <w:tab/>
      </w:r>
      <w:r>
        <w:rPr>
          <w:rStyle w:val="CharDefText"/>
        </w:rPr>
        <w:t>filed document</w:t>
      </w:r>
      <w:r>
        <w:t xml:space="preserve"> means —</w:t>
      </w:r>
    </w:p>
    <w:p w:rsidR="00425758" w:rsidRDefault="00425758">
      <w:pPr>
        <w:pStyle w:val="Defpara"/>
      </w:pPr>
      <w:r>
        <w:tab/>
        <w:t>(a)</w:t>
      </w:r>
      <w:r>
        <w:tab/>
        <w:t>a document that —</w:t>
      </w:r>
    </w:p>
    <w:p w:rsidR="00425758" w:rsidRDefault="00425758">
      <w:pPr>
        <w:pStyle w:val="Defsubpara"/>
      </w:pPr>
      <w:r>
        <w:tab/>
        <w:t>(i)</w:t>
      </w:r>
      <w:r>
        <w:tab/>
        <w:t>has been filed with the Court; and</w:t>
      </w:r>
    </w:p>
    <w:p w:rsidR="00425758" w:rsidRDefault="00425758">
      <w:pPr>
        <w:pStyle w:val="Defsubpara"/>
      </w:pPr>
      <w:r>
        <w:tab/>
        <w:t>(ii)</w:t>
      </w:r>
      <w:r>
        <w:tab/>
        <w:t>has not been refused by the Court; and</w:t>
      </w:r>
    </w:p>
    <w:p w:rsidR="00425758" w:rsidRDefault="00425758">
      <w:pPr>
        <w:pStyle w:val="Defsubpara"/>
      </w:pPr>
      <w:r>
        <w:tab/>
        <w:t>(iii)</w:t>
      </w:r>
      <w:r>
        <w:tab/>
        <w:t>has been officially recorded by the Court as having been filed;</w:t>
      </w:r>
    </w:p>
    <w:p w:rsidR="00425758" w:rsidRDefault="00425758">
      <w:pPr>
        <w:pStyle w:val="Defpara"/>
      </w:pPr>
      <w:r>
        <w:tab/>
      </w:r>
      <w:r>
        <w:tab/>
        <w:t>and</w:t>
      </w:r>
    </w:p>
    <w:p w:rsidR="00425758" w:rsidRDefault="00425758">
      <w:pPr>
        <w:pStyle w:val="Defpara"/>
      </w:pPr>
      <w:r>
        <w:tab/>
        <w:t>(b)</w:t>
      </w:r>
      <w:r>
        <w:tab/>
        <w:t>any other document officially recorded by the Court as being a filed document;</w:t>
      </w:r>
    </w:p>
    <w:p w:rsidR="00425758" w:rsidRDefault="00425758">
      <w:pPr>
        <w:pStyle w:val="Defstart"/>
      </w:pPr>
      <w:r>
        <w:rPr>
          <w:b/>
        </w:rPr>
        <w:tab/>
      </w:r>
      <w:r>
        <w:rPr>
          <w:rStyle w:val="CharDefText"/>
        </w:rPr>
        <w:t>folio</w:t>
      </w:r>
      <w:r>
        <w:t xml:space="preserve"> means 72 words, each figure being counted as one word;</w:t>
      </w:r>
    </w:p>
    <w:p w:rsidR="00425758" w:rsidRDefault="00425758">
      <w:pPr>
        <w:pStyle w:val="Defstart"/>
      </w:pPr>
      <w:r>
        <w:tab/>
      </w:r>
      <w:r>
        <w:rPr>
          <w:rStyle w:val="CharDefText"/>
        </w:rPr>
        <w:t>form</w:t>
      </w:r>
      <w:r>
        <w:t xml:space="preserve"> has a meaning affected by rule 6 and, if followed by a number, means the form of that number in Schedule 2;</w:t>
      </w:r>
    </w:p>
    <w:p w:rsidR="00425758" w:rsidRDefault="00425758">
      <w:pPr>
        <w:pStyle w:val="Defstart"/>
      </w:pPr>
      <w:r>
        <w:rPr>
          <w:b/>
        </w:rPr>
        <w:tab/>
      </w:r>
      <w:r>
        <w:rPr>
          <w:rStyle w:val="CharDefText"/>
        </w:rPr>
        <w:t>geographical address</w:t>
      </w:r>
      <w:r>
        <w:t xml:space="preserve"> of a person, has the meaning given by Order 71A rule 2;</w:t>
      </w:r>
    </w:p>
    <w:p w:rsidR="00425758" w:rsidRDefault="00425758">
      <w:pPr>
        <w:pStyle w:val="Defstart"/>
      </w:pPr>
      <w:r>
        <w:rPr>
          <w:b/>
        </w:rPr>
        <w:tab/>
      </w:r>
      <w:r>
        <w:rPr>
          <w:rStyle w:val="CharDefText"/>
        </w:rPr>
        <w:t>master</w:t>
      </w:r>
      <w:r>
        <w:t xml:space="preserve"> means a master of the Supreme Court, and includes an acting master;</w:t>
      </w:r>
    </w:p>
    <w:p w:rsidR="00425758" w:rsidRDefault="00425758">
      <w:pPr>
        <w:pStyle w:val="Defstart"/>
      </w:pPr>
      <w:r>
        <w:tab/>
      </w:r>
      <w:r>
        <w:rPr>
          <w:rStyle w:val="CharDefText"/>
        </w:rPr>
        <w:t>mortgage action</w:t>
      </w:r>
      <w:r>
        <w:t xml:space="preserve"> has the meaning given in Order 4AA rule 1(1);</w:t>
      </w:r>
    </w:p>
    <w:p w:rsidR="00425758" w:rsidRDefault="00425758">
      <w:pPr>
        <w:pStyle w:val="Defstart"/>
      </w:pPr>
      <w:r>
        <w:rPr>
          <w:b/>
        </w:rPr>
        <w:tab/>
      </w:r>
      <w:r>
        <w:rPr>
          <w:rStyle w:val="CharDefText"/>
        </w:rPr>
        <w:t>officer</w:t>
      </w:r>
      <w:r>
        <w:t xml:space="preserve"> means an officer of the Supreme Court;</w:t>
      </w:r>
    </w:p>
    <w:p w:rsidR="00425758" w:rsidRDefault="00425758">
      <w:pPr>
        <w:pStyle w:val="Defstart"/>
      </w:pPr>
      <w:r>
        <w:rPr>
          <w:b/>
        </w:rPr>
        <w:tab/>
      </w:r>
      <w:r>
        <w:rPr>
          <w:rStyle w:val="CharDefText"/>
        </w:rPr>
        <w:t>originating summons</w:t>
      </w:r>
      <w:r>
        <w:t xml:space="preserve"> means every summons other than a summons in a pending cause or matter;</w:t>
      </w:r>
    </w:p>
    <w:p w:rsidR="00425758" w:rsidRDefault="00425758">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rsidR="00425758" w:rsidRDefault="00425758">
      <w:pPr>
        <w:pStyle w:val="Defstart"/>
      </w:pPr>
      <w:r>
        <w:tab/>
      </w:r>
      <w:r>
        <w:rPr>
          <w:rStyle w:val="CharDefText"/>
        </w:rPr>
        <w:t>prescribed fee</w:t>
      </w:r>
      <w:r>
        <w:t xml:space="preserve"> means the fee prescribed by the </w:t>
      </w:r>
      <w:r>
        <w:rPr>
          <w:i/>
        </w:rPr>
        <w:t>Supreme Court (Fees) Regulations 2002</w:t>
      </w:r>
      <w:r>
        <w:t>;</w:t>
      </w:r>
    </w:p>
    <w:p w:rsidR="00425758" w:rsidRDefault="00425758">
      <w:pPr>
        <w:pStyle w:val="Defstart"/>
      </w:pPr>
      <w:r>
        <w:rPr>
          <w:b/>
        </w:rPr>
        <w:tab/>
      </w:r>
      <w:r>
        <w:rPr>
          <w:rStyle w:val="CharDefText"/>
        </w:rPr>
        <w:t>probate action</w:t>
      </w:r>
      <w:r>
        <w:t xml:space="preserve"> has the meaning assigned to it by Order 73;</w:t>
      </w:r>
    </w:p>
    <w:p w:rsidR="00425758" w:rsidRDefault="00425758">
      <w:pPr>
        <w:pStyle w:val="Defstart"/>
      </w:pPr>
      <w:r>
        <w:rPr>
          <w:b/>
        </w:rPr>
        <w:tab/>
      </w:r>
      <w:r>
        <w:rPr>
          <w:rStyle w:val="CharDefText"/>
        </w:rPr>
        <w:t>proper officer</w:t>
      </w:r>
      <w:r>
        <w:t xml:space="preserve"> shall mean an officer to be ascertained as follows:</w:t>
      </w:r>
    </w:p>
    <w:p w:rsidR="00425758" w:rsidRDefault="00425758">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rsidR="00425758" w:rsidRDefault="00425758">
      <w:pPr>
        <w:pStyle w:val="Defpara"/>
      </w:pPr>
      <w:r>
        <w:lastRenderedPageBreak/>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rsidR="00425758" w:rsidRDefault="00425758">
      <w:pPr>
        <w:pStyle w:val="Defpara"/>
      </w:pPr>
      <w:r>
        <w:tab/>
        <w:t>(c)</w:t>
      </w:r>
      <w:r>
        <w:tab/>
        <w:t>when any doubt arises as to who is the proper officer to discharge any duty the Chief Justice may direct by what officer such duty is to be discharged;</w:t>
      </w:r>
    </w:p>
    <w:p w:rsidR="00425758" w:rsidRDefault="00425758">
      <w:pPr>
        <w:pStyle w:val="Defstart"/>
      </w:pPr>
      <w:r>
        <w:rPr>
          <w:b/>
        </w:rPr>
        <w:tab/>
      </w:r>
      <w:r>
        <w:rPr>
          <w:rStyle w:val="CharDefText"/>
        </w:rPr>
        <w:t>receiver</w:t>
      </w:r>
      <w:r>
        <w:t xml:space="preserve"> includes a manager or consignee;</w:t>
      </w:r>
    </w:p>
    <w:p w:rsidR="00425758" w:rsidRDefault="00425758">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rsidR="00425758" w:rsidRDefault="00425758">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rsidR="00425758" w:rsidRDefault="00425758">
      <w:pPr>
        <w:pStyle w:val="Defpara"/>
      </w:pPr>
      <w:r>
        <w:tab/>
        <w:t>(a)</w:t>
      </w:r>
      <w:r>
        <w:tab/>
        <w:t>any forms, fees and costs referred to in these rules; and</w:t>
      </w:r>
    </w:p>
    <w:p w:rsidR="00425758" w:rsidRDefault="00425758">
      <w:pPr>
        <w:pStyle w:val="Defpara"/>
      </w:pPr>
      <w:r>
        <w:tab/>
        <w:t>(b)</w:t>
      </w:r>
      <w:r>
        <w:tab/>
        <w:t>any other rules of court, forms, fees and costs made or prescribed in amendment of, or in addition to, these rules;</w:t>
      </w:r>
    </w:p>
    <w:p w:rsidR="00425758" w:rsidRDefault="00425758">
      <w:pPr>
        <w:pStyle w:val="Defstart"/>
      </w:pPr>
      <w:r>
        <w:rPr>
          <w:b/>
        </w:rPr>
        <w:tab/>
      </w:r>
      <w:r>
        <w:rPr>
          <w:rStyle w:val="CharDefText"/>
        </w:rPr>
        <w:t>service details</w:t>
      </w:r>
      <w:r>
        <w:t xml:space="preserve"> of a person, has the meaning given by Order 71A rule 3;</w:t>
      </w:r>
    </w:p>
    <w:p w:rsidR="00425758" w:rsidRDefault="00425758">
      <w:pPr>
        <w:pStyle w:val="Defstart"/>
      </w:pPr>
      <w:r>
        <w:rPr>
          <w:b/>
        </w:rPr>
        <w:tab/>
      </w:r>
      <w:r>
        <w:rPr>
          <w:rStyle w:val="CharDefText"/>
        </w:rPr>
        <w:t>taxing officer</w:t>
      </w:r>
      <w:r>
        <w:t xml:space="preserve"> includes a registrar, and any other officer of the Court having power to tax costs;</w:t>
      </w:r>
    </w:p>
    <w:p w:rsidR="00425758" w:rsidRDefault="00425758">
      <w:pPr>
        <w:pStyle w:val="Defstart"/>
      </w:pPr>
      <w:r>
        <w:rPr>
          <w:b/>
        </w:rPr>
        <w:tab/>
      </w:r>
      <w:r>
        <w:rPr>
          <w:rStyle w:val="CharDefText"/>
        </w:rPr>
        <w:t>trial</w:t>
      </w:r>
      <w:r>
        <w:t xml:space="preserve"> includes hearing;</w:t>
      </w:r>
    </w:p>
    <w:p w:rsidR="00425758" w:rsidRDefault="00425758">
      <w:pPr>
        <w:pStyle w:val="Defstart"/>
      </w:pPr>
      <w:r>
        <w:tab/>
      </w:r>
      <w:r>
        <w:rPr>
          <w:rStyle w:val="CharDefText"/>
        </w:rPr>
        <w:t>working day</w:t>
      </w:r>
      <w:r>
        <w:t xml:space="preserve"> means a day other than a Saturday, a Sunday, or a public holiday throughout the State;</w:t>
      </w:r>
    </w:p>
    <w:p w:rsidR="00425758" w:rsidRDefault="00425758">
      <w:pPr>
        <w:pStyle w:val="Defstart"/>
      </w:pPr>
      <w:r>
        <w:rPr>
          <w:b/>
        </w:rPr>
        <w:tab/>
      </w:r>
      <w:r>
        <w:rPr>
          <w:rStyle w:val="CharDefText"/>
        </w:rPr>
        <w:t>writ</w:t>
      </w:r>
      <w:r>
        <w:t xml:space="preserve"> means a writ of summons.</w:t>
      </w:r>
    </w:p>
    <w:p w:rsidR="00425758" w:rsidRDefault="00425758">
      <w:pPr>
        <w:pStyle w:val="Ednotesubsection"/>
      </w:pPr>
      <w:r>
        <w:tab/>
        <w:t>[(2)</w:t>
      </w:r>
      <w:r>
        <w:tab/>
        <w:t>deleted]</w:t>
      </w:r>
    </w:p>
    <w:p w:rsidR="00425758" w:rsidRDefault="00425758">
      <w:pPr>
        <w:pStyle w:val="Footnotesection"/>
      </w:pPr>
      <w:r>
        <w:lastRenderedPageBreak/>
        <w:tab/>
        <w:t>[Rule 4 amended: Gazette 14 Dec 1979 p. 3869; 30 Nov 1984 p. 3951</w:t>
      </w:r>
      <w:r>
        <w:noBreakHyphen/>
        <w:t>2; 28 Oct 1996 p. 5674; 19 Apr 2005 p. 1298; 21 Feb 2007 p. 533</w:t>
      </w:r>
      <w:r>
        <w:noBreakHyphen/>
        <w:t xml:space="preserve">4; 3 Jul 2009 p. 2699; 28 Jul 2010 p. 3440 and 3482; 28 Jun 2011 p. 2551; 16 Nov 2016 p. 5185; 16 Aug 2017 p. 4392; 27 Feb 2018 p. 551-2; 31 Dec 2019 p. 4677.] </w:t>
      </w:r>
    </w:p>
    <w:p w:rsidR="00425758" w:rsidRDefault="00425758">
      <w:pPr>
        <w:pStyle w:val="Heading5"/>
        <w:rPr>
          <w:snapToGrid w:val="0"/>
        </w:rPr>
      </w:pPr>
      <w:bookmarkStart w:id="10" w:name="_Toc75862725"/>
      <w:r>
        <w:rPr>
          <w:rStyle w:val="CharSectno"/>
        </w:rPr>
        <w:t>4A</w:t>
      </w:r>
      <w:r>
        <w:rPr>
          <w:snapToGrid w:val="0"/>
        </w:rPr>
        <w:t>.</w:t>
      </w:r>
      <w:r>
        <w:rPr>
          <w:snapToGrid w:val="0"/>
        </w:rPr>
        <w:tab/>
        <w:t>Delays, elimination of</w:t>
      </w:r>
      <w:bookmarkEnd w:id="10"/>
    </w:p>
    <w:p w:rsidR="00425758" w:rsidRDefault="00425758">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rsidR="00425758" w:rsidRDefault="00425758">
      <w:pPr>
        <w:pStyle w:val="Footnotesection"/>
      </w:pPr>
      <w:r>
        <w:tab/>
        <w:t xml:space="preserve">[Rule 4A inserted: Gazette 26 Mar 1993 p. 1840.] </w:t>
      </w:r>
    </w:p>
    <w:p w:rsidR="00425758" w:rsidRDefault="00425758">
      <w:pPr>
        <w:pStyle w:val="Heading5"/>
        <w:rPr>
          <w:snapToGrid w:val="0"/>
        </w:rPr>
      </w:pPr>
      <w:bookmarkStart w:id="11" w:name="_Toc75862726"/>
      <w:r>
        <w:rPr>
          <w:rStyle w:val="CharSectno"/>
        </w:rPr>
        <w:t>4B</w:t>
      </w:r>
      <w:r>
        <w:rPr>
          <w:snapToGrid w:val="0"/>
        </w:rPr>
        <w:t>.</w:t>
      </w:r>
      <w:r>
        <w:rPr>
          <w:snapToGrid w:val="0"/>
        </w:rPr>
        <w:tab/>
        <w:t>Case flow management, use and objects of</w:t>
      </w:r>
      <w:bookmarkEnd w:id="11"/>
    </w:p>
    <w:p w:rsidR="00425758" w:rsidRDefault="00425758">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rsidR="00425758" w:rsidRDefault="00425758">
      <w:pPr>
        <w:pStyle w:val="Indenta"/>
        <w:rPr>
          <w:snapToGrid w:val="0"/>
        </w:rPr>
      </w:pPr>
      <w:r>
        <w:rPr>
          <w:snapToGrid w:val="0"/>
        </w:rPr>
        <w:tab/>
        <w:t>(a)</w:t>
      </w:r>
      <w:r>
        <w:rPr>
          <w:snapToGrid w:val="0"/>
        </w:rPr>
        <w:tab/>
        <w:t>promoting the just determination of litigation; and</w:t>
      </w:r>
    </w:p>
    <w:p w:rsidR="00425758" w:rsidRDefault="00425758">
      <w:pPr>
        <w:pStyle w:val="Indenta"/>
        <w:rPr>
          <w:snapToGrid w:val="0"/>
        </w:rPr>
      </w:pPr>
      <w:r>
        <w:rPr>
          <w:snapToGrid w:val="0"/>
        </w:rPr>
        <w:tab/>
        <w:t>(b)</w:t>
      </w:r>
      <w:r>
        <w:rPr>
          <w:snapToGrid w:val="0"/>
        </w:rPr>
        <w:tab/>
        <w:t>disposing efficiently of the business of the Court; and</w:t>
      </w:r>
    </w:p>
    <w:p w:rsidR="00425758" w:rsidRDefault="00425758">
      <w:pPr>
        <w:pStyle w:val="Indenta"/>
        <w:rPr>
          <w:snapToGrid w:val="0"/>
        </w:rPr>
      </w:pPr>
      <w:r>
        <w:rPr>
          <w:snapToGrid w:val="0"/>
        </w:rPr>
        <w:tab/>
        <w:t>(c)</w:t>
      </w:r>
      <w:r>
        <w:rPr>
          <w:snapToGrid w:val="0"/>
        </w:rPr>
        <w:tab/>
        <w:t>maximising the efficient use of available judicial and administrative resources; and</w:t>
      </w:r>
    </w:p>
    <w:p w:rsidR="00425758" w:rsidRDefault="00425758">
      <w:pPr>
        <w:pStyle w:val="Indenta"/>
        <w:rPr>
          <w:snapToGrid w:val="0"/>
        </w:rPr>
      </w:pPr>
      <w:r>
        <w:rPr>
          <w:snapToGrid w:val="0"/>
        </w:rPr>
        <w:tab/>
        <w:t>(d)</w:t>
      </w:r>
      <w:r>
        <w:rPr>
          <w:snapToGrid w:val="0"/>
        </w:rPr>
        <w:tab/>
        <w:t xml:space="preserve">facilitating the timely disposal of </w:t>
      </w:r>
      <w:r>
        <w:t>business; and</w:t>
      </w:r>
    </w:p>
    <w:p w:rsidR="00425758" w:rsidRDefault="00425758">
      <w:pPr>
        <w:pStyle w:val="Indenta"/>
      </w:pPr>
      <w:r>
        <w:tab/>
        <w:t>(e)</w:t>
      </w:r>
      <w:r>
        <w:tab/>
        <w:t>ensuring the procedure applicable, and the costs of the procedure to the parties and the State, are proportionate to the value, importance and complexity of the subject matter in dispute; and</w:t>
      </w:r>
    </w:p>
    <w:p w:rsidR="00425758" w:rsidRDefault="00425758">
      <w:pPr>
        <w:pStyle w:val="Indenta"/>
      </w:pPr>
      <w:r>
        <w:tab/>
        <w:t>(f)</w:t>
      </w:r>
      <w:r>
        <w:tab/>
        <w:t>that the procedure applicable, and the costs of the procedure to the parties, are proportionate to the financial position of each party.</w:t>
      </w:r>
    </w:p>
    <w:p w:rsidR="00425758" w:rsidRDefault="00425758">
      <w:pPr>
        <w:pStyle w:val="Subsection"/>
        <w:rPr>
          <w:snapToGrid w:val="0"/>
        </w:rPr>
      </w:pPr>
      <w:r>
        <w:rPr>
          <w:snapToGrid w:val="0"/>
        </w:rPr>
        <w:lastRenderedPageBreak/>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rsidR="00425758" w:rsidRDefault="00425758">
      <w:pPr>
        <w:pStyle w:val="Footnotesection"/>
      </w:pPr>
      <w:r>
        <w:tab/>
        <w:t>[Rule 4B inserted: Gazette 26 Mar 1993 p. 1840</w:t>
      </w:r>
      <w:r>
        <w:noBreakHyphen/>
        <w:t xml:space="preserve">1; amended: Gazette 28 Jul 2010 p. 3440; 28 Jun 2011 p. 2552.] </w:t>
      </w:r>
    </w:p>
    <w:p w:rsidR="00425758" w:rsidRDefault="00425758">
      <w:pPr>
        <w:pStyle w:val="Heading5"/>
        <w:rPr>
          <w:snapToGrid w:val="0"/>
        </w:rPr>
      </w:pPr>
      <w:bookmarkStart w:id="12" w:name="_Toc75862727"/>
      <w:r>
        <w:rPr>
          <w:rStyle w:val="CharSectno"/>
        </w:rPr>
        <w:t>4C</w:t>
      </w:r>
      <w:r>
        <w:rPr>
          <w:snapToGrid w:val="0"/>
        </w:rPr>
        <w:t>.</w:t>
      </w:r>
      <w:r>
        <w:rPr>
          <w:snapToGrid w:val="0"/>
        </w:rPr>
        <w:tab/>
        <w:t>Parties to notify settlement</w:t>
      </w:r>
      <w:bookmarkEnd w:id="12"/>
      <w:r>
        <w:rPr>
          <w:snapToGrid w:val="0"/>
        </w:rPr>
        <w:t xml:space="preserve"> </w:t>
      </w:r>
    </w:p>
    <w:p w:rsidR="00425758" w:rsidRDefault="00425758">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rsidR="00425758" w:rsidRDefault="00425758">
      <w:pPr>
        <w:pStyle w:val="Footnotesection"/>
      </w:pPr>
      <w:r>
        <w:tab/>
        <w:t xml:space="preserve">[Rule 4C inserted: Gazette 26 Mar 1993 p. 1841; amended: Gazette 12 Jun 2012 p. 2445.] </w:t>
      </w:r>
    </w:p>
    <w:p w:rsidR="00425758" w:rsidRDefault="00425758">
      <w:pPr>
        <w:pStyle w:val="Ednotesection"/>
      </w:pPr>
      <w:r>
        <w:t>[</w:t>
      </w:r>
      <w:r>
        <w:rPr>
          <w:b/>
        </w:rPr>
        <w:t>5.</w:t>
      </w:r>
      <w:r>
        <w:tab/>
        <w:t>Deleted: Gazette 28 Jun 2011 p. 2551.]</w:t>
      </w:r>
    </w:p>
    <w:p w:rsidR="00425758" w:rsidRDefault="00425758">
      <w:pPr>
        <w:pStyle w:val="Heading5"/>
        <w:rPr>
          <w:snapToGrid w:val="0"/>
        </w:rPr>
      </w:pPr>
      <w:bookmarkStart w:id="13" w:name="_Toc75862728"/>
      <w:r>
        <w:rPr>
          <w:rStyle w:val="CharSectno"/>
        </w:rPr>
        <w:t>6</w:t>
      </w:r>
      <w:r>
        <w:rPr>
          <w:snapToGrid w:val="0"/>
        </w:rPr>
        <w:t>.</w:t>
      </w:r>
      <w:r>
        <w:rPr>
          <w:snapToGrid w:val="0"/>
        </w:rPr>
        <w:tab/>
        <w:t>Forms</w:t>
      </w:r>
      <w:bookmarkEnd w:id="13"/>
      <w:r>
        <w:rPr>
          <w:snapToGrid w:val="0"/>
        </w:rPr>
        <w:t xml:space="preserve"> </w:t>
      </w:r>
    </w:p>
    <w:p w:rsidR="00425758" w:rsidRDefault="00425758">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rsidR="00425758" w:rsidRDefault="00425758">
      <w:pPr>
        <w:pStyle w:val="Ednotesubsection"/>
      </w:pPr>
      <w:r>
        <w:tab/>
        <w:t>[(2)</w:t>
      </w:r>
      <w:r>
        <w:tab/>
        <w:t>deleted]</w:t>
      </w:r>
    </w:p>
    <w:p w:rsidR="00425758" w:rsidRDefault="00425758">
      <w:pPr>
        <w:pStyle w:val="Footnotesection"/>
      </w:pPr>
      <w:r>
        <w:tab/>
        <w:t>[Rule 6 amended: Gazette 30 Nov 1984 p. 3952; 22 Feb 2008 p. 634; 28 Jun 2011 p. 2553.]</w:t>
      </w:r>
    </w:p>
    <w:p w:rsidR="00425758" w:rsidRDefault="00425758">
      <w:pPr>
        <w:pStyle w:val="Heading5"/>
      </w:pPr>
      <w:bookmarkStart w:id="14" w:name="_Toc75862729"/>
      <w:r>
        <w:rPr>
          <w:rStyle w:val="CharSectno"/>
        </w:rPr>
        <w:t>6A</w:t>
      </w:r>
      <w:r>
        <w:t>.</w:t>
      </w:r>
      <w:r>
        <w:tab/>
        <w:t xml:space="preserve">Forms under </w:t>
      </w:r>
      <w:r>
        <w:rPr>
          <w:i/>
        </w:rPr>
        <w:t>Restraining Orders Act 1997</w:t>
      </w:r>
      <w:bookmarkEnd w:id="14"/>
    </w:p>
    <w:p w:rsidR="00425758" w:rsidRDefault="00425758">
      <w:pPr>
        <w:pStyle w:val="Subsection"/>
      </w:pPr>
      <w:r>
        <w:tab/>
        <w:t>(1)</w:t>
      </w:r>
      <w:r>
        <w:tab/>
        <w:t xml:space="preserve">For the purposes of the </w:t>
      </w:r>
      <w:r>
        <w:rPr>
          <w:i/>
        </w:rPr>
        <w:t>Restraining Orders Act 1997</w:t>
      </w:r>
      <w:r>
        <w:t xml:space="preserve">, the forms set out in the </w:t>
      </w:r>
      <w:r>
        <w:rPr>
          <w:i/>
        </w:rPr>
        <w:t>Magistrates Court (Civil Proceedings) Rules 2005</w:t>
      </w:r>
      <w:r>
        <w:t xml:space="preserve"> Schedule 1, as in force on 25 November 2017, are prescribed (with any necessary changes) in relation to the matters specified in those forms.</w:t>
      </w:r>
    </w:p>
    <w:p w:rsidR="00425758" w:rsidRDefault="00425758">
      <w:pPr>
        <w:pStyle w:val="Subsection"/>
      </w:pPr>
      <w:r>
        <w:lastRenderedPageBreak/>
        <w:tab/>
        <w:t>(2)</w:t>
      </w:r>
      <w:r>
        <w:tab/>
        <w:t>Where a form is in parts, then only those parts of the form that are relevant, taking into account the part heading, need be used for a particular copy of the form, or for a particular purpose.</w:t>
      </w:r>
    </w:p>
    <w:p w:rsidR="00425758" w:rsidRDefault="00425758">
      <w:pPr>
        <w:pStyle w:val="Footnotesection"/>
      </w:pPr>
      <w:r>
        <w:tab/>
        <w:t>[Rule 6A inserted: Gazette 30 Jun 2017 p. 3576; amended: Gazette 1 Dec 2017 p. 5733.]</w:t>
      </w:r>
    </w:p>
    <w:p w:rsidR="00425758" w:rsidRDefault="00425758">
      <w:pPr>
        <w:pStyle w:val="Heading5"/>
      </w:pPr>
      <w:bookmarkStart w:id="15" w:name="_Toc75862730"/>
      <w:r>
        <w:rPr>
          <w:rStyle w:val="CharSectno"/>
        </w:rPr>
        <w:t>7</w:t>
      </w:r>
      <w:r>
        <w:t>.</w:t>
      </w:r>
      <w:r>
        <w:tab/>
        <w:t>Court fees</w:t>
      </w:r>
      <w:bookmarkEnd w:id="15"/>
    </w:p>
    <w:p w:rsidR="00425758" w:rsidRDefault="00425758">
      <w:pPr>
        <w:pStyle w:val="Subsection"/>
      </w:pPr>
      <w:r>
        <w:tab/>
      </w:r>
      <w:r>
        <w:tab/>
        <w:t xml:space="preserve">These rules are to be read with but do not affect the operation of the </w:t>
      </w:r>
      <w:r>
        <w:rPr>
          <w:i/>
        </w:rPr>
        <w:t>Supreme Court (Fees) Regulations 2002</w:t>
      </w:r>
      <w:r>
        <w:t>.</w:t>
      </w:r>
    </w:p>
    <w:p w:rsidR="00425758" w:rsidRDefault="00425758">
      <w:pPr>
        <w:pStyle w:val="Footnotesection"/>
      </w:pPr>
      <w:r>
        <w:tab/>
        <w:t>[Rule 7 inserted: Gazette 28 Jul 2010 p. 3482.]</w:t>
      </w:r>
    </w:p>
    <w:p w:rsidR="00425758" w:rsidRDefault="00425758">
      <w:pPr>
        <w:pStyle w:val="Heading5"/>
      </w:pPr>
      <w:bookmarkStart w:id="16" w:name="_Toc75862731"/>
      <w:r>
        <w:rPr>
          <w:rStyle w:val="CharSectno"/>
        </w:rPr>
        <w:t>8</w:t>
      </w:r>
      <w:r>
        <w:t>.</w:t>
      </w:r>
      <w:r>
        <w:tab/>
        <w:t>Documents given to authorised users or Court by means of ECMS</w:t>
      </w:r>
      <w:bookmarkEnd w:id="16"/>
    </w:p>
    <w:p w:rsidR="00425758" w:rsidRDefault="00425758">
      <w:pPr>
        <w:pStyle w:val="Subsection"/>
        <w:keepNext/>
      </w:pPr>
      <w:r>
        <w:tab/>
        <w:t>(1)</w:t>
      </w:r>
      <w:r>
        <w:tab/>
        <w:t xml:space="preserve">If — </w:t>
      </w:r>
    </w:p>
    <w:p w:rsidR="00425758" w:rsidRDefault="00425758">
      <w:pPr>
        <w:pStyle w:val="Indenta"/>
      </w:pPr>
      <w:r>
        <w:tab/>
        <w:t>(a)</w:t>
      </w:r>
      <w:r>
        <w:tab/>
        <w:t>these rules provide that the Court is required or authorised to give any writ, notice, order, summons or other document to a person; and</w:t>
      </w:r>
    </w:p>
    <w:p w:rsidR="00425758" w:rsidRDefault="00425758">
      <w:pPr>
        <w:pStyle w:val="Indenta"/>
      </w:pPr>
      <w:r>
        <w:tab/>
        <w:t>(b)</w:t>
      </w:r>
      <w:r>
        <w:tab/>
        <w:t>the person is an authorised user of the ECMS,</w:t>
      </w:r>
    </w:p>
    <w:p w:rsidR="00425758" w:rsidRDefault="00425758">
      <w:pPr>
        <w:pStyle w:val="Subsection"/>
      </w:pPr>
      <w:r>
        <w:tab/>
      </w:r>
      <w:r>
        <w:tab/>
        <w:t>the Court may give the document to the person by means of the ECMS.</w:t>
      </w:r>
    </w:p>
    <w:p w:rsidR="00425758" w:rsidRDefault="00425758">
      <w:pPr>
        <w:pStyle w:val="Subsection"/>
      </w:pPr>
      <w:r>
        <w:tab/>
        <w:t>(2)</w:t>
      </w:r>
      <w:r>
        <w:tab/>
        <w:t xml:space="preserve">If — </w:t>
      </w:r>
    </w:p>
    <w:p w:rsidR="00425758" w:rsidRDefault="00425758">
      <w:pPr>
        <w:pStyle w:val="Indenta"/>
      </w:pPr>
      <w:r>
        <w:tab/>
        <w:t>(a)</w:t>
      </w:r>
      <w:r>
        <w:tab/>
        <w:t>these rules provide that a person is required or authorised to give a document to the Court; and</w:t>
      </w:r>
    </w:p>
    <w:p w:rsidR="00425758" w:rsidRDefault="00425758">
      <w:pPr>
        <w:pStyle w:val="Indenta"/>
      </w:pPr>
      <w:r>
        <w:tab/>
        <w:t>(b)</w:t>
      </w:r>
      <w:r>
        <w:tab/>
        <w:t>the person is an authorised user of the ECMS,</w:t>
      </w:r>
    </w:p>
    <w:p w:rsidR="00425758" w:rsidRDefault="00425758">
      <w:pPr>
        <w:pStyle w:val="Subsection"/>
      </w:pPr>
      <w:r>
        <w:tab/>
      </w:r>
      <w:r>
        <w:tab/>
        <w:t>the person may give the document to the Court only by filing the document electronically unless these rules provide otherwise in respect of the document.</w:t>
      </w:r>
    </w:p>
    <w:p w:rsidR="00425758" w:rsidRDefault="00425758">
      <w:pPr>
        <w:pStyle w:val="Footnotesection"/>
        <w:rPr>
          <w:b/>
        </w:rPr>
      </w:pPr>
      <w:r>
        <w:tab/>
        <w:t>[Rule 8 inserted: Gazette 27 Feb 2018 p. 552-3; amended: Gazette 31 Dec 2019 p. 4677-8.]</w:t>
      </w:r>
    </w:p>
    <w:p w:rsidR="00425758" w:rsidRDefault="00425758">
      <w:pPr>
        <w:pStyle w:val="Heading2"/>
        <w:rPr>
          <w:b w:val="0"/>
        </w:rPr>
      </w:pPr>
      <w:bookmarkStart w:id="17" w:name="_Toc75511636"/>
      <w:bookmarkStart w:id="18" w:name="_Toc75862732"/>
      <w:r>
        <w:rPr>
          <w:rStyle w:val="CharPartNo"/>
        </w:rPr>
        <w:lastRenderedPageBreak/>
        <w:t>Order 2</w:t>
      </w:r>
      <w:r>
        <w:t> — </w:t>
      </w:r>
      <w:r>
        <w:rPr>
          <w:rStyle w:val="CharPartText"/>
        </w:rPr>
        <w:t>Effect of non</w:t>
      </w:r>
      <w:r>
        <w:rPr>
          <w:rStyle w:val="CharPartText"/>
        </w:rPr>
        <w:noBreakHyphen/>
        <w:t>compliance</w:t>
      </w:r>
      <w:bookmarkEnd w:id="17"/>
      <w:bookmarkEnd w:id="18"/>
    </w:p>
    <w:p w:rsidR="00425758" w:rsidRDefault="00425758">
      <w:pPr>
        <w:pStyle w:val="Heading5"/>
        <w:rPr>
          <w:snapToGrid w:val="0"/>
        </w:rPr>
      </w:pPr>
      <w:bookmarkStart w:id="19" w:name="_Toc75862733"/>
      <w:r>
        <w:rPr>
          <w:rStyle w:val="CharSectno"/>
        </w:rPr>
        <w:t>1</w:t>
      </w:r>
      <w:r>
        <w:rPr>
          <w:snapToGrid w:val="0"/>
        </w:rPr>
        <w:t>.</w:t>
      </w:r>
      <w:r>
        <w:rPr>
          <w:snapToGrid w:val="0"/>
        </w:rPr>
        <w:tab/>
        <w:t>Non</w:t>
      </w:r>
      <w:r>
        <w:rPr>
          <w:snapToGrid w:val="0"/>
        </w:rPr>
        <w:noBreakHyphen/>
        <w:t>compliance with rules</w:t>
      </w:r>
      <w:bookmarkEnd w:id="19"/>
    </w:p>
    <w:p w:rsidR="00425758" w:rsidRDefault="00425758">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rsidR="00425758" w:rsidRDefault="00425758">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rsidR="00425758" w:rsidRDefault="00425758">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rsidR="00425758" w:rsidRDefault="00425758">
      <w:pPr>
        <w:pStyle w:val="Footnotesection"/>
      </w:pPr>
      <w:r>
        <w:tab/>
        <w:t>[Rule 1 amended: Gazette 28 Jun 2011 p. 2552.]</w:t>
      </w:r>
    </w:p>
    <w:p w:rsidR="00425758" w:rsidRDefault="00425758">
      <w:pPr>
        <w:pStyle w:val="Heading5"/>
        <w:rPr>
          <w:snapToGrid w:val="0"/>
        </w:rPr>
      </w:pPr>
      <w:bookmarkStart w:id="20" w:name="_Toc75862734"/>
      <w:r>
        <w:rPr>
          <w:rStyle w:val="CharSectno"/>
        </w:rPr>
        <w:t>2</w:t>
      </w:r>
      <w:r>
        <w:rPr>
          <w:snapToGrid w:val="0"/>
        </w:rPr>
        <w:t>.</w:t>
      </w:r>
      <w:r>
        <w:rPr>
          <w:snapToGrid w:val="0"/>
        </w:rPr>
        <w:tab/>
        <w:t>Application to set aside for irregularity</w:t>
      </w:r>
      <w:bookmarkEnd w:id="20"/>
    </w:p>
    <w:p w:rsidR="00425758" w:rsidRDefault="00425758">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rsidR="00425758" w:rsidRDefault="00425758">
      <w:pPr>
        <w:pStyle w:val="Subsection"/>
      </w:pPr>
      <w:r>
        <w:lastRenderedPageBreak/>
        <w:tab/>
        <w:t>(2)</w:t>
      </w:r>
      <w:r>
        <w:tab/>
        <w:t>An application under this rule shall be made by summons or motion, as the case may require, and the grounds of objection must be stated in the summons or notice of motion.</w:t>
      </w:r>
    </w:p>
    <w:p w:rsidR="00425758" w:rsidRDefault="00425758">
      <w:pPr>
        <w:pStyle w:val="Heading2"/>
        <w:rPr>
          <w:b w:val="0"/>
        </w:rPr>
      </w:pPr>
      <w:bookmarkStart w:id="21" w:name="_Toc75511639"/>
      <w:bookmarkStart w:id="22" w:name="_Toc75862735"/>
      <w:r>
        <w:rPr>
          <w:rStyle w:val="CharPartNo"/>
        </w:rPr>
        <w:lastRenderedPageBreak/>
        <w:t>Order 3</w:t>
      </w:r>
      <w:r>
        <w:t> — </w:t>
      </w:r>
      <w:r>
        <w:rPr>
          <w:rStyle w:val="CharPartText"/>
        </w:rPr>
        <w:t>Time</w:t>
      </w:r>
      <w:bookmarkEnd w:id="21"/>
      <w:bookmarkEnd w:id="22"/>
    </w:p>
    <w:p w:rsidR="00425758" w:rsidRDefault="00425758">
      <w:pPr>
        <w:pStyle w:val="Heading5"/>
        <w:tabs>
          <w:tab w:val="left" w:pos="1440"/>
          <w:tab w:val="left" w:pos="2160"/>
          <w:tab w:val="left" w:pos="2880"/>
          <w:tab w:val="left" w:pos="3600"/>
          <w:tab w:val="left" w:pos="4320"/>
          <w:tab w:val="left" w:pos="4877"/>
        </w:tabs>
        <w:rPr>
          <w:snapToGrid w:val="0"/>
        </w:rPr>
      </w:pPr>
      <w:bookmarkStart w:id="23" w:name="_Toc75862736"/>
      <w:r>
        <w:rPr>
          <w:rStyle w:val="CharSectno"/>
        </w:rPr>
        <w:t>1</w:t>
      </w:r>
      <w:r>
        <w:rPr>
          <w:snapToGrid w:val="0"/>
        </w:rPr>
        <w:t>.</w:t>
      </w:r>
      <w:r>
        <w:rPr>
          <w:snapToGrid w:val="0"/>
        </w:rPr>
        <w:tab/>
        <w:t>Term used: month</w:t>
      </w:r>
      <w:bookmarkEnd w:id="23"/>
    </w:p>
    <w:p w:rsidR="00425758" w:rsidRDefault="00425758">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rsidR="00425758" w:rsidRDefault="00425758">
      <w:pPr>
        <w:pStyle w:val="Footnotesection"/>
        <w:ind w:left="890" w:hanging="890"/>
      </w:pPr>
      <w:r>
        <w:tab/>
        <w:t>[Rule 1 amended: Gazette 29 Apr 2005 p. 1791.]</w:t>
      </w:r>
    </w:p>
    <w:p w:rsidR="00425758" w:rsidRDefault="00425758">
      <w:pPr>
        <w:pStyle w:val="Heading5"/>
        <w:rPr>
          <w:snapToGrid w:val="0"/>
        </w:rPr>
      </w:pPr>
      <w:bookmarkStart w:id="24" w:name="_Toc75862737"/>
      <w:r>
        <w:rPr>
          <w:rStyle w:val="CharSectno"/>
        </w:rPr>
        <w:t>2</w:t>
      </w:r>
      <w:r>
        <w:rPr>
          <w:snapToGrid w:val="0"/>
        </w:rPr>
        <w:t>.</w:t>
      </w:r>
      <w:r>
        <w:rPr>
          <w:snapToGrid w:val="0"/>
        </w:rPr>
        <w:tab/>
        <w:t>Reckoning periods of time</w:t>
      </w:r>
      <w:bookmarkEnd w:id="24"/>
    </w:p>
    <w:p w:rsidR="00425758" w:rsidRDefault="00425758">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rsidR="00425758" w:rsidRDefault="00425758">
      <w:pPr>
        <w:pStyle w:val="Subsection"/>
      </w:pPr>
      <w:r>
        <w:tab/>
        <w:t>(2)</w:t>
      </w:r>
      <w:r>
        <w:tab/>
        <w:t>Where less than 7 days is prescribed by these rules or limited by any judgment, order or direction for doing any act any day on which the Central Office is closed for business shall not be reckoned.</w:t>
      </w:r>
    </w:p>
    <w:p w:rsidR="00425758" w:rsidRDefault="00425758">
      <w:pPr>
        <w:pStyle w:val="Heading5"/>
        <w:rPr>
          <w:snapToGrid w:val="0"/>
        </w:rPr>
      </w:pPr>
      <w:bookmarkStart w:id="25" w:name="_Toc75862738"/>
      <w:r>
        <w:rPr>
          <w:rStyle w:val="CharSectno"/>
        </w:rPr>
        <w:t>3</w:t>
      </w:r>
      <w:r>
        <w:rPr>
          <w:snapToGrid w:val="0"/>
        </w:rPr>
        <w:t>.</w:t>
      </w:r>
      <w:r>
        <w:rPr>
          <w:snapToGrid w:val="0"/>
        </w:rPr>
        <w:tab/>
        <w:t>Period between 24 Dec and 15 Jan excluded when computing time</w:t>
      </w:r>
      <w:bookmarkEnd w:id="25"/>
    </w:p>
    <w:p w:rsidR="00425758" w:rsidRDefault="00425758">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rsidR="00425758" w:rsidRDefault="00425758">
      <w:pPr>
        <w:pStyle w:val="Footnotesection"/>
      </w:pPr>
      <w:r>
        <w:tab/>
        <w:t xml:space="preserve">[Rule 3 amended: Gazette 9 Nov 1973 p. 4164.] </w:t>
      </w:r>
    </w:p>
    <w:p w:rsidR="00425758" w:rsidRDefault="00425758">
      <w:pPr>
        <w:pStyle w:val="Heading5"/>
        <w:rPr>
          <w:snapToGrid w:val="0"/>
        </w:rPr>
      </w:pPr>
      <w:bookmarkStart w:id="26" w:name="_Toc75862739"/>
      <w:r>
        <w:rPr>
          <w:rStyle w:val="CharSectno"/>
        </w:rPr>
        <w:lastRenderedPageBreak/>
        <w:t>4</w:t>
      </w:r>
      <w:r>
        <w:rPr>
          <w:snapToGrid w:val="0"/>
        </w:rPr>
        <w:t>.</w:t>
      </w:r>
      <w:r>
        <w:rPr>
          <w:snapToGrid w:val="0"/>
        </w:rPr>
        <w:tab/>
        <w:t>Time expiring on day Central Office closed, effect of</w:t>
      </w:r>
      <w:bookmarkEnd w:id="26"/>
    </w:p>
    <w:p w:rsidR="00425758" w:rsidRDefault="00425758">
      <w:pPr>
        <w:pStyle w:val="Subsection"/>
      </w:pPr>
      <w:r>
        <w:tab/>
        <w:t>(1)</w:t>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rsidR="00425758" w:rsidRDefault="00425758">
      <w:pPr>
        <w:pStyle w:val="Subsection"/>
      </w:pPr>
      <w:r>
        <w:tab/>
        <w:t>(2)</w:t>
      </w:r>
      <w:r>
        <w:tab/>
        <w:t>Subrule (1) does not apply to the filing of a document on a day on which the Central Office is closed if the document is required by these rules to be filed electronically.</w:t>
      </w:r>
    </w:p>
    <w:p w:rsidR="00425758" w:rsidRDefault="00425758">
      <w:pPr>
        <w:pStyle w:val="Footnotesection"/>
      </w:pPr>
      <w:r>
        <w:tab/>
        <w:t>[Rule 4 amended: Gazette 27 Feb 2018 p. 553.]</w:t>
      </w:r>
    </w:p>
    <w:p w:rsidR="00425758" w:rsidRDefault="00425758">
      <w:pPr>
        <w:pStyle w:val="Heading5"/>
        <w:rPr>
          <w:snapToGrid w:val="0"/>
        </w:rPr>
      </w:pPr>
      <w:bookmarkStart w:id="27" w:name="_Toc75862740"/>
      <w:r>
        <w:rPr>
          <w:rStyle w:val="CharSectno"/>
        </w:rPr>
        <w:t>5</w:t>
      </w:r>
      <w:r>
        <w:rPr>
          <w:snapToGrid w:val="0"/>
        </w:rPr>
        <w:t>.</w:t>
      </w:r>
      <w:r>
        <w:rPr>
          <w:snapToGrid w:val="0"/>
        </w:rPr>
        <w:tab/>
        <w:t>Extending and abridging time</w:t>
      </w:r>
      <w:bookmarkEnd w:id="27"/>
    </w:p>
    <w:p w:rsidR="00425758" w:rsidRDefault="00425758">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rsidR="00425758" w:rsidRDefault="00425758">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rsidR="00425758" w:rsidRDefault="00425758">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rsidR="00425758" w:rsidRDefault="00425758">
      <w:pPr>
        <w:pStyle w:val="Footnotesection"/>
      </w:pPr>
      <w:r>
        <w:tab/>
        <w:t>[Rule 5 amended: Gazette 29 Apr 2005 p. 1791; 28 Jun 2011 p. 2552.]</w:t>
      </w:r>
    </w:p>
    <w:p w:rsidR="00425758" w:rsidRDefault="00425758">
      <w:pPr>
        <w:pStyle w:val="Heading5"/>
        <w:rPr>
          <w:snapToGrid w:val="0"/>
        </w:rPr>
      </w:pPr>
      <w:bookmarkStart w:id="28" w:name="_Toc75862741"/>
      <w:r>
        <w:rPr>
          <w:rStyle w:val="CharSectno"/>
        </w:rPr>
        <w:t>6</w:t>
      </w:r>
      <w:r>
        <w:rPr>
          <w:snapToGrid w:val="0"/>
        </w:rPr>
        <w:t>.</w:t>
      </w:r>
      <w:r>
        <w:rPr>
          <w:snapToGrid w:val="0"/>
        </w:rPr>
        <w:tab/>
        <w:t>Extension of time where security ordered</w:t>
      </w:r>
      <w:bookmarkEnd w:id="28"/>
    </w:p>
    <w:p w:rsidR="00425758" w:rsidRDefault="00425758">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rsidR="00425758" w:rsidRDefault="00425758">
      <w:pPr>
        <w:pStyle w:val="Heading5"/>
        <w:rPr>
          <w:snapToGrid w:val="0"/>
        </w:rPr>
      </w:pPr>
      <w:bookmarkStart w:id="29" w:name="_Toc75862742"/>
      <w:r>
        <w:rPr>
          <w:rStyle w:val="CharSectno"/>
        </w:rPr>
        <w:lastRenderedPageBreak/>
        <w:t>7</w:t>
      </w:r>
      <w:r>
        <w:rPr>
          <w:snapToGrid w:val="0"/>
        </w:rPr>
        <w:t>.</w:t>
      </w:r>
      <w:r>
        <w:rPr>
          <w:snapToGrid w:val="0"/>
        </w:rPr>
        <w:tab/>
        <w:t>Notice of intention to proceed after year’s delay</w:t>
      </w:r>
      <w:bookmarkEnd w:id="29"/>
    </w:p>
    <w:p w:rsidR="00425758" w:rsidRDefault="00425758">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rsidR="00425758" w:rsidRDefault="00425758">
      <w:pPr>
        <w:pStyle w:val="Ednotesection"/>
        <w:ind w:left="890" w:hanging="890"/>
      </w:pPr>
      <w:r>
        <w:t>[</w:t>
      </w:r>
      <w:r>
        <w:rPr>
          <w:b/>
        </w:rPr>
        <w:t>8.</w:t>
      </w:r>
      <w:r>
        <w:tab/>
        <w:t xml:space="preserve">Deleted: Gazette 20 Jun 1986 p. 2040.] </w:t>
      </w:r>
    </w:p>
    <w:p w:rsidR="00425758" w:rsidRDefault="00425758">
      <w:pPr>
        <w:pStyle w:val="Heading2"/>
      </w:pPr>
      <w:bookmarkStart w:id="30" w:name="_Toc75511647"/>
      <w:bookmarkStart w:id="31" w:name="_Toc75862743"/>
      <w:r>
        <w:rPr>
          <w:rStyle w:val="CharPartNo"/>
        </w:rPr>
        <w:lastRenderedPageBreak/>
        <w:t>Order 4A</w:t>
      </w:r>
      <w:r>
        <w:rPr>
          <w:b w:val="0"/>
        </w:rPr>
        <w:t> </w:t>
      </w:r>
      <w:r>
        <w:t>—</w:t>
      </w:r>
      <w:r>
        <w:rPr>
          <w:b w:val="0"/>
        </w:rPr>
        <w:t> </w:t>
      </w:r>
      <w:r>
        <w:rPr>
          <w:rStyle w:val="CharPartText"/>
        </w:rPr>
        <w:t>Case management</w:t>
      </w:r>
      <w:bookmarkEnd w:id="30"/>
      <w:bookmarkEnd w:id="31"/>
    </w:p>
    <w:p w:rsidR="00425758" w:rsidRDefault="00425758">
      <w:pPr>
        <w:pStyle w:val="Footnoteheading"/>
      </w:pPr>
      <w:r>
        <w:tab/>
        <w:t>[Heading inserted: Gazette 28 Jul 2010 p. 3441.]</w:t>
      </w:r>
    </w:p>
    <w:p w:rsidR="00425758" w:rsidRDefault="00425758">
      <w:pPr>
        <w:pStyle w:val="Heading3"/>
      </w:pPr>
      <w:bookmarkStart w:id="32" w:name="_Toc75511648"/>
      <w:bookmarkStart w:id="33" w:name="_Toc75862744"/>
      <w:r>
        <w:rPr>
          <w:rStyle w:val="CharDivNo"/>
        </w:rPr>
        <w:t>Division 1</w:t>
      </w:r>
      <w:r>
        <w:t> — </w:t>
      </w:r>
      <w:r>
        <w:rPr>
          <w:rStyle w:val="CharDivText"/>
        </w:rPr>
        <w:t>Preliminary matters</w:t>
      </w:r>
      <w:bookmarkEnd w:id="32"/>
      <w:bookmarkEnd w:id="33"/>
    </w:p>
    <w:p w:rsidR="00425758" w:rsidRDefault="00425758">
      <w:pPr>
        <w:pStyle w:val="Footnoteheading"/>
      </w:pPr>
      <w:r>
        <w:tab/>
        <w:t>[Heading inserted: Gazette 28 Jul 2010 p. 3441.]</w:t>
      </w:r>
    </w:p>
    <w:p w:rsidR="00425758" w:rsidRDefault="00425758">
      <w:pPr>
        <w:pStyle w:val="Heading5"/>
      </w:pPr>
      <w:bookmarkStart w:id="34" w:name="_Toc75862745"/>
      <w:r>
        <w:rPr>
          <w:rStyle w:val="CharSectno"/>
        </w:rPr>
        <w:t>1</w:t>
      </w:r>
      <w:r>
        <w:t>.</w:t>
      </w:r>
      <w:r>
        <w:tab/>
        <w:t>Terms used</w:t>
      </w:r>
      <w:bookmarkEnd w:id="34"/>
    </w:p>
    <w:p w:rsidR="00425758" w:rsidRDefault="00425758">
      <w:pPr>
        <w:pStyle w:val="Subsection"/>
      </w:pPr>
      <w:r>
        <w:tab/>
      </w:r>
      <w:r>
        <w:tab/>
        <w:t>In this Order, unless the contrary intention appears —</w:t>
      </w:r>
    </w:p>
    <w:p w:rsidR="00425758" w:rsidRDefault="00425758">
      <w:pPr>
        <w:pStyle w:val="Defstart"/>
      </w:pPr>
      <w:r>
        <w:rPr>
          <w:b/>
        </w:rPr>
        <w:tab/>
      </w:r>
      <w:r>
        <w:rPr>
          <w:rStyle w:val="CharDefText"/>
        </w:rPr>
        <w:t>approved mediator</w:t>
      </w:r>
      <w:r>
        <w:t xml:space="preserve"> means a registrar or other person, approved as a mediator by the Chief Justice;</w:t>
      </w:r>
    </w:p>
    <w:p w:rsidR="00425758" w:rsidRDefault="00425758">
      <w:pPr>
        <w:pStyle w:val="Defstart"/>
      </w:pPr>
      <w:r>
        <w:tab/>
      </w:r>
      <w:r>
        <w:rPr>
          <w:rStyle w:val="CharDefText"/>
        </w:rPr>
        <w:t>case</w:t>
      </w:r>
      <w:r>
        <w:t xml:space="preserve"> means any action, cause or matter in the General Division of the Court;</w:t>
      </w:r>
    </w:p>
    <w:p w:rsidR="00425758" w:rsidRDefault="00425758">
      <w:pPr>
        <w:pStyle w:val="Defstart"/>
      </w:pPr>
      <w:r>
        <w:rPr>
          <w:b/>
        </w:rPr>
        <w:tab/>
      </w:r>
      <w:r>
        <w:rPr>
          <w:rStyle w:val="CharDefText"/>
        </w:rPr>
        <w:t>case management direction</w:t>
      </w:r>
      <w:r>
        <w:t xml:space="preserve"> has the meaning given in rule 2;</w:t>
      </w:r>
    </w:p>
    <w:p w:rsidR="00425758" w:rsidRDefault="00425758">
      <w:pPr>
        <w:pStyle w:val="Defstart"/>
      </w:pPr>
      <w:r>
        <w:tab/>
      </w:r>
      <w:r>
        <w:rPr>
          <w:rStyle w:val="CharDefText"/>
        </w:rPr>
        <w:t>case manager</w:t>
      </w:r>
      <w:r>
        <w:t xml:space="preserve"> means a judge, master or registrar to whom the case is assigned;</w:t>
      </w:r>
    </w:p>
    <w:p w:rsidR="00425758" w:rsidRDefault="00425758">
      <w:pPr>
        <w:pStyle w:val="Defstart"/>
      </w:pPr>
      <w:r>
        <w:rPr>
          <w:b/>
        </w:rPr>
        <w:tab/>
      </w:r>
      <w:r>
        <w:rPr>
          <w:rStyle w:val="CharDefText"/>
        </w:rPr>
        <w:t>CMC List</w:t>
      </w:r>
      <w:r>
        <w:t xml:space="preserve"> means the Commercial and Managed Cases List referred to in Division 3;</w:t>
      </w:r>
    </w:p>
    <w:p w:rsidR="00425758" w:rsidRDefault="00425758">
      <w:pPr>
        <w:pStyle w:val="Defstart"/>
      </w:pPr>
      <w:r>
        <w:rPr>
          <w:b/>
        </w:rPr>
        <w:tab/>
      </w:r>
      <w:r>
        <w:rPr>
          <w:rStyle w:val="CharDefText"/>
        </w:rPr>
        <w:t>CMC List case</w:t>
      </w:r>
      <w:r>
        <w:t xml:space="preserve"> means a case that is on the CMC List;</w:t>
      </w:r>
    </w:p>
    <w:p w:rsidR="00425758" w:rsidRDefault="00425758">
      <w:pPr>
        <w:pStyle w:val="Defstart"/>
      </w:pPr>
      <w:r>
        <w:rPr>
          <w:b/>
        </w:rPr>
        <w:tab/>
      </w:r>
      <w:r>
        <w:rPr>
          <w:rStyle w:val="CharDefText"/>
        </w:rPr>
        <w:t>enforcement order</w:t>
      </w:r>
      <w:r>
        <w:t xml:space="preserve"> has the meaning given in rule 3.</w:t>
      </w:r>
    </w:p>
    <w:p w:rsidR="00425758" w:rsidRDefault="00425758">
      <w:pPr>
        <w:pStyle w:val="Footnotesection"/>
      </w:pPr>
      <w:r>
        <w:tab/>
        <w:t>[Rule 1 inserted: Gazette 28 Jul 2010 p. 3441; amended: Gazette 16 Aug 2017 p. 4392.]</w:t>
      </w:r>
    </w:p>
    <w:p w:rsidR="00425758" w:rsidRDefault="00425758">
      <w:pPr>
        <w:pStyle w:val="Heading5"/>
      </w:pPr>
      <w:bookmarkStart w:id="35" w:name="_Toc75862746"/>
      <w:r>
        <w:rPr>
          <w:rStyle w:val="CharSectno"/>
        </w:rPr>
        <w:t>2</w:t>
      </w:r>
      <w:r>
        <w:t>.</w:t>
      </w:r>
      <w:r>
        <w:tab/>
        <w:t>Term used: case management direction</w:t>
      </w:r>
      <w:bookmarkEnd w:id="35"/>
    </w:p>
    <w:p w:rsidR="00425758" w:rsidRDefault="00425758">
      <w:pPr>
        <w:pStyle w:val="Subsection"/>
      </w:pPr>
      <w:r>
        <w:tab/>
        <w:t>(1)</w:t>
      </w:r>
      <w:r>
        <w:tab/>
        <w:t>A case management direction is any procedural direction that in the Court’s opinion it is just to make in a case to facilitate the attainment of the objects referred to in Order 1 rule 4B(1).</w:t>
      </w:r>
    </w:p>
    <w:p w:rsidR="00425758" w:rsidRDefault="00425758">
      <w:pPr>
        <w:pStyle w:val="Subsection"/>
      </w:pPr>
      <w:r>
        <w:tab/>
        <w:t>(2)</w:t>
      </w:r>
      <w:r>
        <w:tab/>
        <w:t>Without limiting subrule (1), a case management direction may do one or more of the following —</w:t>
      </w:r>
    </w:p>
    <w:p w:rsidR="00425758" w:rsidRDefault="00425758">
      <w:pPr>
        <w:pStyle w:val="Indenta"/>
      </w:pPr>
      <w:r>
        <w:tab/>
        <w:t>(a)</w:t>
      </w:r>
      <w:r>
        <w:tab/>
        <w:t>give directions to assist the convenience of the parties or witnesses;</w:t>
      </w:r>
    </w:p>
    <w:p w:rsidR="00425758" w:rsidRDefault="00425758">
      <w:pPr>
        <w:pStyle w:val="Indenta"/>
      </w:pPr>
      <w:r>
        <w:tab/>
        <w:t>(b)</w:t>
      </w:r>
      <w:r>
        <w:tab/>
        <w:t>direct the parties to comply with a timetable for procedural steps that are needed in the case;</w:t>
      </w:r>
    </w:p>
    <w:p w:rsidR="00425758" w:rsidRDefault="00425758">
      <w:pPr>
        <w:pStyle w:val="Indenta"/>
      </w:pPr>
      <w:r>
        <w:lastRenderedPageBreak/>
        <w:tab/>
        <w:t>(c)</w:t>
      </w:r>
      <w:r>
        <w:tab/>
        <w:t>dispense with all or any or any further pleadings;</w:t>
      </w:r>
    </w:p>
    <w:p w:rsidR="00425758" w:rsidRDefault="00425758">
      <w:pPr>
        <w:pStyle w:val="Indenta"/>
      </w:pPr>
      <w:r>
        <w:tab/>
        <w:t>(d)</w:t>
      </w:r>
      <w:r>
        <w:tab/>
        <w:t>direct specified pleadings to be filed;</w:t>
      </w:r>
    </w:p>
    <w:p w:rsidR="00425758" w:rsidRDefault="00425758">
      <w:pPr>
        <w:pStyle w:val="Indenta"/>
      </w:pPr>
      <w:r>
        <w:tab/>
        <w:t>(e)</w:t>
      </w:r>
      <w:r>
        <w:tab/>
        <w:t>dispense with any interlocutory step;</w:t>
      </w:r>
    </w:p>
    <w:p w:rsidR="00425758" w:rsidRDefault="00425758">
      <w:pPr>
        <w:pStyle w:val="Indenta"/>
      </w:pPr>
      <w:r>
        <w:tab/>
        <w:t>(f)</w:t>
      </w:r>
      <w:r>
        <w:tab/>
        <w:t>direct that an interlocutory application not be heard;</w:t>
      </w:r>
    </w:p>
    <w:p w:rsidR="00425758" w:rsidRDefault="00425758">
      <w:pPr>
        <w:pStyle w:val="Indenta"/>
      </w:pPr>
      <w:r>
        <w:tab/>
        <w:t>(g)</w:t>
      </w:r>
      <w:r>
        <w:tab/>
        <w:t>as to any interlocutory matter —</w:t>
      </w:r>
    </w:p>
    <w:p w:rsidR="00425758" w:rsidRDefault="00425758">
      <w:pPr>
        <w:pStyle w:val="Indenti"/>
      </w:pPr>
      <w:r>
        <w:tab/>
        <w:t>(i)</w:t>
      </w:r>
      <w:r>
        <w:tab/>
        <w:t>direct the parties or their practitioners to file and exchange memoranda before the hearing of it in order to clarify the matters in issue before the hearing;</w:t>
      </w:r>
    </w:p>
    <w:p w:rsidR="00425758" w:rsidRDefault="00425758">
      <w:pPr>
        <w:pStyle w:val="Indenti"/>
      </w:pPr>
      <w:r>
        <w:tab/>
        <w:t>(ii)</w:t>
      </w:r>
      <w:r>
        <w:tab/>
        <w:t>direct that it be dealt with by telephone, video link or other similar means of communication;</w:t>
      </w:r>
    </w:p>
    <w:p w:rsidR="00425758" w:rsidRDefault="00425758">
      <w:pPr>
        <w:pStyle w:val="Indenti"/>
      </w:pPr>
      <w:r>
        <w:tab/>
        <w:t>(iii)</w:t>
      </w:r>
      <w:r>
        <w:tab/>
        <w:t>give directions as to the use of audio</w:t>
      </w:r>
      <w:r>
        <w:noBreakHyphen/>
        <w:t>visual equipment, computers and other equipment in any hearing of it;</w:t>
      </w:r>
    </w:p>
    <w:p w:rsidR="00425758" w:rsidRDefault="00425758">
      <w:pPr>
        <w:pStyle w:val="Indenti"/>
      </w:pPr>
      <w:r>
        <w:tab/>
        <w:t>(iv)</w:t>
      </w:r>
      <w:r>
        <w:tab/>
        <w:t>direct that it be dealt with, and any evidence in relation to it be provided, by email, fax, telegram, telex, courier, post or other similar means;</w:t>
      </w:r>
    </w:p>
    <w:p w:rsidR="00425758" w:rsidRDefault="00425758">
      <w:pPr>
        <w:pStyle w:val="Indenti"/>
      </w:pPr>
      <w:r>
        <w:tab/>
        <w:t>(v)</w:t>
      </w:r>
      <w:r>
        <w:tab/>
        <w:t>give directions for the speedier and more effective recording of evidence at any hearing of it;</w:t>
      </w:r>
    </w:p>
    <w:p w:rsidR="00425758" w:rsidRDefault="00425758">
      <w:pPr>
        <w:pStyle w:val="Indenta"/>
      </w:pPr>
      <w:r>
        <w:tab/>
        <w:t>(h)</w:t>
      </w:r>
      <w:r>
        <w:tab/>
        <w:t>direct that an application for an adjournment of any proceeding be supported by affidavits of specified people;</w:t>
      </w:r>
    </w:p>
    <w:p w:rsidR="00425758" w:rsidRDefault="00425758">
      <w:pPr>
        <w:pStyle w:val="Indenta"/>
      </w:pPr>
      <w:r>
        <w:tab/>
        <w:t>(i)</w:t>
      </w:r>
      <w:r>
        <w:tab/>
        <w:t>limit discovery or direct that discovery be given in stages;</w:t>
      </w:r>
    </w:p>
    <w:p w:rsidR="00425758" w:rsidRDefault="00425758">
      <w:pPr>
        <w:pStyle w:val="Indenta"/>
      </w:pPr>
      <w:r>
        <w:tab/>
        <w:t>(ia)</w:t>
      </w:r>
      <w:r>
        <w:tab/>
        <w:t xml:space="preserve">give directions for the purposes of Order 36A rule 1 as to expert evidence including directions as to any of the following — </w:t>
      </w:r>
    </w:p>
    <w:p w:rsidR="00425758" w:rsidRDefault="00425758">
      <w:pPr>
        <w:pStyle w:val="Indenti"/>
      </w:pPr>
      <w:r>
        <w:tab/>
        <w:t>(i)</w:t>
      </w:r>
      <w:r>
        <w:tab/>
        <w:t xml:space="preserve">the provision to a party or the Court of a copy of a report, or part of a report, of an expert witness, before the trial; </w:t>
      </w:r>
    </w:p>
    <w:p w:rsidR="00425758" w:rsidRDefault="00425758">
      <w:pPr>
        <w:pStyle w:val="Indenti"/>
      </w:pPr>
      <w:r>
        <w:lastRenderedPageBreak/>
        <w:tab/>
        <w:t>(ii)</w:t>
      </w:r>
      <w:r>
        <w:tab/>
        <w:t>the disclosure to a party or the Court, in writing, of the substance of all or any part of expert evidence, before the trial;</w:t>
      </w:r>
    </w:p>
    <w:p w:rsidR="00425758" w:rsidRDefault="00425758">
      <w:pPr>
        <w:pStyle w:val="Indenti"/>
      </w:pPr>
      <w:r>
        <w:tab/>
        <w:t>(iii)</w:t>
      </w:r>
      <w:r>
        <w:tab/>
        <w:t>the number of expert witnesses who may be called at the trial;</w:t>
      </w:r>
    </w:p>
    <w:p w:rsidR="00425758" w:rsidRDefault="00425758">
      <w:pPr>
        <w:pStyle w:val="Indenti"/>
      </w:pPr>
      <w:r>
        <w:tab/>
        <w:t>(iv)</w:t>
      </w:r>
      <w:r>
        <w:tab/>
        <w:t>the provision to the case manager for inspection under subrule (6) of any report or document containing expert evidence or the substance of the expert evidence;</w:t>
      </w:r>
    </w:p>
    <w:p w:rsidR="00425758" w:rsidRDefault="00425758">
      <w:pPr>
        <w:pStyle w:val="Indenta"/>
      </w:pPr>
      <w:r>
        <w:tab/>
        <w:t>(j)</w:t>
      </w:r>
      <w:r>
        <w:tab/>
        <w:t>direct any or all of the parties to confer on a “without prejudice” basis for the purpose of identifying, resolving and narrowing the points of difference between them;</w:t>
      </w:r>
    </w:p>
    <w:p w:rsidR="00425758" w:rsidRDefault="00425758">
      <w:pPr>
        <w:pStyle w:val="Indenta"/>
      </w:pPr>
      <w:r>
        <w:tab/>
        <w:t>(k)</w:t>
      </w:r>
      <w:r>
        <w:tab/>
        <w:t>direct that experts, whose reports have been provided or whose evidence the substance of which has been disclosed, under a direction under paragraph (ia), confer on a “without prejudice” basis for the purpose of identifying, resolving and narrowing the points of difference between them;</w:t>
      </w:r>
    </w:p>
    <w:p w:rsidR="00425758" w:rsidRDefault="00425758">
      <w:pPr>
        <w:pStyle w:val="Indenta"/>
      </w:pPr>
      <w:r>
        <w:tab/>
        <w:t>(l)</w:t>
      </w:r>
      <w:r>
        <w:tab/>
        <w:t>if under paragraph (j) or (k) a conference is directed to be held —</w:t>
      </w:r>
    </w:p>
    <w:p w:rsidR="00425758" w:rsidRDefault="00425758">
      <w:pPr>
        <w:pStyle w:val="Indenti"/>
      </w:pPr>
      <w:r>
        <w:tab/>
        <w:t>(i)</w:t>
      </w:r>
      <w:r>
        <w:tab/>
        <w:t>subject to subrule (5) and rule 8, direct that it be conducted by a mediator;</w:t>
      </w:r>
    </w:p>
    <w:p w:rsidR="00425758" w:rsidRDefault="00425758">
      <w:pPr>
        <w:pStyle w:val="Indenti"/>
      </w:pPr>
      <w:r>
        <w:tab/>
        <w:t>(ii)</w:t>
      </w:r>
      <w:r>
        <w:tab/>
        <w:t>direct that it be held by telephone, video link or other similar means of communication;</w:t>
      </w:r>
    </w:p>
    <w:p w:rsidR="00425758" w:rsidRDefault="00425758">
      <w:pPr>
        <w:pStyle w:val="Indenti"/>
      </w:pPr>
      <w:r>
        <w:tab/>
        <w:t>(iii)</w:t>
      </w:r>
      <w:r>
        <w:tab/>
        <w:t>set the terms or conditions for it and deal with anything in relation to it;</w:t>
      </w:r>
    </w:p>
    <w:p w:rsidR="00425758" w:rsidRDefault="00425758">
      <w:pPr>
        <w:pStyle w:val="Ednotepara"/>
      </w:pPr>
      <w:r>
        <w:tab/>
        <w:t>[(m)</w:t>
      </w:r>
      <w:r>
        <w:tab/>
        <w:t>deleted]</w:t>
      </w:r>
    </w:p>
    <w:p w:rsidR="00425758" w:rsidRDefault="00425758">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rsidR="00425758" w:rsidRDefault="00425758">
      <w:pPr>
        <w:pStyle w:val="Indenti"/>
      </w:pPr>
      <w:r>
        <w:tab/>
        <w:t>(i)</w:t>
      </w:r>
      <w:r>
        <w:tab/>
        <w:t>describing the object; and</w:t>
      </w:r>
    </w:p>
    <w:p w:rsidR="00425758" w:rsidRDefault="00425758">
      <w:pPr>
        <w:pStyle w:val="Indenti"/>
      </w:pPr>
      <w:r>
        <w:tab/>
        <w:t>(ii)</w:t>
      </w:r>
      <w:r>
        <w:tab/>
        <w:t>stating where and when it may be inspected; and</w:t>
      </w:r>
    </w:p>
    <w:p w:rsidR="00425758" w:rsidRDefault="00425758">
      <w:pPr>
        <w:pStyle w:val="Indenti"/>
      </w:pPr>
      <w:r>
        <w:lastRenderedPageBreak/>
        <w:tab/>
        <w:t>(iii)</w:t>
      </w:r>
      <w:r>
        <w:tab/>
        <w:t>requiring B to serve A, within 7 days after the date on which the notice is served, a written notice agreeing or refusing to agree to the admission in evidence of the object without further proof of it;</w:t>
      </w:r>
    </w:p>
    <w:p w:rsidR="00425758" w:rsidRDefault="00425758">
      <w:pPr>
        <w:pStyle w:val="Indenta"/>
      </w:pPr>
      <w:r>
        <w:tab/>
        <w:t>(o)</w:t>
      </w:r>
      <w:r>
        <w:tab/>
        <w:t xml:space="preserve">direct a practitioner for a party to give the party a memorandum stating — </w:t>
      </w:r>
    </w:p>
    <w:p w:rsidR="00425758" w:rsidRDefault="00425758">
      <w:pPr>
        <w:pStyle w:val="Indenti"/>
      </w:pPr>
      <w:r>
        <w:tab/>
        <w:t>(i)</w:t>
      </w:r>
      <w:r>
        <w:tab/>
        <w:t>the approximate solicitor and client costs and disbursements of the party to the date of the memorandum; and</w:t>
      </w:r>
    </w:p>
    <w:p w:rsidR="00425758" w:rsidRDefault="00425758">
      <w:pPr>
        <w:pStyle w:val="Indenti"/>
      </w:pPr>
      <w:r>
        <w:tab/>
        <w:t>(ii)</w:t>
      </w:r>
      <w:r>
        <w:tab/>
        <w:t>the estimated future solicitor and client costs and disbursements of the party to but not including the trial; and</w:t>
      </w:r>
    </w:p>
    <w:p w:rsidR="00425758" w:rsidRDefault="00425758">
      <w:pPr>
        <w:pStyle w:val="Indenti"/>
      </w:pPr>
      <w:r>
        <w:tab/>
        <w:t>(iii)</w:t>
      </w:r>
      <w:r>
        <w:tab/>
        <w:t>the estimated length of the trial and the estimated solicitor and client costs and disbursements of the trial; and</w:t>
      </w:r>
    </w:p>
    <w:p w:rsidR="00425758" w:rsidRDefault="00425758">
      <w:pPr>
        <w:pStyle w:val="Indenti"/>
      </w:pPr>
      <w:r>
        <w:tab/>
        <w:t>(iv)</w:t>
      </w:r>
      <w:r>
        <w:tab/>
        <w:t>the estimated party and party costs that would be payable by the party if the party were unsuccessful at trial;</w:t>
      </w:r>
    </w:p>
    <w:p w:rsidR="00425758" w:rsidRDefault="00425758">
      <w:pPr>
        <w:pStyle w:val="Indenta"/>
      </w:pPr>
      <w:r>
        <w:tab/>
        <w:t>(p)</w:t>
      </w:r>
      <w:r>
        <w:tab/>
        <w:t>set a timetable for the trial of the case including a timetable that includes any limit that could be directed under Order 34 rule 5A(1);</w:t>
      </w:r>
    </w:p>
    <w:p w:rsidR="00425758" w:rsidRDefault="00425758">
      <w:pPr>
        <w:pStyle w:val="Indenta"/>
      </w:pPr>
      <w:r>
        <w:tab/>
        <w:t>(q)</w:t>
      </w:r>
      <w:r>
        <w:tab/>
        <w:t>limit the length of written submissions that can be made in the case;</w:t>
      </w:r>
    </w:p>
    <w:p w:rsidR="00425758" w:rsidRDefault="00425758">
      <w:pPr>
        <w:pStyle w:val="Indenta"/>
      </w:pPr>
      <w:r>
        <w:tab/>
        <w:t>(r)</w:t>
      </w:r>
      <w:r>
        <w:tab/>
        <w:t>direct the parties to prepare bundles, files or folders of documents for use at the trial of the case, either —</w:t>
      </w:r>
    </w:p>
    <w:p w:rsidR="00425758" w:rsidRDefault="00425758">
      <w:pPr>
        <w:pStyle w:val="Indenti"/>
      </w:pPr>
      <w:r>
        <w:tab/>
        <w:t>(i)</w:t>
      </w:r>
      <w:r>
        <w:tab/>
        <w:t>grouped according to topic, class, category, allegation in issue or otherwise; or</w:t>
      </w:r>
    </w:p>
    <w:p w:rsidR="00425758" w:rsidRDefault="00425758">
      <w:pPr>
        <w:pStyle w:val="Indenti"/>
      </w:pPr>
      <w:r>
        <w:tab/>
        <w:t>(ii)</w:t>
      </w:r>
      <w:r>
        <w:tab/>
        <w:t>in an order or sequence,</w:t>
      </w:r>
    </w:p>
    <w:p w:rsidR="00425758" w:rsidRDefault="00425758">
      <w:pPr>
        <w:pStyle w:val="Indenta"/>
      </w:pPr>
      <w:r>
        <w:tab/>
      </w:r>
      <w:r>
        <w:tab/>
        <w:t>as specified in the direction, and identified or indexed as specified in the direction;</w:t>
      </w:r>
    </w:p>
    <w:p w:rsidR="00425758" w:rsidRDefault="00425758">
      <w:pPr>
        <w:pStyle w:val="Indenta"/>
      </w:pPr>
      <w:r>
        <w:tab/>
        <w:t>(s)</w:t>
      </w:r>
      <w:r>
        <w:tab/>
        <w:t xml:space="preserve">direct a party to serve on the other parties, at times set by the case manager making the direction, a signed </w:t>
      </w:r>
      <w:r>
        <w:lastRenderedPageBreak/>
        <w:t>written statement of the proposed evidence in chief of each witness to be called by that party;</w:t>
      </w:r>
    </w:p>
    <w:p w:rsidR="00425758" w:rsidRDefault="00425758">
      <w:pPr>
        <w:pStyle w:val="Indenta"/>
      </w:pPr>
      <w:r>
        <w:tab/>
        <w:t>(t)</w:t>
      </w:r>
      <w:r>
        <w:tab/>
        <w:t>direct that a signed written statement referred to in paragraph (s) or any part of it stand as the evidence in chief of the witness;</w:t>
      </w:r>
    </w:p>
    <w:p w:rsidR="00425758" w:rsidRDefault="00425758">
      <w:pPr>
        <w:pStyle w:val="Indenta"/>
      </w:pPr>
      <w:r>
        <w:tab/>
        <w:t>(u)</w:t>
      </w:r>
      <w:r>
        <w:tab/>
        <w:t>change the venue of the trial, or adjourn the trial part heard to continue at a different venue;</w:t>
      </w:r>
    </w:p>
    <w:p w:rsidR="00425758" w:rsidRDefault="00425758">
      <w:pPr>
        <w:pStyle w:val="Indenta"/>
      </w:pPr>
      <w:r>
        <w:tab/>
        <w:t>(v)</w:t>
      </w:r>
      <w:r>
        <w:tab/>
        <w:t>in exceptional circumstances, direct that an application made by a party under this Order operate as a stay of proceedings;</w:t>
      </w:r>
    </w:p>
    <w:p w:rsidR="00425758" w:rsidRDefault="00425758">
      <w:pPr>
        <w:pStyle w:val="Indenta"/>
      </w:pPr>
      <w:r>
        <w:tab/>
        <w:t>(w)</w:t>
      </w:r>
      <w:r>
        <w:tab/>
        <w:t>in exceptional circumstances or if not to do so would frustrate the appeal, direct that an appeal against a decision made under this Order by a registrar operate as a stay of proceedings;</w:t>
      </w:r>
    </w:p>
    <w:p w:rsidR="00425758" w:rsidRDefault="00425758">
      <w:pPr>
        <w:pStyle w:val="Indenta"/>
      </w:pPr>
      <w:r>
        <w:tab/>
        <w:t>(x)</w:t>
      </w:r>
      <w:r>
        <w:tab/>
        <w:t>give directions as to the manner in which the parties are to defray the costs of giving effect to any case management direction;</w:t>
      </w:r>
    </w:p>
    <w:p w:rsidR="00425758" w:rsidRDefault="00425758">
      <w:pPr>
        <w:pStyle w:val="Indenta"/>
      </w:pPr>
      <w:r>
        <w:tab/>
        <w:t>(y)</w:t>
      </w:r>
      <w:r>
        <w:tab/>
        <w:t>direct that a specified case management direction be complied with by a set date;</w:t>
      </w:r>
    </w:p>
    <w:p w:rsidR="00425758" w:rsidRDefault="00425758">
      <w:pPr>
        <w:pStyle w:val="Indenta"/>
      </w:pPr>
      <w:r>
        <w:tab/>
        <w:t>(z)</w:t>
      </w:r>
      <w:r>
        <w:tab/>
        <w:t>direct that a referee give the Court a report on any question or issue of fact.</w:t>
      </w:r>
    </w:p>
    <w:p w:rsidR="00425758" w:rsidRDefault="00425758">
      <w:pPr>
        <w:pStyle w:val="Subsection"/>
      </w:pPr>
      <w:r>
        <w:tab/>
        <w:t>(3)</w:t>
      </w:r>
      <w:r>
        <w:tab/>
        <w:t xml:space="preserve">A case management direction may — </w:t>
      </w:r>
    </w:p>
    <w:p w:rsidR="00425758" w:rsidRDefault="00425758">
      <w:pPr>
        <w:pStyle w:val="Indenta"/>
      </w:pPr>
      <w:r>
        <w:tab/>
        <w:t>(a)</w:t>
      </w:r>
      <w:r>
        <w:tab/>
        <w:t>include any ancillary direction that is needed for the purpose of the direction; and</w:t>
      </w:r>
    </w:p>
    <w:p w:rsidR="00425758" w:rsidRDefault="00425758">
      <w:pPr>
        <w:pStyle w:val="Indenta"/>
      </w:pPr>
      <w:r>
        <w:tab/>
        <w:t>(b)</w:t>
      </w:r>
      <w:r>
        <w:tab/>
        <w:t>amend or cancel another case management direction.</w:t>
      </w:r>
    </w:p>
    <w:p w:rsidR="00425758" w:rsidRDefault="00425758">
      <w:pPr>
        <w:pStyle w:val="Ednotesubsection"/>
      </w:pPr>
      <w:r>
        <w:tab/>
        <w:t>[(4)</w:t>
      </w:r>
      <w:r>
        <w:tab/>
        <w:t>deleted]</w:t>
      </w:r>
    </w:p>
    <w:p w:rsidR="00425758" w:rsidRDefault="00425758">
      <w:pPr>
        <w:pStyle w:val="Subsection"/>
      </w:pPr>
      <w:r>
        <w:tab/>
        <w:t>(5)</w:t>
      </w:r>
      <w:r>
        <w:tab/>
        <w:t>A case management direction must not, without the consent of the parties, direct that a conference take place where a party would become liable to remunerate a mediator.</w:t>
      </w:r>
    </w:p>
    <w:p w:rsidR="00425758" w:rsidRDefault="00425758">
      <w:pPr>
        <w:pStyle w:val="Subsection"/>
      </w:pPr>
      <w:r>
        <w:tab/>
        <w:t>(6)</w:t>
      </w:r>
      <w:r>
        <w:tab/>
        <w:t xml:space="preserve">For the purpose of deciding whether to make a direction for the purposes of Order 36A rule 1, the case manager may inspect any report or document containing expert evidence or the substance </w:t>
      </w:r>
      <w:r>
        <w:lastRenderedPageBreak/>
        <w:t>of the expert evidence, with or without disclosing the contents of that report or document to any other party.</w:t>
      </w:r>
    </w:p>
    <w:p w:rsidR="00425758" w:rsidRDefault="00425758">
      <w:pPr>
        <w:pStyle w:val="Footnotesection"/>
      </w:pPr>
      <w:r>
        <w:tab/>
        <w:t>[Rule 2 inserted: Gazette 28 Jul 2010 p. 3441-6; amended: Gazette 13 Nov 2015 p. 4644; 16 Aug 2017 p. 4393</w:t>
      </w:r>
      <w:r>
        <w:noBreakHyphen/>
        <w:t>4.]</w:t>
      </w:r>
    </w:p>
    <w:p w:rsidR="00425758" w:rsidRDefault="00425758">
      <w:pPr>
        <w:pStyle w:val="Heading5"/>
      </w:pPr>
      <w:bookmarkStart w:id="36" w:name="_Toc75862747"/>
      <w:r>
        <w:rPr>
          <w:rStyle w:val="CharSectno"/>
        </w:rPr>
        <w:t>3</w:t>
      </w:r>
      <w:r>
        <w:t>.</w:t>
      </w:r>
      <w:r>
        <w:tab/>
        <w:t>Term used: enforcement order</w:t>
      </w:r>
      <w:bookmarkEnd w:id="36"/>
    </w:p>
    <w:p w:rsidR="00425758" w:rsidRDefault="00425758">
      <w:pPr>
        <w:pStyle w:val="Subsection"/>
      </w:pPr>
      <w:r>
        <w:tab/>
      </w:r>
      <w:r>
        <w:tab/>
        <w:t>An enforcement order is —</w:t>
      </w:r>
    </w:p>
    <w:p w:rsidR="00425758" w:rsidRDefault="00425758">
      <w:pPr>
        <w:pStyle w:val="Indenta"/>
      </w:pPr>
      <w:r>
        <w:tab/>
        <w:t>(a)</w:t>
      </w:r>
      <w:r>
        <w:tab/>
        <w:t>an order as to the payment of costs;</w:t>
      </w:r>
    </w:p>
    <w:p w:rsidR="00425758" w:rsidRDefault="00425758">
      <w:pPr>
        <w:pStyle w:val="Indenta"/>
      </w:pPr>
      <w:r>
        <w:tab/>
        <w:t>(b)</w:t>
      </w:r>
      <w:r>
        <w:tab/>
        <w:t>an order as to the payment of costs of the parties on an indemnity basis, to be fixed in a manner specified in the order, and payable within 14 days after the date of the order;</w:t>
      </w:r>
    </w:p>
    <w:p w:rsidR="00425758" w:rsidRDefault="00425758">
      <w:pPr>
        <w:pStyle w:val="Indenta"/>
      </w:pPr>
      <w:r>
        <w:tab/>
        <w:t>(c)</w:t>
      </w:r>
      <w:r>
        <w:tab/>
        <w:t>a self</w:t>
      </w:r>
      <w:r>
        <w:noBreakHyphen/>
        <w:t>executing order for judgment, striking out pleadings or otherwise;</w:t>
      </w:r>
    </w:p>
    <w:p w:rsidR="00425758" w:rsidRDefault="00425758">
      <w:pPr>
        <w:pStyle w:val="Indenta"/>
      </w:pPr>
      <w:r>
        <w:tab/>
        <w:t>(d)</w:t>
      </w:r>
      <w:r>
        <w:tab/>
        <w:t>an order under Order 66 rule 5.</w:t>
      </w:r>
    </w:p>
    <w:p w:rsidR="00425758" w:rsidRDefault="00425758">
      <w:pPr>
        <w:pStyle w:val="Footnotesection"/>
      </w:pPr>
      <w:r>
        <w:tab/>
        <w:t>[Rule 3 inserted: Gazette 28 Jul 2010 p. 3446.]</w:t>
      </w:r>
    </w:p>
    <w:p w:rsidR="00425758" w:rsidRDefault="00425758">
      <w:pPr>
        <w:pStyle w:val="Heading5"/>
      </w:pPr>
      <w:bookmarkStart w:id="37" w:name="_Toc75862748"/>
      <w:r>
        <w:rPr>
          <w:rStyle w:val="CharSectno"/>
        </w:rPr>
        <w:t>4</w:t>
      </w:r>
      <w:r>
        <w:t>.</w:t>
      </w:r>
      <w:r>
        <w:tab/>
        <w:t>Inconsistencies with other rules</w:t>
      </w:r>
      <w:bookmarkEnd w:id="37"/>
    </w:p>
    <w:p w:rsidR="00425758" w:rsidRDefault="00425758">
      <w:pPr>
        <w:pStyle w:val="Subsection"/>
      </w:pPr>
      <w:r>
        <w:tab/>
      </w:r>
      <w:r>
        <w:tab/>
        <w:t xml:space="preserve">If a provision in this Order is inconsistent with these rules or the </w:t>
      </w:r>
      <w:r>
        <w:rPr>
          <w:i/>
        </w:rPr>
        <w:t>Supreme Court (Corporations) (WA) Rules 2004</w:t>
      </w:r>
      <w:r>
        <w:t>, the provision in this Order prevails.</w:t>
      </w:r>
    </w:p>
    <w:p w:rsidR="00425758" w:rsidRDefault="00425758">
      <w:pPr>
        <w:pStyle w:val="Footnotesection"/>
      </w:pPr>
      <w:r>
        <w:tab/>
        <w:t>[Rule 4 inserted: Gazette 28 Jul 2010 p. 3446.]</w:t>
      </w:r>
    </w:p>
    <w:p w:rsidR="00425758" w:rsidRDefault="00425758">
      <w:pPr>
        <w:pStyle w:val="Heading3"/>
      </w:pPr>
      <w:bookmarkStart w:id="38" w:name="_Toc75511653"/>
      <w:bookmarkStart w:id="39" w:name="_Toc75862749"/>
      <w:r>
        <w:rPr>
          <w:rStyle w:val="CharDivNo"/>
        </w:rPr>
        <w:t>Division 2</w:t>
      </w:r>
      <w:r>
        <w:t> — </w:t>
      </w:r>
      <w:r>
        <w:rPr>
          <w:rStyle w:val="CharDivText"/>
        </w:rPr>
        <w:t>Provisions applicable to all cases</w:t>
      </w:r>
      <w:bookmarkEnd w:id="38"/>
      <w:bookmarkEnd w:id="39"/>
    </w:p>
    <w:p w:rsidR="00425758" w:rsidRDefault="00425758">
      <w:pPr>
        <w:pStyle w:val="Footnoteheading"/>
      </w:pPr>
      <w:r>
        <w:tab/>
        <w:t>[Heading inserted: Gazette 28 Jul 2010 p. 3446.]</w:t>
      </w:r>
    </w:p>
    <w:p w:rsidR="00425758" w:rsidRDefault="00425758">
      <w:pPr>
        <w:pStyle w:val="Heading5"/>
      </w:pPr>
      <w:bookmarkStart w:id="40" w:name="_Toc75862750"/>
      <w:r>
        <w:rPr>
          <w:rStyle w:val="CharSectno"/>
        </w:rPr>
        <w:t>4A</w:t>
      </w:r>
      <w:r>
        <w:t>.</w:t>
      </w:r>
      <w:r>
        <w:tab/>
        <w:t>Case management conferences</w:t>
      </w:r>
      <w:bookmarkEnd w:id="40"/>
    </w:p>
    <w:p w:rsidR="00425758" w:rsidRDefault="00425758">
      <w:pPr>
        <w:pStyle w:val="Subsection"/>
      </w:pPr>
      <w:r>
        <w:tab/>
      </w:r>
      <w:r>
        <w:tab/>
        <w:t xml:space="preserve">An interlocutory application or matter, a review under rule 5 and a request by a party (including a request by a party under rule 5A) must be dealt with by way of a case management conference unless — </w:t>
      </w:r>
    </w:p>
    <w:p w:rsidR="00425758" w:rsidRDefault="00425758">
      <w:pPr>
        <w:pStyle w:val="Indenta"/>
      </w:pPr>
      <w:r>
        <w:tab/>
        <w:t>(a)</w:t>
      </w:r>
      <w:r>
        <w:tab/>
        <w:t>the case manager directs otherwise; or</w:t>
      </w:r>
    </w:p>
    <w:p w:rsidR="00425758" w:rsidRDefault="00425758">
      <w:pPr>
        <w:pStyle w:val="Indenta"/>
      </w:pPr>
      <w:r>
        <w:lastRenderedPageBreak/>
        <w:tab/>
        <w:t>(b)</w:t>
      </w:r>
      <w:r>
        <w:tab/>
        <w:t>a decision is made in relation to the application, matter, review or request on the basis of documents filed without requiring the parties or their practitioners to attend a hearing.</w:t>
      </w:r>
    </w:p>
    <w:p w:rsidR="00425758" w:rsidRDefault="00425758">
      <w:pPr>
        <w:pStyle w:val="Footnotesection"/>
      </w:pPr>
      <w:r>
        <w:tab/>
        <w:t>[Rule 4A inserted: Gazette 16 Aug 2017 p. 4394.]</w:t>
      </w:r>
    </w:p>
    <w:p w:rsidR="00425758" w:rsidRDefault="00425758">
      <w:pPr>
        <w:pStyle w:val="Heading5"/>
      </w:pPr>
      <w:bookmarkStart w:id="41" w:name="_Toc75862751"/>
      <w:r>
        <w:rPr>
          <w:rStyle w:val="CharSectno"/>
        </w:rPr>
        <w:t>5</w:t>
      </w:r>
      <w:r>
        <w:t>.</w:t>
      </w:r>
      <w:r>
        <w:tab/>
        <w:t>Case manager may review case at any time</w:t>
      </w:r>
      <w:bookmarkEnd w:id="41"/>
    </w:p>
    <w:p w:rsidR="00425758" w:rsidRDefault="00425758">
      <w:pPr>
        <w:pStyle w:val="Subsection"/>
      </w:pPr>
      <w:r>
        <w:tab/>
        <w:t>(1)</w:t>
      </w:r>
      <w:r>
        <w:tab/>
        <w:t>The case manager for a case may review the progress of the case —</w:t>
      </w:r>
    </w:p>
    <w:p w:rsidR="00425758" w:rsidRDefault="00425758">
      <w:pPr>
        <w:pStyle w:val="Indenta"/>
      </w:pPr>
      <w:r>
        <w:tab/>
        <w:t>(a)</w:t>
      </w:r>
      <w:r>
        <w:tab/>
        <w:t>at any time in the case, on the case manager’s own initiative after notifying the parties; or</w:t>
      </w:r>
    </w:p>
    <w:p w:rsidR="00425758" w:rsidRDefault="00425758">
      <w:pPr>
        <w:pStyle w:val="Indenta"/>
      </w:pPr>
      <w:r>
        <w:tab/>
        <w:t>(b)</w:t>
      </w:r>
      <w:r>
        <w:tab/>
        <w:t xml:space="preserve">when hearing a request by a party (including a request by a party under rule 5A); or </w:t>
      </w:r>
    </w:p>
    <w:p w:rsidR="00425758" w:rsidRDefault="00425758">
      <w:pPr>
        <w:pStyle w:val="Indenta"/>
      </w:pPr>
      <w:r>
        <w:tab/>
        <w:t>(c)</w:t>
      </w:r>
      <w:r>
        <w:tab/>
        <w:t>when hearing any other application in the case.</w:t>
      </w:r>
    </w:p>
    <w:p w:rsidR="00425758" w:rsidRDefault="00425758">
      <w:pPr>
        <w:pStyle w:val="Subsection"/>
      </w:pPr>
      <w:r>
        <w:tab/>
        <w:t>(2)</w:t>
      </w:r>
      <w:r>
        <w:tab/>
        <w:t>On the review, the case manager may do all or any of the following —</w:t>
      </w:r>
    </w:p>
    <w:p w:rsidR="00425758" w:rsidRDefault="00425758">
      <w:pPr>
        <w:pStyle w:val="Indenta"/>
      </w:pPr>
      <w:r>
        <w:tab/>
        <w:t>(a)</w:t>
      </w:r>
      <w:r>
        <w:tab/>
        <w:t>make any interlocutory order the case manager considers just;</w:t>
      </w:r>
    </w:p>
    <w:p w:rsidR="00425758" w:rsidRDefault="00425758">
      <w:pPr>
        <w:pStyle w:val="Indenta"/>
      </w:pPr>
      <w:r>
        <w:tab/>
        <w:t>(b)</w:t>
      </w:r>
      <w:r>
        <w:tab/>
        <w:t>make any case management direction the case manager considers just;</w:t>
      </w:r>
    </w:p>
    <w:p w:rsidR="00425758" w:rsidRDefault="00425758">
      <w:pPr>
        <w:pStyle w:val="Indenta"/>
      </w:pPr>
      <w:r>
        <w:tab/>
        <w:t>(c)</w:t>
      </w:r>
      <w:r>
        <w:tab/>
        <w:t>make any enforcement order the case manager considers just.</w:t>
      </w:r>
    </w:p>
    <w:p w:rsidR="00425758" w:rsidRDefault="00425758">
      <w:pPr>
        <w:pStyle w:val="Subsection"/>
      </w:pPr>
      <w:r>
        <w:tab/>
        <w:t>(3)</w:t>
      </w:r>
      <w:r>
        <w:tab/>
        <w:t>For the purposes of subrule (1)(a), the case manager may at any time direct all or any of the parties to a case to attend before the case manager.</w:t>
      </w:r>
    </w:p>
    <w:p w:rsidR="00425758" w:rsidRDefault="00425758">
      <w:pPr>
        <w:pStyle w:val="Subsection"/>
      </w:pPr>
      <w:r>
        <w:tab/>
        <w:t>(4)</w:t>
      </w:r>
      <w:r>
        <w:tab/>
        <w:t>If the case manager is a master, subrules (1) and (2) are subject to Order 60 rule 1(3) and (4).</w:t>
      </w:r>
    </w:p>
    <w:p w:rsidR="00425758" w:rsidRDefault="00425758">
      <w:pPr>
        <w:pStyle w:val="Subsection"/>
      </w:pPr>
      <w:r>
        <w:tab/>
        <w:t>(5)</w:t>
      </w:r>
      <w:r>
        <w:tab/>
        <w:t>If the case manager is a registrar, subrules (1) and (2) are subject to Order 60A rule 2(2), (3) and (4).</w:t>
      </w:r>
    </w:p>
    <w:p w:rsidR="00425758" w:rsidRDefault="00425758">
      <w:pPr>
        <w:pStyle w:val="Footnotesection"/>
      </w:pPr>
      <w:r>
        <w:tab/>
        <w:t>[Rule 5 inserted: Gazette 16 Aug 2017 p. 4394</w:t>
      </w:r>
      <w:r>
        <w:noBreakHyphen/>
        <w:t>5.]</w:t>
      </w:r>
    </w:p>
    <w:p w:rsidR="00425758" w:rsidRDefault="00425758">
      <w:pPr>
        <w:pStyle w:val="Heading5"/>
      </w:pPr>
      <w:bookmarkStart w:id="42" w:name="_Toc75862752"/>
      <w:r>
        <w:rPr>
          <w:rStyle w:val="CharSectno"/>
        </w:rPr>
        <w:lastRenderedPageBreak/>
        <w:t>5A</w:t>
      </w:r>
      <w:r>
        <w:t>.</w:t>
      </w:r>
      <w:r>
        <w:tab/>
        <w:t>Requesting interlocutory orders and case management directions</w:t>
      </w:r>
      <w:bookmarkEnd w:id="42"/>
    </w:p>
    <w:p w:rsidR="00425758" w:rsidRDefault="00425758">
      <w:pPr>
        <w:pStyle w:val="Subsection"/>
      </w:pPr>
      <w:r>
        <w:tab/>
        <w:t>(1)</w:t>
      </w:r>
      <w:r>
        <w:tab/>
        <w:t xml:space="preserve">A party to a case may at any time request the case manager to do any of the following — </w:t>
      </w:r>
    </w:p>
    <w:p w:rsidR="00425758" w:rsidRDefault="00425758">
      <w:pPr>
        <w:pStyle w:val="Indenta"/>
      </w:pPr>
      <w:r>
        <w:tab/>
        <w:t>(a)</w:t>
      </w:r>
      <w:r>
        <w:tab/>
        <w:t>make an interlocutory order that the case manager has jurisdiction to make;</w:t>
      </w:r>
    </w:p>
    <w:p w:rsidR="00425758" w:rsidRDefault="00425758">
      <w:pPr>
        <w:pStyle w:val="Indenta"/>
      </w:pPr>
      <w:r>
        <w:tab/>
        <w:t>(b)</w:t>
      </w:r>
      <w:r>
        <w:tab/>
        <w:t>make, cancel or amend a case management direction.</w:t>
      </w:r>
    </w:p>
    <w:p w:rsidR="00425758" w:rsidRDefault="00425758">
      <w:pPr>
        <w:pStyle w:val="Subsection"/>
      </w:pPr>
      <w:r>
        <w:tab/>
        <w:t>(2)</w:t>
      </w:r>
      <w:r>
        <w:tab/>
        <w:t xml:space="preserve">The party must make the request by way of a letter to the case manager in accordance with rule 5B(1) and (2) unless — </w:t>
      </w:r>
    </w:p>
    <w:p w:rsidR="00425758" w:rsidRDefault="00425758">
      <w:pPr>
        <w:pStyle w:val="Indenta"/>
      </w:pPr>
      <w:r>
        <w:tab/>
        <w:t>(a)</w:t>
      </w:r>
      <w:r>
        <w:tab/>
        <w:t>the request is made orally either during a case management conference or during a hearing; or</w:t>
      </w:r>
    </w:p>
    <w:p w:rsidR="00425758" w:rsidRDefault="00425758">
      <w:pPr>
        <w:pStyle w:val="Indenta"/>
      </w:pPr>
      <w:r>
        <w:tab/>
        <w:t>(b)</w:t>
      </w:r>
      <w:r>
        <w:tab/>
        <w:t>a motion or summons is justified by the circumstances of the particular case or the nature of the request, in which case the request may be made by way of motion or summons; or</w:t>
      </w:r>
    </w:p>
    <w:p w:rsidR="00425758" w:rsidRDefault="00425758">
      <w:pPr>
        <w:pStyle w:val="Indenta"/>
      </w:pPr>
      <w:r>
        <w:tab/>
        <w:t>(c)</w:t>
      </w:r>
      <w:r>
        <w:tab/>
        <w:t xml:space="preserve">the </w:t>
      </w:r>
      <w:r>
        <w:rPr>
          <w:i/>
        </w:rPr>
        <w:t>Supreme Court (Corporations) (WA) Rules 2004</w:t>
      </w:r>
      <w:r>
        <w:t xml:space="preserve"> apply to the case, in which case the request must be made under those rules; or</w:t>
      </w:r>
    </w:p>
    <w:p w:rsidR="00425758" w:rsidRDefault="00425758">
      <w:pPr>
        <w:pStyle w:val="Indenta"/>
      </w:pPr>
      <w:r>
        <w:tab/>
        <w:t>(d)</w:t>
      </w:r>
      <w:r>
        <w:tab/>
        <w:t>a form, prescribed under a written law, is specific to the nature of the request, in which case the request must be made in that form.</w:t>
      </w:r>
    </w:p>
    <w:p w:rsidR="00425758" w:rsidRDefault="00425758">
      <w:pPr>
        <w:pStyle w:val="Subsection"/>
      </w:pPr>
      <w:r>
        <w:tab/>
        <w:t>(3)</w:t>
      </w:r>
      <w:r>
        <w:tab/>
        <w:t>The case manager may by notice, direct the parties to attend a case management conference or a hearing to consider the request.</w:t>
      </w:r>
    </w:p>
    <w:p w:rsidR="00425758" w:rsidRDefault="00425758">
      <w:pPr>
        <w:pStyle w:val="Footnotesection"/>
      </w:pPr>
      <w:r>
        <w:tab/>
        <w:t>[Rule 5A inserted: Gazette 16 Aug 2017 p. 4395</w:t>
      </w:r>
      <w:r>
        <w:noBreakHyphen/>
        <w:t>6.]</w:t>
      </w:r>
    </w:p>
    <w:p w:rsidR="00425758" w:rsidRDefault="00425758">
      <w:pPr>
        <w:pStyle w:val="Heading5"/>
      </w:pPr>
      <w:bookmarkStart w:id="43" w:name="_Toc75862753"/>
      <w:r>
        <w:rPr>
          <w:rStyle w:val="CharSectno"/>
        </w:rPr>
        <w:t>5B</w:t>
      </w:r>
      <w:r>
        <w:t>.</w:t>
      </w:r>
      <w:r>
        <w:tab/>
        <w:t>Request under r. 5A by letter</w:t>
      </w:r>
      <w:bookmarkEnd w:id="43"/>
      <w:r>
        <w:t xml:space="preserve"> </w:t>
      </w:r>
    </w:p>
    <w:p w:rsidR="00425758" w:rsidRDefault="00425758">
      <w:pPr>
        <w:pStyle w:val="Subsection"/>
      </w:pPr>
      <w:r>
        <w:tab/>
        <w:t>(1)</w:t>
      </w:r>
      <w:r>
        <w:tab/>
        <w:t>A party making a request under rule 5A by way of a letter must —</w:t>
      </w:r>
    </w:p>
    <w:p w:rsidR="00425758" w:rsidRDefault="00425758">
      <w:pPr>
        <w:pStyle w:val="Indenta"/>
      </w:pPr>
      <w:r>
        <w:tab/>
        <w:t>(a)</w:t>
      </w:r>
      <w:r>
        <w:tab/>
        <w:t xml:space="preserve">file the letter and any attachments; and </w:t>
      </w:r>
    </w:p>
    <w:p w:rsidR="00425758" w:rsidRDefault="00425758">
      <w:pPr>
        <w:pStyle w:val="Indenta"/>
      </w:pPr>
      <w:r>
        <w:lastRenderedPageBreak/>
        <w:tab/>
        <w:t>(b)</w:t>
      </w:r>
      <w:r>
        <w:tab/>
        <w:t>set out in the letter details of any order or direction sought or file with the letter as an attachment a minute in Form 78 of any order sought; and</w:t>
      </w:r>
    </w:p>
    <w:p w:rsidR="00425758" w:rsidRDefault="00425758">
      <w:pPr>
        <w:pStyle w:val="Indenta"/>
      </w:pPr>
      <w:r>
        <w:tab/>
        <w:t>(c)</w:t>
      </w:r>
      <w:r>
        <w:tab/>
        <w:t>file with the letter as an attachment any other relevant document; and</w:t>
      </w:r>
    </w:p>
    <w:p w:rsidR="00425758" w:rsidRDefault="00425758">
      <w:pPr>
        <w:pStyle w:val="Indenta"/>
      </w:pPr>
      <w:r>
        <w:tab/>
        <w:t>(d)</w:t>
      </w:r>
      <w:r>
        <w:tab/>
        <w:t>email a copy of the letter and the attachments to the associate to the case manager, or if the case manager is not known, to the associate to the Principal Registrar; and</w:t>
      </w:r>
    </w:p>
    <w:p w:rsidR="00425758" w:rsidRDefault="00425758">
      <w:pPr>
        <w:pStyle w:val="Indenta"/>
      </w:pPr>
      <w:r>
        <w:tab/>
        <w:t>(e)</w:t>
      </w:r>
      <w:r>
        <w:tab/>
        <w:t>give a copy of the letter and the attachments to the other parties.</w:t>
      </w:r>
    </w:p>
    <w:p w:rsidR="00425758" w:rsidRDefault="00425758">
      <w:pPr>
        <w:pStyle w:val="Subsection"/>
      </w:pPr>
      <w:r>
        <w:tab/>
        <w:t>(2)</w:t>
      </w:r>
      <w:r>
        <w:tab/>
        <w:t>A party must comply with subrule (1) not less than 2 clear days before the case manager is requested to act upon the request.</w:t>
      </w:r>
    </w:p>
    <w:p w:rsidR="00425758" w:rsidRDefault="00425758">
      <w:pPr>
        <w:pStyle w:val="Subsection"/>
      </w:pPr>
      <w:r>
        <w:tab/>
        <w:t>(3)</w:t>
      </w:r>
      <w:r>
        <w:tab/>
        <w:t>A party who fails to comply with subrule (1) or (2) in relation to a letter, attachment or other document cannot, without the case manager’s leave, refer to or rely on the document —</w:t>
      </w:r>
    </w:p>
    <w:p w:rsidR="00425758" w:rsidRDefault="00425758">
      <w:pPr>
        <w:pStyle w:val="Indenta"/>
      </w:pPr>
      <w:r>
        <w:tab/>
        <w:t>(a)</w:t>
      </w:r>
      <w:r>
        <w:tab/>
        <w:t>in any hearing; or</w:t>
      </w:r>
    </w:p>
    <w:p w:rsidR="00425758" w:rsidRDefault="00425758">
      <w:pPr>
        <w:pStyle w:val="Indenta"/>
      </w:pPr>
      <w:r>
        <w:tab/>
        <w:t>(b)</w:t>
      </w:r>
      <w:r>
        <w:tab/>
        <w:t>in any other filed document.</w:t>
      </w:r>
    </w:p>
    <w:p w:rsidR="00425758" w:rsidRDefault="00425758">
      <w:pPr>
        <w:pStyle w:val="Subsection"/>
      </w:pPr>
      <w:r>
        <w:tab/>
        <w:t>(4)</w:t>
      </w:r>
      <w:r>
        <w:tab/>
        <w:t>If a party is given leave to refer to or rely on a document referred to in subrule (3), the party must file the document as soon as practicable after the leave is given.</w:t>
      </w:r>
    </w:p>
    <w:p w:rsidR="00425758" w:rsidRDefault="00425758">
      <w:pPr>
        <w:pStyle w:val="Subsection"/>
      </w:pPr>
      <w:r>
        <w:tab/>
        <w:t>(5)</w:t>
      </w:r>
      <w:r>
        <w:tab/>
        <w:t>Order 67A rule 2(4) and (5) do not apply to a party who fails to comply with subrule (1)(a).</w:t>
      </w:r>
    </w:p>
    <w:p w:rsidR="00425758" w:rsidRDefault="00425758">
      <w:pPr>
        <w:pStyle w:val="Subsection"/>
      </w:pPr>
      <w:r>
        <w:tab/>
        <w:t>(6)</w:t>
      </w:r>
      <w:r>
        <w:tab/>
        <w:t>The case manager may direct a party who has made a request by way of a letter to make the request in some other manner.</w:t>
      </w:r>
    </w:p>
    <w:p w:rsidR="00425758" w:rsidRDefault="00425758">
      <w:pPr>
        <w:pStyle w:val="Footnotesection"/>
      </w:pPr>
      <w:r>
        <w:tab/>
        <w:t>[Rule 5B inserted: Gazette 16 Aug 2017 p. 4396</w:t>
      </w:r>
      <w:r>
        <w:noBreakHyphen/>
        <w:t>7; amended: Gazette 27 Feb 2018 p. 553-4.]</w:t>
      </w:r>
    </w:p>
    <w:p w:rsidR="00425758" w:rsidRDefault="00425758">
      <w:pPr>
        <w:pStyle w:val="Heading5"/>
        <w:pageBreakBefore/>
        <w:spacing w:before="0"/>
      </w:pPr>
      <w:bookmarkStart w:id="44" w:name="_Toc75862754"/>
      <w:r>
        <w:rPr>
          <w:rStyle w:val="CharSectno"/>
        </w:rPr>
        <w:lastRenderedPageBreak/>
        <w:t>5C</w:t>
      </w:r>
      <w:r>
        <w:t>.</w:t>
      </w:r>
      <w:r>
        <w:tab/>
        <w:t>Request under r. 5A at case management conference or hearing</w:t>
      </w:r>
      <w:bookmarkEnd w:id="44"/>
    </w:p>
    <w:p w:rsidR="00425758" w:rsidRDefault="00425758">
      <w:pPr>
        <w:pStyle w:val="Subsection"/>
      </w:pPr>
      <w:r>
        <w:tab/>
      </w:r>
      <w:r>
        <w:tab/>
        <w:t xml:space="preserve">A party who seeks to refer to or rely on a document while making an oral request during a case management conference or a hearing referred to in rule 5A(2)(a) must — </w:t>
      </w:r>
    </w:p>
    <w:p w:rsidR="00425758" w:rsidRDefault="00425758">
      <w:pPr>
        <w:pStyle w:val="Indenta"/>
      </w:pPr>
      <w:r>
        <w:tab/>
        <w:t>(a)</w:t>
      </w:r>
      <w:r>
        <w:tab/>
        <w:t>if the document contains a proposed order or a direction, file the document as soon as practicable after the conference or hearing; and</w:t>
      </w:r>
    </w:p>
    <w:p w:rsidR="00425758" w:rsidRDefault="00425758">
      <w:pPr>
        <w:pStyle w:val="Indenta"/>
      </w:pPr>
      <w:r>
        <w:tab/>
        <w:t>(b)</w:t>
      </w:r>
      <w:r>
        <w:tab/>
        <w:t>if the document is required to be filed under these rules, comply with Order 67A Division 2 in relation to the document.</w:t>
      </w:r>
    </w:p>
    <w:p w:rsidR="00425758" w:rsidRDefault="00425758">
      <w:pPr>
        <w:pStyle w:val="Footnotesection"/>
      </w:pPr>
      <w:r>
        <w:tab/>
        <w:t>[Rule 5C inserted: Gazette 16 Aug 2017 p. 4397; amended: Gazette 27 Feb 2018 p. 554.]</w:t>
      </w:r>
    </w:p>
    <w:p w:rsidR="00425758" w:rsidRDefault="00425758">
      <w:pPr>
        <w:pStyle w:val="Heading5"/>
      </w:pPr>
      <w:bookmarkStart w:id="45" w:name="_Toc75862755"/>
      <w:r>
        <w:rPr>
          <w:rStyle w:val="CharSectno"/>
        </w:rPr>
        <w:t>6</w:t>
      </w:r>
      <w:r>
        <w:t>.</w:t>
      </w:r>
      <w:r>
        <w:tab/>
        <w:t>Timetables</w:t>
      </w:r>
      <w:bookmarkEnd w:id="45"/>
    </w:p>
    <w:p w:rsidR="00425758" w:rsidRDefault="00425758">
      <w:pPr>
        <w:pStyle w:val="Subsection"/>
      </w:pPr>
      <w:r>
        <w:tab/>
        <w:t>(1)</w:t>
      </w:r>
      <w:r>
        <w:tab/>
        <w:t>This rule applies if the case manager for a case directs the parties to the case to comply with a timetable for procedural steps that are needed in the case.</w:t>
      </w:r>
    </w:p>
    <w:p w:rsidR="00425758" w:rsidRDefault="00425758">
      <w:pPr>
        <w:pStyle w:val="Subsection"/>
      </w:pPr>
      <w:r>
        <w:tab/>
        <w:t>(2)</w:t>
      </w:r>
      <w:r>
        <w:tab/>
        <w:t>The case manager making the direction must set the timetable.</w:t>
      </w:r>
    </w:p>
    <w:p w:rsidR="00425758" w:rsidRDefault="00425758">
      <w:pPr>
        <w:pStyle w:val="Subsection"/>
      </w:pPr>
      <w:r>
        <w:tab/>
        <w:t>(3)</w:t>
      </w:r>
      <w:r>
        <w:tab/>
        <w:t>The case manager may do all or any of the following —</w:t>
      </w:r>
    </w:p>
    <w:p w:rsidR="00425758" w:rsidRDefault="00425758">
      <w:pPr>
        <w:pStyle w:val="Indenta"/>
      </w:pPr>
      <w:r>
        <w:tab/>
        <w:t>(a)</w:t>
      </w:r>
      <w:r>
        <w:tab/>
        <w:t>amend the timetable, whether on the case manager’s own initiative or on a party’s request;</w:t>
      </w:r>
    </w:p>
    <w:p w:rsidR="00425758" w:rsidRDefault="00425758">
      <w:pPr>
        <w:pStyle w:val="Indenta"/>
      </w:pPr>
      <w:r>
        <w:tab/>
        <w:t>(b)</w:t>
      </w:r>
      <w:r>
        <w:tab/>
        <w:t>at any time direct the parties to explain in writing why the timetable has not been complied with;</w:t>
      </w:r>
    </w:p>
    <w:p w:rsidR="00425758" w:rsidRDefault="00425758">
      <w:pPr>
        <w:pStyle w:val="Indenta"/>
      </w:pPr>
      <w:r>
        <w:tab/>
        <w:t>(c)</w:t>
      </w:r>
      <w:r>
        <w:tab/>
        <w:t>at any time, by notice, direct the parties to attend a hearing and explain why the timetable has not been complied with;</w:t>
      </w:r>
    </w:p>
    <w:p w:rsidR="00425758" w:rsidRDefault="00425758">
      <w:pPr>
        <w:pStyle w:val="Indenta"/>
      </w:pPr>
      <w:r>
        <w:tab/>
        <w:t>(d)</w:t>
      </w:r>
      <w:r>
        <w:tab/>
        <w:t>for the purposes of a hearing under paragraph (c), direct the parties to file an affidavit in response to the direction at any time that the case manager considers just;</w:t>
      </w:r>
    </w:p>
    <w:p w:rsidR="00425758" w:rsidRDefault="00425758">
      <w:pPr>
        <w:pStyle w:val="Indenta"/>
      </w:pPr>
      <w:r>
        <w:tab/>
        <w:t>(e)</w:t>
      </w:r>
      <w:r>
        <w:tab/>
        <w:t>after a hearing under paragraph (c) —</w:t>
      </w:r>
    </w:p>
    <w:p w:rsidR="00425758" w:rsidRDefault="00425758">
      <w:pPr>
        <w:pStyle w:val="Indenti"/>
      </w:pPr>
      <w:r>
        <w:tab/>
        <w:t>(i)</w:t>
      </w:r>
      <w:r>
        <w:tab/>
        <w:t>amend the timetable;</w:t>
      </w:r>
    </w:p>
    <w:p w:rsidR="00425758" w:rsidRDefault="00425758">
      <w:pPr>
        <w:pStyle w:val="Indenti"/>
      </w:pPr>
      <w:r>
        <w:lastRenderedPageBreak/>
        <w:tab/>
        <w:t>(ii)</w:t>
      </w:r>
      <w:r>
        <w:tab/>
        <w:t>make any case management direction the case manager considers just;</w:t>
      </w:r>
    </w:p>
    <w:p w:rsidR="00425758" w:rsidRDefault="00425758">
      <w:pPr>
        <w:pStyle w:val="Indenti"/>
      </w:pPr>
      <w:r>
        <w:tab/>
        <w:t>(iii)</w:t>
      </w:r>
      <w:r>
        <w:tab/>
        <w:t>make any enforcement order the case manager considers just;</w:t>
      </w:r>
    </w:p>
    <w:p w:rsidR="00425758" w:rsidRDefault="00425758">
      <w:pPr>
        <w:pStyle w:val="Indenta"/>
      </w:pPr>
      <w:r>
        <w:tab/>
        <w:t>(f)</w:t>
      </w:r>
      <w:r>
        <w:tab/>
        <w:t>if a party does not comply with the timetable, obey a direction under paragraph (c) or file an affidavit as directed, make any case management direction or enforcement order the case manager considers just.</w:t>
      </w:r>
    </w:p>
    <w:p w:rsidR="00425758" w:rsidRDefault="00425758">
      <w:pPr>
        <w:pStyle w:val="Subsection"/>
      </w:pPr>
      <w:r>
        <w:tab/>
        <w:t>(4)</w:t>
      </w:r>
      <w:r>
        <w:tab/>
        <w:t>If the case manager is a master, subrule (3)(e) and (f) are subject to Order 60 rule 1(3) and (4).</w:t>
      </w:r>
    </w:p>
    <w:p w:rsidR="00425758" w:rsidRDefault="00425758">
      <w:pPr>
        <w:pStyle w:val="Subsection"/>
      </w:pPr>
      <w:r>
        <w:tab/>
        <w:t>(5)</w:t>
      </w:r>
      <w:r>
        <w:tab/>
        <w:t>If the case manager is a registrar, subrule (3)(e) and (f) are subject to Order 60A rule 2(2), (3) and (4).</w:t>
      </w:r>
    </w:p>
    <w:p w:rsidR="00425758" w:rsidRDefault="00425758">
      <w:pPr>
        <w:pStyle w:val="Subsection"/>
      </w:pPr>
      <w:r>
        <w:tab/>
        <w:t>(6)</w:t>
      </w:r>
      <w:r>
        <w:tab/>
        <w:t xml:space="preserve">If a direction is made under subrule (3)(b), the parties and their practitioners must — </w:t>
      </w:r>
    </w:p>
    <w:p w:rsidR="00425758" w:rsidRDefault="00425758">
      <w:pPr>
        <w:pStyle w:val="Indenta"/>
      </w:pPr>
      <w:r>
        <w:tab/>
        <w:t>(a)</w:t>
      </w:r>
      <w:r>
        <w:tab/>
        <w:t xml:space="preserve">give the Court the explanation within the time specified in the direction; and </w:t>
      </w:r>
    </w:p>
    <w:p w:rsidR="00425758" w:rsidRDefault="00425758">
      <w:pPr>
        <w:pStyle w:val="Indenta"/>
      </w:pPr>
      <w:r>
        <w:tab/>
        <w:t>(b)</w:t>
      </w:r>
      <w:r>
        <w:tab/>
        <w:t>serve the explanation on each other party.</w:t>
      </w:r>
    </w:p>
    <w:p w:rsidR="00425758" w:rsidRDefault="00425758">
      <w:pPr>
        <w:pStyle w:val="Footnotesection"/>
      </w:pPr>
      <w:r>
        <w:tab/>
        <w:t>[Rule 6 inserted: Gazette 16 Aug 2017 p. 4397</w:t>
      </w:r>
      <w:r>
        <w:noBreakHyphen/>
        <w:t>9.]</w:t>
      </w:r>
    </w:p>
    <w:p w:rsidR="00425758" w:rsidRDefault="00425758">
      <w:pPr>
        <w:pStyle w:val="Heading5"/>
      </w:pPr>
      <w:bookmarkStart w:id="46" w:name="_Toc75862756"/>
      <w:r>
        <w:rPr>
          <w:rStyle w:val="CharSectno"/>
        </w:rPr>
        <w:t>7</w:t>
      </w:r>
      <w:r>
        <w:t>.</w:t>
      </w:r>
      <w:r>
        <w:tab/>
        <w:t>Attendance at proceedings under this Order</w:t>
      </w:r>
      <w:bookmarkEnd w:id="46"/>
    </w:p>
    <w:p w:rsidR="00425758" w:rsidRDefault="00425758">
      <w:pPr>
        <w:pStyle w:val="Subsection"/>
      </w:pPr>
      <w:r>
        <w:tab/>
        <w:t>(1)</w:t>
      </w:r>
      <w:r>
        <w:tab/>
        <w:t>A party who is represented by a practitioner need not attend a proceeding under this Order unless subpoenaed or directed to do so by the case manager.</w:t>
      </w:r>
    </w:p>
    <w:p w:rsidR="00425758" w:rsidRDefault="00425758">
      <w:pPr>
        <w:pStyle w:val="Subsection"/>
      </w:pPr>
      <w:r>
        <w:tab/>
        <w:t>(2)</w:t>
      </w:r>
      <w:r>
        <w:tab/>
        <w:t xml:space="preserve">Unless the case manager directs otherwise, subrule (1) does not apply to — </w:t>
      </w:r>
    </w:p>
    <w:p w:rsidR="00425758" w:rsidRDefault="00425758">
      <w:pPr>
        <w:pStyle w:val="Indenta"/>
      </w:pPr>
      <w:r>
        <w:tab/>
        <w:t>(a)</w:t>
      </w:r>
      <w:r>
        <w:tab/>
        <w:t>a conference conducted by a mediator under rule 8; or</w:t>
      </w:r>
    </w:p>
    <w:p w:rsidR="00425758" w:rsidRDefault="00425758">
      <w:pPr>
        <w:pStyle w:val="Indenta"/>
      </w:pPr>
      <w:r>
        <w:tab/>
        <w:t>(b)</w:t>
      </w:r>
      <w:r>
        <w:tab/>
        <w:t xml:space="preserve">a strategic conference held under rule 14A; or </w:t>
      </w:r>
    </w:p>
    <w:p w:rsidR="00425758" w:rsidRDefault="00425758">
      <w:pPr>
        <w:pStyle w:val="Indenta"/>
      </w:pPr>
      <w:r>
        <w:tab/>
        <w:t>(c)</w:t>
      </w:r>
      <w:r>
        <w:tab/>
        <w:t>the first case management conference for the case referred to in rule 18(1).</w:t>
      </w:r>
    </w:p>
    <w:p w:rsidR="00425758" w:rsidRDefault="00425758">
      <w:pPr>
        <w:pStyle w:val="Subsection"/>
      </w:pPr>
      <w:r>
        <w:tab/>
        <w:t>(3)</w:t>
      </w:r>
      <w:r>
        <w:tab/>
        <w:t xml:space="preserve">If there is no practitioner on the record for a party that is a body corporate, the case manager presiding at a proceeding under this </w:t>
      </w:r>
      <w:r>
        <w:lastRenderedPageBreak/>
        <w:t>Order may permit a person who is not a practitioner to represent the party.</w:t>
      </w:r>
    </w:p>
    <w:p w:rsidR="00425758" w:rsidRDefault="00425758">
      <w:pPr>
        <w:pStyle w:val="Footnotesection"/>
      </w:pPr>
      <w:r>
        <w:tab/>
        <w:t>[Rule 7 inserted: Gazette 16 Aug 2017 p. 4399.]</w:t>
      </w:r>
    </w:p>
    <w:p w:rsidR="00425758" w:rsidRDefault="00425758">
      <w:pPr>
        <w:pStyle w:val="Heading5"/>
      </w:pPr>
      <w:bookmarkStart w:id="47" w:name="_Toc75862757"/>
      <w:r>
        <w:rPr>
          <w:rStyle w:val="CharSectno"/>
        </w:rPr>
        <w:t>8</w:t>
      </w:r>
      <w:r>
        <w:t>.</w:t>
      </w:r>
      <w:r>
        <w:tab/>
        <w:t>Conferences of parties with mediator</w:t>
      </w:r>
      <w:bookmarkEnd w:id="47"/>
    </w:p>
    <w:p w:rsidR="00425758" w:rsidRDefault="00425758">
      <w:pPr>
        <w:pStyle w:val="Subsection"/>
      </w:pPr>
      <w:r>
        <w:tab/>
        <w:t>(1)</w:t>
      </w:r>
      <w:r>
        <w:tab/>
        <w:t>The case manager for a case may, by notice, direct that a conference conducted by a mediator be held for the case.</w:t>
      </w:r>
    </w:p>
    <w:p w:rsidR="00425758" w:rsidRDefault="00425758">
      <w:pPr>
        <w:pStyle w:val="Subsection"/>
      </w:pPr>
      <w:r>
        <w:tab/>
        <w:t>(2)</w:t>
      </w:r>
      <w:r>
        <w:tab/>
        <w:t>The case manager must direct whether the mediator is to be an approved mediator or some other person.</w:t>
      </w:r>
    </w:p>
    <w:p w:rsidR="00425758" w:rsidRDefault="00425758">
      <w:pPr>
        <w:pStyle w:val="Subsection"/>
      </w:pPr>
      <w:r>
        <w:tab/>
        <w:t>(3)</w:t>
      </w:r>
      <w:r>
        <w:tab/>
        <w:t>The case manager must not direct that the mediator is to be a person who is not an approved mediator unless the parties consent.</w:t>
      </w:r>
    </w:p>
    <w:p w:rsidR="00425758" w:rsidRDefault="00425758">
      <w:pPr>
        <w:pStyle w:val="Subsection"/>
      </w:pPr>
      <w:r>
        <w:tab/>
        <w:t>(3A)</w:t>
      </w:r>
      <w:r>
        <w:tab/>
        <w:t xml:space="preserve">The following persons must attend the conference unless the mediator or the case manager directs otherwise — </w:t>
      </w:r>
    </w:p>
    <w:p w:rsidR="00425758" w:rsidRDefault="00425758">
      <w:pPr>
        <w:pStyle w:val="Indenta"/>
      </w:pPr>
      <w:r>
        <w:tab/>
        <w:t>(a)</w:t>
      </w:r>
      <w:r>
        <w:tab/>
        <w:t xml:space="preserve">each party to the case; </w:t>
      </w:r>
    </w:p>
    <w:p w:rsidR="00425758" w:rsidRDefault="00425758">
      <w:pPr>
        <w:pStyle w:val="Indenta"/>
      </w:pPr>
      <w:r>
        <w:tab/>
        <w:t>(b)</w:t>
      </w:r>
      <w:r>
        <w:tab/>
        <w:t>if a party is represented by a practitioner, the practitioner;</w:t>
      </w:r>
    </w:p>
    <w:p w:rsidR="00425758" w:rsidRDefault="00425758">
      <w:pPr>
        <w:pStyle w:val="Indenta"/>
      </w:pPr>
      <w:r>
        <w:tab/>
        <w:t>(c)</w:t>
      </w:r>
      <w:r>
        <w:tab/>
        <w:t xml:space="preserve">if a party is not an individual, a representative of the party with authority to conduct settlement negotiations and to settle the case; </w:t>
      </w:r>
    </w:p>
    <w:p w:rsidR="00425758" w:rsidRDefault="00425758">
      <w:pPr>
        <w:pStyle w:val="Indenta"/>
      </w:pPr>
      <w:r>
        <w:tab/>
        <w:t>(d)</w:t>
      </w:r>
      <w:r>
        <w:tab/>
        <w:t>if settlement negotiations are to be conducted on behalf of a party by its insurer, a representative of the insurer with authority to conduct settlement negotiations and to settle the case.</w:t>
      </w:r>
    </w:p>
    <w:p w:rsidR="00425758" w:rsidRDefault="00425758">
      <w:pPr>
        <w:pStyle w:val="Subsection"/>
      </w:pPr>
      <w:r>
        <w:tab/>
        <w:t>(4)</w:t>
      </w:r>
      <w:r>
        <w:tab/>
        <w:t>In the absence of any other direction made by the case manager —</w:t>
      </w:r>
    </w:p>
    <w:p w:rsidR="00425758" w:rsidRDefault="00425758">
      <w:pPr>
        <w:pStyle w:val="Indenta"/>
      </w:pPr>
      <w:r>
        <w:tab/>
        <w:t>(a)</w:t>
      </w:r>
      <w:r>
        <w:tab/>
        <w:t>the conference must take place at the time and place directed; and</w:t>
      </w:r>
    </w:p>
    <w:p w:rsidR="00425758" w:rsidRDefault="00425758">
      <w:pPr>
        <w:pStyle w:val="Indenta"/>
      </w:pPr>
      <w:r>
        <w:tab/>
        <w:t>(b)</w:t>
      </w:r>
      <w:r>
        <w:tab/>
        <w:t>if the case manager does not set a date for the conference, each party must, subject to any directions, take the steps necessary to ensure the conference takes place as soon as possible; and</w:t>
      </w:r>
    </w:p>
    <w:p w:rsidR="00425758" w:rsidRDefault="00425758">
      <w:pPr>
        <w:pStyle w:val="Indenta"/>
      </w:pPr>
      <w:r>
        <w:lastRenderedPageBreak/>
        <w:tab/>
        <w:t>(c)</w:t>
      </w:r>
      <w:r>
        <w:tab/>
        <w:t>each party’s costs of and incidental to the conference shall be the party’s costs in the cause, unless the parties agree; but a party may apply for those costs if they have been unnecessarily incurred due to the conduct of the other party; and</w:t>
      </w:r>
    </w:p>
    <w:p w:rsidR="00425758" w:rsidRDefault="00425758">
      <w:pPr>
        <w:pStyle w:val="Indenta"/>
      </w:pPr>
      <w:r>
        <w:tab/>
        <w:t>(d)</w:t>
      </w:r>
      <w:r>
        <w:tab/>
        <w:t>the fees and expenses of any mediator who is not a registrar must be paid by the parties in equal shares, unless the parties agree; and</w:t>
      </w:r>
    </w:p>
    <w:p w:rsidR="00425758" w:rsidRDefault="00425758">
      <w:pPr>
        <w:pStyle w:val="Indenta"/>
      </w:pPr>
      <w:r>
        <w:tab/>
        <w:t>(e)</w:t>
      </w:r>
      <w:r>
        <w:tab/>
        <w:t>within 2 weeks after the conclusion of the conference, the plaintiff must file a report, signed by or on behalf of each party —</w:t>
      </w:r>
    </w:p>
    <w:p w:rsidR="00425758" w:rsidRDefault="00425758">
      <w:pPr>
        <w:pStyle w:val="Indenti"/>
      </w:pPr>
      <w:r>
        <w:tab/>
        <w:t>(i)</w:t>
      </w:r>
      <w:r>
        <w:tab/>
        <w:t>confirming that the conference has taken place as directed; and</w:t>
      </w:r>
    </w:p>
    <w:p w:rsidR="00425758" w:rsidRDefault="00425758">
      <w:pPr>
        <w:pStyle w:val="Indenti"/>
      </w:pPr>
      <w:r>
        <w:tab/>
        <w:t>(ii)</w:t>
      </w:r>
      <w:r>
        <w:tab/>
        <w:t>recording the substance of any resolution or narrowing of the points of difference between the parties resulting from the conference.</w:t>
      </w:r>
    </w:p>
    <w:p w:rsidR="00425758" w:rsidRDefault="00425758">
      <w:pPr>
        <w:pStyle w:val="Subsection"/>
      </w:pPr>
      <w:r>
        <w:tab/>
        <w:t>(5)</w:t>
      </w:r>
      <w:r>
        <w:tab/>
        <w:t xml:space="preserve">The mediator — </w:t>
      </w:r>
    </w:p>
    <w:p w:rsidR="00425758" w:rsidRDefault="00425758">
      <w:pPr>
        <w:pStyle w:val="Indenta"/>
      </w:pPr>
      <w:r>
        <w:tab/>
        <w:t>(a)</w:t>
      </w:r>
      <w:r>
        <w:tab/>
        <w:t>must not, unless the parties agree, report to the Court on the conference; but</w:t>
      </w:r>
    </w:p>
    <w:p w:rsidR="00425758" w:rsidRDefault="00425758">
      <w:pPr>
        <w:pStyle w:val="Indenta"/>
      </w:pPr>
      <w:r>
        <w:tab/>
        <w:t>(b)</w:t>
      </w:r>
      <w:r>
        <w:tab/>
        <w:t>whether or not the parties agree, may report to the Court on any failure by a party to cooperate in the conference.</w:t>
      </w:r>
    </w:p>
    <w:p w:rsidR="00425758" w:rsidRDefault="00425758">
      <w:pPr>
        <w:pStyle w:val="Subsection"/>
      </w:pPr>
      <w:r>
        <w:tab/>
        <w:t>(6)</w:t>
      </w:r>
      <w:r>
        <w:tab/>
        <w:t>A report given under subrule (5)(b) must not be disclosed to the trial judge except for the purposes of determining any question as to costs.</w:t>
      </w:r>
    </w:p>
    <w:p w:rsidR="00425758" w:rsidRDefault="00425758">
      <w:pPr>
        <w:pStyle w:val="Footnotesection"/>
      </w:pPr>
      <w:r>
        <w:tab/>
        <w:t>[Rule 8 inserted: Gazette 28 Jul 2010 p. 3449-50; amended: Gazette 16 Aug 2017 p. 4399</w:t>
      </w:r>
      <w:r>
        <w:noBreakHyphen/>
        <w:t>400.]</w:t>
      </w:r>
    </w:p>
    <w:p w:rsidR="00425758" w:rsidRDefault="00425758">
      <w:pPr>
        <w:pStyle w:val="Heading5"/>
      </w:pPr>
      <w:bookmarkStart w:id="48" w:name="_Toc75862758"/>
      <w:r>
        <w:rPr>
          <w:rStyle w:val="CharSectno"/>
        </w:rPr>
        <w:t>9</w:t>
      </w:r>
      <w:r>
        <w:t>.</w:t>
      </w:r>
      <w:r>
        <w:tab/>
        <w:t>Referees</w:t>
      </w:r>
      <w:bookmarkEnd w:id="48"/>
    </w:p>
    <w:p w:rsidR="00425758" w:rsidRDefault="00425758">
      <w:pPr>
        <w:pStyle w:val="Subsection"/>
      </w:pPr>
      <w:r>
        <w:tab/>
        <w:t>(1)</w:t>
      </w:r>
      <w:r>
        <w:tab/>
        <w:t>This rule applies if the case manager for a case directs that a referee give the Court a report on any question or issue of fact.</w:t>
      </w:r>
    </w:p>
    <w:p w:rsidR="00425758" w:rsidRDefault="00425758">
      <w:pPr>
        <w:pStyle w:val="Subsection"/>
      </w:pPr>
      <w:r>
        <w:tab/>
        <w:t>(2)</w:t>
      </w:r>
      <w:r>
        <w:tab/>
        <w:t>The case manager may do any or all of the following —</w:t>
      </w:r>
    </w:p>
    <w:p w:rsidR="00425758" w:rsidRDefault="00425758">
      <w:pPr>
        <w:pStyle w:val="Indenta"/>
      </w:pPr>
      <w:r>
        <w:tab/>
        <w:t>(a)</w:t>
      </w:r>
      <w:r>
        <w:tab/>
        <w:t>appoint the referee;</w:t>
      </w:r>
    </w:p>
    <w:p w:rsidR="00425758" w:rsidRDefault="00425758">
      <w:pPr>
        <w:pStyle w:val="Indenta"/>
      </w:pPr>
      <w:r>
        <w:lastRenderedPageBreak/>
        <w:tab/>
        <w:t>(b)</w:t>
      </w:r>
      <w:r>
        <w:tab/>
        <w:t>give the referee instructions about the question or issue of fact referred and the report required;</w:t>
      </w:r>
    </w:p>
    <w:p w:rsidR="00425758" w:rsidRDefault="00425758">
      <w:pPr>
        <w:pStyle w:val="Indenta"/>
      </w:pPr>
      <w:r>
        <w:tab/>
        <w:t>(c)</w:t>
      </w:r>
      <w:r>
        <w:tab/>
        <w:t>give directions with respect to the conduct of proceedings before the referee;</w:t>
      </w:r>
    </w:p>
    <w:p w:rsidR="00425758" w:rsidRDefault="00425758">
      <w:pPr>
        <w:pStyle w:val="Indenta"/>
      </w:pPr>
      <w:r>
        <w:tab/>
        <w:t>(d)</w:t>
      </w:r>
      <w:r>
        <w:tab/>
        <w:t>give directions for the provision —</w:t>
      </w:r>
    </w:p>
    <w:p w:rsidR="00425758" w:rsidRDefault="00425758">
      <w:pPr>
        <w:pStyle w:val="Indenti"/>
      </w:pPr>
      <w:r>
        <w:tab/>
        <w:t>(i)</w:t>
      </w:r>
      <w:r>
        <w:tab/>
        <w:t>of services of officers of the Court;</w:t>
      </w:r>
    </w:p>
    <w:p w:rsidR="00425758" w:rsidRDefault="00425758">
      <w:pPr>
        <w:pStyle w:val="Indenti"/>
      </w:pPr>
      <w:r>
        <w:tab/>
        <w:t>(ii)</w:t>
      </w:r>
      <w:r>
        <w:tab/>
        <w:t>of courtrooms and other facilities,</w:t>
      </w:r>
    </w:p>
    <w:p w:rsidR="00425758" w:rsidRDefault="00425758">
      <w:pPr>
        <w:pStyle w:val="Indenta"/>
      </w:pPr>
      <w:r>
        <w:tab/>
      </w:r>
      <w:r>
        <w:tab/>
        <w:t>for the purpose of the referee;</w:t>
      </w:r>
    </w:p>
    <w:p w:rsidR="00425758" w:rsidRDefault="00425758">
      <w:pPr>
        <w:pStyle w:val="Indenta"/>
      </w:pPr>
      <w:r>
        <w:tab/>
        <w:t>(e)</w:t>
      </w:r>
      <w:r>
        <w:tab/>
        <w:t>vary or cancel a direction given under this subrule.</w:t>
      </w:r>
    </w:p>
    <w:p w:rsidR="00425758" w:rsidRDefault="00425758">
      <w:pPr>
        <w:pStyle w:val="Subsection"/>
      </w:pPr>
      <w:r>
        <w:tab/>
        <w:t>(3)</w:t>
      </w:r>
      <w:r>
        <w:tab/>
        <w:t>The case manager may —</w:t>
      </w:r>
    </w:p>
    <w:p w:rsidR="00425758" w:rsidRDefault="00425758">
      <w:pPr>
        <w:pStyle w:val="Indenta"/>
      </w:pPr>
      <w:r>
        <w:tab/>
        <w:t>(a)</w:t>
      </w:r>
      <w:r>
        <w:tab/>
        <w:t>determine the amount of the fees to be paid to the referee; and</w:t>
      </w:r>
    </w:p>
    <w:p w:rsidR="00425758" w:rsidRDefault="00425758">
      <w:pPr>
        <w:pStyle w:val="Indenta"/>
      </w:pPr>
      <w:r>
        <w:tab/>
        <w:t>(b)</w:t>
      </w:r>
      <w:r>
        <w:tab/>
        <w:t>direct how, when and by whom the whole or any part of the fees referred to in paragraph (a) are to be paid.</w:t>
      </w:r>
    </w:p>
    <w:p w:rsidR="00425758" w:rsidRDefault="00425758">
      <w:pPr>
        <w:pStyle w:val="Subsection"/>
      </w:pPr>
      <w:r>
        <w:tab/>
        <w:t>(4)</w:t>
      </w:r>
      <w:r>
        <w:tab/>
        <w:t>Evidence before the referee —</w:t>
      </w:r>
    </w:p>
    <w:p w:rsidR="00425758" w:rsidRDefault="00425758">
      <w:pPr>
        <w:pStyle w:val="Indenta"/>
      </w:pPr>
      <w:r>
        <w:tab/>
        <w:t>(a)</w:t>
      </w:r>
      <w:r>
        <w:tab/>
        <w:t>may be given orally or in writing; and</w:t>
      </w:r>
    </w:p>
    <w:p w:rsidR="00425758" w:rsidRDefault="00425758">
      <w:pPr>
        <w:pStyle w:val="Indenta"/>
      </w:pPr>
      <w:r>
        <w:tab/>
        <w:t>(b)</w:t>
      </w:r>
      <w:r>
        <w:tab/>
        <w:t>must, if the referee so requires, be given on oath or affirmation.</w:t>
      </w:r>
    </w:p>
    <w:p w:rsidR="00425758" w:rsidRDefault="00425758">
      <w:pPr>
        <w:pStyle w:val="Subsection"/>
      </w:pPr>
      <w:r>
        <w:tab/>
        <w:t>(5)</w:t>
      </w:r>
      <w:r>
        <w:tab/>
        <w:t>Evidence additional to the evidence taken before the referee cannot be adduced before the Court except with the leave of the Court.</w:t>
      </w:r>
    </w:p>
    <w:p w:rsidR="00425758" w:rsidRDefault="00425758">
      <w:pPr>
        <w:pStyle w:val="Footnotesection"/>
      </w:pPr>
      <w:r>
        <w:tab/>
        <w:t>[Rule 9 inserted: Gazette 28 Jul 2010 p. 3450-1; amended: Gazette 16 Aug 2017 p. 4400</w:t>
      </w:r>
      <w:r>
        <w:noBreakHyphen/>
        <w:t>1.]</w:t>
      </w:r>
    </w:p>
    <w:p w:rsidR="00425758" w:rsidRDefault="00425758">
      <w:pPr>
        <w:pStyle w:val="Heading3"/>
      </w:pPr>
      <w:bookmarkStart w:id="49" w:name="_Toc75511663"/>
      <w:bookmarkStart w:id="50" w:name="_Toc75862759"/>
      <w:r>
        <w:rPr>
          <w:rStyle w:val="CharDivNo"/>
        </w:rPr>
        <w:t>Division 3</w:t>
      </w:r>
      <w:r>
        <w:t> — </w:t>
      </w:r>
      <w:r>
        <w:rPr>
          <w:rStyle w:val="CharDivText"/>
        </w:rPr>
        <w:t>Cases on the CMC List</w:t>
      </w:r>
      <w:bookmarkEnd w:id="49"/>
      <w:bookmarkEnd w:id="50"/>
    </w:p>
    <w:p w:rsidR="00425758" w:rsidRDefault="00425758">
      <w:pPr>
        <w:pStyle w:val="Footnoteheading"/>
      </w:pPr>
      <w:r>
        <w:tab/>
        <w:t>[Heading inserted: Gazette 28 Jul 2010 p. 3451.]</w:t>
      </w:r>
    </w:p>
    <w:p w:rsidR="00425758" w:rsidRDefault="00425758">
      <w:pPr>
        <w:pStyle w:val="Heading5"/>
      </w:pPr>
      <w:bookmarkStart w:id="51" w:name="_Toc75862760"/>
      <w:r>
        <w:rPr>
          <w:rStyle w:val="CharSectno"/>
        </w:rPr>
        <w:t>10</w:t>
      </w:r>
      <w:r>
        <w:t>.</w:t>
      </w:r>
      <w:r>
        <w:tab/>
        <w:t>Application of this Division</w:t>
      </w:r>
      <w:bookmarkEnd w:id="51"/>
    </w:p>
    <w:p w:rsidR="00425758" w:rsidRDefault="00425758">
      <w:pPr>
        <w:pStyle w:val="Subsection"/>
      </w:pPr>
      <w:r>
        <w:tab/>
      </w:r>
      <w:r>
        <w:tab/>
        <w:t>This Division applies to every CMC List case unless and to the extent it is directed otherwise by a CMC List case manager.</w:t>
      </w:r>
    </w:p>
    <w:p w:rsidR="00425758" w:rsidRDefault="00425758">
      <w:pPr>
        <w:pStyle w:val="Footnotesection"/>
      </w:pPr>
      <w:r>
        <w:lastRenderedPageBreak/>
        <w:tab/>
        <w:t>[Rule 10 inserted: Gazette 28 Jul 2010 p. 3451; amended: Gazette 16 Aug 2017 p. 4401.]</w:t>
      </w:r>
    </w:p>
    <w:p w:rsidR="00425758" w:rsidRDefault="00425758">
      <w:pPr>
        <w:pStyle w:val="Heading5"/>
      </w:pPr>
      <w:bookmarkStart w:id="52" w:name="_Toc75862761"/>
      <w:r>
        <w:rPr>
          <w:rStyle w:val="CharSectno"/>
        </w:rPr>
        <w:t>11</w:t>
      </w:r>
      <w:r>
        <w:t>.</w:t>
      </w:r>
      <w:r>
        <w:tab/>
        <w:t>Cases on CMC List</w:t>
      </w:r>
      <w:bookmarkEnd w:id="52"/>
    </w:p>
    <w:p w:rsidR="00425758" w:rsidRDefault="00425758">
      <w:pPr>
        <w:pStyle w:val="Subsection"/>
      </w:pPr>
      <w:r>
        <w:tab/>
      </w:r>
      <w:r>
        <w:tab/>
        <w:t>These cases are on the CMC List —</w:t>
      </w:r>
    </w:p>
    <w:p w:rsidR="00425758" w:rsidRDefault="00425758">
      <w:pPr>
        <w:pStyle w:val="Indenta"/>
      </w:pPr>
      <w:r>
        <w:tab/>
        <w:t>(a)</w:t>
      </w:r>
      <w:r>
        <w:tab/>
        <w:t>any case in which defamation is alleged;</w:t>
      </w:r>
    </w:p>
    <w:p w:rsidR="00425758" w:rsidRDefault="00425758">
      <w:pPr>
        <w:pStyle w:val="Indenta"/>
      </w:pPr>
      <w:r>
        <w:tab/>
        <w:t>(ba)</w:t>
      </w:r>
      <w:r>
        <w:tab/>
        <w:t>any case in which there is an application for —</w:t>
      </w:r>
    </w:p>
    <w:p w:rsidR="00425758" w:rsidRDefault="00425758">
      <w:pPr>
        <w:pStyle w:val="Indenti"/>
      </w:pPr>
      <w:r>
        <w:tab/>
        <w:t>(i)</w:t>
      </w:r>
      <w:r>
        <w:tab/>
        <w:t>judicial review to which Order 56 applies; or</w:t>
      </w:r>
    </w:p>
    <w:p w:rsidR="00425758" w:rsidRDefault="00425758">
      <w:pPr>
        <w:pStyle w:val="Indenti"/>
      </w:pPr>
      <w:r>
        <w:tab/>
        <w:t>(ii)</w:t>
      </w:r>
      <w:r>
        <w:tab/>
        <w:t xml:space="preserve">a review order under the </w:t>
      </w:r>
      <w:r>
        <w:rPr>
          <w:i/>
        </w:rPr>
        <w:t>Magistrates Court Act 2004</w:t>
      </w:r>
      <w:r>
        <w:t xml:space="preserve"> section 36; or</w:t>
      </w:r>
    </w:p>
    <w:p w:rsidR="00425758" w:rsidRDefault="00425758">
      <w:pPr>
        <w:pStyle w:val="Indenti"/>
      </w:pPr>
      <w:r>
        <w:tab/>
        <w:t>(iii)</w:t>
      </w:r>
      <w:r>
        <w:tab/>
        <w:t xml:space="preserve">a writ of habeas corpus or an information of </w:t>
      </w:r>
      <w:r>
        <w:rPr>
          <w:i/>
        </w:rPr>
        <w:t>quo warranto</w:t>
      </w:r>
      <w:r>
        <w:t>;</w:t>
      </w:r>
    </w:p>
    <w:p w:rsidR="00425758" w:rsidRDefault="00425758">
      <w:pPr>
        <w:pStyle w:val="Indenta"/>
      </w:pPr>
      <w:r>
        <w:tab/>
        <w:t>(b)</w:t>
      </w:r>
      <w:r>
        <w:tab/>
        <w:t>any case that is directed to be on the list under rule 13;</w:t>
      </w:r>
    </w:p>
    <w:p w:rsidR="00425758" w:rsidRDefault="00425758">
      <w:pPr>
        <w:pStyle w:val="Indenta"/>
      </w:pPr>
      <w:r>
        <w:tab/>
        <w:t>(ca)</w:t>
      </w:r>
      <w:r>
        <w:tab/>
        <w:t xml:space="preserve">any case involving proceedings to which the </w:t>
      </w:r>
      <w:r>
        <w:rPr>
          <w:i/>
        </w:rPr>
        <w:t>Supreme Court (Arbitration) Rules 2016</w:t>
      </w:r>
      <w:r>
        <w:t xml:space="preserve"> apply;</w:t>
      </w:r>
    </w:p>
    <w:p w:rsidR="00425758" w:rsidRDefault="00425758">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p>
    <w:p w:rsidR="00425758" w:rsidRDefault="00425758">
      <w:pPr>
        <w:pStyle w:val="Footnotesection"/>
      </w:pPr>
      <w:r>
        <w:tab/>
        <w:t>[Rule 11 inserted: Gazette 28 Jul 2010 p. 3451-2; amended: Gazette 15 Mar 2013 p. 1206; 23 Apr 2013 p. 1591 (disallowed: Gazette 1 Nov 2013 p. 4910); 17 Dec 2013 p. 6231; 16 Aug 2017 p. 4401.]</w:t>
      </w:r>
    </w:p>
    <w:p w:rsidR="00425758" w:rsidRDefault="00425758">
      <w:pPr>
        <w:pStyle w:val="Heading5"/>
        <w:spacing w:before="180"/>
      </w:pPr>
      <w:bookmarkStart w:id="53" w:name="_Toc75862762"/>
      <w:r>
        <w:rPr>
          <w:rStyle w:val="CharSectno"/>
        </w:rPr>
        <w:t>12</w:t>
      </w:r>
      <w:r>
        <w:t>.</w:t>
      </w:r>
      <w:r>
        <w:tab/>
        <w:t>Headings to documents</w:t>
      </w:r>
      <w:bookmarkEnd w:id="53"/>
    </w:p>
    <w:p w:rsidR="00425758" w:rsidRDefault="00425758">
      <w:pPr>
        <w:pStyle w:val="Subsection"/>
      </w:pPr>
      <w:r>
        <w:tab/>
      </w:r>
      <w:r>
        <w:tab/>
        <w:t>The heading of every document filed or issued in a CMC List case must include “Commercial and Managed Cases List” under “In the Supreme Court of Western Australia”.</w:t>
      </w:r>
    </w:p>
    <w:p w:rsidR="00425758" w:rsidRDefault="00425758">
      <w:pPr>
        <w:pStyle w:val="Footnotesection"/>
      </w:pPr>
      <w:r>
        <w:tab/>
        <w:t>[Rule 12 inserted: Gazette 28 Jul 2010 p. 3452.]</w:t>
      </w:r>
    </w:p>
    <w:p w:rsidR="00425758" w:rsidRDefault="00425758">
      <w:pPr>
        <w:pStyle w:val="Heading5"/>
      </w:pPr>
      <w:bookmarkStart w:id="54" w:name="_Toc75862763"/>
      <w:r>
        <w:rPr>
          <w:rStyle w:val="CharSectno"/>
        </w:rPr>
        <w:lastRenderedPageBreak/>
        <w:t>13</w:t>
      </w:r>
      <w:r>
        <w:t>.</w:t>
      </w:r>
      <w:r>
        <w:tab/>
        <w:t>CMC List case manager may direct case to be on or taken off CMC List</w:t>
      </w:r>
      <w:bookmarkEnd w:id="54"/>
    </w:p>
    <w:p w:rsidR="00425758" w:rsidRDefault="00425758">
      <w:pPr>
        <w:pStyle w:val="Subsection"/>
      </w:pPr>
      <w:r>
        <w:tab/>
        <w:t>(1)</w:t>
      </w:r>
      <w:r>
        <w:tab/>
        <w:t>Only a CMC List case manager can direct that a case be admitted to or taken off the CMC List.</w:t>
      </w:r>
    </w:p>
    <w:p w:rsidR="00425758" w:rsidRDefault="00425758">
      <w:pPr>
        <w:pStyle w:val="Subsection"/>
      </w:pPr>
      <w:r>
        <w:tab/>
        <w:t>(2)</w:t>
      </w:r>
      <w:r>
        <w:tab/>
        <w:t>A CMC List case manager, on the case manager’s own initiative or on a request made under rule 14, may direct a case to be admitted to the CMC List.</w:t>
      </w:r>
    </w:p>
    <w:p w:rsidR="00425758" w:rsidRDefault="00425758">
      <w:pPr>
        <w:pStyle w:val="Subsection"/>
      </w:pPr>
      <w:r>
        <w:tab/>
        <w:t>(3)</w:t>
      </w:r>
      <w:r>
        <w:tab/>
        <w:t>A CMC List case manager, on the case manager’s own initiative or on a request by a party, may direct a CMC List case to be taken off the CMC List.</w:t>
      </w:r>
    </w:p>
    <w:p w:rsidR="00425758" w:rsidRDefault="00425758">
      <w:pPr>
        <w:pStyle w:val="Footnotesection"/>
      </w:pPr>
      <w:r>
        <w:tab/>
        <w:t>[Rule 13 inserted: Gazette 16 Aug 2017 p. 4401</w:t>
      </w:r>
      <w:r>
        <w:noBreakHyphen/>
        <w:t>2.]</w:t>
      </w:r>
    </w:p>
    <w:p w:rsidR="00425758" w:rsidRDefault="00425758">
      <w:pPr>
        <w:pStyle w:val="Heading5"/>
      </w:pPr>
      <w:bookmarkStart w:id="55" w:name="_Toc75862764"/>
      <w:r>
        <w:rPr>
          <w:rStyle w:val="CharSectno"/>
        </w:rPr>
        <w:t>14</w:t>
      </w:r>
      <w:r>
        <w:t>.</w:t>
      </w:r>
      <w:r>
        <w:tab/>
        <w:t>Requesting case be put on CMC List</w:t>
      </w:r>
      <w:bookmarkEnd w:id="55"/>
    </w:p>
    <w:p w:rsidR="00425758" w:rsidRDefault="00425758">
      <w:pPr>
        <w:pStyle w:val="Subsection"/>
      </w:pPr>
      <w:r>
        <w:tab/>
        <w:t>(1)</w:t>
      </w:r>
      <w:r>
        <w:tab/>
        <w:t>A party to a case may request a direction that the case be admitted to the CMC List.</w:t>
      </w:r>
    </w:p>
    <w:p w:rsidR="00425758" w:rsidRDefault="00425758">
      <w:pPr>
        <w:pStyle w:val="Subsection"/>
      </w:pPr>
      <w:r>
        <w:tab/>
        <w:t>(2)</w:t>
      </w:r>
      <w:r>
        <w:tab/>
        <w:t xml:space="preserve">The request must not be made until after the first of the following events occurs — </w:t>
      </w:r>
    </w:p>
    <w:p w:rsidR="00425758" w:rsidRDefault="00425758">
      <w:pPr>
        <w:pStyle w:val="Indenta"/>
      </w:pPr>
      <w:r>
        <w:tab/>
        <w:t>(a)</w:t>
      </w:r>
      <w:r>
        <w:tab/>
        <w:t>an appearance has been entered by each party who is required to do so;</w:t>
      </w:r>
    </w:p>
    <w:p w:rsidR="00425758" w:rsidRDefault="00425758">
      <w:pPr>
        <w:pStyle w:val="Indenta"/>
      </w:pPr>
      <w:r>
        <w:tab/>
        <w:t>(b)</w:t>
      </w:r>
      <w:r>
        <w:tab/>
        <w:t>the time limited for appearing expires.</w:t>
      </w:r>
    </w:p>
    <w:p w:rsidR="00425758" w:rsidRDefault="00425758">
      <w:pPr>
        <w:pStyle w:val="Subsection"/>
      </w:pPr>
      <w:r>
        <w:tab/>
        <w:t>(3)</w:t>
      </w:r>
      <w:r>
        <w:tab/>
        <w:t xml:space="preserve">The request is a request under rule 5A and must — </w:t>
      </w:r>
    </w:p>
    <w:p w:rsidR="00425758" w:rsidRDefault="00425758">
      <w:pPr>
        <w:pStyle w:val="Indenta"/>
      </w:pPr>
      <w:r>
        <w:tab/>
        <w:t>(a)</w:t>
      </w:r>
      <w:r>
        <w:tab/>
        <w:t xml:space="preserve">be made by letter in accordance with rule 5B(1) and (2); and </w:t>
      </w:r>
    </w:p>
    <w:p w:rsidR="00425758" w:rsidRDefault="00425758">
      <w:pPr>
        <w:pStyle w:val="Indenta"/>
      </w:pPr>
      <w:r>
        <w:tab/>
        <w:t>(b)</w:t>
      </w:r>
      <w:r>
        <w:tab/>
        <w:t xml:space="preserve">contain the email address (if any) — </w:t>
      </w:r>
    </w:p>
    <w:p w:rsidR="00425758" w:rsidRDefault="00425758">
      <w:pPr>
        <w:pStyle w:val="Indenti"/>
      </w:pPr>
      <w:r>
        <w:tab/>
        <w:t>(i)</w:t>
      </w:r>
      <w:r>
        <w:tab/>
        <w:t xml:space="preserve">of each party to the case, other than a party who is required to enter an appearance and has not; and </w:t>
      </w:r>
    </w:p>
    <w:p w:rsidR="00425758" w:rsidRDefault="00425758">
      <w:pPr>
        <w:pStyle w:val="Indenti"/>
      </w:pPr>
      <w:r>
        <w:tab/>
        <w:t>(ii)</w:t>
      </w:r>
      <w:r>
        <w:tab/>
        <w:t>that was provided by a party in accordance with Order 71A rule 3.</w:t>
      </w:r>
    </w:p>
    <w:p w:rsidR="00425758" w:rsidRDefault="00425758">
      <w:pPr>
        <w:pStyle w:val="Subsection"/>
      </w:pPr>
      <w:r>
        <w:tab/>
        <w:t>(4)</w:t>
      </w:r>
      <w:r>
        <w:tab/>
        <w:t>A request made under this rule must be decided by a CMC List case manager.</w:t>
      </w:r>
    </w:p>
    <w:p w:rsidR="00425758" w:rsidRDefault="00425758">
      <w:pPr>
        <w:pStyle w:val="Subsection"/>
      </w:pPr>
      <w:r>
        <w:lastRenderedPageBreak/>
        <w:tab/>
        <w:t>(5)</w:t>
      </w:r>
      <w:r>
        <w:tab/>
        <w:t>At the hearing of the request, the CMC List case manager, if satisfied the case should be subject to this Division, may direct the case be admitted to the CMC List unless a party shows cause why it should not be admitted.</w:t>
      </w:r>
    </w:p>
    <w:p w:rsidR="00425758" w:rsidRDefault="00425758">
      <w:pPr>
        <w:pStyle w:val="Footnotesection"/>
      </w:pPr>
      <w:r>
        <w:tab/>
        <w:t>[Rule 14 inserted: Gazette 16 Aug 2017 p. 4402.]</w:t>
      </w:r>
    </w:p>
    <w:p w:rsidR="00425758" w:rsidRDefault="00425758">
      <w:pPr>
        <w:pStyle w:val="Heading5"/>
      </w:pPr>
      <w:bookmarkStart w:id="56" w:name="_Toc75862765"/>
      <w:r>
        <w:rPr>
          <w:rStyle w:val="CharSectno"/>
        </w:rPr>
        <w:t>14A</w:t>
      </w:r>
      <w:r>
        <w:t>.</w:t>
      </w:r>
      <w:r>
        <w:tab/>
        <w:t>Strategic conferences</w:t>
      </w:r>
      <w:bookmarkEnd w:id="56"/>
    </w:p>
    <w:p w:rsidR="00425758" w:rsidRDefault="00425758">
      <w:pPr>
        <w:pStyle w:val="Subsection"/>
      </w:pPr>
      <w:r>
        <w:tab/>
        <w:t>(1)</w:t>
      </w:r>
      <w:r>
        <w:tab/>
        <w:t xml:space="preserve">In this rule — </w:t>
      </w:r>
    </w:p>
    <w:p w:rsidR="00425758" w:rsidRDefault="00425758">
      <w:pPr>
        <w:pStyle w:val="Defstart"/>
      </w:pPr>
      <w:r>
        <w:tab/>
      </w:r>
      <w:r>
        <w:rPr>
          <w:b/>
          <w:i/>
        </w:rPr>
        <w:t>strategic conference</w:t>
      </w:r>
      <w:r>
        <w:t xml:space="preserve"> means a conference at which it is to be demonstrated how a party to a case proposes to attain the objects referred to in Order 1 rule 4B(1).</w:t>
      </w:r>
    </w:p>
    <w:p w:rsidR="00425758" w:rsidRDefault="00425758">
      <w:pPr>
        <w:pStyle w:val="Subsection"/>
      </w:pPr>
      <w:r>
        <w:tab/>
        <w:t>(2)</w:t>
      </w:r>
      <w:r>
        <w:tab/>
        <w:t>The CMC List case manager may, by notice, direct that a strategic conference be held for the case.</w:t>
      </w:r>
    </w:p>
    <w:p w:rsidR="00425758" w:rsidRDefault="00425758">
      <w:pPr>
        <w:pStyle w:val="Subsection"/>
      </w:pPr>
      <w:r>
        <w:tab/>
        <w:t>(3)</w:t>
      </w:r>
      <w:r>
        <w:tab/>
        <w:t xml:space="preserve">The following persons must attend the conference unless the case manager directs otherwise — </w:t>
      </w:r>
    </w:p>
    <w:p w:rsidR="00425758" w:rsidRDefault="00425758">
      <w:pPr>
        <w:pStyle w:val="Indenta"/>
      </w:pPr>
      <w:r>
        <w:tab/>
        <w:t>(a)</w:t>
      </w:r>
      <w:r>
        <w:tab/>
        <w:t>each party to the case;</w:t>
      </w:r>
    </w:p>
    <w:p w:rsidR="00425758" w:rsidRDefault="00425758">
      <w:pPr>
        <w:pStyle w:val="Indenta"/>
      </w:pPr>
      <w:r>
        <w:tab/>
        <w:t>(b)</w:t>
      </w:r>
      <w:r>
        <w:tab/>
        <w:t>if a party is represented by a practitioner, the practitioner.</w:t>
      </w:r>
    </w:p>
    <w:p w:rsidR="00425758" w:rsidRDefault="00425758">
      <w:pPr>
        <w:pStyle w:val="Footnotesection"/>
      </w:pPr>
      <w:r>
        <w:tab/>
        <w:t>[Rule 14A inserted: Gazette 16 Aug 2017 p. 4403.]</w:t>
      </w:r>
    </w:p>
    <w:p w:rsidR="00425758" w:rsidRDefault="00425758">
      <w:pPr>
        <w:pStyle w:val="Heading5"/>
        <w:rPr>
          <w:snapToGrid w:val="0"/>
        </w:rPr>
      </w:pPr>
      <w:bookmarkStart w:id="57" w:name="_Toc75862766"/>
      <w:r>
        <w:rPr>
          <w:rStyle w:val="CharSectno"/>
        </w:rPr>
        <w:t>15</w:t>
      </w:r>
      <w:r>
        <w:t>.</w:t>
      </w:r>
      <w:r>
        <w:tab/>
        <w:t>Interlocutory hearings</w:t>
      </w:r>
      <w:bookmarkEnd w:id="57"/>
      <w:r>
        <w:t xml:space="preserve"> </w:t>
      </w:r>
    </w:p>
    <w:p w:rsidR="00425758" w:rsidRDefault="00425758">
      <w:pPr>
        <w:pStyle w:val="Subsection"/>
        <w:rPr>
          <w:snapToGrid w:val="0"/>
        </w:rPr>
      </w:pPr>
      <w:r>
        <w:tab/>
        <w:t>(1)</w:t>
      </w:r>
      <w:r>
        <w:tab/>
      </w:r>
      <w:r>
        <w:rPr>
          <w:snapToGrid w:val="0"/>
        </w:rPr>
        <w:t xml:space="preserve">The </w:t>
      </w:r>
      <w:r>
        <w:t>CMC List case manager may hear any interlocutory matter relating to the case, or may refer the matter to a</w:t>
      </w:r>
      <w:r>
        <w:rPr>
          <w:snapToGrid w:val="0"/>
        </w:rPr>
        <w:t xml:space="preserve"> judge or master for hearing who has and may exercise all powers of the case manager.</w:t>
      </w:r>
    </w:p>
    <w:p w:rsidR="00425758" w:rsidRDefault="00425758">
      <w:pPr>
        <w:pStyle w:val="Subsection"/>
      </w:pPr>
      <w:r>
        <w:tab/>
        <w:t>(2)</w:t>
      </w:r>
      <w:r>
        <w:tab/>
        <w:t>If the CMC List case manager is a master, subrule (1) is subject to Order 60 rule 1(3) and (4).</w:t>
      </w:r>
    </w:p>
    <w:p w:rsidR="00425758" w:rsidRDefault="00425758">
      <w:pPr>
        <w:pStyle w:val="Footnotesection"/>
      </w:pPr>
      <w:r>
        <w:tab/>
        <w:t>[Rule 15 inserted: Gazette 28 Jul 2010 p. 3453; amended: Gazette 13 Nov 2015 p. 4645; 16 Aug 2017 p. 4403.]</w:t>
      </w:r>
    </w:p>
    <w:p w:rsidR="00425758" w:rsidRDefault="00425758">
      <w:pPr>
        <w:pStyle w:val="Heading3"/>
      </w:pPr>
      <w:bookmarkStart w:id="58" w:name="_Toc75511671"/>
      <w:bookmarkStart w:id="59" w:name="_Toc75862767"/>
      <w:r>
        <w:rPr>
          <w:rStyle w:val="CharDivNo"/>
        </w:rPr>
        <w:lastRenderedPageBreak/>
        <w:t>Division 4</w:t>
      </w:r>
      <w:r>
        <w:t> — </w:t>
      </w:r>
      <w:r>
        <w:rPr>
          <w:rStyle w:val="CharDivText"/>
        </w:rPr>
        <w:t>Cases not on the CMC List</w:t>
      </w:r>
      <w:bookmarkEnd w:id="58"/>
      <w:bookmarkEnd w:id="59"/>
    </w:p>
    <w:p w:rsidR="00425758" w:rsidRDefault="00425758">
      <w:pPr>
        <w:pStyle w:val="Footnoteheading"/>
        <w:keepNext/>
      </w:pPr>
      <w:r>
        <w:tab/>
        <w:t>[Heading inserted: Gazette 28 Jul 2010 p. 3453.]</w:t>
      </w:r>
    </w:p>
    <w:p w:rsidR="00425758" w:rsidRDefault="00425758">
      <w:pPr>
        <w:pStyle w:val="Heading5"/>
      </w:pPr>
      <w:bookmarkStart w:id="60" w:name="_Toc75862768"/>
      <w:r>
        <w:rPr>
          <w:rStyle w:val="CharSectno"/>
        </w:rPr>
        <w:t>16</w:t>
      </w:r>
      <w:r>
        <w:t>.</w:t>
      </w:r>
      <w:r>
        <w:tab/>
        <w:t>Application of this Division</w:t>
      </w:r>
      <w:bookmarkEnd w:id="60"/>
    </w:p>
    <w:p w:rsidR="00425758" w:rsidRDefault="00425758">
      <w:pPr>
        <w:pStyle w:val="Subsection"/>
      </w:pPr>
      <w:r>
        <w:tab/>
      </w:r>
      <w:r>
        <w:tab/>
        <w:t>This Division applies to every case that is not on the CMC List unless and to the extent it is ordered otherwise by a judge or master.</w:t>
      </w:r>
    </w:p>
    <w:p w:rsidR="00425758" w:rsidRDefault="00425758">
      <w:pPr>
        <w:pStyle w:val="Footnotesection"/>
      </w:pPr>
      <w:r>
        <w:tab/>
        <w:t>[Rule 16 inserted: Gazette 28 Jul 2010 p. 3453.]</w:t>
      </w:r>
    </w:p>
    <w:p w:rsidR="00425758" w:rsidRDefault="00425758">
      <w:pPr>
        <w:pStyle w:val="Ednotesection"/>
      </w:pPr>
      <w:r>
        <w:t>[</w:t>
      </w:r>
      <w:r>
        <w:rPr>
          <w:b/>
        </w:rPr>
        <w:t>17.</w:t>
      </w:r>
      <w:r>
        <w:tab/>
        <w:t>Deleted: Gazette 16 Aug 2017 p. 4404.]</w:t>
      </w:r>
    </w:p>
    <w:p w:rsidR="00425758" w:rsidRDefault="00425758">
      <w:pPr>
        <w:pStyle w:val="Heading5"/>
      </w:pPr>
      <w:bookmarkStart w:id="61" w:name="_Toc75862769"/>
      <w:r>
        <w:rPr>
          <w:rStyle w:val="CharSectno"/>
        </w:rPr>
        <w:t>18</w:t>
      </w:r>
      <w:r>
        <w:t>.</w:t>
      </w:r>
      <w:r>
        <w:tab/>
        <w:t>Case management conferences for cases not on CMC List</w:t>
      </w:r>
      <w:bookmarkEnd w:id="61"/>
    </w:p>
    <w:p w:rsidR="00425758" w:rsidRDefault="00425758">
      <w:pPr>
        <w:pStyle w:val="Subsection"/>
      </w:pPr>
      <w:r>
        <w:tab/>
        <w:t>(1)</w:t>
      </w:r>
      <w:r>
        <w:tab/>
        <w:t>The case manager for a case may, by notice, direct that the first case management conference be held for the case.</w:t>
      </w:r>
    </w:p>
    <w:p w:rsidR="00425758" w:rsidRDefault="00425758">
      <w:pPr>
        <w:pStyle w:val="Subsection"/>
      </w:pPr>
      <w:r>
        <w:tab/>
        <w:t>(2)</w:t>
      </w:r>
      <w:r>
        <w:tab/>
        <w:t xml:space="preserve">The following persons must attend the first case management conference for a case unless the case manager directs otherwise — </w:t>
      </w:r>
    </w:p>
    <w:p w:rsidR="00425758" w:rsidRDefault="00425758">
      <w:pPr>
        <w:pStyle w:val="Indenta"/>
      </w:pPr>
      <w:r>
        <w:tab/>
        <w:t>(a)</w:t>
      </w:r>
      <w:r>
        <w:tab/>
        <w:t xml:space="preserve">each party to the case; </w:t>
      </w:r>
    </w:p>
    <w:p w:rsidR="00425758" w:rsidRDefault="00425758">
      <w:pPr>
        <w:pStyle w:val="Indenta"/>
      </w:pPr>
      <w:r>
        <w:tab/>
        <w:t>(b)</w:t>
      </w:r>
      <w:r>
        <w:tab/>
        <w:t>if a party is represented by a practitioner, the practitioner.</w:t>
      </w:r>
    </w:p>
    <w:p w:rsidR="00425758" w:rsidRDefault="00425758">
      <w:pPr>
        <w:pStyle w:val="Subsection"/>
      </w:pPr>
      <w:r>
        <w:tab/>
        <w:t>(3)</w:t>
      </w:r>
      <w:r>
        <w:tab/>
        <w:t xml:space="preserve">At any case management conference the case manager may inquire into the following — </w:t>
      </w:r>
    </w:p>
    <w:p w:rsidR="00425758" w:rsidRDefault="00425758">
      <w:pPr>
        <w:pStyle w:val="Indenta"/>
      </w:pPr>
      <w:r>
        <w:tab/>
        <w:t>(a)</w:t>
      </w:r>
      <w:r>
        <w:tab/>
        <w:t>whether pleadings or any specified pleadings are necessary;</w:t>
      </w:r>
    </w:p>
    <w:p w:rsidR="00425758" w:rsidRDefault="00425758">
      <w:pPr>
        <w:pStyle w:val="Indenta"/>
      </w:pPr>
      <w:r>
        <w:tab/>
        <w:t>(b)</w:t>
      </w:r>
      <w:r>
        <w:tab/>
        <w:t>the state of the pleadings and whether the times prescribed by these rules for pleadings are being complied with and if not, the reasons for the non</w:t>
      </w:r>
      <w:r>
        <w:noBreakHyphen/>
        <w:t>compliance;</w:t>
      </w:r>
    </w:p>
    <w:p w:rsidR="00425758" w:rsidRDefault="00425758">
      <w:pPr>
        <w:pStyle w:val="Indenta"/>
      </w:pPr>
      <w:r>
        <w:tab/>
        <w:t>(c)</w:t>
      </w:r>
      <w:r>
        <w:tab/>
        <w:t>whether any party intends to commence third party or similar proceedings under Order 19;</w:t>
      </w:r>
    </w:p>
    <w:p w:rsidR="00425758" w:rsidRDefault="00425758">
      <w:pPr>
        <w:pStyle w:val="Indenta"/>
      </w:pPr>
      <w:r>
        <w:tab/>
        <w:t>(d)</w:t>
      </w:r>
      <w:r>
        <w:tab/>
        <w:t>whether any party intends to require discovery and inspection under Order 26;</w:t>
      </w:r>
    </w:p>
    <w:p w:rsidR="00425758" w:rsidRDefault="00425758">
      <w:pPr>
        <w:pStyle w:val="Indenta"/>
      </w:pPr>
      <w:r>
        <w:tab/>
        <w:t>(e)</w:t>
      </w:r>
      <w:r>
        <w:tab/>
        <w:t>whether any party intends to interrogate under Order 27;</w:t>
      </w:r>
    </w:p>
    <w:p w:rsidR="00425758" w:rsidRDefault="00425758">
      <w:pPr>
        <w:pStyle w:val="Indenta"/>
      </w:pPr>
      <w:r>
        <w:lastRenderedPageBreak/>
        <w:tab/>
        <w:t>(f)</w:t>
      </w:r>
      <w:r>
        <w:tab/>
        <w:t>whether any party intends to adduce expert evidence at the trial;</w:t>
      </w:r>
    </w:p>
    <w:p w:rsidR="00425758" w:rsidRDefault="00425758">
      <w:pPr>
        <w:pStyle w:val="Indenta"/>
      </w:pPr>
      <w:r>
        <w:tab/>
        <w:t>(g)</w:t>
      </w:r>
      <w:r>
        <w:tab/>
        <w:t>whether a conference of the parties with a mediator is needed and if so, when;</w:t>
      </w:r>
    </w:p>
    <w:p w:rsidR="00425758" w:rsidRDefault="00425758">
      <w:pPr>
        <w:pStyle w:val="Indenta"/>
      </w:pPr>
      <w:r>
        <w:tab/>
        <w:t>(h)</w:t>
      </w:r>
      <w:r>
        <w:tab/>
        <w:t>the likely length of the trial;</w:t>
      </w:r>
    </w:p>
    <w:p w:rsidR="00425758" w:rsidRDefault="00425758">
      <w:pPr>
        <w:pStyle w:val="Indenta"/>
      </w:pPr>
      <w:r>
        <w:tab/>
        <w:t>(i)</w:t>
      </w:r>
      <w:r>
        <w:tab/>
        <w:t>any other matter relevant to ensuring the case is managed in accordance with Order 1 rule 4B.</w:t>
      </w:r>
    </w:p>
    <w:p w:rsidR="00425758" w:rsidRDefault="00425758">
      <w:pPr>
        <w:pStyle w:val="Subsection"/>
      </w:pPr>
      <w:r>
        <w:tab/>
        <w:t>(4)</w:t>
      </w:r>
      <w:r>
        <w:tab/>
        <w:t>A case is not to be entered for trial unless the case manager has conducted a full case evaluation at one or more case management conferences for the case.</w:t>
      </w:r>
    </w:p>
    <w:p w:rsidR="00425758" w:rsidRDefault="00425758">
      <w:pPr>
        <w:pStyle w:val="Subsection"/>
      </w:pPr>
      <w:r>
        <w:tab/>
        <w:t>(5)</w:t>
      </w:r>
      <w:r>
        <w:tab/>
        <w:t>The case manager may, at the request of a party, or on the case manager’s own initiative, make a direction that subrule (4) does not apply to the case.</w:t>
      </w:r>
    </w:p>
    <w:p w:rsidR="00425758" w:rsidRDefault="00425758">
      <w:pPr>
        <w:pStyle w:val="Subsection"/>
      </w:pPr>
      <w:r>
        <w:tab/>
        <w:t>(6)</w:t>
      </w:r>
      <w:r>
        <w:tab/>
        <w:t>The case manager may conduct a full case evaluation referred to in subrule (4) by inquiring into the following —</w:t>
      </w:r>
    </w:p>
    <w:p w:rsidR="00425758" w:rsidRDefault="00425758">
      <w:pPr>
        <w:pStyle w:val="Indenta"/>
      </w:pPr>
      <w:r>
        <w:tab/>
        <w:t>(a)</w:t>
      </w:r>
      <w:r>
        <w:tab/>
        <w:t>the state of the pleadings and if they are not closed, the reasons for that;</w:t>
      </w:r>
    </w:p>
    <w:p w:rsidR="00425758" w:rsidRDefault="00425758">
      <w:pPr>
        <w:pStyle w:val="Indenta"/>
      </w:pPr>
      <w:r>
        <w:tab/>
        <w:t>(b)</w:t>
      </w:r>
      <w:r>
        <w:tab/>
        <w:t>whether a conference of the parties with a mediator is needed and if so, when;</w:t>
      </w:r>
    </w:p>
    <w:p w:rsidR="00425758" w:rsidRDefault="00425758">
      <w:pPr>
        <w:pStyle w:val="Indenta"/>
      </w:pPr>
      <w:r>
        <w:tab/>
        <w:t>(c)</w:t>
      </w:r>
      <w:r>
        <w:tab/>
        <w:t>the content of any report or document containing expert evidence or the substance of expert evidence and whether a conference between experts is needed;</w:t>
      </w:r>
    </w:p>
    <w:p w:rsidR="00425758" w:rsidRDefault="00425758">
      <w:pPr>
        <w:pStyle w:val="Indenta"/>
      </w:pPr>
      <w:r>
        <w:tab/>
        <w:t>(d)</w:t>
      </w:r>
      <w:r>
        <w:tab/>
        <w:t>whether the case, at the time of the listing conference, will be ready for trial and if not, the reasons for not being ready;</w:t>
      </w:r>
    </w:p>
    <w:p w:rsidR="00425758" w:rsidRDefault="00425758">
      <w:pPr>
        <w:pStyle w:val="Indenta"/>
      </w:pPr>
      <w:r>
        <w:tab/>
        <w:t>(e)</w:t>
      </w:r>
      <w:r>
        <w:tab/>
        <w:t>whether the estimated length of the trial is still accurate;</w:t>
      </w:r>
    </w:p>
    <w:p w:rsidR="00425758" w:rsidRDefault="00425758">
      <w:pPr>
        <w:pStyle w:val="Indenta"/>
      </w:pPr>
      <w:r>
        <w:tab/>
        <w:t>(f)</w:t>
      </w:r>
      <w:r>
        <w:tab/>
        <w:t>the number of witnesses to be called at the trial, whether there are any known difficulties as to the availability of any witness and the estimated time it will take for each witness to give evidence;</w:t>
      </w:r>
    </w:p>
    <w:p w:rsidR="00425758" w:rsidRDefault="00425758">
      <w:pPr>
        <w:pStyle w:val="Indenta"/>
      </w:pPr>
      <w:r>
        <w:tab/>
        <w:t>(g)</w:t>
      </w:r>
      <w:r>
        <w:tab/>
        <w:t>the administrative resources likely to be needed for the trial.</w:t>
      </w:r>
    </w:p>
    <w:p w:rsidR="00425758" w:rsidRDefault="00425758">
      <w:pPr>
        <w:pStyle w:val="Subsection"/>
      </w:pPr>
      <w:r>
        <w:lastRenderedPageBreak/>
        <w:tab/>
        <w:t>(7)</w:t>
      </w:r>
      <w:r>
        <w:tab/>
        <w:t>The first and any other case management conference may be held even if, at the time of the case management conference, not all parties to the case have been served with the originating process or have entered appearances.</w:t>
      </w:r>
    </w:p>
    <w:p w:rsidR="00425758" w:rsidRDefault="00425758">
      <w:pPr>
        <w:pStyle w:val="Footnotesection"/>
      </w:pPr>
      <w:r>
        <w:tab/>
        <w:t>[Rule 18 inserted: Gazette 16 Aug 2017 p. 4404</w:t>
      </w:r>
      <w:r>
        <w:noBreakHyphen/>
        <w:t>6.]</w:t>
      </w:r>
    </w:p>
    <w:p w:rsidR="00425758" w:rsidRDefault="00425758">
      <w:pPr>
        <w:pStyle w:val="Heading5"/>
      </w:pPr>
      <w:bookmarkStart w:id="62" w:name="_Toc75862770"/>
      <w:r>
        <w:rPr>
          <w:rStyle w:val="CharSectno"/>
        </w:rPr>
        <w:t>19</w:t>
      </w:r>
      <w:r>
        <w:t>.</w:t>
      </w:r>
      <w:r>
        <w:tab/>
        <w:t>Powers of case manager at case management conferences for cases not on CMC List</w:t>
      </w:r>
      <w:bookmarkEnd w:id="62"/>
    </w:p>
    <w:p w:rsidR="00425758" w:rsidRDefault="00425758">
      <w:pPr>
        <w:pStyle w:val="Subsection"/>
      </w:pPr>
      <w:r>
        <w:tab/>
        <w:t>(1)</w:t>
      </w:r>
      <w:r>
        <w:tab/>
        <w:t>At any case management conference the case manager may at the request of a party or on the case manager’s own initiative do one or more of the following —</w:t>
      </w:r>
    </w:p>
    <w:p w:rsidR="00425758" w:rsidRDefault="00425758">
      <w:pPr>
        <w:pStyle w:val="Indenta"/>
      </w:pPr>
      <w:r>
        <w:tab/>
        <w:t>(a)</w:t>
      </w:r>
      <w:r>
        <w:tab/>
        <w:t>make any interlocutory order the case manager considers just;</w:t>
      </w:r>
    </w:p>
    <w:p w:rsidR="00425758" w:rsidRDefault="00425758">
      <w:pPr>
        <w:pStyle w:val="Indenta"/>
      </w:pPr>
      <w:r>
        <w:tab/>
        <w:t>(b)</w:t>
      </w:r>
      <w:r>
        <w:tab/>
        <w:t>make any case management direction the case manager considers just;</w:t>
      </w:r>
    </w:p>
    <w:p w:rsidR="00425758" w:rsidRDefault="00425758">
      <w:pPr>
        <w:pStyle w:val="Indenta"/>
      </w:pPr>
      <w:r>
        <w:tab/>
        <w:t>(c)</w:t>
      </w:r>
      <w:r>
        <w:tab/>
        <w:t>make any enforcement order the case manager considers just.</w:t>
      </w:r>
    </w:p>
    <w:p w:rsidR="00425758" w:rsidRDefault="00425758">
      <w:pPr>
        <w:pStyle w:val="Subsection"/>
      </w:pPr>
      <w:r>
        <w:tab/>
        <w:t>(2)</w:t>
      </w:r>
      <w:r>
        <w:tab/>
        <w:t>If the case manager is a master, subrule (1) is subject to Order 60 rule 1(3) and (4).</w:t>
      </w:r>
    </w:p>
    <w:p w:rsidR="00425758" w:rsidRDefault="00425758">
      <w:pPr>
        <w:pStyle w:val="Subsection"/>
      </w:pPr>
      <w:r>
        <w:tab/>
        <w:t>(3)</w:t>
      </w:r>
      <w:r>
        <w:tab/>
        <w:t>If the case manager is a registrar, subrule (1) is subject to Order 60A rule 2(2), (3) and (4).</w:t>
      </w:r>
    </w:p>
    <w:p w:rsidR="00425758" w:rsidRDefault="00425758">
      <w:pPr>
        <w:pStyle w:val="Subsection"/>
      </w:pPr>
      <w:r>
        <w:tab/>
        <w:t>(4)</w:t>
      </w:r>
      <w:r>
        <w:tab/>
        <w:t>The case manager may at the request of a party or on the case manager’s own initiative, arrange for one or more further case management conferences to be held but any further case management conference must not be held on or after the date of the listing conference.</w:t>
      </w:r>
    </w:p>
    <w:p w:rsidR="00425758" w:rsidRDefault="00425758">
      <w:pPr>
        <w:pStyle w:val="Subsection"/>
      </w:pPr>
      <w:r>
        <w:tab/>
        <w:t>(5)</w:t>
      </w:r>
      <w:r>
        <w:tab/>
        <w:t>The case manager may at the request of a party or on the case manager’s own initiative, adjourn any case management conference from time to time but not to a date on or after the date of the listing conference.</w:t>
      </w:r>
    </w:p>
    <w:p w:rsidR="00425758" w:rsidRDefault="00425758">
      <w:pPr>
        <w:pStyle w:val="Footnotesection"/>
      </w:pPr>
      <w:r>
        <w:tab/>
        <w:t>[Rule 19 inserted: Gazette 16 Aug 2017 p. 4406</w:t>
      </w:r>
      <w:r>
        <w:noBreakHyphen/>
        <w:t>7.]</w:t>
      </w:r>
    </w:p>
    <w:p w:rsidR="00425758" w:rsidRDefault="00425758">
      <w:pPr>
        <w:pStyle w:val="Heading5"/>
      </w:pPr>
      <w:bookmarkStart w:id="63" w:name="_Toc75862771"/>
      <w:r>
        <w:rPr>
          <w:rStyle w:val="CharSectno"/>
        </w:rPr>
        <w:lastRenderedPageBreak/>
        <w:t>20</w:t>
      </w:r>
      <w:r>
        <w:t>.</w:t>
      </w:r>
      <w:r>
        <w:tab/>
        <w:t>Listing conference</w:t>
      </w:r>
      <w:bookmarkEnd w:id="63"/>
    </w:p>
    <w:p w:rsidR="00425758" w:rsidRDefault="00425758">
      <w:pPr>
        <w:pStyle w:val="Subsection"/>
        <w:keepNext/>
      </w:pPr>
      <w:r>
        <w:tab/>
        <w:t>(1)</w:t>
      </w:r>
      <w:r>
        <w:tab/>
        <w:t>A listing conference shall be held before a judge in chambers.</w:t>
      </w:r>
    </w:p>
    <w:p w:rsidR="00425758" w:rsidRDefault="00425758">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rsidR="00425758" w:rsidRDefault="00425758">
      <w:pPr>
        <w:pStyle w:val="Subsection"/>
      </w:pPr>
      <w:r>
        <w:tab/>
        <w:t>(3)</w:t>
      </w:r>
      <w:r>
        <w:tab/>
        <w:t>At the listing conference the judge may review the documents on the Court file and inquire into these matters —</w:t>
      </w:r>
    </w:p>
    <w:p w:rsidR="00425758" w:rsidRDefault="00425758">
      <w:pPr>
        <w:pStyle w:val="Indenta"/>
      </w:pPr>
      <w:r>
        <w:tab/>
        <w:t>(a)</w:t>
      </w:r>
      <w:r>
        <w:tab/>
        <w:t>whether the case can be settled;</w:t>
      </w:r>
    </w:p>
    <w:p w:rsidR="00425758" w:rsidRDefault="00425758">
      <w:pPr>
        <w:pStyle w:val="Indenta"/>
      </w:pPr>
      <w:r>
        <w:tab/>
        <w:t>(b)</w:t>
      </w:r>
      <w:r>
        <w:tab/>
        <w:t>which documents will be admitted at trial by consent;</w:t>
      </w:r>
    </w:p>
    <w:p w:rsidR="00425758" w:rsidRDefault="00425758">
      <w:pPr>
        <w:pStyle w:val="Indenta"/>
      </w:pPr>
      <w:r>
        <w:tab/>
        <w:t>(c)</w:t>
      </w:r>
      <w:r>
        <w:tab/>
        <w:t>the number of witnesses to be called at the trial, whether there are any known difficulties as to the availability of any witness, and the estimated time it will take for them to give their evidence in chief;</w:t>
      </w:r>
    </w:p>
    <w:p w:rsidR="00425758" w:rsidRDefault="00425758">
      <w:pPr>
        <w:pStyle w:val="Indenta"/>
      </w:pPr>
      <w:r>
        <w:tab/>
        <w:t>(d)</w:t>
      </w:r>
      <w:r>
        <w:tab/>
        <w:t>whether the case in all respects is ready to go to trial.</w:t>
      </w:r>
    </w:p>
    <w:p w:rsidR="00425758" w:rsidRDefault="00425758">
      <w:pPr>
        <w:pStyle w:val="Subsection"/>
      </w:pPr>
      <w:r>
        <w:tab/>
        <w:t>(4)</w:t>
      </w:r>
      <w:r>
        <w:tab/>
        <w:t>At the listing conference the judge may do any or all of the following —</w:t>
      </w:r>
    </w:p>
    <w:p w:rsidR="00425758" w:rsidRDefault="00425758">
      <w:pPr>
        <w:pStyle w:val="Indenta"/>
      </w:pPr>
      <w:r>
        <w:tab/>
        <w:t>(a)</w:t>
      </w:r>
      <w:r>
        <w:tab/>
        <w:t>make any case management direction the judge considers just;</w:t>
      </w:r>
    </w:p>
    <w:p w:rsidR="00425758" w:rsidRDefault="00425758">
      <w:pPr>
        <w:pStyle w:val="Indenta"/>
      </w:pPr>
      <w:r>
        <w:tab/>
        <w:t>(b)</w:t>
      </w:r>
      <w:r>
        <w:tab/>
        <w:t>amend or cancel any case management direction made previously;</w:t>
      </w:r>
    </w:p>
    <w:p w:rsidR="00425758" w:rsidRDefault="00425758">
      <w:pPr>
        <w:pStyle w:val="Indenta"/>
      </w:pPr>
      <w:r>
        <w:tab/>
        <w:t>(c)</w:t>
      </w:r>
      <w:r>
        <w:tab/>
        <w:t xml:space="preserve">if the judge considers it is convenient to do so to facilitate the preparation for, or the conduct of, the trial, or is otherwise desirable — </w:t>
      </w:r>
    </w:p>
    <w:p w:rsidR="00425758" w:rsidRDefault="00425758">
      <w:pPr>
        <w:pStyle w:val="Indenti"/>
      </w:pPr>
      <w:r>
        <w:tab/>
        <w:t>(i)</w:t>
      </w:r>
      <w:r>
        <w:tab/>
        <w:t>after giving notice to the parties, determine any question of law; or</w:t>
      </w:r>
    </w:p>
    <w:p w:rsidR="00425758" w:rsidRDefault="00425758">
      <w:pPr>
        <w:pStyle w:val="Indenti"/>
      </w:pPr>
      <w:r>
        <w:tab/>
        <w:t>(ii)</w:t>
      </w:r>
      <w:r>
        <w:tab/>
        <w:t>determine any question of procedure.</w:t>
      </w:r>
    </w:p>
    <w:p w:rsidR="00425758" w:rsidRDefault="00425758">
      <w:pPr>
        <w:pStyle w:val="Subsection"/>
      </w:pPr>
      <w:r>
        <w:tab/>
        <w:t>(5)</w:t>
      </w:r>
      <w:r>
        <w:tab/>
        <w:t>The judge may adjourn the listing conference from time to time.</w:t>
      </w:r>
    </w:p>
    <w:p w:rsidR="00425758" w:rsidRDefault="00425758">
      <w:pPr>
        <w:pStyle w:val="Subsection"/>
      </w:pPr>
      <w:r>
        <w:tab/>
        <w:t>(6)</w:t>
      </w:r>
      <w:r>
        <w:tab/>
        <w:t>At the listing conference the judge may fix the date of the trial of the case and the length of the trial.</w:t>
      </w:r>
    </w:p>
    <w:p w:rsidR="00425758" w:rsidRDefault="00425758">
      <w:pPr>
        <w:pStyle w:val="Footnotesection"/>
      </w:pPr>
      <w:r>
        <w:tab/>
        <w:t>[Rule 20 inserted: Gazette 28 Jul 2010 p. 3458-9.]</w:t>
      </w:r>
    </w:p>
    <w:p w:rsidR="00425758" w:rsidRDefault="00425758">
      <w:pPr>
        <w:pStyle w:val="Heading3"/>
      </w:pPr>
      <w:bookmarkStart w:id="64" w:name="_Toc75511676"/>
      <w:bookmarkStart w:id="65" w:name="_Toc75862772"/>
      <w:r>
        <w:rPr>
          <w:rStyle w:val="CharDivNo"/>
        </w:rPr>
        <w:lastRenderedPageBreak/>
        <w:t>Division 5</w:t>
      </w:r>
      <w:r>
        <w:t> — </w:t>
      </w:r>
      <w:r>
        <w:rPr>
          <w:rStyle w:val="CharDivText"/>
        </w:rPr>
        <w:t>Inactive Cases List</w:t>
      </w:r>
      <w:bookmarkEnd w:id="64"/>
      <w:bookmarkEnd w:id="65"/>
    </w:p>
    <w:p w:rsidR="00425758" w:rsidRDefault="00425758">
      <w:pPr>
        <w:pStyle w:val="Footnoteheading"/>
      </w:pPr>
      <w:r>
        <w:tab/>
        <w:t>[Heading inserted: Gazette 28 Jul 2010 p. 3459.]</w:t>
      </w:r>
    </w:p>
    <w:p w:rsidR="00425758" w:rsidRDefault="00425758">
      <w:pPr>
        <w:pStyle w:val="Heading5"/>
      </w:pPr>
      <w:bookmarkStart w:id="66" w:name="_Toc75862773"/>
      <w:r>
        <w:rPr>
          <w:rStyle w:val="CharSectno"/>
        </w:rPr>
        <w:t>21</w:t>
      </w:r>
      <w:r>
        <w:t>.</w:t>
      </w:r>
      <w:r>
        <w:tab/>
        <w:t>Term used: Inactive Cases List</w:t>
      </w:r>
      <w:bookmarkEnd w:id="66"/>
    </w:p>
    <w:p w:rsidR="00425758" w:rsidRDefault="00425758">
      <w:pPr>
        <w:pStyle w:val="Subsection"/>
      </w:pPr>
      <w:r>
        <w:tab/>
      </w:r>
      <w:r>
        <w:tab/>
        <w:t>In this Division —</w:t>
      </w:r>
    </w:p>
    <w:p w:rsidR="00425758" w:rsidRDefault="00425758">
      <w:pPr>
        <w:pStyle w:val="Defstart"/>
      </w:pPr>
      <w:r>
        <w:rPr>
          <w:b/>
        </w:rPr>
        <w:tab/>
      </w:r>
      <w:r>
        <w:rPr>
          <w:rStyle w:val="CharDefText"/>
        </w:rPr>
        <w:t>Inactive Cases List</w:t>
      </w:r>
      <w:r>
        <w:t xml:space="preserve"> means a list of inactive cases kept by the Principal Registrar for the purposes of this Division.</w:t>
      </w:r>
    </w:p>
    <w:p w:rsidR="00425758" w:rsidRDefault="00425758">
      <w:pPr>
        <w:pStyle w:val="Footnotesection"/>
      </w:pPr>
      <w:r>
        <w:tab/>
        <w:t>[Rule 21 inserted: Gazette 28 Jul 2010 p. 3459; amended: Gazette 16 Aug 2017 p. 4407.]</w:t>
      </w:r>
    </w:p>
    <w:p w:rsidR="00425758" w:rsidRDefault="00425758">
      <w:pPr>
        <w:pStyle w:val="Heading5"/>
      </w:pPr>
      <w:bookmarkStart w:id="67" w:name="_Toc75862774"/>
      <w:r>
        <w:rPr>
          <w:rStyle w:val="CharSectno"/>
        </w:rPr>
        <w:t>22</w:t>
      </w:r>
      <w:r>
        <w:t>.</w:t>
      </w:r>
      <w:r>
        <w:tab/>
        <w:t>Case manager may direct party to show cause</w:t>
      </w:r>
      <w:bookmarkEnd w:id="67"/>
    </w:p>
    <w:p w:rsidR="00425758" w:rsidRDefault="00425758">
      <w:pPr>
        <w:pStyle w:val="Subsection"/>
      </w:pPr>
      <w:r>
        <w:tab/>
        <w:t>(1)</w:t>
      </w:r>
      <w:r>
        <w:tab/>
        <w:t>The case manager for a case may at any time, by notice, direct the parties to attend a hearing before a case manager to show cause why the case should not be put on the Inactive Cases List.</w:t>
      </w:r>
    </w:p>
    <w:p w:rsidR="00425758" w:rsidRDefault="00425758">
      <w:pPr>
        <w:pStyle w:val="Subsection"/>
      </w:pPr>
      <w:r>
        <w:tab/>
        <w:t>(2)</w:t>
      </w:r>
      <w:r>
        <w:tab/>
        <w:t>The date of the hearing must be at least 7 days after the date on which the direction is made.</w:t>
      </w:r>
    </w:p>
    <w:p w:rsidR="00425758" w:rsidRDefault="00425758">
      <w:pPr>
        <w:pStyle w:val="Subsection"/>
      </w:pPr>
      <w:r>
        <w:tab/>
        <w:t>(3)</w:t>
      </w:r>
      <w:r>
        <w:tab/>
        <w:t>The direction  does not prevent any party to the case from taking any procedural step in the case.</w:t>
      </w:r>
    </w:p>
    <w:p w:rsidR="00425758" w:rsidRDefault="00425758">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rsidR="00425758" w:rsidRDefault="00425758">
      <w:pPr>
        <w:pStyle w:val="Subsection"/>
      </w:pPr>
      <w:r>
        <w:tab/>
        <w:t>(5)</w:t>
      </w:r>
      <w:r>
        <w:tab/>
        <w:t>An order may be made under subrule (4) in the absence of any party.</w:t>
      </w:r>
    </w:p>
    <w:p w:rsidR="00425758" w:rsidRDefault="00425758">
      <w:pPr>
        <w:pStyle w:val="Footnotesection"/>
      </w:pPr>
      <w:r>
        <w:tab/>
        <w:t>[Rule 22 inserted: Gazette 16 Aug 2017 p. 4407.]</w:t>
      </w:r>
    </w:p>
    <w:p w:rsidR="00425758" w:rsidRDefault="00425758">
      <w:pPr>
        <w:pStyle w:val="Heading5"/>
      </w:pPr>
      <w:bookmarkStart w:id="68" w:name="_Toc75862775"/>
      <w:r>
        <w:rPr>
          <w:rStyle w:val="CharSectno"/>
        </w:rPr>
        <w:t>23</w:t>
      </w:r>
      <w:r>
        <w:t>.</w:t>
      </w:r>
      <w:r>
        <w:tab/>
        <w:t>Springing order that case be put on Inactive Cases List</w:t>
      </w:r>
      <w:bookmarkEnd w:id="68"/>
    </w:p>
    <w:p w:rsidR="00425758" w:rsidRDefault="00425758">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rsidR="00425758" w:rsidRDefault="00425758">
      <w:pPr>
        <w:pStyle w:val="Subsection"/>
      </w:pPr>
      <w:r>
        <w:lastRenderedPageBreak/>
        <w:tab/>
        <w:t>(2)</w:t>
      </w:r>
      <w:r>
        <w:tab/>
        <w:t>Unless countermanded by a judge, master or registrar, before it has effect, the order has effect according to its terms.</w:t>
      </w:r>
    </w:p>
    <w:p w:rsidR="00425758" w:rsidRDefault="00425758">
      <w:pPr>
        <w:pStyle w:val="Footnotesection"/>
        <w:ind w:left="890" w:hanging="890"/>
      </w:pPr>
      <w:r>
        <w:tab/>
        <w:t>[Rule 23 inserted: Gazette 28 Jul 2010 p. 3460.]</w:t>
      </w:r>
    </w:p>
    <w:p w:rsidR="00425758" w:rsidRDefault="00425758">
      <w:pPr>
        <w:pStyle w:val="Heading5"/>
        <w:spacing w:before="180"/>
      </w:pPr>
      <w:bookmarkStart w:id="69" w:name="_Toc75862776"/>
      <w:r>
        <w:rPr>
          <w:rStyle w:val="CharSectno"/>
        </w:rPr>
        <w:t>24</w:t>
      </w:r>
      <w:r>
        <w:t>.</w:t>
      </w:r>
      <w:r>
        <w:tab/>
        <w:t>Cases inactive for 12 months deemed inactive</w:t>
      </w:r>
      <w:bookmarkEnd w:id="69"/>
    </w:p>
    <w:p w:rsidR="00425758" w:rsidRDefault="00425758">
      <w:pPr>
        <w:pStyle w:val="Subsection"/>
        <w:spacing w:before="120"/>
      </w:pPr>
      <w:r>
        <w:tab/>
      </w:r>
      <w:r>
        <w:tab/>
        <w:t>If no procedural step is taken in a case for 12 months by any party to the case, the case is taken to be inactive unless the case manager for the case orders otherwise.</w:t>
      </w:r>
    </w:p>
    <w:p w:rsidR="00425758" w:rsidRDefault="00425758">
      <w:pPr>
        <w:pStyle w:val="Footnotesection"/>
      </w:pPr>
      <w:r>
        <w:tab/>
        <w:t>[Rule 24 inserted: Gazette 28 Jul 2010 p. 3460.]</w:t>
      </w:r>
    </w:p>
    <w:p w:rsidR="00425758" w:rsidRDefault="00425758">
      <w:pPr>
        <w:pStyle w:val="Heading5"/>
      </w:pPr>
      <w:bookmarkStart w:id="70" w:name="_Toc75862777"/>
      <w:r>
        <w:rPr>
          <w:rStyle w:val="CharSectno"/>
        </w:rPr>
        <w:t>25</w:t>
      </w:r>
      <w:r>
        <w:t>.</w:t>
      </w:r>
      <w:r>
        <w:tab/>
        <w:t>Parties to be notified of case being on Inactive Cases List</w:t>
      </w:r>
      <w:bookmarkEnd w:id="70"/>
    </w:p>
    <w:p w:rsidR="00425758" w:rsidRDefault="00425758">
      <w:pPr>
        <w:pStyle w:val="Subsection"/>
      </w:pPr>
      <w:r>
        <w:tab/>
        <w:t>(1)</w:t>
      </w:r>
      <w:r>
        <w:tab/>
        <w:t xml:space="preserve">When an order is made under rule 22(4), or an order made under rule 23(1) takes effect, or a case is taken to be inactive under rule 24, the Principal Registrar must — </w:t>
      </w:r>
    </w:p>
    <w:p w:rsidR="00425758" w:rsidRDefault="00425758">
      <w:pPr>
        <w:pStyle w:val="Indenta"/>
      </w:pPr>
      <w:r>
        <w:tab/>
        <w:t>(a)</w:t>
      </w:r>
      <w:r>
        <w:tab/>
        <w:t>put the case on the Inactive Cases List; and</w:t>
      </w:r>
    </w:p>
    <w:p w:rsidR="00425758" w:rsidRDefault="00425758">
      <w:pPr>
        <w:pStyle w:val="Indenta"/>
      </w:pPr>
      <w:r>
        <w:tab/>
        <w:t>(b)</w:t>
      </w:r>
      <w:r>
        <w:tab/>
        <w:t xml:space="preserve">give all parties to the case written notice of — </w:t>
      </w:r>
    </w:p>
    <w:p w:rsidR="00425758" w:rsidRDefault="00425758">
      <w:pPr>
        <w:pStyle w:val="Indenti"/>
      </w:pPr>
      <w:r>
        <w:tab/>
        <w:t>(i)</w:t>
      </w:r>
      <w:r>
        <w:tab/>
        <w:t>the fact that the case is on the Inactive Cases List and why; and</w:t>
      </w:r>
    </w:p>
    <w:p w:rsidR="00425758" w:rsidRDefault="00425758">
      <w:pPr>
        <w:pStyle w:val="Indenti"/>
      </w:pPr>
      <w:r>
        <w:tab/>
        <w:t>(ii)</w:t>
      </w:r>
      <w:r>
        <w:tab/>
        <w:t>the effect of rule 28.</w:t>
      </w:r>
    </w:p>
    <w:p w:rsidR="00425758" w:rsidRDefault="00425758">
      <w:pPr>
        <w:pStyle w:val="Subsection"/>
      </w:pPr>
      <w:r>
        <w:tab/>
        <w:t>(2)</w:t>
      </w:r>
      <w:r>
        <w:tab/>
        <w:t xml:space="preserve">If under subrule (1)(b) written notice is given to a party to the case by giving the notice to a practitioner for the party, the practitioner must, as soon as practicable after receiving the notice, notify the party of — </w:t>
      </w:r>
    </w:p>
    <w:p w:rsidR="00425758" w:rsidRDefault="00425758">
      <w:pPr>
        <w:pStyle w:val="Indenta"/>
      </w:pPr>
      <w:r>
        <w:tab/>
        <w:t>(a)</w:t>
      </w:r>
      <w:r>
        <w:tab/>
        <w:t>the fact that the case is on the Inactive Cases List and why; and</w:t>
      </w:r>
    </w:p>
    <w:p w:rsidR="00425758" w:rsidRDefault="00425758">
      <w:pPr>
        <w:pStyle w:val="Indenta"/>
      </w:pPr>
      <w:r>
        <w:tab/>
        <w:t>(b)</w:t>
      </w:r>
      <w:r>
        <w:tab/>
        <w:t>the effect of rule 28.</w:t>
      </w:r>
    </w:p>
    <w:p w:rsidR="00425758" w:rsidRDefault="00425758">
      <w:pPr>
        <w:pStyle w:val="Footnotesection"/>
      </w:pPr>
      <w:r>
        <w:tab/>
        <w:t>[Rule 25 inserted: Gazette 16 Aug 2017 p. 4408.]</w:t>
      </w:r>
    </w:p>
    <w:p w:rsidR="00425758" w:rsidRDefault="00425758">
      <w:pPr>
        <w:pStyle w:val="Heading5"/>
        <w:spacing w:before="180"/>
      </w:pPr>
      <w:bookmarkStart w:id="71" w:name="_Toc75862778"/>
      <w:r>
        <w:rPr>
          <w:rStyle w:val="CharSectno"/>
        </w:rPr>
        <w:t>26</w:t>
      </w:r>
      <w:r>
        <w:t>.</w:t>
      </w:r>
      <w:r>
        <w:tab/>
        <w:t>Consequences of case being on Inactive Cases List</w:t>
      </w:r>
      <w:bookmarkEnd w:id="71"/>
    </w:p>
    <w:p w:rsidR="00425758" w:rsidRDefault="00425758">
      <w:pPr>
        <w:pStyle w:val="Subsection"/>
      </w:pPr>
      <w:r>
        <w:tab/>
        <w:t>(1)</w:t>
      </w:r>
      <w:r>
        <w:tab/>
        <w:t>If a case is on the Inactive Cases List, only these documents may be filed in the Court in relation to the case —</w:t>
      </w:r>
    </w:p>
    <w:p w:rsidR="00425758" w:rsidRDefault="00425758">
      <w:pPr>
        <w:pStyle w:val="Indenta"/>
      </w:pPr>
      <w:r>
        <w:tab/>
        <w:t>(a)</w:t>
      </w:r>
      <w:r>
        <w:tab/>
        <w:t>a request for an order under rule 27(1);</w:t>
      </w:r>
    </w:p>
    <w:p w:rsidR="00425758" w:rsidRDefault="00425758">
      <w:pPr>
        <w:pStyle w:val="Indenta"/>
      </w:pPr>
      <w:r>
        <w:lastRenderedPageBreak/>
        <w:tab/>
        <w:t>(b)</w:t>
      </w:r>
      <w:r>
        <w:tab/>
        <w:t>a notice of discontinuance by the plaintiff under Order 23 rule 2;</w:t>
      </w:r>
    </w:p>
    <w:p w:rsidR="00425758" w:rsidRDefault="00425758">
      <w:pPr>
        <w:pStyle w:val="Indenta"/>
      </w:pPr>
      <w:r>
        <w:tab/>
        <w:t>(c)</w:t>
      </w:r>
      <w:r>
        <w:tab/>
        <w:t>a request made by the plaintiff or the defendant for leave under Order 23 rule 2;</w:t>
      </w:r>
    </w:p>
    <w:p w:rsidR="00425758" w:rsidRDefault="00425758">
      <w:pPr>
        <w:pStyle w:val="Indenta"/>
      </w:pPr>
      <w:r>
        <w:tab/>
        <w:t>(d)</w:t>
      </w:r>
      <w:r>
        <w:tab/>
        <w:t>a written consent under Order 43 rule 16 to the making of an order that would finally dispose of the case.</w:t>
      </w:r>
    </w:p>
    <w:p w:rsidR="00425758" w:rsidRDefault="00425758">
      <w:pPr>
        <w:pStyle w:val="Subsection"/>
      </w:pPr>
      <w:r>
        <w:tab/>
        <w:t>(2)</w:t>
      </w:r>
      <w:r>
        <w:tab/>
        <w:t>If the plaintiff or defendant in a case on the Inactive Cases List files a request for leave under Order 23 rule 2, the Court may grant leave under that rule even though the case has not been removed from that list.</w:t>
      </w:r>
    </w:p>
    <w:p w:rsidR="00425758" w:rsidRDefault="00425758">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rsidR="00425758" w:rsidRDefault="00425758">
      <w:pPr>
        <w:pStyle w:val="Footnotesection"/>
      </w:pPr>
      <w:r>
        <w:tab/>
        <w:t>[Rule 26 inserted: Gazette 12 Jun 2012 p. 2445-6; amended: Gazette 16 Aug 2017 p. 4408</w:t>
      </w:r>
      <w:r>
        <w:noBreakHyphen/>
        <w:t>9.]</w:t>
      </w:r>
    </w:p>
    <w:p w:rsidR="00425758" w:rsidRDefault="00425758">
      <w:pPr>
        <w:pStyle w:val="Heading5"/>
      </w:pPr>
      <w:bookmarkStart w:id="72" w:name="_Toc75862779"/>
      <w:r>
        <w:rPr>
          <w:rStyle w:val="CharSectno"/>
        </w:rPr>
        <w:t>27</w:t>
      </w:r>
      <w:r>
        <w:t>.</w:t>
      </w:r>
      <w:r>
        <w:tab/>
        <w:t>Removing cases from Inactive Cases List</w:t>
      </w:r>
      <w:bookmarkEnd w:id="72"/>
    </w:p>
    <w:p w:rsidR="00425758" w:rsidRDefault="00425758">
      <w:pPr>
        <w:pStyle w:val="Subsection"/>
      </w:pPr>
      <w:r>
        <w:tab/>
        <w:t>(1)</w:t>
      </w:r>
      <w:r>
        <w:tab/>
        <w:t>Any party to a case on the Inactive Cases List may make a request to the Court for an order that the case be taken off the Inactive Cases List.</w:t>
      </w:r>
    </w:p>
    <w:p w:rsidR="00425758" w:rsidRDefault="00425758">
      <w:pPr>
        <w:pStyle w:val="Subsection"/>
      </w:pPr>
      <w:r>
        <w:tab/>
        <w:t>(2)</w:t>
      </w:r>
      <w:r>
        <w:tab/>
        <w:t>The Court may order a case be taken off the Inactive Cases List if satisfied the case will be conducted in a timely way or for any other good reason.</w:t>
      </w:r>
    </w:p>
    <w:p w:rsidR="00425758" w:rsidRDefault="00425758">
      <w:pPr>
        <w:pStyle w:val="Subsection"/>
      </w:pPr>
      <w:r>
        <w:tab/>
        <w:t>(3)</w:t>
      </w:r>
      <w:r>
        <w:tab/>
        <w:t>An order that a case be taken off the Inactive Cases List may include any conditions necessary to ensure the case is conducted in a timely way.</w:t>
      </w:r>
    </w:p>
    <w:p w:rsidR="00425758" w:rsidRDefault="00425758">
      <w:pPr>
        <w:pStyle w:val="Footnotesection"/>
      </w:pPr>
      <w:r>
        <w:tab/>
        <w:t>[Rule 27 inserted: Gazette 28 Jul 2010 p. 3461; amended: Gazette 16 Aug 2017 p. 4409.]</w:t>
      </w:r>
    </w:p>
    <w:p w:rsidR="00425758" w:rsidRDefault="00425758">
      <w:pPr>
        <w:pStyle w:val="Heading5"/>
      </w:pPr>
      <w:bookmarkStart w:id="73" w:name="_Toc75862780"/>
      <w:r>
        <w:rPr>
          <w:rStyle w:val="CharSectno"/>
        </w:rPr>
        <w:t>28</w:t>
      </w:r>
      <w:r>
        <w:t>.</w:t>
      </w:r>
      <w:r>
        <w:tab/>
        <w:t>Certain cases taken to have been dismissed</w:t>
      </w:r>
      <w:bookmarkEnd w:id="73"/>
    </w:p>
    <w:p w:rsidR="00425758" w:rsidRDefault="00425758">
      <w:pPr>
        <w:pStyle w:val="Subsection"/>
      </w:pPr>
      <w:r>
        <w:tab/>
        <w:t>(1)</w:t>
      </w:r>
      <w:r>
        <w:tab/>
        <w:t xml:space="preserve">If a case is on the Inactive Cases List for 6 continuous months after the date on which notice is given under rule 25(1)(b) to the </w:t>
      </w:r>
      <w:r>
        <w:lastRenderedPageBreak/>
        <w:t>parties to the case, the case is taken to have been dismissed for want of prosecution.</w:t>
      </w:r>
    </w:p>
    <w:p w:rsidR="00425758" w:rsidRDefault="00425758">
      <w:pPr>
        <w:pStyle w:val="Subsection"/>
      </w:pPr>
      <w:r>
        <w:tab/>
        <w:t>(1A)</w:t>
      </w:r>
      <w:r>
        <w:tab/>
        <w:t>If notice is given under rule 25(1)(b) to different parties to the case on different dates, then, for the purposes of subrule (1), notice is taken to have been given on the last of those dates.</w:t>
      </w:r>
    </w:p>
    <w:p w:rsidR="00425758" w:rsidRDefault="00425758">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rsidR="00425758" w:rsidRDefault="00425758">
      <w:pPr>
        <w:pStyle w:val="Subsection"/>
      </w:pPr>
      <w:r>
        <w:tab/>
        <w:t>(3)</w:t>
      </w:r>
      <w:r>
        <w:tab/>
        <w:t>If under subrule (1) or (2) a case is dismissed, the Principal Registrar must give all parties to the case written notice of the fact.</w:t>
      </w:r>
    </w:p>
    <w:p w:rsidR="00425758" w:rsidRDefault="00425758">
      <w:pPr>
        <w:pStyle w:val="Subsection"/>
      </w:pPr>
      <w:r>
        <w:tab/>
        <w:t>(4)</w:t>
      </w:r>
      <w:r>
        <w:tab/>
        <w:t>Notwithstanding a case is dismissed under subrule (1) or (2) —</w:t>
      </w:r>
    </w:p>
    <w:p w:rsidR="00425758" w:rsidRDefault="00425758">
      <w:pPr>
        <w:pStyle w:val="Indenta"/>
      </w:pPr>
      <w:r>
        <w:tab/>
        <w:t>(a)</w:t>
      </w:r>
      <w:r>
        <w:tab/>
        <w:t>any party to the case may apply for an order for costs; and</w:t>
      </w:r>
    </w:p>
    <w:p w:rsidR="00425758" w:rsidRDefault="00425758">
      <w:pPr>
        <w:pStyle w:val="Indenta"/>
      </w:pPr>
      <w:r>
        <w:tab/>
        <w:t>(b)</w:t>
      </w:r>
      <w:r>
        <w:tab/>
        <w:t>the Court may make an order as to costs.</w:t>
      </w:r>
    </w:p>
    <w:p w:rsidR="00425758" w:rsidRDefault="00425758">
      <w:pPr>
        <w:pStyle w:val="Footnotesection"/>
      </w:pPr>
      <w:r>
        <w:tab/>
        <w:t>[Rule 28 inserted: Gazette 28 Jul 2010 p. 3461; amended: Gazette 12 Jun 2012 p. 2446; 16 Aug 2017 p. 4409.]</w:t>
      </w:r>
    </w:p>
    <w:p w:rsidR="00425758" w:rsidRDefault="00425758">
      <w:pPr>
        <w:pStyle w:val="Heading2"/>
        <w:rPr>
          <w:b w:val="0"/>
        </w:rPr>
      </w:pPr>
      <w:bookmarkStart w:id="74" w:name="_Toc75511685"/>
      <w:bookmarkStart w:id="75" w:name="_Toc75862781"/>
      <w:r>
        <w:rPr>
          <w:rStyle w:val="CharPartNo"/>
        </w:rPr>
        <w:lastRenderedPageBreak/>
        <w:t>Order 4</w:t>
      </w:r>
      <w:r>
        <w:rPr>
          <w:rStyle w:val="CharDivNo"/>
        </w:rPr>
        <w:t> </w:t>
      </w:r>
      <w:r>
        <w:t>—</w:t>
      </w:r>
      <w:r>
        <w:rPr>
          <w:rStyle w:val="CharDivText"/>
        </w:rPr>
        <w:t> </w:t>
      </w:r>
      <w:r>
        <w:rPr>
          <w:rStyle w:val="CharPartText"/>
        </w:rPr>
        <w:t>Mode of commencing proceedings: applications in pending proceedings</w:t>
      </w:r>
      <w:bookmarkEnd w:id="74"/>
      <w:bookmarkEnd w:id="75"/>
    </w:p>
    <w:p w:rsidR="00425758" w:rsidRDefault="00425758">
      <w:pPr>
        <w:pStyle w:val="Heading5"/>
        <w:rPr>
          <w:snapToGrid w:val="0"/>
        </w:rPr>
      </w:pPr>
      <w:bookmarkStart w:id="76" w:name="_Toc75862782"/>
      <w:r>
        <w:rPr>
          <w:rStyle w:val="CharSectno"/>
        </w:rPr>
        <w:t>1</w:t>
      </w:r>
      <w:r>
        <w:rPr>
          <w:snapToGrid w:val="0"/>
        </w:rPr>
        <w:t>.</w:t>
      </w:r>
      <w:r>
        <w:rPr>
          <w:snapToGrid w:val="0"/>
        </w:rPr>
        <w:tab/>
        <w:t>Commencing civil proceedings</w:t>
      </w:r>
      <w:bookmarkEnd w:id="76"/>
    </w:p>
    <w:p w:rsidR="00425758" w:rsidRDefault="00425758">
      <w:pPr>
        <w:pStyle w:val="Subsection"/>
      </w:pPr>
      <w:r>
        <w:tab/>
      </w:r>
      <w:r>
        <w:tab/>
        <w:t>Subject to the provisions of any Act and of these rules — </w:t>
      </w:r>
    </w:p>
    <w:p w:rsidR="00425758" w:rsidRDefault="00425758">
      <w:pPr>
        <w:pStyle w:val="Indenta"/>
      </w:pPr>
      <w:r>
        <w:tab/>
        <w:t>(a)</w:t>
      </w:r>
      <w:r>
        <w:tab/>
        <w:t>every action in the Court must be commenced by writ;</w:t>
      </w:r>
    </w:p>
    <w:p w:rsidR="00425758" w:rsidRDefault="00425758">
      <w:pPr>
        <w:pStyle w:val="Indenta"/>
      </w:pPr>
      <w:r>
        <w:tab/>
        <w:t>(b)</w:t>
      </w:r>
      <w:r>
        <w:tab/>
        <w:t>civil proceedings between parties to be heard in chambers must be commenced by originating summons;</w:t>
      </w:r>
    </w:p>
    <w:p w:rsidR="00425758" w:rsidRDefault="00425758">
      <w:pPr>
        <w:pStyle w:val="Indenta"/>
      </w:pPr>
      <w:r>
        <w:tab/>
        <w:t>(c)</w:t>
      </w:r>
      <w:r>
        <w:tab/>
        <w:t>all other civil proceedings must be commenced by originating motion.</w:t>
      </w:r>
    </w:p>
    <w:p w:rsidR="00425758" w:rsidRDefault="00425758">
      <w:pPr>
        <w:pStyle w:val="Heading5"/>
      </w:pPr>
      <w:bookmarkStart w:id="77" w:name="_Toc75862783"/>
      <w:r>
        <w:rPr>
          <w:rStyle w:val="CharSectno"/>
        </w:rPr>
        <w:t>2</w:t>
      </w:r>
      <w:r>
        <w:t>.</w:t>
      </w:r>
      <w:r>
        <w:tab/>
        <w:t>Applications in pending proceedings</w:t>
      </w:r>
      <w:bookmarkEnd w:id="77"/>
      <w:r>
        <w:t xml:space="preserve"> </w:t>
      </w:r>
    </w:p>
    <w:p w:rsidR="00425758" w:rsidRDefault="00425758">
      <w:pPr>
        <w:pStyle w:val="Subsection"/>
      </w:pPr>
      <w:r>
        <w:tab/>
      </w:r>
      <w:r>
        <w:tab/>
        <w:t>Applications in pending proceedings must be made — </w:t>
      </w:r>
    </w:p>
    <w:p w:rsidR="00425758" w:rsidRDefault="00425758">
      <w:pPr>
        <w:pStyle w:val="Indenta"/>
      </w:pPr>
      <w:r>
        <w:tab/>
        <w:t>(a)</w:t>
      </w:r>
      <w:r>
        <w:tab/>
        <w:t>if in court, by motion;</w:t>
      </w:r>
    </w:p>
    <w:p w:rsidR="00425758" w:rsidRDefault="00425758">
      <w:pPr>
        <w:pStyle w:val="Indenta"/>
      </w:pPr>
      <w:r>
        <w:tab/>
        <w:t>(b)</w:t>
      </w:r>
      <w:r>
        <w:tab/>
        <w:t>if in chambers, in accordance with Order 59.</w:t>
      </w:r>
    </w:p>
    <w:p w:rsidR="00425758" w:rsidRDefault="00425758">
      <w:pPr>
        <w:pStyle w:val="Footnotesection"/>
      </w:pPr>
      <w:r>
        <w:tab/>
        <w:t xml:space="preserve">[Rule 2 amended: Gazette 28 Oct 1996 p. 5674.] </w:t>
      </w:r>
    </w:p>
    <w:p w:rsidR="00425758" w:rsidRDefault="00425758">
      <w:pPr>
        <w:pStyle w:val="Heading5"/>
        <w:rPr>
          <w:snapToGrid w:val="0"/>
        </w:rPr>
      </w:pPr>
      <w:bookmarkStart w:id="78" w:name="_Toc75862784"/>
      <w:r>
        <w:rPr>
          <w:rStyle w:val="CharSectno"/>
        </w:rPr>
        <w:t>3</w:t>
      </w:r>
      <w:r>
        <w:rPr>
          <w:snapToGrid w:val="0"/>
        </w:rPr>
        <w:t>.</w:t>
      </w:r>
      <w:r>
        <w:rPr>
          <w:snapToGrid w:val="0"/>
        </w:rPr>
        <w:tab/>
        <w:t>Individual may act in person or by solicitor; body corporate must act by solicitor</w:t>
      </w:r>
      <w:bookmarkEnd w:id="78"/>
    </w:p>
    <w:p w:rsidR="00425758" w:rsidRDefault="00425758">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rsidR="00425758" w:rsidRDefault="00425758">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rsidR="00425758" w:rsidRDefault="00425758">
      <w:pPr>
        <w:pStyle w:val="Footnotesection"/>
      </w:pPr>
      <w:r>
        <w:tab/>
        <w:t>[Rule 3 amended: Gazette 28 Jun 2011 p. 2552.]</w:t>
      </w:r>
    </w:p>
    <w:p w:rsidR="00425758" w:rsidRDefault="00425758">
      <w:pPr>
        <w:pStyle w:val="Heading2"/>
      </w:pPr>
      <w:bookmarkStart w:id="79" w:name="_Toc75511689"/>
      <w:bookmarkStart w:id="80" w:name="_Toc75862785"/>
      <w:r>
        <w:rPr>
          <w:rStyle w:val="CharPartNo"/>
        </w:rPr>
        <w:lastRenderedPageBreak/>
        <w:t>Order 4AA</w:t>
      </w:r>
      <w:r>
        <w:rPr>
          <w:rStyle w:val="CharDivNo"/>
        </w:rPr>
        <w:t> </w:t>
      </w:r>
      <w:r>
        <w:t>—</w:t>
      </w:r>
      <w:r>
        <w:rPr>
          <w:rStyle w:val="CharDivText"/>
        </w:rPr>
        <w:t> </w:t>
      </w:r>
      <w:r>
        <w:rPr>
          <w:rStyle w:val="CharPartText"/>
        </w:rPr>
        <w:t>Mortgage actions</w:t>
      </w:r>
      <w:bookmarkEnd w:id="79"/>
      <w:bookmarkEnd w:id="80"/>
    </w:p>
    <w:p w:rsidR="00425758" w:rsidRDefault="00425758">
      <w:pPr>
        <w:pStyle w:val="Footnoteheading"/>
      </w:pPr>
      <w:r>
        <w:tab/>
        <w:t>[Heading inserted: Gazette 16 Nov 2016 p. 5186.]</w:t>
      </w:r>
    </w:p>
    <w:p w:rsidR="00425758" w:rsidRDefault="00425758">
      <w:pPr>
        <w:pStyle w:val="Heading5"/>
      </w:pPr>
      <w:bookmarkStart w:id="81" w:name="_Toc75862786"/>
      <w:r>
        <w:rPr>
          <w:rStyle w:val="CharSectno"/>
        </w:rPr>
        <w:t>1</w:t>
      </w:r>
      <w:r>
        <w:t>.</w:t>
      </w:r>
      <w:r>
        <w:tab/>
        <w:t>Terms used</w:t>
      </w:r>
      <w:bookmarkEnd w:id="81"/>
    </w:p>
    <w:p w:rsidR="00425758" w:rsidRDefault="00425758">
      <w:pPr>
        <w:pStyle w:val="Subsection"/>
      </w:pPr>
      <w:r>
        <w:tab/>
        <w:t>(1)</w:t>
      </w:r>
      <w:r>
        <w:tab/>
        <w:t xml:space="preserve">In this Order — </w:t>
      </w:r>
    </w:p>
    <w:p w:rsidR="00425758" w:rsidRDefault="00425758">
      <w:pPr>
        <w:pStyle w:val="Defstart"/>
      </w:pPr>
      <w:r>
        <w:tab/>
      </w:r>
      <w:r>
        <w:rPr>
          <w:rStyle w:val="CharDefText"/>
        </w:rPr>
        <w:t>mortgage</w:t>
      </w:r>
      <w:r>
        <w:t xml:space="preserve"> includes a legal and an equitable mortgage and a legal and an equitable charge, whether or not the mortgage or charge is registered under the </w:t>
      </w:r>
      <w:r>
        <w:rPr>
          <w:i/>
        </w:rPr>
        <w:t>Transfer of Land Act 1893</w:t>
      </w:r>
      <w:r>
        <w:t>;</w:t>
      </w:r>
    </w:p>
    <w:p w:rsidR="00425758" w:rsidRDefault="00425758">
      <w:pPr>
        <w:pStyle w:val="Defstart"/>
      </w:pPr>
      <w:r>
        <w:tab/>
      </w:r>
      <w:r>
        <w:rPr>
          <w:rStyle w:val="CharDefText"/>
        </w:rPr>
        <w:t>mortgage action</w:t>
      </w:r>
      <w:r>
        <w:t xml:space="preserve"> means proceedings to which this Order applies.</w:t>
      </w:r>
    </w:p>
    <w:p w:rsidR="00425758" w:rsidRDefault="00425758">
      <w:pPr>
        <w:pStyle w:val="Subsection"/>
      </w:pPr>
      <w:r>
        <w:tab/>
        <w:t>(2)</w:t>
      </w:r>
      <w:r>
        <w:tab/>
        <w:t xml:space="preserve">In this Order, </w:t>
      </w:r>
      <w:r>
        <w:rPr>
          <w:rStyle w:val="CharDefText"/>
        </w:rPr>
        <w:t>mortgagee</w:t>
      </w:r>
      <w:r>
        <w:t xml:space="preserve"> and </w:t>
      </w:r>
      <w:r>
        <w:rPr>
          <w:rStyle w:val="CharDefText"/>
        </w:rPr>
        <w:t>mortgagor</w:t>
      </w:r>
      <w:r>
        <w:t xml:space="preserve"> have meanings that correspond to the meaning of </w:t>
      </w:r>
      <w:r>
        <w:rPr>
          <w:b/>
          <w:i/>
        </w:rPr>
        <w:t>mortgage</w:t>
      </w:r>
      <w:r>
        <w:t>.</w:t>
      </w:r>
    </w:p>
    <w:p w:rsidR="00425758" w:rsidRDefault="00425758">
      <w:pPr>
        <w:pStyle w:val="Footnotesection"/>
      </w:pPr>
      <w:r>
        <w:tab/>
        <w:t>[Rule 1 inserted: Gazette 16 Nov 2016 p. 5186.]</w:t>
      </w:r>
    </w:p>
    <w:p w:rsidR="00425758" w:rsidRDefault="00425758">
      <w:pPr>
        <w:pStyle w:val="Heading5"/>
      </w:pPr>
      <w:bookmarkStart w:id="82" w:name="_Toc75862787"/>
      <w:r>
        <w:rPr>
          <w:rStyle w:val="CharSectno"/>
        </w:rPr>
        <w:t>2</w:t>
      </w:r>
      <w:r>
        <w:t>.</w:t>
      </w:r>
      <w:r>
        <w:tab/>
        <w:t>Application</w:t>
      </w:r>
      <w:bookmarkEnd w:id="82"/>
    </w:p>
    <w:p w:rsidR="00425758" w:rsidRDefault="00425758">
      <w:pPr>
        <w:pStyle w:val="Subsection"/>
      </w:pPr>
      <w:r>
        <w:tab/>
        <w:t>(1)</w:t>
      </w:r>
      <w:r>
        <w:tab/>
        <w:t xml:space="preserve">This Order applies to any proceedings by a mortgagee or mortgagor, or by any person who has the right to foreclose or redeem any mortgage, if in the proceedings there is a claim for relief of any of the following kinds — </w:t>
      </w:r>
    </w:p>
    <w:p w:rsidR="00425758" w:rsidRDefault="00425758">
      <w:pPr>
        <w:pStyle w:val="Indenta"/>
      </w:pPr>
      <w:r>
        <w:tab/>
        <w:t>(a)</w:t>
      </w:r>
      <w:r>
        <w:tab/>
        <w:t xml:space="preserve">delivery of possession (whether before or after foreclosure or without foreclosure) to the mortgagee by — </w:t>
      </w:r>
    </w:p>
    <w:p w:rsidR="00425758" w:rsidRDefault="00425758">
      <w:pPr>
        <w:pStyle w:val="Indenti"/>
      </w:pPr>
      <w:r>
        <w:tab/>
        <w:t>(i)</w:t>
      </w:r>
      <w:r>
        <w:tab/>
        <w:t>the mortgagor; or</w:t>
      </w:r>
    </w:p>
    <w:p w:rsidR="00425758" w:rsidRDefault="00425758">
      <w:pPr>
        <w:pStyle w:val="Indenti"/>
      </w:pPr>
      <w:r>
        <w:tab/>
        <w:t>(ii)</w:t>
      </w:r>
      <w:r>
        <w:tab/>
        <w:t>any other person who is, or is alleged to be, in possession of the property;</w:t>
      </w:r>
    </w:p>
    <w:p w:rsidR="00425758" w:rsidRDefault="00425758">
      <w:pPr>
        <w:pStyle w:val="Indenta"/>
      </w:pPr>
      <w:r>
        <w:tab/>
        <w:t>(b)</w:t>
      </w:r>
      <w:r>
        <w:tab/>
        <w:t>foreclosure;</w:t>
      </w:r>
    </w:p>
    <w:p w:rsidR="00425758" w:rsidRDefault="00425758">
      <w:pPr>
        <w:pStyle w:val="Indenta"/>
      </w:pPr>
      <w:r>
        <w:tab/>
        <w:t>(c)</w:t>
      </w:r>
      <w:r>
        <w:tab/>
        <w:t>sale of the mortgaged property;</w:t>
      </w:r>
    </w:p>
    <w:p w:rsidR="00425758" w:rsidRDefault="00425758">
      <w:pPr>
        <w:pStyle w:val="Indenta"/>
      </w:pPr>
      <w:r>
        <w:tab/>
        <w:t>(d)</w:t>
      </w:r>
      <w:r>
        <w:tab/>
        <w:t>redemption;</w:t>
      </w:r>
    </w:p>
    <w:p w:rsidR="00425758" w:rsidRDefault="00425758">
      <w:pPr>
        <w:pStyle w:val="Indenta"/>
      </w:pPr>
      <w:r>
        <w:tab/>
        <w:t>(e)</w:t>
      </w:r>
      <w:r>
        <w:tab/>
        <w:t>reconveyance of the property or its release from the security;</w:t>
      </w:r>
    </w:p>
    <w:p w:rsidR="00425758" w:rsidRDefault="00425758">
      <w:pPr>
        <w:pStyle w:val="Indenta"/>
      </w:pPr>
      <w:r>
        <w:tab/>
        <w:t>(f)</w:t>
      </w:r>
      <w:r>
        <w:tab/>
        <w:t>delivery of possession by the mortgagee.</w:t>
      </w:r>
    </w:p>
    <w:p w:rsidR="00425758" w:rsidRDefault="00425758">
      <w:pPr>
        <w:pStyle w:val="Subsection"/>
      </w:pPr>
      <w:r>
        <w:lastRenderedPageBreak/>
        <w:tab/>
        <w:t>(2)</w:t>
      </w:r>
      <w:r>
        <w:tab/>
        <w:t xml:space="preserve">Nothing in this Order extends or affects the powers of sale or foreclosure conferred by the </w:t>
      </w:r>
      <w:r>
        <w:rPr>
          <w:i/>
        </w:rPr>
        <w:t>Transfer of Land Act 1893</w:t>
      </w:r>
      <w:r>
        <w:t xml:space="preserve"> Part IV Division 3.</w:t>
      </w:r>
    </w:p>
    <w:p w:rsidR="00425758" w:rsidRDefault="00425758">
      <w:pPr>
        <w:pStyle w:val="Footnotesection"/>
      </w:pPr>
      <w:r>
        <w:tab/>
        <w:t>[Rule 2 inserted: Gazette 16 Nov 2016 p. 5186</w:t>
      </w:r>
      <w:r>
        <w:noBreakHyphen/>
        <w:t>7.]</w:t>
      </w:r>
    </w:p>
    <w:p w:rsidR="00425758" w:rsidRDefault="00425758">
      <w:pPr>
        <w:pStyle w:val="Heading5"/>
      </w:pPr>
      <w:bookmarkStart w:id="83" w:name="_Toc75862788"/>
      <w:r>
        <w:rPr>
          <w:rStyle w:val="CharSectno"/>
        </w:rPr>
        <w:t>3</w:t>
      </w:r>
      <w:r>
        <w:t>.</w:t>
      </w:r>
      <w:r>
        <w:tab/>
        <w:t>Commencing mortgage actions</w:t>
      </w:r>
      <w:bookmarkEnd w:id="83"/>
    </w:p>
    <w:p w:rsidR="00425758" w:rsidRDefault="00425758">
      <w:pPr>
        <w:pStyle w:val="Subsection"/>
      </w:pPr>
      <w:r>
        <w:tab/>
        <w:t>(1)</w:t>
      </w:r>
      <w:r>
        <w:tab/>
        <w:t>A mortgage action must be begun by writ unless the mortgage action is a defendant’s application for an order for delivery of possession referred to in subrule (3).</w:t>
      </w:r>
    </w:p>
    <w:p w:rsidR="00425758" w:rsidRDefault="00425758">
      <w:pPr>
        <w:pStyle w:val="Subsection"/>
      </w:pPr>
      <w:r>
        <w:tab/>
        <w:t>(2)</w:t>
      </w:r>
      <w:r>
        <w:tab/>
        <w:t>If the writ is indorsed with a claim for relief of a kind referred to in rule 2(1)(a), (b) or (c), a notice in Form 4 must be attached to the front of the writ when the writ is served.</w:t>
      </w:r>
    </w:p>
    <w:p w:rsidR="00425758" w:rsidRDefault="00425758">
      <w:pPr>
        <w:pStyle w:val="Subsection"/>
      </w:pPr>
      <w:r>
        <w:tab/>
        <w:t>(3)</w:t>
      </w:r>
      <w:r>
        <w:tab/>
        <w:t xml:space="preserve">A defendant in a mortgage action for redemption may apply by motion or summons for an order for delivery to the defendant of possession of the mortgaged property if — </w:t>
      </w:r>
    </w:p>
    <w:p w:rsidR="00425758" w:rsidRDefault="00425758">
      <w:pPr>
        <w:pStyle w:val="Indenta"/>
      </w:pPr>
      <w:r>
        <w:tab/>
        <w:t>(a)</w:t>
      </w:r>
      <w:r>
        <w:tab/>
        <w:t>the plaintiff has failed to redeem; and</w:t>
      </w:r>
    </w:p>
    <w:p w:rsidR="00425758" w:rsidRDefault="00425758">
      <w:pPr>
        <w:pStyle w:val="Indenta"/>
      </w:pPr>
      <w:r>
        <w:tab/>
        <w:t>(b)</w:t>
      </w:r>
      <w:r>
        <w:tab/>
        <w:t>foreclosure has taken place.</w:t>
      </w:r>
    </w:p>
    <w:p w:rsidR="00425758" w:rsidRDefault="00425758">
      <w:pPr>
        <w:pStyle w:val="Subsection"/>
      </w:pPr>
      <w:r>
        <w:tab/>
        <w:t>(4)</w:t>
      </w:r>
      <w:r>
        <w:tab/>
        <w:t>On an application made under subrule (3) the Court may make whatever order it thinks fit.</w:t>
      </w:r>
    </w:p>
    <w:p w:rsidR="00425758" w:rsidRDefault="00425758">
      <w:pPr>
        <w:pStyle w:val="Footnotesection"/>
      </w:pPr>
      <w:r>
        <w:tab/>
        <w:t>[Rule 3 inserted: Gazette 16 Nov 2016 p. 5187.]</w:t>
      </w:r>
    </w:p>
    <w:p w:rsidR="00425758" w:rsidRDefault="00425758">
      <w:pPr>
        <w:pStyle w:val="Heading5"/>
      </w:pPr>
      <w:bookmarkStart w:id="84" w:name="_Toc75862789"/>
      <w:r>
        <w:rPr>
          <w:rStyle w:val="CharSectno"/>
        </w:rPr>
        <w:t>4</w:t>
      </w:r>
      <w:r>
        <w:t>.</w:t>
      </w:r>
      <w:r>
        <w:tab/>
        <w:t>Transitional provision for former Order 62A</w:t>
      </w:r>
      <w:bookmarkEnd w:id="84"/>
    </w:p>
    <w:p w:rsidR="00425758" w:rsidRDefault="00425758">
      <w:pPr>
        <w:pStyle w:val="Subsection"/>
      </w:pPr>
      <w:r>
        <w:tab/>
        <w:t>(1)</w:t>
      </w:r>
      <w:r>
        <w:tab/>
        <w:t xml:space="preserve">In this rule — </w:t>
      </w:r>
    </w:p>
    <w:p w:rsidR="00425758" w:rsidRDefault="00425758">
      <w:pPr>
        <w:pStyle w:val="Defstart"/>
      </w:pPr>
      <w:r>
        <w:tab/>
      </w:r>
      <w:r>
        <w:rPr>
          <w:rStyle w:val="CharDefText"/>
        </w:rPr>
        <w:t>commencement day</w:t>
      </w:r>
      <w:r>
        <w:t xml:space="preserve"> means the day on which the </w:t>
      </w:r>
      <w:r>
        <w:rPr>
          <w:i/>
        </w:rPr>
        <w:t>Supreme Court Amendment Rules 2016</w:t>
      </w:r>
      <w:r>
        <w:t xml:space="preserve"> rule 13 comes into operation;</w:t>
      </w:r>
    </w:p>
    <w:p w:rsidR="00425758" w:rsidRDefault="00425758">
      <w:pPr>
        <w:pStyle w:val="Defstart"/>
      </w:pPr>
      <w:r>
        <w:tab/>
      </w:r>
      <w:r>
        <w:rPr>
          <w:rStyle w:val="CharDefText"/>
        </w:rPr>
        <w:t>former Order 62A</w:t>
      </w:r>
      <w:r>
        <w:t xml:space="preserve"> means Order 62A as in effect immediately before it was deleted by the </w:t>
      </w:r>
      <w:r>
        <w:rPr>
          <w:i/>
        </w:rPr>
        <w:t>Supreme Court Amendment Rules 2016</w:t>
      </w:r>
      <w:r>
        <w:t xml:space="preserve"> rule 13;</w:t>
      </w:r>
    </w:p>
    <w:p w:rsidR="00425758" w:rsidRDefault="00425758">
      <w:pPr>
        <w:pStyle w:val="Defstart"/>
      </w:pPr>
      <w:r>
        <w:tab/>
      </w:r>
      <w:r>
        <w:rPr>
          <w:rStyle w:val="CharDefText"/>
        </w:rPr>
        <w:t>transitional proceedings</w:t>
      </w:r>
      <w:r>
        <w:t xml:space="preserve"> means proceedings to which former Order 62A applied immediately before commencement day.</w:t>
      </w:r>
    </w:p>
    <w:p w:rsidR="00425758" w:rsidRDefault="00425758">
      <w:pPr>
        <w:pStyle w:val="Subsection"/>
        <w:keepNext/>
      </w:pPr>
      <w:r>
        <w:lastRenderedPageBreak/>
        <w:tab/>
        <w:t>(2)</w:t>
      </w:r>
      <w:r>
        <w:tab/>
        <w:t xml:space="preserve">Former Order 62A applies to and in relation to the following as if former Order 62A had not been deleted — </w:t>
      </w:r>
    </w:p>
    <w:p w:rsidR="00425758" w:rsidRDefault="00425758">
      <w:pPr>
        <w:pStyle w:val="Indenta"/>
      </w:pPr>
      <w:r>
        <w:tab/>
        <w:t>(a)</w:t>
      </w:r>
      <w:r>
        <w:tab/>
        <w:t>transitional proceedings begun by originating summons before commencement day;</w:t>
      </w:r>
    </w:p>
    <w:p w:rsidR="00425758" w:rsidRDefault="00425758">
      <w:pPr>
        <w:pStyle w:val="Indenta"/>
      </w:pPr>
      <w:r>
        <w:tab/>
        <w:t>(b)</w:t>
      </w:r>
      <w:r>
        <w:tab/>
        <w:t>transitional proceedings begun by writ if the writ was served before commencement day.</w:t>
      </w:r>
    </w:p>
    <w:p w:rsidR="00425758" w:rsidRDefault="00425758">
      <w:pPr>
        <w:pStyle w:val="Footnotesection"/>
      </w:pPr>
      <w:r>
        <w:tab/>
        <w:t>[Rule 4 inserted: Gazette 16 Nov 2016 p. 5187</w:t>
      </w:r>
      <w:r>
        <w:noBreakHyphen/>
        <w:t>8.]</w:t>
      </w:r>
    </w:p>
    <w:p w:rsidR="00425758" w:rsidRDefault="00425758">
      <w:pPr>
        <w:pStyle w:val="Heading2"/>
        <w:rPr>
          <w:b w:val="0"/>
        </w:rPr>
      </w:pPr>
      <w:bookmarkStart w:id="85" w:name="_Toc75511694"/>
      <w:bookmarkStart w:id="86" w:name="_Toc75862790"/>
      <w:r>
        <w:rPr>
          <w:rStyle w:val="CharPartNo"/>
        </w:rPr>
        <w:lastRenderedPageBreak/>
        <w:t>Order 5</w:t>
      </w:r>
      <w:r>
        <w:t> — </w:t>
      </w:r>
      <w:r>
        <w:rPr>
          <w:rStyle w:val="CharPartText"/>
        </w:rPr>
        <w:t>Writs of summons</w:t>
      </w:r>
      <w:bookmarkEnd w:id="85"/>
      <w:bookmarkEnd w:id="86"/>
    </w:p>
    <w:p w:rsidR="00425758" w:rsidRDefault="00425758">
      <w:pPr>
        <w:pStyle w:val="Heading5"/>
        <w:rPr>
          <w:snapToGrid w:val="0"/>
        </w:rPr>
      </w:pPr>
      <w:bookmarkStart w:id="87" w:name="_Toc75862791"/>
      <w:r>
        <w:rPr>
          <w:rStyle w:val="CharSectno"/>
        </w:rPr>
        <w:t>1</w:t>
      </w:r>
      <w:r>
        <w:rPr>
          <w:snapToGrid w:val="0"/>
        </w:rPr>
        <w:t>.</w:t>
      </w:r>
      <w:r>
        <w:rPr>
          <w:snapToGrid w:val="0"/>
        </w:rPr>
        <w:tab/>
        <w:t>Form of writ</w:t>
      </w:r>
      <w:bookmarkEnd w:id="87"/>
      <w:r>
        <w:rPr>
          <w:snapToGrid w:val="0"/>
        </w:rPr>
        <w:t xml:space="preserve"> </w:t>
      </w:r>
    </w:p>
    <w:p w:rsidR="00425758" w:rsidRDefault="00425758">
      <w:pPr>
        <w:pStyle w:val="Subsection"/>
      </w:pPr>
      <w:r>
        <w:tab/>
      </w:r>
      <w:r>
        <w:tab/>
        <w:t>The writ for the commencement of an action, shall, except in the cases in which any different form is provided in these rules, be in Form No. 1 or 2, whichever is appropriate.</w:t>
      </w:r>
    </w:p>
    <w:p w:rsidR="00425758" w:rsidRDefault="00425758">
      <w:pPr>
        <w:pStyle w:val="Heading5"/>
      </w:pPr>
      <w:bookmarkStart w:id="88" w:name="_Toc75862792"/>
      <w:r>
        <w:rPr>
          <w:rStyle w:val="CharSectno"/>
        </w:rPr>
        <w:t>2</w:t>
      </w:r>
      <w:r>
        <w:t>.</w:t>
      </w:r>
      <w:r>
        <w:tab/>
        <w:t>Writ for service outside WA, form of</w:t>
      </w:r>
      <w:bookmarkEnd w:id="88"/>
    </w:p>
    <w:p w:rsidR="00425758" w:rsidRDefault="00425758">
      <w:pPr>
        <w:pStyle w:val="Subsection"/>
      </w:pPr>
      <w:r>
        <w:tab/>
      </w:r>
      <w:r>
        <w:tab/>
        <w:t>A writ to be served outside the State shall be in the form of Form 3.</w:t>
      </w:r>
    </w:p>
    <w:p w:rsidR="00425758" w:rsidRDefault="00425758">
      <w:pPr>
        <w:pStyle w:val="Footnotesection"/>
      </w:pPr>
      <w:r>
        <w:tab/>
        <w:t>[Rule 2 inserted: Gazette 12 Jun 2012 p. 2446.]</w:t>
      </w:r>
    </w:p>
    <w:p w:rsidR="00425758" w:rsidRDefault="00425758">
      <w:pPr>
        <w:pStyle w:val="Heading5"/>
        <w:rPr>
          <w:snapToGrid w:val="0"/>
        </w:rPr>
      </w:pPr>
      <w:bookmarkStart w:id="89" w:name="_Toc75862793"/>
      <w:r>
        <w:rPr>
          <w:rStyle w:val="CharSectno"/>
        </w:rPr>
        <w:t>3</w:t>
      </w:r>
      <w:r>
        <w:rPr>
          <w:snapToGrid w:val="0"/>
        </w:rPr>
        <w:t>.</w:t>
      </w:r>
      <w:r>
        <w:rPr>
          <w:snapToGrid w:val="0"/>
        </w:rPr>
        <w:tab/>
        <w:t>Place of trial to be shown</w:t>
      </w:r>
      <w:bookmarkEnd w:id="89"/>
    </w:p>
    <w:p w:rsidR="00425758" w:rsidRDefault="00425758">
      <w:pPr>
        <w:pStyle w:val="Subsection"/>
      </w:pPr>
      <w:r>
        <w:tab/>
      </w:r>
      <w:r>
        <w:tab/>
        <w:t>In all cases in which it is proposed that the trial shall be elsewhere than in Perth, the writ must show the proposed place of trial.</w:t>
      </w:r>
    </w:p>
    <w:p w:rsidR="00425758" w:rsidRDefault="00425758">
      <w:pPr>
        <w:pStyle w:val="Heading5"/>
        <w:rPr>
          <w:snapToGrid w:val="0"/>
        </w:rPr>
      </w:pPr>
      <w:bookmarkStart w:id="90" w:name="_Toc75862794"/>
      <w:r>
        <w:rPr>
          <w:rStyle w:val="CharSectno"/>
        </w:rPr>
        <w:t>4</w:t>
      </w:r>
      <w:r>
        <w:rPr>
          <w:snapToGrid w:val="0"/>
        </w:rPr>
        <w:t>.</w:t>
      </w:r>
      <w:r>
        <w:rPr>
          <w:snapToGrid w:val="0"/>
        </w:rPr>
        <w:tab/>
        <w:t>Place of issue</w:t>
      </w:r>
      <w:bookmarkEnd w:id="90"/>
      <w:r>
        <w:rPr>
          <w:snapToGrid w:val="0"/>
        </w:rPr>
        <w:t xml:space="preserve"> </w:t>
      </w:r>
    </w:p>
    <w:p w:rsidR="00425758" w:rsidRDefault="00425758">
      <w:pPr>
        <w:pStyle w:val="Subsection"/>
      </w:pPr>
      <w:r>
        <w:tab/>
      </w:r>
      <w:r>
        <w:tab/>
        <w:t>Every writ shall be issued out of the Central Office.</w:t>
      </w:r>
    </w:p>
    <w:p w:rsidR="00425758" w:rsidRDefault="00425758">
      <w:pPr>
        <w:pStyle w:val="Heading5"/>
        <w:rPr>
          <w:snapToGrid w:val="0"/>
        </w:rPr>
      </w:pPr>
      <w:bookmarkStart w:id="91" w:name="_Toc75862795"/>
      <w:r>
        <w:rPr>
          <w:rStyle w:val="CharSectno"/>
        </w:rPr>
        <w:t>5</w:t>
      </w:r>
      <w:r>
        <w:rPr>
          <w:snapToGrid w:val="0"/>
        </w:rPr>
        <w:t>.</w:t>
      </w:r>
      <w:r>
        <w:rPr>
          <w:snapToGrid w:val="0"/>
        </w:rPr>
        <w:tab/>
        <w:t>Preparation of writ</w:t>
      </w:r>
      <w:bookmarkEnd w:id="91"/>
    </w:p>
    <w:p w:rsidR="00425758" w:rsidRDefault="00425758">
      <w:pPr>
        <w:pStyle w:val="Subsection"/>
      </w:pPr>
      <w:r>
        <w:tab/>
      </w:r>
      <w:r>
        <w:tab/>
        <w:t>Writs shall be prepared by the plaintiff or his solicitor.</w:t>
      </w:r>
    </w:p>
    <w:p w:rsidR="00425758" w:rsidRDefault="00425758">
      <w:pPr>
        <w:pStyle w:val="Heading5"/>
        <w:rPr>
          <w:snapToGrid w:val="0"/>
        </w:rPr>
      </w:pPr>
      <w:bookmarkStart w:id="92" w:name="_Toc75862796"/>
      <w:r>
        <w:rPr>
          <w:rStyle w:val="CharSectno"/>
        </w:rPr>
        <w:t>6</w:t>
      </w:r>
      <w:r>
        <w:rPr>
          <w:snapToGrid w:val="0"/>
        </w:rPr>
        <w:t>.</w:t>
      </w:r>
      <w:r>
        <w:rPr>
          <w:snapToGrid w:val="0"/>
        </w:rPr>
        <w:tab/>
        <w:t>Sealing of writ</w:t>
      </w:r>
      <w:bookmarkEnd w:id="92"/>
    </w:p>
    <w:p w:rsidR="00425758" w:rsidRDefault="00425758">
      <w:pPr>
        <w:pStyle w:val="Subsection"/>
      </w:pPr>
      <w:r>
        <w:tab/>
      </w:r>
      <w:r>
        <w:tab/>
        <w:t>Issue of a writ takes place upon its being sealed by the proper officer.</w:t>
      </w:r>
    </w:p>
    <w:p w:rsidR="00425758" w:rsidRDefault="00425758">
      <w:pPr>
        <w:pStyle w:val="Heading5"/>
        <w:rPr>
          <w:snapToGrid w:val="0"/>
        </w:rPr>
      </w:pPr>
      <w:bookmarkStart w:id="93" w:name="_Toc75862797"/>
      <w:r>
        <w:rPr>
          <w:rStyle w:val="CharSectno"/>
        </w:rPr>
        <w:t>7</w:t>
      </w:r>
      <w:r>
        <w:rPr>
          <w:snapToGrid w:val="0"/>
        </w:rPr>
        <w:t>.</w:t>
      </w:r>
      <w:r>
        <w:rPr>
          <w:snapToGrid w:val="0"/>
        </w:rPr>
        <w:tab/>
        <w:t>Copy to be left with officer</w:t>
      </w:r>
      <w:bookmarkEnd w:id="93"/>
    </w:p>
    <w:p w:rsidR="00425758" w:rsidRDefault="00425758">
      <w:pPr>
        <w:pStyle w:val="Subsection"/>
      </w:pPr>
      <w:r>
        <w:tab/>
        <w:t>(1)</w:t>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rsidR="00425758" w:rsidRDefault="00425758">
      <w:pPr>
        <w:pStyle w:val="Subsection"/>
      </w:pPr>
      <w:r>
        <w:lastRenderedPageBreak/>
        <w:tab/>
        <w:t>(2)</w:t>
      </w:r>
      <w:r>
        <w:tab/>
        <w:t>Subrule (1) does not apply if the writ is filed electronically.</w:t>
      </w:r>
    </w:p>
    <w:p w:rsidR="00425758" w:rsidRDefault="00425758">
      <w:pPr>
        <w:pStyle w:val="Footnotesection"/>
      </w:pPr>
      <w:r>
        <w:tab/>
        <w:t>[Rule 7 amended: Gazette 27 Feb 2018 p. 554.]</w:t>
      </w:r>
    </w:p>
    <w:p w:rsidR="00425758" w:rsidRDefault="00425758">
      <w:pPr>
        <w:pStyle w:val="Heading5"/>
      </w:pPr>
      <w:bookmarkStart w:id="94" w:name="_Toc75862798"/>
      <w:r>
        <w:rPr>
          <w:rStyle w:val="CharSectno"/>
        </w:rPr>
        <w:t>8</w:t>
      </w:r>
      <w:r>
        <w:t>.</w:t>
      </w:r>
      <w:r>
        <w:tab/>
        <w:t>Writ to be recorded when issued</w:t>
      </w:r>
      <w:bookmarkEnd w:id="94"/>
    </w:p>
    <w:p w:rsidR="00425758" w:rsidRDefault="00425758">
      <w:pPr>
        <w:pStyle w:val="Subsection"/>
      </w:pPr>
      <w:r>
        <w:tab/>
      </w:r>
      <w:r>
        <w:tab/>
        <w:t>The proper officer must record, in the manner directed by the Chief Justice from time to time, a writ when it is issued.</w:t>
      </w:r>
    </w:p>
    <w:p w:rsidR="00425758" w:rsidRDefault="00425758">
      <w:pPr>
        <w:pStyle w:val="Footnotesection"/>
      </w:pPr>
      <w:r>
        <w:tab/>
        <w:t>[Rule 8 inserted: Gazette 27 Feb 2018 p. 554.]</w:t>
      </w:r>
    </w:p>
    <w:p w:rsidR="00425758" w:rsidRDefault="00425758">
      <w:pPr>
        <w:pStyle w:val="Heading5"/>
        <w:spacing w:before="180"/>
      </w:pPr>
      <w:bookmarkStart w:id="95" w:name="_Toc75862799"/>
      <w:r>
        <w:rPr>
          <w:rStyle w:val="CharSectno"/>
        </w:rPr>
        <w:t>9</w:t>
      </w:r>
      <w:r>
        <w:t>.</w:t>
      </w:r>
      <w:r>
        <w:tab/>
        <w:t>Writ for service outside Australia, leave to issue needed</w:t>
      </w:r>
      <w:bookmarkEnd w:id="95"/>
    </w:p>
    <w:p w:rsidR="00425758" w:rsidRDefault="00425758">
      <w:pPr>
        <w:pStyle w:val="Subsection"/>
      </w:pPr>
      <w:r>
        <w:tab/>
      </w:r>
      <w:r>
        <w:tab/>
        <w:t>A writ for service outside Australia shall not be issued without the leave of the Court.</w:t>
      </w:r>
    </w:p>
    <w:p w:rsidR="00425758" w:rsidRDefault="00425758">
      <w:pPr>
        <w:pStyle w:val="Footnotesection"/>
      </w:pPr>
      <w:r>
        <w:tab/>
        <w:t>[Rule 9 inserted: Gazette 12 Jun 2012 p. 2446.]</w:t>
      </w:r>
    </w:p>
    <w:p w:rsidR="00425758" w:rsidRDefault="00425758">
      <w:pPr>
        <w:pStyle w:val="Heading5"/>
        <w:spacing w:before="180"/>
        <w:rPr>
          <w:snapToGrid w:val="0"/>
        </w:rPr>
      </w:pPr>
      <w:bookmarkStart w:id="96" w:name="_Toc75862800"/>
      <w:r>
        <w:rPr>
          <w:rStyle w:val="CharSectno"/>
        </w:rPr>
        <w:t>10</w:t>
      </w:r>
      <w:r>
        <w:rPr>
          <w:snapToGrid w:val="0"/>
        </w:rPr>
        <w:t>.</w:t>
      </w:r>
      <w:r>
        <w:rPr>
          <w:snapToGrid w:val="0"/>
        </w:rPr>
        <w:tab/>
        <w:t>All writs to be in name of Chief Justice or Senior Puisne Judge</w:t>
      </w:r>
      <w:bookmarkEnd w:id="96"/>
    </w:p>
    <w:p w:rsidR="00425758" w:rsidRDefault="00425758">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rsidR="00425758" w:rsidRDefault="00425758">
      <w:pPr>
        <w:pStyle w:val="Heading5"/>
        <w:spacing w:before="180"/>
        <w:rPr>
          <w:snapToGrid w:val="0"/>
        </w:rPr>
      </w:pPr>
      <w:bookmarkStart w:id="97" w:name="_Toc75862801"/>
      <w:r>
        <w:rPr>
          <w:rStyle w:val="CharSectno"/>
        </w:rPr>
        <w:t>11</w:t>
      </w:r>
      <w:r>
        <w:rPr>
          <w:snapToGrid w:val="0"/>
        </w:rPr>
        <w:t>.</w:t>
      </w:r>
      <w:r>
        <w:rPr>
          <w:snapToGrid w:val="0"/>
        </w:rPr>
        <w:tab/>
        <w:t>Time for appearance to be stated in writ</w:t>
      </w:r>
      <w:bookmarkEnd w:id="97"/>
    </w:p>
    <w:p w:rsidR="00425758" w:rsidRDefault="00425758">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rsidR="00425758">
        <w:trPr>
          <w:tblHeader/>
        </w:trPr>
        <w:tc>
          <w:tcPr>
            <w:tcW w:w="4549" w:type="dxa"/>
            <w:tcBorders>
              <w:top w:val="single" w:sz="4" w:space="0" w:color="auto"/>
              <w:bottom w:val="single" w:sz="4" w:space="0" w:color="auto"/>
            </w:tcBorders>
          </w:tcPr>
          <w:p w:rsidR="00425758" w:rsidRDefault="00425758">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rsidR="00425758" w:rsidRDefault="00425758">
            <w:pPr>
              <w:pStyle w:val="TableNAm"/>
              <w:spacing w:before="60"/>
              <w:jc w:val="center"/>
              <w:rPr>
                <w:b/>
                <w:bCs/>
              </w:rPr>
            </w:pPr>
            <w:r>
              <w:rPr>
                <w:b/>
                <w:bCs/>
              </w:rPr>
              <w:t>Time</w:t>
            </w:r>
          </w:p>
        </w:tc>
      </w:tr>
      <w:tr w:rsidR="00425758">
        <w:tc>
          <w:tcPr>
            <w:tcW w:w="4549" w:type="dxa"/>
          </w:tcPr>
          <w:p w:rsidR="00425758" w:rsidRDefault="00425758">
            <w:pPr>
              <w:pStyle w:val="TableNAm"/>
              <w:ind w:left="568" w:hanging="568"/>
            </w:pPr>
            <w:r>
              <w:t>(1)</w:t>
            </w:r>
            <w:r>
              <w:tab/>
              <w:t>In the State of Western Australia — </w:t>
            </w:r>
          </w:p>
        </w:tc>
        <w:tc>
          <w:tcPr>
            <w:tcW w:w="1688" w:type="dxa"/>
            <w:tcBorders>
              <w:left w:val="single" w:sz="4" w:space="0" w:color="auto"/>
            </w:tcBorders>
          </w:tcPr>
          <w:p w:rsidR="00425758" w:rsidRDefault="00425758">
            <w:pPr>
              <w:pStyle w:val="TableNAm"/>
            </w:pPr>
          </w:p>
        </w:tc>
      </w:tr>
      <w:tr w:rsidR="00425758">
        <w:tc>
          <w:tcPr>
            <w:tcW w:w="4549" w:type="dxa"/>
          </w:tcPr>
          <w:p w:rsidR="00425758" w:rsidRDefault="00425758">
            <w:pPr>
              <w:pStyle w:val="TableNAm"/>
              <w:tabs>
                <w:tab w:val="clear" w:pos="567"/>
                <w:tab w:val="left" w:pos="808"/>
              </w:tabs>
              <w:spacing w:before="20"/>
              <w:ind w:left="808" w:hanging="808"/>
            </w:pPr>
            <w:r>
              <w:tab/>
              <w:t>Less than 300 km from Perth ..........</w:t>
            </w:r>
          </w:p>
        </w:tc>
        <w:tc>
          <w:tcPr>
            <w:tcW w:w="1688" w:type="dxa"/>
            <w:tcBorders>
              <w:left w:val="single" w:sz="4" w:space="0" w:color="auto"/>
            </w:tcBorders>
          </w:tcPr>
          <w:p w:rsidR="00425758" w:rsidRDefault="00425758">
            <w:pPr>
              <w:pStyle w:val="TableNAm"/>
              <w:spacing w:before="20"/>
            </w:pPr>
            <w:r>
              <w:t>10 days.</w:t>
            </w:r>
          </w:p>
        </w:tc>
      </w:tr>
      <w:tr w:rsidR="00425758">
        <w:tc>
          <w:tcPr>
            <w:tcW w:w="4549" w:type="dxa"/>
          </w:tcPr>
          <w:p w:rsidR="00425758" w:rsidRDefault="00425758">
            <w:pPr>
              <w:pStyle w:val="TableNAm"/>
              <w:tabs>
                <w:tab w:val="clear" w:pos="567"/>
                <w:tab w:val="left" w:pos="808"/>
              </w:tabs>
              <w:spacing w:before="20"/>
              <w:ind w:left="808" w:hanging="808"/>
            </w:pPr>
            <w:r>
              <w:tab/>
              <w:t>300 km but less than 600 km from Perth ................................................</w:t>
            </w:r>
          </w:p>
        </w:tc>
        <w:tc>
          <w:tcPr>
            <w:tcW w:w="1688" w:type="dxa"/>
            <w:tcBorders>
              <w:left w:val="single" w:sz="4" w:space="0" w:color="auto"/>
            </w:tcBorders>
          </w:tcPr>
          <w:p w:rsidR="00425758" w:rsidRDefault="00425758">
            <w:pPr>
              <w:pStyle w:val="TableNAm"/>
              <w:spacing w:before="20"/>
            </w:pPr>
            <w:r>
              <w:br/>
              <w:t>16 days.</w:t>
            </w:r>
          </w:p>
        </w:tc>
      </w:tr>
      <w:tr w:rsidR="00425758">
        <w:tc>
          <w:tcPr>
            <w:tcW w:w="4549" w:type="dxa"/>
          </w:tcPr>
          <w:p w:rsidR="00425758" w:rsidRDefault="00425758">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rsidR="00425758" w:rsidRDefault="00425758">
            <w:pPr>
              <w:pStyle w:val="TableNAm"/>
              <w:spacing w:before="20"/>
            </w:pPr>
            <w:r>
              <w:t>21 days.</w:t>
            </w:r>
          </w:p>
        </w:tc>
      </w:tr>
      <w:tr w:rsidR="00425758">
        <w:trPr>
          <w:cantSplit/>
        </w:trPr>
        <w:tc>
          <w:tcPr>
            <w:tcW w:w="4549" w:type="dxa"/>
          </w:tcPr>
          <w:p w:rsidR="00425758" w:rsidRDefault="00425758">
            <w:pPr>
              <w:pStyle w:val="TableNAm"/>
              <w:ind w:left="568" w:hanging="568"/>
            </w:pPr>
            <w:r>
              <w:t>(2)</w:t>
            </w:r>
            <w:r>
              <w:tab/>
              <w:t xml:space="preserve">Outside the State but within Australia </w:t>
            </w:r>
          </w:p>
        </w:tc>
        <w:tc>
          <w:tcPr>
            <w:tcW w:w="1688" w:type="dxa"/>
            <w:tcBorders>
              <w:left w:val="single" w:sz="4" w:space="0" w:color="auto"/>
            </w:tcBorders>
          </w:tcPr>
          <w:p w:rsidR="00425758" w:rsidRDefault="00425758">
            <w:pPr>
              <w:pStyle w:val="TableNAm"/>
              <w:ind w:right="-133"/>
            </w:pPr>
            <w:r>
              <w:t>See subrule (2).</w:t>
            </w:r>
          </w:p>
        </w:tc>
      </w:tr>
      <w:tr w:rsidR="00425758">
        <w:tc>
          <w:tcPr>
            <w:tcW w:w="4549" w:type="dxa"/>
            <w:tcBorders>
              <w:bottom w:val="single" w:sz="4" w:space="0" w:color="auto"/>
            </w:tcBorders>
          </w:tcPr>
          <w:p w:rsidR="00425758" w:rsidRDefault="00425758">
            <w:pPr>
              <w:pStyle w:val="TableNAm"/>
              <w:ind w:left="568" w:hanging="568"/>
            </w:pPr>
            <w:r>
              <w:lastRenderedPageBreak/>
              <w:t>(3)</w:t>
            </w:r>
            <w:r>
              <w:tab/>
              <w:t>Outside Australia ................................</w:t>
            </w:r>
          </w:p>
        </w:tc>
        <w:tc>
          <w:tcPr>
            <w:tcW w:w="1688" w:type="dxa"/>
            <w:tcBorders>
              <w:left w:val="single" w:sz="4" w:space="0" w:color="auto"/>
              <w:bottom w:val="single" w:sz="4" w:space="0" w:color="auto"/>
            </w:tcBorders>
          </w:tcPr>
          <w:p w:rsidR="00425758" w:rsidRDefault="00425758">
            <w:pPr>
              <w:pStyle w:val="TableNAm"/>
              <w:ind w:right="-133"/>
            </w:pPr>
            <w:r>
              <w:t>See subrule (3).</w:t>
            </w:r>
          </w:p>
        </w:tc>
      </w:tr>
    </w:tbl>
    <w:p w:rsidR="00425758" w:rsidRDefault="00425758">
      <w:pPr>
        <w:pStyle w:val="Subsection"/>
      </w:pPr>
      <w:r>
        <w:tab/>
        <w:t>(2)</w:t>
      </w:r>
      <w:r>
        <w:tab/>
        <w:t xml:space="preserve">In respect of a writ to be served outside the State but within Australia, the time must accord with the </w:t>
      </w:r>
      <w:r>
        <w:rPr>
          <w:i/>
          <w:iCs/>
        </w:rPr>
        <w:t>Service and Execution of Process Act 1992</w:t>
      </w:r>
      <w:r>
        <w:t xml:space="preserve"> (Commonwealth).</w:t>
      </w:r>
    </w:p>
    <w:p w:rsidR="00425758" w:rsidRDefault="00425758">
      <w:pPr>
        <w:pStyle w:val="Subsection"/>
      </w:pPr>
      <w:r>
        <w:tab/>
        <w:t>(3)</w:t>
      </w:r>
      <w:r>
        <w:tab/>
        <w:t>In respect of a writ to be served outside Australia, the time must be fixed by the Court in accordance with Order 10 rule 5.</w:t>
      </w:r>
    </w:p>
    <w:p w:rsidR="00425758" w:rsidRDefault="00425758">
      <w:pPr>
        <w:pStyle w:val="Subsection"/>
      </w:pPr>
      <w:r>
        <w:tab/>
        <w:t>(4)</w:t>
      </w:r>
      <w:r>
        <w:tab/>
        <w:t>In the computation of the times prescribed by this rule, the day of service shall be excluded.</w:t>
      </w:r>
    </w:p>
    <w:p w:rsidR="00425758" w:rsidRDefault="00425758">
      <w:pPr>
        <w:pStyle w:val="Footnotesection"/>
      </w:pPr>
      <w:r>
        <w:tab/>
        <w:t xml:space="preserve">[Rule 11 amended: Gazette 7 Dec 1973 p. 4488; 14 Dec 1979 p. 3869; 3 Jul 2009 p. 2683; 12 Jun 2012 p. 2453.] </w:t>
      </w:r>
    </w:p>
    <w:p w:rsidR="00425758" w:rsidRDefault="00425758">
      <w:pPr>
        <w:pStyle w:val="Heading2"/>
        <w:rPr>
          <w:b w:val="0"/>
        </w:rPr>
      </w:pPr>
      <w:bookmarkStart w:id="98" w:name="_Toc75511706"/>
      <w:bookmarkStart w:id="99" w:name="_Toc75862802"/>
      <w:r>
        <w:rPr>
          <w:rStyle w:val="CharPartNo"/>
        </w:rPr>
        <w:lastRenderedPageBreak/>
        <w:t>Order 6</w:t>
      </w:r>
      <w:r>
        <w:t> — </w:t>
      </w:r>
      <w:r>
        <w:rPr>
          <w:rStyle w:val="CharPartText"/>
        </w:rPr>
        <w:t>Indorsement of claim: other indorsements</w:t>
      </w:r>
      <w:bookmarkEnd w:id="98"/>
      <w:bookmarkEnd w:id="99"/>
    </w:p>
    <w:p w:rsidR="00425758" w:rsidRDefault="00425758">
      <w:pPr>
        <w:pStyle w:val="Heading5"/>
        <w:rPr>
          <w:snapToGrid w:val="0"/>
        </w:rPr>
      </w:pPr>
      <w:bookmarkStart w:id="100" w:name="_Toc75862803"/>
      <w:r>
        <w:rPr>
          <w:rStyle w:val="CharSectno"/>
        </w:rPr>
        <w:t>1</w:t>
      </w:r>
      <w:r>
        <w:rPr>
          <w:snapToGrid w:val="0"/>
        </w:rPr>
        <w:t>.</w:t>
      </w:r>
      <w:r>
        <w:rPr>
          <w:snapToGrid w:val="0"/>
        </w:rPr>
        <w:tab/>
        <w:t>Nature of claim etc. to be indorsed on writ</w:t>
      </w:r>
      <w:bookmarkEnd w:id="100"/>
    </w:p>
    <w:p w:rsidR="00425758" w:rsidRDefault="00425758">
      <w:pPr>
        <w:pStyle w:val="Subsection"/>
      </w:pPr>
      <w:r>
        <w:tab/>
        <w:t>(1)</w:t>
      </w:r>
      <w:r>
        <w:tab/>
        <w:t>Before a writ is issued it must be indorsed with a concise statement of the nature of the claim made, and of the relief or remedy required in the action.</w:t>
      </w:r>
    </w:p>
    <w:p w:rsidR="00425758" w:rsidRDefault="00425758">
      <w:pPr>
        <w:pStyle w:val="Subsection"/>
      </w:pPr>
      <w:r>
        <w:tab/>
        <w:t>(2)</w:t>
      </w:r>
      <w:r>
        <w:tab/>
        <w:t>In case of non</w:t>
      </w:r>
      <w:r>
        <w:noBreakHyphen/>
        <w:t>compliance with subrule (1) the defendant may apply before appearance to set aside or amend the writ or for particulars.</w:t>
      </w:r>
    </w:p>
    <w:p w:rsidR="00425758" w:rsidRDefault="00425758">
      <w:pPr>
        <w:pStyle w:val="Footnotesection"/>
      </w:pPr>
      <w:r>
        <w:tab/>
        <w:t>[Rule 1 amended: Gazette 28 Jun 2011 p. 2552.]</w:t>
      </w:r>
    </w:p>
    <w:p w:rsidR="00425758" w:rsidRDefault="00425758">
      <w:pPr>
        <w:pStyle w:val="Heading5"/>
        <w:rPr>
          <w:snapToGrid w:val="0"/>
        </w:rPr>
      </w:pPr>
      <w:bookmarkStart w:id="101" w:name="_Toc75862804"/>
      <w:r>
        <w:rPr>
          <w:rStyle w:val="CharSectno"/>
        </w:rPr>
        <w:t>2</w:t>
      </w:r>
      <w:r>
        <w:rPr>
          <w:snapToGrid w:val="0"/>
        </w:rPr>
        <w:t>.</w:t>
      </w:r>
      <w:r>
        <w:rPr>
          <w:snapToGrid w:val="0"/>
        </w:rPr>
        <w:tab/>
        <w:t>Action for defamation by publication</w:t>
      </w:r>
      <w:bookmarkEnd w:id="101"/>
    </w:p>
    <w:p w:rsidR="00425758" w:rsidRDefault="00425758">
      <w:pPr>
        <w:pStyle w:val="Subsection"/>
      </w:pPr>
      <w:r>
        <w:tab/>
      </w:r>
      <w:r>
        <w:tab/>
        <w:t>In actions for defamation by publication the indorsement must state sufficient particulars to enable the publications in respect of which the action is brought to be identified.</w:t>
      </w:r>
    </w:p>
    <w:p w:rsidR="00425758" w:rsidRDefault="00425758">
      <w:pPr>
        <w:pStyle w:val="Footnotesection"/>
      </w:pPr>
      <w:r>
        <w:tab/>
        <w:t>[Rule 2 amended: Gazette 16 Aug 2017 p. 4409.]</w:t>
      </w:r>
    </w:p>
    <w:p w:rsidR="00425758" w:rsidRDefault="00425758">
      <w:pPr>
        <w:pStyle w:val="Heading5"/>
        <w:rPr>
          <w:snapToGrid w:val="0"/>
        </w:rPr>
      </w:pPr>
      <w:bookmarkStart w:id="102" w:name="_Toc75862805"/>
      <w:r>
        <w:rPr>
          <w:rStyle w:val="CharSectno"/>
        </w:rPr>
        <w:t>3</w:t>
      </w:r>
      <w:r>
        <w:rPr>
          <w:snapToGrid w:val="0"/>
        </w:rPr>
        <w:t>.</w:t>
      </w:r>
      <w:r>
        <w:rPr>
          <w:snapToGrid w:val="0"/>
        </w:rPr>
        <w:tab/>
        <w:t>Statement of claim may be indorsed on writ in some actions</w:t>
      </w:r>
      <w:bookmarkEnd w:id="102"/>
    </w:p>
    <w:p w:rsidR="00425758" w:rsidRDefault="00425758">
      <w:pPr>
        <w:pStyle w:val="Subsection"/>
      </w:pPr>
      <w:r>
        <w:tab/>
      </w:r>
      <w:r>
        <w:tab/>
        <w:t>In any action other than an action which includes — </w:t>
      </w:r>
    </w:p>
    <w:p w:rsidR="00425758" w:rsidRDefault="00425758">
      <w:pPr>
        <w:pStyle w:val="Indenta"/>
      </w:pPr>
      <w:r>
        <w:tab/>
        <w:t>(a)</w:t>
      </w:r>
      <w:r>
        <w:tab/>
        <w:t>a claim by the plaintiff based on an allegation of fraud; or</w:t>
      </w:r>
    </w:p>
    <w:p w:rsidR="00425758" w:rsidRDefault="00425758">
      <w:pPr>
        <w:pStyle w:val="Indenta"/>
      </w:pPr>
      <w:r>
        <w:tab/>
        <w:t>(b)</w:t>
      </w:r>
      <w:r>
        <w:tab/>
        <w:t>a claim by the plaintiff in respect of defamation, malicious prosecution, false imprisonment, seduction or breach of promise of marriage,</w:t>
      </w:r>
    </w:p>
    <w:p w:rsidR="00425758" w:rsidRDefault="00425758">
      <w:pPr>
        <w:pStyle w:val="Subsection"/>
      </w:pPr>
      <w:r>
        <w:tab/>
      </w:r>
      <w:r>
        <w:tab/>
        <w:t>a statement of claim may, at the option of the plaintiff, be indorsed on the writ.</w:t>
      </w:r>
    </w:p>
    <w:p w:rsidR="00425758" w:rsidRDefault="00425758">
      <w:pPr>
        <w:pStyle w:val="Footnotesection"/>
      </w:pPr>
      <w:r>
        <w:tab/>
        <w:t>[Rule 3 amended: Gazette 16 Aug 2017 p. 4410.]</w:t>
      </w:r>
    </w:p>
    <w:p w:rsidR="00425758" w:rsidRDefault="00425758">
      <w:pPr>
        <w:pStyle w:val="Heading5"/>
        <w:rPr>
          <w:snapToGrid w:val="0"/>
        </w:rPr>
      </w:pPr>
      <w:bookmarkStart w:id="103" w:name="_Toc75862806"/>
      <w:r>
        <w:rPr>
          <w:rStyle w:val="CharSectno"/>
        </w:rPr>
        <w:t>4</w:t>
      </w:r>
      <w:r>
        <w:rPr>
          <w:snapToGrid w:val="0"/>
        </w:rPr>
        <w:t>.</w:t>
      </w:r>
      <w:r>
        <w:rPr>
          <w:snapToGrid w:val="0"/>
        </w:rPr>
        <w:tab/>
        <w:t>Claim for liquidated demand, indorsements required for, costs etc.</w:t>
      </w:r>
      <w:bookmarkEnd w:id="103"/>
    </w:p>
    <w:p w:rsidR="00425758" w:rsidRDefault="00425758">
      <w:pPr>
        <w:pStyle w:val="Subsection"/>
      </w:pPr>
      <w:r>
        <w:tab/>
      </w:r>
      <w:r>
        <w:tab/>
        <w:t xml:space="preserve">Where the plaintiff’s claim is for a debt or liquidated demand only, the writ before it is issued must be indorsed with a </w:t>
      </w:r>
      <w:r>
        <w:lastRenderedPageBreak/>
        <w:t>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rsidR="00425758" w:rsidRDefault="00425758">
      <w:pPr>
        <w:pStyle w:val="Heading5"/>
        <w:rPr>
          <w:snapToGrid w:val="0"/>
        </w:rPr>
      </w:pPr>
      <w:bookmarkStart w:id="104" w:name="_Toc75862807"/>
      <w:r>
        <w:rPr>
          <w:rStyle w:val="CharSectno"/>
        </w:rPr>
        <w:t>5</w:t>
      </w:r>
      <w:r>
        <w:rPr>
          <w:snapToGrid w:val="0"/>
        </w:rPr>
        <w:t>.</w:t>
      </w:r>
      <w:r>
        <w:rPr>
          <w:snapToGrid w:val="0"/>
        </w:rPr>
        <w:tab/>
        <w:t>Representative character</w:t>
      </w:r>
      <w:bookmarkEnd w:id="104"/>
    </w:p>
    <w:p w:rsidR="00425758" w:rsidRDefault="00425758">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rsidR="00425758" w:rsidRDefault="00425758">
      <w:pPr>
        <w:pStyle w:val="Heading5"/>
        <w:rPr>
          <w:snapToGrid w:val="0"/>
        </w:rPr>
      </w:pPr>
      <w:bookmarkStart w:id="105" w:name="_Toc75862808"/>
      <w:r>
        <w:rPr>
          <w:rStyle w:val="CharSectno"/>
        </w:rPr>
        <w:t>6</w:t>
      </w:r>
      <w:r>
        <w:rPr>
          <w:snapToGrid w:val="0"/>
        </w:rPr>
        <w:t>.</w:t>
      </w:r>
      <w:r>
        <w:rPr>
          <w:snapToGrid w:val="0"/>
        </w:rPr>
        <w:tab/>
        <w:t>Claim for account</w:t>
      </w:r>
      <w:bookmarkEnd w:id="105"/>
    </w:p>
    <w:p w:rsidR="00425758" w:rsidRDefault="00425758">
      <w:pPr>
        <w:pStyle w:val="Subsection"/>
      </w:pPr>
      <w:r>
        <w:tab/>
      </w:r>
      <w:r>
        <w:tab/>
        <w:t>In all cases in which the plaintiff, in the first instance, desires to have an account taken, the writ shall be indorsed with a claim that such account be taken.</w:t>
      </w:r>
    </w:p>
    <w:p w:rsidR="00425758" w:rsidRDefault="00425758">
      <w:pPr>
        <w:pStyle w:val="Heading5"/>
      </w:pPr>
      <w:bookmarkStart w:id="106" w:name="_Toc75862809"/>
      <w:r>
        <w:rPr>
          <w:rStyle w:val="CharSectno"/>
        </w:rPr>
        <w:t>7</w:t>
      </w:r>
      <w:r>
        <w:t>.</w:t>
      </w:r>
      <w:r>
        <w:tab/>
        <w:t>Writ etc. to state contact details</w:t>
      </w:r>
      <w:bookmarkEnd w:id="106"/>
    </w:p>
    <w:p w:rsidR="00425758" w:rsidRDefault="00425758">
      <w:pPr>
        <w:pStyle w:val="Subsection"/>
      </w:pPr>
      <w:r>
        <w:tab/>
      </w:r>
      <w:r>
        <w:tab/>
        <w:t>A writ or other document commencing proceedings must, in accordance with Order 71A, state —</w:t>
      </w:r>
    </w:p>
    <w:p w:rsidR="00425758" w:rsidRDefault="00425758">
      <w:pPr>
        <w:pStyle w:val="Indenta"/>
      </w:pPr>
      <w:r>
        <w:tab/>
        <w:t>(a)</w:t>
      </w:r>
      <w:r>
        <w:tab/>
        <w:t>the geographical address; and</w:t>
      </w:r>
    </w:p>
    <w:p w:rsidR="00425758" w:rsidRDefault="00425758">
      <w:pPr>
        <w:pStyle w:val="Indenta"/>
      </w:pPr>
      <w:r>
        <w:tab/>
        <w:t>(b)</w:t>
      </w:r>
      <w:r>
        <w:tab/>
        <w:t>the service details,</w:t>
      </w:r>
    </w:p>
    <w:p w:rsidR="00425758" w:rsidRDefault="00425758">
      <w:pPr>
        <w:pStyle w:val="Subsection"/>
      </w:pPr>
      <w:r>
        <w:tab/>
      </w:r>
      <w:r>
        <w:tab/>
        <w:t>of each person commencing the proceedings.</w:t>
      </w:r>
    </w:p>
    <w:p w:rsidR="00425758" w:rsidRDefault="00425758">
      <w:pPr>
        <w:pStyle w:val="Footnotesection"/>
      </w:pPr>
      <w:r>
        <w:tab/>
        <w:t>[Rule 7 inserted: Gazette 21 Feb 2007 p. 534.]</w:t>
      </w:r>
    </w:p>
    <w:p w:rsidR="00425758" w:rsidRDefault="00425758">
      <w:pPr>
        <w:pStyle w:val="Ednotesection"/>
      </w:pPr>
      <w:r>
        <w:t>[</w:t>
      </w:r>
      <w:r>
        <w:rPr>
          <w:b/>
        </w:rPr>
        <w:t>8</w:t>
      </w:r>
      <w:r>
        <w:rPr>
          <w:b/>
        </w:rPr>
        <w:noBreakHyphen/>
        <w:t>11.</w:t>
      </w:r>
      <w:r>
        <w:tab/>
        <w:t>Deleted: Gazette 21 Feb 2007 p. 534.]</w:t>
      </w:r>
    </w:p>
    <w:p w:rsidR="00425758" w:rsidRDefault="00425758">
      <w:pPr>
        <w:pStyle w:val="Heading2"/>
        <w:rPr>
          <w:b w:val="0"/>
        </w:rPr>
      </w:pPr>
      <w:bookmarkStart w:id="107" w:name="_Toc75511714"/>
      <w:bookmarkStart w:id="108" w:name="_Toc75862810"/>
      <w:r>
        <w:rPr>
          <w:rStyle w:val="CharPartNo"/>
        </w:rPr>
        <w:lastRenderedPageBreak/>
        <w:t>Order 7</w:t>
      </w:r>
      <w:r>
        <w:t> — </w:t>
      </w:r>
      <w:r>
        <w:rPr>
          <w:rStyle w:val="CharPartText"/>
        </w:rPr>
        <w:t>Duration and renewal of writ: concurrent writs</w:t>
      </w:r>
      <w:bookmarkEnd w:id="107"/>
      <w:bookmarkEnd w:id="108"/>
    </w:p>
    <w:p w:rsidR="00425758" w:rsidRDefault="00425758">
      <w:pPr>
        <w:pStyle w:val="Heading5"/>
        <w:rPr>
          <w:snapToGrid w:val="0"/>
        </w:rPr>
      </w:pPr>
      <w:bookmarkStart w:id="109" w:name="_Toc75862811"/>
      <w:r>
        <w:rPr>
          <w:rStyle w:val="CharSectno"/>
        </w:rPr>
        <w:t>1</w:t>
      </w:r>
      <w:r>
        <w:rPr>
          <w:snapToGrid w:val="0"/>
        </w:rPr>
        <w:t>.</w:t>
      </w:r>
      <w:r>
        <w:rPr>
          <w:snapToGrid w:val="0"/>
        </w:rPr>
        <w:tab/>
        <w:t>Duration and renewal of writ</w:t>
      </w:r>
      <w:bookmarkEnd w:id="109"/>
    </w:p>
    <w:p w:rsidR="00425758" w:rsidRDefault="00425758">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rsidR="00425758" w:rsidRDefault="00425758">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rsidR="00425758" w:rsidRDefault="00425758">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rsidR="00425758" w:rsidRDefault="00425758">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rsidR="00425758" w:rsidRDefault="00425758">
      <w:pPr>
        <w:pStyle w:val="Heading5"/>
        <w:rPr>
          <w:snapToGrid w:val="0"/>
        </w:rPr>
      </w:pPr>
      <w:bookmarkStart w:id="110" w:name="_Toc75862812"/>
      <w:r>
        <w:rPr>
          <w:rStyle w:val="CharSectno"/>
        </w:rPr>
        <w:t>2</w:t>
      </w:r>
      <w:r>
        <w:rPr>
          <w:snapToGrid w:val="0"/>
        </w:rPr>
        <w:t>.</w:t>
      </w:r>
      <w:r>
        <w:rPr>
          <w:snapToGrid w:val="0"/>
        </w:rPr>
        <w:tab/>
        <w:t>Proof of extension of validity of writ</w:t>
      </w:r>
      <w:bookmarkEnd w:id="110"/>
    </w:p>
    <w:p w:rsidR="00425758" w:rsidRDefault="00425758">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rsidR="00425758" w:rsidRDefault="00425758">
      <w:pPr>
        <w:pStyle w:val="Heading5"/>
        <w:rPr>
          <w:snapToGrid w:val="0"/>
        </w:rPr>
      </w:pPr>
      <w:bookmarkStart w:id="111" w:name="_Toc75862813"/>
      <w:r>
        <w:rPr>
          <w:rStyle w:val="CharSectno"/>
        </w:rPr>
        <w:lastRenderedPageBreak/>
        <w:t>3</w:t>
      </w:r>
      <w:r>
        <w:rPr>
          <w:snapToGrid w:val="0"/>
        </w:rPr>
        <w:t>.</w:t>
      </w:r>
      <w:r>
        <w:rPr>
          <w:snapToGrid w:val="0"/>
        </w:rPr>
        <w:tab/>
        <w:t>Concurrent writs</w:t>
      </w:r>
      <w:bookmarkEnd w:id="111"/>
    </w:p>
    <w:p w:rsidR="00425758" w:rsidRDefault="00425758">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rsidR="00425758" w:rsidRDefault="00425758">
      <w:pPr>
        <w:pStyle w:val="Subsection"/>
        <w:spacing w:before="180"/>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rsidR="00425758" w:rsidRDefault="00425758">
      <w:pPr>
        <w:pStyle w:val="Subsection"/>
        <w:spacing w:before="180"/>
      </w:pPr>
      <w:r>
        <w:tab/>
        <w:t>(3)</w:t>
      </w:r>
      <w:r>
        <w:tab/>
        <w:t>Without affecting the generality of subrule (1) —</w:t>
      </w:r>
    </w:p>
    <w:p w:rsidR="00425758" w:rsidRDefault="00425758">
      <w:pPr>
        <w:pStyle w:val="Indenta"/>
      </w:pPr>
      <w:r>
        <w:tab/>
        <w:t>(a)</w:t>
      </w:r>
      <w:r>
        <w:tab/>
        <w:t>a writ to be served within the jurisdiction may be issued as a concurrent writ with one to be served out of the jurisdiction; and</w:t>
      </w:r>
    </w:p>
    <w:p w:rsidR="00425758" w:rsidRDefault="00425758">
      <w:pPr>
        <w:pStyle w:val="Indenta"/>
      </w:pPr>
      <w:r>
        <w:tab/>
        <w:t>(b)</w:t>
      </w:r>
      <w:r>
        <w:tab/>
        <w:t>a writ to be served out of the jurisdiction may be issued as a concurrent writ with one to be served within the jurisdiction.</w:t>
      </w:r>
    </w:p>
    <w:p w:rsidR="00425758" w:rsidRDefault="00425758">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rsidR="00425758" w:rsidRDefault="00425758">
      <w:pPr>
        <w:pStyle w:val="Subsection"/>
      </w:pPr>
      <w:r>
        <w:tab/>
        <w:t>(5)</w:t>
      </w:r>
      <w:r>
        <w:tab/>
        <w:t xml:space="preserve">Subrule (6) applies if — </w:t>
      </w:r>
    </w:p>
    <w:p w:rsidR="00425758" w:rsidRDefault="00425758">
      <w:pPr>
        <w:pStyle w:val="Indenta"/>
      </w:pPr>
      <w:r>
        <w:tab/>
        <w:t>(a)</w:t>
      </w:r>
      <w:r>
        <w:tab/>
        <w:t>an original writ is sealed and issued to the plaintiff by means of the ECMS; or</w:t>
      </w:r>
    </w:p>
    <w:p w:rsidR="00425758" w:rsidRDefault="00425758">
      <w:pPr>
        <w:pStyle w:val="Indenta"/>
      </w:pPr>
      <w:r>
        <w:tab/>
        <w:t>(b)</w:t>
      </w:r>
      <w:r>
        <w:tab/>
        <w:t>the plaintiff has lawful access to an original writ in the ECMS.</w:t>
      </w:r>
    </w:p>
    <w:p w:rsidR="00425758" w:rsidRDefault="00425758">
      <w:pPr>
        <w:pStyle w:val="Subsection"/>
      </w:pPr>
      <w:r>
        <w:tab/>
        <w:t>(6)</w:t>
      </w:r>
      <w:r>
        <w:tab/>
        <w:t xml:space="preserve">If this subrule applies — </w:t>
      </w:r>
    </w:p>
    <w:p w:rsidR="00425758" w:rsidRDefault="00425758">
      <w:pPr>
        <w:pStyle w:val="Indenta"/>
      </w:pPr>
      <w:r>
        <w:tab/>
        <w:t>(a)</w:t>
      </w:r>
      <w:r>
        <w:tab/>
        <w:t>the plaintiff may print from the ECMS 1 or more copies of the original writ; and</w:t>
      </w:r>
    </w:p>
    <w:p w:rsidR="00425758" w:rsidRDefault="00425758">
      <w:pPr>
        <w:pStyle w:val="Indenta"/>
      </w:pPr>
      <w:r>
        <w:tab/>
        <w:t>(b)</w:t>
      </w:r>
      <w:r>
        <w:tab/>
        <w:t>a printed copy may be treated as a concurrent writ despite subrule (2) not having been complied with.</w:t>
      </w:r>
    </w:p>
    <w:p w:rsidR="00425758" w:rsidRDefault="00425758">
      <w:pPr>
        <w:pStyle w:val="Footnotesection"/>
      </w:pPr>
      <w:r>
        <w:tab/>
        <w:t>[Rule 3 amended: Gazette 28 Jun 2011 p. 2552; 12 Jun 2012 p. 2447; 27 Feb 2018 p. 555; 31 Dec 2019 p 4677.]</w:t>
      </w:r>
    </w:p>
    <w:p w:rsidR="00425758" w:rsidRDefault="00425758">
      <w:pPr>
        <w:pStyle w:val="Heading5"/>
        <w:rPr>
          <w:snapToGrid w:val="0"/>
        </w:rPr>
      </w:pPr>
      <w:bookmarkStart w:id="112" w:name="_Toc75862814"/>
      <w:r>
        <w:rPr>
          <w:rStyle w:val="CharSectno"/>
        </w:rPr>
        <w:lastRenderedPageBreak/>
        <w:t>4</w:t>
      </w:r>
      <w:r>
        <w:rPr>
          <w:snapToGrid w:val="0"/>
        </w:rPr>
        <w:t>.</w:t>
      </w:r>
      <w:r>
        <w:rPr>
          <w:snapToGrid w:val="0"/>
        </w:rPr>
        <w:tab/>
        <w:t>Unserved writs may be struck out</w:t>
      </w:r>
      <w:bookmarkEnd w:id="112"/>
      <w:r>
        <w:rPr>
          <w:snapToGrid w:val="0"/>
        </w:rPr>
        <w:t xml:space="preserve"> </w:t>
      </w:r>
    </w:p>
    <w:p w:rsidR="00425758" w:rsidRDefault="00425758">
      <w:pPr>
        <w:pStyle w:val="Subsection"/>
        <w:spacing w:before="180"/>
        <w:rPr>
          <w:snapToGrid w:val="0"/>
        </w:rPr>
      </w:pPr>
      <w:r>
        <w:rPr>
          <w:snapToGrid w:val="0"/>
        </w:rPr>
        <w:tab/>
        <w:t>(1)</w:t>
      </w:r>
      <w:r>
        <w:rPr>
          <w:snapToGrid w:val="0"/>
        </w:rPr>
        <w:tab/>
        <w:t>If at any time after 6 months after a writ is issued it appears to the Court that — </w:t>
      </w:r>
    </w:p>
    <w:p w:rsidR="00425758" w:rsidRDefault="00425758">
      <w:pPr>
        <w:pStyle w:val="Indenta"/>
        <w:rPr>
          <w:snapToGrid w:val="0"/>
        </w:rPr>
      </w:pPr>
      <w:r>
        <w:rPr>
          <w:snapToGrid w:val="0"/>
        </w:rPr>
        <w:tab/>
        <w:t>(a)</w:t>
      </w:r>
      <w:r>
        <w:rPr>
          <w:snapToGrid w:val="0"/>
        </w:rPr>
        <w:tab/>
        <w:t>no affidavit of service of the writ has been filed by the plaintiff; and</w:t>
      </w:r>
    </w:p>
    <w:p w:rsidR="00425758" w:rsidRDefault="00425758">
      <w:pPr>
        <w:pStyle w:val="Indenta"/>
        <w:rPr>
          <w:snapToGrid w:val="0"/>
        </w:rPr>
      </w:pPr>
      <w:r>
        <w:rPr>
          <w:snapToGrid w:val="0"/>
        </w:rPr>
        <w:tab/>
        <w:t>(b)</w:t>
      </w:r>
      <w:r>
        <w:rPr>
          <w:snapToGrid w:val="0"/>
        </w:rPr>
        <w:tab/>
        <w:t>no appearance has been entered to the writ,</w:t>
      </w:r>
    </w:p>
    <w:p w:rsidR="00425758" w:rsidRDefault="00425758">
      <w:pPr>
        <w:pStyle w:val="Subsection"/>
        <w:spacing w:before="180"/>
        <w:rPr>
          <w:snapToGrid w:val="0"/>
        </w:rPr>
      </w:pPr>
      <w:r>
        <w:rPr>
          <w:snapToGrid w:val="0"/>
        </w:rPr>
        <w:tab/>
      </w:r>
      <w:r>
        <w:rPr>
          <w:snapToGrid w:val="0"/>
        </w:rPr>
        <w:tab/>
        <w:t xml:space="preserve">the Court </w:t>
      </w:r>
      <w:r>
        <w:t>may, by notice, direct that a hearing be held, at least 7 days after the direction is made, where the plaintiff must show cause why the writ should not be struck out.</w:t>
      </w:r>
    </w:p>
    <w:p w:rsidR="00425758" w:rsidRDefault="00425758">
      <w:pPr>
        <w:pStyle w:val="Subsection"/>
        <w:keepNext/>
        <w:rPr>
          <w:snapToGrid w:val="0"/>
        </w:rPr>
      </w:pPr>
      <w:r>
        <w:rPr>
          <w:snapToGrid w:val="0"/>
        </w:rPr>
        <w:tab/>
        <w:t>(2)</w:t>
      </w:r>
      <w:r>
        <w:rPr>
          <w:snapToGrid w:val="0"/>
        </w:rPr>
        <w:tab/>
        <w:t>If at the hearing the Court is not satisfied that the writ has not been served for good reason the Court may — </w:t>
      </w:r>
    </w:p>
    <w:p w:rsidR="00425758" w:rsidRDefault="00425758">
      <w:pPr>
        <w:pStyle w:val="Indenta"/>
        <w:rPr>
          <w:snapToGrid w:val="0"/>
        </w:rPr>
      </w:pPr>
      <w:r>
        <w:rPr>
          <w:snapToGrid w:val="0"/>
        </w:rPr>
        <w:tab/>
        <w:t>(a)</w:t>
      </w:r>
      <w:r>
        <w:rPr>
          <w:snapToGrid w:val="0"/>
        </w:rPr>
        <w:tab/>
        <w:t>strike out the writ; or</w:t>
      </w:r>
    </w:p>
    <w:p w:rsidR="00425758" w:rsidRDefault="00425758">
      <w:pPr>
        <w:pStyle w:val="Indenta"/>
        <w:rPr>
          <w:snapToGrid w:val="0"/>
        </w:rPr>
      </w:pPr>
      <w:r>
        <w:rPr>
          <w:snapToGrid w:val="0"/>
        </w:rPr>
        <w:tab/>
        <w:t>(b)</w:t>
      </w:r>
      <w:r>
        <w:rPr>
          <w:snapToGrid w:val="0"/>
        </w:rPr>
        <w:tab/>
        <w:t>make directions as to the service of or the time for serving the writ.</w:t>
      </w:r>
    </w:p>
    <w:p w:rsidR="00425758" w:rsidRDefault="00425758">
      <w:pPr>
        <w:pStyle w:val="Subsection"/>
        <w:rPr>
          <w:snapToGrid w:val="0"/>
        </w:rPr>
      </w:pPr>
      <w:r>
        <w:rPr>
          <w:snapToGrid w:val="0"/>
        </w:rPr>
        <w:tab/>
        <w:t>(3)</w:t>
      </w:r>
      <w:r>
        <w:rPr>
          <w:snapToGrid w:val="0"/>
        </w:rPr>
        <w:tab/>
        <w:t>On being struck out, a writ and any writ that is concurrent with it cease to be valid.</w:t>
      </w:r>
    </w:p>
    <w:p w:rsidR="00425758" w:rsidRDefault="00425758">
      <w:pPr>
        <w:pStyle w:val="Footnotesection"/>
      </w:pPr>
      <w:r>
        <w:tab/>
        <w:t>[Rule 4 inserted: Gazette 28 Oct 1996 p. 5674</w:t>
      </w:r>
      <w:r>
        <w:noBreakHyphen/>
        <w:t xml:space="preserve">5; amended: Gazette 16 Aug 2017 p. 4410.] </w:t>
      </w:r>
    </w:p>
    <w:p w:rsidR="00425758" w:rsidRDefault="00425758">
      <w:pPr>
        <w:pStyle w:val="Heading2"/>
        <w:spacing w:before="240"/>
        <w:rPr>
          <w:b w:val="0"/>
        </w:rPr>
      </w:pPr>
      <w:bookmarkStart w:id="113" w:name="_Toc75511719"/>
      <w:bookmarkStart w:id="114" w:name="_Toc75862815"/>
      <w:r>
        <w:rPr>
          <w:rStyle w:val="CharPartNo"/>
        </w:rPr>
        <w:lastRenderedPageBreak/>
        <w:t>Order 8</w:t>
      </w:r>
      <w:r>
        <w:t> — </w:t>
      </w:r>
      <w:r>
        <w:rPr>
          <w:rStyle w:val="CharPartText"/>
        </w:rPr>
        <w:t>Disclosure by solicitors: change of solicitors</w:t>
      </w:r>
      <w:bookmarkEnd w:id="113"/>
      <w:bookmarkEnd w:id="114"/>
    </w:p>
    <w:p w:rsidR="00425758" w:rsidRDefault="00425758">
      <w:pPr>
        <w:pStyle w:val="Heading5"/>
        <w:rPr>
          <w:snapToGrid w:val="0"/>
        </w:rPr>
      </w:pPr>
      <w:bookmarkStart w:id="115" w:name="_Toc75862816"/>
      <w:r>
        <w:rPr>
          <w:rStyle w:val="CharSectno"/>
        </w:rPr>
        <w:t>1</w:t>
      </w:r>
      <w:r>
        <w:rPr>
          <w:snapToGrid w:val="0"/>
        </w:rPr>
        <w:t>.</w:t>
      </w:r>
      <w:r>
        <w:rPr>
          <w:snapToGrid w:val="0"/>
        </w:rPr>
        <w:tab/>
        <w:t>Solicitor to declare, if required to, whether writ issued by him</w:t>
      </w:r>
      <w:bookmarkEnd w:id="115"/>
    </w:p>
    <w:p w:rsidR="00425758" w:rsidRDefault="00425758">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rsidR="00425758" w:rsidRDefault="00425758">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rsidR="00425758" w:rsidRDefault="00425758">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rsidR="00425758" w:rsidRDefault="00425758">
      <w:pPr>
        <w:pStyle w:val="Heading5"/>
        <w:rPr>
          <w:snapToGrid w:val="0"/>
        </w:rPr>
      </w:pPr>
      <w:bookmarkStart w:id="116" w:name="_Toc75862817"/>
      <w:r>
        <w:rPr>
          <w:rStyle w:val="CharSectno"/>
        </w:rPr>
        <w:t>2</w:t>
      </w:r>
      <w:r>
        <w:rPr>
          <w:snapToGrid w:val="0"/>
        </w:rPr>
        <w:t>.</w:t>
      </w:r>
      <w:r>
        <w:rPr>
          <w:snapToGrid w:val="0"/>
        </w:rPr>
        <w:tab/>
        <w:t>Change of solicitor</w:t>
      </w:r>
      <w:bookmarkEnd w:id="116"/>
    </w:p>
    <w:p w:rsidR="00425758" w:rsidRDefault="00425758">
      <w:pPr>
        <w:pStyle w:val="Subsection"/>
        <w:rPr>
          <w:snapToGrid w:val="0"/>
        </w:rPr>
      </w:pPr>
      <w:r>
        <w:rPr>
          <w:snapToGrid w:val="0"/>
        </w:rPr>
        <w:tab/>
        <w:t>(1)</w:t>
      </w:r>
      <w:r>
        <w:rPr>
          <w:snapToGrid w:val="0"/>
        </w:rPr>
        <w:tab/>
        <w:t xml:space="preserve">A party suing or defending by a solicitor may change his solicitor without an order for that purpose, upon notice of such change being </w:t>
      </w:r>
      <w:r>
        <w:t xml:space="preserve">filed, </w:t>
      </w:r>
      <w:r>
        <w:rPr>
          <w:snapToGrid w:val="0"/>
        </w:rPr>
        <w:t>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rsidR="00425758" w:rsidRDefault="00425758">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rsidR="00425758" w:rsidRDefault="00425758">
      <w:pPr>
        <w:pStyle w:val="Footnotesection"/>
      </w:pPr>
      <w:r>
        <w:tab/>
        <w:t>[Rule 2 amended: Gazette 27 Feb 2018 p. 555.]</w:t>
      </w:r>
    </w:p>
    <w:p w:rsidR="00425758" w:rsidRDefault="00425758">
      <w:pPr>
        <w:pStyle w:val="Ednotesection"/>
      </w:pPr>
      <w:r>
        <w:lastRenderedPageBreak/>
        <w:t>[</w:t>
      </w:r>
      <w:r>
        <w:rPr>
          <w:b/>
        </w:rPr>
        <w:t>3.</w:t>
      </w:r>
      <w:r>
        <w:tab/>
        <w:t>Deleted: Gazette 27 Feb 2018 p. 555.]</w:t>
      </w:r>
    </w:p>
    <w:p w:rsidR="00425758" w:rsidRDefault="00425758">
      <w:pPr>
        <w:pStyle w:val="Heading5"/>
        <w:rPr>
          <w:snapToGrid w:val="0"/>
        </w:rPr>
      </w:pPr>
      <w:bookmarkStart w:id="117" w:name="_Toc75862818"/>
      <w:r>
        <w:rPr>
          <w:rStyle w:val="CharSectno"/>
        </w:rPr>
        <w:t>4</w:t>
      </w:r>
      <w:r>
        <w:rPr>
          <w:snapToGrid w:val="0"/>
        </w:rPr>
        <w:t>.</w:t>
      </w:r>
      <w:r>
        <w:rPr>
          <w:snapToGrid w:val="0"/>
        </w:rPr>
        <w:tab/>
        <w:t>Appointment of solicitor by self-represented person</w:t>
      </w:r>
      <w:bookmarkEnd w:id="117"/>
    </w:p>
    <w:p w:rsidR="00425758" w:rsidRDefault="00425758">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a notice of appointment of a solicitor and rule 2(2) shall with the necessary modifications, apply in relation to a notice of appointment of a solicitor as it applies in relation to a notice of change of solicitor.</w:t>
      </w:r>
    </w:p>
    <w:p w:rsidR="00425758" w:rsidRDefault="00425758">
      <w:pPr>
        <w:pStyle w:val="Footnotesection"/>
      </w:pPr>
      <w:r>
        <w:tab/>
        <w:t>[Rule 4 amended: Gazette 27 Feb 2018 p. 555.]</w:t>
      </w:r>
    </w:p>
    <w:p w:rsidR="00425758" w:rsidRDefault="00425758">
      <w:pPr>
        <w:pStyle w:val="Heading5"/>
        <w:rPr>
          <w:snapToGrid w:val="0"/>
        </w:rPr>
      </w:pPr>
      <w:bookmarkStart w:id="118" w:name="_Toc75862819"/>
      <w:r>
        <w:rPr>
          <w:rStyle w:val="CharSectno"/>
        </w:rPr>
        <w:t>5</w:t>
      </w:r>
      <w:r>
        <w:rPr>
          <w:snapToGrid w:val="0"/>
        </w:rPr>
        <w:t>.</w:t>
      </w:r>
      <w:r>
        <w:rPr>
          <w:snapToGrid w:val="0"/>
        </w:rPr>
        <w:tab/>
        <w:t>Intention to act in person, notice of</w:t>
      </w:r>
      <w:bookmarkEnd w:id="118"/>
    </w:p>
    <w:p w:rsidR="00425758" w:rsidRDefault="00425758">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rsidR="00425758" w:rsidRDefault="00425758">
      <w:pPr>
        <w:pStyle w:val="Footnotesection"/>
      </w:pPr>
      <w:r>
        <w:tab/>
        <w:t>[Rule 5 amended: Gazette 21 Feb 2007 p. 534.]</w:t>
      </w:r>
    </w:p>
    <w:p w:rsidR="00425758" w:rsidRDefault="00425758">
      <w:pPr>
        <w:pStyle w:val="Heading5"/>
      </w:pPr>
      <w:bookmarkStart w:id="119" w:name="_Toc75862820"/>
      <w:r>
        <w:rPr>
          <w:rStyle w:val="CharSectno"/>
        </w:rPr>
        <w:t>5A</w:t>
      </w:r>
      <w:r>
        <w:t>.</w:t>
      </w:r>
      <w:r>
        <w:tab/>
        <w:t>Form and content of notices</w:t>
      </w:r>
      <w:bookmarkEnd w:id="119"/>
    </w:p>
    <w:p w:rsidR="00425758" w:rsidRDefault="00425758">
      <w:pPr>
        <w:pStyle w:val="Subsection"/>
      </w:pPr>
      <w:r>
        <w:tab/>
      </w:r>
      <w:r>
        <w:tab/>
        <w:t xml:space="preserve">A notice filed under rule 2, 3, 4 or 5 — </w:t>
      </w:r>
    </w:p>
    <w:p w:rsidR="00425758" w:rsidRDefault="00425758">
      <w:pPr>
        <w:pStyle w:val="Indenta"/>
      </w:pPr>
      <w:r>
        <w:tab/>
        <w:t>(a)</w:t>
      </w:r>
      <w:r>
        <w:tab/>
        <w:t>must be in Form 5AA; and</w:t>
      </w:r>
    </w:p>
    <w:p w:rsidR="00425758" w:rsidRDefault="00425758">
      <w:pPr>
        <w:pStyle w:val="Indenta"/>
      </w:pPr>
      <w:r>
        <w:tab/>
        <w:t>(b)</w:t>
      </w:r>
      <w:r>
        <w:tab/>
        <w:t xml:space="preserve">must state, in accordance with Order 71A — </w:t>
      </w:r>
    </w:p>
    <w:p w:rsidR="00425758" w:rsidRDefault="00425758">
      <w:pPr>
        <w:pStyle w:val="Indenti"/>
      </w:pPr>
      <w:r>
        <w:tab/>
        <w:t>(i)</w:t>
      </w:r>
      <w:r>
        <w:tab/>
        <w:t>the party’s geographical address; and</w:t>
      </w:r>
    </w:p>
    <w:p w:rsidR="00425758" w:rsidRDefault="00425758">
      <w:pPr>
        <w:pStyle w:val="Indenti"/>
      </w:pPr>
      <w:r>
        <w:tab/>
        <w:t>(ii)</w:t>
      </w:r>
      <w:r>
        <w:tab/>
        <w:t>the party’s service details.</w:t>
      </w:r>
    </w:p>
    <w:p w:rsidR="00425758" w:rsidRDefault="00425758">
      <w:pPr>
        <w:pStyle w:val="Footnotesection"/>
        <w:ind w:left="890" w:hanging="890"/>
      </w:pPr>
      <w:r>
        <w:tab/>
        <w:t>[Rule 5A inserted: Gazette 13 Nov 2015 p. 4645.]</w:t>
      </w:r>
    </w:p>
    <w:p w:rsidR="00425758" w:rsidRDefault="00425758">
      <w:pPr>
        <w:pStyle w:val="Heading5"/>
        <w:spacing w:before="240"/>
        <w:rPr>
          <w:snapToGrid w:val="0"/>
        </w:rPr>
      </w:pPr>
      <w:bookmarkStart w:id="120" w:name="_Toc75862821"/>
      <w:r>
        <w:rPr>
          <w:rStyle w:val="CharSectno"/>
        </w:rPr>
        <w:t>6</w:t>
      </w:r>
      <w:r>
        <w:rPr>
          <w:snapToGrid w:val="0"/>
        </w:rPr>
        <w:t>.</w:t>
      </w:r>
      <w:r>
        <w:rPr>
          <w:snapToGrid w:val="0"/>
        </w:rPr>
        <w:tab/>
        <w:t>Removal of solicitor from record</w:t>
      </w:r>
      <w:bookmarkEnd w:id="120"/>
    </w:p>
    <w:p w:rsidR="00425758" w:rsidRDefault="00425758">
      <w:pPr>
        <w:pStyle w:val="Subsection"/>
        <w:spacing w:before="180"/>
        <w:rPr>
          <w:snapToGrid w:val="0"/>
        </w:rPr>
      </w:pPr>
      <w:r>
        <w:rPr>
          <w:snapToGrid w:val="0"/>
        </w:rPr>
        <w:tab/>
        <w:t>(1)</w:t>
      </w:r>
      <w:r>
        <w:rPr>
          <w:snapToGrid w:val="0"/>
        </w:rPr>
        <w:tab/>
        <w:t xml:space="preserve">Where a solicitor who has acted for a party in a cause or matter has died or become bankrupt, or cannot be found or has ceased to have the right of practising in the Court, or for any other </w:t>
      </w:r>
      <w:r>
        <w:rPr>
          <w:snapToGrid w:val="0"/>
        </w:rPr>
        <w:lastRenderedPageBreak/>
        <w:t>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rsidR="00425758" w:rsidRDefault="00425758">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rsidR="00425758" w:rsidRDefault="00425758">
      <w:pPr>
        <w:pStyle w:val="Subsection"/>
        <w:spacing w:before="180"/>
        <w:rPr>
          <w:snapToGrid w:val="0"/>
        </w:rPr>
      </w:pPr>
      <w:r>
        <w:rPr>
          <w:snapToGrid w:val="0"/>
        </w:rPr>
        <w:tab/>
        <w:t>(3)</w:t>
      </w:r>
      <w:r>
        <w:rPr>
          <w:snapToGrid w:val="0"/>
        </w:rPr>
        <w:tab/>
        <w:t>Where an order is made under this rule the party on whose application it was made must — </w:t>
      </w:r>
    </w:p>
    <w:p w:rsidR="00425758" w:rsidRDefault="00425758">
      <w:pPr>
        <w:pStyle w:val="Indenta"/>
      </w:pPr>
      <w:r>
        <w:tab/>
        <w:t>(a)</w:t>
      </w:r>
      <w:r>
        <w:tab/>
        <w:t>forthwith serve on every other party to the cause or matter (not being a party in default as to entry of appearance) a copy of the order; and</w:t>
      </w:r>
    </w:p>
    <w:p w:rsidR="00425758" w:rsidRDefault="00425758">
      <w:pPr>
        <w:pStyle w:val="Indenta"/>
      </w:pPr>
      <w:r>
        <w:tab/>
        <w:t>(b)</w:t>
      </w:r>
      <w:r>
        <w:tab/>
        <w:t>file a certificate signed by him or his solicitor that the order has been duly served as aforesaid.</w:t>
      </w:r>
    </w:p>
    <w:p w:rsidR="00425758" w:rsidRDefault="00425758">
      <w:pPr>
        <w:pStyle w:val="Footnotesection"/>
      </w:pPr>
      <w:r>
        <w:tab/>
        <w:t>[Rule 6 amended: Gazette 27 Feb 2018 p. 555.]</w:t>
      </w:r>
    </w:p>
    <w:p w:rsidR="00425758" w:rsidRDefault="00425758">
      <w:pPr>
        <w:pStyle w:val="Heading5"/>
        <w:spacing w:before="240"/>
        <w:rPr>
          <w:snapToGrid w:val="0"/>
        </w:rPr>
      </w:pPr>
      <w:bookmarkStart w:id="121" w:name="_Toc75862822"/>
      <w:r>
        <w:rPr>
          <w:rStyle w:val="CharSectno"/>
        </w:rPr>
        <w:t>7</w:t>
      </w:r>
      <w:r>
        <w:rPr>
          <w:snapToGrid w:val="0"/>
        </w:rPr>
        <w:t>.</w:t>
      </w:r>
      <w:r>
        <w:rPr>
          <w:snapToGrid w:val="0"/>
        </w:rPr>
        <w:tab/>
        <w:t>Withdrawal of solicitor who has ceased to act for party</w:t>
      </w:r>
      <w:bookmarkEnd w:id="121"/>
    </w:p>
    <w:p w:rsidR="00425758" w:rsidRDefault="00425758">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rsidR="00425758" w:rsidRDefault="00425758">
      <w:pPr>
        <w:pStyle w:val="Indenta"/>
      </w:pPr>
      <w:r>
        <w:tab/>
        <w:t>(a)</w:t>
      </w:r>
      <w:r>
        <w:tab/>
        <w:t>serves on every party to the cause or matter (not being a party in default as to entry of appearance) a copy of the order, and</w:t>
      </w:r>
    </w:p>
    <w:p w:rsidR="00425758" w:rsidRDefault="00425758">
      <w:pPr>
        <w:pStyle w:val="Indenta"/>
        <w:keepLines/>
      </w:pPr>
      <w:r>
        <w:tab/>
        <w:t>(b)</w:t>
      </w:r>
      <w:r>
        <w:tab/>
        <w:t>files a certificate signed by him that the order has been duly served as aforesaid,</w:t>
      </w:r>
    </w:p>
    <w:p w:rsidR="00425758" w:rsidRDefault="00425758">
      <w:pPr>
        <w:pStyle w:val="Subsection"/>
        <w:spacing w:before="120"/>
        <w:rPr>
          <w:snapToGrid w:val="0"/>
        </w:rPr>
      </w:pPr>
      <w:r>
        <w:rPr>
          <w:snapToGrid w:val="0"/>
        </w:rPr>
        <w:lastRenderedPageBreak/>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rsidR="00425758" w:rsidRDefault="00425758">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rsidR="00425758" w:rsidRDefault="00425758">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rsidR="00425758" w:rsidRDefault="00425758">
      <w:pPr>
        <w:pStyle w:val="Footnotesection"/>
        <w:spacing w:before="80"/>
        <w:ind w:left="890" w:hanging="890"/>
      </w:pPr>
      <w:r>
        <w:tab/>
        <w:t xml:space="preserve">[Rule 7 amended: Gazette 15 Jun 1973 p. 2247; 23 May 1975 p. 1404; 28 Jun 2011 p. 2552 and 2553; 27 Feb 2018 p. 555.] </w:t>
      </w:r>
    </w:p>
    <w:p w:rsidR="00425758" w:rsidRDefault="00425758">
      <w:pPr>
        <w:pStyle w:val="Heading5"/>
        <w:spacing w:before="180"/>
        <w:rPr>
          <w:snapToGrid w:val="0"/>
        </w:rPr>
      </w:pPr>
      <w:bookmarkStart w:id="122" w:name="_Toc75862823"/>
      <w:r>
        <w:rPr>
          <w:rStyle w:val="CharSectno"/>
        </w:rPr>
        <w:t>8</w:t>
      </w:r>
      <w:r>
        <w:rPr>
          <w:snapToGrid w:val="0"/>
        </w:rPr>
        <w:t>.</w:t>
      </w:r>
      <w:r>
        <w:rPr>
          <w:snapToGrid w:val="0"/>
        </w:rPr>
        <w:tab/>
        <w:t>Effect of order made under this Order</w:t>
      </w:r>
      <w:bookmarkEnd w:id="122"/>
    </w:p>
    <w:p w:rsidR="00425758" w:rsidRDefault="00425758">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rsidR="00425758" w:rsidRDefault="00425758">
      <w:pPr>
        <w:pStyle w:val="Heading5"/>
        <w:spacing w:before="180"/>
      </w:pPr>
      <w:bookmarkStart w:id="123" w:name="_Toc75862824"/>
      <w:r>
        <w:rPr>
          <w:rStyle w:val="CharSectno"/>
        </w:rPr>
        <w:t>9</w:t>
      </w:r>
      <w:r>
        <w:t>.</w:t>
      </w:r>
      <w:r>
        <w:tab/>
        <w:t>Service details of party whose solicitor is removed</w:t>
      </w:r>
      <w:bookmarkEnd w:id="123"/>
    </w:p>
    <w:p w:rsidR="00425758" w:rsidRDefault="00425758">
      <w:pPr>
        <w:pStyle w:val="Subsection"/>
        <w:spacing w:before="120"/>
      </w:pPr>
      <w:r>
        <w:tab/>
      </w:r>
      <w:r>
        <w:tab/>
        <w:t xml:space="preserve">If — </w:t>
      </w:r>
    </w:p>
    <w:p w:rsidR="00425758" w:rsidRDefault="00425758">
      <w:pPr>
        <w:pStyle w:val="Indenta"/>
        <w:spacing w:before="60"/>
      </w:pPr>
      <w:r>
        <w:tab/>
        <w:t>(a)</w:t>
      </w:r>
      <w:r>
        <w:tab/>
        <w:t>an order is made under rule 6 in respect of the solicitor of a party; or</w:t>
      </w:r>
    </w:p>
    <w:p w:rsidR="00425758" w:rsidRDefault="00425758">
      <w:pPr>
        <w:pStyle w:val="Indenta"/>
        <w:keepLines/>
        <w:spacing w:before="60"/>
      </w:pPr>
      <w:r>
        <w:tab/>
        <w:t>(b)</w:t>
      </w:r>
      <w:r>
        <w:tab/>
        <w:t>an order is made under rule 7 in respect of the solicitor of a party, and the solicitor has complied with rule 7(1),</w:t>
      </w:r>
    </w:p>
    <w:p w:rsidR="00425758" w:rsidRDefault="00425758">
      <w:pPr>
        <w:pStyle w:val="Subsection"/>
        <w:keepLines/>
        <w:widowControl w:val="0"/>
        <w:spacing w:before="120"/>
      </w:pPr>
      <w:r>
        <w:tab/>
      </w:r>
      <w:r>
        <w:tab/>
        <w:t xml:space="preserve">the party’s service details are to be taken to be the party’s geographical address stated on the most recently filed document until — </w:t>
      </w:r>
    </w:p>
    <w:p w:rsidR="00425758" w:rsidRDefault="00425758">
      <w:pPr>
        <w:pStyle w:val="Indenta"/>
        <w:keepLines/>
        <w:spacing w:before="60"/>
      </w:pPr>
      <w:r>
        <w:tab/>
        <w:t>(c)</w:t>
      </w:r>
      <w:r>
        <w:tab/>
        <w:t>a notice is filed under rule 4 or 5; or</w:t>
      </w:r>
    </w:p>
    <w:p w:rsidR="00425758" w:rsidRDefault="00425758">
      <w:pPr>
        <w:pStyle w:val="Indenta"/>
      </w:pPr>
      <w:r>
        <w:tab/>
        <w:t>(d)</w:t>
      </w:r>
      <w:r>
        <w:tab/>
        <w:t xml:space="preserve">the Court orders otherwise on an </w:t>
      </w:r>
      <w:r>
        <w:rPr>
          <w:i/>
        </w:rPr>
        <w:t>ex parte</w:t>
      </w:r>
      <w:r>
        <w:t xml:space="preserve"> application by the party,</w:t>
      </w:r>
    </w:p>
    <w:p w:rsidR="00425758" w:rsidRDefault="00425758">
      <w:pPr>
        <w:pStyle w:val="Subsection"/>
      </w:pPr>
      <w:r>
        <w:tab/>
      </w:r>
      <w:r>
        <w:tab/>
        <w:t>in which case the party’s service details are those stated in the notice or ordered by the Court.</w:t>
      </w:r>
    </w:p>
    <w:p w:rsidR="00425758" w:rsidRDefault="00425758">
      <w:pPr>
        <w:pStyle w:val="Footnotesection"/>
        <w:ind w:left="890" w:hanging="890"/>
      </w:pPr>
      <w:r>
        <w:tab/>
        <w:t>[Rule 9 inserted: Gazette 21 Feb 2007 p. 534</w:t>
      </w:r>
      <w:r>
        <w:noBreakHyphen/>
        <w:t>5.]</w:t>
      </w:r>
    </w:p>
    <w:p w:rsidR="00425758" w:rsidRDefault="00425758">
      <w:pPr>
        <w:pStyle w:val="Ednotesection"/>
      </w:pPr>
      <w:r>
        <w:t>[</w:t>
      </w:r>
      <w:r>
        <w:rPr>
          <w:b/>
        </w:rPr>
        <w:t>10.</w:t>
      </w:r>
      <w:r>
        <w:tab/>
        <w:t>Deleted: Gazette 21 Feb 2007 p. 534.]</w:t>
      </w:r>
    </w:p>
    <w:p w:rsidR="00425758" w:rsidRDefault="00425758">
      <w:pPr>
        <w:pStyle w:val="Heading5"/>
        <w:rPr>
          <w:snapToGrid w:val="0"/>
        </w:rPr>
      </w:pPr>
      <w:bookmarkStart w:id="124" w:name="_Toc75862825"/>
      <w:r>
        <w:rPr>
          <w:rStyle w:val="CharSectno"/>
        </w:rPr>
        <w:lastRenderedPageBreak/>
        <w:t>11</w:t>
      </w:r>
      <w:r>
        <w:rPr>
          <w:snapToGrid w:val="0"/>
        </w:rPr>
        <w:t>.</w:t>
      </w:r>
      <w:r>
        <w:rPr>
          <w:snapToGrid w:val="0"/>
        </w:rPr>
        <w:tab/>
        <w:t>Solicitor not to act for adverse parties</w:t>
      </w:r>
      <w:bookmarkEnd w:id="124"/>
    </w:p>
    <w:p w:rsidR="00425758" w:rsidRDefault="00425758">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rsidR="00425758" w:rsidRDefault="00425758">
      <w:pPr>
        <w:pStyle w:val="Heading5"/>
        <w:rPr>
          <w:snapToGrid w:val="0"/>
        </w:rPr>
      </w:pPr>
      <w:bookmarkStart w:id="125" w:name="_Toc75862826"/>
      <w:r>
        <w:rPr>
          <w:rStyle w:val="CharSectno"/>
        </w:rPr>
        <w:t>12</w:t>
      </w:r>
      <w:r>
        <w:rPr>
          <w:snapToGrid w:val="0"/>
        </w:rPr>
        <w:t>.</w:t>
      </w:r>
      <w:r>
        <w:rPr>
          <w:snapToGrid w:val="0"/>
        </w:rPr>
        <w:tab/>
        <w:t>Practitioner or clerk not to be security</w:t>
      </w:r>
      <w:bookmarkEnd w:id="125"/>
    </w:p>
    <w:p w:rsidR="00425758" w:rsidRDefault="00425758">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rsidR="00425758" w:rsidRDefault="00425758">
      <w:pPr>
        <w:pStyle w:val="Heading2"/>
      </w:pPr>
      <w:bookmarkStart w:id="126" w:name="_Toc75511731"/>
      <w:bookmarkStart w:id="127" w:name="_Toc75862827"/>
      <w:r>
        <w:rPr>
          <w:rStyle w:val="CharPartNo"/>
        </w:rPr>
        <w:lastRenderedPageBreak/>
        <w:t>Order 9A</w:t>
      </w:r>
      <w:r>
        <w:rPr>
          <w:rStyle w:val="CharDivNo"/>
        </w:rPr>
        <w:t> </w:t>
      </w:r>
      <w:r>
        <w:t>—</w:t>
      </w:r>
      <w:r>
        <w:rPr>
          <w:rStyle w:val="CharDivText"/>
        </w:rPr>
        <w:t> </w:t>
      </w:r>
      <w:r>
        <w:rPr>
          <w:rStyle w:val="CharPartText"/>
        </w:rPr>
        <w:t>Interested non</w:t>
      </w:r>
      <w:r>
        <w:rPr>
          <w:rStyle w:val="CharPartText"/>
        </w:rPr>
        <w:noBreakHyphen/>
        <w:t>parties</w:t>
      </w:r>
      <w:bookmarkEnd w:id="126"/>
      <w:bookmarkEnd w:id="127"/>
    </w:p>
    <w:p w:rsidR="00425758" w:rsidRDefault="00425758">
      <w:pPr>
        <w:pStyle w:val="Footnoteheading"/>
      </w:pPr>
      <w:r>
        <w:tab/>
        <w:t>[Heading inserted: Gazette 12 Jun 2012 p. 2447.]</w:t>
      </w:r>
    </w:p>
    <w:p w:rsidR="00425758" w:rsidRDefault="00425758">
      <w:pPr>
        <w:pStyle w:val="Heading5"/>
      </w:pPr>
      <w:bookmarkStart w:id="128" w:name="_Toc75862828"/>
      <w:r>
        <w:rPr>
          <w:rStyle w:val="CharSectno"/>
        </w:rPr>
        <w:t>1</w:t>
      </w:r>
      <w:r>
        <w:t>.</w:t>
      </w:r>
      <w:r>
        <w:tab/>
        <w:t>Term used: interested non</w:t>
      </w:r>
      <w:r>
        <w:noBreakHyphen/>
        <w:t>party</w:t>
      </w:r>
      <w:bookmarkEnd w:id="128"/>
    </w:p>
    <w:p w:rsidR="00425758" w:rsidRDefault="00425758">
      <w:pPr>
        <w:pStyle w:val="Subsection"/>
      </w:pPr>
      <w:r>
        <w:tab/>
      </w:r>
      <w:r>
        <w:tab/>
        <w:t xml:space="preserve">In this Order — </w:t>
      </w:r>
    </w:p>
    <w:p w:rsidR="00425758" w:rsidRDefault="00425758">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rsidR="00425758" w:rsidRDefault="00425758">
      <w:pPr>
        <w:pStyle w:val="Defpara"/>
      </w:pPr>
      <w:r>
        <w:tab/>
        <w:t>(a)</w:t>
      </w:r>
      <w:r>
        <w:tab/>
        <w:t>provides funding or other financial assistance to the party for the purposes of conducting the case; and</w:t>
      </w:r>
    </w:p>
    <w:p w:rsidR="00425758" w:rsidRDefault="00425758">
      <w:pPr>
        <w:pStyle w:val="Defpara"/>
      </w:pPr>
      <w:r>
        <w:tab/>
        <w:t>(b)</w:t>
      </w:r>
      <w:r>
        <w:tab/>
        <w:t>exercises direct or indirect control or influence over the way in which the party conducts the case.</w:t>
      </w:r>
    </w:p>
    <w:p w:rsidR="00425758" w:rsidRDefault="00425758">
      <w:pPr>
        <w:pStyle w:val="Footnotesection"/>
      </w:pPr>
      <w:r>
        <w:tab/>
        <w:t>[Rule 1 inserted: Gazette 12 Jun 2012 p. 2447.]</w:t>
      </w:r>
    </w:p>
    <w:p w:rsidR="00425758" w:rsidRDefault="00425758">
      <w:pPr>
        <w:pStyle w:val="Heading5"/>
      </w:pPr>
      <w:bookmarkStart w:id="129" w:name="_Toc75862829"/>
      <w:r>
        <w:rPr>
          <w:rStyle w:val="CharSectno"/>
        </w:rPr>
        <w:t>2</w:t>
      </w:r>
      <w:r>
        <w:t>.</w:t>
      </w:r>
      <w:r>
        <w:tab/>
        <w:t>Parties to advise identity of interested non</w:t>
      </w:r>
      <w:r>
        <w:noBreakHyphen/>
        <w:t>parties</w:t>
      </w:r>
      <w:bookmarkEnd w:id="129"/>
    </w:p>
    <w:p w:rsidR="00425758" w:rsidRDefault="00425758">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rsidR="00425758" w:rsidRDefault="00425758">
      <w:pPr>
        <w:pStyle w:val="Subsection"/>
      </w:pPr>
      <w:r>
        <w:tab/>
        <w:t>(2)</w:t>
      </w:r>
      <w:r>
        <w:tab/>
        <w:t>The notice is to be given in writing as soon as is reasonably practicable after the person becomes an interested non</w:t>
      </w:r>
      <w:r>
        <w:noBreakHyphen/>
        <w:t>party in relation to the party to the case.</w:t>
      </w:r>
    </w:p>
    <w:p w:rsidR="00425758" w:rsidRDefault="00425758">
      <w:pPr>
        <w:pStyle w:val="Footnotesection"/>
      </w:pPr>
      <w:r>
        <w:tab/>
        <w:t>[Rule 2 inserted: Gazette 12 Jun 2012 p. 2447.]</w:t>
      </w:r>
    </w:p>
    <w:p w:rsidR="00425758" w:rsidRDefault="00425758">
      <w:pPr>
        <w:pStyle w:val="Heading5"/>
      </w:pPr>
      <w:bookmarkStart w:id="130" w:name="_Toc75862830"/>
      <w:r>
        <w:rPr>
          <w:rStyle w:val="CharSectno"/>
        </w:rPr>
        <w:t>3</w:t>
      </w:r>
      <w:r>
        <w:t>.</w:t>
      </w:r>
      <w:r>
        <w:tab/>
        <w:t>Duties of interested non</w:t>
      </w:r>
      <w:r>
        <w:noBreakHyphen/>
        <w:t>party</w:t>
      </w:r>
      <w:bookmarkEnd w:id="130"/>
    </w:p>
    <w:p w:rsidR="00425758" w:rsidRDefault="00425758">
      <w:pPr>
        <w:pStyle w:val="Subsection"/>
      </w:pPr>
      <w:r>
        <w:tab/>
      </w:r>
      <w:r>
        <w:tab/>
        <w:t>The duties to the Court of an interested non</w:t>
      </w:r>
      <w:r>
        <w:noBreakHyphen/>
        <w:t xml:space="preserve">party in relation to a party to a case are the following — </w:t>
      </w:r>
    </w:p>
    <w:p w:rsidR="00425758" w:rsidRDefault="00425758">
      <w:pPr>
        <w:pStyle w:val="Indenta"/>
      </w:pPr>
      <w:r>
        <w:tab/>
        <w:t>(a)</w:t>
      </w:r>
      <w:r>
        <w:tab/>
        <w:t>not to engage in conduct which is misleading or deceptive, or to aid, abet or induce such conduct, in connection with the conduct of the case;</w:t>
      </w:r>
    </w:p>
    <w:p w:rsidR="00425758" w:rsidRDefault="00425758">
      <w:pPr>
        <w:pStyle w:val="Indenta"/>
      </w:pPr>
      <w:r>
        <w:tab/>
        <w:t>(b)</w:t>
      </w:r>
      <w:r>
        <w:tab/>
        <w:t>to cooperate with the parties and the Court in connection with the conduct of the case;</w:t>
      </w:r>
    </w:p>
    <w:p w:rsidR="00425758" w:rsidRDefault="00425758">
      <w:pPr>
        <w:pStyle w:val="Indenta"/>
      </w:pPr>
      <w:r>
        <w:lastRenderedPageBreak/>
        <w:tab/>
        <w:t>(c)</w:t>
      </w:r>
      <w:r>
        <w:tab/>
        <w:t xml:space="preserve">to use reasonable endeavours to ensure that the goal in Order 1 rule 4A and the objects in Order 1 rule 4B are attained. </w:t>
      </w:r>
    </w:p>
    <w:p w:rsidR="00425758" w:rsidRDefault="00425758">
      <w:pPr>
        <w:pStyle w:val="Footnotesection"/>
      </w:pPr>
      <w:r>
        <w:tab/>
        <w:t>[Rule 3 inserted: Gazette 12 Jun 2012 p. 2447-8.]</w:t>
      </w:r>
    </w:p>
    <w:p w:rsidR="00425758" w:rsidRDefault="00425758">
      <w:pPr>
        <w:pStyle w:val="Heading2"/>
        <w:rPr>
          <w:b w:val="0"/>
        </w:rPr>
      </w:pPr>
      <w:bookmarkStart w:id="131" w:name="_Toc75511735"/>
      <w:bookmarkStart w:id="132" w:name="_Toc75862831"/>
      <w:r>
        <w:rPr>
          <w:rStyle w:val="CharPartNo"/>
        </w:rPr>
        <w:lastRenderedPageBreak/>
        <w:t>Order 9</w:t>
      </w:r>
      <w:r>
        <w:t> — </w:t>
      </w:r>
      <w:r>
        <w:rPr>
          <w:rStyle w:val="CharPartText"/>
        </w:rPr>
        <w:t>Service of originating process: general provisions</w:t>
      </w:r>
      <w:bookmarkEnd w:id="131"/>
      <w:bookmarkEnd w:id="132"/>
    </w:p>
    <w:p w:rsidR="00425758" w:rsidRDefault="00425758">
      <w:pPr>
        <w:pStyle w:val="Heading5"/>
        <w:rPr>
          <w:snapToGrid w:val="0"/>
        </w:rPr>
      </w:pPr>
      <w:bookmarkStart w:id="133" w:name="_Toc75862832"/>
      <w:r>
        <w:rPr>
          <w:rStyle w:val="CharSectno"/>
        </w:rPr>
        <w:t>1</w:t>
      </w:r>
      <w:r>
        <w:rPr>
          <w:snapToGrid w:val="0"/>
        </w:rPr>
        <w:t>.</w:t>
      </w:r>
      <w:r>
        <w:rPr>
          <w:snapToGrid w:val="0"/>
        </w:rPr>
        <w:tab/>
        <w:t>Service of writ, general provisions</w:t>
      </w:r>
      <w:bookmarkEnd w:id="133"/>
    </w:p>
    <w:p w:rsidR="00425758" w:rsidRDefault="00425758">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rsidR="00425758" w:rsidRDefault="00425758">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rsidR="00425758" w:rsidRDefault="00425758">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rsidR="00425758" w:rsidRDefault="00425758">
      <w:pPr>
        <w:pStyle w:val="Subsection"/>
      </w:pPr>
      <w:r>
        <w:tab/>
        <w:t>(4)</w:t>
      </w:r>
      <w:r>
        <w:tab/>
        <w:t xml:space="preserve">Where a writ is served on a defendant otherwise than by virtue of subrule (2) or (3), then subject to Order 10 rule 9(9), the plaintiff in the action begun by the writ is not entitled to enter judgment against the defendant in default of appearance or in default of defence unless, within 3 days after service, the person serving it indorses on the sealed copy of the writ the following particulars — </w:t>
      </w:r>
    </w:p>
    <w:p w:rsidR="00425758" w:rsidRDefault="00425758">
      <w:pPr>
        <w:pStyle w:val="Indenta"/>
      </w:pPr>
      <w:r>
        <w:tab/>
        <w:t>(a)</w:t>
      </w:r>
      <w:r>
        <w:tab/>
        <w:t>the day of the week and date on which it was served;</w:t>
      </w:r>
    </w:p>
    <w:p w:rsidR="00425758" w:rsidRDefault="00425758">
      <w:pPr>
        <w:pStyle w:val="Indenta"/>
      </w:pPr>
      <w:r>
        <w:tab/>
        <w:t>(b)</w:t>
      </w:r>
      <w:r>
        <w:tab/>
        <w:t>where it was served;</w:t>
      </w:r>
    </w:p>
    <w:p w:rsidR="00425758" w:rsidRDefault="00425758">
      <w:pPr>
        <w:pStyle w:val="Indenta"/>
      </w:pPr>
      <w:r>
        <w:tab/>
        <w:t>(c)</w:t>
      </w:r>
      <w:r>
        <w:tab/>
        <w:t>the person on whom it was served;</w:t>
      </w:r>
    </w:p>
    <w:p w:rsidR="00425758" w:rsidRDefault="00425758">
      <w:pPr>
        <w:pStyle w:val="Indenta"/>
      </w:pPr>
      <w:r>
        <w:tab/>
        <w:t>(d)</w:t>
      </w:r>
      <w:r>
        <w:tab/>
        <w:t>if the person on whom it was served is not the defendant — the capacity in which the person was served;</w:t>
      </w:r>
    </w:p>
    <w:p w:rsidR="00425758" w:rsidRDefault="00425758">
      <w:pPr>
        <w:pStyle w:val="Indenta"/>
      </w:pPr>
      <w:r>
        <w:tab/>
        <w:t>(e)</w:t>
      </w:r>
      <w:r>
        <w:tab/>
        <w:t>if under Order 4AA rule 3(2) a Form 4 must be attached to the writ when it is served — a statement that the Form 4 was attached to the front of the writ when it was served.</w:t>
      </w:r>
    </w:p>
    <w:p w:rsidR="00425758" w:rsidRDefault="00425758">
      <w:pPr>
        <w:pStyle w:val="Footnotesection"/>
      </w:pPr>
      <w:r>
        <w:lastRenderedPageBreak/>
        <w:tab/>
        <w:t>[Rule 1 amended: Gazette 28 Jun 2011 p. 2552; 16 Nov 2016 p. 5188</w:t>
      </w:r>
      <w:r>
        <w:noBreakHyphen/>
        <w:t>9.]</w:t>
      </w:r>
    </w:p>
    <w:p w:rsidR="00425758" w:rsidRDefault="00425758">
      <w:pPr>
        <w:pStyle w:val="Heading5"/>
        <w:rPr>
          <w:snapToGrid w:val="0"/>
        </w:rPr>
      </w:pPr>
      <w:bookmarkStart w:id="134" w:name="_Toc75862833"/>
      <w:r>
        <w:rPr>
          <w:rStyle w:val="CharSectno"/>
        </w:rPr>
        <w:t>2</w:t>
      </w:r>
      <w:r>
        <w:rPr>
          <w:snapToGrid w:val="0"/>
        </w:rPr>
        <w:t>.</w:t>
      </w:r>
      <w:r>
        <w:rPr>
          <w:snapToGrid w:val="0"/>
        </w:rPr>
        <w:tab/>
        <w:t>Service of writ as to contract on agent of principal who is outside WA</w:t>
      </w:r>
      <w:bookmarkEnd w:id="134"/>
    </w:p>
    <w:p w:rsidR="00425758" w:rsidRDefault="00425758">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rsidR="00425758" w:rsidRDefault="00425758">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rsidR="00425758" w:rsidRDefault="00425758">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rsidR="00425758" w:rsidRDefault="00425758">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rsidR="00425758" w:rsidRDefault="00425758">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rsidR="00425758" w:rsidRDefault="00425758">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rsidR="00425758" w:rsidRDefault="00425758">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rsidR="00425758" w:rsidRDefault="00425758">
      <w:pPr>
        <w:pStyle w:val="Heading5"/>
        <w:spacing w:before="240"/>
        <w:rPr>
          <w:snapToGrid w:val="0"/>
        </w:rPr>
      </w:pPr>
      <w:bookmarkStart w:id="135" w:name="_Toc75862834"/>
      <w:r>
        <w:rPr>
          <w:rStyle w:val="CharSectno"/>
        </w:rPr>
        <w:t>3</w:t>
      </w:r>
      <w:r>
        <w:rPr>
          <w:snapToGrid w:val="0"/>
        </w:rPr>
        <w:t>.</w:t>
      </w:r>
      <w:r>
        <w:rPr>
          <w:snapToGrid w:val="0"/>
        </w:rPr>
        <w:tab/>
        <w:t>Serving writ in accordance with contract, effect of</w:t>
      </w:r>
      <w:bookmarkEnd w:id="135"/>
    </w:p>
    <w:p w:rsidR="00425758" w:rsidRDefault="00425758">
      <w:pPr>
        <w:pStyle w:val="Subsection"/>
        <w:spacing w:before="180"/>
        <w:rPr>
          <w:snapToGrid w:val="0"/>
        </w:rPr>
      </w:pPr>
      <w:r>
        <w:rPr>
          <w:snapToGrid w:val="0"/>
        </w:rPr>
        <w:tab/>
        <w:t>(1)</w:t>
      </w:r>
      <w:r>
        <w:rPr>
          <w:snapToGrid w:val="0"/>
        </w:rPr>
        <w:tab/>
        <w:t>Where — </w:t>
      </w:r>
    </w:p>
    <w:p w:rsidR="00425758" w:rsidRDefault="00425758">
      <w:pPr>
        <w:pStyle w:val="Indenta"/>
      </w:pPr>
      <w:r>
        <w:tab/>
        <w:t>(a)</w:t>
      </w:r>
      <w:r>
        <w:tab/>
        <w:t xml:space="preserve">a contract contains a term to the effect that the Supreme Court shall have jurisdiction to hear and determine any </w:t>
      </w:r>
      <w:r>
        <w:lastRenderedPageBreak/>
        <w:t>action in respect of a contract or, apart from any such term, the Supreme Court has jurisdiction to hear and determine any such action; and</w:t>
      </w:r>
    </w:p>
    <w:p w:rsidR="00425758" w:rsidRDefault="00425758">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rsidR="00425758" w:rsidRDefault="00425758">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rsidR="00425758" w:rsidRDefault="00425758">
      <w:pPr>
        <w:pStyle w:val="Subsection"/>
        <w:spacing w:before="180"/>
      </w:pPr>
      <w:r>
        <w:tab/>
        <w:t>(2)</w:t>
      </w:r>
      <w:r>
        <w:tab/>
        <w:t>A writ served outside Australia in accordance with a contract shall not be deemed to have been duly served on the defendant by virtue of subrule (1) unless leave to serve the writ outside Australia has been granted under Order 10 rule 1 or 2.</w:t>
      </w:r>
    </w:p>
    <w:p w:rsidR="00425758" w:rsidRDefault="00425758">
      <w:pPr>
        <w:pStyle w:val="Footnotesection"/>
      </w:pPr>
      <w:r>
        <w:tab/>
        <w:t>[Rule 3 amended: Gazette 28 Jun 2011 p. 2552; 12 Jun 2012 p. 2448.]</w:t>
      </w:r>
    </w:p>
    <w:p w:rsidR="00425758" w:rsidRDefault="00425758">
      <w:pPr>
        <w:pStyle w:val="Heading5"/>
        <w:spacing w:before="240"/>
        <w:rPr>
          <w:snapToGrid w:val="0"/>
        </w:rPr>
      </w:pPr>
      <w:bookmarkStart w:id="136" w:name="_Toc75862835"/>
      <w:r>
        <w:rPr>
          <w:rStyle w:val="CharSectno"/>
        </w:rPr>
        <w:t>4</w:t>
      </w:r>
      <w:r>
        <w:rPr>
          <w:snapToGrid w:val="0"/>
        </w:rPr>
        <w:t>.</w:t>
      </w:r>
      <w:r>
        <w:rPr>
          <w:snapToGrid w:val="0"/>
        </w:rPr>
        <w:tab/>
        <w:t>Writ for possession of land where no person in possession, service of</w:t>
      </w:r>
      <w:bookmarkEnd w:id="136"/>
    </w:p>
    <w:p w:rsidR="00425758" w:rsidRDefault="00425758">
      <w:pPr>
        <w:pStyle w:val="Subsection"/>
        <w:spacing w:before="180"/>
        <w:rPr>
          <w:snapToGrid w:val="0"/>
        </w:rPr>
      </w:pPr>
      <w:r>
        <w:rPr>
          <w:snapToGrid w:val="0"/>
        </w:rPr>
        <w:tab/>
      </w:r>
      <w:r>
        <w:rPr>
          <w:snapToGrid w:val="0"/>
        </w:rPr>
        <w:tab/>
        <w:t>In an action claiming possession of land, the Court may — </w:t>
      </w:r>
    </w:p>
    <w:p w:rsidR="00425758" w:rsidRDefault="00425758">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rsidR="00425758" w:rsidRDefault="00425758">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w:t>
      </w:r>
      <w:r>
        <w:rPr>
          <w:snapToGrid w:val="0"/>
        </w:rPr>
        <w:lastRenderedPageBreak/>
        <w:t>a copy of the writ to the door of the dwelling house or to some conspicuous part of the land shall be treated as good service on that defendant.</w:t>
      </w:r>
    </w:p>
    <w:p w:rsidR="00425758" w:rsidRDefault="00425758">
      <w:pPr>
        <w:pStyle w:val="Heading5"/>
        <w:rPr>
          <w:snapToGrid w:val="0"/>
        </w:rPr>
      </w:pPr>
      <w:bookmarkStart w:id="137" w:name="_Toc75862836"/>
      <w:r>
        <w:rPr>
          <w:rStyle w:val="CharSectno"/>
        </w:rPr>
        <w:t>5</w:t>
      </w:r>
      <w:r>
        <w:rPr>
          <w:snapToGrid w:val="0"/>
        </w:rPr>
        <w:t>.</w:t>
      </w:r>
      <w:r>
        <w:rPr>
          <w:snapToGrid w:val="0"/>
        </w:rPr>
        <w:tab/>
        <w:t>Service of other originating process</w:t>
      </w:r>
      <w:bookmarkEnd w:id="137"/>
    </w:p>
    <w:p w:rsidR="00425758" w:rsidRDefault="00425758">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rsidR="00425758" w:rsidRDefault="00425758">
      <w:pPr>
        <w:pStyle w:val="Footnotesection"/>
      </w:pPr>
      <w:r>
        <w:tab/>
        <w:t>[Rule 5 amended: Gazette 28 Jun 2011 p. 2553.]</w:t>
      </w:r>
    </w:p>
    <w:p w:rsidR="00425758" w:rsidRDefault="00425758">
      <w:pPr>
        <w:pStyle w:val="Heading2"/>
        <w:rPr>
          <w:b w:val="0"/>
        </w:rPr>
      </w:pPr>
      <w:bookmarkStart w:id="138" w:name="_Toc75511741"/>
      <w:bookmarkStart w:id="139" w:name="_Toc75862837"/>
      <w:r>
        <w:rPr>
          <w:rStyle w:val="CharPartNo"/>
        </w:rPr>
        <w:lastRenderedPageBreak/>
        <w:t>Order 10</w:t>
      </w:r>
      <w:r>
        <w:t> — </w:t>
      </w:r>
      <w:r>
        <w:rPr>
          <w:rStyle w:val="CharPartText"/>
        </w:rPr>
        <w:t>Service out of the jurisdiction</w:t>
      </w:r>
      <w:bookmarkEnd w:id="138"/>
      <w:bookmarkEnd w:id="139"/>
    </w:p>
    <w:p w:rsidR="00425758" w:rsidRDefault="00425758">
      <w:pPr>
        <w:pStyle w:val="Heading5"/>
        <w:spacing w:before="240"/>
      </w:pPr>
      <w:bookmarkStart w:id="140" w:name="_Toc75862838"/>
      <w:r>
        <w:rPr>
          <w:rStyle w:val="CharSectno"/>
        </w:rPr>
        <w:t>1A</w:t>
      </w:r>
      <w:r>
        <w:t>.</w:t>
      </w:r>
      <w:r>
        <w:tab/>
        <w:t>When leave to serve is required; application of r. 9 to 11</w:t>
      </w:r>
      <w:bookmarkEnd w:id="140"/>
    </w:p>
    <w:p w:rsidR="00425758" w:rsidRDefault="00425758">
      <w:pPr>
        <w:pStyle w:val="Subsection"/>
      </w:pPr>
      <w:r>
        <w:tab/>
        <w:t>(1)</w:t>
      </w:r>
      <w:r>
        <w:tab/>
        <w:t xml:space="preserve">A writ served on a person outside the State but in Australia has no effect unless the person was served under the </w:t>
      </w:r>
      <w:r>
        <w:rPr>
          <w:i/>
          <w:iCs/>
        </w:rPr>
        <w:t>Service and Execution of Process Act 1992</w:t>
      </w:r>
      <w:r>
        <w:t xml:space="preserve"> (Commonwealth).</w:t>
      </w:r>
    </w:p>
    <w:p w:rsidR="00425758" w:rsidRDefault="00425758">
      <w:pPr>
        <w:pStyle w:val="Subsection"/>
      </w:pPr>
      <w:r>
        <w:tab/>
        <w:t>(2)</w:t>
      </w:r>
      <w:r>
        <w:tab/>
        <w:t xml:space="preserve">A writ served on a person outside Australia, except a writ served on a person in New Zealand under the </w:t>
      </w:r>
      <w:r>
        <w:rPr>
          <w:i/>
        </w:rPr>
        <w:t>Trans</w:t>
      </w:r>
      <w:r>
        <w:rPr>
          <w:i/>
        </w:rPr>
        <w:noBreakHyphen/>
        <w:t xml:space="preserve">Tasman Proceedings Act 2010 </w:t>
      </w:r>
      <w:r>
        <w:t>(Commonwealth), has no effect unless —</w:t>
      </w:r>
    </w:p>
    <w:p w:rsidR="00425758" w:rsidRDefault="00425758">
      <w:pPr>
        <w:pStyle w:val="Indenta"/>
        <w:spacing w:before="70"/>
      </w:pPr>
      <w:r>
        <w:tab/>
        <w:t>(a)</w:t>
      </w:r>
      <w:r>
        <w:tab/>
        <w:t>the Court, under this Order, granted leave to serve the person; and</w:t>
      </w:r>
    </w:p>
    <w:p w:rsidR="00425758" w:rsidRDefault="00425758">
      <w:pPr>
        <w:pStyle w:val="Indenta"/>
        <w:spacing w:before="70"/>
      </w:pPr>
      <w:r>
        <w:tab/>
        <w:t>(b)</w:t>
      </w:r>
      <w:r>
        <w:tab/>
        <w:t>the person was served —</w:t>
      </w:r>
    </w:p>
    <w:p w:rsidR="00425758" w:rsidRDefault="00425758">
      <w:pPr>
        <w:pStyle w:val="Indenti"/>
        <w:spacing w:before="70"/>
      </w:pPr>
      <w:r>
        <w:tab/>
        <w:t>(i)</w:t>
      </w:r>
      <w:r>
        <w:tab/>
        <w:t>under rules 9 to 11; or</w:t>
      </w:r>
    </w:p>
    <w:p w:rsidR="00425758" w:rsidRDefault="00425758">
      <w:pPr>
        <w:pStyle w:val="Indenti"/>
        <w:spacing w:before="70"/>
      </w:pPr>
      <w:r>
        <w:tab/>
        <w:t>(ii)</w:t>
      </w:r>
      <w:r>
        <w:tab/>
        <w:t>under Order 11A and the convention referred to in that Order.</w:t>
      </w:r>
    </w:p>
    <w:p w:rsidR="00425758" w:rsidRDefault="00425758">
      <w:pPr>
        <w:pStyle w:val="Subsection"/>
      </w:pPr>
      <w:r>
        <w:tab/>
        <w:t>(3A)</w:t>
      </w:r>
      <w:r>
        <w:tab/>
        <w:t xml:space="preserve">A writ served on a person in New Zealand has no effect unless it is served under the </w:t>
      </w:r>
      <w:r>
        <w:rPr>
          <w:i/>
        </w:rPr>
        <w:t>Trans</w:t>
      </w:r>
      <w:r>
        <w:rPr>
          <w:i/>
        </w:rPr>
        <w:noBreakHyphen/>
        <w:t xml:space="preserve">Tasman Proceedings Act 2010 </w:t>
      </w:r>
      <w:r>
        <w:t>(Commonwealth).</w:t>
      </w:r>
    </w:p>
    <w:p w:rsidR="00425758" w:rsidRDefault="00425758">
      <w:pPr>
        <w:pStyle w:val="Subsection"/>
      </w:pPr>
      <w:r>
        <w:tab/>
        <w:t>(3)</w:t>
      </w:r>
      <w:r>
        <w:tab/>
        <w:t>Rules 9 to 11 do not apply to or in relation to the service of a writ on a person outside Australia under the convention referred to in Order 11A.</w:t>
      </w:r>
    </w:p>
    <w:p w:rsidR="00425758" w:rsidRDefault="00425758">
      <w:pPr>
        <w:pStyle w:val="Footnotesection"/>
      </w:pPr>
      <w:r>
        <w:tab/>
        <w:t>[Rule 1A inserted: Gazette 3 Jul 2009 p. 2683</w:t>
      </w:r>
      <w:r>
        <w:noBreakHyphen/>
        <w:t xml:space="preserve">4; amended: Gazette 12 Jun 2012 p. 2448 and 2453; 3 Aug 2012 p. 3749.] </w:t>
      </w:r>
    </w:p>
    <w:p w:rsidR="00425758" w:rsidRDefault="00425758">
      <w:pPr>
        <w:pStyle w:val="Heading5"/>
        <w:spacing w:before="240"/>
        <w:rPr>
          <w:snapToGrid w:val="0"/>
        </w:rPr>
      </w:pPr>
      <w:bookmarkStart w:id="141" w:name="_Toc75862839"/>
      <w:r>
        <w:rPr>
          <w:rStyle w:val="CharSectno"/>
        </w:rPr>
        <w:t>1</w:t>
      </w:r>
      <w:r>
        <w:rPr>
          <w:snapToGrid w:val="0"/>
        </w:rPr>
        <w:t>.</w:t>
      </w:r>
      <w:r>
        <w:rPr>
          <w:snapToGrid w:val="0"/>
        </w:rPr>
        <w:tab/>
        <w:t>When service out of jurisdiction is permissible</w:t>
      </w:r>
      <w:bookmarkEnd w:id="141"/>
    </w:p>
    <w:p w:rsidR="00425758" w:rsidRDefault="00425758">
      <w:pPr>
        <w:pStyle w:val="Subsection"/>
        <w:rPr>
          <w:snapToGrid w:val="0"/>
        </w:rPr>
      </w:pPr>
      <w:r>
        <w:rPr>
          <w:snapToGrid w:val="0"/>
        </w:rPr>
        <w:tab/>
        <w:t>(1)</w:t>
      </w:r>
      <w:r>
        <w:rPr>
          <w:snapToGrid w:val="0"/>
        </w:rPr>
        <w:tab/>
      </w:r>
      <w:r>
        <w:t>The Court may grant leave to serve a person outside Australia with a writ, or notice of a writ, that begins an action if —</w:t>
      </w:r>
    </w:p>
    <w:p w:rsidR="00425758" w:rsidRDefault="00425758">
      <w:pPr>
        <w:pStyle w:val="Indenta"/>
      </w:pPr>
      <w:r>
        <w:tab/>
        <w:t>(a)</w:t>
      </w:r>
      <w:r>
        <w:tab/>
        <w:t>the subject matter of the action, so far as it concerns the party to be served, is — </w:t>
      </w:r>
    </w:p>
    <w:p w:rsidR="00425758" w:rsidRDefault="00425758">
      <w:pPr>
        <w:pStyle w:val="Indenti"/>
      </w:pPr>
      <w:r>
        <w:tab/>
        <w:t>(i)</w:t>
      </w:r>
      <w:r>
        <w:tab/>
        <w:t xml:space="preserve">land (with or without rents or profits) or other property situate within the State, or the </w:t>
      </w:r>
      <w:r>
        <w:lastRenderedPageBreak/>
        <w:t>perpetuation of testimony relating to land within the State; or</w:t>
      </w:r>
    </w:p>
    <w:p w:rsidR="00425758" w:rsidRDefault="00425758">
      <w:pPr>
        <w:pStyle w:val="Indenti"/>
      </w:pPr>
      <w:r>
        <w:tab/>
        <w:t>(ii)</w:t>
      </w:r>
      <w:r>
        <w:tab/>
        <w:t>any shares or stock of a corporation or joint stock company having its principal place of business within the State;</w:t>
      </w:r>
    </w:p>
    <w:p w:rsidR="00425758" w:rsidRDefault="00425758">
      <w:pPr>
        <w:pStyle w:val="Indenta"/>
      </w:pPr>
      <w:r>
        <w:tab/>
        <w:t>(b)</w:t>
      </w:r>
      <w:r>
        <w:tab/>
        <w:t>any Act, deed, will, contract, obligation or liability affecting land or hereditaments situate within the State is sought to be construed, rectified, set aside or enforced in the action;</w:t>
      </w:r>
    </w:p>
    <w:p w:rsidR="00425758" w:rsidRDefault="00425758">
      <w:pPr>
        <w:pStyle w:val="Indenta"/>
      </w:pPr>
      <w:r>
        <w:tab/>
        <w:t>(c)</w:t>
      </w:r>
      <w:r>
        <w:tab/>
        <w:t>in the action relief is sought against a person domiciled or ordinarily resident within the jurisdiction;</w:t>
      </w:r>
    </w:p>
    <w:p w:rsidR="00425758" w:rsidRDefault="00425758">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rsidR="00425758" w:rsidRDefault="00425758">
      <w:pPr>
        <w:pStyle w:val="Indenta"/>
      </w:pPr>
      <w:r>
        <w:tab/>
        <w:t>(e)</w:t>
      </w:r>
      <w:r>
        <w:tab/>
        <w:t>the action is one brought to enforce, rescind, dissolve, annul, or otherwise affect a contract, or to recover damages or obtain other relief in respect of the breach of a contract, being in either case a contract — </w:t>
      </w:r>
    </w:p>
    <w:p w:rsidR="00425758" w:rsidRDefault="00425758">
      <w:pPr>
        <w:pStyle w:val="Indenti"/>
      </w:pPr>
      <w:r>
        <w:tab/>
        <w:t>(i)</w:t>
      </w:r>
      <w:r>
        <w:tab/>
        <w:t>made within the jurisdiction; or</w:t>
      </w:r>
    </w:p>
    <w:p w:rsidR="00425758" w:rsidRDefault="00425758">
      <w:pPr>
        <w:pStyle w:val="Indenti"/>
      </w:pPr>
      <w:r>
        <w:tab/>
        <w:t>(ii)</w:t>
      </w:r>
      <w:r>
        <w:tab/>
        <w:t>made by or through an agent trading or residing within the jurisdiction on behalf of a principal trading or residing out of the jurisdiction; or</w:t>
      </w:r>
    </w:p>
    <w:p w:rsidR="00425758" w:rsidRDefault="00425758">
      <w:pPr>
        <w:pStyle w:val="Indenti"/>
      </w:pPr>
      <w:r>
        <w:tab/>
        <w:t>(iii)</w:t>
      </w:r>
      <w:r>
        <w:tab/>
        <w:t>which by its terms or implications is governed by the law of Western Australia;</w:t>
      </w:r>
    </w:p>
    <w:p w:rsidR="00425758" w:rsidRDefault="00425758">
      <w:pPr>
        <w:pStyle w:val="Indenta"/>
        <w:rPr>
          <w:snapToGrid w:val="0"/>
        </w:rPr>
      </w:pPr>
      <w:r>
        <w:rPr>
          <w:snapToGrid w:val="0"/>
        </w:rPr>
        <w:tab/>
        <w:t>(f)</w:t>
      </w:r>
      <w:r>
        <w:rPr>
          <w:snapToGrid w:val="0"/>
        </w:rPr>
        <w:tab/>
        <w:t xml:space="preserve">the action is brought in respect of a breach committed within the jurisdiction of a contract wherever made and irrespective of the fact, if such be the case, that the breach was preceded or accompanied by a breach committed out of the jurisdiction that rendered </w:t>
      </w:r>
      <w:r>
        <w:rPr>
          <w:snapToGrid w:val="0"/>
        </w:rPr>
        <w:lastRenderedPageBreak/>
        <w:t>impossible the performance of so much of the contract as ought to have been performed within the jurisdiction;</w:t>
      </w:r>
    </w:p>
    <w:p w:rsidR="00425758" w:rsidRDefault="00425758">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rsidR="00425758" w:rsidRDefault="00425758">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rsidR="00425758" w:rsidRDefault="00425758">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rsidR="00425758" w:rsidRDefault="00425758">
      <w:pPr>
        <w:pStyle w:val="Indenta"/>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rsidR="00425758" w:rsidRDefault="00425758">
      <w:pPr>
        <w:pStyle w:val="Indenta"/>
        <w:rPr>
          <w:snapToGrid w:val="0"/>
        </w:rPr>
      </w:pPr>
      <w:r>
        <w:rPr>
          <w:snapToGrid w:val="0"/>
        </w:rPr>
        <w:tab/>
        <w:t>(k)</w:t>
      </w:r>
      <w:r>
        <w:rPr>
          <w:snapToGrid w:val="0"/>
        </w:rPr>
        <w:tab/>
        <w:t>the action is founded on a tort committed within the jurisdiction;</w:t>
      </w:r>
    </w:p>
    <w:p w:rsidR="00425758" w:rsidRDefault="00425758">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rsidR="00425758" w:rsidRDefault="00425758">
      <w:pPr>
        <w:pStyle w:val="Subsection"/>
        <w:spacing w:before="180"/>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w:t>
      </w:r>
      <w:r>
        <w:rPr>
          <w:snapToGrid w:val="0"/>
        </w:rPr>
        <w:lastRenderedPageBreak/>
        <w:t xml:space="preserve">expression </w:t>
      </w:r>
      <w:r>
        <w:rPr>
          <w:rStyle w:val="CharDefText"/>
        </w:rPr>
        <w:t>mortgagor</w:t>
      </w:r>
      <w:r>
        <w:rPr>
          <w:snapToGrid w:val="0"/>
        </w:rPr>
        <w:t xml:space="preserve"> means a party for the time being entitled to or interested in property subject to a mortgage.</w:t>
      </w:r>
    </w:p>
    <w:p w:rsidR="00425758" w:rsidRDefault="00425758">
      <w:pPr>
        <w:pStyle w:val="Footnotesection"/>
      </w:pPr>
      <w:r>
        <w:tab/>
        <w:t xml:space="preserve">[Rule 1 amended: Gazette 3 Jul 2009 p. 2684; 28 Jun 2011 p. 2552 and 2553; 12 Jun 2012 p. 2448 and 2453.] </w:t>
      </w:r>
    </w:p>
    <w:p w:rsidR="00425758" w:rsidRDefault="00425758">
      <w:pPr>
        <w:pStyle w:val="Heading5"/>
        <w:rPr>
          <w:snapToGrid w:val="0"/>
        </w:rPr>
      </w:pPr>
      <w:bookmarkStart w:id="142" w:name="_Toc75862840"/>
      <w:r>
        <w:rPr>
          <w:rStyle w:val="CharSectno"/>
        </w:rPr>
        <w:t>2</w:t>
      </w:r>
      <w:r>
        <w:rPr>
          <w:snapToGrid w:val="0"/>
        </w:rPr>
        <w:t>.</w:t>
      </w:r>
      <w:r>
        <w:rPr>
          <w:snapToGrid w:val="0"/>
        </w:rPr>
        <w:tab/>
        <w:t>Service out of jurisdiction of writ etc. as to contract</w:t>
      </w:r>
      <w:bookmarkEnd w:id="142"/>
    </w:p>
    <w:p w:rsidR="00425758" w:rsidRDefault="00425758">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rsidR="00425758" w:rsidRDefault="00425758">
      <w:pPr>
        <w:pStyle w:val="Footnotesection"/>
      </w:pPr>
      <w:r>
        <w:tab/>
        <w:t xml:space="preserve">[Rule 2 amended: Gazette 3 Jul 2009 p. 2684; 12 Jun 2012 p. 2448 and 2453.] </w:t>
      </w:r>
    </w:p>
    <w:p w:rsidR="00425758" w:rsidRDefault="00425758">
      <w:pPr>
        <w:pStyle w:val="Ednotesection"/>
      </w:pPr>
      <w:r>
        <w:t>[</w:t>
      </w:r>
      <w:r>
        <w:rPr>
          <w:b/>
        </w:rPr>
        <w:t>3.</w:t>
      </w:r>
      <w:r>
        <w:tab/>
        <w:t>Deleted: Gazette 12 Jun 2012 p. 2448.]</w:t>
      </w:r>
    </w:p>
    <w:p w:rsidR="00425758" w:rsidRDefault="00425758">
      <w:pPr>
        <w:pStyle w:val="Heading5"/>
        <w:rPr>
          <w:snapToGrid w:val="0"/>
        </w:rPr>
      </w:pPr>
      <w:bookmarkStart w:id="143" w:name="_Toc75862841"/>
      <w:r>
        <w:rPr>
          <w:rStyle w:val="CharSectno"/>
        </w:rPr>
        <w:t>4</w:t>
      </w:r>
      <w:r>
        <w:rPr>
          <w:snapToGrid w:val="0"/>
        </w:rPr>
        <w:t>.</w:t>
      </w:r>
      <w:r>
        <w:rPr>
          <w:snapToGrid w:val="0"/>
        </w:rPr>
        <w:tab/>
        <w:t>Application for leave under r. 1 or 2</w:t>
      </w:r>
      <w:bookmarkEnd w:id="143"/>
    </w:p>
    <w:p w:rsidR="00425758" w:rsidRDefault="00425758">
      <w:pPr>
        <w:pStyle w:val="Subsection"/>
      </w:pPr>
      <w:r>
        <w:tab/>
        <w:t>(1)</w:t>
      </w:r>
      <w:r>
        <w:tab/>
        <w:t>An application for a grant of leave under rule 1 or 2 must be supported by an affidavit that states —</w:t>
      </w:r>
    </w:p>
    <w:p w:rsidR="00425758" w:rsidRDefault="00425758">
      <w:pPr>
        <w:pStyle w:val="Indenta"/>
      </w:pPr>
      <w:r>
        <w:tab/>
        <w:t>(a)</w:t>
      </w:r>
      <w:r>
        <w:tab/>
        <w:t>that in the deponent’s belief, the plaintiff has a good cause of action; and</w:t>
      </w:r>
    </w:p>
    <w:p w:rsidR="00425758" w:rsidRDefault="00425758">
      <w:pPr>
        <w:pStyle w:val="Indenta"/>
      </w:pPr>
      <w:r>
        <w:tab/>
        <w:t>(b)</w:t>
      </w:r>
      <w:r>
        <w:tab/>
        <w:t>where, outside Australia, the person to be served is or probably may be.</w:t>
      </w:r>
    </w:p>
    <w:p w:rsidR="00425758" w:rsidRDefault="00425758">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rsidR="00425758" w:rsidRDefault="00425758">
      <w:pPr>
        <w:pStyle w:val="Footnotesection"/>
      </w:pPr>
      <w:r>
        <w:tab/>
        <w:t xml:space="preserve">[Rule 4 amended: Gazette 15 Jun 1973 p. 2247; 12 Jun 2012 p. 2448.] </w:t>
      </w:r>
    </w:p>
    <w:p w:rsidR="00425758" w:rsidRDefault="00425758">
      <w:pPr>
        <w:pStyle w:val="Heading5"/>
      </w:pPr>
      <w:bookmarkStart w:id="144" w:name="_Toc75862842"/>
      <w:r>
        <w:rPr>
          <w:rStyle w:val="CharSectno"/>
        </w:rPr>
        <w:t>5</w:t>
      </w:r>
      <w:r>
        <w:t>.</w:t>
      </w:r>
      <w:r>
        <w:tab/>
        <w:t>Time for appearance</w:t>
      </w:r>
      <w:bookmarkEnd w:id="144"/>
    </w:p>
    <w:p w:rsidR="00425758" w:rsidRDefault="00425758">
      <w:pPr>
        <w:pStyle w:val="Subsection"/>
      </w:pPr>
      <w:r>
        <w:tab/>
        <w:t>(1)</w:t>
      </w:r>
      <w:r>
        <w:tab/>
        <w:t>An order made under this Order granting leave to serve a writ outside Australia must limit the time within which the person to be served can enter an appearance.</w:t>
      </w:r>
    </w:p>
    <w:p w:rsidR="00425758" w:rsidRDefault="00425758">
      <w:pPr>
        <w:pStyle w:val="Subsection"/>
      </w:pPr>
      <w:r>
        <w:lastRenderedPageBreak/>
        <w:tab/>
        <w:t>(2)</w:t>
      </w:r>
      <w:r>
        <w:tab/>
        <w:t>In fixing that limit, the Court must have regard to the place or country where the writ is to be served.</w:t>
      </w:r>
    </w:p>
    <w:p w:rsidR="00425758" w:rsidRDefault="00425758">
      <w:pPr>
        <w:pStyle w:val="Subsection"/>
      </w:pPr>
      <w:r>
        <w:tab/>
        <w:t>(3)</w:t>
      </w:r>
      <w:r>
        <w:tab/>
        <w:t>If the writ is to be served under the convention referred to in Order 11A, subrule (1) is subject to that Order.</w:t>
      </w:r>
    </w:p>
    <w:p w:rsidR="00425758" w:rsidRDefault="00425758">
      <w:pPr>
        <w:pStyle w:val="Footnotesection"/>
      </w:pPr>
      <w:r>
        <w:tab/>
        <w:t>[Rule 5 inserted: Gazette 12 Jun 2012 p. 2449.]</w:t>
      </w:r>
    </w:p>
    <w:p w:rsidR="00425758" w:rsidRDefault="00425758">
      <w:pPr>
        <w:pStyle w:val="Ednotesection"/>
      </w:pPr>
      <w:r>
        <w:t>[</w:t>
      </w:r>
      <w:r>
        <w:rPr>
          <w:b/>
        </w:rPr>
        <w:t>6.</w:t>
      </w:r>
      <w:r>
        <w:tab/>
        <w:t>Deleted: Gazette 12 Jun 2012 p. 2449.]</w:t>
      </w:r>
    </w:p>
    <w:p w:rsidR="00425758" w:rsidRDefault="00425758">
      <w:pPr>
        <w:pStyle w:val="Heading5"/>
      </w:pPr>
      <w:bookmarkStart w:id="145" w:name="_Toc75862843"/>
      <w:r>
        <w:rPr>
          <w:rStyle w:val="CharSectno"/>
        </w:rPr>
        <w:t>7</w:t>
      </w:r>
      <w:r>
        <w:t>.</w:t>
      </w:r>
      <w:r>
        <w:tab/>
        <w:t>Other documents, service of outside Australia</w:t>
      </w:r>
      <w:bookmarkEnd w:id="145"/>
    </w:p>
    <w:p w:rsidR="00425758" w:rsidRDefault="00425758">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rsidR="00425758" w:rsidRDefault="00425758">
      <w:pPr>
        <w:pStyle w:val="Footnotesection"/>
      </w:pPr>
      <w:r>
        <w:tab/>
        <w:t>[Rule 7 inserted: Gazette 12 Jun 2012 p. 2449.]</w:t>
      </w:r>
    </w:p>
    <w:p w:rsidR="00425758" w:rsidRDefault="00425758">
      <w:pPr>
        <w:pStyle w:val="Heading5"/>
        <w:keepLines w:val="0"/>
        <w:rPr>
          <w:snapToGrid w:val="0"/>
        </w:rPr>
      </w:pPr>
      <w:bookmarkStart w:id="146" w:name="_Toc75862844"/>
      <w:r>
        <w:rPr>
          <w:rStyle w:val="CharSectno"/>
        </w:rPr>
        <w:t>8</w:t>
      </w:r>
      <w:r>
        <w:rPr>
          <w:snapToGrid w:val="0"/>
        </w:rPr>
        <w:t>.</w:t>
      </w:r>
      <w:r>
        <w:rPr>
          <w:snapToGrid w:val="0"/>
        </w:rPr>
        <w:tab/>
        <w:t>Saving of existing practice</w:t>
      </w:r>
      <w:bookmarkEnd w:id="146"/>
    </w:p>
    <w:p w:rsidR="00425758" w:rsidRDefault="00425758">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rsidR="00425758" w:rsidRDefault="00425758">
      <w:pPr>
        <w:pStyle w:val="Heading5"/>
        <w:rPr>
          <w:snapToGrid w:val="0"/>
        </w:rPr>
      </w:pPr>
      <w:bookmarkStart w:id="147" w:name="_Toc75862845"/>
      <w:r>
        <w:rPr>
          <w:rStyle w:val="CharSectno"/>
        </w:rPr>
        <w:t>9</w:t>
      </w:r>
      <w:r>
        <w:rPr>
          <w:snapToGrid w:val="0"/>
        </w:rPr>
        <w:t>.</w:t>
      </w:r>
      <w:r>
        <w:rPr>
          <w:snapToGrid w:val="0"/>
        </w:rPr>
        <w:tab/>
        <w:t>Service abroad through foreign or diplomatic officials</w:t>
      </w:r>
      <w:bookmarkEnd w:id="147"/>
    </w:p>
    <w:p w:rsidR="00425758" w:rsidRDefault="00425758">
      <w:pPr>
        <w:pStyle w:val="Subsection"/>
        <w:rPr>
          <w:snapToGrid w:val="0"/>
        </w:rPr>
      </w:pPr>
      <w:r>
        <w:rPr>
          <w:snapToGrid w:val="0"/>
        </w:rPr>
        <w:tab/>
        <w:t>(1)</w:t>
      </w:r>
      <w:r>
        <w:rPr>
          <w:snapToGrid w:val="0"/>
        </w:rPr>
        <w:tab/>
        <w:t>This rule does not apply to service in — </w:t>
      </w:r>
    </w:p>
    <w:p w:rsidR="00425758" w:rsidRDefault="00425758">
      <w:pPr>
        <w:pStyle w:val="Indenta"/>
        <w:rPr>
          <w:snapToGrid w:val="0"/>
        </w:rPr>
      </w:pPr>
      <w:r>
        <w:rPr>
          <w:snapToGrid w:val="0"/>
        </w:rPr>
        <w:tab/>
        <w:t>(a)</w:t>
      </w:r>
      <w:r>
        <w:rPr>
          <w:snapToGrid w:val="0"/>
        </w:rPr>
        <w:tab/>
        <w:t>the United Kingdom;</w:t>
      </w:r>
    </w:p>
    <w:p w:rsidR="00425758" w:rsidRDefault="00425758">
      <w:pPr>
        <w:pStyle w:val="Indenta"/>
      </w:pPr>
      <w:r>
        <w:tab/>
        <w:t>(b)</w:t>
      </w:r>
      <w:r>
        <w:tab/>
        <w:t xml:space="preserve">any country listed in Schedule 3 to the </w:t>
      </w:r>
      <w:r>
        <w:rPr>
          <w:i/>
          <w:iCs/>
        </w:rPr>
        <w:t>British Nationality Act 1981</w:t>
      </w:r>
      <w:r>
        <w:t xml:space="preserve"> (United Kingdom);</w:t>
      </w:r>
    </w:p>
    <w:p w:rsidR="00425758" w:rsidRDefault="00425758">
      <w:pPr>
        <w:pStyle w:val="Indenta"/>
        <w:rPr>
          <w:snapToGrid w:val="0"/>
        </w:rPr>
      </w:pPr>
      <w:r>
        <w:rPr>
          <w:snapToGrid w:val="0"/>
        </w:rPr>
        <w:tab/>
        <w:t>(c)</w:t>
      </w:r>
      <w:r>
        <w:rPr>
          <w:snapToGrid w:val="0"/>
        </w:rPr>
        <w:tab/>
        <w:t>any British possession.</w:t>
      </w:r>
    </w:p>
    <w:p w:rsidR="00425758" w:rsidRDefault="00425758">
      <w:pPr>
        <w:pStyle w:val="Subsection"/>
      </w:pPr>
      <w:r>
        <w:lastRenderedPageBreak/>
        <w:tab/>
        <w:t>(2)</w:t>
      </w:r>
      <w:r>
        <w:tab/>
        <w:t>If leave is granted to serve a writ on a person in a foreign country and a convention about such service applies to the country and to Australia or this State, the notice may be served —</w:t>
      </w:r>
    </w:p>
    <w:p w:rsidR="00425758" w:rsidRDefault="00425758">
      <w:pPr>
        <w:pStyle w:val="Indenta"/>
      </w:pPr>
      <w:r>
        <w:tab/>
        <w:t>(a)</w:t>
      </w:r>
      <w:r>
        <w:tab/>
        <w:t>through the judicial authorities of that country; or</w:t>
      </w:r>
    </w:p>
    <w:p w:rsidR="00425758" w:rsidRDefault="00425758">
      <w:pPr>
        <w:pStyle w:val="Indenta"/>
      </w:pPr>
      <w:r>
        <w:tab/>
        <w:t>(b)</w:t>
      </w:r>
      <w:r>
        <w:tab/>
        <w:t>through a British or Australian diplomatic or consular agent in that country (subject to any provision of the convention as to the nationality of persons who may be so served).</w:t>
      </w:r>
    </w:p>
    <w:p w:rsidR="00425758" w:rsidRDefault="00425758">
      <w:pPr>
        <w:pStyle w:val="Subsection"/>
      </w:pPr>
      <w:r>
        <w:tab/>
        <w:t>(3)</w:t>
      </w:r>
      <w:r>
        <w:tab/>
        <w:t>If leave is granted to serve a writ on a person in a country and there is no such convention, the notice may be served —</w:t>
      </w:r>
    </w:p>
    <w:p w:rsidR="00425758" w:rsidRDefault="00425758">
      <w:pPr>
        <w:pStyle w:val="Indenta"/>
      </w:pPr>
      <w:r>
        <w:tab/>
        <w:t>(a)</w:t>
      </w:r>
      <w:r>
        <w:tab/>
        <w:t>through the government of that country, if the government is willing to effect service; or</w:t>
      </w:r>
    </w:p>
    <w:p w:rsidR="00425758" w:rsidRDefault="00425758">
      <w:pPr>
        <w:pStyle w:val="Indenta"/>
      </w:pPr>
      <w:r>
        <w:tab/>
        <w:t>(b)</w:t>
      </w:r>
      <w:r>
        <w:tab/>
        <w:t>through a British or Australian diplomatic or consular agent in that country except where service through such an authority is contrary to the law of that country.</w:t>
      </w:r>
    </w:p>
    <w:p w:rsidR="00425758" w:rsidRDefault="00425758">
      <w:pPr>
        <w:pStyle w:val="Subsection"/>
      </w:pPr>
      <w:r>
        <w:tab/>
        <w:t>(4)</w:t>
      </w:r>
      <w:r>
        <w:tab/>
        <w:t>A person who wishes to serve a writ by a method described in subrule (2) or (3) must file a request for service of the writ by that method, together with a copy of the writ and, unless the request and the copy of the writ are filed electronically, an additional copy of the writ for each person to be served.</w:t>
      </w:r>
    </w:p>
    <w:p w:rsidR="00425758" w:rsidRDefault="00425758">
      <w:pPr>
        <w:pStyle w:val="Subsection"/>
        <w:rPr>
          <w:snapToGrid w:val="0"/>
        </w:rPr>
      </w:pPr>
      <w:r>
        <w:rPr>
          <w:snapToGrid w:val="0"/>
        </w:rPr>
        <w:tab/>
        <w:t>(5)</w:t>
      </w:r>
      <w:r>
        <w:rPr>
          <w:snapToGrid w:val="0"/>
        </w:rPr>
        <w:tab/>
        <w:t xml:space="preserve">Every copy of a </w:t>
      </w:r>
      <w:r>
        <w:t>writ</w:t>
      </w:r>
      <w:r>
        <w:rPr>
          <w:snapToGrid w:val="0"/>
        </w:rPr>
        <w:t xml:space="preserve"> </w:t>
      </w:r>
      <w:r>
        <w:t>filed</w:t>
      </w:r>
      <w:r>
        <w:rPr>
          <w:snapToGrid w:val="0"/>
        </w:rPr>
        <w:t xml:space="preserve">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rsidR="00425758" w:rsidRDefault="00425758">
      <w:pPr>
        <w:pStyle w:val="Subsection"/>
        <w:rPr>
          <w:snapToGrid w:val="0"/>
        </w:rPr>
      </w:pPr>
      <w:r>
        <w:rPr>
          <w:snapToGrid w:val="0"/>
        </w:rPr>
        <w:lastRenderedPageBreak/>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rsidR="00425758" w:rsidRDefault="00425758">
      <w:pPr>
        <w:pStyle w:val="Subsection"/>
        <w:rPr>
          <w:snapToGrid w:val="0"/>
        </w:rPr>
      </w:pPr>
      <w:r>
        <w:rPr>
          <w:snapToGrid w:val="0"/>
        </w:rPr>
        <w:tab/>
        <w:t>(7)</w:t>
      </w:r>
      <w:r>
        <w:rPr>
          <w:snapToGrid w:val="0"/>
        </w:rPr>
        <w:tab/>
        <w:t>The document to be served shall be sealed with the seal of the Supreme Court and shall be forwarded by the Principal Registrar to the Attorney General for Western Australia for transmission through the diplomatic channel to the foreign country.</w:t>
      </w:r>
    </w:p>
    <w:p w:rsidR="00425758" w:rsidRDefault="00425758">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rsidR="00425758" w:rsidRDefault="00425758">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rsidR="00425758" w:rsidRDefault="00425758">
      <w:pPr>
        <w:pStyle w:val="Footnotesection"/>
      </w:pPr>
      <w:r>
        <w:tab/>
        <w:t xml:space="preserve">[Rule 9 amended: Gazette 14 Dec 1979 p. 3869; 3 Jul 2009 p. 2685; 28 Jun 2011 p. 2552; 12 Jun 2012 p. 2449-50; 27 Feb 2018 p. 556.] </w:t>
      </w:r>
    </w:p>
    <w:p w:rsidR="00425758" w:rsidRDefault="00425758">
      <w:pPr>
        <w:pStyle w:val="Heading5"/>
        <w:rPr>
          <w:snapToGrid w:val="0"/>
        </w:rPr>
      </w:pPr>
      <w:bookmarkStart w:id="148" w:name="_Toc75862846"/>
      <w:r>
        <w:rPr>
          <w:rStyle w:val="CharSectno"/>
        </w:rPr>
        <w:t>10</w:t>
      </w:r>
      <w:r>
        <w:rPr>
          <w:snapToGrid w:val="0"/>
        </w:rPr>
        <w:t>.</w:t>
      </w:r>
      <w:r>
        <w:rPr>
          <w:snapToGrid w:val="0"/>
        </w:rPr>
        <w:tab/>
        <w:t>Service abroad, general and saving provisions</w:t>
      </w:r>
      <w:bookmarkEnd w:id="148"/>
    </w:p>
    <w:p w:rsidR="00425758" w:rsidRDefault="00425758">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rsidR="00425758" w:rsidRDefault="00425758">
      <w:pPr>
        <w:pStyle w:val="Subsection"/>
        <w:rPr>
          <w:snapToGrid w:val="0"/>
        </w:rPr>
      </w:pPr>
      <w:r>
        <w:rPr>
          <w:snapToGrid w:val="0"/>
        </w:rPr>
        <w:tab/>
        <w:t>(2)</w:t>
      </w:r>
      <w:r>
        <w:rPr>
          <w:snapToGrid w:val="0"/>
        </w:rPr>
        <w:tab/>
        <w:t xml:space="preserve">Nothing in this rule or in any order or direction of the Court made by virtue of it shall authorise or require the doing of </w:t>
      </w:r>
      <w:r>
        <w:rPr>
          <w:snapToGrid w:val="0"/>
        </w:rPr>
        <w:lastRenderedPageBreak/>
        <w:t>anything in a country in which service is to be effected which is contrary to the law of that country.</w:t>
      </w:r>
    </w:p>
    <w:p w:rsidR="00425758" w:rsidRDefault="00425758">
      <w:pPr>
        <w:pStyle w:val="Subsection"/>
        <w:rPr>
          <w:snapToGrid w:val="0"/>
        </w:rPr>
      </w:pPr>
      <w:r>
        <w:rPr>
          <w:snapToGrid w:val="0"/>
        </w:rPr>
        <w:tab/>
        <w:t>(3)</w:t>
      </w:r>
      <w:r>
        <w:rPr>
          <w:snapToGrid w:val="0"/>
        </w:rPr>
        <w:tab/>
      </w:r>
      <w:r>
        <w:t>A writ to be served outside Australia —</w:t>
      </w:r>
    </w:p>
    <w:p w:rsidR="00425758" w:rsidRDefault="00425758">
      <w:pPr>
        <w:pStyle w:val="Indenta"/>
      </w:pPr>
      <w:r>
        <w:tab/>
        <w:t>(a)</w:t>
      </w:r>
      <w:r>
        <w:tab/>
        <w:t>need not be served personally on the person required to be served, if it is served on him in accordance with the law of the country in which service is effected; and</w:t>
      </w:r>
    </w:p>
    <w:p w:rsidR="00425758" w:rsidRDefault="00425758">
      <w:pPr>
        <w:pStyle w:val="Indenta"/>
      </w:pPr>
      <w:r>
        <w:tab/>
        <w:t>(b)</w:t>
      </w:r>
      <w:r>
        <w:tab/>
        <w:t>need not be served by the plaintiff or his agent if it is served by a method provided for by rule 9.</w:t>
      </w:r>
    </w:p>
    <w:p w:rsidR="00425758" w:rsidRDefault="00425758">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rsidR="00425758" w:rsidRDefault="00425758">
      <w:pPr>
        <w:pStyle w:val="Footnotesection"/>
      </w:pPr>
      <w:r>
        <w:tab/>
        <w:t>[Rule 10 amended: Gazette 12 Jun 2012 p. 2450.]</w:t>
      </w:r>
    </w:p>
    <w:p w:rsidR="00425758" w:rsidRDefault="00425758">
      <w:pPr>
        <w:pStyle w:val="Heading5"/>
        <w:keepLines w:val="0"/>
        <w:rPr>
          <w:snapToGrid w:val="0"/>
        </w:rPr>
      </w:pPr>
      <w:bookmarkStart w:id="149" w:name="_Toc75862847"/>
      <w:r>
        <w:rPr>
          <w:rStyle w:val="CharSectno"/>
        </w:rPr>
        <w:t>11</w:t>
      </w:r>
      <w:r>
        <w:rPr>
          <w:snapToGrid w:val="0"/>
        </w:rPr>
        <w:t>.</w:t>
      </w:r>
      <w:r>
        <w:rPr>
          <w:snapToGrid w:val="0"/>
        </w:rPr>
        <w:tab/>
        <w:t>Undertaking to pay expenses of service</w:t>
      </w:r>
      <w:bookmarkEnd w:id="149"/>
    </w:p>
    <w:p w:rsidR="00425758" w:rsidRDefault="00425758">
      <w:pPr>
        <w:pStyle w:val="Subsection"/>
        <w:keepLines/>
        <w:rPr>
          <w:snapToGrid w:val="0"/>
        </w:rPr>
      </w:pPr>
      <w:r>
        <w:rPr>
          <w:snapToGrid w:val="0"/>
        </w:rPr>
        <w:tab/>
      </w:r>
      <w:r>
        <w:rPr>
          <w:snapToGrid w:val="0"/>
        </w:rPr>
        <w:tab/>
        <w:t>Every request filed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rsidR="00425758" w:rsidRDefault="00425758">
      <w:pPr>
        <w:pStyle w:val="Footnotesection"/>
      </w:pPr>
      <w:r>
        <w:tab/>
        <w:t>[Rule 11 amended: Gazette 27 Feb 2018 p. 556.]</w:t>
      </w:r>
    </w:p>
    <w:p w:rsidR="00425758" w:rsidRDefault="00425758">
      <w:pPr>
        <w:pStyle w:val="Heading2"/>
        <w:rPr>
          <w:b w:val="0"/>
        </w:rPr>
      </w:pPr>
      <w:bookmarkStart w:id="150" w:name="_Toc75511752"/>
      <w:bookmarkStart w:id="151" w:name="_Toc75862848"/>
      <w:r>
        <w:rPr>
          <w:rStyle w:val="CharPartNo"/>
        </w:rPr>
        <w:lastRenderedPageBreak/>
        <w:t>Order 11</w:t>
      </w:r>
      <w:r>
        <w:t> — </w:t>
      </w:r>
      <w:r>
        <w:rPr>
          <w:rStyle w:val="CharPartText"/>
        </w:rPr>
        <w:t>Service of foreign process</w:t>
      </w:r>
      <w:bookmarkEnd w:id="150"/>
      <w:bookmarkEnd w:id="151"/>
    </w:p>
    <w:p w:rsidR="00425758" w:rsidRDefault="00425758">
      <w:pPr>
        <w:pStyle w:val="Ednotesection"/>
      </w:pPr>
      <w:r>
        <w:t>[</w:t>
      </w:r>
      <w:r>
        <w:rPr>
          <w:b/>
        </w:rPr>
        <w:t>1A.</w:t>
      </w:r>
      <w:r>
        <w:tab/>
        <w:t>Deleted: Gazette 3 Jul 2009 p. 2685.]</w:t>
      </w:r>
    </w:p>
    <w:p w:rsidR="00425758" w:rsidRDefault="00425758">
      <w:pPr>
        <w:pStyle w:val="Heading5"/>
        <w:rPr>
          <w:snapToGrid w:val="0"/>
        </w:rPr>
      </w:pPr>
      <w:bookmarkStart w:id="152" w:name="_Toc75862849"/>
      <w:r>
        <w:rPr>
          <w:rStyle w:val="CharSectno"/>
        </w:rPr>
        <w:t>1</w:t>
      </w:r>
      <w:r>
        <w:rPr>
          <w:snapToGrid w:val="0"/>
        </w:rPr>
        <w:t>.</w:t>
      </w:r>
      <w:r>
        <w:rPr>
          <w:snapToGrid w:val="0"/>
        </w:rPr>
        <w:tab/>
        <w:t>Terms used</w:t>
      </w:r>
      <w:bookmarkEnd w:id="152"/>
    </w:p>
    <w:p w:rsidR="00425758" w:rsidRDefault="00425758">
      <w:pPr>
        <w:pStyle w:val="Subsection"/>
        <w:rPr>
          <w:snapToGrid w:val="0"/>
        </w:rPr>
      </w:pPr>
      <w:r>
        <w:rPr>
          <w:snapToGrid w:val="0"/>
        </w:rPr>
        <w:tab/>
      </w:r>
      <w:r>
        <w:rPr>
          <w:snapToGrid w:val="0"/>
        </w:rPr>
        <w:tab/>
        <w:t>In this Order — </w:t>
      </w:r>
    </w:p>
    <w:p w:rsidR="00425758" w:rsidRDefault="00425758">
      <w:pPr>
        <w:pStyle w:val="Defstart"/>
      </w:pPr>
      <w:r>
        <w:rPr>
          <w:b/>
        </w:rPr>
        <w:tab/>
      </w:r>
      <w:r>
        <w:rPr>
          <w:rStyle w:val="CharDefText"/>
        </w:rPr>
        <w:t>official channel</w:t>
      </w:r>
      <w:r>
        <w:t xml:space="preserve"> includes a consular or other authority of the foreign country concerned;</w:t>
      </w:r>
    </w:p>
    <w:p w:rsidR="00425758" w:rsidRDefault="00425758">
      <w:pPr>
        <w:pStyle w:val="Defstart"/>
      </w:pPr>
      <w:r>
        <w:rPr>
          <w:b/>
        </w:rPr>
        <w:tab/>
      </w:r>
      <w:r>
        <w:rPr>
          <w:rStyle w:val="CharDefText"/>
        </w:rPr>
        <w:t>process</w:t>
      </w:r>
      <w:r>
        <w:t xml:space="preserve"> includes a citation.</w:t>
      </w:r>
    </w:p>
    <w:p w:rsidR="00425758" w:rsidRDefault="00425758">
      <w:pPr>
        <w:pStyle w:val="Heading5"/>
      </w:pPr>
      <w:bookmarkStart w:id="153" w:name="_Toc75862850"/>
      <w:r>
        <w:rPr>
          <w:rStyle w:val="CharSectno"/>
        </w:rPr>
        <w:t>2A</w:t>
      </w:r>
      <w:r>
        <w:t>.</w:t>
      </w:r>
      <w:r>
        <w:tab/>
        <w:t>Application of this Order</w:t>
      </w:r>
      <w:bookmarkEnd w:id="153"/>
    </w:p>
    <w:p w:rsidR="00425758" w:rsidRDefault="00425758">
      <w:pPr>
        <w:pStyle w:val="Subsection"/>
      </w:pPr>
      <w:r>
        <w:tab/>
        <w:t>(1)</w:t>
      </w:r>
      <w:r>
        <w:tab/>
        <w:t xml:space="preserve">If the Court receives a letter of request for service of process on a person in this State from — </w:t>
      </w:r>
    </w:p>
    <w:p w:rsidR="00425758" w:rsidRDefault="00425758">
      <w:pPr>
        <w:pStyle w:val="Indenta"/>
      </w:pPr>
      <w:r>
        <w:tab/>
        <w:t>(a)</w:t>
      </w:r>
      <w:r>
        <w:tab/>
        <w:t>a court or tribunal; or</w:t>
      </w:r>
    </w:p>
    <w:p w:rsidR="00425758" w:rsidRDefault="00425758">
      <w:pPr>
        <w:pStyle w:val="Indenta"/>
      </w:pPr>
      <w:r>
        <w:tab/>
        <w:t>(b)</w:t>
      </w:r>
      <w:r>
        <w:tab/>
        <w:t>a consular or other authority,</w:t>
      </w:r>
    </w:p>
    <w:p w:rsidR="00425758" w:rsidRDefault="00425758">
      <w:pPr>
        <w:pStyle w:val="Subsection"/>
      </w:pPr>
      <w:r>
        <w:tab/>
      </w:r>
      <w:r>
        <w:tab/>
        <w:t>of a Convention country (as defined in Order 11A rule 1), then, unless Order 11A Division 4 applies, rule 2 or 3, as the case requires, and rules 4 and 5 apply and Order 11A Division 4 does not.</w:t>
      </w:r>
    </w:p>
    <w:p w:rsidR="00425758" w:rsidRDefault="00425758">
      <w:pPr>
        <w:pStyle w:val="Subsection"/>
      </w:pPr>
      <w:r>
        <w:tab/>
        <w:t>(2)</w:t>
      </w:r>
      <w:r>
        <w:tab/>
        <w:t>If Order 11A Division 4 applies to a request referred to in subrule (1), rules 2 to 5 do not apply.</w:t>
      </w:r>
    </w:p>
    <w:p w:rsidR="00425758" w:rsidRDefault="00425758">
      <w:pPr>
        <w:pStyle w:val="Subsection"/>
      </w:pPr>
      <w:r>
        <w:tab/>
        <w:t>(3)</w:t>
      </w:r>
      <w:r>
        <w:tab/>
        <w:t>A letter of request referred to in subrule (1), any document that accompanies the letter of request and any other document to be filed for the purposes of this Order cannot be filed electronically.</w:t>
      </w:r>
    </w:p>
    <w:p w:rsidR="00425758" w:rsidRDefault="00425758">
      <w:pPr>
        <w:pStyle w:val="Footnotesection"/>
      </w:pPr>
      <w:r>
        <w:tab/>
        <w:t xml:space="preserve">[Rule 2A inserted: Gazette 3 Jul 2009 p. 2685; amended: Gazette 27 Feb 2018 p. 556.] </w:t>
      </w:r>
    </w:p>
    <w:p w:rsidR="00425758" w:rsidRDefault="00425758">
      <w:pPr>
        <w:pStyle w:val="Heading5"/>
        <w:rPr>
          <w:snapToGrid w:val="0"/>
        </w:rPr>
      </w:pPr>
      <w:bookmarkStart w:id="154" w:name="_Toc75862851"/>
      <w:r>
        <w:rPr>
          <w:rStyle w:val="CharSectno"/>
        </w:rPr>
        <w:t>2</w:t>
      </w:r>
      <w:r>
        <w:rPr>
          <w:snapToGrid w:val="0"/>
        </w:rPr>
        <w:t>.</w:t>
      </w:r>
      <w:r>
        <w:rPr>
          <w:snapToGrid w:val="0"/>
        </w:rPr>
        <w:tab/>
        <w:t>Service pursuant to letter of request for service</w:t>
      </w:r>
      <w:bookmarkEnd w:id="154"/>
    </w:p>
    <w:p w:rsidR="00425758" w:rsidRDefault="00425758">
      <w:pPr>
        <w:pStyle w:val="Subsection"/>
        <w:rPr>
          <w:snapToGrid w:val="0"/>
        </w:rPr>
      </w:pPr>
      <w:r>
        <w:rPr>
          <w:snapToGrid w:val="0"/>
        </w:rPr>
        <w:tab/>
        <w:t>(1)</w:t>
      </w:r>
      <w:r>
        <w:rPr>
          <w:snapToGrid w:val="0"/>
        </w:rPr>
        <w:tab/>
        <w:t xml:space="preserve">This rule applies to the service of any process required to be served in any civil or commercial proceedings pending before a court or other tribunal of a foreign country where a letter of request from such a tribunal for service on a person in Western </w:t>
      </w:r>
      <w:r>
        <w:rPr>
          <w:snapToGrid w:val="0"/>
        </w:rPr>
        <w:lastRenderedPageBreak/>
        <w:t>Australia of any such process sent with the letter is received by the Principal Registrar through an official channel.</w:t>
      </w:r>
    </w:p>
    <w:p w:rsidR="00425758" w:rsidRDefault="00425758">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rsidR="00425758" w:rsidRDefault="00425758">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rsidR="00425758" w:rsidRDefault="00425758">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rsidR="00425758" w:rsidRDefault="00425758">
      <w:pPr>
        <w:pStyle w:val="Footnotesection"/>
      </w:pPr>
      <w:r>
        <w:tab/>
        <w:t xml:space="preserve">[Rule 2 amended: Gazette 14 Dec 1979 p. 3869; 12 Jun 2012 p. 2450.] </w:t>
      </w:r>
    </w:p>
    <w:p w:rsidR="00425758" w:rsidRDefault="00425758">
      <w:pPr>
        <w:pStyle w:val="Heading5"/>
        <w:rPr>
          <w:snapToGrid w:val="0"/>
        </w:rPr>
      </w:pPr>
      <w:bookmarkStart w:id="155" w:name="_Toc75862852"/>
      <w:r>
        <w:rPr>
          <w:rStyle w:val="CharSectno"/>
        </w:rPr>
        <w:t>3</w:t>
      </w:r>
      <w:r>
        <w:rPr>
          <w:snapToGrid w:val="0"/>
        </w:rPr>
        <w:t>.</w:t>
      </w:r>
      <w:r>
        <w:rPr>
          <w:snapToGrid w:val="0"/>
        </w:rPr>
        <w:tab/>
        <w:t>Service under Convention</w:t>
      </w:r>
      <w:bookmarkEnd w:id="155"/>
    </w:p>
    <w:p w:rsidR="00425758" w:rsidRDefault="00425758">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rsidR="00425758" w:rsidRDefault="00425758">
      <w:pPr>
        <w:pStyle w:val="Subsection"/>
        <w:keepNext/>
        <w:rPr>
          <w:snapToGrid w:val="0"/>
        </w:rPr>
      </w:pPr>
      <w:r>
        <w:rPr>
          <w:snapToGrid w:val="0"/>
        </w:rPr>
        <w:lastRenderedPageBreak/>
        <w:tab/>
        <w:t>(2)</w:t>
      </w:r>
      <w:r>
        <w:rPr>
          <w:snapToGrid w:val="0"/>
        </w:rPr>
        <w:tab/>
        <w:t>In order that service may be effected under this rule the letter of request must be accompanied by a copy of a translation in English of the process to be served.</w:t>
      </w:r>
    </w:p>
    <w:p w:rsidR="00425758" w:rsidRDefault="00425758">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rsidR="00425758" w:rsidRDefault="00425758">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rsidR="00425758" w:rsidRDefault="00425758">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rsidR="00425758" w:rsidRDefault="00425758">
      <w:pPr>
        <w:pStyle w:val="Footnotesection"/>
      </w:pPr>
      <w:r>
        <w:tab/>
        <w:t xml:space="preserve">[Rule 3 amended: Gazette 14 Dec 1979 p. 3869; 12 Jun 2012 p. 2450 and 2453.] </w:t>
      </w:r>
    </w:p>
    <w:p w:rsidR="00425758" w:rsidRDefault="00425758">
      <w:pPr>
        <w:pStyle w:val="Heading5"/>
        <w:rPr>
          <w:snapToGrid w:val="0"/>
        </w:rPr>
      </w:pPr>
      <w:bookmarkStart w:id="156" w:name="_Toc75862853"/>
      <w:r>
        <w:rPr>
          <w:rStyle w:val="CharSectno"/>
        </w:rPr>
        <w:t>4</w:t>
      </w:r>
      <w:r>
        <w:rPr>
          <w:snapToGrid w:val="0"/>
        </w:rPr>
        <w:t>.</w:t>
      </w:r>
      <w:r>
        <w:rPr>
          <w:snapToGrid w:val="0"/>
        </w:rPr>
        <w:tab/>
        <w:t>Service to be through sheriff</w:t>
      </w:r>
      <w:bookmarkEnd w:id="156"/>
    </w:p>
    <w:p w:rsidR="00425758" w:rsidRDefault="00425758">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rsidR="00425758" w:rsidRDefault="00425758">
      <w:pPr>
        <w:pStyle w:val="Heading5"/>
        <w:rPr>
          <w:snapToGrid w:val="0"/>
        </w:rPr>
      </w:pPr>
      <w:bookmarkStart w:id="157" w:name="_Toc75862854"/>
      <w:r>
        <w:rPr>
          <w:rStyle w:val="CharSectno"/>
        </w:rPr>
        <w:lastRenderedPageBreak/>
        <w:t>5</w:t>
      </w:r>
      <w:r>
        <w:rPr>
          <w:snapToGrid w:val="0"/>
        </w:rPr>
        <w:t>.</w:t>
      </w:r>
      <w:r>
        <w:rPr>
          <w:snapToGrid w:val="0"/>
        </w:rPr>
        <w:tab/>
        <w:t>Consequential orders</w:t>
      </w:r>
      <w:bookmarkEnd w:id="157"/>
    </w:p>
    <w:p w:rsidR="00425758" w:rsidRDefault="00425758">
      <w:pPr>
        <w:pStyle w:val="Subsection"/>
        <w:keepNext/>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rsidR="00425758" w:rsidRDefault="00425758">
      <w:pPr>
        <w:pStyle w:val="Footnotesection"/>
      </w:pPr>
      <w:r>
        <w:tab/>
        <w:t>[Rule 5 amended: Gazette 19 Apr 2005 p. 1298.]</w:t>
      </w:r>
    </w:p>
    <w:p w:rsidR="00425758" w:rsidRDefault="00425758">
      <w:pPr>
        <w:pStyle w:val="Heading2"/>
      </w:pPr>
      <w:bookmarkStart w:id="158" w:name="_Toc75511759"/>
      <w:bookmarkStart w:id="159" w:name="_Toc75862855"/>
      <w:r>
        <w:rPr>
          <w:rStyle w:val="CharPartNo"/>
        </w:rPr>
        <w:lastRenderedPageBreak/>
        <w:t>Order 11A</w:t>
      </w:r>
      <w:r>
        <w:rPr>
          <w:b w:val="0"/>
        </w:rPr>
        <w:t> </w:t>
      </w:r>
      <w:r>
        <w:t>—</w:t>
      </w:r>
      <w:r>
        <w:rPr>
          <w:b w:val="0"/>
        </w:rPr>
        <w:t> </w:t>
      </w:r>
      <w:r>
        <w:rPr>
          <w:rStyle w:val="CharPartText"/>
        </w:rPr>
        <w:t>Service under the Hague Convention</w:t>
      </w:r>
      <w:bookmarkEnd w:id="158"/>
      <w:bookmarkEnd w:id="159"/>
    </w:p>
    <w:p w:rsidR="00425758" w:rsidRDefault="00425758">
      <w:pPr>
        <w:pStyle w:val="Footnoteheading"/>
      </w:pPr>
      <w:r>
        <w:tab/>
        <w:t xml:space="preserve">[Heading inserted: Gazette 3 Jul 2009 p. 2685.] </w:t>
      </w:r>
    </w:p>
    <w:p w:rsidR="00425758" w:rsidRDefault="00425758">
      <w:pPr>
        <w:pStyle w:val="Heading3"/>
      </w:pPr>
      <w:bookmarkStart w:id="160" w:name="_Toc75511760"/>
      <w:bookmarkStart w:id="161" w:name="_Toc75862856"/>
      <w:r>
        <w:rPr>
          <w:rStyle w:val="CharDivNo"/>
        </w:rPr>
        <w:t>Division 1</w:t>
      </w:r>
      <w:r>
        <w:t> — </w:t>
      </w:r>
      <w:r>
        <w:rPr>
          <w:rStyle w:val="CharDivText"/>
        </w:rPr>
        <w:t>Preliminary</w:t>
      </w:r>
      <w:bookmarkEnd w:id="160"/>
      <w:bookmarkEnd w:id="161"/>
    </w:p>
    <w:p w:rsidR="00425758" w:rsidRDefault="00425758">
      <w:pPr>
        <w:pStyle w:val="Footnoteheading"/>
      </w:pPr>
      <w:r>
        <w:tab/>
        <w:t xml:space="preserve">[Heading inserted: Gazette 3 Jul 2009 p. 2685.] </w:t>
      </w:r>
    </w:p>
    <w:p w:rsidR="00425758" w:rsidRDefault="00425758">
      <w:pPr>
        <w:pStyle w:val="PermNoteHeading"/>
      </w:pPr>
      <w:r>
        <w:tab/>
        <w:t>Note:</w:t>
      </w:r>
    </w:p>
    <w:p w:rsidR="00425758" w:rsidRDefault="00425758">
      <w:pPr>
        <w:pStyle w:val="PermNoteText"/>
      </w:pPr>
      <w:r>
        <w:tab/>
        <w:t>1.</w:t>
      </w:r>
      <w:r>
        <w:tab/>
        <w:t xml:space="preserve">This Order forms part of a scheme to implement Australia’s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rsidR="00425758" w:rsidRDefault="00425758">
      <w:pPr>
        <w:pStyle w:val="PermNoteText"/>
      </w:pPr>
      <w:r>
        <w:tab/>
        <w:t>2.</w:t>
      </w:r>
      <w:r>
        <w:tab/>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rsidR="00425758" w:rsidRDefault="00425758">
      <w:pPr>
        <w:pStyle w:val="PermNoteText"/>
      </w:pPr>
      <w:r>
        <w:tab/>
        <w:t>3.</w:t>
      </w:r>
      <w:r>
        <w:tab/>
        <w:t>Information about the Hague Convention, including a copy of the Hague Convention, a list of all Contracting States, details of declarations and reservations made under the Hague Convention by each of those States and the names and addresses of the central and other authorities of each of those States can be found at the website of the Hague Conference on Private International Law.</w:t>
      </w:r>
    </w:p>
    <w:p w:rsidR="00425758" w:rsidRDefault="00425758">
      <w:pPr>
        <w:pStyle w:val="Footnotesection"/>
      </w:pPr>
      <w:r>
        <w:tab/>
        <w:t>[Note amended: SL 2020/242 r. 4.]</w:t>
      </w:r>
    </w:p>
    <w:p w:rsidR="00425758" w:rsidRDefault="00425758">
      <w:pPr>
        <w:pStyle w:val="Heading5"/>
      </w:pPr>
      <w:bookmarkStart w:id="162" w:name="_Toc75862857"/>
      <w:r>
        <w:rPr>
          <w:rStyle w:val="CharSectno"/>
        </w:rPr>
        <w:t>1</w:t>
      </w:r>
      <w:r>
        <w:t>.</w:t>
      </w:r>
      <w:r>
        <w:tab/>
        <w:t>Terms used</w:t>
      </w:r>
      <w:bookmarkEnd w:id="162"/>
    </w:p>
    <w:p w:rsidR="00425758" w:rsidRDefault="00425758">
      <w:pPr>
        <w:pStyle w:val="Subsection"/>
      </w:pPr>
      <w:r>
        <w:tab/>
      </w:r>
      <w:r>
        <w:tab/>
        <w:t>In this Order —</w:t>
      </w:r>
    </w:p>
    <w:p w:rsidR="00425758" w:rsidRDefault="00425758">
      <w:pPr>
        <w:pStyle w:val="Defstart"/>
      </w:pPr>
      <w:r>
        <w:tab/>
      </w:r>
      <w:r>
        <w:rPr>
          <w:rStyle w:val="CharDefText"/>
        </w:rPr>
        <w:t>additional authority</w:t>
      </w:r>
      <w:r>
        <w:t xml:space="preserve">, for a Convention country, means an authority that is — </w:t>
      </w:r>
    </w:p>
    <w:p w:rsidR="00425758" w:rsidRDefault="00425758">
      <w:pPr>
        <w:pStyle w:val="Defpara"/>
      </w:pPr>
      <w:r>
        <w:tab/>
        <w:t>(a)</w:t>
      </w:r>
      <w:r>
        <w:tab/>
        <w:t>for the time being designated by that country, under Article 18 of the Hague Convention, to be an authority (other than the Central Authority) for that country; and</w:t>
      </w:r>
    </w:p>
    <w:p w:rsidR="00425758" w:rsidRDefault="00425758">
      <w:pPr>
        <w:pStyle w:val="Defpara"/>
      </w:pPr>
      <w:r>
        <w:tab/>
        <w:t>(b)</w:t>
      </w:r>
      <w:r>
        <w:tab/>
        <w:t>competent to receive requests for service abroad emanating from Australia;</w:t>
      </w:r>
    </w:p>
    <w:p w:rsidR="00425758" w:rsidRDefault="00425758">
      <w:pPr>
        <w:pStyle w:val="Defstart"/>
      </w:pPr>
      <w:r>
        <w:lastRenderedPageBreak/>
        <w:tab/>
      </w:r>
      <w:r>
        <w:rPr>
          <w:rStyle w:val="CharDefText"/>
        </w:rPr>
        <w:t>applicant</w:t>
      </w:r>
      <w:r>
        <w:t>, for a request for service abroad or a request for service in this jurisdiction, means the person on whose behalf service is requested;</w:t>
      </w:r>
    </w:p>
    <w:p w:rsidR="00425758" w:rsidRDefault="00425758">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rsidR="00425758" w:rsidRDefault="00425758">
      <w:pPr>
        <w:pStyle w:val="Defstart"/>
      </w:pPr>
      <w:r>
        <w:tab/>
      </w:r>
      <w:r>
        <w:rPr>
          <w:rStyle w:val="CharDefText"/>
        </w:rPr>
        <w:t>certificate of service</w:t>
      </w:r>
      <w:r>
        <w:t xml:space="preserve"> means a certificate of service that has been completed for the purposes of Article 6 of the Hague Convention;</w:t>
      </w:r>
    </w:p>
    <w:p w:rsidR="00425758" w:rsidRDefault="00425758">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rsidR="00425758" w:rsidRDefault="00425758">
      <w:pPr>
        <w:pStyle w:val="Defstart"/>
      </w:pPr>
      <w:r>
        <w:tab/>
      </w:r>
      <w:r>
        <w:rPr>
          <w:rStyle w:val="CharDefText"/>
        </w:rPr>
        <w:t>civil proceedings</w:t>
      </w:r>
      <w:r>
        <w:t xml:space="preserve"> means any judicial proceedings in relation to civil or commercial matters;</w:t>
      </w:r>
    </w:p>
    <w:p w:rsidR="00425758" w:rsidRDefault="00425758">
      <w:pPr>
        <w:pStyle w:val="Defstart"/>
      </w:pPr>
      <w:r>
        <w:tab/>
      </w:r>
      <w:r>
        <w:rPr>
          <w:rStyle w:val="CharDefText"/>
        </w:rPr>
        <w:t>Convention country</w:t>
      </w:r>
      <w:r>
        <w:t xml:space="preserve"> means a country, other than Australia, that is a party to the Hague Convention;</w:t>
      </w:r>
    </w:p>
    <w:p w:rsidR="00425758" w:rsidRDefault="00425758">
      <w:pPr>
        <w:pStyle w:val="Defstart"/>
      </w:pPr>
      <w:r>
        <w:tab/>
      </w:r>
      <w:r>
        <w:rPr>
          <w:rStyle w:val="CharDefText"/>
        </w:rPr>
        <w:t>defendant</w:t>
      </w:r>
      <w:r>
        <w:t>, for a request for service abroad of an initiating process, means the person on whom the initiating process is requested to be served;</w:t>
      </w:r>
    </w:p>
    <w:p w:rsidR="00425758" w:rsidRDefault="00425758">
      <w:pPr>
        <w:pStyle w:val="Defstart"/>
      </w:pPr>
      <w:r>
        <w:tab/>
      </w:r>
      <w:r>
        <w:rPr>
          <w:rStyle w:val="CharDefText"/>
        </w:rPr>
        <w:t>foreign judicial document</w:t>
      </w:r>
      <w:r>
        <w:t xml:space="preserve"> means a judicial document that originates in a Convention country and that relates to civil proceedings in a court of that country;</w:t>
      </w:r>
    </w:p>
    <w:p w:rsidR="00425758" w:rsidRDefault="00425758">
      <w:pPr>
        <w:pStyle w:val="Defstart"/>
      </w:pPr>
      <w:r>
        <w:tab/>
      </w:r>
      <w:r>
        <w:rPr>
          <w:rStyle w:val="CharDefText"/>
        </w:rPr>
        <w:t>forwarding authority</w:t>
      </w:r>
      <w:r>
        <w:t xml:space="preserve"> — </w:t>
      </w:r>
    </w:p>
    <w:p w:rsidR="00425758" w:rsidRDefault="00425758">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rsidR="00425758" w:rsidRDefault="00425758">
      <w:pPr>
        <w:pStyle w:val="Defpara"/>
      </w:pPr>
      <w:r>
        <w:lastRenderedPageBreak/>
        <w:tab/>
        <w:t>(b)</w:t>
      </w:r>
      <w:r>
        <w:tab/>
        <w:t>for a request for service of a local judicial document in a Convention country — the registrar;</w:t>
      </w:r>
    </w:p>
    <w:p w:rsidR="00425758" w:rsidRDefault="00425758">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done at the Hague on 15 November 1965;</w:t>
      </w:r>
    </w:p>
    <w:p w:rsidR="00425758" w:rsidRDefault="00425758">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rsidR="00425758" w:rsidRDefault="00425758">
      <w:pPr>
        <w:pStyle w:val="Defstart"/>
      </w:pPr>
      <w:r>
        <w:tab/>
      </w:r>
      <w:r>
        <w:rPr>
          <w:rStyle w:val="CharDefText"/>
        </w:rPr>
        <w:t>local judicial document</w:t>
      </w:r>
      <w:r>
        <w:t xml:space="preserve"> means a judicial document that relates to civil proceedings in the Court;</w:t>
      </w:r>
    </w:p>
    <w:p w:rsidR="00425758" w:rsidRDefault="00425758">
      <w:pPr>
        <w:pStyle w:val="Defstart"/>
      </w:pPr>
      <w:r>
        <w:tab/>
      </w:r>
      <w:r>
        <w:rPr>
          <w:rStyle w:val="CharDefText"/>
        </w:rPr>
        <w:t>request for service abroad</w:t>
      </w:r>
      <w:r>
        <w:t xml:space="preserve"> means a request for service in a Convention country of a local judicial document mentioned in rule 4(1);</w:t>
      </w:r>
    </w:p>
    <w:p w:rsidR="00425758" w:rsidRDefault="00425758">
      <w:pPr>
        <w:pStyle w:val="Defstart"/>
      </w:pPr>
      <w:r>
        <w:tab/>
      </w:r>
      <w:r>
        <w:rPr>
          <w:rStyle w:val="CharDefText"/>
        </w:rPr>
        <w:t>request for service in this jurisdiction</w:t>
      </w:r>
      <w:r>
        <w:t xml:space="preserve"> means a request for service in this jurisdiction of a foreign judicial document mentioned in rule 13(1);</w:t>
      </w:r>
    </w:p>
    <w:p w:rsidR="00425758" w:rsidRDefault="00425758">
      <w:pPr>
        <w:pStyle w:val="Defstart"/>
      </w:pPr>
      <w:r>
        <w:tab/>
      </w:r>
      <w:r>
        <w:rPr>
          <w:rStyle w:val="CharDefText"/>
        </w:rPr>
        <w:t>this jurisdiction</w:t>
      </w:r>
      <w:r>
        <w:t xml:space="preserve"> means Western Australia.</w:t>
      </w:r>
    </w:p>
    <w:p w:rsidR="00425758" w:rsidRDefault="00425758">
      <w:pPr>
        <w:pStyle w:val="Footnotesection"/>
      </w:pPr>
      <w:r>
        <w:tab/>
        <w:t>[Rule 1 inserted: Gazette 3 Jul 2009 p. 2686</w:t>
      </w:r>
      <w:r>
        <w:noBreakHyphen/>
        <w:t xml:space="preserve">7.] </w:t>
      </w:r>
    </w:p>
    <w:p w:rsidR="00425758" w:rsidRDefault="00425758">
      <w:pPr>
        <w:pStyle w:val="Heading5"/>
      </w:pPr>
      <w:bookmarkStart w:id="163" w:name="_Toc75862858"/>
      <w:r>
        <w:rPr>
          <w:rStyle w:val="CharSectno"/>
        </w:rPr>
        <w:t>2</w:t>
      </w:r>
      <w:r>
        <w:t>.</w:t>
      </w:r>
      <w:r>
        <w:tab/>
        <w:t>Provisions of this Order to prevail</w:t>
      </w:r>
      <w:bookmarkEnd w:id="163"/>
    </w:p>
    <w:p w:rsidR="00425758" w:rsidRDefault="00425758">
      <w:pPr>
        <w:pStyle w:val="Subsection"/>
      </w:pPr>
      <w:r>
        <w:tab/>
      </w:r>
      <w:r>
        <w:tab/>
        <w:t>The provisions of this Order prevail to the extent of any inconsistency between those provisions and any other provisions of these rules.</w:t>
      </w:r>
    </w:p>
    <w:p w:rsidR="00425758" w:rsidRDefault="00425758">
      <w:pPr>
        <w:pStyle w:val="Footnotesection"/>
      </w:pPr>
      <w:r>
        <w:tab/>
        <w:t xml:space="preserve">[Rule 2 inserted: Gazette 3 Jul 2009 p. 2687.] </w:t>
      </w:r>
    </w:p>
    <w:p w:rsidR="00425758" w:rsidRDefault="00425758">
      <w:pPr>
        <w:pStyle w:val="Heading3"/>
      </w:pPr>
      <w:bookmarkStart w:id="164" w:name="_Toc75511763"/>
      <w:bookmarkStart w:id="165" w:name="_Toc75862859"/>
      <w:r>
        <w:rPr>
          <w:rStyle w:val="CharDivNo"/>
        </w:rPr>
        <w:t>Division 2</w:t>
      </w:r>
      <w:r>
        <w:t> — </w:t>
      </w:r>
      <w:r>
        <w:rPr>
          <w:rStyle w:val="CharDivText"/>
        </w:rPr>
        <w:t>Service abroad of local judicial documents</w:t>
      </w:r>
      <w:bookmarkEnd w:id="164"/>
      <w:bookmarkEnd w:id="165"/>
    </w:p>
    <w:p w:rsidR="00425758" w:rsidRDefault="00425758">
      <w:pPr>
        <w:pStyle w:val="Footnoteheading"/>
      </w:pPr>
      <w:r>
        <w:tab/>
        <w:t xml:space="preserve">[Heading inserted: Gazette 3 Jul 2009 p. 2687.] </w:t>
      </w:r>
    </w:p>
    <w:p w:rsidR="00425758" w:rsidRDefault="00425758">
      <w:pPr>
        <w:pStyle w:val="Heading5"/>
      </w:pPr>
      <w:bookmarkStart w:id="166" w:name="_Toc75862860"/>
      <w:r>
        <w:rPr>
          <w:rStyle w:val="CharSectno"/>
        </w:rPr>
        <w:t>3</w:t>
      </w:r>
      <w:r>
        <w:t>.</w:t>
      </w:r>
      <w:r>
        <w:tab/>
        <w:t>Application of this Division</w:t>
      </w:r>
      <w:bookmarkEnd w:id="166"/>
    </w:p>
    <w:p w:rsidR="00425758" w:rsidRDefault="00425758">
      <w:pPr>
        <w:pStyle w:val="Subsection"/>
      </w:pPr>
      <w:r>
        <w:tab/>
        <w:t>(1)</w:t>
      </w:r>
      <w:r>
        <w:tab/>
        <w:t>Subject to subrule (2), this Division applies to service in a Convention country of a local judicial document.</w:t>
      </w:r>
    </w:p>
    <w:p w:rsidR="00425758" w:rsidRDefault="00425758">
      <w:pPr>
        <w:pStyle w:val="Subsection"/>
        <w:keepLines/>
      </w:pPr>
      <w:r>
        <w:lastRenderedPageBreak/>
        <w:tab/>
        <w:t>(2)</w:t>
      </w:r>
      <w:r>
        <w:tab/>
        <w:t>This Division does not apply if service of the document is effected, without application of any compulsion, by an Australian diplomatic or consular agent mentioned in Article 8 of the Hague Convention.</w:t>
      </w:r>
    </w:p>
    <w:p w:rsidR="00425758" w:rsidRDefault="00425758">
      <w:pPr>
        <w:pStyle w:val="Footnotesection"/>
      </w:pPr>
      <w:r>
        <w:tab/>
        <w:t xml:space="preserve">[Rule 3 inserted: Gazette 3 Jul 2009 p. 2687.] </w:t>
      </w:r>
    </w:p>
    <w:p w:rsidR="00425758" w:rsidRDefault="00425758">
      <w:pPr>
        <w:pStyle w:val="Heading5"/>
      </w:pPr>
      <w:bookmarkStart w:id="167" w:name="_Toc75862861"/>
      <w:r>
        <w:rPr>
          <w:rStyle w:val="CharSectno"/>
        </w:rPr>
        <w:t>4</w:t>
      </w:r>
      <w:r>
        <w:t>.</w:t>
      </w:r>
      <w:r>
        <w:tab/>
        <w:t>Application for request for service abroad</w:t>
      </w:r>
      <w:bookmarkEnd w:id="167"/>
    </w:p>
    <w:p w:rsidR="00425758" w:rsidRDefault="00425758">
      <w:pPr>
        <w:pStyle w:val="Subsection"/>
      </w:pPr>
      <w:r>
        <w:tab/>
        <w:t>(1)</w:t>
      </w:r>
      <w:r>
        <w:tab/>
        <w:t>A person may apply to the registrar, in the registrar’s capacity as a forwarding authority, for a request for service in a Convention country of a local judicial document.</w:t>
      </w:r>
    </w:p>
    <w:p w:rsidR="00425758" w:rsidRDefault="00425758">
      <w:pPr>
        <w:pStyle w:val="Subsection"/>
      </w:pPr>
      <w:r>
        <w:tab/>
        <w:t>(1A)</w:t>
      </w:r>
      <w:r>
        <w:tab/>
        <w:t>If the local judicial document is a document of the Court, the application, and any other document to be filed for the purposes of this rule, must be filed electronically.</w:t>
      </w:r>
    </w:p>
    <w:p w:rsidR="00425758" w:rsidRDefault="00425758">
      <w:pPr>
        <w:pStyle w:val="Subsection"/>
      </w:pPr>
      <w:r>
        <w:tab/>
        <w:t>(1B)</w:t>
      </w:r>
      <w:r>
        <w:tab/>
        <w:t>If the local judicial document is not a document of the Court, the application, and any other document to be filed for the purposes of this rule, cannot be filed electronically.</w:t>
      </w:r>
    </w:p>
    <w:p w:rsidR="00425758" w:rsidRDefault="00425758">
      <w:pPr>
        <w:pStyle w:val="Subsection"/>
      </w:pPr>
      <w:r>
        <w:tab/>
        <w:t>(2)</w:t>
      </w:r>
      <w:r>
        <w:tab/>
        <w:t>The application must be accompanied by each of the following documents (if the application is filed electronically) or 3 copies of each of those documents (if the application is not filed electronically) —</w:t>
      </w:r>
    </w:p>
    <w:p w:rsidR="00425758" w:rsidRDefault="00425758">
      <w:pPr>
        <w:pStyle w:val="Indenta"/>
      </w:pPr>
      <w:r>
        <w:tab/>
        <w:t>(a)</w:t>
      </w:r>
      <w:r>
        <w:tab/>
        <w:t>a draft request for service abroad, which must be in the form of Form 5A Part 1;</w:t>
      </w:r>
    </w:p>
    <w:p w:rsidR="00425758" w:rsidRDefault="00425758">
      <w:pPr>
        <w:pStyle w:val="Indenta"/>
      </w:pPr>
      <w:r>
        <w:tab/>
        <w:t>(b)</w:t>
      </w:r>
      <w:r>
        <w:tab/>
        <w:t>the document to be served;</w:t>
      </w:r>
    </w:p>
    <w:p w:rsidR="00425758" w:rsidRDefault="00425758">
      <w:pPr>
        <w:pStyle w:val="Indenta"/>
      </w:pPr>
      <w:r>
        <w:tab/>
        <w:t>(c)</w:t>
      </w:r>
      <w:r>
        <w:tab/>
        <w:t>a summary of the document to be served, which must be in the form of Form 5B;</w:t>
      </w:r>
    </w:p>
    <w:p w:rsidR="00425758" w:rsidRDefault="00425758">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rsidR="00425758" w:rsidRDefault="00425758">
      <w:pPr>
        <w:pStyle w:val="Subsection"/>
      </w:pPr>
      <w:r>
        <w:lastRenderedPageBreak/>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rsidR="00425758" w:rsidRDefault="00425758">
      <w:pPr>
        <w:pStyle w:val="Indenta"/>
      </w:pPr>
      <w:r>
        <w:tab/>
        <w:t>(a)</w:t>
      </w:r>
      <w:r>
        <w:tab/>
        <w:t>to be personally liable for all costs that are incurred —</w:t>
      </w:r>
    </w:p>
    <w:p w:rsidR="00425758" w:rsidRDefault="00425758">
      <w:pPr>
        <w:pStyle w:val="Indenti"/>
      </w:pPr>
      <w:r>
        <w:tab/>
        <w:t>(i)</w:t>
      </w:r>
      <w:r>
        <w:tab/>
        <w:t>by the employment of a person to serve the documents to be served, being a person who is qualified to do so under the law of the Convention country in which the documents are to be served; or</w:t>
      </w:r>
    </w:p>
    <w:p w:rsidR="00425758" w:rsidRDefault="00425758">
      <w:pPr>
        <w:pStyle w:val="Indenti"/>
      </w:pPr>
      <w:r>
        <w:tab/>
        <w:t>(ii)</w:t>
      </w:r>
      <w:r>
        <w:tab/>
        <w:t>by the use of any particular method of service that has been requested by the applicant for the service of the documents to be served;</w:t>
      </w:r>
    </w:p>
    <w:p w:rsidR="00425758" w:rsidRDefault="00425758">
      <w:pPr>
        <w:pStyle w:val="Indenta"/>
      </w:pPr>
      <w:r>
        <w:tab/>
      </w:r>
      <w:r>
        <w:tab/>
        <w:t>and</w:t>
      </w:r>
    </w:p>
    <w:p w:rsidR="00425758" w:rsidRDefault="00425758">
      <w:pPr>
        <w:pStyle w:val="Indenta"/>
      </w:pPr>
      <w:r>
        <w:tab/>
        <w:t>(b)</w:t>
      </w:r>
      <w:r>
        <w:tab/>
        <w:t>to pay the amount of those costs to the registrar within 28 days after receipt from the registrar of a notice specifying the amount of those costs under rule 6(3); and</w:t>
      </w:r>
    </w:p>
    <w:p w:rsidR="00425758" w:rsidRDefault="00425758">
      <w:pPr>
        <w:pStyle w:val="Indenta"/>
      </w:pPr>
      <w:r>
        <w:tab/>
        <w:t>(c)</w:t>
      </w:r>
      <w:r>
        <w:tab/>
        <w:t>to give such security for those costs as the registrar may require.</w:t>
      </w:r>
    </w:p>
    <w:p w:rsidR="00425758" w:rsidRDefault="00425758">
      <w:pPr>
        <w:pStyle w:val="Subsection"/>
      </w:pPr>
      <w:r>
        <w:tab/>
        <w:t>(4)</w:t>
      </w:r>
      <w:r>
        <w:tab/>
        <w:t>The draft request for service abroad —</w:t>
      </w:r>
    </w:p>
    <w:p w:rsidR="00425758" w:rsidRDefault="00425758">
      <w:pPr>
        <w:pStyle w:val="Indenta"/>
      </w:pPr>
      <w:r>
        <w:tab/>
        <w:t>(a)</w:t>
      </w:r>
      <w:r>
        <w:tab/>
        <w:t>must be completed (except for signature) by the applicant; and</w:t>
      </w:r>
    </w:p>
    <w:p w:rsidR="00425758" w:rsidRDefault="00425758">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rsidR="00425758" w:rsidRDefault="00425758">
      <w:pPr>
        <w:pStyle w:val="Indenta"/>
      </w:pPr>
      <w:r>
        <w:tab/>
        <w:t>(c)</w:t>
      </w:r>
      <w:r>
        <w:tab/>
        <w:t>must be addressed to the Central Authority, or to an additional authority, for the Convention country in which the person is to be served; and</w:t>
      </w:r>
    </w:p>
    <w:p w:rsidR="00425758" w:rsidRDefault="00425758">
      <w:pPr>
        <w:pStyle w:val="Indenta"/>
      </w:pPr>
      <w:r>
        <w:tab/>
        <w:t>(d)</w:t>
      </w:r>
      <w:r>
        <w:tab/>
        <w:t>may state that the applicant requires a certificate of service that is completed by an additional authority to be countersigned by the Central Authority.</w:t>
      </w:r>
    </w:p>
    <w:p w:rsidR="00425758" w:rsidRDefault="00425758">
      <w:pPr>
        <w:pStyle w:val="Subsection"/>
      </w:pPr>
      <w:r>
        <w:lastRenderedPageBreak/>
        <w:tab/>
        <w:t>(5)</w:t>
      </w:r>
      <w:r>
        <w:tab/>
        <w:t>Any translation required under subrule (2)(d) must bear a certificate (in both English and the language used in the translation) signed by the translator stating —</w:t>
      </w:r>
    </w:p>
    <w:p w:rsidR="00425758" w:rsidRDefault="00425758">
      <w:pPr>
        <w:pStyle w:val="Indenta"/>
      </w:pPr>
      <w:r>
        <w:tab/>
        <w:t>(a)</w:t>
      </w:r>
      <w:r>
        <w:tab/>
        <w:t>that the translation is an accurate translation of the documents to be served; and</w:t>
      </w:r>
    </w:p>
    <w:p w:rsidR="00425758" w:rsidRDefault="00425758">
      <w:pPr>
        <w:pStyle w:val="Indenta"/>
        <w:keepNext/>
      </w:pPr>
      <w:r>
        <w:tab/>
        <w:t>(b)</w:t>
      </w:r>
      <w:r>
        <w:tab/>
        <w:t>the translator’s full name and address and his or her qualifications for making the translation.</w:t>
      </w:r>
    </w:p>
    <w:p w:rsidR="00425758" w:rsidRDefault="00425758">
      <w:pPr>
        <w:pStyle w:val="Footnotesection"/>
      </w:pPr>
      <w:r>
        <w:tab/>
        <w:t>[Rule 4 inserted: Gazette 3 Jul 2009 p. 2687</w:t>
      </w:r>
      <w:r>
        <w:noBreakHyphen/>
        <w:t xml:space="preserve">9; amended: Gazette 27 Feb 2018 p. 557.] </w:t>
      </w:r>
    </w:p>
    <w:p w:rsidR="00425758" w:rsidRDefault="00425758">
      <w:pPr>
        <w:pStyle w:val="Heading5"/>
      </w:pPr>
      <w:bookmarkStart w:id="168" w:name="_Toc75862862"/>
      <w:r>
        <w:rPr>
          <w:rStyle w:val="CharSectno"/>
        </w:rPr>
        <w:t>5</w:t>
      </w:r>
      <w:r>
        <w:t>.</w:t>
      </w:r>
      <w:r>
        <w:tab/>
        <w:t>How application to be dealt with</w:t>
      </w:r>
      <w:bookmarkEnd w:id="168"/>
    </w:p>
    <w:p w:rsidR="00425758" w:rsidRDefault="00425758">
      <w:pPr>
        <w:pStyle w:val="Subsection"/>
      </w:pPr>
      <w:r>
        <w:tab/>
        <w:t>(1)</w:t>
      </w:r>
      <w:r>
        <w:tab/>
        <w:t>If satisfied that the application and its accompanying documents comply with rule 4, the registrar —</w:t>
      </w:r>
    </w:p>
    <w:p w:rsidR="00425758" w:rsidRDefault="00425758">
      <w:pPr>
        <w:pStyle w:val="Indenta"/>
      </w:pPr>
      <w:r>
        <w:tab/>
        <w:t>(a)</w:t>
      </w:r>
      <w:r>
        <w:tab/>
        <w:t>must sign the request for service abroad; and</w:t>
      </w:r>
    </w:p>
    <w:p w:rsidR="00425758" w:rsidRDefault="00425758">
      <w:pPr>
        <w:pStyle w:val="Indenta"/>
      </w:pPr>
      <w:r>
        <w:tab/>
        <w:t>(b)</w:t>
      </w:r>
      <w:r>
        <w:tab/>
        <w:t xml:space="preserve">must forward 2 copies of the relevant documents — </w:t>
      </w:r>
    </w:p>
    <w:p w:rsidR="00425758" w:rsidRDefault="00425758">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rsidR="00425758" w:rsidRDefault="00425758">
      <w:pPr>
        <w:pStyle w:val="Indenti"/>
      </w:pPr>
      <w:r>
        <w:tab/>
        <w:t>(ii)</w:t>
      </w:r>
      <w:r>
        <w:tab/>
        <w:t>in any other case — to the Central Authority for the Convention country in which service of the document is to be effected.</w:t>
      </w:r>
    </w:p>
    <w:p w:rsidR="00425758" w:rsidRDefault="00425758">
      <w:pPr>
        <w:pStyle w:val="Subsection"/>
      </w:pPr>
      <w:r>
        <w:tab/>
        <w:t>(2)</w:t>
      </w:r>
      <w:r>
        <w:tab/>
        <w:t xml:space="preserve">The relevant documents mentioned in subrule (1)(b) are the following — </w:t>
      </w:r>
    </w:p>
    <w:p w:rsidR="00425758" w:rsidRDefault="00425758">
      <w:pPr>
        <w:pStyle w:val="Indenta"/>
      </w:pPr>
      <w:r>
        <w:tab/>
        <w:t>(a)</w:t>
      </w:r>
      <w:r>
        <w:tab/>
        <w:t>the request for service abroad (duly signed);</w:t>
      </w:r>
    </w:p>
    <w:p w:rsidR="00425758" w:rsidRDefault="00425758">
      <w:pPr>
        <w:pStyle w:val="Indenta"/>
      </w:pPr>
      <w:r>
        <w:tab/>
        <w:t>(b)</w:t>
      </w:r>
      <w:r>
        <w:tab/>
        <w:t>the document to be served;</w:t>
      </w:r>
    </w:p>
    <w:p w:rsidR="00425758" w:rsidRDefault="00425758">
      <w:pPr>
        <w:pStyle w:val="Indenta"/>
      </w:pPr>
      <w:r>
        <w:tab/>
        <w:t>(c)</w:t>
      </w:r>
      <w:r>
        <w:tab/>
        <w:t>the summary of the document to be served;</w:t>
      </w:r>
    </w:p>
    <w:p w:rsidR="00425758" w:rsidRDefault="00425758">
      <w:pPr>
        <w:pStyle w:val="Indenta"/>
      </w:pPr>
      <w:r>
        <w:tab/>
        <w:t>(d)</w:t>
      </w:r>
      <w:r>
        <w:tab/>
        <w:t>if required under rule 4(2)(d), a translation into the relevant language of each of the documents mentioned in paragraphs (b) and (c).</w:t>
      </w:r>
    </w:p>
    <w:p w:rsidR="00425758" w:rsidRDefault="00425758">
      <w:pPr>
        <w:pStyle w:val="Subsection"/>
      </w:pPr>
      <w:r>
        <w:lastRenderedPageBreak/>
        <w:tab/>
        <w:t>(3)</w:t>
      </w:r>
      <w:r>
        <w:tab/>
        <w:t>If not satisfied that the application or any of its accompanying documents complies with rule 4, the registrar must inform the applicant of the respects in which the application or document fails to comply.</w:t>
      </w:r>
    </w:p>
    <w:p w:rsidR="00425758" w:rsidRDefault="00425758">
      <w:pPr>
        <w:pStyle w:val="Footnotesection"/>
        <w:ind w:left="890" w:hanging="890"/>
      </w:pPr>
      <w:r>
        <w:tab/>
        <w:t xml:space="preserve">[Rule 5 inserted: Gazette 3 Jul 2009 p. 2689.] </w:t>
      </w:r>
    </w:p>
    <w:p w:rsidR="00425758" w:rsidRDefault="00425758">
      <w:pPr>
        <w:pStyle w:val="Heading5"/>
      </w:pPr>
      <w:bookmarkStart w:id="169" w:name="_Toc75862863"/>
      <w:r>
        <w:rPr>
          <w:rStyle w:val="CharSectno"/>
        </w:rPr>
        <w:t>6</w:t>
      </w:r>
      <w:r>
        <w:t>.</w:t>
      </w:r>
      <w:r>
        <w:tab/>
        <w:t>Procedure on receipt of certificate of service</w:t>
      </w:r>
      <w:bookmarkEnd w:id="169"/>
    </w:p>
    <w:p w:rsidR="00425758" w:rsidRDefault="00425758">
      <w:pPr>
        <w:pStyle w:val="Subsection"/>
      </w:pPr>
      <w:r>
        <w:tab/>
        <w:t>(1)</w:t>
      </w:r>
      <w:r>
        <w:tab/>
        <w:t>Subject to subrule (5), on receipt of a certificate of service in due form in relation to a local judicial document to which a request for service abroad relates, the registrar —</w:t>
      </w:r>
    </w:p>
    <w:p w:rsidR="00425758" w:rsidRDefault="00425758">
      <w:pPr>
        <w:pStyle w:val="Indenta"/>
      </w:pPr>
      <w:r>
        <w:tab/>
        <w:t>(a)</w:t>
      </w:r>
      <w:r>
        <w:tab/>
        <w:t>must arrange for the original certificate to be filed in the proceedings to which the document relates; and</w:t>
      </w:r>
    </w:p>
    <w:p w:rsidR="00425758" w:rsidRDefault="00425758">
      <w:pPr>
        <w:pStyle w:val="Indenta"/>
      </w:pPr>
      <w:r>
        <w:tab/>
        <w:t>(b)</w:t>
      </w:r>
      <w:r>
        <w:tab/>
        <w:t xml:space="preserve">must send a copy of the certificate to — </w:t>
      </w:r>
    </w:p>
    <w:p w:rsidR="00425758" w:rsidRDefault="00425758">
      <w:pPr>
        <w:pStyle w:val="Indenti"/>
        <w:spacing w:before="120"/>
      </w:pPr>
      <w:r>
        <w:tab/>
        <w:t>(i)</w:t>
      </w:r>
      <w:r>
        <w:tab/>
        <w:t>the practitioner on the record for the applicant in those proceedings; or</w:t>
      </w:r>
    </w:p>
    <w:p w:rsidR="00425758" w:rsidRDefault="00425758">
      <w:pPr>
        <w:pStyle w:val="Indenti"/>
        <w:spacing w:before="120"/>
      </w:pPr>
      <w:r>
        <w:tab/>
        <w:t>(ii)</w:t>
      </w:r>
      <w:r>
        <w:tab/>
        <w:t>if there is no practitioner on the record for the applicant in those proceedings — the applicant.</w:t>
      </w:r>
    </w:p>
    <w:p w:rsidR="00425758" w:rsidRDefault="00425758">
      <w:pPr>
        <w:pStyle w:val="Subsection"/>
        <w:spacing w:before="200"/>
      </w:pPr>
      <w:r>
        <w:tab/>
        <w:t>(2)</w:t>
      </w:r>
      <w:r>
        <w:tab/>
        <w:t>For the purposes of subrule (1), a certificate of service is in due form if —</w:t>
      </w:r>
    </w:p>
    <w:p w:rsidR="00425758" w:rsidRDefault="00425758">
      <w:pPr>
        <w:pStyle w:val="Indenta"/>
        <w:spacing w:before="120"/>
      </w:pPr>
      <w:r>
        <w:tab/>
        <w:t>(a)</w:t>
      </w:r>
      <w:r>
        <w:tab/>
        <w:t>it is in the form of Form 5A Part 2; and</w:t>
      </w:r>
    </w:p>
    <w:p w:rsidR="00425758" w:rsidRDefault="00425758">
      <w:pPr>
        <w:pStyle w:val="Indenta"/>
        <w:spacing w:before="120"/>
      </w:pPr>
      <w:r>
        <w:tab/>
        <w:t>(b)</w:t>
      </w:r>
      <w:r>
        <w:tab/>
        <w:t>it has been completed by a certifying authority for the Convention country in which service was requested; and</w:t>
      </w:r>
    </w:p>
    <w:p w:rsidR="00425758" w:rsidRDefault="00425758">
      <w:pPr>
        <w:pStyle w:val="Indenta"/>
        <w:spacing w:before="120"/>
      </w:pPr>
      <w:r>
        <w:tab/>
        <w:t>(c)</w:t>
      </w:r>
      <w:r>
        <w:tab/>
        <w:t>if the applicant requires a certificate of service that is completed by an additional authority to be countersigned by the Central Authority, it has been so countersigned.</w:t>
      </w:r>
    </w:p>
    <w:p w:rsidR="00425758" w:rsidRDefault="00425758">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rsidR="00425758" w:rsidRDefault="00425758">
      <w:pPr>
        <w:pStyle w:val="Subsection"/>
        <w:spacing w:before="200"/>
      </w:pPr>
      <w:r>
        <w:lastRenderedPageBreak/>
        <w:tab/>
        <w:t>(4)</w:t>
      </w:r>
      <w:r>
        <w:tab/>
        <w:t>For the purposes of subrule (3), a statement of costs is in due form if —</w:t>
      </w:r>
    </w:p>
    <w:p w:rsidR="00425758" w:rsidRDefault="00425758">
      <w:pPr>
        <w:pStyle w:val="Indenta"/>
        <w:spacing w:before="120"/>
      </w:pPr>
      <w:r>
        <w:tab/>
        <w:t>(a)</w:t>
      </w:r>
      <w:r>
        <w:tab/>
        <w:t>it relates only to costs of a kind mentioned in rule 4(3)(a); and</w:t>
      </w:r>
    </w:p>
    <w:p w:rsidR="00425758" w:rsidRDefault="00425758">
      <w:pPr>
        <w:pStyle w:val="Indenta"/>
        <w:spacing w:before="120"/>
      </w:pPr>
      <w:r>
        <w:tab/>
        <w:t>(b)</w:t>
      </w:r>
      <w:r>
        <w:tab/>
        <w:t>it has been completed by a certifying authority for the Convention country in which service was requested.</w:t>
      </w:r>
    </w:p>
    <w:p w:rsidR="00425758" w:rsidRDefault="00425758">
      <w:pPr>
        <w:pStyle w:val="Subsection"/>
        <w:spacing w:before="200"/>
      </w:pPr>
      <w:r>
        <w:tab/>
        <w:t>(5)</w:t>
      </w:r>
      <w:r>
        <w:tab/>
        <w:t>Subrule (1) does not apply unless —</w:t>
      </w:r>
    </w:p>
    <w:p w:rsidR="00425758" w:rsidRDefault="00425758">
      <w:pPr>
        <w:pStyle w:val="Indenta"/>
        <w:spacing w:before="120"/>
      </w:pPr>
      <w:r>
        <w:tab/>
        <w:t>(a)</w:t>
      </w:r>
      <w:r>
        <w:tab/>
        <w:t>adequate security to cover the costs mentioned in subrule (3) has been given under rule 4(3)(c); or</w:t>
      </w:r>
    </w:p>
    <w:p w:rsidR="00425758" w:rsidRDefault="00425758">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rsidR="00425758" w:rsidRDefault="00425758">
      <w:pPr>
        <w:pStyle w:val="Footnotesection"/>
      </w:pPr>
      <w:r>
        <w:tab/>
        <w:t>[Rule 6 inserted: Gazette 3 Jul 2009 p. 2689</w:t>
      </w:r>
      <w:r>
        <w:noBreakHyphen/>
        <w:t xml:space="preserve">90.] </w:t>
      </w:r>
    </w:p>
    <w:p w:rsidR="00425758" w:rsidRDefault="00425758">
      <w:pPr>
        <w:pStyle w:val="Heading5"/>
      </w:pPr>
      <w:bookmarkStart w:id="170" w:name="_Toc75862864"/>
      <w:r>
        <w:rPr>
          <w:rStyle w:val="CharSectno"/>
        </w:rPr>
        <w:t>7</w:t>
      </w:r>
      <w:r>
        <w:t>.</w:t>
      </w:r>
      <w:r>
        <w:tab/>
        <w:t>Payment of costs</w:t>
      </w:r>
      <w:bookmarkEnd w:id="170"/>
    </w:p>
    <w:p w:rsidR="00425758" w:rsidRDefault="00425758">
      <w:pPr>
        <w:pStyle w:val="Subsection"/>
      </w:pPr>
      <w:r>
        <w:tab/>
        <w:t>(1)</w:t>
      </w:r>
      <w:r>
        <w:tab/>
        <w:t>On receipt of a notice under rule 6(3) in relation to the costs of service, the practitioner or applicant, as the case may be, must pay into the Central Office the amount specified in the notice as the amount of those costs.</w:t>
      </w:r>
    </w:p>
    <w:p w:rsidR="00425758" w:rsidRDefault="00425758">
      <w:pPr>
        <w:pStyle w:val="Subsection"/>
      </w:pPr>
      <w:r>
        <w:tab/>
        <w:t>(2)</w:t>
      </w:r>
      <w:r>
        <w:tab/>
        <w:t>If the practitioner or applicant fails to pay that amount within 28 days after receiving the notice —</w:t>
      </w:r>
    </w:p>
    <w:p w:rsidR="00425758" w:rsidRDefault="00425758">
      <w:pPr>
        <w:pStyle w:val="Indenta"/>
      </w:pPr>
      <w:r>
        <w:tab/>
        <w:t>(a)</w:t>
      </w:r>
      <w:r>
        <w:tab/>
        <w:t>except by leave of the Court, the applicant may not take any further step in the proceedings to which the local judicial document relates until those costs are paid to the registrar; and</w:t>
      </w:r>
    </w:p>
    <w:p w:rsidR="00425758" w:rsidRDefault="00425758">
      <w:pPr>
        <w:pStyle w:val="Indenta"/>
      </w:pPr>
      <w:r>
        <w:tab/>
        <w:t>(b)</w:t>
      </w:r>
      <w:r>
        <w:tab/>
        <w:t>the registrar may take such steps as are appropriate to enforce the undertaking for payment of those costs.</w:t>
      </w:r>
    </w:p>
    <w:p w:rsidR="00425758" w:rsidRDefault="00425758">
      <w:pPr>
        <w:pStyle w:val="Footnotesection"/>
      </w:pPr>
      <w:r>
        <w:tab/>
        <w:t>[Rule 7 inserted: Gazette 3 Jul 2009 p. 2690</w:t>
      </w:r>
      <w:r>
        <w:noBreakHyphen/>
        <w:t xml:space="preserve">1; amended: Gazette 27 Feb 2018 p. 557.] </w:t>
      </w:r>
    </w:p>
    <w:p w:rsidR="00425758" w:rsidRDefault="00425758">
      <w:pPr>
        <w:pStyle w:val="Heading5"/>
      </w:pPr>
      <w:bookmarkStart w:id="171" w:name="_Toc75862865"/>
      <w:r>
        <w:rPr>
          <w:rStyle w:val="CharSectno"/>
        </w:rPr>
        <w:lastRenderedPageBreak/>
        <w:t>8</w:t>
      </w:r>
      <w:r>
        <w:t>.</w:t>
      </w:r>
      <w:r>
        <w:tab/>
        <w:t>Evidence of service</w:t>
      </w:r>
      <w:bookmarkEnd w:id="171"/>
    </w:p>
    <w:p w:rsidR="00425758" w:rsidRDefault="00425758">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rsidR="00425758" w:rsidRDefault="00425758">
      <w:pPr>
        <w:pStyle w:val="Indenta"/>
      </w:pPr>
      <w:r>
        <w:tab/>
        <w:t>(a)</w:t>
      </w:r>
      <w:r>
        <w:tab/>
        <w:t>service of the document was effected by the method specified in the certificate on that date; and</w:t>
      </w:r>
    </w:p>
    <w:p w:rsidR="00425758" w:rsidRDefault="00425758">
      <w:pPr>
        <w:pStyle w:val="Indenta"/>
      </w:pPr>
      <w:r>
        <w:tab/>
        <w:t>(b)</w:t>
      </w:r>
      <w:r>
        <w:tab/>
        <w:t>if that method of service was requested by the applicant, that method is compatible with the law in force in the Convention country in which service was effected.</w:t>
      </w:r>
    </w:p>
    <w:p w:rsidR="00425758" w:rsidRDefault="00425758">
      <w:pPr>
        <w:pStyle w:val="Footnotesection"/>
      </w:pPr>
      <w:r>
        <w:tab/>
        <w:t xml:space="preserve">[Rule 8 inserted: Gazette 3 Jul 2009 p. 2691.] </w:t>
      </w:r>
    </w:p>
    <w:p w:rsidR="00425758" w:rsidRDefault="00425758">
      <w:pPr>
        <w:pStyle w:val="Heading3"/>
      </w:pPr>
      <w:bookmarkStart w:id="172" w:name="_Toc75511770"/>
      <w:bookmarkStart w:id="173" w:name="_Toc75862866"/>
      <w:r>
        <w:rPr>
          <w:rStyle w:val="CharDivNo"/>
        </w:rPr>
        <w:t>Division 3</w:t>
      </w:r>
      <w:r>
        <w:t> — </w:t>
      </w:r>
      <w:r>
        <w:rPr>
          <w:rStyle w:val="CharDivText"/>
        </w:rPr>
        <w:t>Default judgment following service abroad of initiating process</w:t>
      </w:r>
      <w:bookmarkEnd w:id="172"/>
      <w:bookmarkEnd w:id="173"/>
    </w:p>
    <w:p w:rsidR="00425758" w:rsidRDefault="00425758">
      <w:pPr>
        <w:pStyle w:val="Footnoteheading"/>
        <w:keepNext/>
      </w:pPr>
      <w:r>
        <w:tab/>
        <w:t>[Heading inserted: Gazette 3 Jul 2009 p. 2691.]</w:t>
      </w:r>
    </w:p>
    <w:p w:rsidR="00425758" w:rsidRDefault="00425758">
      <w:pPr>
        <w:pStyle w:val="Heading5"/>
      </w:pPr>
      <w:bookmarkStart w:id="174" w:name="_Toc75862867"/>
      <w:r>
        <w:rPr>
          <w:rStyle w:val="CharSectno"/>
        </w:rPr>
        <w:t>9</w:t>
      </w:r>
      <w:r>
        <w:t>.</w:t>
      </w:r>
      <w:r>
        <w:tab/>
        <w:t>Application of this Division</w:t>
      </w:r>
      <w:bookmarkEnd w:id="174"/>
    </w:p>
    <w:p w:rsidR="00425758" w:rsidRDefault="00425758">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rsidR="00425758" w:rsidRDefault="00425758">
      <w:pPr>
        <w:pStyle w:val="Footnotesection"/>
      </w:pPr>
      <w:r>
        <w:tab/>
        <w:t xml:space="preserve">[Rule 9 inserted: Gazette 3 Jul 2009 p. 2691.] </w:t>
      </w:r>
    </w:p>
    <w:p w:rsidR="00425758" w:rsidRDefault="00425758">
      <w:pPr>
        <w:pStyle w:val="Heading5"/>
      </w:pPr>
      <w:bookmarkStart w:id="175" w:name="_Toc75862868"/>
      <w:r>
        <w:rPr>
          <w:rStyle w:val="CharSectno"/>
        </w:rPr>
        <w:t>10</w:t>
      </w:r>
      <w:r>
        <w:t>.</w:t>
      </w:r>
      <w:r>
        <w:tab/>
        <w:t>Restriction on power to enter default judgment if certificate of service filed</w:t>
      </w:r>
      <w:bookmarkEnd w:id="175"/>
    </w:p>
    <w:p w:rsidR="00425758" w:rsidRDefault="00425758">
      <w:pPr>
        <w:pStyle w:val="Subsection"/>
      </w:pPr>
      <w:r>
        <w:tab/>
        <w:t>(1)</w:t>
      </w:r>
      <w:r>
        <w:tab/>
        <w:t>This rule applies if —</w:t>
      </w:r>
    </w:p>
    <w:p w:rsidR="00425758" w:rsidRDefault="00425758">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rsidR="00425758" w:rsidRDefault="00425758">
      <w:pPr>
        <w:pStyle w:val="Indenta"/>
        <w:spacing w:before="60"/>
      </w:pPr>
      <w:r>
        <w:tab/>
        <w:t>(b)</w:t>
      </w:r>
      <w:r>
        <w:tab/>
        <w:t>the defendant has not appeared or filed a notice of address for service.</w:t>
      </w:r>
    </w:p>
    <w:p w:rsidR="00425758" w:rsidRDefault="00425758">
      <w:pPr>
        <w:pStyle w:val="Subsection"/>
      </w:pPr>
      <w:r>
        <w:lastRenderedPageBreak/>
        <w:tab/>
        <w:t>(2)</w:t>
      </w:r>
      <w:r>
        <w:tab/>
        <w:t>In circumstances to which this rule applies, default judgment may not be given against the defendant unless the Court is satisfied that —</w:t>
      </w:r>
    </w:p>
    <w:p w:rsidR="00425758" w:rsidRDefault="00425758">
      <w:pPr>
        <w:pStyle w:val="Indenta"/>
        <w:spacing w:before="70"/>
      </w:pPr>
      <w:r>
        <w:tab/>
        <w:t>(a)</w:t>
      </w:r>
      <w:r>
        <w:tab/>
        <w:t>the initiating process was served on the defendant —</w:t>
      </w:r>
    </w:p>
    <w:p w:rsidR="00425758" w:rsidRDefault="00425758">
      <w:pPr>
        <w:pStyle w:val="Indenti"/>
        <w:spacing w:before="70"/>
      </w:pPr>
      <w:r>
        <w:tab/>
        <w:t>(i)</w:t>
      </w:r>
      <w:r>
        <w:tab/>
        <w:t>by a method of service prescribed by the internal law of the Convention country for the service of documents in domestic proceedings on persons who are within its territory; or</w:t>
      </w:r>
    </w:p>
    <w:p w:rsidR="00425758" w:rsidRDefault="00425758">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rsidR="00425758" w:rsidRDefault="00425758">
      <w:pPr>
        <w:pStyle w:val="Indenti"/>
        <w:spacing w:before="60"/>
      </w:pPr>
      <w:r>
        <w:tab/>
        <w:t>(iii)</w:t>
      </w:r>
      <w:r>
        <w:tab/>
        <w:t>if the applicant did not request a particular method of service, in circumstances where the defendant accepted the document voluntarily;</w:t>
      </w:r>
    </w:p>
    <w:p w:rsidR="00425758" w:rsidRDefault="00425758">
      <w:pPr>
        <w:pStyle w:val="Indenta"/>
        <w:spacing w:before="60"/>
      </w:pPr>
      <w:r>
        <w:tab/>
      </w:r>
      <w:r>
        <w:tab/>
        <w:t>and</w:t>
      </w:r>
    </w:p>
    <w:p w:rsidR="00425758" w:rsidRDefault="00425758">
      <w:pPr>
        <w:pStyle w:val="Indenta"/>
      </w:pPr>
      <w:r>
        <w:tab/>
        <w:t>(b)</w:t>
      </w:r>
      <w:r>
        <w:tab/>
        <w:t>the initiating process was served in sufficient time to enable the defendant to enter an appearance in the proceedings.</w:t>
      </w:r>
    </w:p>
    <w:p w:rsidR="00425758" w:rsidRDefault="00425758">
      <w:pPr>
        <w:pStyle w:val="Subsection"/>
        <w:spacing w:before="120"/>
      </w:pPr>
      <w:r>
        <w:tab/>
        <w:t>(3)</w:t>
      </w:r>
      <w:r>
        <w:tab/>
        <w:t xml:space="preserve">In subrule (2)(b) — </w:t>
      </w:r>
    </w:p>
    <w:p w:rsidR="00425758" w:rsidRDefault="00425758">
      <w:pPr>
        <w:pStyle w:val="Defstart"/>
      </w:pPr>
      <w:r>
        <w:tab/>
      </w:r>
      <w:r>
        <w:rPr>
          <w:rStyle w:val="CharDefText"/>
        </w:rPr>
        <w:t>sufficient time</w:t>
      </w:r>
      <w:r>
        <w:t xml:space="preserve"> means —</w:t>
      </w:r>
    </w:p>
    <w:p w:rsidR="00425758" w:rsidRDefault="00425758">
      <w:pPr>
        <w:pStyle w:val="Defpara"/>
      </w:pPr>
      <w:r>
        <w:tab/>
        <w:t>(a)</w:t>
      </w:r>
      <w:r>
        <w:tab/>
        <w:t>42 days from the date specified in the certificate of service in relation to the initiating process as the date on which service of the process was effected; or</w:t>
      </w:r>
    </w:p>
    <w:p w:rsidR="00425758" w:rsidRDefault="00425758">
      <w:pPr>
        <w:pStyle w:val="Defpara"/>
      </w:pPr>
      <w:r>
        <w:tab/>
        <w:t>(b)</w:t>
      </w:r>
      <w:r>
        <w:tab/>
        <w:t>such lesser time as the Court considers, in the circumstances, to be a sufficient time to enable the defendant to enter an appearance in the proceedings.</w:t>
      </w:r>
    </w:p>
    <w:p w:rsidR="00425758" w:rsidRDefault="00425758">
      <w:pPr>
        <w:pStyle w:val="Footnotesection"/>
        <w:spacing w:before="100"/>
        <w:ind w:left="890" w:hanging="890"/>
      </w:pPr>
      <w:r>
        <w:tab/>
        <w:t>[Rule 10 inserted: Gazette 3 Jul 2009 p. 2691</w:t>
      </w:r>
      <w:r>
        <w:noBreakHyphen/>
        <w:t xml:space="preserve">2.] </w:t>
      </w:r>
    </w:p>
    <w:p w:rsidR="00425758" w:rsidRDefault="00425758">
      <w:pPr>
        <w:pStyle w:val="Heading5"/>
        <w:spacing w:before="180"/>
      </w:pPr>
      <w:bookmarkStart w:id="176" w:name="_Toc75862869"/>
      <w:r>
        <w:rPr>
          <w:rStyle w:val="CharSectno"/>
        </w:rPr>
        <w:lastRenderedPageBreak/>
        <w:t>11</w:t>
      </w:r>
      <w:r>
        <w:t>.</w:t>
      </w:r>
      <w:r>
        <w:tab/>
        <w:t>Restriction on power to enter default judgment if certificate of service not filed</w:t>
      </w:r>
      <w:bookmarkEnd w:id="176"/>
    </w:p>
    <w:p w:rsidR="00425758" w:rsidRDefault="00425758">
      <w:pPr>
        <w:pStyle w:val="Subsection"/>
        <w:keepNext/>
        <w:spacing w:before="120"/>
      </w:pPr>
      <w:r>
        <w:tab/>
        <w:t>(1)</w:t>
      </w:r>
      <w:r>
        <w:tab/>
        <w:t>This rule applies if —</w:t>
      </w:r>
    </w:p>
    <w:p w:rsidR="00425758" w:rsidRDefault="00425758">
      <w:pPr>
        <w:pStyle w:val="Indenta"/>
      </w:pPr>
      <w:r>
        <w:tab/>
        <w:t>(a)</w:t>
      </w:r>
      <w:r>
        <w:tab/>
        <w:t>a certificate of service of initiating process has not been filed in the proceedings; or</w:t>
      </w:r>
    </w:p>
    <w:p w:rsidR="00425758" w:rsidRDefault="00425758">
      <w:pPr>
        <w:pStyle w:val="Indenta"/>
      </w:pPr>
      <w:r>
        <w:tab/>
        <w:t>(b)</w:t>
      </w:r>
      <w:r>
        <w:tab/>
        <w:t>a certificate of service of initiating process has been filed in the proceedings (being a certificate in due form within the meaning of rule 6(2)) that states that service has not been effected,</w:t>
      </w:r>
    </w:p>
    <w:p w:rsidR="00425758" w:rsidRDefault="00425758">
      <w:pPr>
        <w:pStyle w:val="Subsection"/>
        <w:spacing w:before="120"/>
      </w:pPr>
      <w:r>
        <w:tab/>
      </w:r>
      <w:r>
        <w:tab/>
        <w:t>and the defendant has not appeared or filed a notice of address for service.</w:t>
      </w:r>
    </w:p>
    <w:p w:rsidR="00425758" w:rsidRDefault="00425758">
      <w:pPr>
        <w:pStyle w:val="Subsection"/>
      </w:pPr>
      <w:r>
        <w:tab/>
        <w:t>(2)</w:t>
      </w:r>
      <w:r>
        <w:tab/>
        <w:t xml:space="preserve">If this rule applies, default judgment may not be given against the defendant unless the Court is satisfied that — </w:t>
      </w:r>
    </w:p>
    <w:p w:rsidR="00425758" w:rsidRDefault="00425758">
      <w:pPr>
        <w:pStyle w:val="Indenta"/>
      </w:pPr>
      <w:r>
        <w:tab/>
        <w:t>(a)</w:t>
      </w:r>
      <w:r>
        <w:tab/>
        <w:t>the initiating process was forwarded to the Central Authority, or to an additional authority, for the Convention country in which service of the initiating process was requested; and</w:t>
      </w:r>
    </w:p>
    <w:p w:rsidR="00425758" w:rsidRDefault="00425758">
      <w:pPr>
        <w:pStyle w:val="Indenta"/>
      </w:pPr>
      <w:r>
        <w:tab/>
        <w:t>(b)</w:t>
      </w:r>
      <w:r>
        <w:tab/>
        <w:t>a period that is adequate in the circumstances (being a period of not less than 6 months) has elapsed since the date on which the initiating process was so forwarded; and</w:t>
      </w:r>
    </w:p>
    <w:p w:rsidR="00425758" w:rsidRDefault="00425758">
      <w:pPr>
        <w:pStyle w:val="Indenta"/>
      </w:pPr>
      <w:r>
        <w:tab/>
        <w:t>(c)</w:t>
      </w:r>
      <w:r>
        <w:tab/>
        <w:t>every reasonable effort has been made —</w:t>
      </w:r>
    </w:p>
    <w:p w:rsidR="00425758" w:rsidRDefault="00425758">
      <w:pPr>
        <w:pStyle w:val="Indenti"/>
      </w:pPr>
      <w:r>
        <w:tab/>
        <w:t>(i)</w:t>
      </w:r>
      <w:r>
        <w:tab/>
        <w:t>to obtain a certificate of service from the relevant certifying authority; or</w:t>
      </w:r>
    </w:p>
    <w:p w:rsidR="00425758" w:rsidRDefault="00425758">
      <w:pPr>
        <w:pStyle w:val="Indenti"/>
      </w:pPr>
      <w:r>
        <w:tab/>
        <w:t>(ii)</w:t>
      </w:r>
      <w:r>
        <w:tab/>
        <w:t>to effect service of the initiating process,</w:t>
      </w:r>
    </w:p>
    <w:p w:rsidR="00425758" w:rsidRDefault="00425758">
      <w:pPr>
        <w:pStyle w:val="Indenta"/>
      </w:pPr>
      <w:r>
        <w:tab/>
      </w:r>
      <w:r>
        <w:tab/>
        <w:t>as the case requires.</w:t>
      </w:r>
    </w:p>
    <w:p w:rsidR="00425758" w:rsidRDefault="00425758">
      <w:pPr>
        <w:pStyle w:val="Footnotesection"/>
      </w:pPr>
      <w:r>
        <w:tab/>
        <w:t>[Rule 11 inserted: Gazette 3 Jul 2009 p. 2692</w:t>
      </w:r>
      <w:r>
        <w:noBreakHyphen/>
        <w:t xml:space="preserve">3.] </w:t>
      </w:r>
    </w:p>
    <w:p w:rsidR="00425758" w:rsidRDefault="00425758">
      <w:pPr>
        <w:pStyle w:val="Heading5"/>
      </w:pPr>
      <w:bookmarkStart w:id="177" w:name="_Toc75862870"/>
      <w:r>
        <w:rPr>
          <w:rStyle w:val="CharSectno"/>
        </w:rPr>
        <w:t>12</w:t>
      </w:r>
      <w:r>
        <w:t>.</w:t>
      </w:r>
      <w:r>
        <w:tab/>
        <w:t>Setting aside judgment in default of appearance</w:t>
      </w:r>
      <w:bookmarkEnd w:id="177"/>
    </w:p>
    <w:p w:rsidR="00425758" w:rsidRDefault="00425758">
      <w:pPr>
        <w:pStyle w:val="Subsection"/>
      </w:pPr>
      <w:r>
        <w:tab/>
        <w:t>(1)</w:t>
      </w:r>
      <w:r>
        <w:tab/>
        <w:t>This rule applies if default judgment has been entered against the defendant in proceedings to which this Division applies.</w:t>
      </w:r>
    </w:p>
    <w:p w:rsidR="00425758" w:rsidRDefault="00425758">
      <w:pPr>
        <w:pStyle w:val="Subsection"/>
      </w:pPr>
      <w:r>
        <w:lastRenderedPageBreak/>
        <w:tab/>
        <w:t>(2)</w:t>
      </w:r>
      <w:r>
        <w:tab/>
        <w:t>If this rule applies, the Court may set aside the judgment on the application of the defendant if it is satisfied that the defendant —</w:t>
      </w:r>
    </w:p>
    <w:p w:rsidR="00425758" w:rsidRDefault="00425758">
      <w:pPr>
        <w:pStyle w:val="Indenta"/>
      </w:pPr>
      <w:r>
        <w:tab/>
        <w:t>(a)</w:t>
      </w:r>
      <w:r>
        <w:tab/>
        <w:t>without any fault on the defendant’s part, did not have knowledge of the initiating process in sufficient time to defend the proceedings; and</w:t>
      </w:r>
    </w:p>
    <w:p w:rsidR="00425758" w:rsidRDefault="00425758">
      <w:pPr>
        <w:pStyle w:val="Indenta"/>
      </w:pPr>
      <w:r>
        <w:tab/>
        <w:t>(b)</w:t>
      </w:r>
      <w:r>
        <w:tab/>
        <w:t>has a prima facie defence to the proceedings on the merits.</w:t>
      </w:r>
    </w:p>
    <w:p w:rsidR="00425758" w:rsidRDefault="00425758">
      <w:pPr>
        <w:pStyle w:val="Subsection"/>
      </w:pPr>
      <w:r>
        <w:tab/>
        <w:t>(3)</w:t>
      </w:r>
      <w:r>
        <w:tab/>
        <w:t>An application to have a judgment set aside under this rule may be filed —</w:t>
      </w:r>
    </w:p>
    <w:p w:rsidR="00425758" w:rsidRDefault="00425758">
      <w:pPr>
        <w:pStyle w:val="Indenta"/>
      </w:pPr>
      <w:r>
        <w:tab/>
        <w:t>(a)</w:t>
      </w:r>
      <w:r>
        <w:tab/>
        <w:t>at any time within 12 months after the date on which the judgment was given; or</w:t>
      </w:r>
    </w:p>
    <w:p w:rsidR="00425758" w:rsidRDefault="00425758">
      <w:pPr>
        <w:pStyle w:val="Indenta"/>
      </w:pPr>
      <w:r>
        <w:tab/>
        <w:t>(b)</w:t>
      </w:r>
      <w:r>
        <w:tab/>
        <w:t>after the expiry of that 12</w:t>
      </w:r>
      <w:r>
        <w:noBreakHyphen/>
        <w:t>month period, within such time after the defendant acquires knowledge of the judgment as the Court considers reasonable in the circumstances.</w:t>
      </w:r>
    </w:p>
    <w:p w:rsidR="00425758" w:rsidRDefault="00425758">
      <w:pPr>
        <w:pStyle w:val="Subsection"/>
      </w:pPr>
      <w:r>
        <w:tab/>
        <w:t>(4)</w:t>
      </w:r>
      <w:r>
        <w:tab/>
        <w:t>Nothing in this rule affects any other power of the Court to set aside or vary a judgment.</w:t>
      </w:r>
    </w:p>
    <w:p w:rsidR="00425758" w:rsidRDefault="00425758">
      <w:pPr>
        <w:pStyle w:val="Footnotesection"/>
      </w:pPr>
      <w:r>
        <w:tab/>
        <w:t xml:space="preserve">[Rule 12 inserted: Gazette 3 Jul 2009 p. 2693.] </w:t>
      </w:r>
    </w:p>
    <w:p w:rsidR="00425758" w:rsidRDefault="00425758">
      <w:pPr>
        <w:pStyle w:val="Heading3"/>
      </w:pPr>
      <w:bookmarkStart w:id="178" w:name="_Toc75511775"/>
      <w:bookmarkStart w:id="179" w:name="_Toc75862871"/>
      <w:r>
        <w:rPr>
          <w:rStyle w:val="CharDivNo"/>
        </w:rPr>
        <w:t>Division 4</w:t>
      </w:r>
      <w:r>
        <w:t> — </w:t>
      </w:r>
      <w:r>
        <w:rPr>
          <w:rStyle w:val="CharDivText"/>
        </w:rPr>
        <w:t>Local service of foreign judicial documents</w:t>
      </w:r>
      <w:bookmarkEnd w:id="178"/>
      <w:bookmarkEnd w:id="179"/>
    </w:p>
    <w:p w:rsidR="00425758" w:rsidRDefault="00425758">
      <w:pPr>
        <w:pStyle w:val="Footnoteheading"/>
      </w:pPr>
      <w:r>
        <w:tab/>
        <w:t xml:space="preserve">[Heading inserted: Gazette 3 Jul 2009 p. 2693.] </w:t>
      </w:r>
    </w:p>
    <w:p w:rsidR="00425758" w:rsidRDefault="00425758">
      <w:pPr>
        <w:pStyle w:val="Heading5"/>
      </w:pPr>
      <w:bookmarkStart w:id="180" w:name="_Toc75862872"/>
      <w:r>
        <w:rPr>
          <w:rStyle w:val="CharSectno"/>
        </w:rPr>
        <w:t>13</w:t>
      </w:r>
      <w:r>
        <w:t>.</w:t>
      </w:r>
      <w:r>
        <w:tab/>
        <w:t>Application of this Division</w:t>
      </w:r>
      <w:bookmarkEnd w:id="180"/>
    </w:p>
    <w:p w:rsidR="00425758" w:rsidRDefault="00425758">
      <w:pPr>
        <w:pStyle w:val="Subsection"/>
      </w:pPr>
      <w:r>
        <w:tab/>
        <w:t>(1)</w:t>
      </w:r>
      <w:r>
        <w:tab/>
        <w:t>This Division applies to service in this jurisdiction of a foreign judicial document in relation to which a due form of request for service has been forwarded to the Court —</w:t>
      </w:r>
    </w:p>
    <w:p w:rsidR="00425758" w:rsidRDefault="00425758">
      <w:pPr>
        <w:pStyle w:val="Indenta"/>
      </w:pPr>
      <w:r>
        <w:tab/>
        <w:t>(a)</w:t>
      </w:r>
      <w:r>
        <w:tab/>
        <w:t>by the Attorney</w:t>
      </w:r>
      <w:r>
        <w:noBreakHyphen/>
        <w:t>General’s Department of the Commonwealth, whether in the first instance or following a referral under rule 14; or</w:t>
      </w:r>
    </w:p>
    <w:p w:rsidR="00425758" w:rsidRDefault="00425758">
      <w:pPr>
        <w:pStyle w:val="Indenta"/>
      </w:pPr>
      <w:r>
        <w:tab/>
        <w:t>(b)</w:t>
      </w:r>
      <w:r>
        <w:tab/>
        <w:t>by a forwarding authority.</w:t>
      </w:r>
    </w:p>
    <w:p w:rsidR="00425758" w:rsidRDefault="00425758">
      <w:pPr>
        <w:pStyle w:val="Subsection"/>
      </w:pPr>
      <w:r>
        <w:lastRenderedPageBreak/>
        <w:tab/>
        <w:t>(2)</w:t>
      </w:r>
      <w:r>
        <w:tab/>
        <w:t>Subject to subrule (3), a request for service in this jurisdiction is in due form if it is in the form of Form 5A Part 1 and is accompanied by the following documents —</w:t>
      </w:r>
    </w:p>
    <w:p w:rsidR="00425758" w:rsidRDefault="00425758">
      <w:pPr>
        <w:pStyle w:val="Indenta"/>
      </w:pPr>
      <w:r>
        <w:tab/>
        <w:t>(a)</w:t>
      </w:r>
      <w:r>
        <w:tab/>
        <w:t>the document to be served;</w:t>
      </w:r>
    </w:p>
    <w:p w:rsidR="00425758" w:rsidRDefault="00425758">
      <w:pPr>
        <w:pStyle w:val="Indenta"/>
      </w:pPr>
      <w:r>
        <w:tab/>
        <w:t>(b)</w:t>
      </w:r>
      <w:r>
        <w:tab/>
        <w:t>a summary of the document to be served, which must be in the form of Form 5B;</w:t>
      </w:r>
    </w:p>
    <w:p w:rsidR="00425758" w:rsidRDefault="00425758">
      <w:pPr>
        <w:pStyle w:val="Indenta"/>
      </w:pPr>
      <w:r>
        <w:tab/>
        <w:t>(c)</w:t>
      </w:r>
      <w:r>
        <w:tab/>
        <w:t>a copy of the request and of each of the documents mentioned in paragraphs (a) and (b);</w:t>
      </w:r>
    </w:p>
    <w:p w:rsidR="00425758" w:rsidRDefault="00425758">
      <w:pPr>
        <w:pStyle w:val="Indenta"/>
      </w:pPr>
      <w:r>
        <w:tab/>
        <w:t>(d)</w:t>
      </w:r>
      <w:r>
        <w:tab/>
        <w:t>if either of the documents mentioned in paragraphs (a) and (b) is not in the English language, an English translation of the document.</w:t>
      </w:r>
    </w:p>
    <w:p w:rsidR="00425758" w:rsidRDefault="00425758">
      <w:pPr>
        <w:pStyle w:val="Subsection"/>
        <w:keepNext/>
      </w:pPr>
      <w:r>
        <w:tab/>
        <w:t>(3)</w:t>
      </w:r>
      <w:r>
        <w:tab/>
        <w:t>Any translation required under subrule (2)(d) must bear a certificate (in English) signed by the translator stating —</w:t>
      </w:r>
    </w:p>
    <w:p w:rsidR="00425758" w:rsidRDefault="00425758">
      <w:pPr>
        <w:pStyle w:val="Indenta"/>
      </w:pPr>
      <w:r>
        <w:tab/>
        <w:t>(a)</w:t>
      </w:r>
      <w:r>
        <w:tab/>
        <w:t>that the translation is an accurate translation of the document; and</w:t>
      </w:r>
    </w:p>
    <w:p w:rsidR="00425758" w:rsidRDefault="00425758">
      <w:pPr>
        <w:pStyle w:val="Indenta"/>
        <w:keepNext/>
      </w:pPr>
      <w:r>
        <w:tab/>
        <w:t>(b)</w:t>
      </w:r>
      <w:r>
        <w:tab/>
        <w:t>the translator’s full name and address and his or her qualifications for making the translation.</w:t>
      </w:r>
    </w:p>
    <w:p w:rsidR="00425758" w:rsidRDefault="00425758">
      <w:pPr>
        <w:pStyle w:val="Subsection"/>
      </w:pPr>
      <w:r>
        <w:tab/>
        <w:t>(4)</w:t>
      </w:r>
      <w:r>
        <w:tab/>
        <w:t>A request for service referred to in subrule (2), and any other document to be filed for the purposes of this rule, cannot be filed electronically.</w:t>
      </w:r>
    </w:p>
    <w:p w:rsidR="00425758" w:rsidRDefault="00425758">
      <w:pPr>
        <w:pStyle w:val="Footnotesection"/>
      </w:pPr>
      <w:r>
        <w:tab/>
        <w:t>[Rule 13 inserted: Gazette 3 Jul 2009 p. 2693</w:t>
      </w:r>
      <w:r>
        <w:noBreakHyphen/>
        <w:t xml:space="preserve">4; amended: Gazette 27 Feb 2018 p. 557.] </w:t>
      </w:r>
    </w:p>
    <w:p w:rsidR="00425758" w:rsidRDefault="00425758">
      <w:pPr>
        <w:pStyle w:val="Heading5"/>
      </w:pPr>
      <w:bookmarkStart w:id="181" w:name="_Toc75862873"/>
      <w:r>
        <w:rPr>
          <w:rStyle w:val="CharSectno"/>
        </w:rPr>
        <w:t>14</w:t>
      </w:r>
      <w:r>
        <w:t>.</w:t>
      </w:r>
      <w:r>
        <w:tab/>
        <w:t>Certain documents to be referred back to Attorney</w:t>
      </w:r>
      <w:r>
        <w:noBreakHyphen/>
        <w:t>General’s Department of Commonwealth</w:t>
      </w:r>
      <w:bookmarkEnd w:id="181"/>
    </w:p>
    <w:p w:rsidR="00425758" w:rsidRDefault="00425758">
      <w:pPr>
        <w:pStyle w:val="Subsection"/>
      </w:pPr>
      <w:r>
        <w:tab/>
      </w:r>
      <w:r>
        <w:tab/>
        <w:t>If, after receiving a request for service in this jurisdiction, the registrar is of the opinion —</w:t>
      </w:r>
    </w:p>
    <w:p w:rsidR="00425758" w:rsidRDefault="00425758">
      <w:pPr>
        <w:pStyle w:val="Indenta"/>
      </w:pPr>
      <w:r>
        <w:tab/>
        <w:t>(a)</w:t>
      </w:r>
      <w:r>
        <w:tab/>
        <w:t>that the request does not comply with rule 13; or</w:t>
      </w:r>
    </w:p>
    <w:p w:rsidR="00425758" w:rsidRDefault="00425758">
      <w:pPr>
        <w:pStyle w:val="Indenta"/>
      </w:pPr>
      <w:r>
        <w:tab/>
        <w:t>(b)</w:t>
      </w:r>
      <w:r>
        <w:tab/>
        <w:t>that the document to which the request relates is not a foreign judicial document; or</w:t>
      </w:r>
    </w:p>
    <w:p w:rsidR="00425758" w:rsidRDefault="00425758">
      <w:pPr>
        <w:pStyle w:val="Indenta"/>
      </w:pPr>
      <w:r>
        <w:tab/>
        <w:t>(c)</w:t>
      </w:r>
      <w:r>
        <w:tab/>
        <w:t>that compliance with the request may infringe Australia’s sovereignty or security; or</w:t>
      </w:r>
    </w:p>
    <w:p w:rsidR="00425758" w:rsidRDefault="00425758">
      <w:pPr>
        <w:pStyle w:val="Indenta"/>
      </w:pPr>
      <w:r>
        <w:lastRenderedPageBreak/>
        <w:tab/>
        <w:t>(d)</w:t>
      </w:r>
      <w:r>
        <w:tab/>
        <w:t>that the request seeks service of a document in some other State or Territory of the Commonwealth,</w:t>
      </w:r>
    </w:p>
    <w:p w:rsidR="00425758" w:rsidRDefault="00425758">
      <w:pPr>
        <w:pStyle w:val="Subsection"/>
      </w:pPr>
      <w:r>
        <w:tab/>
      </w:r>
      <w:r>
        <w:tab/>
        <w:t>the registrar must refer the request to the Attorney</w:t>
      </w:r>
      <w:r>
        <w:noBreakHyphen/>
        <w:t>General’s Department of the Commonwealth together with a statement of his or her opinion.</w:t>
      </w:r>
    </w:p>
    <w:p w:rsidR="00425758" w:rsidRDefault="00425758">
      <w:pPr>
        <w:pStyle w:val="PermNoteHeading"/>
      </w:pPr>
      <w:r>
        <w:tab/>
        <w:t>Note:</w:t>
      </w:r>
    </w:p>
    <w:p w:rsidR="00425758" w:rsidRDefault="00425758">
      <w:pPr>
        <w:pStyle w:val="PermNoteText"/>
      </w:pPr>
      <w:r>
        <w:tab/>
      </w:r>
      <w:r>
        <w:tab/>
        <w:t>The Attorney</w:t>
      </w:r>
      <w:r>
        <w:noBreakHyphen/>
        <w:t>General’s Department of the Commonwealth will deal with misdirected and non</w:t>
      </w:r>
      <w:r>
        <w:noBreakHyphen/>
        <w:t>compliant requests, make arrangements for the service of extrajudicial documents and assess and decide questions concerning Australia’s sovereignty and security.</w:t>
      </w:r>
    </w:p>
    <w:p w:rsidR="00425758" w:rsidRDefault="00425758">
      <w:pPr>
        <w:pStyle w:val="Footnotesection"/>
      </w:pPr>
      <w:r>
        <w:tab/>
        <w:t xml:space="preserve">[Rule 14 inserted: Gazette 3 Jul 2009 p. 2694.] </w:t>
      </w:r>
    </w:p>
    <w:p w:rsidR="00425758" w:rsidRDefault="00425758">
      <w:pPr>
        <w:pStyle w:val="Heading5"/>
      </w:pPr>
      <w:bookmarkStart w:id="182" w:name="_Toc75862874"/>
      <w:r>
        <w:rPr>
          <w:rStyle w:val="CharSectno"/>
        </w:rPr>
        <w:t>15</w:t>
      </w:r>
      <w:r>
        <w:t>.</w:t>
      </w:r>
      <w:r>
        <w:tab/>
        <w:t>Service</w:t>
      </w:r>
      <w:bookmarkEnd w:id="182"/>
    </w:p>
    <w:p w:rsidR="00425758" w:rsidRDefault="00425758">
      <w:pPr>
        <w:pStyle w:val="Subsection"/>
      </w:pPr>
      <w:r>
        <w:tab/>
        <w:t>(1)</w:t>
      </w:r>
      <w:r>
        <w:tab/>
        <w:t>Subject to rule 14, on receipt of a request for service in this jurisdiction, the Court must arrange for the service of the relevant documents in accordance with the request.</w:t>
      </w:r>
    </w:p>
    <w:p w:rsidR="00425758" w:rsidRDefault="00425758">
      <w:pPr>
        <w:pStyle w:val="Subsection"/>
      </w:pPr>
      <w:r>
        <w:tab/>
        <w:t>(2)</w:t>
      </w:r>
      <w:r>
        <w:tab/>
        <w:t>The relevant documents mentioned in subrule (1) are the following —</w:t>
      </w:r>
    </w:p>
    <w:p w:rsidR="00425758" w:rsidRDefault="00425758">
      <w:pPr>
        <w:pStyle w:val="Indenta"/>
      </w:pPr>
      <w:r>
        <w:tab/>
        <w:t>(a)</w:t>
      </w:r>
      <w:r>
        <w:tab/>
        <w:t>the document to be served;</w:t>
      </w:r>
    </w:p>
    <w:p w:rsidR="00425758" w:rsidRDefault="00425758">
      <w:pPr>
        <w:pStyle w:val="Indenta"/>
      </w:pPr>
      <w:r>
        <w:tab/>
        <w:t>(b)</w:t>
      </w:r>
      <w:r>
        <w:tab/>
        <w:t>a summary of the document to be served;</w:t>
      </w:r>
    </w:p>
    <w:p w:rsidR="00425758" w:rsidRDefault="00425758">
      <w:pPr>
        <w:pStyle w:val="Indenta"/>
      </w:pPr>
      <w:r>
        <w:tab/>
        <w:t>(c)</w:t>
      </w:r>
      <w:r>
        <w:tab/>
        <w:t>a copy of the request for service in this jurisdiction;</w:t>
      </w:r>
    </w:p>
    <w:p w:rsidR="00425758" w:rsidRDefault="00425758">
      <w:pPr>
        <w:pStyle w:val="Indenta"/>
      </w:pPr>
      <w:r>
        <w:tab/>
        <w:t>(d)</w:t>
      </w:r>
      <w:r>
        <w:tab/>
        <w:t>if either of the documents mentioned in paragraphs (a) and (b) is not in the English language, an English translation of the document.</w:t>
      </w:r>
    </w:p>
    <w:p w:rsidR="00425758" w:rsidRDefault="00425758">
      <w:pPr>
        <w:pStyle w:val="Subsection"/>
      </w:pPr>
      <w:r>
        <w:tab/>
        <w:t>(3)</w:t>
      </w:r>
      <w:r>
        <w:tab/>
        <w:t>Service of the relevant documents may be effected by any of the following methods of service —</w:t>
      </w:r>
    </w:p>
    <w:p w:rsidR="00425758" w:rsidRDefault="00425758">
      <w:pPr>
        <w:pStyle w:val="Indenta"/>
      </w:pPr>
      <w:r>
        <w:tab/>
        <w:t>(a)</w:t>
      </w:r>
      <w:r>
        <w:tab/>
        <w:t>by a method of service prescribed by the law in force in this jurisdiction —</w:t>
      </w:r>
    </w:p>
    <w:p w:rsidR="00425758" w:rsidRDefault="00425758">
      <w:pPr>
        <w:pStyle w:val="Indenti"/>
      </w:pPr>
      <w:r>
        <w:tab/>
        <w:t>(i)</w:t>
      </w:r>
      <w:r>
        <w:tab/>
        <w:t>for the service of a document of a kind corresponding to the document to be served; or</w:t>
      </w:r>
    </w:p>
    <w:p w:rsidR="00425758" w:rsidRDefault="00425758">
      <w:pPr>
        <w:pStyle w:val="Indenti"/>
      </w:pPr>
      <w:r>
        <w:tab/>
        <w:t>(ii)</w:t>
      </w:r>
      <w:r>
        <w:tab/>
        <w:t>if there is no such corresponding kind of document, for the service of initiating process in proceedings in the Court;</w:t>
      </w:r>
    </w:p>
    <w:p w:rsidR="00425758" w:rsidRDefault="00425758">
      <w:pPr>
        <w:pStyle w:val="Indenta"/>
      </w:pPr>
      <w:r>
        <w:lastRenderedPageBreak/>
        <w:tab/>
        <w:t>(b)</w:t>
      </w:r>
      <w:r>
        <w:tab/>
        <w:t>if the applicant has requested a particular method of service and that method is compatible with the law in force in this jurisdiction, by that method;</w:t>
      </w:r>
    </w:p>
    <w:p w:rsidR="00425758" w:rsidRDefault="00425758">
      <w:pPr>
        <w:pStyle w:val="Indenta"/>
      </w:pPr>
      <w:r>
        <w:tab/>
        <w:t>(c)</w:t>
      </w:r>
      <w:r>
        <w:tab/>
        <w:t>if the applicant has not requested a particular method of service and the person requested to be served accepts the document voluntarily, by delivery of the document to the person requested to be served.</w:t>
      </w:r>
    </w:p>
    <w:p w:rsidR="00425758" w:rsidRDefault="00425758">
      <w:pPr>
        <w:pStyle w:val="Footnotesection"/>
      </w:pPr>
      <w:r>
        <w:tab/>
        <w:t>[Rule 15 inserted: Gazette 3 Jul 2009 p. 2694</w:t>
      </w:r>
      <w:r>
        <w:noBreakHyphen/>
        <w:t xml:space="preserve">5.] </w:t>
      </w:r>
    </w:p>
    <w:p w:rsidR="00425758" w:rsidRDefault="00425758">
      <w:pPr>
        <w:pStyle w:val="Heading5"/>
      </w:pPr>
      <w:bookmarkStart w:id="183" w:name="_Toc75862875"/>
      <w:r>
        <w:rPr>
          <w:rStyle w:val="CharSectno"/>
        </w:rPr>
        <w:t>16</w:t>
      </w:r>
      <w:r>
        <w:t>.</w:t>
      </w:r>
      <w:r>
        <w:tab/>
        <w:t>Affidavit as to service</w:t>
      </w:r>
      <w:bookmarkEnd w:id="183"/>
    </w:p>
    <w:p w:rsidR="00425758" w:rsidRDefault="00425758">
      <w:pPr>
        <w:pStyle w:val="Subsection"/>
      </w:pPr>
      <w:r>
        <w:tab/>
        <w:t>(1)</w:t>
      </w:r>
      <w:r>
        <w:tab/>
        <w:t>If service of a document has been effected pursuant to a request for service in this jurisdiction, the person by whom service has been effected must file an affidavit specifying —</w:t>
      </w:r>
    </w:p>
    <w:p w:rsidR="00425758" w:rsidRDefault="00425758">
      <w:pPr>
        <w:pStyle w:val="Indenta"/>
      </w:pPr>
      <w:r>
        <w:tab/>
        <w:t>(a)</w:t>
      </w:r>
      <w:r>
        <w:tab/>
        <w:t>the time, day of the week and date on which the document was served; and</w:t>
      </w:r>
    </w:p>
    <w:p w:rsidR="00425758" w:rsidRDefault="00425758">
      <w:pPr>
        <w:pStyle w:val="Indenta"/>
      </w:pPr>
      <w:r>
        <w:tab/>
        <w:t>(b)</w:t>
      </w:r>
      <w:r>
        <w:tab/>
        <w:t>the place where the document was served; and</w:t>
      </w:r>
    </w:p>
    <w:p w:rsidR="00425758" w:rsidRDefault="00425758">
      <w:pPr>
        <w:pStyle w:val="Indenta"/>
      </w:pPr>
      <w:r>
        <w:tab/>
        <w:t>(c)</w:t>
      </w:r>
      <w:r>
        <w:tab/>
        <w:t>the method of service; and</w:t>
      </w:r>
    </w:p>
    <w:p w:rsidR="00425758" w:rsidRDefault="00425758">
      <w:pPr>
        <w:pStyle w:val="Indenta"/>
      </w:pPr>
      <w:r>
        <w:tab/>
        <w:t>(d)</w:t>
      </w:r>
      <w:r>
        <w:tab/>
        <w:t>the person on whom the document was served; and</w:t>
      </w:r>
    </w:p>
    <w:p w:rsidR="00425758" w:rsidRDefault="00425758">
      <w:pPr>
        <w:pStyle w:val="Indenta"/>
      </w:pPr>
      <w:r>
        <w:tab/>
        <w:t>(e)</w:t>
      </w:r>
      <w:r>
        <w:tab/>
        <w:t>the way in which that person was identified.</w:t>
      </w:r>
    </w:p>
    <w:p w:rsidR="00425758" w:rsidRDefault="00425758">
      <w:pPr>
        <w:pStyle w:val="Subsection"/>
      </w:pPr>
      <w:r>
        <w:tab/>
        <w:t>(2)</w:t>
      </w:r>
      <w:r>
        <w:tab/>
        <w:t>If attempts to serve a document pursuant to a request for service in this jurisdiction have failed, the person by whom service has been attempted must file an affidavit specifying —</w:t>
      </w:r>
    </w:p>
    <w:p w:rsidR="00425758" w:rsidRDefault="00425758">
      <w:pPr>
        <w:pStyle w:val="Indenta"/>
      </w:pPr>
      <w:r>
        <w:tab/>
        <w:t>(a)</w:t>
      </w:r>
      <w:r>
        <w:tab/>
        <w:t>details of the attempts made to serve the document; and</w:t>
      </w:r>
    </w:p>
    <w:p w:rsidR="00425758" w:rsidRDefault="00425758">
      <w:pPr>
        <w:pStyle w:val="Indenta"/>
      </w:pPr>
      <w:r>
        <w:tab/>
        <w:t>(b)</w:t>
      </w:r>
      <w:r>
        <w:tab/>
        <w:t>the reasons that have prevented service.</w:t>
      </w:r>
    </w:p>
    <w:p w:rsidR="00425758" w:rsidRDefault="00425758">
      <w:pPr>
        <w:pStyle w:val="Subsection"/>
      </w:pPr>
      <w:r>
        <w:tab/>
        <w:t>(3)</w:t>
      </w:r>
      <w:r>
        <w:tab/>
        <w:t>When an affidavit as to service of a document has been filed in accordance with this rule, the registrar —</w:t>
      </w:r>
    </w:p>
    <w:p w:rsidR="00425758" w:rsidRDefault="00425758">
      <w:pPr>
        <w:pStyle w:val="Indenta"/>
      </w:pPr>
      <w:r>
        <w:tab/>
        <w:t>(a)</w:t>
      </w:r>
      <w:r>
        <w:tab/>
        <w:t>must complete a certificate of service, sealed with the seal of the Court, on the reverse side of, or attached to, the request for service in this jurisdiction; and</w:t>
      </w:r>
    </w:p>
    <w:p w:rsidR="00425758" w:rsidRDefault="00425758">
      <w:pPr>
        <w:pStyle w:val="Indenta"/>
      </w:pPr>
      <w:r>
        <w:tab/>
        <w:t>(b)</w:t>
      </w:r>
      <w:r>
        <w:tab/>
        <w:t xml:space="preserve">must forward the certificate of service, together with a statement as to the costs incurred in relation to the service or attempted service of the document, directly to </w:t>
      </w:r>
      <w:r>
        <w:lastRenderedPageBreak/>
        <w:t>the forwarding authority from which the request was received.</w:t>
      </w:r>
    </w:p>
    <w:p w:rsidR="00425758" w:rsidRDefault="00425758">
      <w:pPr>
        <w:pStyle w:val="Subsection"/>
      </w:pPr>
      <w:r>
        <w:tab/>
        <w:t>(4)</w:t>
      </w:r>
      <w:r>
        <w:tab/>
        <w:t xml:space="preserve">A certificate of service must be — </w:t>
      </w:r>
    </w:p>
    <w:p w:rsidR="00425758" w:rsidRDefault="00425758">
      <w:pPr>
        <w:pStyle w:val="Indenta"/>
      </w:pPr>
      <w:r>
        <w:tab/>
        <w:t>(a)</w:t>
      </w:r>
      <w:r>
        <w:tab/>
        <w:t>in the form of Form 5A Part 2; or</w:t>
      </w:r>
    </w:p>
    <w:p w:rsidR="00425758" w:rsidRDefault="00425758">
      <w:pPr>
        <w:pStyle w:val="Indenta"/>
      </w:pPr>
      <w:r>
        <w:tab/>
        <w:t>(b)</w:t>
      </w:r>
      <w:r>
        <w:tab/>
        <w:t>if a form of certificate of service that substantially corresponds to Form 5A Part 2 accompanies the request for service, in that accompanying form.</w:t>
      </w:r>
    </w:p>
    <w:p w:rsidR="00425758" w:rsidRDefault="00425758">
      <w:pPr>
        <w:pStyle w:val="Subsection"/>
      </w:pPr>
      <w:r>
        <w:tab/>
        <w:t>(5)</w:t>
      </w:r>
      <w:r>
        <w:tab/>
        <w:t>An affidavit as to service to be filed in accordance with this rule cannot be filed electronically.</w:t>
      </w:r>
    </w:p>
    <w:p w:rsidR="00425758" w:rsidRDefault="00425758">
      <w:pPr>
        <w:pStyle w:val="Footnotesection"/>
      </w:pPr>
      <w:r>
        <w:tab/>
        <w:t>[Rule 16 inserted: Gazette 3 Jul 2009 p. 2695</w:t>
      </w:r>
      <w:r>
        <w:noBreakHyphen/>
        <w:t xml:space="preserve">6; amended: Gazette 27 Feb 2018 p. 558.] </w:t>
      </w:r>
    </w:p>
    <w:p w:rsidR="00425758" w:rsidRDefault="00425758">
      <w:pPr>
        <w:pStyle w:val="Ednotepart"/>
      </w:pPr>
      <w:r>
        <w:t>[Orders 11B and 11C deleted: Gazette 3 Jul 2009 p. 2685.]</w:t>
      </w:r>
    </w:p>
    <w:p w:rsidR="00425758" w:rsidRDefault="00425758">
      <w:pPr>
        <w:pStyle w:val="Heading2"/>
        <w:rPr>
          <w:b w:val="0"/>
        </w:rPr>
      </w:pPr>
      <w:bookmarkStart w:id="184" w:name="_Toc75511780"/>
      <w:bookmarkStart w:id="185" w:name="_Toc75862876"/>
      <w:r>
        <w:rPr>
          <w:rStyle w:val="CharPartNo"/>
        </w:rPr>
        <w:lastRenderedPageBreak/>
        <w:t>Order 12</w:t>
      </w:r>
      <w:r>
        <w:rPr>
          <w:rStyle w:val="CharDivNo"/>
        </w:rPr>
        <w:t> </w:t>
      </w:r>
      <w:r>
        <w:t>—</w:t>
      </w:r>
      <w:r>
        <w:rPr>
          <w:rStyle w:val="CharDivText"/>
        </w:rPr>
        <w:t> </w:t>
      </w:r>
      <w:r>
        <w:rPr>
          <w:rStyle w:val="CharPartText"/>
        </w:rPr>
        <w:t>Appearance</w:t>
      </w:r>
      <w:bookmarkEnd w:id="184"/>
      <w:bookmarkEnd w:id="185"/>
    </w:p>
    <w:p w:rsidR="00425758" w:rsidRDefault="00425758">
      <w:pPr>
        <w:pStyle w:val="Heading5"/>
        <w:rPr>
          <w:snapToGrid w:val="0"/>
        </w:rPr>
      </w:pPr>
      <w:bookmarkStart w:id="186" w:name="_Toc75862877"/>
      <w:r>
        <w:rPr>
          <w:rStyle w:val="CharSectno"/>
        </w:rPr>
        <w:t>1</w:t>
      </w:r>
      <w:r>
        <w:rPr>
          <w:snapToGrid w:val="0"/>
        </w:rPr>
        <w:t>.</w:t>
      </w:r>
      <w:r>
        <w:rPr>
          <w:snapToGrid w:val="0"/>
        </w:rPr>
        <w:tab/>
        <w:t>Who may enter appearance</w:t>
      </w:r>
      <w:bookmarkEnd w:id="186"/>
    </w:p>
    <w:p w:rsidR="00425758" w:rsidRDefault="00425758">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rsidR="00425758" w:rsidRDefault="00425758">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rsidR="00425758" w:rsidRDefault="00425758">
      <w:pPr>
        <w:pStyle w:val="Ednotesubsection"/>
      </w:pPr>
      <w:r>
        <w:tab/>
      </w:r>
      <w:r>
        <w:tab/>
        <w:t xml:space="preserve">[Rule 1 amended: Gazette 7 Oct 1977 p. 3602; 22 Feb 2008 p. 634; 28 Jun 2011 p. 2552.] </w:t>
      </w:r>
    </w:p>
    <w:p w:rsidR="00425758" w:rsidRDefault="00425758">
      <w:pPr>
        <w:pStyle w:val="Heading5"/>
      </w:pPr>
      <w:bookmarkStart w:id="187" w:name="_Toc75862878"/>
      <w:r>
        <w:rPr>
          <w:rStyle w:val="CharSectno"/>
        </w:rPr>
        <w:t>2</w:t>
      </w:r>
      <w:r>
        <w:t>.</w:t>
      </w:r>
      <w:r>
        <w:tab/>
        <w:t>How to enter an appearance</w:t>
      </w:r>
      <w:bookmarkEnd w:id="187"/>
    </w:p>
    <w:p w:rsidR="00425758" w:rsidRDefault="00425758">
      <w:pPr>
        <w:pStyle w:val="Subsection"/>
      </w:pPr>
      <w:r>
        <w:tab/>
        <w:t>(1)</w:t>
      </w:r>
      <w:r>
        <w:tab/>
        <w:t xml:space="preserve">To enter an appearance, a defendant must file 2 copies of a Form No. 6 signed by — </w:t>
      </w:r>
    </w:p>
    <w:p w:rsidR="00425758" w:rsidRDefault="00425758">
      <w:pPr>
        <w:pStyle w:val="Indenta"/>
      </w:pPr>
      <w:r>
        <w:tab/>
        <w:t>(a)</w:t>
      </w:r>
      <w:r>
        <w:tab/>
        <w:t>the practitioner who acts for the defendant; or</w:t>
      </w:r>
    </w:p>
    <w:p w:rsidR="00425758" w:rsidRDefault="00425758">
      <w:pPr>
        <w:pStyle w:val="Indenta"/>
      </w:pPr>
      <w:r>
        <w:tab/>
        <w:t>(b)</w:t>
      </w:r>
      <w:r>
        <w:tab/>
        <w:t>if the defendant is self</w:t>
      </w:r>
      <w:r>
        <w:noBreakHyphen/>
        <w:t>represented, the defendant.</w:t>
      </w:r>
    </w:p>
    <w:p w:rsidR="00425758" w:rsidRDefault="00425758">
      <w:pPr>
        <w:pStyle w:val="Subsection"/>
      </w:pPr>
      <w:r>
        <w:tab/>
        <w:t>(2)</w:t>
      </w:r>
      <w:r>
        <w:tab/>
        <w:t xml:space="preserve">A memorandum of appearance must, in accordance with Order 71A, state — </w:t>
      </w:r>
    </w:p>
    <w:p w:rsidR="00425758" w:rsidRDefault="00425758">
      <w:pPr>
        <w:pStyle w:val="Indenta"/>
      </w:pPr>
      <w:r>
        <w:tab/>
        <w:t>(a)</w:t>
      </w:r>
      <w:r>
        <w:tab/>
        <w:t>the defendant’s geographical address; and</w:t>
      </w:r>
    </w:p>
    <w:p w:rsidR="00425758" w:rsidRDefault="00425758">
      <w:pPr>
        <w:pStyle w:val="Indenta"/>
      </w:pPr>
      <w:r>
        <w:tab/>
        <w:t>(b)</w:t>
      </w:r>
      <w:r>
        <w:tab/>
        <w:t>the defendant’s service details.</w:t>
      </w:r>
    </w:p>
    <w:p w:rsidR="00425758" w:rsidRDefault="00425758">
      <w:pPr>
        <w:pStyle w:val="Subsection"/>
      </w:pPr>
      <w:r>
        <w:tab/>
        <w:t>(3)</w:t>
      </w:r>
      <w:r>
        <w:tab/>
        <w:t>If one practitioner acts for 2 or more defendants in one action, a memorandum of appearance may relate to more than one of those defendants.</w:t>
      </w:r>
    </w:p>
    <w:p w:rsidR="00425758" w:rsidRDefault="00425758">
      <w:pPr>
        <w:pStyle w:val="Footnotesection"/>
      </w:pPr>
      <w:r>
        <w:tab/>
        <w:t xml:space="preserve">[Rule 2 inserted: Gazette 22 Feb 2008 p. 634.] </w:t>
      </w:r>
    </w:p>
    <w:p w:rsidR="00425758" w:rsidRDefault="00425758">
      <w:pPr>
        <w:pStyle w:val="Heading5"/>
        <w:rPr>
          <w:snapToGrid w:val="0"/>
        </w:rPr>
      </w:pPr>
      <w:bookmarkStart w:id="188" w:name="_Toc75862879"/>
      <w:r>
        <w:rPr>
          <w:rStyle w:val="CharSectno"/>
        </w:rPr>
        <w:t>3</w:t>
      </w:r>
      <w:r>
        <w:rPr>
          <w:snapToGrid w:val="0"/>
        </w:rPr>
        <w:t>.</w:t>
      </w:r>
      <w:r>
        <w:rPr>
          <w:snapToGrid w:val="0"/>
        </w:rPr>
        <w:tab/>
        <w:t>Procedure on receipt of requisite documents</w:t>
      </w:r>
      <w:bookmarkEnd w:id="188"/>
    </w:p>
    <w:p w:rsidR="00425758" w:rsidRDefault="00425758">
      <w:pPr>
        <w:pStyle w:val="Subsection"/>
        <w:rPr>
          <w:snapToGrid w:val="0"/>
        </w:rPr>
      </w:pPr>
      <w:r>
        <w:rPr>
          <w:snapToGrid w:val="0"/>
        </w:rPr>
        <w:tab/>
      </w:r>
      <w:r>
        <w:rPr>
          <w:snapToGrid w:val="0"/>
        </w:rPr>
        <w:tab/>
        <w:t xml:space="preserve">On receiving the requisite documents the proper officer must in all cases affix to the copy of the memorandum of appearance an official stamp showing the date on which he received those </w:t>
      </w:r>
      <w:r>
        <w:rPr>
          <w:snapToGrid w:val="0"/>
        </w:rPr>
        <w:lastRenderedPageBreak/>
        <w:t xml:space="preserve">documents, </w:t>
      </w:r>
      <w:r>
        <w:t xml:space="preserve">record the entry of appearance, </w:t>
      </w:r>
      <w:r>
        <w:rPr>
          <w:snapToGrid w:val="0"/>
        </w:rPr>
        <w:t>and then return the copy of the memorandum to the person entering the appearance and the copy memorandum so stamped shall be a certificate that the appearance was entered on the day indicated on the official stamp.</w:t>
      </w:r>
    </w:p>
    <w:p w:rsidR="00425758" w:rsidRDefault="00425758">
      <w:pPr>
        <w:pStyle w:val="Footnotesection"/>
      </w:pPr>
      <w:r>
        <w:tab/>
        <w:t xml:space="preserve">[Rule 3 amended: Gazette 15 Jun 1973 p. 2247; 27 Feb 2018 p. 558.] </w:t>
      </w:r>
    </w:p>
    <w:p w:rsidR="00425758" w:rsidRDefault="00425758">
      <w:pPr>
        <w:pStyle w:val="Heading5"/>
      </w:pPr>
      <w:bookmarkStart w:id="189" w:name="_Toc75862880"/>
      <w:r>
        <w:rPr>
          <w:rStyle w:val="CharSectno"/>
        </w:rPr>
        <w:t>4</w:t>
      </w:r>
      <w:r>
        <w:t>.</w:t>
      </w:r>
      <w:r>
        <w:tab/>
        <w:t>Appearance to be served on plaintiff</w:t>
      </w:r>
      <w:bookmarkEnd w:id="189"/>
    </w:p>
    <w:p w:rsidR="00425758" w:rsidRDefault="00425758">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rsidR="00425758" w:rsidRDefault="00425758">
      <w:pPr>
        <w:pStyle w:val="Footnotesection"/>
      </w:pPr>
      <w:r>
        <w:tab/>
        <w:t xml:space="preserve">[Rule 4 inserted: Gazette 22 Feb 2008 p. 635.] </w:t>
      </w:r>
    </w:p>
    <w:p w:rsidR="00425758" w:rsidRDefault="00425758">
      <w:pPr>
        <w:pStyle w:val="Heading5"/>
        <w:rPr>
          <w:snapToGrid w:val="0"/>
        </w:rPr>
      </w:pPr>
      <w:bookmarkStart w:id="190" w:name="_Toc75862881"/>
      <w:r>
        <w:rPr>
          <w:rStyle w:val="CharSectno"/>
        </w:rPr>
        <w:t>5</w:t>
      </w:r>
      <w:r>
        <w:rPr>
          <w:snapToGrid w:val="0"/>
        </w:rPr>
        <w:t>.</w:t>
      </w:r>
      <w:r>
        <w:rPr>
          <w:snapToGrid w:val="0"/>
        </w:rPr>
        <w:tab/>
        <w:t>Late appearance</w:t>
      </w:r>
      <w:bookmarkEnd w:id="190"/>
    </w:p>
    <w:p w:rsidR="00425758" w:rsidRDefault="00425758">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rsidR="00425758" w:rsidRDefault="00425758">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rsidR="00425758" w:rsidRDefault="00425758">
      <w:pPr>
        <w:pStyle w:val="Footnotesection"/>
      </w:pPr>
      <w:r>
        <w:tab/>
        <w:t>[Rule 5 amended: Gazette 28 Jun 2011 p. 2552.]</w:t>
      </w:r>
    </w:p>
    <w:p w:rsidR="00425758" w:rsidRDefault="00425758">
      <w:pPr>
        <w:pStyle w:val="Heading5"/>
        <w:rPr>
          <w:snapToGrid w:val="0"/>
        </w:rPr>
      </w:pPr>
      <w:bookmarkStart w:id="191" w:name="_Toc75862882"/>
      <w:r>
        <w:rPr>
          <w:rStyle w:val="CharSectno"/>
        </w:rPr>
        <w:t>6</w:t>
      </w:r>
      <w:r>
        <w:rPr>
          <w:snapToGrid w:val="0"/>
        </w:rPr>
        <w:t>.</w:t>
      </w:r>
      <w:r>
        <w:rPr>
          <w:snapToGrid w:val="0"/>
        </w:rPr>
        <w:tab/>
        <w:t>Conditional appearance</w:t>
      </w:r>
      <w:bookmarkEnd w:id="191"/>
    </w:p>
    <w:p w:rsidR="00425758" w:rsidRDefault="00425758">
      <w:pPr>
        <w:pStyle w:val="Subsection"/>
        <w:rPr>
          <w:snapToGrid w:val="0"/>
        </w:rPr>
      </w:pPr>
      <w:r>
        <w:rPr>
          <w:snapToGrid w:val="0"/>
        </w:rPr>
        <w:tab/>
        <w:t>(1)</w:t>
      </w:r>
      <w:r>
        <w:rPr>
          <w:snapToGrid w:val="0"/>
        </w:rPr>
        <w:tab/>
        <w:t xml:space="preserve">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w:t>
      </w:r>
      <w:r>
        <w:rPr>
          <w:snapToGrid w:val="0"/>
        </w:rPr>
        <w:lastRenderedPageBreak/>
        <w:t>renders the originating process or the service thereof invalid, and shall not thereby be deemed to have submitted to such jurisdiction, except as to the costs occasioned by the appearance or by any application under this rule.</w:t>
      </w:r>
    </w:p>
    <w:p w:rsidR="00425758" w:rsidRDefault="00425758">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rsidR="00425758" w:rsidRDefault="00425758">
      <w:pPr>
        <w:pStyle w:val="Heading5"/>
      </w:pPr>
      <w:bookmarkStart w:id="192" w:name="_Toc75862883"/>
      <w:r>
        <w:rPr>
          <w:rStyle w:val="CharSectno"/>
        </w:rPr>
        <w:t>7</w:t>
      </w:r>
      <w:r>
        <w:t>.</w:t>
      </w:r>
      <w:r>
        <w:tab/>
        <w:t>Setting aside writ etc. before appearance</w:t>
      </w:r>
      <w:bookmarkEnd w:id="192"/>
    </w:p>
    <w:p w:rsidR="00425758" w:rsidRDefault="00425758">
      <w:pPr>
        <w:pStyle w:val="Subsection"/>
      </w:pPr>
      <w:r>
        <w:tab/>
      </w:r>
      <w:r>
        <w:tab/>
        <w:t>A defendant to an action, at any time before entering an appearance in it, may serve notice of motion to —</w:t>
      </w:r>
    </w:p>
    <w:p w:rsidR="00425758" w:rsidRDefault="00425758">
      <w:pPr>
        <w:pStyle w:val="Indenta"/>
      </w:pPr>
      <w:r>
        <w:tab/>
        <w:t>(a)</w:t>
      </w:r>
      <w:r>
        <w:tab/>
        <w:t>set aside the writ or service of the writ on the defendant; or</w:t>
      </w:r>
    </w:p>
    <w:p w:rsidR="00425758" w:rsidRDefault="00425758">
      <w:pPr>
        <w:pStyle w:val="Indenta"/>
      </w:pPr>
      <w:r>
        <w:tab/>
        <w:t>(b)</w:t>
      </w:r>
      <w:r>
        <w:tab/>
        <w:t>discharge any order that granted leave to serve the writ on the defendant outside Australia.</w:t>
      </w:r>
    </w:p>
    <w:p w:rsidR="00425758" w:rsidRDefault="00425758">
      <w:pPr>
        <w:pStyle w:val="Footnotesection"/>
      </w:pPr>
      <w:r>
        <w:tab/>
        <w:t>[Rule 7 inserted: Gazette 12 Jun 2012 p. 2451.]</w:t>
      </w:r>
    </w:p>
    <w:p w:rsidR="00425758" w:rsidRDefault="00425758">
      <w:pPr>
        <w:pStyle w:val="Heading5"/>
        <w:rPr>
          <w:snapToGrid w:val="0"/>
        </w:rPr>
      </w:pPr>
      <w:bookmarkStart w:id="193" w:name="_Toc75862884"/>
      <w:r>
        <w:rPr>
          <w:rStyle w:val="CharSectno"/>
        </w:rPr>
        <w:t>8</w:t>
      </w:r>
      <w:r>
        <w:rPr>
          <w:snapToGrid w:val="0"/>
        </w:rPr>
        <w:t>.</w:t>
      </w:r>
      <w:r>
        <w:rPr>
          <w:snapToGrid w:val="0"/>
        </w:rPr>
        <w:tab/>
        <w:t>Person not named may defend action for possession of land</w:t>
      </w:r>
      <w:bookmarkEnd w:id="193"/>
    </w:p>
    <w:p w:rsidR="00425758" w:rsidRDefault="00425758">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rsidR="00425758" w:rsidRDefault="00425758">
      <w:pPr>
        <w:pStyle w:val="Heading5"/>
        <w:rPr>
          <w:snapToGrid w:val="0"/>
        </w:rPr>
      </w:pPr>
      <w:bookmarkStart w:id="194" w:name="_Toc75862885"/>
      <w:r>
        <w:rPr>
          <w:rStyle w:val="CharSectno"/>
        </w:rPr>
        <w:t>9</w:t>
      </w:r>
      <w:r>
        <w:rPr>
          <w:snapToGrid w:val="0"/>
        </w:rPr>
        <w:t>.</w:t>
      </w:r>
      <w:r>
        <w:rPr>
          <w:snapToGrid w:val="0"/>
        </w:rPr>
        <w:tab/>
        <w:t>Person appearing under r. 8 to be named as defendant</w:t>
      </w:r>
      <w:bookmarkEnd w:id="194"/>
    </w:p>
    <w:p w:rsidR="00425758" w:rsidRDefault="00425758">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rsidR="00425758" w:rsidRDefault="00425758">
      <w:pPr>
        <w:pStyle w:val="Heading5"/>
        <w:rPr>
          <w:snapToGrid w:val="0"/>
        </w:rPr>
      </w:pPr>
      <w:bookmarkStart w:id="195" w:name="_Toc75862886"/>
      <w:r>
        <w:rPr>
          <w:rStyle w:val="CharSectno"/>
        </w:rPr>
        <w:lastRenderedPageBreak/>
        <w:t>10</w:t>
      </w:r>
      <w:r>
        <w:rPr>
          <w:snapToGrid w:val="0"/>
        </w:rPr>
        <w:t>.</w:t>
      </w:r>
      <w:r>
        <w:rPr>
          <w:snapToGrid w:val="0"/>
        </w:rPr>
        <w:tab/>
        <w:t>Limiting defence in action for possession of land</w:t>
      </w:r>
      <w:bookmarkEnd w:id="195"/>
    </w:p>
    <w:p w:rsidR="00425758" w:rsidRDefault="00425758">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rsidR="00425758" w:rsidRDefault="00425758">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rsidR="00425758" w:rsidRDefault="00425758">
      <w:pPr>
        <w:pStyle w:val="Footnotesection"/>
      </w:pPr>
      <w:r>
        <w:tab/>
        <w:t>[Rule 10 amended: Gazette 28 Jun 2011 p. 2552.]</w:t>
      </w:r>
    </w:p>
    <w:p w:rsidR="00425758" w:rsidRDefault="00425758">
      <w:pPr>
        <w:pStyle w:val="Heading2"/>
      </w:pPr>
      <w:bookmarkStart w:id="196" w:name="_Toc75511791"/>
      <w:bookmarkStart w:id="197" w:name="_Toc75862887"/>
      <w:r>
        <w:rPr>
          <w:rStyle w:val="CharPartNo"/>
        </w:rPr>
        <w:lastRenderedPageBreak/>
        <w:t>Order 13</w:t>
      </w:r>
      <w:r>
        <w:rPr>
          <w:rStyle w:val="CharDivNo"/>
        </w:rPr>
        <w:t> </w:t>
      </w:r>
      <w:r>
        <w:t>—</w:t>
      </w:r>
      <w:r>
        <w:rPr>
          <w:rStyle w:val="CharDivText"/>
        </w:rPr>
        <w:t> </w:t>
      </w:r>
      <w:r>
        <w:rPr>
          <w:rStyle w:val="CharPartText"/>
        </w:rPr>
        <w:t>Judgment in default of appearance to writ</w:t>
      </w:r>
      <w:bookmarkEnd w:id="196"/>
      <w:bookmarkEnd w:id="197"/>
    </w:p>
    <w:p w:rsidR="00425758" w:rsidRDefault="00425758">
      <w:pPr>
        <w:pStyle w:val="Footnoteheading"/>
      </w:pPr>
      <w:r>
        <w:tab/>
        <w:t>[Heading inserted: Gazette 16 Nov 2016 p. 5189.]</w:t>
      </w:r>
    </w:p>
    <w:p w:rsidR="00425758" w:rsidRDefault="00425758">
      <w:pPr>
        <w:pStyle w:val="Heading5"/>
      </w:pPr>
      <w:bookmarkStart w:id="198" w:name="_Toc75862888"/>
      <w:r>
        <w:rPr>
          <w:rStyle w:val="CharSectno"/>
        </w:rPr>
        <w:t>1</w:t>
      </w:r>
      <w:r>
        <w:t>.</w:t>
      </w:r>
      <w:r>
        <w:tab/>
        <w:t>Plaintiff may enter judgment if defendant fails to enter appearance</w:t>
      </w:r>
      <w:bookmarkEnd w:id="198"/>
    </w:p>
    <w:p w:rsidR="00425758" w:rsidRDefault="00425758">
      <w:pPr>
        <w:pStyle w:val="Subsection"/>
      </w:pPr>
      <w:r>
        <w:tab/>
        <w:t>(1)</w:t>
      </w:r>
      <w:r>
        <w:tab/>
        <w:t>This Order applies only to proceedings commenced by writ.</w:t>
      </w:r>
    </w:p>
    <w:p w:rsidR="00425758" w:rsidRDefault="00425758">
      <w:pPr>
        <w:pStyle w:val="Subsection"/>
      </w:pPr>
      <w:r>
        <w:tab/>
        <w:t>(2)</w:t>
      </w:r>
      <w:r>
        <w:tab/>
        <w:t>If a defendant does not enter an appearance within the time limited for appearing, the plaintiff may enter judgment against that defendant in accordance with this Order.</w:t>
      </w:r>
    </w:p>
    <w:p w:rsidR="00425758" w:rsidRDefault="00425758">
      <w:pPr>
        <w:pStyle w:val="Subsection"/>
      </w:pPr>
      <w:r>
        <w:tab/>
        <w:t>(3)</w:t>
      </w:r>
      <w:r>
        <w:tab/>
        <w:t xml:space="preserve">Judgment must not be entered against a defendant under this Order unless — </w:t>
      </w:r>
    </w:p>
    <w:p w:rsidR="00425758" w:rsidRDefault="00425758">
      <w:pPr>
        <w:pStyle w:val="Indenta"/>
      </w:pPr>
      <w:r>
        <w:tab/>
        <w:t>(a)</w:t>
      </w:r>
      <w:r>
        <w:tab/>
        <w:t>an affidavit is filed by or on behalf of the plaintiff proving service of the writ on the defendant and indorsement of service in accordance with Order 9 rule 1(4); or</w:t>
      </w:r>
    </w:p>
    <w:p w:rsidR="00425758" w:rsidRDefault="00425758">
      <w:pPr>
        <w:pStyle w:val="Indenta"/>
      </w:pPr>
      <w:r>
        <w:tab/>
        <w:t>(b)</w:t>
      </w:r>
      <w:r>
        <w:tab/>
        <w:t>the plaintiff produces the writ indorsed by the defendant’s solicitor with a statement that the defendant’s solicitor accepts service of the writ on the defendant’s behalf.</w:t>
      </w:r>
    </w:p>
    <w:p w:rsidR="00425758" w:rsidRDefault="00425758">
      <w:pPr>
        <w:pStyle w:val="Subsection"/>
      </w:pPr>
      <w:r>
        <w:tab/>
        <w:t>(4)</w:t>
      </w:r>
      <w:r>
        <w:tab/>
        <w:t>The Court may require to be satisfied in whatever manner it thinks fit that the defendant has failed to enter an appearance.</w:t>
      </w:r>
    </w:p>
    <w:p w:rsidR="00425758" w:rsidRDefault="00425758">
      <w:pPr>
        <w:pStyle w:val="Footnotesection"/>
      </w:pPr>
      <w:r>
        <w:tab/>
        <w:t>[Rule 1 inserted: Gazette 16 Nov 2016 p. 5189</w:t>
      </w:r>
      <w:r>
        <w:noBreakHyphen/>
        <w:t>90.]</w:t>
      </w:r>
    </w:p>
    <w:p w:rsidR="00425758" w:rsidRDefault="00425758">
      <w:pPr>
        <w:pStyle w:val="Heading5"/>
      </w:pPr>
      <w:bookmarkStart w:id="199" w:name="_Toc75862889"/>
      <w:r>
        <w:rPr>
          <w:rStyle w:val="CharSectno"/>
        </w:rPr>
        <w:t>2</w:t>
      </w:r>
      <w:r>
        <w:t>.</w:t>
      </w:r>
      <w:r>
        <w:tab/>
        <w:t>Claim for liquidated demand</w:t>
      </w:r>
      <w:bookmarkEnd w:id="199"/>
    </w:p>
    <w:p w:rsidR="00425758" w:rsidRDefault="00425758">
      <w:pPr>
        <w:pStyle w:val="Subsection"/>
      </w:pPr>
      <w:r>
        <w:tab/>
        <w:t>(1)</w:t>
      </w:r>
      <w:r>
        <w:tab/>
        <w:t xml:space="preserve">If the writ is indorsed with a claim for a liquidated demand only, then, if a defendant fails to enter an appearance within the time limited for appearing, the plaintiff may — </w:t>
      </w:r>
    </w:p>
    <w:p w:rsidR="00425758" w:rsidRDefault="00425758">
      <w:pPr>
        <w:pStyle w:val="Indenta"/>
      </w:pPr>
      <w:r>
        <w:tab/>
        <w:t>(a)</w:t>
      </w:r>
      <w:r>
        <w:tab/>
        <w:t>enter judgment against the defendant for a sum not exceeding that claimed by the writ in respect of the demand and costs; and</w:t>
      </w:r>
    </w:p>
    <w:p w:rsidR="00425758" w:rsidRDefault="00425758">
      <w:pPr>
        <w:pStyle w:val="Indenta"/>
        <w:keepNext/>
      </w:pPr>
      <w:r>
        <w:lastRenderedPageBreak/>
        <w:tab/>
        <w:t>(b)</w:t>
      </w:r>
      <w:r>
        <w:tab/>
        <w:t>proceed with the action against the other defendants, if any, unless the defendants are sued in the alternative.</w:t>
      </w:r>
    </w:p>
    <w:p w:rsidR="00425758" w:rsidRDefault="00425758">
      <w:pPr>
        <w:pStyle w:val="Subsection"/>
      </w:pPr>
      <w:r>
        <w:tab/>
        <w:t>(2)</w:t>
      </w:r>
      <w:r>
        <w:tab/>
        <w:t>On a judgment under this rule, the plaintiff may issue execution on the judgment.</w:t>
      </w:r>
    </w:p>
    <w:p w:rsidR="00425758" w:rsidRDefault="00425758">
      <w:pPr>
        <w:pStyle w:val="Subsection"/>
      </w:pPr>
      <w:r>
        <w:tab/>
        <w:t>(3)</w:t>
      </w:r>
      <w:r>
        <w:tab/>
        <w:t>A claim is not excluded from this rule just because part of it is for interest under section 32 of the Act at a rate that is not higher than that payable on judgment debts at the date of the writ.</w:t>
      </w:r>
    </w:p>
    <w:p w:rsidR="00425758" w:rsidRDefault="00425758">
      <w:pPr>
        <w:pStyle w:val="Footnotesection"/>
      </w:pPr>
      <w:r>
        <w:tab/>
        <w:t>[Rule 2 inserted: Gazette 16 Nov 2016 p. 5190.]</w:t>
      </w:r>
    </w:p>
    <w:p w:rsidR="00425758" w:rsidRDefault="00425758">
      <w:pPr>
        <w:pStyle w:val="Heading5"/>
      </w:pPr>
      <w:bookmarkStart w:id="200" w:name="_Toc75862890"/>
      <w:r>
        <w:rPr>
          <w:rStyle w:val="CharSectno"/>
        </w:rPr>
        <w:t>3</w:t>
      </w:r>
      <w:r>
        <w:t>.</w:t>
      </w:r>
      <w:r>
        <w:tab/>
        <w:t>Claims for unliquidated damages</w:t>
      </w:r>
      <w:bookmarkEnd w:id="200"/>
    </w:p>
    <w:p w:rsidR="00425758" w:rsidRDefault="00425758">
      <w:pPr>
        <w:pStyle w:val="Subsection"/>
      </w:pPr>
      <w:r>
        <w:tab/>
        <w:t>(1)</w:t>
      </w:r>
      <w:r>
        <w:tab/>
        <w:t xml:space="preserve">If the writ is indorsed with a claim for unliquidated damages only, then, if a defendant fails to enter an appearance within the time limited for appearing, the plaintiff may — </w:t>
      </w:r>
    </w:p>
    <w:p w:rsidR="00425758" w:rsidRDefault="00425758">
      <w:pPr>
        <w:pStyle w:val="Indenta"/>
      </w:pPr>
      <w:r>
        <w:tab/>
        <w:t>(a)</w:t>
      </w:r>
      <w:r>
        <w:tab/>
        <w:t>enter judgment against the defendant and obtain an order for directions for the assessment of damages; and</w:t>
      </w:r>
    </w:p>
    <w:p w:rsidR="00425758" w:rsidRDefault="00425758">
      <w:pPr>
        <w:pStyle w:val="Indenta"/>
      </w:pPr>
      <w:r>
        <w:tab/>
        <w:t>(b)</w:t>
      </w:r>
      <w:r>
        <w:tab/>
        <w:t>proceed with the action against the other defendants, if any, unless the defendants are sued in the alternative.</w:t>
      </w:r>
    </w:p>
    <w:p w:rsidR="00425758" w:rsidRDefault="00425758">
      <w:pPr>
        <w:pStyle w:val="Subsection"/>
      </w:pPr>
      <w:r>
        <w:tab/>
        <w:t>(2)</w:t>
      </w:r>
      <w:r>
        <w:tab/>
        <w:t xml:space="preserve">On a judgment under this rule — </w:t>
      </w:r>
    </w:p>
    <w:p w:rsidR="00425758" w:rsidRDefault="00425758">
      <w:pPr>
        <w:pStyle w:val="Indenta"/>
      </w:pPr>
      <w:r>
        <w:tab/>
        <w:t>(a)</w:t>
      </w:r>
      <w:r>
        <w:tab/>
        <w:t>damages are to be assessed by a master unless the Court orders otherwise; and</w:t>
      </w:r>
    </w:p>
    <w:p w:rsidR="00425758" w:rsidRDefault="00425758">
      <w:pPr>
        <w:pStyle w:val="Indenta"/>
      </w:pPr>
      <w:r>
        <w:tab/>
        <w:t>(b)</w:t>
      </w:r>
      <w:r>
        <w:tab/>
        <w:t>judgment after the assessment of damages is to be entered as a default judgment under this rule; and</w:t>
      </w:r>
    </w:p>
    <w:p w:rsidR="00425758" w:rsidRDefault="00425758">
      <w:pPr>
        <w:pStyle w:val="Indenta"/>
      </w:pPr>
      <w:r>
        <w:tab/>
        <w:t>(c)</w:t>
      </w:r>
      <w:r>
        <w:tab/>
        <w:t>the plaintiff may issue execution on the judgment.</w:t>
      </w:r>
    </w:p>
    <w:p w:rsidR="00425758" w:rsidRDefault="00425758">
      <w:pPr>
        <w:pStyle w:val="Footnotesection"/>
      </w:pPr>
      <w:r>
        <w:tab/>
        <w:t>[Rule 3 inserted: Gazette 16 Nov 2016 p. 5190</w:t>
      </w:r>
      <w:r>
        <w:noBreakHyphen/>
        <w:t>1.]</w:t>
      </w:r>
    </w:p>
    <w:p w:rsidR="00425758" w:rsidRDefault="00425758">
      <w:pPr>
        <w:pStyle w:val="Heading5"/>
      </w:pPr>
      <w:bookmarkStart w:id="201" w:name="_Toc75862891"/>
      <w:r>
        <w:rPr>
          <w:rStyle w:val="CharSectno"/>
        </w:rPr>
        <w:t>4</w:t>
      </w:r>
      <w:r>
        <w:t>.</w:t>
      </w:r>
      <w:r>
        <w:tab/>
        <w:t>Claim relating to detention of goods (excluding mortgage actions)</w:t>
      </w:r>
      <w:bookmarkEnd w:id="201"/>
    </w:p>
    <w:p w:rsidR="00425758" w:rsidRDefault="00425758">
      <w:pPr>
        <w:pStyle w:val="Subsection"/>
        <w:keepNext/>
      </w:pPr>
      <w:r>
        <w:tab/>
        <w:t>(1)</w:t>
      </w:r>
      <w:r>
        <w:tab/>
        <w:t xml:space="preserve">If the writ is indorsed with a claim relating to the detention of goods only and is not a mortgage action, then, if a defendant </w:t>
      </w:r>
      <w:r>
        <w:lastRenderedPageBreak/>
        <w:t xml:space="preserve">fails to enter an appearance within the time limited for appearing, the plaintiff may — </w:t>
      </w:r>
    </w:p>
    <w:p w:rsidR="00425758" w:rsidRDefault="00425758">
      <w:pPr>
        <w:pStyle w:val="Indenta"/>
      </w:pPr>
      <w:r>
        <w:tab/>
        <w:t>(a)</w:t>
      </w:r>
      <w:r>
        <w:tab/>
        <w:t>at the plaintif</w:t>
      </w:r>
      <w:r>
        <w:rPr>
          <w:spacing w:val="20"/>
        </w:rPr>
        <w:t>f</w:t>
      </w:r>
      <w:r>
        <w:t xml:space="preserve">’s option, enter judgment against the defendant either — </w:t>
      </w:r>
    </w:p>
    <w:p w:rsidR="00425758" w:rsidRDefault="00425758">
      <w:pPr>
        <w:pStyle w:val="Indenti"/>
      </w:pPr>
      <w:r>
        <w:tab/>
        <w:t>(i)</w:t>
      </w:r>
      <w:r>
        <w:tab/>
        <w:t>for the delivery of the goods or their value to be assessed and costs; or</w:t>
      </w:r>
    </w:p>
    <w:p w:rsidR="00425758" w:rsidRDefault="00425758">
      <w:pPr>
        <w:pStyle w:val="Indenti"/>
      </w:pPr>
      <w:r>
        <w:tab/>
        <w:t>(ii)</w:t>
      </w:r>
      <w:r>
        <w:tab/>
        <w:t>for the value of the goods to be assessed and costs;</w:t>
      </w:r>
    </w:p>
    <w:p w:rsidR="00425758" w:rsidRDefault="00425758">
      <w:pPr>
        <w:pStyle w:val="Indenta"/>
      </w:pPr>
      <w:r>
        <w:tab/>
      </w:r>
      <w:r>
        <w:tab/>
        <w:t>and</w:t>
      </w:r>
    </w:p>
    <w:p w:rsidR="00425758" w:rsidRDefault="00425758">
      <w:pPr>
        <w:pStyle w:val="Indenta"/>
      </w:pPr>
      <w:r>
        <w:tab/>
        <w:t>(b)</w:t>
      </w:r>
      <w:r>
        <w:tab/>
        <w:t>proceed with the action against the other defendants, if any, unless the defendants are sued in the alternative.</w:t>
      </w:r>
    </w:p>
    <w:p w:rsidR="00425758" w:rsidRDefault="00425758">
      <w:pPr>
        <w:pStyle w:val="Subsection"/>
      </w:pPr>
      <w:r>
        <w:tab/>
        <w:t>(2)</w:t>
      </w:r>
      <w:r>
        <w:tab/>
        <w:t>On a judgment under this rule —</w:t>
      </w:r>
    </w:p>
    <w:p w:rsidR="00425758" w:rsidRDefault="00425758">
      <w:pPr>
        <w:pStyle w:val="Indenta"/>
      </w:pPr>
      <w:r>
        <w:tab/>
        <w:t>(a)</w:t>
      </w:r>
      <w:r>
        <w:tab/>
        <w:t>the value of the goods is to be assessed by a master unless the Court orders otherwise; and</w:t>
      </w:r>
    </w:p>
    <w:p w:rsidR="00425758" w:rsidRDefault="00425758">
      <w:pPr>
        <w:pStyle w:val="Indenta"/>
      </w:pPr>
      <w:r>
        <w:tab/>
        <w:t>(b)</w:t>
      </w:r>
      <w:r>
        <w:tab/>
        <w:t>judgment after the assessment of the value of the goods is to be entered as a default judgment under this rule; and</w:t>
      </w:r>
    </w:p>
    <w:p w:rsidR="00425758" w:rsidRDefault="00425758">
      <w:pPr>
        <w:pStyle w:val="Indenta"/>
      </w:pPr>
      <w:r>
        <w:tab/>
        <w:t>(c)</w:t>
      </w:r>
      <w:r>
        <w:tab/>
        <w:t>the plaintiff may issue execution on the judgment, except as provided in subrule (3).</w:t>
      </w:r>
    </w:p>
    <w:p w:rsidR="00425758" w:rsidRDefault="00425758">
      <w:pPr>
        <w:pStyle w:val="Subsection"/>
      </w:pPr>
      <w:r>
        <w:tab/>
        <w:t>(3)</w:t>
      </w:r>
      <w:r>
        <w:tab/>
        <w:t>If the judgment is for the delivery of goods it cannot be enforced against any defendant unless judgment has been entered or obtained against all other defendants, if any.</w:t>
      </w:r>
    </w:p>
    <w:p w:rsidR="00425758" w:rsidRDefault="00425758">
      <w:pPr>
        <w:pStyle w:val="Footnotesection"/>
      </w:pPr>
      <w:r>
        <w:tab/>
        <w:t>[Rule 4 inserted: Gazette 16 Nov 2016 p. 5191</w:t>
      </w:r>
      <w:r>
        <w:noBreakHyphen/>
        <w:t>2.]</w:t>
      </w:r>
    </w:p>
    <w:p w:rsidR="00425758" w:rsidRDefault="00425758">
      <w:pPr>
        <w:pStyle w:val="Heading5"/>
      </w:pPr>
      <w:bookmarkStart w:id="202" w:name="_Toc75862892"/>
      <w:r>
        <w:rPr>
          <w:rStyle w:val="CharSectno"/>
        </w:rPr>
        <w:t>5</w:t>
      </w:r>
      <w:r>
        <w:t>.</w:t>
      </w:r>
      <w:r>
        <w:tab/>
        <w:t>Claim for possession of land (excluding mortgage actions)</w:t>
      </w:r>
      <w:bookmarkEnd w:id="202"/>
    </w:p>
    <w:p w:rsidR="00425758" w:rsidRDefault="00425758">
      <w:pPr>
        <w:pStyle w:val="Subsection"/>
      </w:pPr>
      <w:r>
        <w:tab/>
        <w:t>(1)</w:t>
      </w:r>
      <w:r>
        <w:tab/>
        <w:t xml:space="preserve">If the writ is indorsed with a claim for possession of land only, then, if a defendant fails to enter an appearance within the time limited for appearing, the plaintiff may, on complying with subrule (2) — </w:t>
      </w:r>
    </w:p>
    <w:p w:rsidR="00425758" w:rsidRDefault="00425758">
      <w:pPr>
        <w:pStyle w:val="Indenta"/>
      </w:pPr>
      <w:r>
        <w:tab/>
        <w:t>(a)</w:t>
      </w:r>
      <w:r>
        <w:tab/>
        <w:t>enter judgment for possession of the land against the defendant and costs; and</w:t>
      </w:r>
    </w:p>
    <w:p w:rsidR="00425758" w:rsidRDefault="00425758">
      <w:pPr>
        <w:pStyle w:val="Indenta"/>
      </w:pPr>
      <w:r>
        <w:lastRenderedPageBreak/>
        <w:tab/>
        <w:t>(b)</w:t>
      </w:r>
      <w:r>
        <w:tab/>
        <w:t>proceed with the action against the other defendants, if any.</w:t>
      </w:r>
    </w:p>
    <w:p w:rsidR="00425758" w:rsidRDefault="00425758">
      <w:pPr>
        <w:pStyle w:val="Subsection"/>
      </w:pPr>
      <w:r>
        <w:tab/>
        <w:t>(2)</w:t>
      </w:r>
      <w:r>
        <w:tab/>
        <w:t>In order to enter judgment under this rule, the plaintiff must file a certificate from the plaintif</w:t>
      </w:r>
      <w:r>
        <w:rPr>
          <w:spacing w:val="20"/>
        </w:rPr>
        <w:t>f</w:t>
      </w:r>
      <w:r>
        <w:t>’s solicitor or, if suing in person, an affidavit stating that the plaintiff is not claiming relief of any of the kinds referred to in Order 4AA rule 2(1).</w:t>
      </w:r>
    </w:p>
    <w:p w:rsidR="00425758" w:rsidRDefault="00425758">
      <w:pPr>
        <w:pStyle w:val="Subsection"/>
      </w:pPr>
      <w:r>
        <w:tab/>
        <w:t>(3)</w:t>
      </w:r>
      <w:r>
        <w:tab/>
        <w:t>On a judgment under this rule, the plaintiff may issue execution of the judgment, except as provided in subrule (4).</w:t>
      </w:r>
    </w:p>
    <w:p w:rsidR="00425758" w:rsidRDefault="00425758">
      <w:pPr>
        <w:pStyle w:val="Subsection"/>
      </w:pPr>
      <w:r>
        <w:tab/>
        <w:t>(4)</w:t>
      </w:r>
      <w:r>
        <w:tab/>
        <w:t>If there is more than one defendant, judgment entered under this rule cannot be enforced against any defendant unless judgment has been entered or obtained against all the defendants.</w:t>
      </w:r>
    </w:p>
    <w:p w:rsidR="00425758" w:rsidRDefault="00425758">
      <w:pPr>
        <w:pStyle w:val="Footnotesection"/>
      </w:pPr>
      <w:r>
        <w:tab/>
        <w:t>[Rule 5 inserted: Gazette 16 Nov 2016 p. 5192.]</w:t>
      </w:r>
    </w:p>
    <w:p w:rsidR="00425758" w:rsidRDefault="00425758">
      <w:pPr>
        <w:pStyle w:val="Heading5"/>
      </w:pPr>
      <w:bookmarkStart w:id="203" w:name="_Toc75862893"/>
      <w:r>
        <w:rPr>
          <w:rStyle w:val="CharSectno"/>
        </w:rPr>
        <w:t>6</w:t>
      </w:r>
      <w:r>
        <w:t>.</w:t>
      </w:r>
      <w:r>
        <w:tab/>
        <w:t>Mortgage actions</w:t>
      </w:r>
      <w:bookmarkEnd w:id="203"/>
    </w:p>
    <w:p w:rsidR="00425758" w:rsidRDefault="00425758">
      <w:pPr>
        <w:pStyle w:val="Subsection"/>
      </w:pPr>
      <w:r>
        <w:tab/>
        <w:t>(1)</w:t>
      </w:r>
      <w:r>
        <w:tab/>
        <w:t xml:space="preserve">If an action begun by writ is a mortgage action, then, if a defendant fails to enter an appearance within the time limited for appearing, the plaintiff may, subject to subrules (2) and (3) — </w:t>
      </w:r>
    </w:p>
    <w:p w:rsidR="00425758" w:rsidRDefault="00425758">
      <w:pPr>
        <w:pStyle w:val="Indenta"/>
      </w:pPr>
      <w:r>
        <w:tab/>
        <w:t>(a)</w:t>
      </w:r>
      <w:r>
        <w:tab/>
        <w:t>enter judgment against the defendant for the relief sought and costs; and</w:t>
      </w:r>
    </w:p>
    <w:p w:rsidR="00425758" w:rsidRDefault="00425758">
      <w:pPr>
        <w:pStyle w:val="Indenta"/>
      </w:pPr>
      <w:r>
        <w:tab/>
        <w:t>(b)</w:t>
      </w:r>
      <w:r>
        <w:tab/>
        <w:t>proceed with the action against the other defendants, if any, unless the defendants are sued in the alternative.</w:t>
      </w:r>
    </w:p>
    <w:p w:rsidR="00425758" w:rsidRDefault="00425758">
      <w:pPr>
        <w:pStyle w:val="Subsection"/>
      </w:pPr>
      <w:r>
        <w:tab/>
        <w:t>(2)</w:t>
      </w:r>
      <w:r>
        <w:tab/>
        <w:t xml:space="preserve">If the writ is indorsed with a claim for relief of a kind referred to in Order 4AA rule 2(1)(a), (b) or (c), in order to enter judgment under this rule, the plaintiff must, after the time limited for appearing has expired — </w:t>
      </w:r>
    </w:p>
    <w:p w:rsidR="00425758" w:rsidRDefault="00425758">
      <w:pPr>
        <w:pStyle w:val="Indenta"/>
      </w:pPr>
      <w:r>
        <w:tab/>
        <w:t>(a)</w:t>
      </w:r>
      <w:r>
        <w:tab/>
        <w:t>serve on the defendant a notice in Form 36A with a copy of the writ and Form 4 attached to it; and</w:t>
      </w:r>
    </w:p>
    <w:p w:rsidR="00425758" w:rsidRDefault="00425758">
      <w:pPr>
        <w:pStyle w:val="Indenta"/>
      </w:pPr>
      <w:r>
        <w:tab/>
        <w:t>(b)</w:t>
      </w:r>
      <w:r>
        <w:tab/>
        <w:t xml:space="preserve">not less than 11 days after serving the notice, file but need not serve — </w:t>
      </w:r>
    </w:p>
    <w:p w:rsidR="00425758" w:rsidRDefault="00425758">
      <w:pPr>
        <w:pStyle w:val="Indenti"/>
      </w:pPr>
      <w:r>
        <w:tab/>
        <w:t>(i)</w:t>
      </w:r>
      <w:r>
        <w:tab/>
        <w:t>a request to enter default judgment in Form 36B; and</w:t>
      </w:r>
    </w:p>
    <w:p w:rsidR="00425758" w:rsidRDefault="00425758">
      <w:pPr>
        <w:pStyle w:val="Indenti"/>
      </w:pPr>
      <w:r>
        <w:lastRenderedPageBreak/>
        <w:tab/>
        <w:t>(ii)</w:t>
      </w:r>
      <w:r>
        <w:tab/>
        <w:t>an affidavit in support that complies with rule 7.</w:t>
      </w:r>
    </w:p>
    <w:p w:rsidR="00425758" w:rsidRDefault="00425758">
      <w:pPr>
        <w:pStyle w:val="Subsection"/>
      </w:pPr>
      <w:r>
        <w:tab/>
        <w:t>(3)</w:t>
      </w:r>
      <w:r>
        <w:tab/>
        <w:t xml:space="preserve">If, in addition to a claim for relief of a kind referred to in Order 4AA rule 2(1)(a), (b) or (c), the writ is also indorsed with a claim for payment of money secured by the mortgage, the Form 36B request to enter default judgment must certify — </w:t>
      </w:r>
    </w:p>
    <w:p w:rsidR="00425758" w:rsidRDefault="00425758">
      <w:pPr>
        <w:pStyle w:val="Indenta"/>
      </w:pPr>
      <w:r>
        <w:tab/>
        <w:t>(a)</w:t>
      </w:r>
      <w:r>
        <w:tab/>
        <w:t>the amount owing to the plaintiff under the mortgage as at the date of the filing of the request; and</w:t>
      </w:r>
    </w:p>
    <w:p w:rsidR="00425758" w:rsidRDefault="00425758">
      <w:pPr>
        <w:pStyle w:val="Indenta"/>
      </w:pPr>
      <w:r>
        <w:tab/>
        <w:t>(b)</w:t>
      </w:r>
      <w:r>
        <w:tab/>
        <w:t>if the claims include a claim for interest after judgment, the amount of a day’s interest.</w:t>
      </w:r>
    </w:p>
    <w:p w:rsidR="00425758" w:rsidRDefault="00425758">
      <w:pPr>
        <w:pStyle w:val="Subsection"/>
      </w:pPr>
      <w:r>
        <w:tab/>
        <w:t>(4)</w:t>
      </w:r>
      <w:r>
        <w:tab/>
        <w:t>On a judgment under this rule, the plaintiff may issue execution on the judgment, except as provided in subrule (5).</w:t>
      </w:r>
    </w:p>
    <w:p w:rsidR="00425758" w:rsidRDefault="00425758">
      <w:pPr>
        <w:pStyle w:val="Subsection"/>
      </w:pPr>
      <w:r>
        <w:tab/>
        <w:t>(5)</w:t>
      </w:r>
      <w:r>
        <w:tab/>
        <w:t>If there is more than one defendant, judgment entered under this rule cannot be enforced against any defendant unless judgment has been entered or obtained against all the defendants.</w:t>
      </w:r>
    </w:p>
    <w:p w:rsidR="00425758" w:rsidRDefault="00425758">
      <w:pPr>
        <w:pStyle w:val="Subsection"/>
      </w:pPr>
      <w:r>
        <w:tab/>
        <w:t>(6)</w:t>
      </w:r>
      <w:r>
        <w:tab/>
        <w:t>Unless the Court orders otherwise, if judgment against a defendant under this rule is for the kind of relief referred to in Order 4AA rule 2(1)(a), within 28 days after service of the judgment the defendant must give the plaintiff possession of the mortgaged property.</w:t>
      </w:r>
    </w:p>
    <w:p w:rsidR="00425758" w:rsidRDefault="00425758">
      <w:pPr>
        <w:pStyle w:val="Footnotesection"/>
      </w:pPr>
      <w:r>
        <w:tab/>
        <w:t>[Rule 6 inserted: Gazette 16 Nov 2016 p. 5192</w:t>
      </w:r>
      <w:r>
        <w:noBreakHyphen/>
        <w:t>4.]</w:t>
      </w:r>
    </w:p>
    <w:p w:rsidR="00425758" w:rsidRDefault="00425758">
      <w:pPr>
        <w:pStyle w:val="Heading5"/>
      </w:pPr>
      <w:bookmarkStart w:id="204" w:name="_Toc75862894"/>
      <w:r>
        <w:rPr>
          <w:rStyle w:val="CharSectno"/>
        </w:rPr>
        <w:t>7</w:t>
      </w:r>
      <w:r>
        <w:t>.</w:t>
      </w:r>
      <w:r>
        <w:tab/>
        <w:t>Content of affidavit required by r. 6(2)(b)(ii)</w:t>
      </w:r>
      <w:bookmarkEnd w:id="204"/>
    </w:p>
    <w:p w:rsidR="00425758" w:rsidRDefault="00425758">
      <w:pPr>
        <w:pStyle w:val="Subsection"/>
      </w:pPr>
      <w:r>
        <w:tab/>
        <w:t>(1)</w:t>
      </w:r>
      <w:r>
        <w:tab/>
        <w:t xml:space="preserve">In this rule — </w:t>
      </w:r>
    </w:p>
    <w:p w:rsidR="00425758" w:rsidRDefault="00425758">
      <w:pPr>
        <w:pStyle w:val="Defstart"/>
      </w:pPr>
      <w:r>
        <w:tab/>
      </w:r>
      <w:r>
        <w:rPr>
          <w:rStyle w:val="CharDefText"/>
        </w:rPr>
        <w:t>mortgage</w:t>
      </w:r>
      <w:r>
        <w:t xml:space="preserve">, </w:t>
      </w:r>
      <w:r>
        <w:rPr>
          <w:rStyle w:val="CharDefText"/>
        </w:rPr>
        <w:t>mortgagee</w:t>
      </w:r>
      <w:r>
        <w:t xml:space="preserve"> and </w:t>
      </w:r>
      <w:r>
        <w:rPr>
          <w:rStyle w:val="CharDefText"/>
        </w:rPr>
        <w:t>mortgagor</w:t>
      </w:r>
      <w:r>
        <w:t xml:space="preserve"> have the meanings given in Order 4AA rule 1.</w:t>
      </w:r>
    </w:p>
    <w:p w:rsidR="00425758" w:rsidRDefault="00425758">
      <w:pPr>
        <w:pStyle w:val="Subsection"/>
      </w:pPr>
      <w:r>
        <w:tab/>
        <w:t>(2)</w:t>
      </w:r>
      <w:r>
        <w:tab/>
        <w:t xml:space="preserve">An affidavit in support filed under rule 6(2)(b)(ii) must — </w:t>
      </w:r>
    </w:p>
    <w:p w:rsidR="00425758" w:rsidRDefault="00425758">
      <w:pPr>
        <w:pStyle w:val="Indenta"/>
      </w:pPr>
      <w:r>
        <w:tab/>
        <w:t>(a)</w:t>
      </w:r>
      <w:r>
        <w:tab/>
        <w:t>specify the property that is mortgaged; and</w:t>
      </w:r>
    </w:p>
    <w:p w:rsidR="00425758" w:rsidRDefault="00425758">
      <w:pPr>
        <w:pStyle w:val="Indenta"/>
      </w:pPr>
      <w:r>
        <w:tab/>
        <w:t>(b)</w:t>
      </w:r>
      <w:r>
        <w:tab/>
        <w:t>specify the person who is the proprietor of the mortgaged property; and</w:t>
      </w:r>
    </w:p>
    <w:p w:rsidR="00425758" w:rsidRDefault="00425758">
      <w:pPr>
        <w:pStyle w:val="Indenta"/>
      </w:pPr>
      <w:r>
        <w:tab/>
        <w:t>(c)</w:t>
      </w:r>
      <w:r>
        <w:tab/>
        <w:t xml:space="preserve">have attached to it a copy of — </w:t>
      </w:r>
    </w:p>
    <w:p w:rsidR="00425758" w:rsidRDefault="00425758">
      <w:pPr>
        <w:pStyle w:val="Indenti"/>
      </w:pPr>
      <w:r>
        <w:lastRenderedPageBreak/>
        <w:tab/>
        <w:t>(i)</w:t>
      </w:r>
      <w:r>
        <w:tab/>
        <w:t>the certificate of title or other document that is evidence of title to the mortgaged property; and</w:t>
      </w:r>
    </w:p>
    <w:p w:rsidR="00425758" w:rsidRDefault="00425758">
      <w:pPr>
        <w:pStyle w:val="Indenti"/>
      </w:pPr>
      <w:r>
        <w:tab/>
        <w:t>(ii)</w:t>
      </w:r>
      <w:r>
        <w:tab/>
        <w:t>the mortgage;</w:t>
      </w:r>
    </w:p>
    <w:p w:rsidR="00425758" w:rsidRDefault="00425758">
      <w:pPr>
        <w:pStyle w:val="Indenta"/>
      </w:pPr>
      <w:r>
        <w:tab/>
      </w:r>
      <w:r>
        <w:tab/>
        <w:t>and</w:t>
      </w:r>
    </w:p>
    <w:p w:rsidR="00425758" w:rsidRDefault="00425758">
      <w:pPr>
        <w:pStyle w:val="Indenta"/>
      </w:pPr>
      <w:r>
        <w:tab/>
        <w:t>(d)</w:t>
      </w:r>
      <w:r>
        <w:tab/>
        <w:t xml:space="preserve">give particulars of the default or other circumstances that are put forward as entitling the plaintiff to the relief sought, including — </w:t>
      </w:r>
    </w:p>
    <w:p w:rsidR="00425758" w:rsidRDefault="00425758">
      <w:pPr>
        <w:pStyle w:val="Indenti"/>
      </w:pPr>
      <w:r>
        <w:tab/>
        <w:t>(i)</w:t>
      </w:r>
      <w:r>
        <w:tab/>
        <w:t>a reference to the provision of the mortgage that the defendant is alleged to have breached; and</w:t>
      </w:r>
    </w:p>
    <w:p w:rsidR="00425758" w:rsidRDefault="00425758">
      <w:pPr>
        <w:pStyle w:val="Indenti"/>
      </w:pPr>
      <w:r>
        <w:tab/>
        <w:t>(ii)</w:t>
      </w:r>
      <w:r>
        <w:tab/>
        <w:t>a reference to the provision of the mortgage that entitles the plaintiff to the relief sought; and</w:t>
      </w:r>
    </w:p>
    <w:p w:rsidR="00425758" w:rsidRDefault="00425758">
      <w:pPr>
        <w:pStyle w:val="Indenti"/>
      </w:pPr>
      <w:r>
        <w:tab/>
        <w:t>(iii)</w:t>
      </w:r>
      <w:r>
        <w:tab/>
        <w:t>if the writ is indorsed with a claim for payment of money secured by the mortgage, a reference to any non</w:t>
      </w:r>
      <w:r>
        <w:noBreakHyphen/>
        <w:t>merger provision of the mortgage that allows the recovery of interest at mortgage rates after judgment; and</w:t>
      </w:r>
    </w:p>
    <w:p w:rsidR="00425758" w:rsidRDefault="00425758">
      <w:pPr>
        <w:pStyle w:val="Indenti"/>
      </w:pPr>
      <w:r>
        <w:tab/>
        <w:t>(iv)</w:t>
      </w:r>
      <w:r>
        <w:tab/>
        <w:t>a statement as to whether or not notice of that default or those circumstances is required to be given to the defendant under the mortgage or a written law; and</w:t>
      </w:r>
    </w:p>
    <w:p w:rsidR="00425758" w:rsidRDefault="00425758">
      <w:pPr>
        <w:pStyle w:val="Indenti"/>
      </w:pPr>
      <w:r>
        <w:tab/>
        <w:t>(v)</w:t>
      </w:r>
      <w:r>
        <w:tab/>
        <w:t>if notice is required, details of compliance with that requirement;</w:t>
      </w:r>
    </w:p>
    <w:p w:rsidR="00425758" w:rsidRDefault="00425758">
      <w:pPr>
        <w:pStyle w:val="Indenta"/>
      </w:pPr>
      <w:r>
        <w:tab/>
      </w:r>
      <w:r>
        <w:tab/>
        <w:t>and</w:t>
      </w:r>
    </w:p>
    <w:p w:rsidR="00425758" w:rsidRDefault="00425758">
      <w:pPr>
        <w:pStyle w:val="Indenta"/>
      </w:pPr>
      <w:r>
        <w:tab/>
        <w:t>(e)</w:t>
      </w:r>
      <w:r>
        <w:tab/>
        <w:t xml:space="preserve">if the claim against the defendant is for sale or possession of mortgaged property — </w:t>
      </w:r>
    </w:p>
    <w:p w:rsidR="00425758" w:rsidRDefault="00425758">
      <w:pPr>
        <w:pStyle w:val="Indenti"/>
      </w:pPr>
      <w:r>
        <w:tab/>
        <w:t>(i)</w:t>
      </w:r>
      <w:r>
        <w:tab/>
        <w:t>state that Order 4AA rule 3(2) and Order 13 rule 6(2)(a) have been complied with; and</w:t>
      </w:r>
    </w:p>
    <w:p w:rsidR="00425758" w:rsidRDefault="00425758">
      <w:pPr>
        <w:pStyle w:val="Indenti"/>
        <w:keepLines/>
      </w:pPr>
      <w:r>
        <w:tab/>
        <w:t>(ii)</w:t>
      </w:r>
      <w:r>
        <w:tab/>
        <w:t>give details of every person who, to the best of the plaintif</w:t>
      </w:r>
      <w:r>
        <w:rPr>
          <w:spacing w:val="20"/>
        </w:rPr>
        <w:t>f</w:t>
      </w:r>
      <w:r>
        <w:t>’s knowledge, is in possession of the property and the grounds for concluding that the person is in possession; and</w:t>
      </w:r>
    </w:p>
    <w:p w:rsidR="00425758" w:rsidRDefault="00425758">
      <w:pPr>
        <w:pStyle w:val="Indenti"/>
      </w:pPr>
      <w:r>
        <w:tab/>
        <w:t>(iii)</w:t>
      </w:r>
      <w:r>
        <w:tab/>
        <w:t xml:space="preserve">if one or more of the people who are in possession of the property are tenants of the </w:t>
      </w:r>
      <w:r>
        <w:lastRenderedPageBreak/>
        <w:t xml:space="preserve">property, give details of the steps taken by the plaintiff to comply with any applicable requirements of the </w:t>
      </w:r>
      <w:r>
        <w:rPr>
          <w:i/>
        </w:rPr>
        <w:t>Residential Tenancies Act 1987</w:t>
      </w:r>
      <w:r>
        <w:t>;</w:t>
      </w:r>
    </w:p>
    <w:p w:rsidR="00425758" w:rsidRDefault="00425758">
      <w:pPr>
        <w:pStyle w:val="Indenta"/>
      </w:pPr>
      <w:r>
        <w:tab/>
      </w:r>
      <w:r>
        <w:tab/>
        <w:t>and</w:t>
      </w:r>
    </w:p>
    <w:p w:rsidR="00425758" w:rsidRDefault="00425758">
      <w:pPr>
        <w:pStyle w:val="Indenta"/>
      </w:pPr>
      <w:r>
        <w:tab/>
        <w:t>(f)</w:t>
      </w:r>
      <w:r>
        <w:tab/>
        <w:t xml:space="preserve">specify the following as at the date of the affidavit — </w:t>
      </w:r>
    </w:p>
    <w:p w:rsidR="00425758" w:rsidRDefault="00425758">
      <w:pPr>
        <w:pStyle w:val="Indenti"/>
      </w:pPr>
      <w:r>
        <w:tab/>
        <w:t>(i)</w:t>
      </w:r>
      <w:r>
        <w:tab/>
        <w:t>the amount owing to the plaintiff under the mortgage;</w:t>
      </w:r>
    </w:p>
    <w:p w:rsidR="00425758" w:rsidRDefault="00425758">
      <w:pPr>
        <w:pStyle w:val="Indenti"/>
      </w:pPr>
      <w:r>
        <w:tab/>
        <w:t>(ii)</w:t>
      </w:r>
      <w:r>
        <w:tab/>
        <w:t>the interest rate (as a percentage) under the mortgage;</w:t>
      </w:r>
    </w:p>
    <w:p w:rsidR="00425758" w:rsidRDefault="00425758">
      <w:pPr>
        <w:pStyle w:val="Indenti"/>
      </w:pPr>
      <w:r>
        <w:tab/>
        <w:t>(iii)</w:t>
      </w:r>
      <w:r>
        <w:tab/>
        <w:t>if the claim includes a claim for interest to judgment, the amount of a day’s interest;</w:t>
      </w:r>
    </w:p>
    <w:p w:rsidR="00425758" w:rsidRDefault="00425758">
      <w:pPr>
        <w:pStyle w:val="Indenta"/>
      </w:pPr>
      <w:r>
        <w:tab/>
      </w:r>
      <w:r>
        <w:tab/>
        <w:t>and</w:t>
      </w:r>
    </w:p>
    <w:p w:rsidR="00425758" w:rsidRDefault="00425758">
      <w:pPr>
        <w:pStyle w:val="Indenta"/>
      </w:pPr>
      <w:r>
        <w:tab/>
        <w:t>(g)</w:t>
      </w:r>
      <w:r>
        <w:tab/>
        <w:t>if the plaintiff is claiming costs (other than an order that the defendant pay the plaintif</w:t>
      </w:r>
      <w:r>
        <w:rPr>
          <w:spacing w:val="20"/>
        </w:rPr>
        <w:t>f</w:t>
      </w:r>
      <w:r>
        <w:t>’s costs to be taxed if not agreed), state the basis on which the plaintiff claims those costs.</w:t>
      </w:r>
    </w:p>
    <w:p w:rsidR="00425758" w:rsidRDefault="00425758">
      <w:pPr>
        <w:pStyle w:val="PermNoteHeading"/>
      </w:pPr>
      <w:r>
        <w:tab/>
        <w:t>Example for this subrule:</w:t>
      </w:r>
    </w:p>
    <w:p w:rsidR="00425758" w:rsidRDefault="00425758">
      <w:pPr>
        <w:pStyle w:val="PermNoteText"/>
      </w:pPr>
      <w:r>
        <w:tab/>
      </w:r>
      <w:r>
        <w:tab/>
        <w:t>A claim for indemnity costs must refer to the provision in the mortgage that entitles the plaintiff to those costs.</w:t>
      </w:r>
    </w:p>
    <w:p w:rsidR="00425758" w:rsidRDefault="00425758">
      <w:pPr>
        <w:pStyle w:val="Subsection"/>
      </w:pPr>
      <w:r>
        <w:tab/>
        <w:t>(3)</w:t>
      </w:r>
      <w:r>
        <w:tab/>
        <w:t>More than one affidavit may be used to comply with rule 6(2)(b)(ii) and this rule.</w:t>
      </w:r>
    </w:p>
    <w:p w:rsidR="00425758" w:rsidRDefault="00425758">
      <w:pPr>
        <w:pStyle w:val="Footnotesection"/>
      </w:pPr>
      <w:r>
        <w:tab/>
        <w:t>[Rule 7 inserted: Gazette 16 Nov 2016 p. 5194</w:t>
      </w:r>
      <w:r>
        <w:noBreakHyphen/>
        <w:t>6.]</w:t>
      </w:r>
    </w:p>
    <w:p w:rsidR="00425758" w:rsidRDefault="00425758">
      <w:pPr>
        <w:pStyle w:val="Heading5"/>
      </w:pPr>
      <w:bookmarkStart w:id="205" w:name="_Toc75862895"/>
      <w:r>
        <w:rPr>
          <w:rStyle w:val="CharSectno"/>
        </w:rPr>
        <w:t>8</w:t>
      </w:r>
      <w:r>
        <w:t>.</w:t>
      </w:r>
      <w:r>
        <w:tab/>
        <w:t>Writs for 2 or more claims to which r. 2 to 6 apply</w:t>
      </w:r>
      <w:bookmarkEnd w:id="205"/>
    </w:p>
    <w:p w:rsidR="00425758" w:rsidRDefault="00425758">
      <w:pPr>
        <w:pStyle w:val="Subsection"/>
        <w:keepNext/>
      </w:pPr>
      <w:r>
        <w:tab/>
      </w:r>
      <w:r>
        <w:tab/>
        <w:t xml:space="preserve">If the writ is indorsed with 2 or more claims to which rules 2 to 6 apply, and no other claim, then, if a defendant fails to enter an appearance within the time limited for appearing, the plaintiff may — </w:t>
      </w:r>
    </w:p>
    <w:p w:rsidR="00425758" w:rsidRDefault="00425758">
      <w:pPr>
        <w:pStyle w:val="Indenta"/>
      </w:pPr>
      <w:r>
        <w:tab/>
        <w:t>(a)</w:t>
      </w:r>
      <w:r>
        <w:tab/>
        <w:t xml:space="preserve">enter against the defendant, in respect of any claim with which the writ is indorsed, whatever judgment the plaintiff would be entitled to enter under those rules as if </w:t>
      </w:r>
      <w:r>
        <w:lastRenderedPageBreak/>
        <w:t>that were the only claim made by the plaintiff against the defendant; and</w:t>
      </w:r>
    </w:p>
    <w:p w:rsidR="00425758" w:rsidRDefault="00425758">
      <w:pPr>
        <w:pStyle w:val="Indenta"/>
      </w:pPr>
      <w:r>
        <w:tab/>
        <w:t>(b)</w:t>
      </w:r>
      <w:r>
        <w:tab/>
        <w:t>proceed with the action against the other defendants, if any, unless those rules otherwise provide.</w:t>
      </w:r>
    </w:p>
    <w:p w:rsidR="00425758" w:rsidRDefault="00425758">
      <w:pPr>
        <w:pStyle w:val="Footnotesection"/>
      </w:pPr>
      <w:r>
        <w:tab/>
        <w:t>[Rule 8 inserted: Gazette 16 Nov 2016 p. 5196</w:t>
      </w:r>
      <w:r>
        <w:noBreakHyphen/>
        <w:t>7.]</w:t>
      </w:r>
    </w:p>
    <w:p w:rsidR="00425758" w:rsidRDefault="00425758">
      <w:pPr>
        <w:pStyle w:val="Heading5"/>
      </w:pPr>
      <w:bookmarkStart w:id="206" w:name="_Toc75862896"/>
      <w:r>
        <w:rPr>
          <w:rStyle w:val="CharSectno"/>
        </w:rPr>
        <w:t>9</w:t>
      </w:r>
      <w:r>
        <w:t>.</w:t>
      </w:r>
      <w:r>
        <w:tab/>
        <w:t>Writs for other claims</w:t>
      </w:r>
      <w:bookmarkEnd w:id="206"/>
    </w:p>
    <w:p w:rsidR="00425758" w:rsidRDefault="00425758">
      <w:pPr>
        <w:pStyle w:val="Subsection"/>
      </w:pPr>
      <w:r>
        <w:tab/>
        <w:t>(1)</w:t>
      </w:r>
      <w:r>
        <w:tab/>
        <w:t xml:space="preserve">If the writ is indorsed with a claim to which none of rules 2 to 6 apply, then, if a defendant fails to enter an appearance within the time limited for appearing, the plaintiff may, on complying with subrule (2) — </w:t>
      </w:r>
    </w:p>
    <w:p w:rsidR="00425758" w:rsidRDefault="00425758">
      <w:pPr>
        <w:pStyle w:val="Indenta"/>
      </w:pPr>
      <w:r>
        <w:tab/>
        <w:t>(a)</w:t>
      </w:r>
      <w:r>
        <w:tab/>
        <w:t>apply to the Court on motion for judgment against the defendant for the relief sought and costs; and</w:t>
      </w:r>
    </w:p>
    <w:p w:rsidR="00425758" w:rsidRDefault="00425758">
      <w:pPr>
        <w:pStyle w:val="Indenta"/>
      </w:pPr>
      <w:r>
        <w:tab/>
        <w:t>(b)</w:t>
      </w:r>
      <w:r>
        <w:tab/>
        <w:t>proceed with the action against the other defendants, if any, unless the defendants are sued in the alternative.</w:t>
      </w:r>
    </w:p>
    <w:p w:rsidR="00425758" w:rsidRDefault="00425758">
      <w:pPr>
        <w:pStyle w:val="Subsection"/>
      </w:pPr>
      <w:r>
        <w:tab/>
        <w:t>(2)</w:t>
      </w:r>
      <w:r>
        <w:tab/>
        <w:t xml:space="preserve">In order to enter judgment under this rule — </w:t>
      </w:r>
    </w:p>
    <w:p w:rsidR="00425758" w:rsidRDefault="00425758">
      <w:pPr>
        <w:pStyle w:val="Indenta"/>
      </w:pPr>
      <w:r>
        <w:tab/>
        <w:t>(a)</w:t>
      </w:r>
      <w:r>
        <w:tab/>
        <w:t>if the statement of claim was not indorsed on or served with the writ, the plaintiff must serve the statement of claim on the defendant; and</w:t>
      </w:r>
    </w:p>
    <w:p w:rsidR="00425758" w:rsidRDefault="00425758">
      <w:pPr>
        <w:pStyle w:val="Indenta"/>
      </w:pPr>
      <w:r>
        <w:tab/>
        <w:t>(b)</w:t>
      </w:r>
      <w:r>
        <w:tab/>
        <w:t>the plaintiff must produce a certificate issued by the proper officer on the day of the hearing stating that no appearance has been entered by the defendant against whom it is sought to enter judgment.</w:t>
      </w:r>
    </w:p>
    <w:p w:rsidR="00425758" w:rsidRDefault="00425758">
      <w:pPr>
        <w:pStyle w:val="Subsection"/>
      </w:pPr>
      <w:r>
        <w:tab/>
        <w:t>(3)</w:t>
      </w:r>
      <w:r>
        <w:tab/>
        <w:t>On a judgment under this rule, the plaintiff may issue execution on the judgment, except as provided in subrule (4).</w:t>
      </w:r>
    </w:p>
    <w:p w:rsidR="00425758" w:rsidRDefault="00425758">
      <w:pPr>
        <w:pStyle w:val="Subsection"/>
        <w:keepNext/>
      </w:pPr>
      <w:r>
        <w:tab/>
        <w:t>(4)</w:t>
      </w:r>
      <w:r>
        <w:tab/>
        <w:t>If there is more than one defendant, judgment entered under this rule cannot be enforced against any defendant without leave of the Court.</w:t>
      </w:r>
    </w:p>
    <w:p w:rsidR="00425758" w:rsidRDefault="00425758">
      <w:pPr>
        <w:pStyle w:val="Footnotesection"/>
      </w:pPr>
      <w:r>
        <w:tab/>
        <w:t>[Rule 9 inserted: Gazette 16 Nov 2016 p. 5197.]</w:t>
      </w:r>
    </w:p>
    <w:p w:rsidR="00425758" w:rsidRDefault="00425758">
      <w:pPr>
        <w:pStyle w:val="Heading5"/>
      </w:pPr>
      <w:bookmarkStart w:id="207" w:name="_Toc75862897"/>
      <w:r>
        <w:rPr>
          <w:rStyle w:val="CharSectno"/>
        </w:rPr>
        <w:t>10</w:t>
      </w:r>
      <w:r>
        <w:t>.</w:t>
      </w:r>
      <w:r>
        <w:tab/>
        <w:t>Entry of judgment for costs only upon writs for other claims</w:t>
      </w:r>
      <w:bookmarkEnd w:id="207"/>
    </w:p>
    <w:p w:rsidR="00425758" w:rsidRDefault="00425758">
      <w:pPr>
        <w:pStyle w:val="Subsection"/>
      </w:pPr>
      <w:r>
        <w:tab/>
        <w:t>(1)</w:t>
      </w:r>
      <w:r>
        <w:tab/>
        <w:t xml:space="preserve">This rule applies if — </w:t>
      </w:r>
    </w:p>
    <w:p w:rsidR="00425758" w:rsidRDefault="00425758">
      <w:pPr>
        <w:pStyle w:val="Indenta"/>
      </w:pPr>
      <w:r>
        <w:lastRenderedPageBreak/>
        <w:tab/>
        <w:t>(a)</w:t>
      </w:r>
      <w:r>
        <w:tab/>
        <w:t>the writ is indorsed with a claim to which none of rules 2 to 6 apply; but</w:t>
      </w:r>
    </w:p>
    <w:p w:rsidR="00425758" w:rsidRDefault="00425758">
      <w:pPr>
        <w:pStyle w:val="Indenta"/>
      </w:pPr>
      <w:r>
        <w:tab/>
        <w:t>(b)</w:t>
      </w:r>
      <w:r>
        <w:tab/>
        <w:t xml:space="preserve">it has become unnecessary for the plaintiff to proceed with the action — </w:t>
      </w:r>
    </w:p>
    <w:p w:rsidR="00425758" w:rsidRDefault="00425758">
      <w:pPr>
        <w:pStyle w:val="Indenti"/>
      </w:pPr>
      <w:r>
        <w:tab/>
        <w:t>(i)</w:t>
      </w:r>
      <w:r>
        <w:tab/>
        <w:t>because the defendant has satisfied the claim or complied with the demands of the claim; or</w:t>
      </w:r>
    </w:p>
    <w:p w:rsidR="00425758" w:rsidRDefault="00425758">
      <w:pPr>
        <w:pStyle w:val="Indenti"/>
      </w:pPr>
      <w:r>
        <w:tab/>
        <w:t>(ii)</w:t>
      </w:r>
      <w:r>
        <w:tab/>
        <w:t>for any other similar reason.</w:t>
      </w:r>
    </w:p>
    <w:p w:rsidR="00425758" w:rsidRDefault="00425758">
      <w:pPr>
        <w:pStyle w:val="Subsection"/>
      </w:pPr>
      <w:r>
        <w:tab/>
        <w:t>(2)</w:t>
      </w:r>
      <w:r>
        <w:tab/>
        <w:t>If this rule applies, then, if the defendant fails to enter an appearance within the time limited for appearing, the plaintiff may, with the leave of the Court, enter judgment against the defendant for costs.</w:t>
      </w:r>
    </w:p>
    <w:p w:rsidR="00425758" w:rsidRDefault="00425758">
      <w:pPr>
        <w:pStyle w:val="Subsection"/>
      </w:pPr>
      <w:r>
        <w:tab/>
        <w:t>(3)</w:t>
      </w:r>
      <w:r>
        <w:tab/>
        <w:t>The application for the leave must be by summons.</w:t>
      </w:r>
    </w:p>
    <w:p w:rsidR="00425758" w:rsidRDefault="00425758">
      <w:pPr>
        <w:pStyle w:val="Subsection"/>
      </w:pPr>
      <w:r>
        <w:tab/>
        <w:t>(4)</w:t>
      </w:r>
      <w:r>
        <w:tab/>
        <w:t>Unless the Court orders otherwise, and regardless of Order 72 rule 8, the summons must be served on the defendant against whom it is sought to enter judgment.</w:t>
      </w:r>
    </w:p>
    <w:p w:rsidR="00425758" w:rsidRDefault="00425758">
      <w:pPr>
        <w:pStyle w:val="Footnotesection"/>
      </w:pPr>
      <w:r>
        <w:tab/>
        <w:t>[Rule 10 inserted: Gazette 16 Nov 2016 p. 5198.]</w:t>
      </w:r>
    </w:p>
    <w:p w:rsidR="00425758" w:rsidRDefault="00425758">
      <w:pPr>
        <w:pStyle w:val="Heading5"/>
      </w:pPr>
      <w:bookmarkStart w:id="208" w:name="_Toc75862898"/>
      <w:r>
        <w:rPr>
          <w:rStyle w:val="CharSectno"/>
        </w:rPr>
        <w:t>11</w:t>
      </w:r>
      <w:r>
        <w:t>.</w:t>
      </w:r>
      <w:r>
        <w:tab/>
        <w:t>Reference to Court in case of doubt or difficulty</w:t>
      </w:r>
      <w:bookmarkEnd w:id="208"/>
    </w:p>
    <w:p w:rsidR="00425758" w:rsidRDefault="00425758">
      <w:pPr>
        <w:pStyle w:val="Subsection"/>
      </w:pPr>
      <w:r>
        <w:tab/>
      </w:r>
      <w:r>
        <w:tab/>
        <w:t>In any case in which the plaintiff claims to be entitled under this Order to enter judgment in default of the defendant’s appearance, the Court may, if any doubt or difficulty arises in relation to that claim, direct that it be brought before the Court on motion or by summons.</w:t>
      </w:r>
    </w:p>
    <w:p w:rsidR="00425758" w:rsidRDefault="00425758">
      <w:pPr>
        <w:pStyle w:val="Footnotesection"/>
      </w:pPr>
      <w:r>
        <w:tab/>
        <w:t>[Rule 11 inserted: Gazette 16 Nov 2016 p. 5198.]</w:t>
      </w:r>
    </w:p>
    <w:p w:rsidR="00425758" w:rsidRDefault="00425758">
      <w:pPr>
        <w:pStyle w:val="Heading5"/>
      </w:pPr>
      <w:bookmarkStart w:id="209" w:name="_Toc75862899"/>
      <w:r>
        <w:rPr>
          <w:rStyle w:val="CharSectno"/>
        </w:rPr>
        <w:t>12</w:t>
      </w:r>
      <w:r>
        <w:t>.</w:t>
      </w:r>
      <w:r>
        <w:tab/>
        <w:t>Default judgment to inform defendant of certain matters</w:t>
      </w:r>
      <w:bookmarkEnd w:id="209"/>
    </w:p>
    <w:p w:rsidR="00425758" w:rsidRDefault="00425758">
      <w:pPr>
        <w:pStyle w:val="Subsection"/>
      </w:pPr>
      <w:r>
        <w:tab/>
      </w:r>
      <w:r>
        <w:tab/>
        <w:t xml:space="preserve">A default judgment must contain a statement informing the defendant of the defendant’s right — </w:t>
      </w:r>
    </w:p>
    <w:p w:rsidR="00425758" w:rsidRDefault="00425758">
      <w:pPr>
        <w:pStyle w:val="Indenta"/>
      </w:pPr>
      <w:r>
        <w:tab/>
        <w:t>(a)</w:t>
      </w:r>
      <w:r>
        <w:tab/>
        <w:t>to apply to have the default judgment set aside or varied; and</w:t>
      </w:r>
    </w:p>
    <w:p w:rsidR="00425758" w:rsidRDefault="00425758">
      <w:pPr>
        <w:pStyle w:val="Indenta"/>
      </w:pPr>
      <w:r>
        <w:tab/>
        <w:t>(b)</w:t>
      </w:r>
      <w:r>
        <w:tab/>
        <w:t xml:space="preserve">if applicable, to apply under the </w:t>
      </w:r>
      <w:r>
        <w:rPr>
          <w:i/>
        </w:rPr>
        <w:t>Civil Judgments Enforcement Act 2004</w:t>
      </w:r>
      <w:r>
        <w:t xml:space="preserve"> section 15 for an order </w:t>
      </w:r>
      <w:r>
        <w:lastRenderedPageBreak/>
        <w:t>suspending the enforcement of all or part of the default judgment.</w:t>
      </w:r>
    </w:p>
    <w:p w:rsidR="00425758" w:rsidRDefault="00425758">
      <w:pPr>
        <w:pStyle w:val="Footnotesection"/>
      </w:pPr>
      <w:r>
        <w:tab/>
        <w:t>[Rule 12 inserted: Gazette 16 Nov 2016 p. 5198</w:t>
      </w:r>
      <w:r>
        <w:noBreakHyphen/>
        <w:t>9.]</w:t>
      </w:r>
    </w:p>
    <w:p w:rsidR="00425758" w:rsidRDefault="00425758">
      <w:pPr>
        <w:pStyle w:val="Heading5"/>
      </w:pPr>
      <w:bookmarkStart w:id="210" w:name="_Toc75862900"/>
      <w:r>
        <w:rPr>
          <w:rStyle w:val="CharSectno"/>
        </w:rPr>
        <w:t>13</w:t>
      </w:r>
      <w:r>
        <w:t>.</w:t>
      </w:r>
      <w:r>
        <w:tab/>
        <w:t>Service of default judgment</w:t>
      </w:r>
      <w:bookmarkEnd w:id="210"/>
    </w:p>
    <w:p w:rsidR="00425758" w:rsidRDefault="00425758">
      <w:pPr>
        <w:pStyle w:val="Subsection"/>
      </w:pPr>
      <w:r>
        <w:tab/>
        <w:t>(1)</w:t>
      </w:r>
      <w:r>
        <w:tab/>
        <w:t>A plaintiff who obtains a default judgment must serve the judgment on the defendant as soon as practicable after the judgment is entered.</w:t>
      </w:r>
    </w:p>
    <w:p w:rsidR="00425758" w:rsidRDefault="00425758">
      <w:pPr>
        <w:pStyle w:val="Subsection"/>
      </w:pPr>
      <w:r>
        <w:tab/>
        <w:t>(2)</w:t>
      </w:r>
      <w:r>
        <w:tab/>
        <w:t>The defendant must be served personally with the default judgment.</w:t>
      </w:r>
    </w:p>
    <w:p w:rsidR="00425758" w:rsidRDefault="00425758">
      <w:pPr>
        <w:pStyle w:val="Footnotesection"/>
      </w:pPr>
      <w:r>
        <w:tab/>
        <w:t>[Rule 13 inserted: Gazette 16 Nov 2016 p. 5199.]</w:t>
      </w:r>
    </w:p>
    <w:p w:rsidR="00425758" w:rsidRDefault="00425758">
      <w:pPr>
        <w:pStyle w:val="Heading5"/>
      </w:pPr>
      <w:bookmarkStart w:id="211" w:name="_Toc75862901"/>
      <w:r>
        <w:rPr>
          <w:rStyle w:val="CharSectno"/>
        </w:rPr>
        <w:t>14</w:t>
      </w:r>
      <w:r>
        <w:t>.</w:t>
      </w:r>
      <w:r>
        <w:tab/>
        <w:t>Setting aside or varying default judgment</w:t>
      </w:r>
      <w:bookmarkEnd w:id="211"/>
    </w:p>
    <w:p w:rsidR="00425758" w:rsidRDefault="00425758">
      <w:pPr>
        <w:pStyle w:val="Subsection"/>
      </w:pPr>
      <w:r>
        <w:tab/>
      </w:r>
      <w:r>
        <w:tab/>
        <w:t>The Court may, on whatever terms it thinks just, set aside or vary any default judgment entered under this Order.</w:t>
      </w:r>
    </w:p>
    <w:p w:rsidR="00425758" w:rsidRDefault="00425758">
      <w:pPr>
        <w:pStyle w:val="Footnotesection"/>
      </w:pPr>
      <w:r>
        <w:tab/>
        <w:t>[Rule 14 inserted: Gazette 16 Nov 2016 p. 5199.]</w:t>
      </w:r>
    </w:p>
    <w:p w:rsidR="00425758" w:rsidRDefault="00425758">
      <w:pPr>
        <w:pStyle w:val="Heading2"/>
        <w:rPr>
          <w:b w:val="0"/>
        </w:rPr>
      </w:pPr>
      <w:bookmarkStart w:id="212" w:name="_Toc75511806"/>
      <w:bookmarkStart w:id="213" w:name="_Toc75862902"/>
      <w:r>
        <w:rPr>
          <w:rStyle w:val="CharPartNo"/>
        </w:rPr>
        <w:lastRenderedPageBreak/>
        <w:t>Order 14</w:t>
      </w:r>
      <w:r>
        <w:t> — </w:t>
      </w:r>
      <w:r>
        <w:rPr>
          <w:rStyle w:val="CharPartText"/>
        </w:rPr>
        <w:t>Summary judgment</w:t>
      </w:r>
      <w:bookmarkEnd w:id="212"/>
      <w:bookmarkEnd w:id="213"/>
    </w:p>
    <w:p w:rsidR="00425758" w:rsidRDefault="00425758">
      <w:pPr>
        <w:pStyle w:val="Heading5"/>
        <w:rPr>
          <w:snapToGrid w:val="0"/>
        </w:rPr>
      </w:pPr>
      <w:bookmarkStart w:id="214" w:name="_Toc75862903"/>
      <w:r>
        <w:rPr>
          <w:rStyle w:val="CharSectno"/>
        </w:rPr>
        <w:t>1</w:t>
      </w:r>
      <w:r>
        <w:rPr>
          <w:snapToGrid w:val="0"/>
        </w:rPr>
        <w:t>.</w:t>
      </w:r>
      <w:r>
        <w:rPr>
          <w:snapToGrid w:val="0"/>
        </w:rPr>
        <w:tab/>
        <w:t>When plaintiff may apply for summary judgment</w:t>
      </w:r>
      <w:bookmarkEnd w:id="214"/>
    </w:p>
    <w:p w:rsidR="00425758" w:rsidRDefault="00425758">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rsidR="00425758" w:rsidRDefault="00425758">
      <w:pPr>
        <w:pStyle w:val="Subsection"/>
        <w:rPr>
          <w:snapToGrid w:val="0"/>
        </w:rPr>
      </w:pPr>
      <w:r>
        <w:rPr>
          <w:snapToGrid w:val="0"/>
        </w:rPr>
        <w:tab/>
        <w:t>(2)</w:t>
      </w:r>
      <w:r>
        <w:rPr>
          <w:snapToGrid w:val="0"/>
        </w:rPr>
        <w:tab/>
        <w:t>This Order applies to every action begun by writ other than a probate or admiralty action.</w:t>
      </w:r>
    </w:p>
    <w:p w:rsidR="00425758" w:rsidRDefault="00425758">
      <w:pPr>
        <w:pStyle w:val="Footnotesection"/>
      </w:pPr>
      <w:r>
        <w:tab/>
        <w:t xml:space="preserve">[Rule 1 amended: Gazette 5 Jun 1992 p. 2279; 28 Oct 1996 p. 5675.] </w:t>
      </w:r>
    </w:p>
    <w:p w:rsidR="00425758" w:rsidRDefault="00425758">
      <w:pPr>
        <w:pStyle w:val="Heading5"/>
        <w:rPr>
          <w:snapToGrid w:val="0"/>
        </w:rPr>
      </w:pPr>
      <w:bookmarkStart w:id="215" w:name="_Toc75862904"/>
      <w:r>
        <w:rPr>
          <w:rStyle w:val="CharSectno"/>
        </w:rPr>
        <w:t>2</w:t>
      </w:r>
      <w:r>
        <w:rPr>
          <w:snapToGrid w:val="0"/>
        </w:rPr>
        <w:t>.</w:t>
      </w:r>
      <w:r>
        <w:rPr>
          <w:snapToGrid w:val="0"/>
        </w:rPr>
        <w:tab/>
        <w:t>Application under r. 1, how to make</w:t>
      </w:r>
      <w:bookmarkEnd w:id="215"/>
    </w:p>
    <w:p w:rsidR="00425758" w:rsidRDefault="00425758">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rsidR="00425758" w:rsidRDefault="00425758">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rsidR="00425758" w:rsidRDefault="00425758">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rsidR="00425758" w:rsidRDefault="00425758">
      <w:pPr>
        <w:pStyle w:val="Footnotesection"/>
      </w:pPr>
      <w:r>
        <w:tab/>
        <w:t xml:space="preserve">[Rule 2 amended: Gazette 3 Oct 1975 p. 3769.] </w:t>
      </w:r>
    </w:p>
    <w:p w:rsidR="00425758" w:rsidRDefault="00425758">
      <w:pPr>
        <w:pStyle w:val="Heading5"/>
        <w:rPr>
          <w:snapToGrid w:val="0"/>
        </w:rPr>
      </w:pPr>
      <w:bookmarkStart w:id="216" w:name="_Toc75862905"/>
      <w:r>
        <w:rPr>
          <w:rStyle w:val="CharSectno"/>
        </w:rPr>
        <w:lastRenderedPageBreak/>
        <w:t>3</w:t>
      </w:r>
      <w:r>
        <w:rPr>
          <w:snapToGrid w:val="0"/>
        </w:rPr>
        <w:t>.</w:t>
      </w:r>
      <w:r>
        <w:rPr>
          <w:snapToGrid w:val="0"/>
        </w:rPr>
        <w:tab/>
        <w:t>Judgment may be given for plaintiff</w:t>
      </w:r>
      <w:bookmarkEnd w:id="216"/>
    </w:p>
    <w:p w:rsidR="00425758" w:rsidRDefault="00425758">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rsidR="00425758" w:rsidRDefault="00425758">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rsidR="00425758" w:rsidRDefault="00425758">
      <w:pPr>
        <w:pStyle w:val="Heading5"/>
        <w:rPr>
          <w:snapToGrid w:val="0"/>
        </w:rPr>
      </w:pPr>
      <w:bookmarkStart w:id="217" w:name="_Toc75862906"/>
      <w:r>
        <w:rPr>
          <w:rStyle w:val="CharSectno"/>
        </w:rPr>
        <w:t>4</w:t>
      </w:r>
      <w:r>
        <w:rPr>
          <w:snapToGrid w:val="0"/>
        </w:rPr>
        <w:t>.</w:t>
      </w:r>
      <w:r>
        <w:rPr>
          <w:snapToGrid w:val="0"/>
        </w:rPr>
        <w:tab/>
        <w:t>Defendant may be given leave to defend</w:t>
      </w:r>
      <w:bookmarkEnd w:id="217"/>
    </w:p>
    <w:p w:rsidR="00425758" w:rsidRDefault="00425758">
      <w:pPr>
        <w:pStyle w:val="Subsection"/>
        <w:rPr>
          <w:snapToGrid w:val="0"/>
        </w:rPr>
      </w:pPr>
      <w:r>
        <w:rPr>
          <w:snapToGrid w:val="0"/>
        </w:rPr>
        <w:tab/>
        <w:t>(1)</w:t>
      </w:r>
      <w:r>
        <w:rPr>
          <w:snapToGrid w:val="0"/>
        </w:rPr>
        <w:tab/>
        <w:t>A defendant may show cause against an application under rule 1 by affidavit or otherwise to the satisfaction of the Court.</w:t>
      </w:r>
    </w:p>
    <w:p w:rsidR="00425758" w:rsidRDefault="00425758">
      <w:pPr>
        <w:pStyle w:val="Subsection"/>
        <w:rPr>
          <w:snapToGrid w:val="0"/>
        </w:rPr>
      </w:pPr>
      <w:r>
        <w:rPr>
          <w:snapToGrid w:val="0"/>
        </w:rPr>
        <w:tab/>
        <w:t>(2)</w:t>
      </w:r>
      <w:r>
        <w:rPr>
          <w:snapToGrid w:val="0"/>
        </w:rPr>
        <w:tab/>
        <w:t>Rule 2(2) applies mutatis mutandis for the purposes of this rule.</w:t>
      </w:r>
    </w:p>
    <w:p w:rsidR="00425758" w:rsidRDefault="00425758">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rsidR="00425758" w:rsidRDefault="00425758">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rsidR="00425758" w:rsidRDefault="00425758">
      <w:pPr>
        <w:pStyle w:val="Indenta"/>
        <w:rPr>
          <w:snapToGrid w:val="0"/>
        </w:rPr>
      </w:pPr>
      <w:r>
        <w:rPr>
          <w:snapToGrid w:val="0"/>
        </w:rPr>
        <w:tab/>
        <w:t>(a)</w:t>
      </w:r>
      <w:r>
        <w:rPr>
          <w:snapToGrid w:val="0"/>
        </w:rPr>
        <w:tab/>
        <w:t>to produce any document; or</w:t>
      </w:r>
    </w:p>
    <w:p w:rsidR="00425758" w:rsidRDefault="00425758">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rsidR="00425758" w:rsidRDefault="00425758">
      <w:pPr>
        <w:pStyle w:val="Ednotesection"/>
      </w:pPr>
      <w:r>
        <w:lastRenderedPageBreak/>
        <w:t>[</w:t>
      </w:r>
      <w:r>
        <w:rPr>
          <w:b/>
        </w:rPr>
        <w:t>5.</w:t>
      </w:r>
      <w:r>
        <w:rPr>
          <w:b/>
        </w:rPr>
        <w:tab/>
      </w:r>
      <w:r>
        <w:t xml:space="preserve">Deleted: Gazette 28 Oct 1996 p. 5675.] </w:t>
      </w:r>
    </w:p>
    <w:p w:rsidR="00425758" w:rsidRDefault="00425758">
      <w:pPr>
        <w:pStyle w:val="Heading5"/>
        <w:spacing w:before="260"/>
        <w:rPr>
          <w:snapToGrid w:val="0"/>
        </w:rPr>
      </w:pPr>
      <w:bookmarkStart w:id="218" w:name="_Toc75862907"/>
      <w:r>
        <w:rPr>
          <w:rStyle w:val="CharSectno"/>
        </w:rPr>
        <w:t>6</w:t>
      </w:r>
      <w:r>
        <w:rPr>
          <w:snapToGrid w:val="0"/>
        </w:rPr>
        <w:t>.</w:t>
      </w:r>
      <w:r>
        <w:rPr>
          <w:snapToGrid w:val="0"/>
        </w:rPr>
        <w:tab/>
        <w:t>Summary judgment on counterclaim</w:t>
      </w:r>
      <w:bookmarkEnd w:id="218"/>
    </w:p>
    <w:p w:rsidR="00425758" w:rsidRDefault="00425758">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rsidR="00425758" w:rsidRDefault="00425758">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rsidR="00425758" w:rsidRDefault="00425758">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rsidR="00425758" w:rsidRDefault="00425758">
      <w:pPr>
        <w:pStyle w:val="Indenta"/>
        <w:spacing w:before="100"/>
        <w:rPr>
          <w:snapToGrid w:val="0"/>
        </w:rPr>
      </w:pPr>
      <w:r>
        <w:rPr>
          <w:snapToGrid w:val="0"/>
        </w:rPr>
        <w:tab/>
        <w:t>(b)</w:t>
      </w:r>
      <w:r>
        <w:rPr>
          <w:snapToGrid w:val="0"/>
        </w:rPr>
        <w:tab/>
        <w:t>the words in rule 3(2) “any counterclaim made or raised by the defendant in” shall be omitted; and</w:t>
      </w:r>
    </w:p>
    <w:p w:rsidR="00425758" w:rsidRDefault="00425758">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rsidR="00425758" w:rsidRDefault="00425758">
      <w:pPr>
        <w:pStyle w:val="Subsection"/>
        <w:rPr>
          <w:snapToGrid w:val="0"/>
        </w:rPr>
      </w:pPr>
      <w:r>
        <w:rPr>
          <w:snapToGrid w:val="0"/>
        </w:rPr>
        <w:tab/>
        <w:t>(3)</w:t>
      </w:r>
      <w:r>
        <w:rPr>
          <w:snapToGrid w:val="0"/>
        </w:rPr>
        <w:tab/>
        <w:t>This rule shall not apply to a counterclaim which includes any such claim as is referred to in rule 1(2).</w:t>
      </w:r>
    </w:p>
    <w:p w:rsidR="00425758" w:rsidRDefault="00425758">
      <w:pPr>
        <w:pStyle w:val="Footnotesection"/>
      </w:pPr>
      <w:r>
        <w:tab/>
        <w:t>[Rule 6 amended: Gazette 28 Jun 2011 p. 2552.]</w:t>
      </w:r>
    </w:p>
    <w:p w:rsidR="00425758" w:rsidRDefault="00425758">
      <w:pPr>
        <w:pStyle w:val="Heading5"/>
        <w:spacing w:before="260"/>
        <w:rPr>
          <w:snapToGrid w:val="0"/>
        </w:rPr>
      </w:pPr>
      <w:bookmarkStart w:id="219" w:name="_Toc75862908"/>
      <w:r>
        <w:rPr>
          <w:rStyle w:val="CharSectno"/>
        </w:rPr>
        <w:t>7</w:t>
      </w:r>
      <w:r>
        <w:rPr>
          <w:snapToGrid w:val="0"/>
        </w:rPr>
        <w:t>.</w:t>
      </w:r>
      <w:r>
        <w:rPr>
          <w:snapToGrid w:val="0"/>
        </w:rPr>
        <w:tab/>
        <w:t>Court’s powers if leave to defend given etc.</w:t>
      </w:r>
      <w:bookmarkEnd w:id="219"/>
    </w:p>
    <w:p w:rsidR="00425758" w:rsidRDefault="00425758">
      <w:pPr>
        <w:pStyle w:val="Subsection"/>
        <w:spacing w:before="200"/>
        <w:rPr>
          <w:snapToGrid w:val="0"/>
        </w:rPr>
      </w:pPr>
      <w:r>
        <w:rPr>
          <w:snapToGrid w:val="0"/>
        </w:rPr>
        <w:tab/>
      </w:r>
      <w:r>
        <w:rPr>
          <w:snapToGrid w:val="0"/>
        </w:rPr>
        <w:tab/>
        <w:t>Where the Court — </w:t>
      </w:r>
    </w:p>
    <w:p w:rsidR="00425758" w:rsidRDefault="00425758">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rsidR="00425758" w:rsidRDefault="00425758">
      <w:pPr>
        <w:pStyle w:val="Indenta"/>
        <w:spacing w:before="100"/>
        <w:rPr>
          <w:snapToGrid w:val="0"/>
        </w:rPr>
      </w:pPr>
      <w:r>
        <w:rPr>
          <w:snapToGrid w:val="0"/>
        </w:rPr>
        <w:tab/>
        <w:t>(b)</w:t>
      </w:r>
      <w:r>
        <w:rPr>
          <w:snapToGrid w:val="0"/>
        </w:rPr>
        <w:tab/>
        <w:t xml:space="preserve">gives judgment for a plaintiff or a defendant on a claim or a part of a claim, but also orders that execution of the </w:t>
      </w:r>
      <w:r>
        <w:rPr>
          <w:snapToGrid w:val="0"/>
        </w:rPr>
        <w:lastRenderedPageBreak/>
        <w:t>judgment be stayed pending the trial of a counterclaim or of the action, as the case may be,</w:t>
      </w:r>
    </w:p>
    <w:p w:rsidR="00425758" w:rsidRDefault="00425758">
      <w:pPr>
        <w:pStyle w:val="Subsection"/>
        <w:rPr>
          <w:snapToGrid w:val="0"/>
        </w:rPr>
      </w:pPr>
      <w:r>
        <w:rPr>
          <w:snapToGrid w:val="0"/>
        </w:rPr>
        <w:tab/>
      </w:r>
      <w:r>
        <w:rPr>
          <w:snapToGrid w:val="0"/>
        </w:rPr>
        <w:tab/>
        <w:t xml:space="preserve">the Court may give </w:t>
      </w:r>
      <w:r>
        <w:t>directions as to the further conduct of the action</w:t>
      </w:r>
      <w:r>
        <w:rPr>
          <w:snapToGrid w:val="0"/>
        </w:rPr>
        <w:t xml:space="preserve"> and may direct that the affidavit filed by the defendant or the plaintiff, as the case may be, under this Order, shall serve in lieu of defence and may order the action to be forthwith set down for trial, and may define the issues that are to be tried.</w:t>
      </w:r>
    </w:p>
    <w:p w:rsidR="00425758" w:rsidRDefault="00425758">
      <w:pPr>
        <w:pStyle w:val="Footnotesection"/>
      </w:pPr>
      <w:r>
        <w:tab/>
        <w:t xml:space="preserve">[Rule 7 amended: Gazette 16 Aug 2017 p. 4410.] </w:t>
      </w:r>
    </w:p>
    <w:p w:rsidR="00425758" w:rsidRDefault="00425758">
      <w:pPr>
        <w:pStyle w:val="Heading5"/>
        <w:rPr>
          <w:snapToGrid w:val="0"/>
        </w:rPr>
      </w:pPr>
      <w:bookmarkStart w:id="220" w:name="_Toc75862909"/>
      <w:r>
        <w:rPr>
          <w:rStyle w:val="CharSectno"/>
        </w:rPr>
        <w:t>8</w:t>
      </w:r>
      <w:r>
        <w:rPr>
          <w:snapToGrid w:val="0"/>
        </w:rPr>
        <w:t>.</w:t>
      </w:r>
      <w:r>
        <w:rPr>
          <w:snapToGrid w:val="0"/>
        </w:rPr>
        <w:tab/>
        <w:t>Costs</w:t>
      </w:r>
      <w:bookmarkEnd w:id="220"/>
    </w:p>
    <w:p w:rsidR="00425758" w:rsidRDefault="00425758">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rsidR="00425758" w:rsidRDefault="00425758">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rsidR="00425758" w:rsidRDefault="00425758">
      <w:pPr>
        <w:pStyle w:val="Footnotesection"/>
      </w:pPr>
      <w:r>
        <w:tab/>
        <w:t xml:space="preserve">[Rule 8 amended: Gazette 15 Jun 1973 p. 2248; 28 Jun 2011 p. 2552.] </w:t>
      </w:r>
    </w:p>
    <w:p w:rsidR="00425758" w:rsidRDefault="00425758">
      <w:pPr>
        <w:pStyle w:val="Heading5"/>
        <w:rPr>
          <w:snapToGrid w:val="0"/>
        </w:rPr>
      </w:pPr>
      <w:bookmarkStart w:id="221" w:name="_Toc75862910"/>
      <w:r>
        <w:rPr>
          <w:rStyle w:val="CharSectno"/>
        </w:rPr>
        <w:t>9</w:t>
      </w:r>
      <w:r>
        <w:rPr>
          <w:snapToGrid w:val="0"/>
        </w:rPr>
        <w:t>.</w:t>
      </w:r>
      <w:r>
        <w:rPr>
          <w:snapToGrid w:val="0"/>
        </w:rPr>
        <w:tab/>
        <w:t>Right to proceed with residue of action or counterclaim</w:t>
      </w:r>
      <w:bookmarkEnd w:id="221"/>
    </w:p>
    <w:p w:rsidR="00425758" w:rsidRDefault="00425758">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rsidR="00425758" w:rsidRDefault="00425758">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rsidR="00425758" w:rsidRDefault="00425758">
      <w:pPr>
        <w:pStyle w:val="Heading5"/>
        <w:rPr>
          <w:snapToGrid w:val="0"/>
        </w:rPr>
      </w:pPr>
      <w:bookmarkStart w:id="222" w:name="_Toc75862911"/>
      <w:r>
        <w:rPr>
          <w:rStyle w:val="CharSectno"/>
        </w:rPr>
        <w:lastRenderedPageBreak/>
        <w:t>10</w:t>
      </w:r>
      <w:r>
        <w:rPr>
          <w:snapToGrid w:val="0"/>
        </w:rPr>
        <w:t>.</w:t>
      </w:r>
      <w:r>
        <w:rPr>
          <w:snapToGrid w:val="0"/>
        </w:rPr>
        <w:tab/>
        <w:t>Judgment for delivery of specific chattel</w:t>
      </w:r>
      <w:bookmarkEnd w:id="222"/>
    </w:p>
    <w:p w:rsidR="00425758" w:rsidRDefault="00425758">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rsidR="00425758" w:rsidRDefault="00425758">
      <w:pPr>
        <w:pStyle w:val="Heading5"/>
        <w:rPr>
          <w:snapToGrid w:val="0"/>
        </w:rPr>
      </w:pPr>
      <w:bookmarkStart w:id="223" w:name="_Toc75862912"/>
      <w:r>
        <w:rPr>
          <w:rStyle w:val="CharSectno"/>
        </w:rPr>
        <w:t>11</w:t>
      </w:r>
      <w:r>
        <w:rPr>
          <w:snapToGrid w:val="0"/>
        </w:rPr>
        <w:t>.</w:t>
      </w:r>
      <w:r>
        <w:rPr>
          <w:snapToGrid w:val="0"/>
        </w:rPr>
        <w:tab/>
        <w:t>Relief from judgment for recovery of land</w:t>
      </w:r>
      <w:bookmarkEnd w:id="223"/>
    </w:p>
    <w:p w:rsidR="00425758" w:rsidRDefault="00425758">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rsidR="00425758" w:rsidRDefault="00425758">
      <w:pPr>
        <w:pStyle w:val="Heading5"/>
        <w:rPr>
          <w:snapToGrid w:val="0"/>
        </w:rPr>
      </w:pPr>
      <w:bookmarkStart w:id="224" w:name="_Toc75862913"/>
      <w:r>
        <w:rPr>
          <w:rStyle w:val="CharSectno"/>
        </w:rPr>
        <w:t>12</w:t>
      </w:r>
      <w:r>
        <w:rPr>
          <w:snapToGrid w:val="0"/>
        </w:rPr>
        <w:t>.</w:t>
      </w:r>
      <w:r>
        <w:rPr>
          <w:snapToGrid w:val="0"/>
        </w:rPr>
        <w:tab/>
        <w:t>Summary judgment against absent party may be set aside or varied</w:t>
      </w:r>
      <w:bookmarkEnd w:id="224"/>
    </w:p>
    <w:p w:rsidR="00425758" w:rsidRDefault="00425758">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rsidR="00425758" w:rsidRDefault="00425758">
      <w:pPr>
        <w:pStyle w:val="Ednotepart"/>
      </w:pPr>
      <w:r>
        <w:t>[Order 15 deleted: Gazette 28 Oct 1996 p. 5675.]</w:t>
      </w:r>
    </w:p>
    <w:p w:rsidR="00425758" w:rsidRDefault="00425758">
      <w:pPr>
        <w:pStyle w:val="Heading2"/>
        <w:rPr>
          <w:b w:val="0"/>
        </w:rPr>
      </w:pPr>
      <w:bookmarkStart w:id="225" w:name="_Toc75511818"/>
      <w:bookmarkStart w:id="226" w:name="_Toc75862914"/>
      <w:r>
        <w:rPr>
          <w:rStyle w:val="CharPartNo"/>
        </w:rPr>
        <w:lastRenderedPageBreak/>
        <w:t>Order 16</w:t>
      </w:r>
      <w:r>
        <w:t> — </w:t>
      </w:r>
      <w:r>
        <w:rPr>
          <w:rStyle w:val="CharPartText"/>
        </w:rPr>
        <w:t>Summary judgment on application of defendant</w:t>
      </w:r>
      <w:bookmarkEnd w:id="225"/>
      <w:bookmarkEnd w:id="226"/>
    </w:p>
    <w:p w:rsidR="00425758" w:rsidRDefault="00425758">
      <w:pPr>
        <w:pStyle w:val="Heading5"/>
        <w:spacing w:before="180"/>
        <w:rPr>
          <w:snapToGrid w:val="0"/>
        </w:rPr>
      </w:pPr>
      <w:bookmarkStart w:id="227" w:name="_Toc75862915"/>
      <w:r>
        <w:rPr>
          <w:rStyle w:val="CharSectno"/>
        </w:rPr>
        <w:t>1</w:t>
      </w:r>
      <w:r>
        <w:rPr>
          <w:snapToGrid w:val="0"/>
        </w:rPr>
        <w:t>.</w:t>
      </w:r>
      <w:r>
        <w:rPr>
          <w:snapToGrid w:val="0"/>
        </w:rPr>
        <w:tab/>
        <w:t>Application by defendant for summary judgment</w:t>
      </w:r>
      <w:bookmarkEnd w:id="227"/>
    </w:p>
    <w:p w:rsidR="00425758" w:rsidRDefault="00425758">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rsidR="00425758" w:rsidRDefault="00425758">
      <w:pPr>
        <w:pStyle w:val="Indenta"/>
        <w:rPr>
          <w:snapToGrid w:val="0"/>
        </w:rPr>
      </w:pPr>
      <w:r>
        <w:rPr>
          <w:snapToGrid w:val="0"/>
        </w:rPr>
        <w:tab/>
        <w:t>(a)</w:t>
      </w:r>
      <w:r>
        <w:rPr>
          <w:snapToGrid w:val="0"/>
        </w:rPr>
        <w:tab/>
        <w:t>that judgment be entered for the defendant with or without costs; or</w:t>
      </w:r>
    </w:p>
    <w:p w:rsidR="00425758" w:rsidRDefault="00425758">
      <w:pPr>
        <w:pStyle w:val="Indenta"/>
        <w:rPr>
          <w:snapToGrid w:val="0"/>
        </w:rPr>
      </w:pPr>
      <w:r>
        <w:rPr>
          <w:snapToGrid w:val="0"/>
        </w:rPr>
        <w:tab/>
        <w:t>(b)</w:t>
      </w:r>
      <w:r>
        <w:rPr>
          <w:snapToGrid w:val="0"/>
        </w:rPr>
        <w:tab/>
        <w:t>that the plaintiff shall proceed to trial without pleadings,</w:t>
      </w:r>
    </w:p>
    <w:p w:rsidR="00425758" w:rsidRDefault="00425758">
      <w:pPr>
        <w:pStyle w:val="Subsection"/>
        <w:rPr>
          <w:snapToGrid w:val="0"/>
        </w:rPr>
      </w:pPr>
      <w:r>
        <w:rPr>
          <w:snapToGrid w:val="0"/>
        </w:rPr>
        <w:tab/>
      </w:r>
      <w:r>
        <w:rPr>
          <w:snapToGrid w:val="0"/>
        </w:rPr>
        <w:tab/>
        <w:t>or if all parties consent, may dispose of the action finally and without appeal in a summary manner.</w:t>
      </w:r>
    </w:p>
    <w:p w:rsidR="00425758" w:rsidRDefault="00425758">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rsidR="00425758" w:rsidRDefault="00425758">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rsidR="00425758" w:rsidRDefault="00425758">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rsidR="00425758" w:rsidRDefault="00425758">
      <w:pPr>
        <w:pStyle w:val="Footnotesection"/>
      </w:pPr>
      <w:r>
        <w:tab/>
        <w:t>[Rule 1 amended: Gazette 14 Dec 1979 p. 3869; 5 Jun 1992 p. 2279</w:t>
      </w:r>
      <w:r>
        <w:noBreakHyphen/>
        <w:t xml:space="preserve">80; 28 Jun 2011 p. 2552.] </w:t>
      </w:r>
    </w:p>
    <w:p w:rsidR="00425758" w:rsidRDefault="00425758">
      <w:pPr>
        <w:pStyle w:val="Heading5"/>
        <w:spacing w:before="180"/>
        <w:rPr>
          <w:snapToGrid w:val="0"/>
        </w:rPr>
      </w:pPr>
      <w:bookmarkStart w:id="228" w:name="_Toc75862916"/>
      <w:r>
        <w:rPr>
          <w:rStyle w:val="CharSectno"/>
        </w:rPr>
        <w:t>2</w:t>
      </w:r>
      <w:r>
        <w:rPr>
          <w:snapToGrid w:val="0"/>
        </w:rPr>
        <w:t>.</w:t>
      </w:r>
      <w:r>
        <w:rPr>
          <w:snapToGrid w:val="0"/>
        </w:rPr>
        <w:tab/>
        <w:t>Plaintiff may show cause</w:t>
      </w:r>
      <w:bookmarkEnd w:id="228"/>
    </w:p>
    <w:p w:rsidR="00425758" w:rsidRDefault="00425758">
      <w:pPr>
        <w:pStyle w:val="Subsection"/>
        <w:spacing w:before="120"/>
        <w:rPr>
          <w:snapToGrid w:val="0"/>
        </w:rPr>
      </w:pPr>
      <w:r>
        <w:rPr>
          <w:snapToGrid w:val="0"/>
        </w:rPr>
        <w:tab/>
        <w:t>(1)</w:t>
      </w:r>
      <w:r>
        <w:rPr>
          <w:snapToGrid w:val="0"/>
        </w:rPr>
        <w:tab/>
        <w:t>The plaintiff may show cause against such application by affidavit.</w:t>
      </w:r>
    </w:p>
    <w:p w:rsidR="00425758" w:rsidRDefault="00425758">
      <w:pPr>
        <w:pStyle w:val="Subsection"/>
        <w:spacing w:before="120"/>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rsidR="00425758" w:rsidRDefault="00425758">
      <w:pPr>
        <w:pStyle w:val="Subsection"/>
        <w:rPr>
          <w:snapToGrid w:val="0"/>
        </w:rPr>
      </w:pPr>
      <w:r>
        <w:rPr>
          <w:snapToGrid w:val="0"/>
        </w:rPr>
        <w:lastRenderedPageBreak/>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rsidR="00425758" w:rsidRDefault="00425758">
      <w:pPr>
        <w:pStyle w:val="Footnotesection"/>
      </w:pPr>
      <w:r>
        <w:tab/>
        <w:t xml:space="preserve">[Rule 2 amended: Gazette 14 Dec 1979 p. 3869; 5 Jun 1992 p. 2280; 28 Jul 2010 p. 3482.] </w:t>
      </w:r>
    </w:p>
    <w:p w:rsidR="00425758" w:rsidRDefault="00425758">
      <w:pPr>
        <w:pStyle w:val="Heading5"/>
        <w:rPr>
          <w:snapToGrid w:val="0"/>
        </w:rPr>
      </w:pPr>
      <w:bookmarkStart w:id="229" w:name="_Toc75862917"/>
      <w:r>
        <w:rPr>
          <w:rStyle w:val="CharSectno"/>
        </w:rPr>
        <w:t>3</w:t>
      </w:r>
      <w:r>
        <w:rPr>
          <w:snapToGrid w:val="0"/>
        </w:rPr>
        <w:t>.</w:t>
      </w:r>
      <w:r>
        <w:rPr>
          <w:snapToGrid w:val="0"/>
        </w:rPr>
        <w:tab/>
        <w:t>Court’s powers if action to go to trial</w:t>
      </w:r>
      <w:bookmarkEnd w:id="229"/>
    </w:p>
    <w:p w:rsidR="00425758" w:rsidRDefault="00425758">
      <w:pPr>
        <w:pStyle w:val="Subsection"/>
        <w:rPr>
          <w:snapToGrid w:val="0"/>
        </w:rPr>
      </w:pPr>
      <w:r>
        <w:rPr>
          <w:snapToGrid w:val="0"/>
        </w:rPr>
        <w:tab/>
      </w:r>
      <w:r>
        <w:rPr>
          <w:snapToGrid w:val="0"/>
        </w:rPr>
        <w:tab/>
        <w:t xml:space="preserve">If the Court directs that the action shall proceed to trial, it may give </w:t>
      </w:r>
      <w:r>
        <w:t>directions as to the further conduct of the action</w:t>
      </w:r>
      <w:r>
        <w:rPr>
          <w:snapToGrid w:val="0"/>
        </w:rPr>
        <w:t xml:space="preserve"> and may order that the action be forthwith set down for trial.</w:t>
      </w:r>
    </w:p>
    <w:p w:rsidR="00425758" w:rsidRDefault="00425758">
      <w:pPr>
        <w:pStyle w:val="Footnotesection"/>
      </w:pPr>
      <w:r>
        <w:tab/>
        <w:t xml:space="preserve">[Rule 3 amended: Gazette 14 Dec 1979 p. 3869; 16 Aug 2017 p. 4410.] </w:t>
      </w:r>
    </w:p>
    <w:p w:rsidR="00425758" w:rsidRDefault="00425758">
      <w:pPr>
        <w:pStyle w:val="Heading5"/>
        <w:rPr>
          <w:snapToGrid w:val="0"/>
        </w:rPr>
      </w:pPr>
      <w:bookmarkStart w:id="230" w:name="_Toc75862918"/>
      <w:r>
        <w:rPr>
          <w:rStyle w:val="CharSectno"/>
        </w:rPr>
        <w:t>4</w:t>
      </w:r>
      <w:r>
        <w:rPr>
          <w:snapToGrid w:val="0"/>
        </w:rPr>
        <w:t>.</w:t>
      </w:r>
      <w:r>
        <w:rPr>
          <w:snapToGrid w:val="0"/>
        </w:rPr>
        <w:tab/>
        <w:t>Summary judgment against absent party may be set aside or varied</w:t>
      </w:r>
      <w:bookmarkEnd w:id="230"/>
    </w:p>
    <w:p w:rsidR="00425758" w:rsidRDefault="00425758">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rsidR="00425758" w:rsidRDefault="00425758">
      <w:pPr>
        <w:pStyle w:val="Footnotesection"/>
      </w:pPr>
      <w:r>
        <w:tab/>
        <w:t xml:space="preserve">[Rule 4 inserted: Gazette 5 Jun 1992 p. 2280.] </w:t>
      </w:r>
    </w:p>
    <w:p w:rsidR="00425758" w:rsidRDefault="00425758">
      <w:pPr>
        <w:pStyle w:val="Heading2"/>
        <w:rPr>
          <w:b w:val="0"/>
        </w:rPr>
      </w:pPr>
      <w:bookmarkStart w:id="231" w:name="_Toc75511823"/>
      <w:bookmarkStart w:id="232" w:name="_Toc75862919"/>
      <w:r>
        <w:rPr>
          <w:rStyle w:val="CharPartNo"/>
        </w:rPr>
        <w:lastRenderedPageBreak/>
        <w:t>Order 17</w:t>
      </w:r>
      <w:r>
        <w:t> — </w:t>
      </w:r>
      <w:r>
        <w:rPr>
          <w:rStyle w:val="CharPartText"/>
        </w:rPr>
        <w:t>Interpleader</w:t>
      </w:r>
      <w:bookmarkEnd w:id="231"/>
      <w:bookmarkEnd w:id="232"/>
    </w:p>
    <w:p w:rsidR="00425758" w:rsidRDefault="00425758">
      <w:pPr>
        <w:pStyle w:val="Heading5"/>
        <w:spacing w:before="240"/>
        <w:rPr>
          <w:snapToGrid w:val="0"/>
        </w:rPr>
      </w:pPr>
      <w:bookmarkStart w:id="233" w:name="_Toc75862920"/>
      <w:r>
        <w:rPr>
          <w:rStyle w:val="CharSectno"/>
        </w:rPr>
        <w:t>1</w:t>
      </w:r>
      <w:r>
        <w:rPr>
          <w:snapToGrid w:val="0"/>
        </w:rPr>
        <w:t>.</w:t>
      </w:r>
      <w:r>
        <w:rPr>
          <w:snapToGrid w:val="0"/>
        </w:rPr>
        <w:tab/>
        <w:t>When interpleader relief may be granted</w:t>
      </w:r>
      <w:bookmarkEnd w:id="233"/>
    </w:p>
    <w:p w:rsidR="00425758" w:rsidRDefault="00425758">
      <w:pPr>
        <w:pStyle w:val="Subsection"/>
        <w:rPr>
          <w:snapToGrid w:val="0"/>
        </w:rPr>
      </w:pPr>
      <w:r>
        <w:rPr>
          <w:snapToGrid w:val="0"/>
        </w:rPr>
        <w:tab/>
      </w:r>
      <w:r>
        <w:rPr>
          <w:snapToGrid w:val="0"/>
        </w:rPr>
        <w:tab/>
        <w:t>Relief by way of interpleader may be granted by the Court — </w:t>
      </w:r>
    </w:p>
    <w:p w:rsidR="00425758" w:rsidRDefault="00425758">
      <w:pPr>
        <w:pStyle w:val="Indenta"/>
        <w:rPr>
          <w:snapToGrid w:val="0"/>
        </w:rPr>
      </w:pPr>
      <w:r>
        <w:rPr>
          <w:snapToGrid w:val="0"/>
        </w:rPr>
        <w:tab/>
        <w:t>(a)</w:t>
      </w:r>
      <w:r>
        <w:rPr>
          <w:snapToGrid w:val="0"/>
        </w:rPr>
        <w:tab/>
        <w:t>where the person seeking relief (called the applicant) is under liability — </w:t>
      </w:r>
    </w:p>
    <w:p w:rsidR="00425758" w:rsidRDefault="00425758">
      <w:pPr>
        <w:pStyle w:val="Indenti"/>
        <w:rPr>
          <w:snapToGrid w:val="0"/>
        </w:rPr>
      </w:pPr>
      <w:r>
        <w:rPr>
          <w:snapToGrid w:val="0"/>
        </w:rPr>
        <w:tab/>
        <w:t>(i)</w:t>
      </w:r>
      <w:r>
        <w:rPr>
          <w:snapToGrid w:val="0"/>
        </w:rPr>
        <w:tab/>
        <w:t>to yield up or give possession of any land; or</w:t>
      </w:r>
    </w:p>
    <w:p w:rsidR="00425758" w:rsidRDefault="00425758">
      <w:pPr>
        <w:pStyle w:val="Indenti"/>
        <w:rPr>
          <w:snapToGrid w:val="0"/>
        </w:rPr>
      </w:pPr>
      <w:r>
        <w:rPr>
          <w:snapToGrid w:val="0"/>
        </w:rPr>
        <w:tab/>
        <w:t>(ii)</w:t>
      </w:r>
      <w:r>
        <w:rPr>
          <w:snapToGrid w:val="0"/>
        </w:rPr>
        <w:tab/>
        <w:t>to perform a contract; or</w:t>
      </w:r>
    </w:p>
    <w:p w:rsidR="00425758" w:rsidRDefault="00425758">
      <w:pPr>
        <w:pStyle w:val="Indenti"/>
        <w:rPr>
          <w:snapToGrid w:val="0"/>
        </w:rPr>
      </w:pPr>
      <w:r>
        <w:rPr>
          <w:snapToGrid w:val="0"/>
        </w:rPr>
        <w:tab/>
        <w:t>(iii)</w:t>
      </w:r>
      <w:r>
        <w:rPr>
          <w:snapToGrid w:val="0"/>
        </w:rPr>
        <w:tab/>
        <w:t>for any debt or money; or</w:t>
      </w:r>
    </w:p>
    <w:p w:rsidR="00425758" w:rsidRDefault="00425758">
      <w:pPr>
        <w:pStyle w:val="Indenti"/>
        <w:rPr>
          <w:snapToGrid w:val="0"/>
        </w:rPr>
      </w:pPr>
      <w:r>
        <w:rPr>
          <w:snapToGrid w:val="0"/>
        </w:rPr>
        <w:tab/>
        <w:t>(iv)</w:t>
      </w:r>
      <w:r>
        <w:rPr>
          <w:snapToGrid w:val="0"/>
        </w:rPr>
        <w:tab/>
        <w:t>to yield up goods or chattels or any document, muniment of title, or security,</w:t>
      </w:r>
    </w:p>
    <w:p w:rsidR="00425758" w:rsidRDefault="00425758">
      <w:pPr>
        <w:pStyle w:val="Indenta"/>
        <w:rPr>
          <w:snapToGrid w:val="0"/>
        </w:rPr>
      </w:pPr>
      <w:r>
        <w:rPr>
          <w:snapToGrid w:val="0"/>
        </w:rPr>
        <w:tab/>
      </w:r>
      <w:r>
        <w:rPr>
          <w:snapToGrid w:val="0"/>
        </w:rPr>
        <w:tab/>
        <w:t>in respect of which he is or expects to be sued by 2 or more parties (called the claimants) making adverse claims.</w:t>
      </w:r>
    </w:p>
    <w:p w:rsidR="00425758" w:rsidRDefault="00425758">
      <w:pPr>
        <w:pStyle w:val="Ednotepara"/>
        <w:spacing w:before="80"/>
        <w:rPr>
          <w:snapToGrid w:val="0"/>
        </w:rPr>
      </w:pPr>
      <w:r>
        <w:rPr>
          <w:snapToGrid w:val="0"/>
        </w:rPr>
        <w:tab/>
        <w:t>[(b)</w:t>
      </w:r>
      <w:r>
        <w:rPr>
          <w:snapToGrid w:val="0"/>
        </w:rPr>
        <w:tab/>
        <w:t>deleted]</w:t>
      </w:r>
    </w:p>
    <w:p w:rsidR="00425758" w:rsidRDefault="00425758">
      <w:pPr>
        <w:pStyle w:val="Footnotesection"/>
      </w:pPr>
      <w:r>
        <w:tab/>
        <w:t>[Rule 1 amended: Gazette 21 Feb 2007 p. 536.]</w:t>
      </w:r>
    </w:p>
    <w:p w:rsidR="00425758" w:rsidRDefault="00425758">
      <w:pPr>
        <w:pStyle w:val="Heading5"/>
        <w:spacing w:before="240"/>
        <w:rPr>
          <w:snapToGrid w:val="0"/>
        </w:rPr>
      </w:pPr>
      <w:bookmarkStart w:id="234" w:name="_Toc75862921"/>
      <w:r>
        <w:rPr>
          <w:rStyle w:val="CharSectno"/>
        </w:rPr>
        <w:t>2</w:t>
      </w:r>
      <w:r>
        <w:rPr>
          <w:snapToGrid w:val="0"/>
        </w:rPr>
        <w:t>.</w:t>
      </w:r>
      <w:r>
        <w:rPr>
          <w:snapToGrid w:val="0"/>
        </w:rPr>
        <w:tab/>
        <w:t>How to apply for interpleader relief</w:t>
      </w:r>
      <w:bookmarkEnd w:id="234"/>
    </w:p>
    <w:p w:rsidR="00425758" w:rsidRDefault="00425758">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rsidR="00425758" w:rsidRDefault="00425758">
      <w:pPr>
        <w:pStyle w:val="Subsection"/>
        <w:rPr>
          <w:snapToGrid w:val="0"/>
        </w:rPr>
      </w:pPr>
      <w:r>
        <w:rPr>
          <w:snapToGrid w:val="0"/>
        </w:rPr>
        <w:tab/>
        <w:t>(2)</w:t>
      </w:r>
      <w:r>
        <w:rPr>
          <w:snapToGrid w:val="0"/>
        </w:rPr>
        <w:tab/>
        <w:t>No appearance need be entered to an originating summons under this rule.</w:t>
      </w:r>
    </w:p>
    <w:p w:rsidR="00425758" w:rsidRDefault="00425758">
      <w:pPr>
        <w:pStyle w:val="Subsection"/>
        <w:rPr>
          <w:snapToGrid w:val="0"/>
        </w:rPr>
      </w:pPr>
      <w:r>
        <w:rPr>
          <w:snapToGrid w:val="0"/>
        </w:rPr>
        <w:tab/>
        <w:t>(3)</w:t>
      </w:r>
      <w:r>
        <w:rPr>
          <w:snapToGrid w:val="0"/>
        </w:rPr>
        <w:tab/>
      </w:r>
      <w:r>
        <w:t>A summons</w:t>
      </w:r>
      <w:r>
        <w:rPr>
          <w:snapToGrid w:val="0"/>
        </w:rPr>
        <w:t xml:space="preserve"> under this rule must be supported by evidence that the applicant — </w:t>
      </w:r>
    </w:p>
    <w:p w:rsidR="00425758" w:rsidRDefault="00425758">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rsidR="00425758" w:rsidRDefault="00425758">
      <w:pPr>
        <w:pStyle w:val="Indenta"/>
        <w:rPr>
          <w:snapToGrid w:val="0"/>
        </w:rPr>
      </w:pPr>
      <w:r>
        <w:rPr>
          <w:snapToGrid w:val="0"/>
        </w:rPr>
        <w:tab/>
        <w:t>(b)</w:t>
      </w:r>
      <w:r>
        <w:rPr>
          <w:snapToGrid w:val="0"/>
        </w:rPr>
        <w:tab/>
        <w:t>does not collude with any of the claimants to that subject</w:t>
      </w:r>
      <w:r>
        <w:rPr>
          <w:snapToGrid w:val="0"/>
        </w:rPr>
        <w:noBreakHyphen/>
        <w:t>matter; and</w:t>
      </w:r>
    </w:p>
    <w:p w:rsidR="00425758" w:rsidRDefault="00425758">
      <w:pPr>
        <w:pStyle w:val="Indenta"/>
        <w:keepNext/>
        <w:rPr>
          <w:snapToGrid w:val="0"/>
        </w:rPr>
      </w:pPr>
      <w:r>
        <w:rPr>
          <w:snapToGrid w:val="0"/>
        </w:rPr>
        <w:lastRenderedPageBreak/>
        <w:tab/>
        <w:t>(c)</w:t>
      </w:r>
      <w:r>
        <w:rPr>
          <w:snapToGrid w:val="0"/>
        </w:rPr>
        <w:tab/>
        <w:t>is willing to dispose of any property involved in such manner as the Court or a judge may direct.</w:t>
      </w:r>
    </w:p>
    <w:p w:rsidR="00425758" w:rsidRDefault="00425758">
      <w:pPr>
        <w:pStyle w:val="Footnotesection"/>
        <w:keepLines w:val="0"/>
        <w:ind w:left="890" w:hanging="890"/>
      </w:pPr>
      <w:r>
        <w:tab/>
        <w:t>[Rule 2 amended: Gazette 21 Feb 2007 p. 536; 28 Jun 2011 p. 2552; 24 May 2017 p. 2607.]</w:t>
      </w:r>
    </w:p>
    <w:p w:rsidR="00425758" w:rsidRDefault="00425758">
      <w:pPr>
        <w:pStyle w:val="Heading5"/>
        <w:rPr>
          <w:snapToGrid w:val="0"/>
        </w:rPr>
      </w:pPr>
      <w:bookmarkStart w:id="235" w:name="_Toc75862922"/>
      <w:r>
        <w:rPr>
          <w:rStyle w:val="CharSectno"/>
        </w:rPr>
        <w:t>3</w:t>
      </w:r>
      <w:r>
        <w:rPr>
          <w:snapToGrid w:val="0"/>
        </w:rPr>
        <w:t>.</w:t>
      </w:r>
      <w:r>
        <w:rPr>
          <w:snapToGrid w:val="0"/>
        </w:rPr>
        <w:tab/>
        <w:t>Time for application by defendant</w:t>
      </w:r>
      <w:bookmarkEnd w:id="235"/>
    </w:p>
    <w:p w:rsidR="00425758" w:rsidRDefault="00425758">
      <w:pPr>
        <w:pStyle w:val="Subsection"/>
        <w:rPr>
          <w:snapToGrid w:val="0"/>
        </w:rPr>
      </w:pPr>
      <w:r>
        <w:rPr>
          <w:snapToGrid w:val="0"/>
        </w:rPr>
        <w:tab/>
      </w:r>
      <w:r>
        <w:rPr>
          <w:snapToGrid w:val="0"/>
        </w:rPr>
        <w:tab/>
        <w:t>Where the applicant is a defendant, application for relief may be made at any time after the service of the writ.</w:t>
      </w:r>
    </w:p>
    <w:p w:rsidR="00425758" w:rsidRDefault="00425758">
      <w:pPr>
        <w:pStyle w:val="Heading5"/>
        <w:rPr>
          <w:snapToGrid w:val="0"/>
        </w:rPr>
      </w:pPr>
      <w:bookmarkStart w:id="236" w:name="_Toc75862923"/>
      <w:r>
        <w:rPr>
          <w:rStyle w:val="CharSectno"/>
        </w:rPr>
        <w:t>4</w:t>
      </w:r>
      <w:r>
        <w:rPr>
          <w:snapToGrid w:val="0"/>
        </w:rPr>
        <w:t>.</w:t>
      </w:r>
      <w:r>
        <w:rPr>
          <w:snapToGrid w:val="0"/>
        </w:rPr>
        <w:tab/>
        <w:t>Stay of proceedings</w:t>
      </w:r>
      <w:bookmarkEnd w:id="236"/>
    </w:p>
    <w:p w:rsidR="00425758" w:rsidRDefault="00425758">
      <w:pPr>
        <w:pStyle w:val="Subsection"/>
        <w:rPr>
          <w:snapToGrid w:val="0"/>
        </w:rPr>
      </w:pPr>
      <w:r>
        <w:rPr>
          <w:snapToGrid w:val="0"/>
        </w:rPr>
        <w:tab/>
      </w:r>
      <w:r>
        <w:rPr>
          <w:snapToGrid w:val="0"/>
        </w:rPr>
        <w:tab/>
        <w:t>If the application is made by a defendant the Court may stay all further proceedings.</w:t>
      </w:r>
    </w:p>
    <w:p w:rsidR="00425758" w:rsidRDefault="00425758">
      <w:pPr>
        <w:pStyle w:val="Heading5"/>
        <w:rPr>
          <w:snapToGrid w:val="0"/>
        </w:rPr>
      </w:pPr>
      <w:bookmarkStart w:id="237" w:name="_Toc75862924"/>
      <w:r>
        <w:rPr>
          <w:rStyle w:val="CharSectno"/>
        </w:rPr>
        <w:t>5</w:t>
      </w:r>
      <w:r>
        <w:rPr>
          <w:snapToGrid w:val="0"/>
        </w:rPr>
        <w:t>.</w:t>
      </w:r>
      <w:r>
        <w:rPr>
          <w:snapToGrid w:val="0"/>
        </w:rPr>
        <w:tab/>
        <w:t>Court’s powers on application</w:t>
      </w:r>
      <w:bookmarkEnd w:id="237"/>
    </w:p>
    <w:p w:rsidR="00425758" w:rsidRDefault="00425758">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rsidR="00425758" w:rsidRDefault="00425758">
      <w:pPr>
        <w:pStyle w:val="Heading5"/>
        <w:rPr>
          <w:snapToGrid w:val="0"/>
        </w:rPr>
      </w:pPr>
      <w:bookmarkStart w:id="238" w:name="_Toc75862925"/>
      <w:r>
        <w:rPr>
          <w:rStyle w:val="CharSectno"/>
        </w:rPr>
        <w:t>6</w:t>
      </w:r>
      <w:r>
        <w:rPr>
          <w:snapToGrid w:val="0"/>
        </w:rPr>
        <w:t>.</w:t>
      </w:r>
      <w:r>
        <w:rPr>
          <w:snapToGrid w:val="0"/>
        </w:rPr>
        <w:tab/>
        <w:t>Summary determination</w:t>
      </w:r>
      <w:bookmarkEnd w:id="238"/>
    </w:p>
    <w:p w:rsidR="00425758" w:rsidRDefault="00425758">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rsidR="00425758" w:rsidRDefault="00425758">
      <w:pPr>
        <w:pStyle w:val="Footnotesection"/>
      </w:pPr>
      <w:r>
        <w:tab/>
        <w:t>[Rule 6 amended: Gazette 21 Feb 2007 p. 536.]</w:t>
      </w:r>
    </w:p>
    <w:p w:rsidR="00425758" w:rsidRDefault="00425758">
      <w:pPr>
        <w:pStyle w:val="Heading5"/>
        <w:rPr>
          <w:snapToGrid w:val="0"/>
        </w:rPr>
      </w:pPr>
      <w:bookmarkStart w:id="239" w:name="_Toc75862926"/>
      <w:r>
        <w:rPr>
          <w:rStyle w:val="CharSectno"/>
        </w:rPr>
        <w:t>7</w:t>
      </w:r>
      <w:r>
        <w:rPr>
          <w:snapToGrid w:val="0"/>
        </w:rPr>
        <w:t>.</w:t>
      </w:r>
      <w:r>
        <w:rPr>
          <w:snapToGrid w:val="0"/>
        </w:rPr>
        <w:tab/>
        <w:t>Where question of law only</w:t>
      </w:r>
      <w:bookmarkEnd w:id="239"/>
    </w:p>
    <w:p w:rsidR="00425758" w:rsidRDefault="00425758">
      <w:pPr>
        <w:pStyle w:val="Subsection"/>
        <w:rPr>
          <w:snapToGrid w:val="0"/>
        </w:rPr>
      </w:pPr>
      <w:r>
        <w:rPr>
          <w:snapToGrid w:val="0"/>
        </w:rPr>
        <w:tab/>
      </w:r>
      <w:r>
        <w:rPr>
          <w:snapToGrid w:val="0"/>
        </w:rPr>
        <w:tab/>
        <w:t xml:space="preserve">Where the question is one of law, and the facts are not in dispute, the Court may either decide the question without directing the trial of an issue, or order that a special case be </w:t>
      </w:r>
      <w:r>
        <w:rPr>
          <w:snapToGrid w:val="0"/>
        </w:rPr>
        <w:lastRenderedPageBreak/>
        <w:t>stated for the opinion of the Court. If a special case is stated Order 31 shall, as far as applicable, apply.</w:t>
      </w:r>
    </w:p>
    <w:p w:rsidR="00425758" w:rsidRDefault="00425758">
      <w:pPr>
        <w:pStyle w:val="Heading5"/>
        <w:rPr>
          <w:snapToGrid w:val="0"/>
        </w:rPr>
      </w:pPr>
      <w:bookmarkStart w:id="240" w:name="_Toc75862927"/>
      <w:r>
        <w:rPr>
          <w:rStyle w:val="CharSectno"/>
        </w:rPr>
        <w:t>8</w:t>
      </w:r>
      <w:r>
        <w:rPr>
          <w:snapToGrid w:val="0"/>
        </w:rPr>
        <w:t>.</w:t>
      </w:r>
      <w:r>
        <w:rPr>
          <w:snapToGrid w:val="0"/>
        </w:rPr>
        <w:tab/>
        <w:t>Claimant failing to appear etc.</w:t>
      </w:r>
      <w:bookmarkEnd w:id="240"/>
    </w:p>
    <w:p w:rsidR="00425758" w:rsidRDefault="00425758">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rsidR="00425758" w:rsidRDefault="00425758">
      <w:pPr>
        <w:pStyle w:val="Heading5"/>
        <w:rPr>
          <w:snapToGrid w:val="0"/>
        </w:rPr>
      </w:pPr>
      <w:bookmarkStart w:id="241" w:name="_Toc75862928"/>
      <w:r>
        <w:rPr>
          <w:rStyle w:val="CharSectno"/>
        </w:rPr>
        <w:t>9</w:t>
      </w:r>
      <w:r>
        <w:rPr>
          <w:snapToGrid w:val="0"/>
        </w:rPr>
        <w:t>.</w:t>
      </w:r>
      <w:r>
        <w:rPr>
          <w:snapToGrid w:val="0"/>
        </w:rPr>
        <w:tab/>
        <w:t>Power to order sale of goods</w:t>
      </w:r>
      <w:bookmarkEnd w:id="241"/>
    </w:p>
    <w:p w:rsidR="00425758" w:rsidRDefault="00425758">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rsidR="00425758" w:rsidRDefault="00425758">
      <w:pPr>
        <w:pStyle w:val="Heading5"/>
        <w:rPr>
          <w:snapToGrid w:val="0"/>
        </w:rPr>
      </w:pPr>
      <w:bookmarkStart w:id="242" w:name="_Toc75862929"/>
      <w:r>
        <w:rPr>
          <w:rStyle w:val="CharSectno"/>
        </w:rPr>
        <w:t>10</w:t>
      </w:r>
      <w:r>
        <w:rPr>
          <w:snapToGrid w:val="0"/>
        </w:rPr>
        <w:t>.</w:t>
      </w:r>
      <w:r>
        <w:rPr>
          <w:snapToGrid w:val="0"/>
        </w:rPr>
        <w:tab/>
        <w:t>Discovery etc. and trial</w:t>
      </w:r>
      <w:bookmarkEnd w:id="242"/>
    </w:p>
    <w:p w:rsidR="00425758" w:rsidRDefault="00425758">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rsidR="00425758" w:rsidRDefault="00425758">
      <w:pPr>
        <w:pStyle w:val="Heading5"/>
        <w:rPr>
          <w:snapToGrid w:val="0"/>
        </w:rPr>
      </w:pPr>
      <w:bookmarkStart w:id="243" w:name="_Toc75862930"/>
      <w:r>
        <w:rPr>
          <w:rStyle w:val="CharSectno"/>
        </w:rPr>
        <w:t>11</w:t>
      </w:r>
      <w:r>
        <w:rPr>
          <w:snapToGrid w:val="0"/>
        </w:rPr>
        <w:t>.</w:t>
      </w:r>
      <w:r>
        <w:rPr>
          <w:snapToGrid w:val="0"/>
        </w:rPr>
        <w:tab/>
        <w:t>One order where several causes pending</w:t>
      </w:r>
      <w:bookmarkEnd w:id="243"/>
    </w:p>
    <w:p w:rsidR="00425758" w:rsidRDefault="00425758">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rsidR="00425758" w:rsidRDefault="00425758">
      <w:pPr>
        <w:pStyle w:val="Ednotesection"/>
      </w:pPr>
      <w:r>
        <w:t>[</w:t>
      </w:r>
      <w:r>
        <w:rPr>
          <w:b/>
        </w:rPr>
        <w:t>12</w:t>
      </w:r>
      <w:r>
        <w:rPr>
          <w:b/>
        </w:rPr>
        <w:noBreakHyphen/>
        <w:t>14.</w:t>
      </w:r>
      <w:r>
        <w:tab/>
        <w:t>Deleted: Gazette 21 Feb 2007 p. 536.]</w:t>
      </w:r>
    </w:p>
    <w:p w:rsidR="00425758" w:rsidRDefault="00425758">
      <w:pPr>
        <w:pStyle w:val="Heading5"/>
        <w:rPr>
          <w:snapToGrid w:val="0"/>
        </w:rPr>
      </w:pPr>
      <w:bookmarkStart w:id="244" w:name="_Toc75862931"/>
      <w:r>
        <w:rPr>
          <w:rStyle w:val="CharSectno"/>
        </w:rPr>
        <w:lastRenderedPageBreak/>
        <w:t>15</w:t>
      </w:r>
      <w:r>
        <w:rPr>
          <w:snapToGrid w:val="0"/>
        </w:rPr>
        <w:t>.</w:t>
      </w:r>
      <w:r>
        <w:rPr>
          <w:snapToGrid w:val="0"/>
        </w:rPr>
        <w:tab/>
        <w:t>Orders as to costs etc.</w:t>
      </w:r>
      <w:bookmarkEnd w:id="244"/>
    </w:p>
    <w:p w:rsidR="00425758" w:rsidRDefault="00425758">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rsidR="00425758" w:rsidRDefault="00425758">
      <w:pPr>
        <w:pStyle w:val="Footnotesection"/>
      </w:pPr>
      <w:r>
        <w:tab/>
        <w:t>[Rule 15 amended: Gazette 28 Jun 2011 p. 2553.]</w:t>
      </w:r>
    </w:p>
    <w:p w:rsidR="00425758" w:rsidRDefault="00425758">
      <w:pPr>
        <w:pStyle w:val="Heading2"/>
        <w:rPr>
          <w:b w:val="0"/>
        </w:rPr>
      </w:pPr>
      <w:bookmarkStart w:id="245" w:name="_Toc75511836"/>
      <w:bookmarkStart w:id="246" w:name="_Toc75862932"/>
      <w:r>
        <w:rPr>
          <w:rStyle w:val="CharPartNo"/>
        </w:rPr>
        <w:lastRenderedPageBreak/>
        <w:t>Order 18</w:t>
      </w:r>
      <w:r>
        <w:t> — </w:t>
      </w:r>
      <w:r>
        <w:rPr>
          <w:rStyle w:val="CharPartText"/>
        </w:rPr>
        <w:t>Causes of action, counterclaims and parties</w:t>
      </w:r>
      <w:bookmarkEnd w:id="245"/>
      <w:bookmarkEnd w:id="246"/>
    </w:p>
    <w:p w:rsidR="00425758" w:rsidRDefault="00425758">
      <w:pPr>
        <w:pStyle w:val="Heading5"/>
        <w:spacing w:before="240"/>
        <w:rPr>
          <w:snapToGrid w:val="0"/>
        </w:rPr>
      </w:pPr>
      <w:bookmarkStart w:id="247" w:name="_Toc75862933"/>
      <w:r>
        <w:rPr>
          <w:rStyle w:val="CharSectno"/>
        </w:rPr>
        <w:t>1</w:t>
      </w:r>
      <w:r>
        <w:rPr>
          <w:snapToGrid w:val="0"/>
        </w:rPr>
        <w:t>.</w:t>
      </w:r>
      <w:r>
        <w:rPr>
          <w:snapToGrid w:val="0"/>
        </w:rPr>
        <w:tab/>
        <w:t>Joinder of causes of action</w:t>
      </w:r>
      <w:bookmarkEnd w:id="247"/>
    </w:p>
    <w:p w:rsidR="00425758" w:rsidRDefault="00425758">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rsidR="00425758" w:rsidRDefault="00425758">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rsidR="00425758" w:rsidRDefault="00425758">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rsidR="00425758" w:rsidRDefault="00425758">
      <w:pPr>
        <w:pStyle w:val="Indenta"/>
        <w:rPr>
          <w:snapToGrid w:val="0"/>
        </w:rPr>
      </w:pPr>
      <w:r>
        <w:rPr>
          <w:snapToGrid w:val="0"/>
        </w:rPr>
        <w:tab/>
        <w:t>(c)</w:t>
      </w:r>
      <w:r>
        <w:rPr>
          <w:snapToGrid w:val="0"/>
        </w:rPr>
        <w:tab/>
        <w:t>with the leave of the Court.</w:t>
      </w:r>
    </w:p>
    <w:p w:rsidR="00425758" w:rsidRDefault="00425758">
      <w:pPr>
        <w:pStyle w:val="Subsection"/>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rsidR="00425758" w:rsidRDefault="00425758">
      <w:pPr>
        <w:pStyle w:val="Heading5"/>
        <w:spacing w:before="240"/>
        <w:rPr>
          <w:snapToGrid w:val="0"/>
        </w:rPr>
      </w:pPr>
      <w:bookmarkStart w:id="248" w:name="_Toc75862934"/>
      <w:r>
        <w:rPr>
          <w:rStyle w:val="CharSectno"/>
        </w:rPr>
        <w:t>2</w:t>
      </w:r>
      <w:r>
        <w:rPr>
          <w:snapToGrid w:val="0"/>
        </w:rPr>
        <w:t>.</w:t>
      </w:r>
      <w:r>
        <w:rPr>
          <w:snapToGrid w:val="0"/>
        </w:rPr>
        <w:tab/>
        <w:t>Counterclaim against plaintiff</w:t>
      </w:r>
      <w:bookmarkEnd w:id="248"/>
    </w:p>
    <w:p w:rsidR="00425758" w:rsidRDefault="00425758">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rsidR="00425758" w:rsidRDefault="00425758">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rsidR="00425758" w:rsidRDefault="00425758">
      <w:pPr>
        <w:pStyle w:val="Subsection"/>
        <w:spacing w:before="120"/>
        <w:rPr>
          <w:snapToGrid w:val="0"/>
        </w:rPr>
      </w:pPr>
      <w:r>
        <w:rPr>
          <w:snapToGrid w:val="0"/>
        </w:rPr>
        <w:lastRenderedPageBreak/>
        <w:tab/>
        <w:t>(3)</w:t>
      </w:r>
      <w:r>
        <w:rPr>
          <w:snapToGrid w:val="0"/>
        </w:rPr>
        <w:tab/>
        <w:t>A counterclaim may be proceeded with notwithstanding that judgment is given for the plaintiff in the action or that the action is stayed, discontinued or dismissed.</w:t>
      </w:r>
    </w:p>
    <w:p w:rsidR="00425758" w:rsidRDefault="00425758">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rsidR="00425758" w:rsidRDefault="00425758">
      <w:pPr>
        <w:pStyle w:val="Heading5"/>
        <w:rPr>
          <w:snapToGrid w:val="0"/>
        </w:rPr>
      </w:pPr>
      <w:bookmarkStart w:id="249" w:name="_Toc75862935"/>
      <w:r>
        <w:rPr>
          <w:rStyle w:val="CharSectno"/>
        </w:rPr>
        <w:t>3</w:t>
      </w:r>
      <w:r>
        <w:rPr>
          <w:snapToGrid w:val="0"/>
        </w:rPr>
        <w:t>.</w:t>
      </w:r>
      <w:r>
        <w:rPr>
          <w:snapToGrid w:val="0"/>
        </w:rPr>
        <w:tab/>
        <w:t>Counterclaim against additional parties</w:t>
      </w:r>
      <w:bookmarkEnd w:id="249"/>
    </w:p>
    <w:p w:rsidR="00425758" w:rsidRDefault="00425758">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rsidR="00425758" w:rsidRDefault="00425758">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rsidR="00425758" w:rsidRDefault="00425758">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rsidR="00425758" w:rsidRDefault="00425758">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w:t>
      </w:r>
      <w:r>
        <w:rPr>
          <w:snapToGrid w:val="0"/>
        </w:rPr>
        <w:lastRenderedPageBreak/>
        <w:t xml:space="preserve">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rsidR="00425758" w:rsidRDefault="00425758">
      <w:pPr>
        <w:pStyle w:val="Indenta"/>
        <w:rPr>
          <w:snapToGrid w:val="0"/>
        </w:rPr>
      </w:pPr>
      <w:r>
        <w:rPr>
          <w:snapToGrid w:val="0"/>
        </w:rPr>
        <w:tab/>
        <w:t>(a)</w:t>
      </w:r>
      <w:r>
        <w:rPr>
          <w:snapToGrid w:val="0"/>
        </w:rPr>
        <w:tab/>
        <w:t>the counterclaim were a writ and the proceedings arising from it an action; and</w:t>
      </w:r>
    </w:p>
    <w:p w:rsidR="00425758" w:rsidRDefault="00425758">
      <w:pPr>
        <w:pStyle w:val="Indenta"/>
        <w:rPr>
          <w:snapToGrid w:val="0"/>
        </w:rPr>
      </w:pPr>
      <w:r>
        <w:rPr>
          <w:snapToGrid w:val="0"/>
        </w:rPr>
        <w:tab/>
        <w:t>(b)</w:t>
      </w:r>
      <w:r>
        <w:rPr>
          <w:snapToGrid w:val="0"/>
        </w:rPr>
        <w:tab/>
        <w:t>the party making the counterclaim were a plaintiff and the party against who it is made a defendant in that action.</w:t>
      </w:r>
    </w:p>
    <w:p w:rsidR="00425758" w:rsidRDefault="00425758">
      <w:pPr>
        <w:pStyle w:val="Subsection"/>
      </w:pPr>
      <w:r>
        <w:tab/>
        <w:t>(5)</w:t>
      </w:r>
      <w:r>
        <w:tab/>
        <w:t>A copy of a counterclaim required to be served on a person who is not already a party to the action must be indorsed with a notice, in Form No. 10, addressed to that person.</w:t>
      </w:r>
    </w:p>
    <w:p w:rsidR="00425758" w:rsidRDefault="00425758">
      <w:pPr>
        <w:pStyle w:val="Footnotesection"/>
        <w:spacing w:before="100"/>
        <w:ind w:left="890" w:hanging="890"/>
      </w:pPr>
      <w:r>
        <w:tab/>
        <w:t>[Rule 3 amended: Gazette 22 Feb 2008 p. 635; 28 Jun 2011 p. 2552 and 2553; 12 Jun 2012 p. 2451.]</w:t>
      </w:r>
    </w:p>
    <w:p w:rsidR="00425758" w:rsidRDefault="00425758">
      <w:pPr>
        <w:pStyle w:val="Heading5"/>
        <w:rPr>
          <w:snapToGrid w:val="0"/>
        </w:rPr>
      </w:pPr>
      <w:bookmarkStart w:id="250" w:name="_Toc75862936"/>
      <w:r>
        <w:rPr>
          <w:rStyle w:val="CharSectno"/>
        </w:rPr>
        <w:t>4</w:t>
      </w:r>
      <w:r>
        <w:rPr>
          <w:snapToGrid w:val="0"/>
        </w:rPr>
        <w:t>.</w:t>
      </w:r>
      <w:r>
        <w:rPr>
          <w:snapToGrid w:val="0"/>
        </w:rPr>
        <w:tab/>
        <w:t>Joinder of parties</w:t>
      </w:r>
      <w:bookmarkEnd w:id="250"/>
    </w:p>
    <w:p w:rsidR="00425758" w:rsidRDefault="00425758">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rsidR="00425758" w:rsidRDefault="00425758">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rsidR="00425758" w:rsidRDefault="00425758">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rsidR="00425758" w:rsidRDefault="00425758">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rsidR="00425758" w:rsidRDefault="00425758">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rsidR="00425758" w:rsidRDefault="00425758">
      <w:pPr>
        <w:pStyle w:val="Subsection"/>
        <w:rPr>
          <w:snapToGrid w:val="0"/>
        </w:rPr>
      </w:pPr>
      <w:r>
        <w:rPr>
          <w:snapToGrid w:val="0"/>
        </w:rPr>
        <w:lastRenderedPageBreak/>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rsidR="00425758" w:rsidRDefault="00425758">
      <w:pPr>
        <w:pStyle w:val="Footnotesection"/>
        <w:ind w:left="890" w:hanging="890"/>
      </w:pPr>
      <w:r>
        <w:tab/>
        <w:t>[Rule 4 amended: Gazette 28 Jun 2011 p. 2552.]</w:t>
      </w:r>
    </w:p>
    <w:p w:rsidR="00425758" w:rsidRDefault="00425758">
      <w:pPr>
        <w:pStyle w:val="Heading5"/>
        <w:spacing w:before="240"/>
        <w:rPr>
          <w:snapToGrid w:val="0"/>
        </w:rPr>
      </w:pPr>
      <w:bookmarkStart w:id="251" w:name="_Toc75862937"/>
      <w:r>
        <w:rPr>
          <w:rStyle w:val="CharSectno"/>
        </w:rPr>
        <w:t>5</w:t>
      </w:r>
      <w:r>
        <w:rPr>
          <w:snapToGrid w:val="0"/>
        </w:rPr>
        <w:t>.</w:t>
      </w:r>
      <w:r>
        <w:rPr>
          <w:snapToGrid w:val="0"/>
        </w:rPr>
        <w:tab/>
        <w:t>Court may order separate trials etc.</w:t>
      </w:r>
      <w:bookmarkEnd w:id="251"/>
    </w:p>
    <w:p w:rsidR="00425758" w:rsidRDefault="00425758">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rsidR="00425758" w:rsidRDefault="00425758">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rsidR="00425758" w:rsidRDefault="00425758">
      <w:pPr>
        <w:pStyle w:val="Heading5"/>
        <w:spacing w:before="240"/>
        <w:rPr>
          <w:snapToGrid w:val="0"/>
        </w:rPr>
      </w:pPr>
      <w:bookmarkStart w:id="252" w:name="_Toc75862938"/>
      <w:r>
        <w:rPr>
          <w:rStyle w:val="CharSectno"/>
        </w:rPr>
        <w:t>6</w:t>
      </w:r>
      <w:r>
        <w:rPr>
          <w:snapToGrid w:val="0"/>
        </w:rPr>
        <w:t>.</w:t>
      </w:r>
      <w:r>
        <w:rPr>
          <w:snapToGrid w:val="0"/>
        </w:rPr>
        <w:tab/>
        <w:t>Misjoinder and nonjoinder of parties</w:t>
      </w:r>
      <w:bookmarkEnd w:id="252"/>
    </w:p>
    <w:p w:rsidR="00425758" w:rsidRDefault="00425758">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rsidR="00425758" w:rsidRDefault="00425758">
      <w:pPr>
        <w:pStyle w:val="Subsection"/>
        <w:keepNext/>
        <w:rPr>
          <w:snapToGrid w:val="0"/>
        </w:rPr>
      </w:pPr>
      <w:r>
        <w:rPr>
          <w:snapToGrid w:val="0"/>
        </w:rPr>
        <w:lastRenderedPageBreak/>
        <w:tab/>
        <w:t>(2)</w:t>
      </w:r>
      <w:r>
        <w:rPr>
          <w:snapToGrid w:val="0"/>
        </w:rPr>
        <w:tab/>
        <w:t>At any stage of the proceedings in any cause or matter the Court may on such terms as it thinks just and either of its own motion or on application — </w:t>
      </w:r>
    </w:p>
    <w:p w:rsidR="00425758" w:rsidRDefault="00425758">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rsidR="00425758" w:rsidRDefault="00425758">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rsidR="00425758" w:rsidRDefault="00425758">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rsidR="00425758" w:rsidRDefault="00425758">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rsidR="00425758" w:rsidRDefault="00425758">
      <w:pPr>
        <w:pStyle w:val="Footnotesection"/>
        <w:spacing w:before="80"/>
        <w:ind w:left="890" w:hanging="890"/>
      </w:pPr>
      <w:r>
        <w:tab/>
        <w:t>[Rule 6 amended: Gazette 28 Jun 2011 p. 2552.]</w:t>
      </w:r>
    </w:p>
    <w:p w:rsidR="00425758" w:rsidRDefault="00425758">
      <w:pPr>
        <w:pStyle w:val="Heading5"/>
        <w:spacing w:before="180"/>
        <w:rPr>
          <w:snapToGrid w:val="0"/>
        </w:rPr>
      </w:pPr>
      <w:bookmarkStart w:id="253" w:name="_Toc75862939"/>
      <w:r>
        <w:rPr>
          <w:rStyle w:val="CharSectno"/>
        </w:rPr>
        <w:t>7</w:t>
      </w:r>
      <w:r>
        <w:rPr>
          <w:snapToGrid w:val="0"/>
        </w:rPr>
        <w:t>.</w:t>
      </w:r>
      <w:r>
        <w:rPr>
          <w:snapToGrid w:val="0"/>
        </w:rPr>
        <w:tab/>
        <w:t>Change of parties by reason of death etc.</w:t>
      </w:r>
      <w:bookmarkEnd w:id="253"/>
    </w:p>
    <w:p w:rsidR="00425758" w:rsidRDefault="00425758">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rsidR="00425758" w:rsidRDefault="00425758">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rsidR="00425758" w:rsidRDefault="00425758">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rsidR="00425758" w:rsidRDefault="00425758">
      <w:pPr>
        <w:pStyle w:val="Subsection"/>
        <w:rPr>
          <w:snapToGrid w:val="0"/>
        </w:rPr>
      </w:pPr>
      <w:r>
        <w:rPr>
          <w:snapToGrid w:val="0"/>
        </w:rPr>
        <w:lastRenderedPageBreak/>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rsidR="00425758" w:rsidRDefault="00425758">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rsidR="00425758" w:rsidRDefault="00425758">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rsidR="00425758" w:rsidRDefault="00425758">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rsidR="00425758" w:rsidRDefault="00425758">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rsidR="00425758" w:rsidRDefault="00425758">
      <w:pPr>
        <w:pStyle w:val="Footnotesection"/>
      </w:pPr>
      <w:r>
        <w:tab/>
        <w:t>[Rule 7 amended: Gazette 28 Jun 2011 p. 2552.]</w:t>
      </w:r>
    </w:p>
    <w:p w:rsidR="00425758" w:rsidRDefault="00425758">
      <w:pPr>
        <w:pStyle w:val="Heading5"/>
        <w:rPr>
          <w:snapToGrid w:val="0"/>
        </w:rPr>
      </w:pPr>
      <w:bookmarkStart w:id="254" w:name="_Toc75862940"/>
      <w:r>
        <w:rPr>
          <w:rStyle w:val="CharSectno"/>
        </w:rPr>
        <w:t>8</w:t>
      </w:r>
      <w:r>
        <w:rPr>
          <w:snapToGrid w:val="0"/>
        </w:rPr>
        <w:t>.</w:t>
      </w:r>
      <w:r>
        <w:rPr>
          <w:snapToGrid w:val="0"/>
        </w:rPr>
        <w:tab/>
        <w:t>Order made under r. 6 or 7, consequences of</w:t>
      </w:r>
      <w:bookmarkEnd w:id="254"/>
    </w:p>
    <w:p w:rsidR="00425758" w:rsidRDefault="00425758">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rsidR="00425758" w:rsidRDefault="00425758">
      <w:pPr>
        <w:pStyle w:val="Indenta"/>
        <w:rPr>
          <w:snapToGrid w:val="0"/>
        </w:rPr>
      </w:pPr>
      <w:r>
        <w:rPr>
          <w:snapToGrid w:val="0"/>
        </w:rPr>
        <w:tab/>
        <w:t>(a)</w:t>
      </w:r>
      <w:r>
        <w:rPr>
          <w:snapToGrid w:val="0"/>
        </w:rPr>
        <w:tab/>
        <w:t>a reference to the order in pursuance of which the amendment is made; and</w:t>
      </w:r>
    </w:p>
    <w:p w:rsidR="00425758" w:rsidRDefault="00425758">
      <w:pPr>
        <w:pStyle w:val="Indenta"/>
        <w:rPr>
          <w:snapToGrid w:val="0"/>
        </w:rPr>
      </w:pPr>
      <w:r>
        <w:rPr>
          <w:snapToGrid w:val="0"/>
        </w:rPr>
        <w:tab/>
        <w:t>(b)</w:t>
      </w:r>
      <w:r>
        <w:rPr>
          <w:snapToGrid w:val="0"/>
        </w:rPr>
        <w:tab/>
        <w:t>the date on which the amendment is made,</w:t>
      </w:r>
    </w:p>
    <w:p w:rsidR="00425758" w:rsidRDefault="00425758">
      <w:pPr>
        <w:pStyle w:val="Subsection"/>
        <w:spacing w:before="120"/>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rsidR="00425758" w:rsidRDefault="00425758">
      <w:pPr>
        <w:pStyle w:val="Subsection"/>
        <w:spacing w:before="120"/>
        <w:rPr>
          <w:snapToGrid w:val="0"/>
        </w:rPr>
      </w:pPr>
      <w:r>
        <w:rPr>
          <w:snapToGrid w:val="0"/>
        </w:rPr>
        <w:lastRenderedPageBreak/>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rsidR="00425758" w:rsidRDefault="00425758">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rsidR="00425758" w:rsidRDefault="00425758">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rsidR="00425758" w:rsidRDefault="00425758">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rsidR="00425758" w:rsidRDefault="00425758">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rsidR="00425758" w:rsidRDefault="00425758">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rsidR="00425758" w:rsidRDefault="00425758">
      <w:pPr>
        <w:pStyle w:val="Footnotesection"/>
      </w:pPr>
      <w:r>
        <w:tab/>
        <w:t>[Rule 8 amended: Gazette 28 Jun 2011 p. 2553.]</w:t>
      </w:r>
    </w:p>
    <w:p w:rsidR="00425758" w:rsidRDefault="00425758">
      <w:pPr>
        <w:pStyle w:val="Heading5"/>
        <w:keepNext w:val="0"/>
        <w:keepLines w:val="0"/>
        <w:spacing w:before="180"/>
        <w:rPr>
          <w:snapToGrid w:val="0"/>
        </w:rPr>
      </w:pPr>
      <w:bookmarkStart w:id="255" w:name="_Toc75862941"/>
      <w:r>
        <w:rPr>
          <w:rStyle w:val="CharSectno"/>
        </w:rPr>
        <w:t>9</w:t>
      </w:r>
      <w:r>
        <w:rPr>
          <w:snapToGrid w:val="0"/>
        </w:rPr>
        <w:t>.</w:t>
      </w:r>
      <w:r>
        <w:rPr>
          <w:snapToGrid w:val="0"/>
        </w:rPr>
        <w:tab/>
        <w:t>Failure to proceed after death of party</w:t>
      </w:r>
      <w:bookmarkEnd w:id="255"/>
    </w:p>
    <w:p w:rsidR="00425758" w:rsidRDefault="00425758">
      <w:pPr>
        <w:pStyle w:val="Subsection"/>
        <w:spacing w:before="120"/>
        <w:rPr>
          <w:snapToGrid w:val="0"/>
        </w:rPr>
      </w:pPr>
      <w:r>
        <w:rPr>
          <w:snapToGrid w:val="0"/>
        </w:rPr>
        <w:tab/>
        <w:t>(1)</w:t>
      </w:r>
      <w:r>
        <w:rPr>
          <w:snapToGrid w:val="0"/>
        </w:rPr>
        <w:tab/>
        <w:t xml:space="preserve">If after the death of a plaintiff or defendant in any action the cause of action survives, but no order under rule 7 is made </w:t>
      </w:r>
      <w:r>
        <w:rPr>
          <w:snapToGrid w:val="0"/>
        </w:rPr>
        <w:lastRenderedPageBreak/>
        <w:t>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rsidR="00425758" w:rsidRDefault="00425758">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rsidR="00425758" w:rsidRDefault="00425758">
      <w:pPr>
        <w:pStyle w:val="Heading5"/>
        <w:spacing w:before="180"/>
        <w:rPr>
          <w:snapToGrid w:val="0"/>
        </w:rPr>
      </w:pPr>
      <w:bookmarkStart w:id="256" w:name="_Toc75862942"/>
      <w:r>
        <w:rPr>
          <w:rStyle w:val="CharSectno"/>
        </w:rPr>
        <w:t>10</w:t>
      </w:r>
      <w:r>
        <w:rPr>
          <w:snapToGrid w:val="0"/>
        </w:rPr>
        <w:t>.</w:t>
      </w:r>
      <w:r>
        <w:rPr>
          <w:snapToGrid w:val="0"/>
        </w:rPr>
        <w:tab/>
        <w:t>Action for possession of land, joining non-party who is in possession</w:t>
      </w:r>
      <w:bookmarkEnd w:id="256"/>
    </w:p>
    <w:p w:rsidR="00425758" w:rsidRDefault="00425758">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rsidR="00425758" w:rsidRDefault="00425758">
      <w:pPr>
        <w:pStyle w:val="Subsection"/>
        <w:spacing w:before="120"/>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rsidR="00425758" w:rsidRDefault="00425758">
      <w:pPr>
        <w:pStyle w:val="Subsection"/>
        <w:spacing w:before="120"/>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rsidR="00425758" w:rsidRDefault="00425758">
      <w:pPr>
        <w:pStyle w:val="Heading5"/>
        <w:rPr>
          <w:snapToGrid w:val="0"/>
        </w:rPr>
      </w:pPr>
      <w:bookmarkStart w:id="257" w:name="_Toc75862943"/>
      <w:r>
        <w:rPr>
          <w:rStyle w:val="CharSectno"/>
        </w:rPr>
        <w:lastRenderedPageBreak/>
        <w:t>11</w:t>
      </w:r>
      <w:r>
        <w:rPr>
          <w:snapToGrid w:val="0"/>
        </w:rPr>
        <w:t>.</w:t>
      </w:r>
      <w:r>
        <w:rPr>
          <w:snapToGrid w:val="0"/>
        </w:rPr>
        <w:tab/>
        <w:t>Relator actions</w:t>
      </w:r>
      <w:bookmarkEnd w:id="257"/>
    </w:p>
    <w:p w:rsidR="00425758" w:rsidRDefault="00425758">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rsidR="00425758" w:rsidRDefault="00425758">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rsidR="00425758" w:rsidRDefault="00425758">
      <w:pPr>
        <w:pStyle w:val="Heading5"/>
        <w:rPr>
          <w:snapToGrid w:val="0"/>
        </w:rPr>
      </w:pPr>
      <w:bookmarkStart w:id="258" w:name="_Toc75862944"/>
      <w:r>
        <w:rPr>
          <w:rStyle w:val="CharSectno"/>
        </w:rPr>
        <w:t>12</w:t>
      </w:r>
      <w:r>
        <w:rPr>
          <w:snapToGrid w:val="0"/>
        </w:rPr>
        <w:t>.</w:t>
      </w:r>
      <w:r>
        <w:rPr>
          <w:snapToGrid w:val="0"/>
        </w:rPr>
        <w:tab/>
        <w:t>Representative proceedings</w:t>
      </w:r>
      <w:bookmarkEnd w:id="258"/>
    </w:p>
    <w:p w:rsidR="00425758" w:rsidRDefault="00425758">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rsidR="00425758" w:rsidRDefault="00425758">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rsidR="00425758" w:rsidRDefault="00425758">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rsidR="00425758" w:rsidRDefault="00425758">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rsidR="00425758" w:rsidRDefault="00425758">
      <w:pPr>
        <w:pStyle w:val="Subsection"/>
        <w:rPr>
          <w:snapToGrid w:val="0"/>
        </w:rPr>
      </w:pPr>
      <w:r>
        <w:rPr>
          <w:snapToGrid w:val="0"/>
        </w:rPr>
        <w:lastRenderedPageBreak/>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rsidR="00425758" w:rsidRDefault="00425758">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rsidR="00425758" w:rsidRDefault="00425758">
      <w:pPr>
        <w:pStyle w:val="Footnotesection"/>
      </w:pPr>
      <w:r>
        <w:tab/>
        <w:t>[Rule 12 amended: Gazette 28 Jun 2011 p. 2552.]</w:t>
      </w:r>
    </w:p>
    <w:p w:rsidR="00425758" w:rsidRDefault="00425758">
      <w:pPr>
        <w:pStyle w:val="Heading5"/>
        <w:rPr>
          <w:snapToGrid w:val="0"/>
        </w:rPr>
      </w:pPr>
      <w:bookmarkStart w:id="259" w:name="_Toc75862945"/>
      <w:r>
        <w:rPr>
          <w:rStyle w:val="CharSectno"/>
        </w:rPr>
        <w:t>13</w:t>
      </w:r>
      <w:r>
        <w:rPr>
          <w:snapToGrid w:val="0"/>
        </w:rPr>
        <w:t>.</w:t>
      </w:r>
      <w:r>
        <w:rPr>
          <w:snapToGrid w:val="0"/>
        </w:rPr>
        <w:tab/>
        <w:t>Representation of interested persons who cannot be ascertained etc.</w:t>
      </w:r>
      <w:bookmarkEnd w:id="259"/>
    </w:p>
    <w:p w:rsidR="00425758" w:rsidRDefault="00425758">
      <w:pPr>
        <w:pStyle w:val="Subsection"/>
        <w:rPr>
          <w:snapToGrid w:val="0"/>
        </w:rPr>
      </w:pPr>
      <w:r>
        <w:rPr>
          <w:snapToGrid w:val="0"/>
        </w:rPr>
        <w:tab/>
        <w:t>(1)</w:t>
      </w:r>
      <w:r>
        <w:rPr>
          <w:snapToGrid w:val="0"/>
        </w:rPr>
        <w:tab/>
        <w:t>In any proceedings concerning — </w:t>
      </w:r>
    </w:p>
    <w:p w:rsidR="00425758" w:rsidRDefault="00425758">
      <w:pPr>
        <w:pStyle w:val="Indenta"/>
        <w:rPr>
          <w:snapToGrid w:val="0"/>
        </w:rPr>
      </w:pPr>
      <w:r>
        <w:rPr>
          <w:snapToGrid w:val="0"/>
        </w:rPr>
        <w:tab/>
        <w:t>(a)</w:t>
      </w:r>
      <w:r>
        <w:rPr>
          <w:snapToGrid w:val="0"/>
        </w:rPr>
        <w:tab/>
        <w:t>the administration of the estate of a deceased person; or</w:t>
      </w:r>
    </w:p>
    <w:p w:rsidR="00425758" w:rsidRDefault="00425758">
      <w:pPr>
        <w:pStyle w:val="Indenta"/>
        <w:rPr>
          <w:snapToGrid w:val="0"/>
        </w:rPr>
      </w:pPr>
      <w:r>
        <w:rPr>
          <w:snapToGrid w:val="0"/>
        </w:rPr>
        <w:tab/>
        <w:t>(b)</w:t>
      </w:r>
      <w:r>
        <w:rPr>
          <w:snapToGrid w:val="0"/>
        </w:rPr>
        <w:tab/>
        <w:t>property subject to a trust; or</w:t>
      </w:r>
    </w:p>
    <w:p w:rsidR="00425758" w:rsidRDefault="00425758">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rsidR="00425758" w:rsidRDefault="00425758">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rsidR="00425758" w:rsidRDefault="00425758">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rsidR="00425758" w:rsidRDefault="00425758">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rsidR="00425758" w:rsidRDefault="00425758">
      <w:pPr>
        <w:pStyle w:val="Indenta"/>
        <w:spacing w:before="70"/>
        <w:rPr>
          <w:snapToGrid w:val="0"/>
        </w:rPr>
      </w:pPr>
      <w:r>
        <w:rPr>
          <w:snapToGrid w:val="0"/>
        </w:rPr>
        <w:lastRenderedPageBreak/>
        <w:tab/>
        <w:t>(b)</w:t>
      </w:r>
      <w:r>
        <w:rPr>
          <w:snapToGrid w:val="0"/>
        </w:rPr>
        <w:tab/>
        <w:t>that the person, class or some member of the class, though ascertained, cannot be found;</w:t>
      </w:r>
    </w:p>
    <w:p w:rsidR="00425758" w:rsidRDefault="00425758">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rsidR="00425758" w:rsidRDefault="00425758">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rsidR="00425758" w:rsidRDefault="00425758">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rsidR="00425758" w:rsidRDefault="00425758">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rsidR="00425758" w:rsidRDefault="00425758">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rsidR="00425758" w:rsidRDefault="00425758">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rsidR="00425758" w:rsidRDefault="00425758">
      <w:pPr>
        <w:pStyle w:val="Footnotesection"/>
      </w:pPr>
      <w:r>
        <w:tab/>
        <w:t>[Rule 13 amended: Gazette 28 Jun 2011 p. 2552.]</w:t>
      </w:r>
    </w:p>
    <w:p w:rsidR="00425758" w:rsidRDefault="00425758">
      <w:pPr>
        <w:pStyle w:val="Heading5"/>
        <w:rPr>
          <w:snapToGrid w:val="0"/>
        </w:rPr>
      </w:pPr>
      <w:bookmarkStart w:id="260" w:name="_Toc75862946"/>
      <w:r>
        <w:rPr>
          <w:rStyle w:val="CharSectno"/>
        </w:rPr>
        <w:t>14</w:t>
      </w:r>
      <w:r>
        <w:rPr>
          <w:snapToGrid w:val="0"/>
        </w:rPr>
        <w:t>.</w:t>
      </w:r>
      <w:r>
        <w:rPr>
          <w:snapToGrid w:val="0"/>
        </w:rPr>
        <w:tab/>
        <w:t>Representation of beneficiaries by trustees etc.</w:t>
      </w:r>
      <w:bookmarkEnd w:id="260"/>
    </w:p>
    <w:p w:rsidR="00425758" w:rsidRDefault="00425758">
      <w:pPr>
        <w:pStyle w:val="Subsection"/>
        <w:rPr>
          <w:snapToGrid w:val="0"/>
        </w:rPr>
      </w:pPr>
      <w:r>
        <w:rPr>
          <w:snapToGrid w:val="0"/>
        </w:rPr>
        <w:tab/>
        <w:t>(1)</w:t>
      </w:r>
      <w:r>
        <w:rPr>
          <w:snapToGrid w:val="0"/>
        </w:rPr>
        <w:tab/>
        <w:t xml:space="preserve">Any proceedings, including proceedings to enforce a security by foreclosure or otherwise, may be brought by or against trustees, </w:t>
      </w:r>
      <w:r>
        <w:rPr>
          <w:snapToGrid w:val="0"/>
        </w:rPr>
        <w:lastRenderedPageBreak/>
        <w:t>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rsidR="00425758" w:rsidRDefault="00425758">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rsidR="00425758" w:rsidRDefault="00425758">
      <w:pPr>
        <w:pStyle w:val="Footnotesection"/>
      </w:pPr>
      <w:r>
        <w:tab/>
        <w:t>[Rule 14 amended: Gazette 28 Jun 2011 p. 2552.]</w:t>
      </w:r>
    </w:p>
    <w:p w:rsidR="00425758" w:rsidRDefault="00425758">
      <w:pPr>
        <w:pStyle w:val="Heading5"/>
        <w:rPr>
          <w:snapToGrid w:val="0"/>
        </w:rPr>
      </w:pPr>
      <w:bookmarkStart w:id="261" w:name="_Toc75862947"/>
      <w:r>
        <w:rPr>
          <w:rStyle w:val="CharSectno"/>
        </w:rPr>
        <w:t>15</w:t>
      </w:r>
      <w:r>
        <w:rPr>
          <w:snapToGrid w:val="0"/>
        </w:rPr>
        <w:t>.</w:t>
      </w:r>
      <w:r>
        <w:rPr>
          <w:snapToGrid w:val="0"/>
        </w:rPr>
        <w:tab/>
        <w:t>Representation of deceased person interested in proceedings</w:t>
      </w:r>
      <w:bookmarkEnd w:id="261"/>
    </w:p>
    <w:p w:rsidR="00425758" w:rsidRDefault="00425758">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rsidR="00425758" w:rsidRDefault="00425758">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rsidR="00425758" w:rsidRDefault="00425758">
      <w:pPr>
        <w:pStyle w:val="Heading5"/>
        <w:rPr>
          <w:snapToGrid w:val="0"/>
        </w:rPr>
      </w:pPr>
      <w:bookmarkStart w:id="262" w:name="_Toc75862948"/>
      <w:r>
        <w:rPr>
          <w:rStyle w:val="CharSectno"/>
        </w:rPr>
        <w:t>16</w:t>
      </w:r>
      <w:r>
        <w:rPr>
          <w:snapToGrid w:val="0"/>
        </w:rPr>
        <w:t>.</w:t>
      </w:r>
      <w:r>
        <w:rPr>
          <w:snapToGrid w:val="0"/>
        </w:rPr>
        <w:tab/>
        <w:t>Declaratory judgment</w:t>
      </w:r>
      <w:bookmarkEnd w:id="262"/>
    </w:p>
    <w:p w:rsidR="00425758" w:rsidRDefault="00425758">
      <w:pPr>
        <w:pStyle w:val="Subsection"/>
        <w:rPr>
          <w:snapToGrid w:val="0"/>
        </w:rPr>
      </w:pPr>
      <w:r>
        <w:rPr>
          <w:snapToGrid w:val="0"/>
        </w:rPr>
        <w:tab/>
      </w:r>
      <w:r>
        <w:rPr>
          <w:snapToGrid w:val="0"/>
        </w:rPr>
        <w:tab/>
        <w:t xml:space="preserve">No action or other proceeding shall be open to objection on the ground that a merely declaratory judgment or order is sought </w:t>
      </w:r>
      <w:r>
        <w:rPr>
          <w:snapToGrid w:val="0"/>
        </w:rPr>
        <w:lastRenderedPageBreak/>
        <w:t>thereby, and the Court may make binding declarations of right whether or not any consequential relief is or could be claimed.</w:t>
      </w:r>
    </w:p>
    <w:p w:rsidR="00425758" w:rsidRDefault="00425758">
      <w:pPr>
        <w:pStyle w:val="Heading5"/>
        <w:rPr>
          <w:snapToGrid w:val="0"/>
        </w:rPr>
      </w:pPr>
      <w:bookmarkStart w:id="263" w:name="_Toc75862949"/>
      <w:r>
        <w:rPr>
          <w:rStyle w:val="CharSectno"/>
        </w:rPr>
        <w:t>17</w:t>
      </w:r>
      <w:r>
        <w:rPr>
          <w:snapToGrid w:val="0"/>
        </w:rPr>
        <w:t>.</w:t>
      </w:r>
      <w:r>
        <w:rPr>
          <w:snapToGrid w:val="0"/>
        </w:rPr>
        <w:tab/>
        <w:t>Conduct of proceedings</w:t>
      </w:r>
      <w:bookmarkEnd w:id="263"/>
    </w:p>
    <w:p w:rsidR="00425758" w:rsidRDefault="00425758">
      <w:pPr>
        <w:pStyle w:val="Subsection"/>
        <w:rPr>
          <w:snapToGrid w:val="0"/>
        </w:rPr>
      </w:pPr>
      <w:r>
        <w:rPr>
          <w:snapToGrid w:val="0"/>
        </w:rPr>
        <w:tab/>
      </w:r>
      <w:r>
        <w:rPr>
          <w:snapToGrid w:val="0"/>
        </w:rPr>
        <w:tab/>
        <w:t>The Court may give the conduct of any action, inquiry or other proceeding to such person as it thinks fit.</w:t>
      </w:r>
    </w:p>
    <w:p w:rsidR="00425758" w:rsidRDefault="00425758">
      <w:pPr>
        <w:pStyle w:val="Heading2"/>
        <w:rPr>
          <w:b w:val="0"/>
        </w:rPr>
      </w:pPr>
      <w:bookmarkStart w:id="264" w:name="_Toc75511854"/>
      <w:bookmarkStart w:id="265" w:name="_Toc75862950"/>
      <w:r>
        <w:rPr>
          <w:rStyle w:val="CharPartNo"/>
        </w:rPr>
        <w:lastRenderedPageBreak/>
        <w:t>Order 19</w:t>
      </w:r>
      <w:r>
        <w:t> — </w:t>
      </w:r>
      <w:r>
        <w:rPr>
          <w:rStyle w:val="CharPartText"/>
        </w:rPr>
        <w:t>Third party and similar proceedings</w:t>
      </w:r>
      <w:bookmarkEnd w:id="264"/>
      <w:bookmarkEnd w:id="265"/>
    </w:p>
    <w:p w:rsidR="00425758" w:rsidRDefault="00425758">
      <w:pPr>
        <w:pStyle w:val="Heading5"/>
        <w:rPr>
          <w:snapToGrid w:val="0"/>
        </w:rPr>
      </w:pPr>
      <w:bookmarkStart w:id="266" w:name="_Toc75862951"/>
      <w:r>
        <w:rPr>
          <w:rStyle w:val="CharSectno"/>
        </w:rPr>
        <w:t>1</w:t>
      </w:r>
      <w:r>
        <w:rPr>
          <w:snapToGrid w:val="0"/>
        </w:rPr>
        <w:t>.</w:t>
      </w:r>
      <w:r>
        <w:rPr>
          <w:snapToGrid w:val="0"/>
        </w:rPr>
        <w:tab/>
        <w:t>Third party notice</w:t>
      </w:r>
      <w:bookmarkEnd w:id="266"/>
    </w:p>
    <w:p w:rsidR="00425758" w:rsidRDefault="00425758">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rsidR="00425758" w:rsidRDefault="00425758">
      <w:pPr>
        <w:pStyle w:val="Indenta"/>
        <w:rPr>
          <w:snapToGrid w:val="0"/>
        </w:rPr>
      </w:pPr>
      <w:r>
        <w:rPr>
          <w:snapToGrid w:val="0"/>
        </w:rPr>
        <w:tab/>
        <w:t>(a)</w:t>
      </w:r>
      <w:r>
        <w:rPr>
          <w:snapToGrid w:val="0"/>
        </w:rPr>
        <w:tab/>
        <w:t>that he is entitled to contribution or indemnity; or</w:t>
      </w:r>
    </w:p>
    <w:p w:rsidR="00425758" w:rsidRDefault="00425758">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rsidR="00425758" w:rsidRDefault="00425758">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rsidR="00425758" w:rsidRDefault="00425758">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rsidR="00425758" w:rsidRDefault="00425758">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rsidR="00425758" w:rsidRDefault="00425758">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rsidR="00425758" w:rsidRDefault="00425758">
      <w:pPr>
        <w:pStyle w:val="Footnotesection"/>
      </w:pPr>
      <w:r>
        <w:tab/>
        <w:t>[Rule 1 amended: Gazette 28 Jun 2011 p. 2552.]</w:t>
      </w:r>
    </w:p>
    <w:p w:rsidR="00425758" w:rsidRDefault="00425758">
      <w:pPr>
        <w:pStyle w:val="Heading5"/>
        <w:rPr>
          <w:snapToGrid w:val="0"/>
        </w:rPr>
      </w:pPr>
      <w:bookmarkStart w:id="267" w:name="_Toc75862952"/>
      <w:r>
        <w:rPr>
          <w:rStyle w:val="CharSectno"/>
        </w:rPr>
        <w:lastRenderedPageBreak/>
        <w:t>2</w:t>
      </w:r>
      <w:r>
        <w:rPr>
          <w:snapToGrid w:val="0"/>
        </w:rPr>
        <w:t>.</w:t>
      </w:r>
      <w:r>
        <w:rPr>
          <w:snapToGrid w:val="0"/>
        </w:rPr>
        <w:tab/>
        <w:t>Application for leave to issue third party notice</w:t>
      </w:r>
      <w:bookmarkEnd w:id="267"/>
    </w:p>
    <w:p w:rsidR="00425758" w:rsidRDefault="00425758">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rsidR="00425758" w:rsidRDefault="00425758">
      <w:pPr>
        <w:pStyle w:val="Subsection"/>
        <w:rPr>
          <w:snapToGrid w:val="0"/>
        </w:rPr>
      </w:pPr>
      <w:r>
        <w:rPr>
          <w:snapToGrid w:val="0"/>
        </w:rPr>
        <w:tab/>
        <w:t>(2)</w:t>
      </w:r>
      <w:r>
        <w:rPr>
          <w:snapToGrid w:val="0"/>
        </w:rPr>
        <w:tab/>
        <w:t>An application for leave to issue a third party notice must be supported by an affidavit stating — </w:t>
      </w:r>
    </w:p>
    <w:p w:rsidR="00425758" w:rsidRDefault="00425758">
      <w:pPr>
        <w:pStyle w:val="Indenta"/>
        <w:rPr>
          <w:snapToGrid w:val="0"/>
        </w:rPr>
      </w:pPr>
      <w:r>
        <w:rPr>
          <w:snapToGrid w:val="0"/>
        </w:rPr>
        <w:tab/>
        <w:t>(a)</w:t>
      </w:r>
      <w:r>
        <w:rPr>
          <w:snapToGrid w:val="0"/>
        </w:rPr>
        <w:tab/>
        <w:t>the nature of the claim made by the plaintiff in the action; and</w:t>
      </w:r>
    </w:p>
    <w:p w:rsidR="00425758" w:rsidRDefault="00425758">
      <w:pPr>
        <w:pStyle w:val="Indenta"/>
        <w:rPr>
          <w:snapToGrid w:val="0"/>
        </w:rPr>
      </w:pPr>
      <w:r>
        <w:rPr>
          <w:snapToGrid w:val="0"/>
        </w:rPr>
        <w:tab/>
        <w:t>(b)</w:t>
      </w:r>
      <w:r>
        <w:rPr>
          <w:snapToGrid w:val="0"/>
        </w:rPr>
        <w:tab/>
        <w:t>the stage which proceedings in the action have reached; and</w:t>
      </w:r>
    </w:p>
    <w:p w:rsidR="00425758" w:rsidRDefault="00425758">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rsidR="00425758" w:rsidRDefault="00425758">
      <w:pPr>
        <w:pStyle w:val="Indenta"/>
        <w:rPr>
          <w:snapToGrid w:val="0"/>
        </w:rPr>
      </w:pPr>
      <w:r>
        <w:rPr>
          <w:snapToGrid w:val="0"/>
        </w:rPr>
        <w:tab/>
        <w:t>(d)</w:t>
      </w:r>
      <w:r>
        <w:rPr>
          <w:snapToGrid w:val="0"/>
        </w:rPr>
        <w:tab/>
        <w:t>the name and address of the person against whom the third party notice is to be issued.</w:t>
      </w:r>
    </w:p>
    <w:p w:rsidR="00425758" w:rsidRDefault="00425758">
      <w:pPr>
        <w:pStyle w:val="Heading5"/>
        <w:rPr>
          <w:snapToGrid w:val="0"/>
        </w:rPr>
      </w:pPr>
      <w:bookmarkStart w:id="268" w:name="_Toc75862953"/>
      <w:r>
        <w:rPr>
          <w:rStyle w:val="CharSectno"/>
        </w:rPr>
        <w:t>3</w:t>
      </w:r>
      <w:r>
        <w:rPr>
          <w:snapToGrid w:val="0"/>
        </w:rPr>
        <w:t>.</w:t>
      </w:r>
      <w:r>
        <w:rPr>
          <w:snapToGrid w:val="0"/>
        </w:rPr>
        <w:tab/>
        <w:t>Issue and service of, and entry of appearance to, third party notice</w:t>
      </w:r>
      <w:bookmarkEnd w:id="268"/>
    </w:p>
    <w:p w:rsidR="00425758" w:rsidRDefault="00425758">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rsidR="00425758" w:rsidRDefault="00425758">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rsidR="00425758" w:rsidRDefault="00425758">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rsidR="00425758" w:rsidRDefault="00425758">
      <w:pPr>
        <w:pStyle w:val="Indenta"/>
        <w:rPr>
          <w:snapToGrid w:val="0"/>
        </w:rPr>
      </w:pPr>
      <w:r>
        <w:rPr>
          <w:snapToGrid w:val="0"/>
        </w:rPr>
        <w:tab/>
        <w:t>(a)</w:t>
      </w:r>
      <w:r>
        <w:rPr>
          <w:snapToGrid w:val="0"/>
        </w:rPr>
        <w:tab/>
        <w:t>the third party notice were a writ and the proceedings begun thereby an action; and</w:t>
      </w:r>
    </w:p>
    <w:p w:rsidR="00425758" w:rsidRDefault="00425758">
      <w:pPr>
        <w:pStyle w:val="Indenta"/>
        <w:rPr>
          <w:snapToGrid w:val="0"/>
        </w:rPr>
      </w:pPr>
      <w:r>
        <w:rPr>
          <w:snapToGrid w:val="0"/>
        </w:rPr>
        <w:lastRenderedPageBreak/>
        <w:tab/>
        <w:t>(b)</w:t>
      </w:r>
      <w:r>
        <w:rPr>
          <w:snapToGrid w:val="0"/>
        </w:rPr>
        <w:tab/>
        <w:t>the defendant issuing the third party notice were a plaintiff and the person against whom it is issued a defendant in that action.</w:t>
      </w:r>
    </w:p>
    <w:p w:rsidR="00425758" w:rsidRDefault="00425758">
      <w:pPr>
        <w:pStyle w:val="Footnotesection"/>
      </w:pPr>
      <w:r>
        <w:tab/>
        <w:t xml:space="preserve">[Rule 3 amended: Gazette 7 Oct 1977 p. 3602; 28 Jun 2011 p. 2553; 12 Jun 2012 p. 2451.] </w:t>
      </w:r>
    </w:p>
    <w:p w:rsidR="00425758" w:rsidRDefault="00425758">
      <w:pPr>
        <w:pStyle w:val="Heading5"/>
        <w:spacing w:before="240"/>
        <w:rPr>
          <w:snapToGrid w:val="0"/>
        </w:rPr>
      </w:pPr>
      <w:bookmarkStart w:id="269" w:name="_Toc75862954"/>
      <w:r>
        <w:rPr>
          <w:rStyle w:val="CharSectno"/>
        </w:rPr>
        <w:t>4</w:t>
      </w:r>
      <w:r>
        <w:rPr>
          <w:snapToGrid w:val="0"/>
        </w:rPr>
        <w:t>.</w:t>
      </w:r>
      <w:r>
        <w:rPr>
          <w:snapToGrid w:val="0"/>
        </w:rPr>
        <w:tab/>
        <w:t>Third party directions</w:t>
      </w:r>
      <w:bookmarkEnd w:id="269"/>
    </w:p>
    <w:p w:rsidR="00425758" w:rsidRDefault="00425758">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rsidR="00425758" w:rsidRDefault="00425758">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rsidR="00425758" w:rsidRDefault="00425758">
      <w:pPr>
        <w:pStyle w:val="Subsection"/>
        <w:rPr>
          <w:snapToGrid w:val="0"/>
        </w:rPr>
      </w:pPr>
      <w:r>
        <w:rPr>
          <w:snapToGrid w:val="0"/>
        </w:rPr>
        <w:tab/>
        <w:t>(3)</w:t>
      </w:r>
      <w:r>
        <w:rPr>
          <w:snapToGrid w:val="0"/>
        </w:rPr>
        <w:tab/>
        <w:t>On an application for directions under this rule the Court may — </w:t>
      </w:r>
    </w:p>
    <w:p w:rsidR="00425758" w:rsidRDefault="00425758">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rsidR="00425758" w:rsidRDefault="00425758">
      <w:pPr>
        <w:pStyle w:val="Indenta"/>
        <w:rPr>
          <w:snapToGrid w:val="0"/>
        </w:rPr>
      </w:pPr>
      <w:r>
        <w:rPr>
          <w:snapToGrid w:val="0"/>
        </w:rPr>
        <w:tab/>
        <w:t>(b)</w:t>
      </w:r>
      <w:r>
        <w:rPr>
          <w:snapToGrid w:val="0"/>
        </w:rPr>
        <w:tab/>
        <w:t>order any claim, question or issue stated in the third party notice to be tried in such manner as the Court may direct; or</w:t>
      </w:r>
    </w:p>
    <w:p w:rsidR="00425758" w:rsidRDefault="00425758">
      <w:pPr>
        <w:pStyle w:val="Indenta"/>
        <w:keepNext/>
        <w:keepLines/>
        <w:rPr>
          <w:snapToGrid w:val="0"/>
        </w:rPr>
      </w:pPr>
      <w:r>
        <w:rPr>
          <w:snapToGrid w:val="0"/>
        </w:rPr>
        <w:tab/>
        <w:t>(c)</w:t>
      </w:r>
      <w:r>
        <w:rPr>
          <w:snapToGrid w:val="0"/>
        </w:rPr>
        <w:tab/>
        <w:t>dismiss the application and terminate the proceedings on the third party notice,</w:t>
      </w:r>
    </w:p>
    <w:p w:rsidR="00425758" w:rsidRDefault="00425758">
      <w:pPr>
        <w:pStyle w:val="Subsection"/>
        <w:rPr>
          <w:snapToGrid w:val="0"/>
        </w:rPr>
      </w:pPr>
      <w:r>
        <w:rPr>
          <w:snapToGrid w:val="0"/>
        </w:rPr>
        <w:tab/>
      </w:r>
      <w:r>
        <w:rPr>
          <w:snapToGrid w:val="0"/>
        </w:rPr>
        <w:tab/>
        <w:t>and may do so either before or after any judgment in the action has been signed by the plaintiff against the defendant.</w:t>
      </w:r>
    </w:p>
    <w:p w:rsidR="00425758" w:rsidRDefault="00425758">
      <w:pPr>
        <w:pStyle w:val="Subsection"/>
        <w:rPr>
          <w:snapToGrid w:val="0"/>
        </w:rPr>
      </w:pPr>
      <w:r>
        <w:rPr>
          <w:snapToGrid w:val="0"/>
        </w:rPr>
        <w:tab/>
        <w:t>(4)</w:t>
      </w:r>
      <w:r>
        <w:rPr>
          <w:snapToGrid w:val="0"/>
        </w:rPr>
        <w:tab/>
        <w:t xml:space="preserve">On an application for directions under this rule the Court may give the third party leave to defend the action, either alone or jointly with any defendant, upon such terms as may be just, or to </w:t>
      </w:r>
      <w:r>
        <w:rPr>
          <w:snapToGrid w:val="0"/>
        </w:rPr>
        <w:lastRenderedPageBreak/>
        <w:t>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rsidR="00425758" w:rsidRDefault="00425758">
      <w:pPr>
        <w:pStyle w:val="Subsection"/>
        <w:rPr>
          <w:snapToGrid w:val="0"/>
        </w:rPr>
      </w:pPr>
      <w:r>
        <w:rPr>
          <w:snapToGrid w:val="0"/>
        </w:rPr>
        <w:tab/>
        <w:t>(5)</w:t>
      </w:r>
      <w:r>
        <w:rPr>
          <w:snapToGrid w:val="0"/>
        </w:rPr>
        <w:tab/>
        <w:t>The Court may at any time vary or rescind any order made or direction given under this rule.</w:t>
      </w:r>
    </w:p>
    <w:p w:rsidR="00425758" w:rsidRDefault="00425758">
      <w:pPr>
        <w:pStyle w:val="Footnotesection"/>
      </w:pPr>
      <w:r>
        <w:tab/>
        <w:t xml:space="preserve">[Rule 4 amended: Gazette 26 Aug 1994 p. 4410; 28 Jun 2011 p. 2552.] </w:t>
      </w:r>
    </w:p>
    <w:p w:rsidR="00425758" w:rsidRDefault="00425758">
      <w:pPr>
        <w:pStyle w:val="Heading5"/>
        <w:rPr>
          <w:snapToGrid w:val="0"/>
        </w:rPr>
      </w:pPr>
      <w:bookmarkStart w:id="270" w:name="_Toc75862955"/>
      <w:r>
        <w:rPr>
          <w:rStyle w:val="CharSectno"/>
        </w:rPr>
        <w:t>5</w:t>
      </w:r>
      <w:r>
        <w:rPr>
          <w:snapToGrid w:val="0"/>
        </w:rPr>
        <w:t>.</w:t>
      </w:r>
      <w:r>
        <w:rPr>
          <w:snapToGrid w:val="0"/>
        </w:rPr>
        <w:tab/>
        <w:t>Default of third party etc.</w:t>
      </w:r>
      <w:bookmarkEnd w:id="270"/>
    </w:p>
    <w:p w:rsidR="00425758" w:rsidRDefault="00425758">
      <w:pPr>
        <w:pStyle w:val="Subsection"/>
        <w:rPr>
          <w:snapToGrid w:val="0"/>
        </w:rPr>
      </w:pPr>
      <w:r>
        <w:rPr>
          <w:snapToGrid w:val="0"/>
        </w:rPr>
        <w:tab/>
        <w:t>(1)</w:t>
      </w:r>
      <w:r>
        <w:rPr>
          <w:snapToGrid w:val="0"/>
        </w:rPr>
        <w:tab/>
        <w:t>If a third party does not enter an appearance or, having been ordered to serve a defence, fails to do so — </w:t>
      </w:r>
    </w:p>
    <w:p w:rsidR="00425758" w:rsidRDefault="00425758">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rsidR="00425758" w:rsidRDefault="00425758">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rsidR="00425758" w:rsidRDefault="00425758">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rsidR="00425758" w:rsidRDefault="00425758">
      <w:pPr>
        <w:pStyle w:val="Subsection"/>
        <w:rPr>
          <w:snapToGrid w:val="0"/>
        </w:rPr>
      </w:pPr>
      <w:r>
        <w:rPr>
          <w:snapToGrid w:val="0"/>
        </w:rPr>
        <w:lastRenderedPageBreak/>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rsidR="00425758" w:rsidRDefault="00425758">
      <w:pPr>
        <w:pStyle w:val="Footnotesection"/>
      </w:pPr>
      <w:r>
        <w:tab/>
        <w:t>[Rule 5 amended: Gazette 28 Jun 2011 p. 2552.]</w:t>
      </w:r>
    </w:p>
    <w:p w:rsidR="00425758" w:rsidRDefault="00425758">
      <w:pPr>
        <w:pStyle w:val="Heading5"/>
        <w:rPr>
          <w:snapToGrid w:val="0"/>
        </w:rPr>
      </w:pPr>
      <w:bookmarkStart w:id="271" w:name="_Toc75862956"/>
      <w:r>
        <w:rPr>
          <w:rStyle w:val="CharSectno"/>
        </w:rPr>
        <w:t>6</w:t>
      </w:r>
      <w:r>
        <w:rPr>
          <w:snapToGrid w:val="0"/>
        </w:rPr>
        <w:t>.</w:t>
      </w:r>
      <w:r>
        <w:rPr>
          <w:snapToGrid w:val="0"/>
        </w:rPr>
        <w:tab/>
        <w:t>Setting aside third party proceedings</w:t>
      </w:r>
      <w:bookmarkEnd w:id="271"/>
    </w:p>
    <w:p w:rsidR="00425758" w:rsidRDefault="00425758">
      <w:pPr>
        <w:pStyle w:val="Subsection"/>
        <w:rPr>
          <w:snapToGrid w:val="0"/>
        </w:rPr>
      </w:pPr>
      <w:r>
        <w:rPr>
          <w:snapToGrid w:val="0"/>
        </w:rPr>
        <w:tab/>
      </w:r>
      <w:r>
        <w:rPr>
          <w:snapToGrid w:val="0"/>
        </w:rPr>
        <w:tab/>
        <w:t>Proceedings on a third party notice may, at any stage of the proceedings, be set aside by the Court.</w:t>
      </w:r>
    </w:p>
    <w:p w:rsidR="00425758" w:rsidRDefault="00425758">
      <w:pPr>
        <w:pStyle w:val="Heading5"/>
        <w:spacing w:before="180"/>
        <w:rPr>
          <w:snapToGrid w:val="0"/>
        </w:rPr>
      </w:pPr>
      <w:bookmarkStart w:id="272" w:name="_Toc75862957"/>
      <w:r>
        <w:rPr>
          <w:rStyle w:val="CharSectno"/>
        </w:rPr>
        <w:t>7</w:t>
      </w:r>
      <w:r>
        <w:rPr>
          <w:snapToGrid w:val="0"/>
        </w:rPr>
        <w:t>.</w:t>
      </w:r>
      <w:r>
        <w:rPr>
          <w:snapToGrid w:val="0"/>
        </w:rPr>
        <w:tab/>
        <w:t>Judgment between defendant and third party</w:t>
      </w:r>
      <w:bookmarkEnd w:id="272"/>
    </w:p>
    <w:p w:rsidR="00425758" w:rsidRDefault="00425758">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rsidR="00425758" w:rsidRDefault="00425758">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rsidR="00425758" w:rsidRDefault="00425758">
      <w:pPr>
        <w:pStyle w:val="Heading5"/>
        <w:spacing w:before="180"/>
        <w:rPr>
          <w:snapToGrid w:val="0"/>
        </w:rPr>
      </w:pPr>
      <w:bookmarkStart w:id="273" w:name="_Toc75862958"/>
      <w:r>
        <w:rPr>
          <w:rStyle w:val="CharSectno"/>
        </w:rPr>
        <w:t>8</w:t>
      </w:r>
      <w:r>
        <w:rPr>
          <w:snapToGrid w:val="0"/>
        </w:rPr>
        <w:t>.</w:t>
      </w:r>
      <w:r>
        <w:rPr>
          <w:snapToGrid w:val="0"/>
        </w:rPr>
        <w:tab/>
        <w:t>Claims and issues between defendant and another party</w:t>
      </w:r>
      <w:bookmarkEnd w:id="273"/>
    </w:p>
    <w:p w:rsidR="00425758" w:rsidRDefault="00425758">
      <w:pPr>
        <w:pStyle w:val="Subsection"/>
        <w:spacing w:before="100"/>
        <w:rPr>
          <w:snapToGrid w:val="0"/>
        </w:rPr>
      </w:pPr>
      <w:r>
        <w:rPr>
          <w:snapToGrid w:val="0"/>
        </w:rPr>
        <w:tab/>
        <w:t>(1)</w:t>
      </w:r>
      <w:r>
        <w:rPr>
          <w:snapToGrid w:val="0"/>
        </w:rPr>
        <w:tab/>
        <w:t>Where in any action a defendant who has entered an appearance — </w:t>
      </w:r>
    </w:p>
    <w:p w:rsidR="00425758" w:rsidRDefault="00425758">
      <w:pPr>
        <w:pStyle w:val="Indenta"/>
        <w:rPr>
          <w:snapToGrid w:val="0"/>
        </w:rPr>
      </w:pPr>
      <w:r>
        <w:rPr>
          <w:snapToGrid w:val="0"/>
        </w:rPr>
        <w:tab/>
        <w:t>(a)</w:t>
      </w:r>
      <w:r>
        <w:rPr>
          <w:snapToGrid w:val="0"/>
        </w:rPr>
        <w:tab/>
        <w:t>claims against a person who is already a party to the action any contribution or indemnity; or</w:t>
      </w:r>
    </w:p>
    <w:p w:rsidR="00425758" w:rsidRDefault="00425758">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rsidR="00425758" w:rsidRDefault="00425758">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 xml:space="preserve">matter of the action should be determined not only as between the plaintiff </w:t>
      </w:r>
      <w:r>
        <w:rPr>
          <w:snapToGrid w:val="0"/>
        </w:rPr>
        <w:lastRenderedPageBreak/>
        <w:t>and himself but also as between either or both of them and some other person who is already a party to the action,</w:t>
      </w:r>
    </w:p>
    <w:p w:rsidR="00425758" w:rsidRDefault="00425758">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rsidR="00425758" w:rsidRDefault="00425758">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rsidR="00425758" w:rsidRDefault="00425758">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rsidR="00425758" w:rsidRDefault="00425758">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rsidR="00425758" w:rsidRDefault="00425758">
      <w:pPr>
        <w:pStyle w:val="Footnotesection"/>
      </w:pPr>
      <w:r>
        <w:tab/>
        <w:t>[Rule 8 amended: Gazette 28 Jun 2011 p. 2552.]</w:t>
      </w:r>
    </w:p>
    <w:p w:rsidR="00425758" w:rsidRDefault="00425758">
      <w:pPr>
        <w:pStyle w:val="Heading5"/>
        <w:rPr>
          <w:snapToGrid w:val="0"/>
        </w:rPr>
      </w:pPr>
      <w:bookmarkStart w:id="274" w:name="_Toc75862959"/>
      <w:r>
        <w:rPr>
          <w:rStyle w:val="CharSectno"/>
        </w:rPr>
        <w:t>9</w:t>
      </w:r>
      <w:r>
        <w:rPr>
          <w:snapToGrid w:val="0"/>
        </w:rPr>
        <w:t>.</w:t>
      </w:r>
      <w:r>
        <w:rPr>
          <w:snapToGrid w:val="0"/>
        </w:rPr>
        <w:tab/>
        <w:t>Claims by third and subsequent parties</w:t>
      </w:r>
      <w:bookmarkEnd w:id="274"/>
    </w:p>
    <w:p w:rsidR="00425758" w:rsidRDefault="00425758">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xml:space="preserve"> (2) and any other necessary modifications, apply as if the third party were a defendant; and similarly where any further person to whom by virtue of this rule this Order </w:t>
      </w:r>
      <w:r>
        <w:rPr>
          <w:snapToGrid w:val="0"/>
        </w:rPr>
        <w:lastRenderedPageBreak/>
        <w:t>applies as if he were a third party makes such a claim or requirement.</w:t>
      </w:r>
    </w:p>
    <w:p w:rsidR="00425758" w:rsidRDefault="00425758">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rsidR="00425758" w:rsidRDefault="00425758">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rsidR="00425758" w:rsidRDefault="00425758">
      <w:pPr>
        <w:pStyle w:val="Footnotesection"/>
      </w:pPr>
      <w:r>
        <w:tab/>
        <w:t>[Rule 9 amended: Gazette 28 Jun 2011 p. 2552.]</w:t>
      </w:r>
    </w:p>
    <w:p w:rsidR="00425758" w:rsidRDefault="00425758">
      <w:pPr>
        <w:pStyle w:val="Heading5"/>
        <w:rPr>
          <w:snapToGrid w:val="0"/>
        </w:rPr>
      </w:pPr>
      <w:bookmarkStart w:id="275" w:name="_Toc75862960"/>
      <w:r>
        <w:rPr>
          <w:rStyle w:val="CharSectno"/>
        </w:rPr>
        <w:t>10</w:t>
      </w:r>
      <w:r>
        <w:rPr>
          <w:snapToGrid w:val="0"/>
        </w:rPr>
        <w:t>.</w:t>
      </w:r>
      <w:r>
        <w:rPr>
          <w:snapToGrid w:val="0"/>
        </w:rPr>
        <w:tab/>
        <w:t>Offer of contribution</w:t>
      </w:r>
      <w:bookmarkEnd w:id="275"/>
    </w:p>
    <w:p w:rsidR="00425758" w:rsidRDefault="00425758">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rsidR="00425758" w:rsidRDefault="00425758">
      <w:pPr>
        <w:pStyle w:val="Heading5"/>
        <w:rPr>
          <w:snapToGrid w:val="0"/>
        </w:rPr>
      </w:pPr>
      <w:bookmarkStart w:id="276" w:name="_Toc75862961"/>
      <w:r>
        <w:rPr>
          <w:rStyle w:val="CharSectno"/>
        </w:rPr>
        <w:t>11</w:t>
      </w:r>
      <w:r>
        <w:rPr>
          <w:snapToGrid w:val="0"/>
        </w:rPr>
        <w:t>.</w:t>
      </w:r>
      <w:r>
        <w:rPr>
          <w:snapToGrid w:val="0"/>
        </w:rPr>
        <w:tab/>
        <w:t>Counterclaim by defendant</w:t>
      </w:r>
      <w:bookmarkEnd w:id="276"/>
    </w:p>
    <w:p w:rsidR="00425758" w:rsidRDefault="00425758">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rsidR="00425758" w:rsidRDefault="00425758">
      <w:pPr>
        <w:pStyle w:val="Footnotesection"/>
      </w:pPr>
      <w:r>
        <w:tab/>
        <w:t>[Rule 11 amended: Gazette 28 Jun 2011 p. 2553.]</w:t>
      </w:r>
    </w:p>
    <w:p w:rsidR="00425758" w:rsidRDefault="00425758">
      <w:pPr>
        <w:pStyle w:val="Heading5"/>
        <w:rPr>
          <w:snapToGrid w:val="0"/>
        </w:rPr>
      </w:pPr>
      <w:bookmarkStart w:id="277" w:name="_Toc75862962"/>
      <w:r>
        <w:rPr>
          <w:rStyle w:val="CharSectno"/>
        </w:rPr>
        <w:lastRenderedPageBreak/>
        <w:t>12</w:t>
      </w:r>
      <w:r>
        <w:rPr>
          <w:snapToGrid w:val="0"/>
        </w:rPr>
        <w:t>.</w:t>
      </w:r>
      <w:r>
        <w:rPr>
          <w:snapToGrid w:val="0"/>
        </w:rPr>
        <w:tab/>
        <w:t>Costs</w:t>
      </w:r>
      <w:bookmarkEnd w:id="277"/>
    </w:p>
    <w:p w:rsidR="00425758" w:rsidRDefault="00425758">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rsidR="00425758" w:rsidRDefault="00425758">
      <w:pPr>
        <w:pStyle w:val="Heading2"/>
        <w:rPr>
          <w:b w:val="0"/>
        </w:rPr>
      </w:pPr>
      <w:bookmarkStart w:id="278" w:name="_Toc75511867"/>
      <w:bookmarkStart w:id="279" w:name="_Toc75862963"/>
      <w:r>
        <w:rPr>
          <w:rStyle w:val="CharPartNo"/>
        </w:rPr>
        <w:lastRenderedPageBreak/>
        <w:t>Order 20</w:t>
      </w:r>
      <w:r>
        <w:t> — </w:t>
      </w:r>
      <w:r>
        <w:rPr>
          <w:rStyle w:val="CharPartText"/>
        </w:rPr>
        <w:t>Pleadings</w:t>
      </w:r>
      <w:bookmarkEnd w:id="278"/>
      <w:bookmarkEnd w:id="279"/>
    </w:p>
    <w:p w:rsidR="00425758" w:rsidRDefault="00425758">
      <w:pPr>
        <w:pStyle w:val="Heading5"/>
        <w:rPr>
          <w:snapToGrid w:val="0"/>
        </w:rPr>
      </w:pPr>
      <w:bookmarkStart w:id="280" w:name="_Toc75862964"/>
      <w:r>
        <w:rPr>
          <w:rStyle w:val="CharSectno"/>
        </w:rPr>
        <w:t>1</w:t>
      </w:r>
      <w:r>
        <w:rPr>
          <w:snapToGrid w:val="0"/>
        </w:rPr>
        <w:t>.</w:t>
      </w:r>
      <w:r>
        <w:rPr>
          <w:snapToGrid w:val="0"/>
        </w:rPr>
        <w:tab/>
        <w:t>Statement of claim, service of</w:t>
      </w:r>
      <w:bookmarkEnd w:id="280"/>
    </w:p>
    <w:p w:rsidR="00425758" w:rsidRDefault="00425758">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rsidR="00425758" w:rsidRDefault="00425758">
      <w:pPr>
        <w:pStyle w:val="Footnotesection"/>
      </w:pPr>
      <w:r>
        <w:tab/>
        <w:t>[Rule 1 amended: Gazette 12 Jun 2012 p. 2451.]</w:t>
      </w:r>
    </w:p>
    <w:p w:rsidR="00425758" w:rsidRDefault="00425758">
      <w:pPr>
        <w:pStyle w:val="Heading5"/>
        <w:rPr>
          <w:snapToGrid w:val="0"/>
        </w:rPr>
      </w:pPr>
      <w:bookmarkStart w:id="281" w:name="_Toc75862965"/>
      <w:r>
        <w:rPr>
          <w:rStyle w:val="CharSectno"/>
        </w:rPr>
        <w:t>2</w:t>
      </w:r>
      <w:r>
        <w:rPr>
          <w:snapToGrid w:val="0"/>
        </w:rPr>
        <w:t>.</w:t>
      </w:r>
      <w:r>
        <w:rPr>
          <w:snapToGrid w:val="0"/>
        </w:rPr>
        <w:tab/>
        <w:t>Statement of claim, content of</w:t>
      </w:r>
      <w:bookmarkEnd w:id="281"/>
    </w:p>
    <w:p w:rsidR="00425758" w:rsidRDefault="00425758">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rsidR="00425758" w:rsidRDefault="00425758">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rsidR="00425758" w:rsidRDefault="00425758">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rsidR="00425758" w:rsidRDefault="00425758">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rsidR="00425758" w:rsidRDefault="00425758">
      <w:pPr>
        <w:pStyle w:val="Footnotesection"/>
      </w:pPr>
      <w:r>
        <w:tab/>
        <w:t>[Rule 2 amended: Gazette 28 Jun 2011 p. 2552.]</w:t>
      </w:r>
    </w:p>
    <w:p w:rsidR="00425758" w:rsidRDefault="00425758">
      <w:pPr>
        <w:pStyle w:val="Heading5"/>
        <w:rPr>
          <w:snapToGrid w:val="0"/>
        </w:rPr>
      </w:pPr>
      <w:bookmarkStart w:id="282" w:name="_Toc75862966"/>
      <w:r>
        <w:rPr>
          <w:rStyle w:val="CharSectno"/>
        </w:rPr>
        <w:t>3</w:t>
      </w:r>
      <w:r>
        <w:rPr>
          <w:snapToGrid w:val="0"/>
        </w:rPr>
        <w:t>.</w:t>
      </w:r>
      <w:r>
        <w:rPr>
          <w:snapToGrid w:val="0"/>
        </w:rPr>
        <w:tab/>
        <w:t>Pleadings etc. to be filed before service</w:t>
      </w:r>
      <w:bookmarkEnd w:id="282"/>
    </w:p>
    <w:p w:rsidR="00425758" w:rsidRDefault="00425758">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w:t>
      </w:r>
      <w:r>
        <w:rPr>
          <w:snapToGrid w:val="0"/>
        </w:rPr>
        <w:lastRenderedPageBreak/>
        <w:t xml:space="preserve">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rsidR="00425758" w:rsidRDefault="00425758">
      <w:pPr>
        <w:pStyle w:val="Subsection"/>
        <w:rPr>
          <w:snapToGrid w:val="0"/>
        </w:rPr>
      </w:pPr>
      <w:r>
        <w:rPr>
          <w:snapToGrid w:val="0"/>
        </w:rPr>
        <w:tab/>
        <w:t>(2)</w:t>
      </w:r>
      <w:r>
        <w:rPr>
          <w:snapToGrid w:val="0"/>
        </w:rPr>
        <w:tab/>
        <w:t>This rule does not apply where the statement of claim is indorsed on the writ.</w:t>
      </w:r>
    </w:p>
    <w:p w:rsidR="00425758" w:rsidRDefault="00425758">
      <w:pPr>
        <w:pStyle w:val="Footnotesection"/>
      </w:pPr>
      <w:r>
        <w:tab/>
        <w:t>[Rule 3 amended: Gazette 28 Jul 2010 p. 3462; 28 Jun 2011 p. 2552.]</w:t>
      </w:r>
    </w:p>
    <w:p w:rsidR="00425758" w:rsidRDefault="00425758">
      <w:pPr>
        <w:pStyle w:val="Heading5"/>
        <w:rPr>
          <w:snapToGrid w:val="0"/>
        </w:rPr>
      </w:pPr>
      <w:bookmarkStart w:id="283" w:name="_Toc75862967"/>
      <w:r>
        <w:rPr>
          <w:rStyle w:val="CharSectno"/>
        </w:rPr>
        <w:t>4</w:t>
      </w:r>
      <w:r>
        <w:rPr>
          <w:snapToGrid w:val="0"/>
        </w:rPr>
        <w:t>.</w:t>
      </w:r>
      <w:r>
        <w:rPr>
          <w:snapToGrid w:val="0"/>
        </w:rPr>
        <w:tab/>
        <w:t>Defence, service of</w:t>
      </w:r>
      <w:bookmarkEnd w:id="283"/>
    </w:p>
    <w:p w:rsidR="00425758" w:rsidRDefault="00425758">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rsidR="00425758" w:rsidRDefault="00425758">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rsidR="00425758" w:rsidRDefault="00425758">
      <w:pPr>
        <w:pStyle w:val="Footnotesection"/>
      </w:pPr>
      <w:r>
        <w:tab/>
        <w:t>[Rule 4 amended: Gazette 28 Jun 2011 p. 2552.]</w:t>
      </w:r>
    </w:p>
    <w:p w:rsidR="00425758" w:rsidRDefault="00425758">
      <w:pPr>
        <w:pStyle w:val="Heading5"/>
        <w:rPr>
          <w:snapToGrid w:val="0"/>
        </w:rPr>
      </w:pPr>
      <w:bookmarkStart w:id="284" w:name="_Toc75862968"/>
      <w:r>
        <w:rPr>
          <w:rStyle w:val="CharSectno"/>
        </w:rPr>
        <w:t>5</w:t>
      </w:r>
      <w:r>
        <w:rPr>
          <w:snapToGrid w:val="0"/>
        </w:rPr>
        <w:t>.</w:t>
      </w:r>
      <w:r>
        <w:rPr>
          <w:snapToGrid w:val="0"/>
        </w:rPr>
        <w:tab/>
        <w:t>Reply and defence to counterclaim, service of</w:t>
      </w:r>
      <w:bookmarkEnd w:id="284"/>
    </w:p>
    <w:p w:rsidR="00425758" w:rsidRDefault="00425758">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rsidR="00425758" w:rsidRDefault="00425758">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rsidR="00425758" w:rsidRDefault="00425758">
      <w:pPr>
        <w:pStyle w:val="Subsection"/>
        <w:rPr>
          <w:snapToGrid w:val="0"/>
        </w:rPr>
      </w:pPr>
      <w:r>
        <w:rPr>
          <w:snapToGrid w:val="0"/>
        </w:rPr>
        <w:lastRenderedPageBreak/>
        <w:tab/>
        <w:t>(3)</w:t>
      </w:r>
      <w:r>
        <w:rPr>
          <w:snapToGrid w:val="0"/>
        </w:rPr>
        <w:tab/>
        <w:t>Where a plaintiff serves both a reply and a defence to counterclaim on any defendant, he must include them in the same document.</w:t>
      </w:r>
    </w:p>
    <w:p w:rsidR="00425758" w:rsidRDefault="00425758">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rsidR="00425758" w:rsidRDefault="00425758">
      <w:pPr>
        <w:pStyle w:val="Heading5"/>
        <w:rPr>
          <w:snapToGrid w:val="0"/>
        </w:rPr>
      </w:pPr>
      <w:bookmarkStart w:id="285" w:name="_Toc75862969"/>
      <w:r>
        <w:rPr>
          <w:rStyle w:val="CharSectno"/>
        </w:rPr>
        <w:t>6</w:t>
      </w:r>
      <w:r>
        <w:rPr>
          <w:snapToGrid w:val="0"/>
        </w:rPr>
        <w:t>.</w:t>
      </w:r>
      <w:r>
        <w:rPr>
          <w:snapToGrid w:val="0"/>
        </w:rPr>
        <w:tab/>
        <w:t>Pleadings subsequent to reply etc., leave required for</w:t>
      </w:r>
      <w:bookmarkEnd w:id="285"/>
    </w:p>
    <w:p w:rsidR="00425758" w:rsidRDefault="00425758">
      <w:pPr>
        <w:pStyle w:val="Subsection"/>
        <w:rPr>
          <w:snapToGrid w:val="0"/>
        </w:rPr>
      </w:pPr>
      <w:r>
        <w:rPr>
          <w:snapToGrid w:val="0"/>
        </w:rPr>
        <w:tab/>
      </w:r>
      <w:r>
        <w:rPr>
          <w:snapToGrid w:val="0"/>
        </w:rPr>
        <w:tab/>
        <w:t>No pleading subsequent to a reply or a defence to counterclaim shall be served except with the leave of the Court.</w:t>
      </w:r>
    </w:p>
    <w:p w:rsidR="00425758" w:rsidRDefault="00425758">
      <w:pPr>
        <w:pStyle w:val="Heading5"/>
        <w:rPr>
          <w:snapToGrid w:val="0"/>
        </w:rPr>
      </w:pPr>
      <w:bookmarkStart w:id="286" w:name="_Toc75862970"/>
      <w:r>
        <w:rPr>
          <w:rStyle w:val="CharSectno"/>
        </w:rPr>
        <w:t>7</w:t>
      </w:r>
      <w:r>
        <w:rPr>
          <w:snapToGrid w:val="0"/>
        </w:rPr>
        <w:t>.</w:t>
      </w:r>
      <w:r>
        <w:rPr>
          <w:snapToGrid w:val="0"/>
        </w:rPr>
        <w:tab/>
        <w:t>Pleadings, formal requirements of</w:t>
      </w:r>
      <w:bookmarkEnd w:id="286"/>
    </w:p>
    <w:p w:rsidR="00425758" w:rsidRDefault="00425758">
      <w:pPr>
        <w:pStyle w:val="Subsection"/>
        <w:rPr>
          <w:snapToGrid w:val="0"/>
        </w:rPr>
      </w:pPr>
      <w:r>
        <w:rPr>
          <w:snapToGrid w:val="0"/>
        </w:rPr>
        <w:tab/>
        <w:t>(1)</w:t>
      </w:r>
      <w:r>
        <w:rPr>
          <w:snapToGrid w:val="0"/>
        </w:rPr>
        <w:tab/>
        <w:t>Every pleading in an action must bear on its face — </w:t>
      </w:r>
    </w:p>
    <w:p w:rsidR="00425758" w:rsidRDefault="00425758">
      <w:pPr>
        <w:pStyle w:val="Indenta"/>
        <w:rPr>
          <w:snapToGrid w:val="0"/>
        </w:rPr>
      </w:pPr>
      <w:r>
        <w:rPr>
          <w:snapToGrid w:val="0"/>
        </w:rPr>
        <w:tab/>
        <w:t>(a)</w:t>
      </w:r>
      <w:r>
        <w:rPr>
          <w:snapToGrid w:val="0"/>
        </w:rPr>
        <w:tab/>
        <w:t>the year in which the writ in the action was issued and the number of the action; and</w:t>
      </w:r>
    </w:p>
    <w:p w:rsidR="00425758" w:rsidRDefault="00425758">
      <w:pPr>
        <w:pStyle w:val="Indenta"/>
        <w:rPr>
          <w:snapToGrid w:val="0"/>
        </w:rPr>
      </w:pPr>
      <w:r>
        <w:rPr>
          <w:snapToGrid w:val="0"/>
        </w:rPr>
        <w:tab/>
        <w:t>(b)</w:t>
      </w:r>
      <w:r>
        <w:rPr>
          <w:snapToGrid w:val="0"/>
        </w:rPr>
        <w:tab/>
        <w:t>the title of the action; and</w:t>
      </w:r>
    </w:p>
    <w:p w:rsidR="00425758" w:rsidRDefault="00425758">
      <w:pPr>
        <w:pStyle w:val="Indenta"/>
        <w:rPr>
          <w:snapToGrid w:val="0"/>
        </w:rPr>
      </w:pPr>
      <w:r>
        <w:rPr>
          <w:snapToGrid w:val="0"/>
        </w:rPr>
        <w:tab/>
        <w:t>(c)</w:t>
      </w:r>
      <w:r>
        <w:rPr>
          <w:snapToGrid w:val="0"/>
        </w:rPr>
        <w:tab/>
        <w:t>the description of the pleading; and</w:t>
      </w:r>
    </w:p>
    <w:p w:rsidR="00425758" w:rsidRDefault="00425758">
      <w:pPr>
        <w:pStyle w:val="Indenta"/>
        <w:rPr>
          <w:snapToGrid w:val="0"/>
        </w:rPr>
      </w:pPr>
      <w:r>
        <w:rPr>
          <w:snapToGrid w:val="0"/>
        </w:rPr>
        <w:tab/>
        <w:t>(d)</w:t>
      </w:r>
      <w:r>
        <w:rPr>
          <w:snapToGrid w:val="0"/>
        </w:rPr>
        <w:tab/>
        <w:t>the date on which it was filed.</w:t>
      </w:r>
    </w:p>
    <w:p w:rsidR="00425758" w:rsidRDefault="00425758">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rsidR="00425758" w:rsidRDefault="00425758">
      <w:pPr>
        <w:pStyle w:val="Subsection"/>
        <w:rPr>
          <w:snapToGrid w:val="0"/>
        </w:rPr>
      </w:pPr>
      <w:r>
        <w:rPr>
          <w:snapToGrid w:val="0"/>
        </w:rPr>
        <w:tab/>
        <w:t>(3)</w:t>
      </w:r>
      <w:r>
        <w:rPr>
          <w:snapToGrid w:val="0"/>
        </w:rPr>
        <w:tab/>
        <w:t>Dates, sums and other numbers must be expressed in a pleading in figures and not in words.</w:t>
      </w:r>
    </w:p>
    <w:p w:rsidR="00425758" w:rsidRDefault="00425758">
      <w:pPr>
        <w:pStyle w:val="Subsection"/>
        <w:keepNext/>
        <w:rPr>
          <w:snapToGrid w:val="0"/>
        </w:rPr>
      </w:pPr>
      <w:r>
        <w:rPr>
          <w:snapToGrid w:val="0"/>
        </w:rPr>
        <w:tab/>
        <w:t>(4)</w:t>
      </w:r>
      <w:r>
        <w:rPr>
          <w:snapToGrid w:val="0"/>
        </w:rPr>
        <w:tab/>
        <w:t>Every pleading of a party must be indorsed — </w:t>
      </w:r>
    </w:p>
    <w:p w:rsidR="00425758" w:rsidRDefault="00425758">
      <w:pPr>
        <w:pStyle w:val="Indenta"/>
        <w:rPr>
          <w:snapToGrid w:val="0"/>
        </w:rPr>
      </w:pPr>
      <w:r>
        <w:rPr>
          <w:snapToGrid w:val="0"/>
        </w:rPr>
        <w:tab/>
        <w:t>(a)</w:t>
      </w:r>
      <w:r>
        <w:rPr>
          <w:snapToGrid w:val="0"/>
        </w:rPr>
        <w:tab/>
        <w:t>where the party sues or defends in person, with his name and address for service;</w:t>
      </w:r>
    </w:p>
    <w:p w:rsidR="00425758" w:rsidRDefault="00425758">
      <w:pPr>
        <w:pStyle w:val="Indenta"/>
      </w:pPr>
      <w:r>
        <w:tab/>
        <w:t>(b)</w:t>
      </w:r>
      <w:r>
        <w:tab/>
        <w:t>in any other case, with the name or firm and address for service of the solicitor by whom it was filed.</w:t>
      </w:r>
    </w:p>
    <w:p w:rsidR="00425758" w:rsidRDefault="00425758">
      <w:pPr>
        <w:pStyle w:val="Subsection"/>
        <w:rPr>
          <w:snapToGrid w:val="0"/>
        </w:rPr>
      </w:pPr>
      <w:r>
        <w:rPr>
          <w:snapToGrid w:val="0"/>
        </w:rPr>
        <w:lastRenderedPageBreak/>
        <w:tab/>
        <w:t>(5)</w:t>
      </w:r>
      <w:r>
        <w:rPr>
          <w:snapToGrid w:val="0"/>
        </w:rPr>
        <w:tab/>
        <w:t>Every pleading of a party must be signed by counsel, if settled by him, and, if not, by the party’s solicitor or by the party, if he sues or defends in person.</w:t>
      </w:r>
    </w:p>
    <w:p w:rsidR="00425758" w:rsidRDefault="00425758">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rsidR="00425758" w:rsidRDefault="00425758">
      <w:pPr>
        <w:pStyle w:val="Indenta"/>
        <w:rPr>
          <w:snapToGrid w:val="0"/>
        </w:rPr>
      </w:pPr>
      <w:r>
        <w:rPr>
          <w:snapToGrid w:val="0"/>
        </w:rPr>
        <w:tab/>
        <w:t>(a)</w:t>
      </w:r>
      <w:r>
        <w:rPr>
          <w:snapToGrid w:val="0"/>
        </w:rPr>
        <w:tab/>
        <w:t>is employed by the party’s solicitor; and</w:t>
      </w:r>
    </w:p>
    <w:p w:rsidR="00425758" w:rsidRDefault="00425758">
      <w:pPr>
        <w:pStyle w:val="Indenta"/>
        <w:rPr>
          <w:snapToGrid w:val="0"/>
        </w:rPr>
      </w:pPr>
      <w:r>
        <w:rPr>
          <w:snapToGrid w:val="0"/>
        </w:rPr>
        <w:tab/>
        <w:t>(b)</w:t>
      </w:r>
      <w:r>
        <w:rPr>
          <w:snapToGrid w:val="0"/>
        </w:rPr>
        <w:tab/>
        <w:t>has settled the pleading; and</w:t>
      </w:r>
    </w:p>
    <w:p w:rsidR="00425758" w:rsidRDefault="00425758">
      <w:pPr>
        <w:pStyle w:val="Indenta"/>
        <w:rPr>
          <w:snapToGrid w:val="0"/>
        </w:rPr>
      </w:pPr>
      <w:r>
        <w:rPr>
          <w:snapToGrid w:val="0"/>
        </w:rPr>
        <w:tab/>
        <w:t>(c)</w:t>
      </w:r>
      <w:r>
        <w:rPr>
          <w:snapToGrid w:val="0"/>
        </w:rPr>
        <w:tab/>
        <w:t>is authorised to sign the pleading on his principal’s behalf; and</w:t>
      </w:r>
    </w:p>
    <w:p w:rsidR="00425758" w:rsidRDefault="00425758">
      <w:pPr>
        <w:pStyle w:val="Indenta"/>
        <w:rPr>
          <w:snapToGrid w:val="0"/>
        </w:rPr>
      </w:pPr>
      <w:r>
        <w:rPr>
          <w:snapToGrid w:val="0"/>
        </w:rPr>
        <w:tab/>
        <w:t>(d)</w:t>
      </w:r>
      <w:r>
        <w:rPr>
          <w:snapToGrid w:val="0"/>
        </w:rPr>
        <w:tab/>
        <w:t>adds his own signature after the name of his firm.</w:t>
      </w:r>
    </w:p>
    <w:p w:rsidR="00425758" w:rsidRDefault="00425758">
      <w:pPr>
        <w:pStyle w:val="Subsection"/>
        <w:rPr>
          <w:snapToGrid w:val="0"/>
        </w:rPr>
      </w:pPr>
      <w:r>
        <w:rPr>
          <w:snapToGrid w:val="0"/>
        </w:rPr>
        <w:tab/>
        <w:t>(6)</w:t>
      </w:r>
      <w:r>
        <w:rPr>
          <w:snapToGrid w:val="0"/>
        </w:rPr>
        <w:tab/>
        <w:t>The date of service of a pleading must be stated on every copy which is served.</w:t>
      </w:r>
    </w:p>
    <w:p w:rsidR="00425758" w:rsidRDefault="00425758">
      <w:pPr>
        <w:pStyle w:val="Footnotesection"/>
      </w:pPr>
      <w:r>
        <w:tab/>
        <w:t xml:space="preserve">[Rule 7 amended: Gazette 15 Jun 1973 p. 2248; 28 Jun 2011 p. 2552; 27 Feb 2018 p. 558.] </w:t>
      </w:r>
    </w:p>
    <w:p w:rsidR="00425758" w:rsidRDefault="00425758">
      <w:pPr>
        <w:pStyle w:val="Heading5"/>
        <w:rPr>
          <w:snapToGrid w:val="0"/>
        </w:rPr>
      </w:pPr>
      <w:bookmarkStart w:id="287" w:name="_Toc75862971"/>
      <w:r>
        <w:rPr>
          <w:rStyle w:val="CharSectno"/>
        </w:rPr>
        <w:t>8</w:t>
      </w:r>
      <w:r>
        <w:rPr>
          <w:snapToGrid w:val="0"/>
        </w:rPr>
        <w:t>.</w:t>
      </w:r>
      <w:r>
        <w:rPr>
          <w:snapToGrid w:val="0"/>
        </w:rPr>
        <w:tab/>
        <w:t>Facts, not evidence, to be pleaded</w:t>
      </w:r>
      <w:bookmarkEnd w:id="287"/>
    </w:p>
    <w:p w:rsidR="00425758" w:rsidRDefault="00425758">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rsidR="00425758" w:rsidRDefault="00425758">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rsidR="00425758" w:rsidRDefault="00425758">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rsidR="00425758" w:rsidRDefault="00425758">
      <w:pPr>
        <w:pStyle w:val="Subsection"/>
        <w:rPr>
          <w:snapToGrid w:val="0"/>
        </w:rPr>
      </w:pPr>
      <w:r>
        <w:rPr>
          <w:snapToGrid w:val="0"/>
        </w:rPr>
        <w:tab/>
        <w:t>(4)</w:t>
      </w:r>
      <w:r>
        <w:rPr>
          <w:snapToGrid w:val="0"/>
        </w:rPr>
        <w:tab/>
        <w:t xml:space="preserve">A statement that a thing has been done or that an event has occurred, being a thing or event the doing or occurrence of </w:t>
      </w:r>
      <w:r>
        <w:rPr>
          <w:snapToGrid w:val="0"/>
        </w:rPr>
        <w:lastRenderedPageBreak/>
        <w:t>which, as the case may be, constitutes a condition precedent necessary for the case of a party is to be implied in his pleading.</w:t>
      </w:r>
    </w:p>
    <w:p w:rsidR="00425758" w:rsidRDefault="00425758">
      <w:pPr>
        <w:pStyle w:val="Footnotesection"/>
      </w:pPr>
      <w:r>
        <w:tab/>
        <w:t>[Rule 8 amended: Gazette 28 Jun 2011 p. 2552.]</w:t>
      </w:r>
    </w:p>
    <w:p w:rsidR="00425758" w:rsidRDefault="00425758">
      <w:pPr>
        <w:pStyle w:val="Heading5"/>
        <w:rPr>
          <w:snapToGrid w:val="0"/>
        </w:rPr>
      </w:pPr>
      <w:bookmarkStart w:id="288" w:name="_Toc75862972"/>
      <w:r>
        <w:rPr>
          <w:rStyle w:val="CharSectno"/>
        </w:rPr>
        <w:t>9</w:t>
      </w:r>
      <w:r>
        <w:rPr>
          <w:snapToGrid w:val="0"/>
        </w:rPr>
        <w:t>.</w:t>
      </w:r>
      <w:r>
        <w:rPr>
          <w:snapToGrid w:val="0"/>
        </w:rPr>
        <w:tab/>
        <w:t>Matters which must be specifically pleaded</w:t>
      </w:r>
      <w:bookmarkEnd w:id="288"/>
    </w:p>
    <w:p w:rsidR="00425758" w:rsidRDefault="00425758">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rsidR="00425758" w:rsidRDefault="00425758">
      <w:pPr>
        <w:pStyle w:val="Indenta"/>
        <w:rPr>
          <w:snapToGrid w:val="0"/>
        </w:rPr>
      </w:pPr>
      <w:r>
        <w:rPr>
          <w:snapToGrid w:val="0"/>
        </w:rPr>
        <w:tab/>
        <w:t>(a)</w:t>
      </w:r>
      <w:r>
        <w:rPr>
          <w:snapToGrid w:val="0"/>
        </w:rPr>
        <w:tab/>
        <w:t>which he alleges makes any claim or defence of the opposite party not maintainable; or</w:t>
      </w:r>
    </w:p>
    <w:p w:rsidR="00425758" w:rsidRDefault="00425758">
      <w:pPr>
        <w:pStyle w:val="Indenta"/>
        <w:rPr>
          <w:snapToGrid w:val="0"/>
        </w:rPr>
      </w:pPr>
      <w:r>
        <w:rPr>
          <w:snapToGrid w:val="0"/>
        </w:rPr>
        <w:tab/>
        <w:t>(b)</w:t>
      </w:r>
      <w:r>
        <w:rPr>
          <w:snapToGrid w:val="0"/>
        </w:rPr>
        <w:tab/>
        <w:t>which, if not specifically pleaded, might take the opposite party by surprise; or</w:t>
      </w:r>
    </w:p>
    <w:p w:rsidR="00425758" w:rsidRDefault="00425758">
      <w:pPr>
        <w:pStyle w:val="Indenta"/>
        <w:rPr>
          <w:snapToGrid w:val="0"/>
        </w:rPr>
      </w:pPr>
      <w:r>
        <w:rPr>
          <w:snapToGrid w:val="0"/>
        </w:rPr>
        <w:tab/>
        <w:t>(c)</w:t>
      </w:r>
      <w:r>
        <w:rPr>
          <w:snapToGrid w:val="0"/>
        </w:rPr>
        <w:tab/>
        <w:t>which raises issues of fact not arising out of the preceding pleading.</w:t>
      </w:r>
    </w:p>
    <w:p w:rsidR="00425758" w:rsidRDefault="00425758">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rsidR="00425758" w:rsidRDefault="00425758">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rsidR="00425758" w:rsidRDefault="00425758">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rsidR="00425758" w:rsidRDefault="00425758">
      <w:pPr>
        <w:pStyle w:val="Indenta"/>
        <w:rPr>
          <w:snapToGrid w:val="0"/>
        </w:rPr>
      </w:pPr>
      <w:r>
        <w:rPr>
          <w:snapToGrid w:val="0"/>
        </w:rPr>
        <w:tab/>
        <w:t>(a)</w:t>
      </w:r>
      <w:r>
        <w:rPr>
          <w:snapToGrid w:val="0"/>
        </w:rPr>
        <w:tab/>
        <w:t>identify that part of the claim or the components of the damages to which the claim for interest relates;</w:t>
      </w:r>
    </w:p>
    <w:p w:rsidR="00425758" w:rsidRDefault="00425758">
      <w:pPr>
        <w:pStyle w:val="Indenta"/>
        <w:rPr>
          <w:snapToGrid w:val="0"/>
        </w:rPr>
      </w:pPr>
      <w:r>
        <w:rPr>
          <w:snapToGrid w:val="0"/>
        </w:rPr>
        <w:tab/>
        <w:t>(b)</w:t>
      </w:r>
      <w:r>
        <w:rPr>
          <w:snapToGrid w:val="0"/>
        </w:rPr>
        <w:tab/>
        <w:t>where the claim for interest is founded on a contract, contain a statement in summary form of the material facts relied on;</w:t>
      </w:r>
    </w:p>
    <w:p w:rsidR="00425758" w:rsidRDefault="00425758">
      <w:pPr>
        <w:pStyle w:val="Indenta"/>
        <w:rPr>
          <w:snapToGrid w:val="0"/>
        </w:rPr>
      </w:pPr>
      <w:r>
        <w:rPr>
          <w:snapToGrid w:val="0"/>
        </w:rPr>
        <w:tab/>
        <w:t>(c)</w:t>
      </w:r>
      <w:r>
        <w:rPr>
          <w:snapToGrid w:val="0"/>
        </w:rPr>
        <w:tab/>
        <w:t>where the claim for interest is pursuant to a statute — </w:t>
      </w:r>
    </w:p>
    <w:p w:rsidR="00425758" w:rsidRDefault="00425758">
      <w:pPr>
        <w:pStyle w:val="Indenti"/>
        <w:rPr>
          <w:snapToGrid w:val="0"/>
        </w:rPr>
      </w:pPr>
      <w:r>
        <w:rPr>
          <w:snapToGrid w:val="0"/>
        </w:rPr>
        <w:tab/>
        <w:t>(i)</w:t>
      </w:r>
      <w:r>
        <w:rPr>
          <w:snapToGrid w:val="0"/>
        </w:rPr>
        <w:tab/>
        <w:t>identify the statutory provision; and</w:t>
      </w:r>
    </w:p>
    <w:p w:rsidR="00425758" w:rsidRDefault="00425758">
      <w:pPr>
        <w:pStyle w:val="Indenti"/>
        <w:rPr>
          <w:snapToGrid w:val="0"/>
        </w:rPr>
      </w:pPr>
      <w:r>
        <w:rPr>
          <w:snapToGrid w:val="0"/>
        </w:rPr>
        <w:tab/>
        <w:t>(ii)</w:t>
      </w:r>
      <w:r>
        <w:rPr>
          <w:snapToGrid w:val="0"/>
        </w:rPr>
        <w:tab/>
        <w:t>specify the rate claimed; and</w:t>
      </w:r>
    </w:p>
    <w:p w:rsidR="00425758" w:rsidRDefault="00425758">
      <w:pPr>
        <w:pStyle w:val="Indenti"/>
        <w:rPr>
          <w:snapToGrid w:val="0"/>
        </w:rPr>
      </w:pPr>
      <w:r>
        <w:rPr>
          <w:snapToGrid w:val="0"/>
        </w:rPr>
        <w:lastRenderedPageBreak/>
        <w:tab/>
        <w:t>(iii)</w:t>
      </w:r>
      <w:r>
        <w:rPr>
          <w:snapToGrid w:val="0"/>
        </w:rPr>
        <w:tab/>
        <w:t>state the date or dates from which interest is claimed.</w:t>
      </w:r>
    </w:p>
    <w:p w:rsidR="00425758" w:rsidRDefault="00425758">
      <w:pPr>
        <w:pStyle w:val="Footnotesection"/>
      </w:pPr>
      <w:r>
        <w:tab/>
        <w:t xml:space="preserve">[Rule 9 amended: Gazette 3 Oct 1975 p. 3769; 31 Mar 1983 p. 1090; 28 Jun 2011 p. 2552.] </w:t>
      </w:r>
    </w:p>
    <w:p w:rsidR="00425758" w:rsidRDefault="00425758">
      <w:pPr>
        <w:pStyle w:val="Heading5"/>
        <w:rPr>
          <w:snapToGrid w:val="0"/>
        </w:rPr>
      </w:pPr>
      <w:bookmarkStart w:id="289" w:name="_Toc75862973"/>
      <w:r>
        <w:rPr>
          <w:rStyle w:val="CharSectno"/>
        </w:rPr>
        <w:t>10</w:t>
      </w:r>
      <w:r>
        <w:rPr>
          <w:snapToGrid w:val="0"/>
        </w:rPr>
        <w:t>.</w:t>
      </w:r>
      <w:r>
        <w:rPr>
          <w:snapToGrid w:val="0"/>
        </w:rPr>
        <w:tab/>
        <w:t>Matter may be pleaded whenever arising</w:t>
      </w:r>
      <w:bookmarkEnd w:id="289"/>
    </w:p>
    <w:p w:rsidR="00425758" w:rsidRDefault="00425758">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rsidR="00425758" w:rsidRDefault="00425758">
      <w:pPr>
        <w:pStyle w:val="Heading5"/>
        <w:keepLines w:val="0"/>
        <w:rPr>
          <w:snapToGrid w:val="0"/>
        </w:rPr>
      </w:pPr>
      <w:bookmarkStart w:id="290" w:name="_Toc75862974"/>
      <w:r>
        <w:rPr>
          <w:rStyle w:val="CharSectno"/>
        </w:rPr>
        <w:t>11</w:t>
      </w:r>
      <w:r>
        <w:rPr>
          <w:snapToGrid w:val="0"/>
        </w:rPr>
        <w:t>.</w:t>
      </w:r>
      <w:r>
        <w:rPr>
          <w:snapToGrid w:val="0"/>
        </w:rPr>
        <w:tab/>
        <w:t>Party’s pleadings to be consistent</w:t>
      </w:r>
      <w:bookmarkEnd w:id="290"/>
    </w:p>
    <w:p w:rsidR="00425758" w:rsidRDefault="00425758">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rsidR="00425758" w:rsidRDefault="00425758">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rsidR="00425758" w:rsidRDefault="00425758">
      <w:pPr>
        <w:pStyle w:val="Footnotesection"/>
      </w:pPr>
      <w:r>
        <w:tab/>
        <w:t>[Rule 11 amended: Gazette 28 Jun 2011 p. 2552.]</w:t>
      </w:r>
    </w:p>
    <w:p w:rsidR="00425758" w:rsidRDefault="00425758">
      <w:pPr>
        <w:pStyle w:val="Heading5"/>
        <w:rPr>
          <w:snapToGrid w:val="0"/>
        </w:rPr>
      </w:pPr>
      <w:bookmarkStart w:id="291" w:name="_Toc75862975"/>
      <w:r>
        <w:rPr>
          <w:rStyle w:val="CharSectno"/>
        </w:rPr>
        <w:t>12</w:t>
      </w:r>
      <w:r>
        <w:rPr>
          <w:snapToGrid w:val="0"/>
        </w:rPr>
        <w:t>.</w:t>
      </w:r>
      <w:r>
        <w:rPr>
          <w:snapToGrid w:val="0"/>
        </w:rPr>
        <w:tab/>
        <w:t>Points of law may be pleaded</w:t>
      </w:r>
      <w:bookmarkEnd w:id="291"/>
    </w:p>
    <w:p w:rsidR="00425758" w:rsidRDefault="00425758">
      <w:pPr>
        <w:pStyle w:val="Subsection"/>
        <w:rPr>
          <w:snapToGrid w:val="0"/>
        </w:rPr>
      </w:pPr>
      <w:r>
        <w:rPr>
          <w:snapToGrid w:val="0"/>
        </w:rPr>
        <w:tab/>
      </w:r>
      <w:r>
        <w:rPr>
          <w:snapToGrid w:val="0"/>
        </w:rPr>
        <w:tab/>
        <w:t>A party may by his pleading raise any point of law.</w:t>
      </w:r>
    </w:p>
    <w:p w:rsidR="00425758" w:rsidRDefault="00425758">
      <w:pPr>
        <w:pStyle w:val="Heading5"/>
        <w:rPr>
          <w:snapToGrid w:val="0"/>
        </w:rPr>
      </w:pPr>
      <w:bookmarkStart w:id="292" w:name="_Toc75862976"/>
      <w:r>
        <w:rPr>
          <w:rStyle w:val="CharSectno"/>
        </w:rPr>
        <w:t>13</w:t>
      </w:r>
      <w:r>
        <w:rPr>
          <w:snapToGrid w:val="0"/>
        </w:rPr>
        <w:t>.</w:t>
      </w:r>
      <w:r>
        <w:rPr>
          <w:snapToGrid w:val="0"/>
        </w:rPr>
        <w:tab/>
        <w:t>Particulars of claims etc.</w:t>
      </w:r>
      <w:bookmarkEnd w:id="292"/>
    </w:p>
    <w:p w:rsidR="00425758" w:rsidRDefault="00425758">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rsidR="00425758" w:rsidRDefault="00425758">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rsidR="00425758" w:rsidRDefault="00425758">
      <w:pPr>
        <w:pStyle w:val="Indenta"/>
        <w:spacing w:before="120"/>
        <w:rPr>
          <w:snapToGrid w:val="0"/>
        </w:rPr>
      </w:pPr>
      <w:r>
        <w:rPr>
          <w:snapToGrid w:val="0"/>
        </w:rPr>
        <w:tab/>
        <w:t>(b)</w:t>
      </w:r>
      <w:r>
        <w:rPr>
          <w:snapToGrid w:val="0"/>
        </w:rPr>
        <w:tab/>
        <w:t xml:space="preserve">where a party pleading alleges any condition of the mind of any person, whether any disorder or disability of mind or any malice, fraudulent intention or other condition of </w:t>
      </w:r>
      <w:r>
        <w:rPr>
          <w:snapToGrid w:val="0"/>
        </w:rPr>
        <w:lastRenderedPageBreak/>
        <w:t>mind except knowledge, particulars of the facts on which the party relies.</w:t>
      </w:r>
    </w:p>
    <w:p w:rsidR="00425758" w:rsidRDefault="00425758">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rsidR="00425758" w:rsidRDefault="00425758">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rsidR="00425758" w:rsidRDefault="00425758">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rsidR="00425758" w:rsidRDefault="00425758">
      <w:pPr>
        <w:pStyle w:val="Indenta"/>
        <w:rPr>
          <w:snapToGrid w:val="0"/>
        </w:rPr>
      </w:pPr>
      <w:r>
        <w:rPr>
          <w:snapToGrid w:val="0"/>
        </w:rPr>
        <w:tab/>
        <w:t>(a)</w:t>
      </w:r>
      <w:r>
        <w:rPr>
          <w:snapToGrid w:val="0"/>
        </w:rPr>
        <w:tab/>
        <w:t>where he alleges knowledge, particulars of the facts on which he relies; and</w:t>
      </w:r>
    </w:p>
    <w:p w:rsidR="00425758" w:rsidRDefault="00425758">
      <w:pPr>
        <w:pStyle w:val="Indenta"/>
        <w:rPr>
          <w:snapToGrid w:val="0"/>
        </w:rPr>
      </w:pPr>
      <w:r>
        <w:rPr>
          <w:snapToGrid w:val="0"/>
        </w:rPr>
        <w:tab/>
        <w:t>(b)</w:t>
      </w:r>
      <w:r>
        <w:rPr>
          <w:snapToGrid w:val="0"/>
        </w:rPr>
        <w:tab/>
        <w:t>where he alleges notice, particulars of the notice.</w:t>
      </w:r>
    </w:p>
    <w:p w:rsidR="00425758" w:rsidRDefault="00425758">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rsidR="00425758" w:rsidRDefault="00425758">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rsidR="00425758" w:rsidRDefault="00425758">
      <w:pPr>
        <w:pStyle w:val="Subsection"/>
        <w:rPr>
          <w:snapToGrid w:val="0"/>
        </w:rPr>
      </w:pPr>
      <w:r>
        <w:rPr>
          <w:snapToGrid w:val="0"/>
        </w:rPr>
        <w:tab/>
        <w:t>(7)</w:t>
      </w:r>
      <w:r>
        <w:rPr>
          <w:snapToGrid w:val="0"/>
        </w:rPr>
        <w:tab/>
        <w:t xml:space="preserve">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w:t>
      </w:r>
      <w:r>
        <w:rPr>
          <w:snapToGrid w:val="0"/>
        </w:rPr>
        <w:lastRenderedPageBreak/>
        <w:t>order otherwise provides, operate as a stay of proceedings, or give any extension of time.</w:t>
      </w:r>
    </w:p>
    <w:p w:rsidR="00425758" w:rsidRDefault="00425758">
      <w:pPr>
        <w:pStyle w:val="Footnotesection"/>
      </w:pPr>
      <w:r>
        <w:tab/>
        <w:t xml:space="preserve">[Rule 13 amended: Gazette 26 Aug 1994 p. 4410; 28 Jun 2011 p. 2552.] </w:t>
      </w:r>
    </w:p>
    <w:p w:rsidR="00425758" w:rsidRDefault="00425758">
      <w:pPr>
        <w:pStyle w:val="Heading5"/>
        <w:rPr>
          <w:snapToGrid w:val="0"/>
        </w:rPr>
      </w:pPr>
      <w:bookmarkStart w:id="293" w:name="_Toc75862977"/>
      <w:r>
        <w:rPr>
          <w:rStyle w:val="CharSectno"/>
        </w:rPr>
        <w:t>13A</w:t>
      </w:r>
      <w:r>
        <w:rPr>
          <w:snapToGrid w:val="0"/>
        </w:rPr>
        <w:t>.</w:t>
      </w:r>
      <w:r>
        <w:rPr>
          <w:snapToGrid w:val="0"/>
        </w:rPr>
        <w:tab/>
        <w:t>Particulars in defamation actions</w:t>
      </w:r>
      <w:bookmarkEnd w:id="293"/>
    </w:p>
    <w:p w:rsidR="00425758" w:rsidRDefault="00425758">
      <w:pPr>
        <w:pStyle w:val="Subsection"/>
        <w:rPr>
          <w:snapToGrid w:val="0"/>
        </w:rPr>
      </w:pPr>
      <w:r>
        <w:rPr>
          <w:snapToGrid w:val="0"/>
        </w:rPr>
        <w:tab/>
        <w:t>(1)</w:t>
      </w:r>
      <w:r>
        <w:rPr>
          <w:snapToGrid w:val="0"/>
        </w:rPr>
        <w:tab/>
        <w:t xml:space="preserve">Where in an action for </w:t>
      </w:r>
      <w:r>
        <w:t>defamation</w:t>
      </w:r>
      <w:r>
        <w:rPr>
          <w:snapToGrid w:val="0"/>
        </w:rPr>
        <w:t xml:space="preserve"> the plaintiff alleges that the words or matters complained of were used in a defamatory sense other than their ordinary meaning, he must give particulars of the facts and matters on which he relies in support of that sense.</w:t>
      </w:r>
    </w:p>
    <w:p w:rsidR="00425758" w:rsidRDefault="00425758">
      <w:pPr>
        <w:pStyle w:val="Subsection"/>
        <w:rPr>
          <w:snapToGrid w:val="0"/>
        </w:rPr>
      </w:pPr>
      <w:r>
        <w:rPr>
          <w:snapToGrid w:val="0"/>
        </w:rPr>
        <w:tab/>
        <w:t>(2)</w:t>
      </w:r>
      <w:r>
        <w:rPr>
          <w:snapToGrid w:val="0"/>
        </w:rPr>
        <w:tab/>
        <w:t xml:space="preserve">Where in an action for </w:t>
      </w:r>
      <w:r>
        <w:t>defamation</w:t>
      </w:r>
      <w:r>
        <w:rPr>
          <w:snapToGrid w:val="0"/>
        </w:rPr>
        <w:t xml:space="preserve">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rsidR="00425758" w:rsidRDefault="00425758">
      <w:pPr>
        <w:pStyle w:val="Subsection"/>
        <w:rPr>
          <w:snapToGrid w:val="0"/>
        </w:rPr>
      </w:pPr>
      <w:r>
        <w:rPr>
          <w:snapToGrid w:val="0"/>
        </w:rPr>
        <w:tab/>
        <w:t>(3)</w:t>
      </w:r>
      <w:r>
        <w:rPr>
          <w:snapToGrid w:val="0"/>
        </w:rPr>
        <w:tab/>
        <w:t xml:space="preserve">Where in an action for </w:t>
      </w:r>
      <w:r>
        <w:t>defamation</w:t>
      </w:r>
      <w:r>
        <w:rPr>
          <w:snapToGrid w:val="0"/>
        </w:rPr>
        <w:t xml:space="preserve">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rsidR="00425758" w:rsidRDefault="00425758">
      <w:pPr>
        <w:pStyle w:val="Subsection"/>
        <w:rPr>
          <w:snapToGrid w:val="0"/>
        </w:rPr>
      </w:pPr>
      <w:r>
        <w:rPr>
          <w:snapToGrid w:val="0"/>
        </w:rPr>
        <w:tab/>
        <w:t>(4)</w:t>
      </w:r>
      <w:r>
        <w:rPr>
          <w:snapToGrid w:val="0"/>
        </w:rPr>
        <w:tab/>
        <w:t xml:space="preserve">This rule applies in relation to a counterclaim for </w:t>
      </w:r>
      <w:r>
        <w:t>defamation</w:t>
      </w:r>
      <w:r>
        <w:rPr>
          <w:snapToGrid w:val="0"/>
        </w:rPr>
        <w:t xml:space="preserve"> as if the party making the counterclaim were the plaintiff and the party against whom it is made were the defendant.</w:t>
      </w:r>
    </w:p>
    <w:p w:rsidR="00425758" w:rsidRDefault="00425758">
      <w:pPr>
        <w:pStyle w:val="Footnotesection"/>
      </w:pPr>
      <w:r>
        <w:tab/>
        <w:t xml:space="preserve">[Rule 13A inserted: Gazette 23 Sep 1983 p. 3797; amended: Gazette 16 Aug 2017 p. 4411.] </w:t>
      </w:r>
    </w:p>
    <w:p w:rsidR="00425758" w:rsidRDefault="00425758">
      <w:pPr>
        <w:pStyle w:val="Heading5"/>
        <w:rPr>
          <w:snapToGrid w:val="0"/>
        </w:rPr>
      </w:pPr>
      <w:bookmarkStart w:id="294" w:name="_Toc75862978"/>
      <w:r>
        <w:rPr>
          <w:rStyle w:val="CharSectno"/>
        </w:rPr>
        <w:lastRenderedPageBreak/>
        <w:t>14</w:t>
      </w:r>
      <w:r>
        <w:rPr>
          <w:snapToGrid w:val="0"/>
        </w:rPr>
        <w:t>.</w:t>
      </w:r>
      <w:r>
        <w:rPr>
          <w:snapToGrid w:val="0"/>
        </w:rPr>
        <w:tab/>
        <w:t>Admissions, traverses etc.</w:t>
      </w:r>
      <w:bookmarkEnd w:id="294"/>
    </w:p>
    <w:p w:rsidR="00425758" w:rsidRDefault="00425758">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rsidR="00425758" w:rsidRDefault="00425758">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rsidR="00425758" w:rsidRDefault="00425758">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rsidR="00425758" w:rsidRDefault="00425758">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rsidR="00425758" w:rsidRDefault="00425758">
      <w:pPr>
        <w:pStyle w:val="Footnotesection"/>
      </w:pPr>
      <w:r>
        <w:tab/>
        <w:t>[Rule 14 amended: Gazette 28 Jun 2011 p. 2552.]</w:t>
      </w:r>
    </w:p>
    <w:p w:rsidR="00425758" w:rsidRDefault="00425758">
      <w:pPr>
        <w:pStyle w:val="Heading5"/>
        <w:rPr>
          <w:snapToGrid w:val="0"/>
        </w:rPr>
      </w:pPr>
      <w:bookmarkStart w:id="295" w:name="_Toc75862979"/>
      <w:r>
        <w:rPr>
          <w:rStyle w:val="CharSectno"/>
        </w:rPr>
        <w:t>15</w:t>
      </w:r>
      <w:r>
        <w:rPr>
          <w:snapToGrid w:val="0"/>
        </w:rPr>
        <w:t>.</w:t>
      </w:r>
      <w:r>
        <w:rPr>
          <w:snapToGrid w:val="0"/>
        </w:rPr>
        <w:tab/>
        <w:t>Denial by joinder of issue</w:t>
      </w:r>
      <w:bookmarkEnd w:id="295"/>
    </w:p>
    <w:p w:rsidR="00425758" w:rsidRDefault="00425758">
      <w:pPr>
        <w:pStyle w:val="Subsection"/>
        <w:spacing w:before="180"/>
        <w:rPr>
          <w:snapToGrid w:val="0"/>
        </w:rPr>
      </w:pPr>
      <w:r>
        <w:rPr>
          <w:snapToGrid w:val="0"/>
        </w:rPr>
        <w:tab/>
        <w:t>(1)</w:t>
      </w:r>
      <w:r>
        <w:rPr>
          <w:snapToGrid w:val="0"/>
        </w:rPr>
        <w:tab/>
        <w:t>If there is no reply to a defence, there is an implied joinder of issue on that defence.</w:t>
      </w:r>
    </w:p>
    <w:p w:rsidR="00425758" w:rsidRDefault="00425758">
      <w:pPr>
        <w:pStyle w:val="Subsection"/>
        <w:spacing w:before="180"/>
        <w:rPr>
          <w:snapToGrid w:val="0"/>
        </w:rPr>
      </w:pPr>
      <w:r>
        <w:rPr>
          <w:snapToGrid w:val="0"/>
        </w:rPr>
        <w:tab/>
        <w:t>(2)</w:t>
      </w:r>
      <w:r>
        <w:rPr>
          <w:snapToGrid w:val="0"/>
        </w:rPr>
        <w:tab/>
        <w:t xml:space="preserve">Subject to </w:t>
      </w:r>
      <w:r>
        <w:t>subrule</w:t>
      </w:r>
      <w:r>
        <w:rPr>
          <w:snapToGrid w:val="0"/>
        </w:rPr>
        <w:t> (3) — </w:t>
      </w:r>
    </w:p>
    <w:p w:rsidR="00425758" w:rsidRDefault="00425758">
      <w:pPr>
        <w:pStyle w:val="Indenta"/>
        <w:rPr>
          <w:snapToGrid w:val="0"/>
        </w:rPr>
      </w:pPr>
      <w:r>
        <w:rPr>
          <w:snapToGrid w:val="0"/>
        </w:rPr>
        <w:tab/>
        <w:t>(a)</w:t>
      </w:r>
      <w:r>
        <w:rPr>
          <w:snapToGrid w:val="0"/>
        </w:rPr>
        <w:tab/>
        <w:t>there is at the close of pleadings an implied joinder of issue on the pleading last served; and</w:t>
      </w:r>
    </w:p>
    <w:p w:rsidR="00425758" w:rsidRDefault="00425758">
      <w:pPr>
        <w:pStyle w:val="Indenta"/>
        <w:rPr>
          <w:snapToGrid w:val="0"/>
        </w:rPr>
      </w:pPr>
      <w:r>
        <w:rPr>
          <w:snapToGrid w:val="0"/>
        </w:rPr>
        <w:tab/>
        <w:t>(b)</w:t>
      </w:r>
      <w:r>
        <w:rPr>
          <w:snapToGrid w:val="0"/>
        </w:rPr>
        <w:tab/>
        <w:t>a party may in his pleading expressly join issue on the next preceding pleading.</w:t>
      </w:r>
    </w:p>
    <w:p w:rsidR="00425758" w:rsidRDefault="00425758">
      <w:pPr>
        <w:pStyle w:val="Subsection"/>
        <w:spacing w:before="180"/>
        <w:rPr>
          <w:snapToGrid w:val="0"/>
        </w:rPr>
      </w:pPr>
      <w:r>
        <w:rPr>
          <w:snapToGrid w:val="0"/>
        </w:rPr>
        <w:tab/>
        <w:t>(3)</w:t>
      </w:r>
      <w:r>
        <w:rPr>
          <w:snapToGrid w:val="0"/>
        </w:rPr>
        <w:tab/>
        <w:t>There can be no joinder of issue, implied or express, on a statement of claim or counterclaim.</w:t>
      </w:r>
    </w:p>
    <w:p w:rsidR="00425758" w:rsidRDefault="00425758">
      <w:pPr>
        <w:pStyle w:val="Subsection"/>
        <w:spacing w:before="180"/>
        <w:rPr>
          <w:snapToGrid w:val="0"/>
        </w:rPr>
      </w:pPr>
      <w:r>
        <w:rPr>
          <w:snapToGrid w:val="0"/>
        </w:rPr>
        <w:tab/>
        <w:t>(4)</w:t>
      </w:r>
      <w:r>
        <w:rPr>
          <w:snapToGrid w:val="0"/>
        </w:rPr>
        <w:tab/>
        <w:t xml:space="preserve">A joinder of issue operates as a denial of every material allegation of fact made in the pleading on which there is an </w:t>
      </w:r>
      <w:r>
        <w:rPr>
          <w:snapToGrid w:val="0"/>
        </w:rPr>
        <w:lastRenderedPageBreak/>
        <w:t>implied or express joinder of issue unless, in the case of an express joinder of issue, any such allegation is excepted from the joinder and is stated to be admitted, in which case the express joinder of issue operates as a denial of every other such allegation.</w:t>
      </w:r>
    </w:p>
    <w:p w:rsidR="00425758" w:rsidRDefault="00425758">
      <w:pPr>
        <w:pStyle w:val="Footnotesection"/>
      </w:pPr>
      <w:r>
        <w:tab/>
        <w:t>[Rule 15 amended: Gazette 28 Jun 2011 p. 2552.]</w:t>
      </w:r>
    </w:p>
    <w:p w:rsidR="00425758" w:rsidRDefault="00425758">
      <w:pPr>
        <w:pStyle w:val="Heading5"/>
        <w:spacing w:before="240"/>
        <w:rPr>
          <w:snapToGrid w:val="0"/>
        </w:rPr>
      </w:pPr>
      <w:bookmarkStart w:id="296" w:name="_Toc75862980"/>
      <w:r>
        <w:rPr>
          <w:rStyle w:val="CharSectno"/>
        </w:rPr>
        <w:t>16</w:t>
      </w:r>
      <w:r>
        <w:rPr>
          <w:snapToGrid w:val="0"/>
        </w:rPr>
        <w:t>.</w:t>
      </w:r>
      <w:r>
        <w:rPr>
          <w:snapToGrid w:val="0"/>
        </w:rPr>
        <w:tab/>
        <w:t>Defence of tender not available without payment into court</w:t>
      </w:r>
      <w:bookmarkEnd w:id="296"/>
    </w:p>
    <w:p w:rsidR="00425758" w:rsidRDefault="00425758">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rsidR="00425758" w:rsidRDefault="00425758">
      <w:pPr>
        <w:pStyle w:val="Heading5"/>
        <w:spacing w:before="240"/>
        <w:rPr>
          <w:snapToGrid w:val="0"/>
        </w:rPr>
      </w:pPr>
      <w:bookmarkStart w:id="297" w:name="_Toc75862981"/>
      <w:r>
        <w:rPr>
          <w:rStyle w:val="CharSectno"/>
        </w:rPr>
        <w:t>17</w:t>
      </w:r>
      <w:r>
        <w:rPr>
          <w:snapToGrid w:val="0"/>
        </w:rPr>
        <w:t>.</w:t>
      </w:r>
      <w:r>
        <w:rPr>
          <w:snapToGrid w:val="0"/>
        </w:rPr>
        <w:tab/>
        <w:t>Defence of set</w:t>
      </w:r>
      <w:r>
        <w:rPr>
          <w:snapToGrid w:val="0"/>
        </w:rPr>
        <w:noBreakHyphen/>
        <w:t>off</w:t>
      </w:r>
      <w:bookmarkEnd w:id="297"/>
    </w:p>
    <w:p w:rsidR="00425758" w:rsidRDefault="00425758">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rsidR="00425758" w:rsidRDefault="00425758">
      <w:pPr>
        <w:pStyle w:val="Heading5"/>
        <w:spacing w:before="240"/>
        <w:rPr>
          <w:snapToGrid w:val="0"/>
        </w:rPr>
      </w:pPr>
      <w:bookmarkStart w:id="298" w:name="_Toc75862982"/>
      <w:r>
        <w:rPr>
          <w:rStyle w:val="CharSectno"/>
        </w:rPr>
        <w:t>18</w:t>
      </w:r>
      <w:r>
        <w:rPr>
          <w:snapToGrid w:val="0"/>
        </w:rPr>
        <w:t>.</w:t>
      </w:r>
      <w:r>
        <w:rPr>
          <w:snapToGrid w:val="0"/>
        </w:rPr>
        <w:tab/>
        <w:t>Counterclaim and defence to counterclaim</w:t>
      </w:r>
      <w:bookmarkEnd w:id="298"/>
    </w:p>
    <w:p w:rsidR="00425758" w:rsidRDefault="00425758">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rsidR="00425758" w:rsidRDefault="00425758">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rsidR="00425758" w:rsidRDefault="00425758">
      <w:pPr>
        <w:pStyle w:val="Indenta"/>
        <w:rPr>
          <w:snapToGrid w:val="0"/>
        </w:rPr>
      </w:pPr>
      <w:r>
        <w:rPr>
          <w:snapToGrid w:val="0"/>
        </w:rPr>
        <w:tab/>
        <w:t>(b)</w:t>
      </w:r>
      <w:r>
        <w:rPr>
          <w:snapToGrid w:val="0"/>
        </w:rPr>
        <w:tab/>
        <w:t>rules 9(2), 16, and 17 shall, with the necessary modifications apply to a defence to counterclaim as they apply to a defence.</w:t>
      </w:r>
    </w:p>
    <w:p w:rsidR="00425758" w:rsidRDefault="00425758">
      <w:pPr>
        <w:pStyle w:val="Heading5"/>
        <w:rPr>
          <w:snapToGrid w:val="0"/>
        </w:rPr>
      </w:pPr>
      <w:bookmarkStart w:id="299" w:name="_Toc75862983"/>
      <w:r>
        <w:rPr>
          <w:rStyle w:val="CharSectno"/>
        </w:rPr>
        <w:lastRenderedPageBreak/>
        <w:t>19</w:t>
      </w:r>
      <w:r>
        <w:rPr>
          <w:snapToGrid w:val="0"/>
        </w:rPr>
        <w:t>.</w:t>
      </w:r>
      <w:r>
        <w:rPr>
          <w:snapToGrid w:val="0"/>
        </w:rPr>
        <w:tab/>
        <w:t>Striking out pleadings etc.</w:t>
      </w:r>
      <w:bookmarkEnd w:id="299"/>
    </w:p>
    <w:p w:rsidR="00425758" w:rsidRDefault="00425758">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rsidR="00425758" w:rsidRDefault="00425758">
      <w:pPr>
        <w:pStyle w:val="Indenta"/>
        <w:rPr>
          <w:snapToGrid w:val="0"/>
        </w:rPr>
      </w:pPr>
      <w:r>
        <w:rPr>
          <w:snapToGrid w:val="0"/>
        </w:rPr>
        <w:tab/>
        <w:t>(a)</w:t>
      </w:r>
      <w:r>
        <w:rPr>
          <w:snapToGrid w:val="0"/>
        </w:rPr>
        <w:tab/>
        <w:t>it discloses no reasonable cause of action or defence, as the case may be; or</w:t>
      </w:r>
    </w:p>
    <w:p w:rsidR="00425758" w:rsidRDefault="00425758">
      <w:pPr>
        <w:pStyle w:val="Indenta"/>
        <w:rPr>
          <w:snapToGrid w:val="0"/>
        </w:rPr>
      </w:pPr>
      <w:r>
        <w:rPr>
          <w:snapToGrid w:val="0"/>
        </w:rPr>
        <w:tab/>
        <w:t>(b)</w:t>
      </w:r>
      <w:r>
        <w:rPr>
          <w:snapToGrid w:val="0"/>
        </w:rPr>
        <w:tab/>
        <w:t>it is scandalous, frivolous or vexatious; or</w:t>
      </w:r>
    </w:p>
    <w:p w:rsidR="00425758" w:rsidRDefault="00425758">
      <w:pPr>
        <w:pStyle w:val="Indenta"/>
        <w:rPr>
          <w:snapToGrid w:val="0"/>
        </w:rPr>
      </w:pPr>
      <w:r>
        <w:rPr>
          <w:snapToGrid w:val="0"/>
        </w:rPr>
        <w:tab/>
        <w:t>(c)</w:t>
      </w:r>
      <w:r>
        <w:rPr>
          <w:snapToGrid w:val="0"/>
        </w:rPr>
        <w:tab/>
        <w:t>it may prejudice, embarrass or delay the fair trial of the action; or</w:t>
      </w:r>
    </w:p>
    <w:p w:rsidR="00425758" w:rsidRDefault="00425758">
      <w:pPr>
        <w:pStyle w:val="Indenta"/>
        <w:rPr>
          <w:snapToGrid w:val="0"/>
        </w:rPr>
      </w:pPr>
      <w:r>
        <w:rPr>
          <w:snapToGrid w:val="0"/>
        </w:rPr>
        <w:tab/>
        <w:t>(d)</w:t>
      </w:r>
      <w:r>
        <w:rPr>
          <w:snapToGrid w:val="0"/>
        </w:rPr>
        <w:tab/>
        <w:t>it is otherwise an abuse of the process of the Court,</w:t>
      </w:r>
    </w:p>
    <w:p w:rsidR="00425758" w:rsidRDefault="00425758">
      <w:pPr>
        <w:pStyle w:val="Subsection"/>
        <w:rPr>
          <w:snapToGrid w:val="0"/>
        </w:rPr>
      </w:pPr>
      <w:r>
        <w:rPr>
          <w:snapToGrid w:val="0"/>
        </w:rPr>
        <w:tab/>
      </w:r>
      <w:r>
        <w:rPr>
          <w:snapToGrid w:val="0"/>
        </w:rPr>
        <w:tab/>
        <w:t>and may order the action to be stayed or dismissed or judgment to be entered accordingly, as the case may be.</w:t>
      </w:r>
    </w:p>
    <w:p w:rsidR="00425758" w:rsidRDefault="00425758">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rsidR="00425758" w:rsidRDefault="00425758">
      <w:pPr>
        <w:pStyle w:val="Subsection"/>
        <w:rPr>
          <w:snapToGrid w:val="0"/>
        </w:rPr>
      </w:pPr>
      <w:r>
        <w:rPr>
          <w:snapToGrid w:val="0"/>
        </w:rPr>
        <w:tab/>
        <w:t>(3)</w:t>
      </w:r>
      <w:r>
        <w:rPr>
          <w:snapToGrid w:val="0"/>
        </w:rPr>
        <w:tab/>
      </w:r>
      <w:r>
        <w:t>An application</w:t>
      </w:r>
      <w:r>
        <w:rPr>
          <w:snapToGrid w:val="0"/>
        </w:rPr>
        <w:t xml:space="preserve"> for an order under </w:t>
      </w:r>
      <w:r>
        <w:t>subrule</w:t>
      </w:r>
      <w:r>
        <w:rPr>
          <w:snapToGrid w:val="0"/>
        </w:rPr>
        <w:t> (1) must — </w:t>
      </w:r>
    </w:p>
    <w:p w:rsidR="00425758" w:rsidRDefault="00425758">
      <w:pPr>
        <w:pStyle w:val="Indenta"/>
        <w:rPr>
          <w:snapToGrid w:val="0"/>
        </w:rPr>
      </w:pPr>
      <w:r>
        <w:rPr>
          <w:snapToGrid w:val="0"/>
        </w:rPr>
        <w:tab/>
        <w:t>(a)</w:t>
      </w:r>
      <w:r>
        <w:rPr>
          <w:snapToGrid w:val="0"/>
        </w:rPr>
        <w:tab/>
        <w:t>be made within 21 days of the service of any pleading, or amended pleading, or writ to which the application refers; and</w:t>
      </w:r>
    </w:p>
    <w:p w:rsidR="00425758" w:rsidRDefault="00425758">
      <w:pPr>
        <w:pStyle w:val="Indenta"/>
        <w:rPr>
          <w:snapToGrid w:val="0"/>
        </w:rPr>
      </w:pPr>
      <w:r>
        <w:rPr>
          <w:snapToGrid w:val="0"/>
        </w:rPr>
        <w:tab/>
        <w:t>(b)</w:t>
      </w:r>
      <w:r>
        <w:rPr>
          <w:snapToGrid w:val="0"/>
        </w:rPr>
        <w:tab/>
        <w:t>where the application is to strike out certain pleadings, specify — </w:t>
      </w:r>
    </w:p>
    <w:p w:rsidR="00425758" w:rsidRDefault="00425758">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rsidR="00425758" w:rsidRDefault="00425758">
      <w:pPr>
        <w:pStyle w:val="Indenti"/>
        <w:rPr>
          <w:snapToGrid w:val="0"/>
        </w:rPr>
      </w:pPr>
      <w:r>
        <w:rPr>
          <w:snapToGrid w:val="0"/>
        </w:rPr>
        <w:tab/>
        <w:t>(ii)</w:t>
      </w:r>
      <w:r>
        <w:rPr>
          <w:snapToGrid w:val="0"/>
        </w:rPr>
        <w:tab/>
        <w:t>those parts of the pleadings which the applicant seeks to have struck out;</w:t>
      </w:r>
    </w:p>
    <w:p w:rsidR="00425758" w:rsidRDefault="00425758">
      <w:pPr>
        <w:pStyle w:val="Indenta"/>
        <w:rPr>
          <w:snapToGrid w:val="0"/>
        </w:rPr>
      </w:pPr>
      <w:r>
        <w:rPr>
          <w:snapToGrid w:val="0"/>
        </w:rPr>
        <w:tab/>
      </w:r>
      <w:r>
        <w:rPr>
          <w:snapToGrid w:val="0"/>
        </w:rPr>
        <w:tab/>
        <w:t>and</w:t>
      </w:r>
    </w:p>
    <w:p w:rsidR="00425758" w:rsidRDefault="00425758">
      <w:pPr>
        <w:pStyle w:val="Indenta"/>
        <w:rPr>
          <w:snapToGrid w:val="0"/>
        </w:rPr>
      </w:pPr>
      <w:r>
        <w:rPr>
          <w:snapToGrid w:val="0"/>
        </w:rPr>
        <w:tab/>
        <w:t>(c)</w:t>
      </w:r>
      <w:r>
        <w:rPr>
          <w:snapToGrid w:val="0"/>
        </w:rPr>
        <w:tab/>
        <w:t>where the application is to strike out the entire pleading, clearly indicate that intention in the application.</w:t>
      </w:r>
    </w:p>
    <w:p w:rsidR="00425758" w:rsidRDefault="00425758">
      <w:pPr>
        <w:pStyle w:val="Ednotesubsection"/>
      </w:pPr>
      <w:r>
        <w:tab/>
        <w:t>[(4)</w:t>
      </w:r>
      <w:r>
        <w:tab/>
        <w:t xml:space="preserve">deleted] </w:t>
      </w:r>
    </w:p>
    <w:p w:rsidR="00425758" w:rsidRDefault="00425758">
      <w:pPr>
        <w:pStyle w:val="Subsection"/>
        <w:rPr>
          <w:snapToGrid w:val="0"/>
        </w:rPr>
      </w:pPr>
      <w:r>
        <w:rPr>
          <w:snapToGrid w:val="0"/>
        </w:rPr>
        <w:tab/>
        <w:t>(5)</w:t>
      </w:r>
      <w:r>
        <w:rPr>
          <w:snapToGrid w:val="0"/>
        </w:rPr>
        <w:tab/>
        <w:t xml:space="preserve">Unless special circumstances are shown, an application to amend pleadings consequent upon an order striking the </w:t>
      </w:r>
      <w:r>
        <w:rPr>
          <w:snapToGrid w:val="0"/>
        </w:rPr>
        <w:lastRenderedPageBreak/>
        <w:t>pleadings out, in whole or in part, shall be accompanied by a minute of the proposed amendment.</w:t>
      </w:r>
    </w:p>
    <w:p w:rsidR="00425758" w:rsidRDefault="00425758">
      <w:pPr>
        <w:pStyle w:val="Footnotesection"/>
      </w:pPr>
      <w:r>
        <w:tab/>
        <w:t>[Rule 19 amended: Gazette 26 Aug 1994 p. 4410</w:t>
      </w:r>
      <w:r>
        <w:noBreakHyphen/>
        <w:t xml:space="preserve">11; 24 Jan 1995 p. 270; 9 Aug 1996 p. 3949; 28 Jun 2011 p. 2552 and 2553; 24 May 2017 p. 2607.] </w:t>
      </w:r>
    </w:p>
    <w:p w:rsidR="00425758" w:rsidRDefault="00425758">
      <w:pPr>
        <w:pStyle w:val="Heading5"/>
        <w:rPr>
          <w:snapToGrid w:val="0"/>
        </w:rPr>
      </w:pPr>
      <w:bookmarkStart w:id="300" w:name="_Toc75862984"/>
      <w:r>
        <w:rPr>
          <w:rStyle w:val="CharSectno"/>
        </w:rPr>
        <w:t>20</w:t>
      </w:r>
      <w:r>
        <w:rPr>
          <w:snapToGrid w:val="0"/>
        </w:rPr>
        <w:t>.</w:t>
      </w:r>
      <w:r>
        <w:rPr>
          <w:snapToGrid w:val="0"/>
        </w:rPr>
        <w:tab/>
        <w:t>Close of pleadings</w:t>
      </w:r>
      <w:bookmarkEnd w:id="300"/>
    </w:p>
    <w:p w:rsidR="00425758" w:rsidRDefault="00425758">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rsidR="00425758" w:rsidRDefault="00425758">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rsidR="00425758" w:rsidRDefault="00425758">
      <w:pPr>
        <w:pStyle w:val="Indenta"/>
        <w:rPr>
          <w:snapToGrid w:val="0"/>
        </w:rPr>
      </w:pPr>
      <w:r>
        <w:rPr>
          <w:snapToGrid w:val="0"/>
        </w:rPr>
        <w:tab/>
        <w:t>(b)</w:t>
      </w:r>
      <w:r>
        <w:rPr>
          <w:snapToGrid w:val="0"/>
        </w:rPr>
        <w:tab/>
        <w:t>if neither a reply nor a defence to counterclaim is served, at the expiration of 14 days after service of the defence.</w:t>
      </w:r>
    </w:p>
    <w:p w:rsidR="00425758" w:rsidRDefault="00425758">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rsidR="00425758" w:rsidRDefault="00425758">
      <w:pPr>
        <w:pStyle w:val="Footnotesection"/>
      </w:pPr>
      <w:r>
        <w:tab/>
        <w:t>[Rule 20 amended: Gazette 28 Jun 2011 p. 2552.]</w:t>
      </w:r>
    </w:p>
    <w:p w:rsidR="00425758" w:rsidRDefault="00425758">
      <w:pPr>
        <w:pStyle w:val="Heading5"/>
        <w:rPr>
          <w:snapToGrid w:val="0"/>
        </w:rPr>
      </w:pPr>
      <w:bookmarkStart w:id="301" w:name="_Toc75862985"/>
      <w:r>
        <w:rPr>
          <w:rStyle w:val="CharSectno"/>
        </w:rPr>
        <w:t>21</w:t>
      </w:r>
      <w:r>
        <w:rPr>
          <w:snapToGrid w:val="0"/>
        </w:rPr>
        <w:t>.</w:t>
      </w:r>
      <w:r>
        <w:rPr>
          <w:snapToGrid w:val="0"/>
        </w:rPr>
        <w:tab/>
        <w:t>Trial without pleadings</w:t>
      </w:r>
      <w:bookmarkEnd w:id="301"/>
    </w:p>
    <w:p w:rsidR="00425758" w:rsidRDefault="00425758">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rsidR="00425758" w:rsidRDefault="00425758">
      <w:pPr>
        <w:pStyle w:val="Subsection"/>
        <w:rPr>
          <w:snapToGrid w:val="0"/>
        </w:rPr>
      </w:pPr>
      <w:r>
        <w:rPr>
          <w:snapToGrid w:val="0"/>
        </w:rPr>
        <w:tab/>
        <w:t>(2)</w:t>
      </w:r>
      <w:r>
        <w:rPr>
          <w:snapToGrid w:val="0"/>
        </w:rPr>
        <w:tab/>
        <w:t xml:space="preserve">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w:t>
      </w:r>
      <w:r>
        <w:rPr>
          <w:snapToGrid w:val="0"/>
        </w:rPr>
        <w:lastRenderedPageBreak/>
        <w:t>statement of the issues in dispute or, if the parties are unable to agree to such a statement, may settle the statement itself.</w:t>
      </w:r>
    </w:p>
    <w:p w:rsidR="00425758" w:rsidRDefault="00425758">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rsidR="00425758" w:rsidRDefault="00425758">
      <w:pPr>
        <w:pStyle w:val="Subsection"/>
        <w:rPr>
          <w:snapToGrid w:val="0"/>
        </w:rPr>
      </w:pPr>
      <w:r>
        <w:rPr>
          <w:snapToGrid w:val="0"/>
        </w:rPr>
        <w:tab/>
        <w:t>(4)</w:t>
      </w:r>
      <w:r>
        <w:rPr>
          <w:snapToGrid w:val="0"/>
        </w:rPr>
        <w:tab/>
        <w:t>This rule applies to every action begun by writ other than one which includes — </w:t>
      </w:r>
    </w:p>
    <w:p w:rsidR="00425758" w:rsidRDefault="00425758">
      <w:pPr>
        <w:pStyle w:val="Indenta"/>
        <w:rPr>
          <w:snapToGrid w:val="0"/>
        </w:rPr>
      </w:pPr>
      <w:r>
        <w:rPr>
          <w:snapToGrid w:val="0"/>
        </w:rPr>
        <w:tab/>
        <w:t>(a)</w:t>
      </w:r>
      <w:r>
        <w:rPr>
          <w:snapToGrid w:val="0"/>
        </w:rPr>
        <w:tab/>
        <w:t xml:space="preserve">a claim by the plaintiff for </w:t>
      </w:r>
      <w:r>
        <w:t xml:space="preserve">defamation, </w:t>
      </w:r>
      <w:r>
        <w:rPr>
          <w:snapToGrid w:val="0"/>
        </w:rPr>
        <w:t>malicious prosecution, false imprisonment, seduction or breach of promise of marriage; or</w:t>
      </w:r>
    </w:p>
    <w:p w:rsidR="00425758" w:rsidRDefault="00425758">
      <w:pPr>
        <w:pStyle w:val="Indenta"/>
        <w:rPr>
          <w:snapToGrid w:val="0"/>
        </w:rPr>
      </w:pPr>
      <w:r>
        <w:rPr>
          <w:snapToGrid w:val="0"/>
        </w:rPr>
        <w:tab/>
        <w:t>(b)</w:t>
      </w:r>
      <w:r>
        <w:rPr>
          <w:snapToGrid w:val="0"/>
        </w:rPr>
        <w:tab/>
        <w:t>a claim by the plaintiff based on an allegation of fraud.</w:t>
      </w:r>
    </w:p>
    <w:p w:rsidR="00425758" w:rsidRDefault="00425758">
      <w:pPr>
        <w:pStyle w:val="Footnotesection"/>
      </w:pPr>
      <w:r>
        <w:tab/>
        <w:t>[Rule 21 amended: Gazette 28 Jul 2010 p. 3466; 16 Aug 2017 p. 4411.]</w:t>
      </w:r>
    </w:p>
    <w:p w:rsidR="00425758" w:rsidRDefault="00425758">
      <w:pPr>
        <w:pStyle w:val="Heading5"/>
        <w:rPr>
          <w:snapToGrid w:val="0"/>
        </w:rPr>
      </w:pPr>
      <w:bookmarkStart w:id="302" w:name="_Toc75862986"/>
      <w:r>
        <w:rPr>
          <w:rStyle w:val="CharSectno"/>
        </w:rPr>
        <w:t>22</w:t>
      </w:r>
      <w:r>
        <w:rPr>
          <w:snapToGrid w:val="0"/>
        </w:rPr>
        <w:t>.</w:t>
      </w:r>
      <w:r>
        <w:rPr>
          <w:snapToGrid w:val="0"/>
        </w:rPr>
        <w:tab/>
        <w:t>Preparation of issues</w:t>
      </w:r>
      <w:bookmarkEnd w:id="302"/>
    </w:p>
    <w:p w:rsidR="00425758" w:rsidRDefault="00425758">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rsidR="00425758" w:rsidRDefault="00425758">
      <w:pPr>
        <w:pStyle w:val="Heading5"/>
        <w:rPr>
          <w:snapToGrid w:val="0"/>
        </w:rPr>
      </w:pPr>
      <w:bookmarkStart w:id="303" w:name="_Toc75862987"/>
      <w:r>
        <w:rPr>
          <w:rStyle w:val="CharSectno"/>
        </w:rPr>
        <w:t>23</w:t>
      </w:r>
      <w:r>
        <w:rPr>
          <w:snapToGrid w:val="0"/>
        </w:rPr>
        <w:t>.</w:t>
      </w:r>
      <w:r>
        <w:rPr>
          <w:snapToGrid w:val="0"/>
        </w:rPr>
        <w:tab/>
        <w:t>Collision between vessels, content etc. of Preliminary Act</w:t>
      </w:r>
      <w:bookmarkEnd w:id="303"/>
    </w:p>
    <w:p w:rsidR="00425758" w:rsidRDefault="00425758">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a document to be called a Preliminary Act.</w:t>
      </w:r>
    </w:p>
    <w:p w:rsidR="00425758" w:rsidRDefault="00425758">
      <w:pPr>
        <w:pStyle w:val="Subsection"/>
        <w:rPr>
          <w:snapToGrid w:val="0"/>
        </w:rPr>
      </w:pPr>
      <w:r>
        <w:rPr>
          <w:snapToGrid w:val="0"/>
        </w:rPr>
        <w:tab/>
        <w:t>(2)</w:t>
      </w:r>
      <w:r>
        <w:rPr>
          <w:snapToGrid w:val="0"/>
        </w:rPr>
        <w:tab/>
        <w:t xml:space="preserve">Every Preliminary Act shall be sealed up and, unless the Court otherwise orders, shall not be opened until the pleadings are closed and a consent signed by the respective parties or their solicitors that the Preliminary Acts shall be opened is </w:t>
      </w:r>
      <w:r>
        <w:t>filed.</w:t>
      </w:r>
    </w:p>
    <w:p w:rsidR="00425758" w:rsidRDefault="00425758">
      <w:pPr>
        <w:pStyle w:val="Subsection"/>
        <w:rPr>
          <w:snapToGrid w:val="0"/>
        </w:rPr>
      </w:pPr>
      <w:r>
        <w:rPr>
          <w:snapToGrid w:val="0"/>
        </w:rPr>
        <w:lastRenderedPageBreak/>
        <w:tab/>
        <w:t>(3)</w:t>
      </w:r>
      <w:r>
        <w:rPr>
          <w:snapToGrid w:val="0"/>
        </w:rPr>
        <w:tab/>
        <w:t>The Preliminary Act shall contain a statement of the following particulars — </w:t>
      </w:r>
    </w:p>
    <w:p w:rsidR="00425758" w:rsidRDefault="00425758">
      <w:pPr>
        <w:pStyle w:val="Indenta"/>
        <w:rPr>
          <w:snapToGrid w:val="0"/>
        </w:rPr>
      </w:pPr>
      <w:r>
        <w:rPr>
          <w:snapToGrid w:val="0"/>
        </w:rPr>
        <w:tab/>
        <w:t>(a)</w:t>
      </w:r>
      <w:r>
        <w:rPr>
          <w:snapToGrid w:val="0"/>
        </w:rPr>
        <w:tab/>
        <w:t>the names of the vessels which came into collision, the names of their masters, and their ports of registry;</w:t>
      </w:r>
    </w:p>
    <w:p w:rsidR="00425758" w:rsidRDefault="00425758">
      <w:pPr>
        <w:pStyle w:val="Indenta"/>
        <w:rPr>
          <w:snapToGrid w:val="0"/>
        </w:rPr>
      </w:pPr>
      <w:r>
        <w:rPr>
          <w:snapToGrid w:val="0"/>
        </w:rPr>
        <w:tab/>
        <w:t>(b)</w:t>
      </w:r>
      <w:r>
        <w:rPr>
          <w:snapToGrid w:val="0"/>
        </w:rPr>
        <w:tab/>
        <w:t>the date and time of the collision;</w:t>
      </w:r>
    </w:p>
    <w:p w:rsidR="00425758" w:rsidRDefault="00425758">
      <w:pPr>
        <w:pStyle w:val="Indenta"/>
        <w:rPr>
          <w:snapToGrid w:val="0"/>
        </w:rPr>
      </w:pPr>
      <w:r>
        <w:rPr>
          <w:snapToGrid w:val="0"/>
        </w:rPr>
        <w:tab/>
        <w:t>(c)</w:t>
      </w:r>
      <w:r>
        <w:rPr>
          <w:snapToGrid w:val="0"/>
        </w:rPr>
        <w:tab/>
        <w:t>the place of the collision;</w:t>
      </w:r>
    </w:p>
    <w:p w:rsidR="00425758" w:rsidRDefault="00425758">
      <w:pPr>
        <w:pStyle w:val="Indenta"/>
        <w:rPr>
          <w:snapToGrid w:val="0"/>
        </w:rPr>
      </w:pPr>
      <w:r>
        <w:rPr>
          <w:snapToGrid w:val="0"/>
        </w:rPr>
        <w:tab/>
        <w:t>(d)</w:t>
      </w:r>
      <w:r>
        <w:rPr>
          <w:snapToGrid w:val="0"/>
        </w:rPr>
        <w:tab/>
        <w:t>the direction and force of the wind;</w:t>
      </w:r>
    </w:p>
    <w:p w:rsidR="00425758" w:rsidRDefault="00425758">
      <w:pPr>
        <w:pStyle w:val="Indenta"/>
        <w:rPr>
          <w:snapToGrid w:val="0"/>
        </w:rPr>
      </w:pPr>
      <w:r>
        <w:rPr>
          <w:snapToGrid w:val="0"/>
        </w:rPr>
        <w:tab/>
        <w:t>(e)</w:t>
      </w:r>
      <w:r>
        <w:rPr>
          <w:snapToGrid w:val="0"/>
        </w:rPr>
        <w:tab/>
        <w:t>the state of the weather;</w:t>
      </w:r>
    </w:p>
    <w:p w:rsidR="00425758" w:rsidRDefault="00425758">
      <w:pPr>
        <w:pStyle w:val="Indenta"/>
        <w:rPr>
          <w:snapToGrid w:val="0"/>
        </w:rPr>
      </w:pPr>
      <w:r>
        <w:rPr>
          <w:snapToGrid w:val="0"/>
        </w:rPr>
        <w:tab/>
        <w:t>(f)</w:t>
      </w:r>
      <w:r>
        <w:rPr>
          <w:snapToGrid w:val="0"/>
        </w:rPr>
        <w:tab/>
        <w:t>the state, direction and force of the tidal or other current;</w:t>
      </w:r>
    </w:p>
    <w:p w:rsidR="00425758" w:rsidRDefault="00425758">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rsidR="00425758" w:rsidRDefault="00425758">
      <w:pPr>
        <w:pStyle w:val="Indenta"/>
        <w:rPr>
          <w:snapToGrid w:val="0"/>
        </w:rPr>
      </w:pPr>
      <w:r>
        <w:rPr>
          <w:snapToGrid w:val="0"/>
        </w:rPr>
        <w:tab/>
        <w:t>(h)</w:t>
      </w:r>
      <w:r>
        <w:rPr>
          <w:snapToGrid w:val="0"/>
        </w:rPr>
        <w:tab/>
        <w:t>the lights (if any) carried by the vessel;</w:t>
      </w:r>
    </w:p>
    <w:p w:rsidR="00425758" w:rsidRDefault="00425758">
      <w:pPr>
        <w:pStyle w:val="Indenta"/>
        <w:rPr>
          <w:snapToGrid w:val="0"/>
        </w:rPr>
      </w:pPr>
      <w:r>
        <w:rPr>
          <w:snapToGrid w:val="0"/>
        </w:rPr>
        <w:tab/>
        <w:t>(i)</w:t>
      </w:r>
      <w:r>
        <w:rPr>
          <w:snapToGrid w:val="0"/>
        </w:rPr>
        <w:tab/>
        <w:t>the distance and bearing of the other vessel if and when her echo was first observed by radar;</w:t>
      </w:r>
    </w:p>
    <w:p w:rsidR="00425758" w:rsidRDefault="00425758">
      <w:pPr>
        <w:pStyle w:val="Indenta"/>
        <w:rPr>
          <w:snapToGrid w:val="0"/>
        </w:rPr>
      </w:pPr>
      <w:r>
        <w:rPr>
          <w:snapToGrid w:val="0"/>
        </w:rPr>
        <w:tab/>
        <w:t>(j)</w:t>
      </w:r>
      <w:r>
        <w:rPr>
          <w:snapToGrid w:val="0"/>
        </w:rPr>
        <w:tab/>
        <w:t>the distance, bearing and approximate heading of the other vessel when first seen;</w:t>
      </w:r>
    </w:p>
    <w:p w:rsidR="00425758" w:rsidRDefault="00425758">
      <w:pPr>
        <w:pStyle w:val="Indenta"/>
        <w:rPr>
          <w:snapToGrid w:val="0"/>
        </w:rPr>
      </w:pPr>
      <w:r>
        <w:rPr>
          <w:snapToGrid w:val="0"/>
        </w:rPr>
        <w:tab/>
        <w:t>(k)</w:t>
      </w:r>
      <w:r>
        <w:rPr>
          <w:snapToGrid w:val="0"/>
        </w:rPr>
        <w:tab/>
        <w:t>what light or combination of lights (if any) of the other vessel was first seen;</w:t>
      </w:r>
    </w:p>
    <w:p w:rsidR="00425758" w:rsidRDefault="00425758">
      <w:pPr>
        <w:pStyle w:val="Indenta"/>
        <w:rPr>
          <w:snapToGrid w:val="0"/>
        </w:rPr>
      </w:pPr>
      <w:r>
        <w:rPr>
          <w:snapToGrid w:val="0"/>
        </w:rPr>
        <w:tab/>
        <w:t>(l)</w:t>
      </w:r>
      <w:r>
        <w:rPr>
          <w:snapToGrid w:val="0"/>
        </w:rPr>
        <w:tab/>
        <w:t>what other lights or combination of lights (if any) of the other vessel were subsequently seen before the collision, and when;</w:t>
      </w:r>
    </w:p>
    <w:p w:rsidR="00425758" w:rsidRDefault="00425758">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rsidR="00425758" w:rsidRDefault="00425758">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rsidR="00425758" w:rsidRDefault="00425758">
      <w:pPr>
        <w:pStyle w:val="Indenta"/>
        <w:keepNext/>
        <w:rPr>
          <w:snapToGrid w:val="0"/>
        </w:rPr>
      </w:pPr>
      <w:r>
        <w:rPr>
          <w:snapToGrid w:val="0"/>
        </w:rPr>
        <w:lastRenderedPageBreak/>
        <w:tab/>
        <w:t>(o)</w:t>
      </w:r>
      <w:r>
        <w:rPr>
          <w:snapToGrid w:val="0"/>
        </w:rPr>
        <w:tab/>
        <w:t>what sound signals (if any) were given, and when;</w:t>
      </w:r>
    </w:p>
    <w:p w:rsidR="00425758" w:rsidRDefault="00425758">
      <w:pPr>
        <w:pStyle w:val="Indenta"/>
        <w:rPr>
          <w:snapToGrid w:val="0"/>
        </w:rPr>
      </w:pPr>
      <w:r>
        <w:rPr>
          <w:snapToGrid w:val="0"/>
        </w:rPr>
        <w:tab/>
        <w:t>(p)</w:t>
      </w:r>
      <w:r>
        <w:rPr>
          <w:snapToGrid w:val="0"/>
        </w:rPr>
        <w:tab/>
        <w:t>what sound signals (if any) were heard from the other vessel, and when.</w:t>
      </w:r>
    </w:p>
    <w:p w:rsidR="00425758" w:rsidRDefault="00425758">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rsidR="00425758" w:rsidRDefault="00425758">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rsidR="00425758" w:rsidRDefault="00425758">
      <w:pPr>
        <w:pStyle w:val="Footnotesection"/>
      </w:pPr>
      <w:r>
        <w:tab/>
        <w:t>[Rule 23 amended: Gazette 28 Jun 2011 p. 2553</w:t>
      </w:r>
      <w:r>
        <w:noBreakHyphen/>
        <w:t>4; 27 Feb 2018 p. 558-9.]</w:t>
      </w:r>
    </w:p>
    <w:p w:rsidR="00425758" w:rsidRDefault="00425758">
      <w:pPr>
        <w:pStyle w:val="Heading5"/>
        <w:rPr>
          <w:snapToGrid w:val="0"/>
        </w:rPr>
      </w:pPr>
      <w:bookmarkStart w:id="304" w:name="_Toc75862988"/>
      <w:r>
        <w:rPr>
          <w:rStyle w:val="CharSectno"/>
        </w:rPr>
        <w:t>24</w:t>
      </w:r>
      <w:r>
        <w:rPr>
          <w:snapToGrid w:val="0"/>
        </w:rPr>
        <w:t>.</w:t>
      </w:r>
      <w:r>
        <w:rPr>
          <w:snapToGrid w:val="0"/>
        </w:rPr>
        <w:tab/>
        <w:t>Failure to file Preliminary Act</w:t>
      </w:r>
      <w:bookmarkEnd w:id="304"/>
    </w:p>
    <w:p w:rsidR="00425758" w:rsidRDefault="00425758">
      <w:pPr>
        <w:pStyle w:val="Subsection"/>
        <w:rPr>
          <w:snapToGrid w:val="0"/>
        </w:rPr>
      </w:pPr>
      <w:r>
        <w:rPr>
          <w:snapToGrid w:val="0"/>
        </w:rPr>
        <w:tab/>
        <w:t>(1)</w:t>
      </w:r>
      <w:r>
        <w:rPr>
          <w:snapToGrid w:val="0"/>
        </w:rPr>
        <w:tab/>
        <w:t xml:space="preserve">Where in an action to which rule 23 applies, the plaintiff fails to </w:t>
      </w:r>
      <w:r>
        <w:t>file</w:t>
      </w:r>
      <w:r>
        <w:rPr>
          <w:snapToGrid w:val="0"/>
        </w:rPr>
        <w:t xml:space="preserve"> a Preliminary Act within the time prescribed for that purpose by that rule or by any order of the Court, any defendant who has </w:t>
      </w:r>
      <w:r>
        <w:t>filed</w:t>
      </w:r>
      <w:r>
        <w:rPr>
          <w:snapToGrid w:val="0"/>
        </w:rPr>
        <w:t xml:space="preserve"> such an Act may apply to the Court by summons for an order to dismiss the action, and the Court may by order dismiss the action or make such other order on such terms as it thinks just.</w:t>
      </w:r>
    </w:p>
    <w:p w:rsidR="00425758" w:rsidRDefault="00425758">
      <w:pPr>
        <w:pStyle w:val="Subsection"/>
        <w:rPr>
          <w:snapToGrid w:val="0"/>
        </w:rPr>
      </w:pPr>
      <w:r>
        <w:rPr>
          <w:snapToGrid w:val="0"/>
        </w:rPr>
        <w:tab/>
        <w:t>(2)</w:t>
      </w:r>
      <w:r>
        <w:rPr>
          <w:snapToGrid w:val="0"/>
        </w:rPr>
        <w:tab/>
        <w:t xml:space="preserve">Where in such an action, being an action in personam, a defendant fails to </w:t>
      </w:r>
      <w:r>
        <w:t>file</w:t>
      </w:r>
      <w:r>
        <w:rPr>
          <w:snapToGrid w:val="0"/>
        </w:rPr>
        <w:t xml:space="preserve"> a Preliminary Act within the period prescribed for that purpose by rule 23 or by any order of the Court, Order 22 rules 2 and 3 shall apply as if the defendant’s failure to </w:t>
      </w:r>
      <w:r>
        <w:t>file</w:t>
      </w:r>
      <w:r>
        <w:rPr>
          <w:snapToGrid w:val="0"/>
        </w:rPr>
        <w:t xml:space="preserve"> the Preliminary Act within that period were a failure by him to serve a defence on the plaintiff within the period fixed by or under these rules for service thereof, and the plaintiff may enter judgment against the defendant in </w:t>
      </w:r>
      <w:r>
        <w:rPr>
          <w:snapToGrid w:val="0"/>
        </w:rPr>
        <w:lastRenderedPageBreak/>
        <w:t>accordance with the said rule 2 or the said rule 3, as the circumstances of the case require.</w:t>
      </w:r>
    </w:p>
    <w:p w:rsidR="00425758" w:rsidRDefault="00425758">
      <w:pPr>
        <w:pStyle w:val="Footnotesection"/>
      </w:pPr>
      <w:r>
        <w:tab/>
        <w:t>[Rule 24 amended: Gazette 27 Feb 2018 p. 559.]</w:t>
      </w:r>
    </w:p>
    <w:p w:rsidR="00425758" w:rsidRDefault="00425758">
      <w:pPr>
        <w:pStyle w:val="Heading2"/>
        <w:rPr>
          <w:b w:val="0"/>
        </w:rPr>
      </w:pPr>
      <w:bookmarkStart w:id="305" w:name="_Toc75511893"/>
      <w:bookmarkStart w:id="306" w:name="_Toc75862989"/>
      <w:r>
        <w:rPr>
          <w:rStyle w:val="CharPartNo"/>
        </w:rPr>
        <w:lastRenderedPageBreak/>
        <w:t>Order 21</w:t>
      </w:r>
      <w:r>
        <w:t> — </w:t>
      </w:r>
      <w:r>
        <w:rPr>
          <w:rStyle w:val="CharPartText"/>
        </w:rPr>
        <w:t>Amendment</w:t>
      </w:r>
      <w:bookmarkEnd w:id="305"/>
      <w:bookmarkEnd w:id="306"/>
    </w:p>
    <w:p w:rsidR="00425758" w:rsidRDefault="00425758">
      <w:pPr>
        <w:pStyle w:val="Heading5"/>
        <w:rPr>
          <w:snapToGrid w:val="0"/>
        </w:rPr>
      </w:pPr>
      <w:bookmarkStart w:id="307" w:name="_Toc75862990"/>
      <w:r>
        <w:rPr>
          <w:rStyle w:val="CharSectno"/>
        </w:rPr>
        <w:t>1</w:t>
      </w:r>
      <w:r>
        <w:rPr>
          <w:snapToGrid w:val="0"/>
        </w:rPr>
        <w:t>.</w:t>
      </w:r>
      <w:r>
        <w:rPr>
          <w:snapToGrid w:val="0"/>
        </w:rPr>
        <w:tab/>
        <w:t>Amending writ without leave</w:t>
      </w:r>
      <w:bookmarkEnd w:id="307"/>
    </w:p>
    <w:p w:rsidR="00425758" w:rsidRDefault="00425758">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rsidR="00425758" w:rsidRDefault="00425758">
      <w:pPr>
        <w:pStyle w:val="Ednotesubsection"/>
      </w:pPr>
      <w:r>
        <w:tab/>
        <w:t>[(2)</w:t>
      </w:r>
      <w:r>
        <w:tab/>
        <w:t>deleted]</w:t>
      </w:r>
    </w:p>
    <w:p w:rsidR="00425758" w:rsidRDefault="00425758">
      <w:pPr>
        <w:pStyle w:val="Subsection"/>
        <w:rPr>
          <w:snapToGrid w:val="0"/>
        </w:rPr>
      </w:pPr>
      <w:r>
        <w:rPr>
          <w:snapToGrid w:val="0"/>
        </w:rPr>
        <w:tab/>
        <w:t>(3)</w:t>
      </w:r>
      <w:r>
        <w:rPr>
          <w:snapToGrid w:val="0"/>
        </w:rPr>
        <w:tab/>
        <w:t>This rule shall not apply in relation to an amendment which consists of — </w:t>
      </w:r>
    </w:p>
    <w:p w:rsidR="00425758" w:rsidRDefault="00425758">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rsidR="00425758" w:rsidRDefault="00425758">
      <w:pPr>
        <w:pStyle w:val="Indenta"/>
        <w:rPr>
          <w:snapToGrid w:val="0"/>
        </w:rPr>
      </w:pPr>
      <w:r>
        <w:rPr>
          <w:snapToGrid w:val="0"/>
        </w:rPr>
        <w:tab/>
        <w:t>(b)</w:t>
      </w:r>
      <w:r>
        <w:rPr>
          <w:snapToGrid w:val="0"/>
        </w:rPr>
        <w:tab/>
        <w:t>the addition or substitution of a new cause of action; or</w:t>
      </w:r>
    </w:p>
    <w:p w:rsidR="00425758" w:rsidRDefault="00425758">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rsidR="00425758" w:rsidRDefault="00425758">
      <w:pPr>
        <w:pStyle w:val="Footnotesection"/>
      </w:pPr>
      <w:r>
        <w:tab/>
        <w:t>[Rule 1 amended: Gazette 28 Jul 2010 p. 3462; 28 Jun 2011 p. 2552.]</w:t>
      </w:r>
    </w:p>
    <w:p w:rsidR="00425758" w:rsidRDefault="00425758">
      <w:pPr>
        <w:pStyle w:val="Heading5"/>
        <w:rPr>
          <w:snapToGrid w:val="0"/>
        </w:rPr>
      </w:pPr>
      <w:bookmarkStart w:id="308" w:name="_Toc75862991"/>
      <w:r>
        <w:rPr>
          <w:rStyle w:val="CharSectno"/>
        </w:rPr>
        <w:t>2</w:t>
      </w:r>
      <w:r>
        <w:rPr>
          <w:snapToGrid w:val="0"/>
        </w:rPr>
        <w:t>.</w:t>
      </w:r>
      <w:r>
        <w:rPr>
          <w:snapToGrid w:val="0"/>
        </w:rPr>
        <w:tab/>
        <w:t>Amending memorandum of appearance</w:t>
      </w:r>
      <w:bookmarkEnd w:id="308"/>
    </w:p>
    <w:p w:rsidR="00425758" w:rsidRDefault="00425758">
      <w:pPr>
        <w:pStyle w:val="Subsection"/>
        <w:rPr>
          <w:snapToGrid w:val="0"/>
        </w:rPr>
      </w:pPr>
      <w:r>
        <w:rPr>
          <w:snapToGrid w:val="0"/>
        </w:rPr>
        <w:tab/>
      </w:r>
      <w:r>
        <w:rPr>
          <w:snapToGrid w:val="0"/>
        </w:rPr>
        <w:tab/>
        <w:t>A defendant may not amend his memorandum of appearance without the leave of the Court.</w:t>
      </w:r>
    </w:p>
    <w:p w:rsidR="00425758" w:rsidRDefault="00425758">
      <w:pPr>
        <w:pStyle w:val="Heading5"/>
      </w:pPr>
      <w:bookmarkStart w:id="309" w:name="_Toc75862992"/>
      <w:r>
        <w:rPr>
          <w:rStyle w:val="CharSectno"/>
        </w:rPr>
        <w:t>3</w:t>
      </w:r>
      <w:r>
        <w:t>.</w:t>
      </w:r>
      <w:r>
        <w:tab/>
        <w:t>Amending pleadings without leave</w:t>
      </w:r>
      <w:bookmarkEnd w:id="309"/>
    </w:p>
    <w:p w:rsidR="00425758" w:rsidRDefault="00425758">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rsidR="00425758" w:rsidRDefault="00425758">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rsidR="00425758" w:rsidRDefault="00425758">
      <w:pPr>
        <w:pStyle w:val="Subsection"/>
        <w:rPr>
          <w:snapToGrid w:val="0"/>
        </w:rPr>
      </w:pPr>
      <w:r>
        <w:rPr>
          <w:snapToGrid w:val="0"/>
        </w:rPr>
        <w:lastRenderedPageBreak/>
        <w:tab/>
        <w:t>(3)</w:t>
      </w:r>
      <w:r>
        <w:rPr>
          <w:snapToGrid w:val="0"/>
        </w:rPr>
        <w:tab/>
        <w:t>A party served with a pleading amended under subrule (1) or (2) may apply to the case manager for any amendment in the pleading to be struck out.</w:t>
      </w:r>
    </w:p>
    <w:p w:rsidR="00425758" w:rsidRDefault="00425758">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rsidR="00425758" w:rsidRDefault="00425758">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rsidR="00425758" w:rsidRDefault="00425758">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rsidR="00425758" w:rsidRDefault="00425758">
      <w:pPr>
        <w:pStyle w:val="Footnotesection"/>
      </w:pPr>
      <w:r>
        <w:tab/>
        <w:t>[Rule 3 inserted: Gazette 28 Jul 2010 p. 3462-3.]</w:t>
      </w:r>
    </w:p>
    <w:p w:rsidR="00425758" w:rsidRDefault="00425758">
      <w:pPr>
        <w:pStyle w:val="Ednotesection"/>
      </w:pPr>
      <w:r>
        <w:t>[</w:t>
      </w:r>
      <w:r>
        <w:rPr>
          <w:b/>
          <w:bCs/>
        </w:rPr>
        <w:t>4.</w:t>
      </w:r>
      <w:r>
        <w:tab/>
        <w:t>Deleted: Gazette 28 Jul 2010 p. 3462.]</w:t>
      </w:r>
    </w:p>
    <w:p w:rsidR="00425758" w:rsidRDefault="00425758">
      <w:pPr>
        <w:pStyle w:val="Heading5"/>
      </w:pPr>
      <w:bookmarkStart w:id="310" w:name="_Toc75862993"/>
      <w:r>
        <w:rPr>
          <w:rStyle w:val="CharSectno"/>
        </w:rPr>
        <w:t>5</w:t>
      </w:r>
      <w:r>
        <w:t>.</w:t>
      </w:r>
      <w:r>
        <w:tab/>
        <w:t>Amending writ or pleading with leave</w:t>
      </w:r>
      <w:bookmarkEnd w:id="310"/>
    </w:p>
    <w:p w:rsidR="00425758" w:rsidRDefault="00425758">
      <w:pPr>
        <w:pStyle w:val="Subsection"/>
      </w:pPr>
      <w:r>
        <w:tab/>
        <w:t>(1)</w:t>
      </w:r>
      <w:r>
        <w:tab/>
        <w:t xml:space="preserve">This rule is subject to — </w:t>
      </w:r>
    </w:p>
    <w:p w:rsidR="00425758" w:rsidRDefault="00425758">
      <w:pPr>
        <w:pStyle w:val="Indenta"/>
      </w:pPr>
      <w:r>
        <w:tab/>
        <w:t>(a)</w:t>
      </w:r>
      <w:r>
        <w:tab/>
        <w:t>Order 18 rules 6, 7 and 8; and</w:t>
      </w:r>
    </w:p>
    <w:p w:rsidR="00425758" w:rsidRDefault="00425758">
      <w:pPr>
        <w:pStyle w:val="Indenta"/>
      </w:pPr>
      <w:r>
        <w:tab/>
        <w:t>(b)</w:t>
      </w:r>
      <w:r>
        <w:tab/>
        <w:t>Order 20 rule 19(2) to (5).</w:t>
      </w:r>
    </w:p>
    <w:p w:rsidR="00425758" w:rsidRDefault="00425758">
      <w:pPr>
        <w:pStyle w:val="Subsection"/>
      </w:pPr>
      <w:r>
        <w:tab/>
        <w:t>(2)</w:t>
      </w:r>
      <w:r>
        <w:tab/>
        <w:t>The Court may at any stage of the proceedings, without determining whether any relevant period of limitation has expired, allow the plaintiff to amend the plaintiff’s writ, or any party to amend that party’s pleading, on any terms as to costs or otherwise that may be just and in the manner (if any) that the Court may direct.</w:t>
      </w:r>
    </w:p>
    <w:p w:rsidR="00425758" w:rsidRDefault="00425758">
      <w:pPr>
        <w:pStyle w:val="Footnotesection"/>
      </w:pPr>
      <w:r>
        <w:tab/>
        <w:t>[Rule 5 inserted: Gazette 27 Feb 2018 p. 559-60.]</w:t>
      </w:r>
    </w:p>
    <w:p w:rsidR="00425758" w:rsidRDefault="00425758">
      <w:pPr>
        <w:pStyle w:val="Heading5"/>
        <w:spacing w:before="180"/>
        <w:rPr>
          <w:snapToGrid w:val="0"/>
        </w:rPr>
      </w:pPr>
      <w:bookmarkStart w:id="311" w:name="_Toc75862994"/>
      <w:r>
        <w:rPr>
          <w:rStyle w:val="CharSectno"/>
        </w:rPr>
        <w:lastRenderedPageBreak/>
        <w:t>6</w:t>
      </w:r>
      <w:r>
        <w:rPr>
          <w:snapToGrid w:val="0"/>
        </w:rPr>
        <w:t>.</w:t>
      </w:r>
      <w:r>
        <w:rPr>
          <w:snapToGrid w:val="0"/>
        </w:rPr>
        <w:tab/>
        <w:t>Amending other originating process</w:t>
      </w:r>
      <w:bookmarkEnd w:id="311"/>
    </w:p>
    <w:p w:rsidR="00425758" w:rsidRDefault="00425758">
      <w:pPr>
        <w:pStyle w:val="Subsection"/>
        <w:rPr>
          <w:snapToGrid w:val="0"/>
        </w:rPr>
      </w:pPr>
      <w:r>
        <w:rPr>
          <w:snapToGrid w:val="0"/>
        </w:rPr>
        <w:tab/>
      </w:r>
      <w:r>
        <w:rPr>
          <w:snapToGrid w:val="0"/>
        </w:rPr>
        <w:tab/>
        <w:t>Rule 5 shall have effect in relation to an originating summons, and an originating motion as it has effect in relation to a writ.</w:t>
      </w:r>
    </w:p>
    <w:p w:rsidR="00425758" w:rsidRDefault="00425758">
      <w:pPr>
        <w:pStyle w:val="Heading5"/>
        <w:spacing w:before="180"/>
        <w:rPr>
          <w:snapToGrid w:val="0"/>
        </w:rPr>
      </w:pPr>
      <w:bookmarkStart w:id="312" w:name="_Toc75862995"/>
      <w:r>
        <w:rPr>
          <w:rStyle w:val="CharSectno"/>
        </w:rPr>
        <w:t>7</w:t>
      </w:r>
      <w:r>
        <w:rPr>
          <w:snapToGrid w:val="0"/>
        </w:rPr>
        <w:t>.</w:t>
      </w:r>
      <w:r>
        <w:rPr>
          <w:snapToGrid w:val="0"/>
        </w:rPr>
        <w:tab/>
        <w:t>Amending other documents</w:t>
      </w:r>
      <w:bookmarkEnd w:id="312"/>
    </w:p>
    <w:p w:rsidR="00425758" w:rsidRDefault="00425758">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rsidR="00425758" w:rsidRDefault="00425758">
      <w:pPr>
        <w:pStyle w:val="Subsection"/>
        <w:rPr>
          <w:snapToGrid w:val="0"/>
        </w:rPr>
      </w:pPr>
      <w:r>
        <w:rPr>
          <w:snapToGrid w:val="0"/>
        </w:rPr>
        <w:tab/>
        <w:t>(2)</w:t>
      </w:r>
      <w:r>
        <w:rPr>
          <w:snapToGrid w:val="0"/>
        </w:rPr>
        <w:tab/>
        <w:t>This rule shall not have effect in relation to a judgment or order.</w:t>
      </w:r>
    </w:p>
    <w:p w:rsidR="00425758" w:rsidRDefault="00425758">
      <w:pPr>
        <w:pStyle w:val="Heading5"/>
        <w:rPr>
          <w:snapToGrid w:val="0"/>
        </w:rPr>
      </w:pPr>
      <w:bookmarkStart w:id="313" w:name="_Toc75862996"/>
      <w:r>
        <w:rPr>
          <w:rStyle w:val="CharSectno"/>
        </w:rPr>
        <w:t>8</w:t>
      </w:r>
      <w:r>
        <w:rPr>
          <w:snapToGrid w:val="0"/>
        </w:rPr>
        <w:t>.</w:t>
      </w:r>
      <w:r>
        <w:rPr>
          <w:snapToGrid w:val="0"/>
        </w:rPr>
        <w:tab/>
        <w:t>Failure to amend after order</w:t>
      </w:r>
      <w:bookmarkEnd w:id="313"/>
    </w:p>
    <w:p w:rsidR="00425758" w:rsidRDefault="00425758">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rsidR="00425758" w:rsidRDefault="00425758">
      <w:pPr>
        <w:pStyle w:val="Footnotesection"/>
      </w:pPr>
      <w:r>
        <w:tab/>
        <w:t>[Rule 8 amended: Gazette 28 Jul 2010 p. 3463.]</w:t>
      </w:r>
    </w:p>
    <w:p w:rsidR="00425758" w:rsidRDefault="00425758">
      <w:pPr>
        <w:pStyle w:val="Heading5"/>
        <w:rPr>
          <w:snapToGrid w:val="0"/>
        </w:rPr>
      </w:pPr>
      <w:bookmarkStart w:id="314" w:name="_Toc75862997"/>
      <w:r>
        <w:rPr>
          <w:rStyle w:val="CharSectno"/>
        </w:rPr>
        <w:t>9</w:t>
      </w:r>
      <w:r>
        <w:rPr>
          <w:snapToGrid w:val="0"/>
        </w:rPr>
        <w:t>.</w:t>
      </w:r>
      <w:r>
        <w:rPr>
          <w:snapToGrid w:val="0"/>
        </w:rPr>
        <w:tab/>
        <w:t>How amendments to be made</w:t>
      </w:r>
      <w:bookmarkEnd w:id="314"/>
    </w:p>
    <w:p w:rsidR="00425758" w:rsidRDefault="00425758">
      <w:pPr>
        <w:pStyle w:val="Subsection"/>
        <w:rPr>
          <w:snapToGrid w:val="0"/>
        </w:rPr>
      </w:pPr>
      <w:r>
        <w:rPr>
          <w:snapToGrid w:val="0"/>
        </w:rPr>
        <w:tab/>
        <w:t>(1)</w:t>
      </w:r>
      <w:r>
        <w:rPr>
          <w:snapToGrid w:val="0"/>
        </w:rPr>
        <w:tab/>
        <w:t xml:space="preserve">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w:t>
      </w:r>
      <w:r>
        <w:t>any manner that</w:t>
      </w:r>
      <w:r>
        <w:rPr>
          <w:snapToGrid w:val="0"/>
        </w:rPr>
        <w:t xml:space="preserve"> will distinguish the alterations from the original document or from any previous </w:t>
      </w:r>
      <w:r>
        <w:rPr>
          <w:snapToGrid w:val="0"/>
        </w:rPr>
        <w:lastRenderedPageBreak/>
        <w:t>amendment, must be prepared, and in the case of a writ or originating summons re</w:t>
      </w:r>
      <w:r>
        <w:rPr>
          <w:snapToGrid w:val="0"/>
        </w:rPr>
        <w:noBreakHyphen/>
        <w:t>issued.</w:t>
      </w:r>
    </w:p>
    <w:p w:rsidR="00425758" w:rsidRDefault="00425758">
      <w:pPr>
        <w:pStyle w:val="Subsection"/>
        <w:rPr>
          <w:snapToGrid w:val="0"/>
        </w:rPr>
      </w:pPr>
      <w:r>
        <w:rPr>
          <w:snapToGrid w:val="0"/>
        </w:rPr>
        <w:tab/>
        <w:t>(2)</w:t>
      </w:r>
      <w:r>
        <w:rPr>
          <w:snapToGrid w:val="0"/>
        </w:rPr>
        <w:tab/>
        <w:t xml:space="preserve">Except as provided in </w:t>
      </w:r>
      <w:r>
        <w:t>subrule</w:t>
      </w:r>
      <w:r>
        <w:rPr>
          <w:snapToGrid w:val="0"/>
        </w:rPr>
        <w:t xml:space="preserve"> (1), and subject to any direction given under rule 5 or 7, the amendments so authorised shall be effected by writing the necessary alterations on the writ, pleading or other document in </w:t>
      </w:r>
      <w:r>
        <w:t>any manner that</w:t>
      </w:r>
      <w:r>
        <w:rPr>
          <w:snapToGrid w:val="0"/>
        </w:rPr>
        <w:t xml:space="preserve"> will distinguish the alterations from the original document or from any previous amendment, and in the case of a writ or originating summons, </w:t>
      </w:r>
      <w:r>
        <w:t>by filing a copy and the request that it be re</w:t>
      </w:r>
      <w:r>
        <w:noBreakHyphen/>
        <w:t>sealed.</w:t>
      </w:r>
    </w:p>
    <w:p w:rsidR="00425758" w:rsidRDefault="00425758">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rsidR="00425758" w:rsidRDefault="00425758">
      <w:pPr>
        <w:pStyle w:val="Footnotesection"/>
      </w:pPr>
      <w:r>
        <w:tab/>
        <w:t xml:space="preserve">[Rule 9 amended: Gazette 24 Jan 1995 p. 272; 28 Jul 2010 p. 3463; 28 Jun 2011 p. 2552; 27 Feb 2018 p. 560.] </w:t>
      </w:r>
    </w:p>
    <w:p w:rsidR="00425758" w:rsidRDefault="00425758">
      <w:pPr>
        <w:pStyle w:val="Heading5"/>
        <w:rPr>
          <w:snapToGrid w:val="0"/>
        </w:rPr>
      </w:pPr>
      <w:bookmarkStart w:id="315" w:name="_Toc75862998"/>
      <w:r>
        <w:rPr>
          <w:rStyle w:val="CharSectno"/>
        </w:rPr>
        <w:t>10</w:t>
      </w:r>
      <w:r>
        <w:rPr>
          <w:snapToGrid w:val="0"/>
        </w:rPr>
        <w:t>.</w:t>
      </w:r>
      <w:r>
        <w:rPr>
          <w:snapToGrid w:val="0"/>
        </w:rPr>
        <w:tab/>
        <w:t>Clerical errors etc., correcting (slip rule)</w:t>
      </w:r>
      <w:bookmarkEnd w:id="315"/>
    </w:p>
    <w:p w:rsidR="00425758" w:rsidRDefault="00425758">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rsidR="00425758" w:rsidRDefault="00425758">
      <w:pPr>
        <w:pStyle w:val="Heading5"/>
      </w:pPr>
      <w:bookmarkStart w:id="316" w:name="_Toc75862999"/>
      <w:r>
        <w:rPr>
          <w:rStyle w:val="CharSectno"/>
        </w:rPr>
        <w:t>11</w:t>
      </w:r>
      <w:r>
        <w:t>.</w:t>
      </w:r>
      <w:r>
        <w:tab/>
        <w:t>Service of amended documents</w:t>
      </w:r>
      <w:bookmarkEnd w:id="316"/>
    </w:p>
    <w:p w:rsidR="00425758" w:rsidRDefault="00425758">
      <w:pPr>
        <w:pStyle w:val="Subsection"/>
      </w:pPr>
      <w:r>
        <w:tab/>
      </w:r>
      <w:r>
        <w:tab/>
        <w:t>An amended writ, pleading or other document that is filed under this Order must be served on each other party within one working day after it is filed unless the Court orders otherwise.</w:t>
      </w:r>
    </w:p>
    <w:p w:rsidR="00425758" w:rsidRDefault="00425758">
      <w:pPr>
        <w:pStyle w:val="Footnotesection"/>
      </w:pPr>
      <w:r>
        <w:tab/>
        <w:t>[Rule 11 inserted: Gazette 28 Jul 2010 p. 3463-4.]</w:t>
      </w:r>
    </w:p>
    <w:p w:rsidR="00425758" w:rsidRDefault="00425758">
      <w:pPr>
        <w:pStyle w:val="Ednotepart"/>
      </w:pPr>
      <w:r>
        <w:t>[Order 22 (r. 1-10) deleted: Gazette 16 Nov 2016 p. 5199.]</w:t>
      </w:r>
    </w:p>
    <w:p w:rsidR="00425758" w:rsidRDefault="00425758">
      <w:pPr>
        <w:pStyle w:val="Heading2"/>
        <w:rPr>
          <w:b w:val="0"/>
        </w:rPr>
      </w:pPr>
      <w:bookmarkStart w:id="317" w:name="_Toc75511904"/>
      <w:bookmarkStart w:id="318" w:name="_Toc75863000"/>
      <w:r>
        <w:rPr>
          <w:rStyle w:val="CharPartNo"/>
        </w:rPr>
        <w:lastRenderedPageBreak/>
        <w:t>Order 23</w:t>
      </w:r>
      <w:r>
        <w:t> — </w:t>
      </w:r>
      <w:r>
        <w:rPr>
          <w:rStyle w:val="CharPartText"/>
        </w:rPr>
        <w:t>Discontinuance</w:t>
      </w:r>
      <w:bookmarkEnd w:id="317"/>
      <w:bookmarkEnd w:id="318"/>
    </w:p>
    <w:p w:rsidR="00425758" w:rsidRDefault="00425758">
      <w:pPr>
        <w:pStyle w:val="Heading5"/>
        <w:rPr>
          <w:snapToGrid w:val="0"/>
        </w:rPr>
      </w:pPr>
      <w:bookmarkStart w:id="319" w:name="_Toc75863001"/>
      <w:r>
        <w:rPr>
          <w:rStyle w:val="CharSectno"/>
        </w:rPr>
        <w:t>1</w:t>
      </w:r>
      <w:r>
        <w:rPr>
          <w:snapToGrid w:val="0"/>
        </w:rPr>
        <w:t>.</w:t>
      </w:r>
      <w:r>
        <w:rPr>
          <w:snapToGrid w:val="0"/>
        </w:rPr>
        <w:tab/>
        <w:t>Withdrawing appearance</w:t>
      </w:r>
      <w:bookmarkEnd w:id="319"/>
    </w:p>
    <w:p w:rsidR="00425758" w:rsidRDefault="00425758">
      <w:pPr>
        <w:pStyle w:val="Subsection"/>
        <w:rPr>
          <w:snapToGrid w:val="0"/>
        </w:rPr>
      </w:pPr>
      <w:r>
        <w:rPr>
          <w:snapToGrid w:val="0"/>
        </w:rPr>
        <w:tab/>
      </w:r>
      <w:r>
        <w:rPr>
          <w:snapToGrid w:val="0"/>
        </w:rPr>
        <w:tab/>
        <w:t>A party who has entered an appearance in an action may withdraw the appearance at any time with the leave of the Court.</w:t>
      </w:r>
    </w:p>
    <w:p w:rsidR="00425758" w:rsidRDefault="00425758">
      <w:pPr>
        <w:pStyle w:val="Heading5"/>
        <w:rPr>
          <w:snapToGrid w:val="0"/>
        </w:rPr>
      </w:pPr>
      <w:bookmarkStart w:id="320" w:name="_Toc75863002"/>
      <w:r>
        <w:rPr>
          <w:rStyle w:val="CharSectno"/>
        </w:rPr>
        <w:t>2</w:t>
      </w:r>
      <w:r>
        <w:rPr>
          <w:snapToGrid w:val="0"/>
        </w:rPr>
        <w:t>.</w:t>
      </w:r>
      <w:r>
        <w:rPr>
          <w:snapToGrid w:val="0"/>
        </w:rPr>
        <w:tab/>
        <w:t>Plaintiff may discontinue; defence etc. may be withdrawn</w:t>
      </w:r>
      <w:bookmarkEnd w:id="320"/>
    </w:p>
    <w:p w:rsidR="00425758" w:rsidRDefault="00425758">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rsidR="00425758" w:rsidRDefault="00425758">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rsidR="00425758" w:rsidRDefault="00425758">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rsidR="00425758" w:rsidRDefault="00425758">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rsidR="00425758" w:rsidRDefault="00425758">
      <w:pPr>
        <w:pStyle w:val="Footnotesection"/>
      </w:pPr>
      <w:r>
        <w:tab/>
        <w:t>[Rule 2 amended: Gazette 28 Jun 2011 p. 2552.]</w:t>
      </w:r>
    </w:p>
    <w:p w:rsidR="00425758" w:rsidRDefault="00425758">
      <w:pPr>
        <w:pStyle w:val="Heading5"/>
        <w:rPr>
          <w:snapToGrid w:val="0"/>
        </w:rPr>
      </w:pPr>
      <w:bookmarkStart w:id="321" w:name="_Toc75863003"/>
      <w:r>
        <w:rPr>
          <w:rStyle w:val="CharSectno"/>
        </w:rPr>
        <w:lastRenderedPageBreak/>
        <w:t>3</w:t>
      </w:r>
      <w:r>
        <w:rPr>
          <w:snapToGrid w:val="0"/>
        </w:rPr>
        <w:t>.</w:t>
      </w:r>
      <w:r>
        <w:rPr>
          <w:snapToGrid w:val="0"/>
        </w:rPr>
        <w:tab/>
        <w:t>Costs</w:t>
      </w:r>
      <w:bookmarkEnd w:id="321"/>
    </w:p>
    <w:p w:rsidR="00425758" w:rsidRDefault="00425758">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rsidR="00425758" w:rsidRDefault="00425758">
      <w:pPr>
        <w:pStyle w:val="Heading5"/>
        <w:rPr>
          <w:snapToGrid w:val="0"/>
        </w:rPr>
      </w:pPr>
      <w:bookmarkStart w:id="322" w:name="_Toc75863004"/>
      <w:r>
        <w:rPr>
          <w:rStyle w:val="CharSectno"/>
        </w:rPr>
        <w:t>4</w:t>
      </w:r>
      <w:r>
        <w:rPr>
          <w:snapToGrid w:val="0"/>
        </w:rPr>
        <w:t>.</w:t>
      </w:r>
      <w:r>
        <w:rPr>
          <w:snapToGrid w:val="0"/>
        </w:rPr>
        <w:tab/>
        <w:t>Subsequent action stayed pending payment</w:t>
      </w:r>
      <w:bookmarkEnd w:id="322"/>
    </w:p>
    <w:p w:rsidR="00425758" w:rsidRDefault="00425758">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rsidR="00425758" w:rsidRDefault="00425758">
      <w:pPr>
        <w:pStyle w:val="Heading5"/>
        <w:rPr>
          <w:snapToGrid w:val="0"/>
        </w:rPr>
      </w:pPr>
      <w:bookmarkStart w:id="323" w:name="_Toc75863005"/>
      <w:r>
        <w:rPr>
          <w:rStyle w:val="CharSectno"/>
        </w:rPr>
        <w:t>5</w:t>
      </w:r>
      <w:r>
        <w:rPr>
          <w:snapToGrid w:val="0"/>
        </w:rPr>
        <w:t>.</w:t>
      </w:r>
      <w:r>
        <w:rPr>
          <w:snapToGrid w:val="0"/>
        </w:rPr>
        <w:tab/>
        <w:t>Withdrawal of summons</w:t>
      </w:r>
      <w:bookmarkEnd w:id="323"/>
    </w:p>
    <w:p w:rsidR="00425758" w:rsidRDefault="00425758">
      <w:pPr>
        <w:pStyle w:val="Subsection"/>
        <w:rPr>
          <w:snapToGrid w:val="0"/>
        </w:rPr>
      </w:pPr>
      <w:r>
        <w:rPr>
          <w:snapToGrid w:val="0"/>
        </w:rPr>
        <w:tab/>
      </w:r>
      <w:r>
        <w:rPr>
          <w:snapToGrid w:val="0"/>
        </w:rPr>
        <w:tab/>
        <w:t>A party who has taken out a summons in a cause or matter may not withdraw it except by leave of the Court.</w:t>
      </w:r>
    </w:p>
    <w:p w:rsidR="00425758" w:rsidRDefault="00425758">
      <w:pPr>
        <w:pStyle w:val="Heading2"/>
        <w:rPr>
          <w:b w:val="0"/>
        </w:rPr>
      </w:pPr>
      <w:bookmarkStart w:id="324" w:name="_Toc75511910"/>
      <w:bookmarkStart w:id="325" w:name="_Toc75863006"/>
      <w:r>
        <w:rPr>
          <w:rStyle w:val="CharPartNo"/>
        </w:rPr>
        <w:lastRenderedPageBreak/>
        <w:t>Order 24</w:t>
      </w:r>
      <w:r>
        <w:t> — </w:t>
      </w:r>
      <w:r>
        <w:rPr>
          <w:rStyle w:val="CharPartText"/>
        </w:rPr>
        <w:t>Payment into court — offers to consent to judgment</w:t>
      </w:r>
      <w:bookmarkEnd w:id="324"/>
      <w:bookmarkEnd w:id="325"/>
    </w:p>
    <w:p w:rsidR="00425758" w:rsidRDefault="00425758">
      <w:pPr>
        <w:pStyle w:val="Ednotesection"/>
        <w:spacing w:before="180"/>
        <w:ind w:left="890" w:hanging="890"/>
      </w:pPr>
      <w:r>
        <w:t>[</w:t>
      </w:r>
      <w:r>
        <w:rPr>
          <w:b/>
        </w:rPr>
        <w:t>1</w:t>
      </w:r>
      <w:r>
        <w:rPr>
          <w:b/>
        </w:rPr>
        <w:noBreakHyphen/>
        <w:t>8.</w:t>
      </w:r>
      <w:r>
        <w:tab/>
        <w:t xml:space="preserve">Deleted: Gazette 5 Apr 1991 p. 1398.] </w:t>
      </w:r>
    </w:p>
    <w:p w:rsidR="00425758" w:rsidRDefault="00425758">
      <w:pPr>
        <w:pStyle w:val="Heading5"/>
        <w:spacing w:before="180"/>
        <w:rPr>
          <w:snapToGrid w:val="0"/>
        </w:rPr>
      </w:pPr>
      <w:bookmarkStart w:id="326" w:name="_Toc75863007"/>
      <w:r>
        <w:rPr>
          <w:rStyle w:val="CharSectno"/>
        </w:rPr>
        <w:t>9</w:t>
      </w:r>
      <w:r>
        <w:rPr>
          <w:snapToGrid w:val="0"/>
        </w:rPr>
        <w:t>.</w:t>
      </w:r>
      <w:r>
        <w:rPr>
          <w:snapToGrid w:val="0"/>
        </w:rPr>
        <w:tab/>
        <w:t>In certain cases no payment out without order</w:t>
      </w:r>
      <w:bookmarkEnd w:id="326"/>
    </w:p>
    <w:p w:rsidR="00425758" w:rsidRDefault="00425758">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rsidR="00425758" w:rsidRDefault="00425758">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rsidR="00425758" w:rsidRDefault="00425758">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rsidR="00425758" w:rsidRDefault="00425758">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rsidR="00425758" w:rsidRDefault="00425758">
      <w:pPr>
        <w:pStyle w:val="Footnotesection"/>
        <w:spacing w:before="100"/>
        <w:ind w:left="890" w:hanging="890"/>
      </w:pPr>
      <w:r>
        <w:tab/>
        <w:t xml:space="preserve">[Rule 9 amended: Gazette 14 Dec 1979 p. 3869; 30 Nov 1984 p. 3951; 28 Jun 2011 p. 2552.] </w:t>
      </w:r>
    </w:p>
    <w:p w:rsidR="00425758" w:rsidRDefault="00425758">
      <w:pPr>
        <w:pStyle w:val="Ednotesection"/>
        <w:ind w:left="890" w:hanging="890"/>
      </w:pPr>
      <w:r>
        <w:t>[</w:t>
      </w:r>
      <w:r>
        <w:rPr>
          <w:b/>
        </w:rPr>
        <w:t>10.</w:t>
      </w:r>
      <w:r>
        <w:tab/>
        <w:t xml:space="preserve">Deleted: Gazette 5 Apr 1991 p. 1398.] </w:t>
      </w:r>
    </w:p>
    <w:p w:rsidR="00425758" w:rsidRDefault="00425758">
      <w:pPr>
        <w:pStyle w:val="Heading5"/>
        <w:spacing w:before="180"/>
        <w:rPr>
          <w:snapToGrid w:val="0"/>
        </w:rPr>
      </w:pPr>
      <w:bookmarkStart w:id="327" w:name="_Toc75863008"/>
      <w:r>
        <w:rPr>
          <w:rStyle w:val="CharSectno"/>
        </w:rPr>
        <w:t>11</w:t>
      </w:r>
      <w:r>
        <w:rPr>
          <w:snapToGrid w:val="0"/>
        </w:rPr>
        <w:t>.</w:t>
      </w:r>
      <w:r>
        <w:rPr>
          <w:snapToGrid w:val="0"/>
        </w:rPr>
        <w:tab/>
        <w:t>Intestate’s estate, Court may direct some payments without administration</w:t>
      </w:r>
      <w:bookmarkEnd w:id="327"/>
    </w:p>
    <w:p w:rsidR="00425758" w:rsidRDefault="00425758">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rsidR="00425758" w:rsidRDefault="00425758">
      <w:pPr>
        <w:pStyle w:val="Indenta"/>
        <w:spacing w:before="60"/>
        <w:rPr>
          <w:snapToGrid w:val="0"/>
        </w:rPr>
      </w:pPr>
      <w:r>
        <w:rPr>
          <w:snapToGrid w:val="0"/>
        </w:rPr>
        <w:tab/>
        <w:t>(a)</w:t>
      </w:r>
      <w:r>
        <w:rPr>
          <w:snapToGrid w:val="0"/>
        </w:rPr>
        <w:tab/>
        <w:t>that no administration to such deceased person’s estate has been taken out; and</w:t>
      </w:r>
    </w:p>
    <w:p w:rsidR="00425758" w:rsidRDefault="00425758">
      <w:pPr>
        <w:pStyle w:val="Indenta"/>
        <w:rPr>
          <w:snapToGrid w:val="0"/>
        </w:rPr>
      </w:pPr>
      <w:r>
        <w:rPr>
          <w:snapToGrid w:val="0"/>
        </w:rPr>
        <w:lastRenderedPageBreak/>
        <w:tab/>
        <w:t>(b)</w:t>
      </w:r>
      <w:r>
        <w:rPr>
          <w:snapToGrid w:val="0"/>
        </w:rPr>
        <w:tab/>
        <w:t>that his assets do not exceed the value of $7 500 including the amount of the fund or share to which the estate of such deceased person is entitled,</w:t>
      </w:r>
    </w:p>
    <w:p w:rsidR="00425758" w:rsidRDefault="00425758">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rsidR="00425758" w:rsidRDefault="00425758">
      <w:pPr>
        <w:pStyle w:val="Footnotesection"/>
      </w:pPr>
      <w:r>
        <w:tab/>
        <w:t xml:space="preserve">[Rule 11 amended: Gazette 30 Nov 1984 p. 3953; 30 Jun 2003 p. 2631.] </w:t>
      </w:r>
    </w:p>
    <w:p w:rsidR="00425758" w:rsidRDefault="00425758">
      <w:pPr>
        <w:pStyle w:val="Heading5"/>
        <w:rPr>
          <w:snapToGrid w:val="0"/>
        </w:rPr>
      </w:pPr>
      <w:bookmarkStart w:id="328" w:name="_Toc75863009"/>
      <w:r>
        <w:rPr>
          <w:rStyle w:val="CharSectno"/>
        </w:rPr>
        <w:t>12</w:t>
      </w:r>
      <w:r>
        <w:rPr>
          <w:snapToGrid w:val="0"/>
        </w:rPr>
        <w:t>.</w:t>
      </w:r>
      <w:r>
        <w:rPr>
          <w:snapToGrid w:val="0"/>
        </w:rPr>
        <w:tab/>
        <w:t>Regulations (Sch. 3)</w:t>
      </w:r>
      <w:bookmarkEnd w:id="328"/>
    </w:p>
    <w:p w:rsidR="00425758" w:rsidRDefault="00425758">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rsidR="00425758" w:rsidRDefault="00425758">
      <w:pPr>
        <w:pStyle w:val="Footnotesection"/>
      </w:pPr>
      <w:r>
        <w:tab/>
        <w:t>[Rule 12 amended: Gazette 28 Jun 2011 p. 2554.]</w:t>
      </w:r>
    </w:p>
    <w:p w:rsidR="00425758" w:rsidRDefault="00425758">
      <w:pPr>
        <w:pStyle w:val="Heading2"/>
        <w:rPr>
          <w:b w:val="0"/>
        </w:rPr>
      </w:pPr>
      <w:bookmarkStart w:id="329" w:name="_Toc75511914"/>
      <w:bookmarkStart w:id="330" w:name="_Toc75863010"/>
      <w:r>
        <w:rPr>
          <w:rStyle w:val="CharPartNo"/>
        </w:rPr>
        <w:lastRenderedPageBreak/>
        <w:t>Order 24A</w:t>
      </w:r>
      <w:r>
        <w:t> — </w:t>
      </w:r>
      <w:r>
        <w:rPr>
          <w:rStyle w:val="CharPartText"/>
        </w:rPr>
        <w:t>Offer of compromise</w:t>
      </w:r>
      <w:bookmarkEnd w:id="329"/>
      <w:bookmarkEnd w:id="330"/>
    </w:p>
    <w:p w:rsidR="00425758" w:rsidRDefault="00425758">
      <w:pPr>
        <w:pStyle w:val="Footnoteheading"/>
        <w:ind w:left="890"/>
        <w:rPr>
          <w:snapToGrid w:val="0"/>
        </w:rPr>
      </w:pPr>
      <w:r>
        <w:rPr>
          <w:snapToGrid w:val="0"/>
        </w:rPr>
        <w:tab/>
        <w:t>[Heading inserted: Gazette 5 Apr 1991 p. 1398.]</w:t>
      </w:r>
    </w:p>
    <w:p w:rsidR="00425758" w:rsidRDefault="00425758">
      <w:pPr>
        <w:pStyle w:val="Heading5"/>
      </w:pPr>
      <w:bookmarkStart w:id="331" w:name="_Toc75863011"/>
      <w:r>
        <w:rPr>
          <w:rStyle w:val="CharSectno"/>
        </w:rPr>
        <w:t>1</w:t>
      </w:r>
      <w:r>
        <w:t>.</w:t>
      </w:r>
      <w:r>
        <w:tab/>
        <w:t>Parties entitled to make offer</w:t>
      </w:r>
      <w:bookmarkEnd w:id="331"/>
    </w:p>
    <w:p w:rsidR="00425758" w:rsidRDefault="00425758">
      <w:pPr>
        <w:pStyle w:val="Subsection"/>
      </w:pPr>
      <w:r>
        <w:tab/>
      </w:r>
      <w:r>
        <w:tab/>
        <w:t>In any proceedings the plaintiff or the defendant may make to the other an offer to compromise any claim in the proceedings on the terms specified in the notice of offer.</w:t>
      </w:r>
    </w:p>
    <w:p w:rsidR="00425758" w:rsidRDefault="00425758">
      <w:pPr>
        <w:pStyle w:val="Footnotesection"/>
      </w:pPr>
      <w:r>
        <w:tab/>
        <w:t xml:space="preserve">[Rule 1 inserted: Gazette 4 Sep 2015 p. 3696.] </w:t>
      </w:r>
    </w:p>
    <w:p w:rsidR="00425758" w:rsidRDefault="00425758">
      <w:pPr>
        <w:pStyle w:val="Heading5"/>
      </w:pPr>
      <w:bookmarkStart w:id="332" w:name="_Toc75863012"/>
      <w:r>
        <w:rPr>
          <w:rStyle w:val="CharSectno"/>
        </w:rPr>
        <w:t>2</w:t>
      </w:r>
      <w:r>
        <w:t>.</w:t>
      </w:r>
      <w:r>
        <w:tab/>
        <w:t>Application of this Order to counterclaims and third party notices</w:t>
      </w:r>
      <w:bookmarkEnd w:id="332"/>
    </w:p>
    <w:p w:rsidR="00425758" w:rsidRDefault="00425758">
      <w:pPr>
        <w:pStyle w:val="Subsection"/>
      </w:pPr>
      <w:r>
        <w:tab/>
      </w:r>
      <w:r>
        <w:tab/>
        <w:t xml:space="preserve">Where a party makes a claim by way of counterclaim or third party notice, this Order applies in relation to the proceeding on that claim as if — </w:t>
      </w:r>
    </w:p>
    <w:p w:rsidR="00425758" w:rsidRDefault="00425758">
      <w:pPr>
        <w:pStyle w:val="Indenta"/>
      </w:pPr>
      <w:r>
        <w:tab/>
        <w:t>(a)</w:t>
      </w:r>
      <w:r>
        <w:tab/>
        <w:t>the party making the claim were the plaintiff; and</w:t>
      </w:r>
    </w:p>
    <w:p w:rsidR="00425758" w:rsidRDefault="00425758">
      <w:pPr>
        <w:pStyle w:val="Indenta"/>
      </w:pPr>
      <w:r>
        <w:tab/>
        <w:t>(b)</w:t>
      </w:r>
      <w:r>
        <w:tab/>
        <w:t>the party against whom the claim is made were the defendant.</w:t>
      </w:r>
    </w:p>
    <w:p w:rsidR="00425758" w:rsidRDefault="00425758">
      <w:pPr>
        <w:pStyle w:val="Footnotesection"/>
      </w:pPr>
      <w:r>
        <w:tab/>
        <w:t xml:space="preserve">[Rule 2 inserted: Gazette 4 Sep 2015 p. 3696.] </w:t>
      </w:r>
    </w:p>
    <w:p w:rsidR="00425758" w:rsidRDefault="00425758">
      <w:pPr>
        <w:pStyle w:val="Heading5"/>
      </w:pPr>
      <w:bookmarkStart w:id="333" w:name="_Toc75863013"/>
      <w:r>
        <w:rPr>
          <w:rStyle w:val="CharSectno"/>
        </w:rPr>
        <w:t>3A</w:t>
      </w:r>
      <w:r>
        <w:t>.</w:t>
      </w:r>
      <w:r>
        <w:tab/>
        <w:t>How to make offer</w:t>
      </w:r>
      <w:bookmarkEnd w:id="333"/>
    </w:p>
    <w:p w:rsidR="00425758" w:rsidRDefault="00425758">
      <w:pPr>
        <w:pStyle w:val="Subsection"/>
      </w:pPr>
      <w:r>
        <w:tab/>
        <w:t>(1)</w:t>
      </w:r>
      <w:r>
        <w:tab/>
        <w:t>An offer of compromise is made to a party under this Order by serving a notice of the offer on the party.</w:t>
      </w:r>
    </w:p>
    <w:p w:rsidR="00425758" w:rsidRDefault="00425758">
      <w:pPr>
        <w:pStyle w:val="Subsection"/>
      </w:pPr>
      <w:r>
        <w:tab/>
        <w:t>(2)</w:t>
      </w:r>
      <w:r>
        <w:tab/>
        <w:t xml:space="preserve">A notice of offer is to — </w:t>
      </w:r>
    </w:p>
    <w:p w:rsidR="00425758" w:rsidRDefault="00425758">
      <w:pPr>
        <w:pStyle w:val="Indenta"/>
      </w:pPr>
      <w:r>
        <w:tab/>
        <w:t>(a)</w:t>
      </w:r>
      <w:r>
        <w:tab/>
        <w:t>be in writing; and</w:t>
      </w:r>
    </w:p>
    <w:p w:rsidR="00425758" w:rsidRDefault="00425758">
      <w:pPr>
        <w:pStyle w:val="Indenta"/>
      </w:pPr>
      <w:r>
        <w:tab/>
        <w:t>(b)</w:t>
      </w:r>
      <w:r>
        <w:tab/>
        <w:t>bear a statement to the effect that the offer is made under this Order.</w:t>
      </w:r>
    </w:p>
    <w:p w:rsidR="00425758" w:rsidRDefault="00425758">
      <w:pPr>
        <w:pStyle w:val="Footnotesection"/>
      </w:pPr>
      <w:r>
        <w:tab/>
        <w:t>[Rule 3A inserted: Gazette 4 Sep 2015 p. 3696</w:t>
      </w:r>
      <w:r>
        <w:noBreakHyphen/>
        <w:t xml:space="preserve">7.] </w:t>
      </w:r>
    </w:p>
    <w:p w:rsidR="00425758" w:rsidRDefault="00425758">
      <w:pPr>
        <w:pStyle w:val="Heading5"/>
        <w:spacing w:before="240"/>
        <w:rPr>
          <w:snapToGrid w:val="0"/>
        </w:rPr>
      </w:pPr>
      <w:bookmarkStart w:id="334" w:name="_Toc75863014"/>
      <w:r>
        <w:rPr>
          <w:rStyle w:val="CharSectno"/>
        </w:rPr>
        <w:t>3</w:t>
      </w:r>
      <w:r>
        <w:rPr>
          <w:snapToGrid w:val="0"/>
        </w:rPr>
        <w:t>.</w:t>
      </w:r>
      <w:r>
        <w:rPr>
          <w:snapToGrid w:val="0"/>
        </w:rPr>
        <w:tab/>
        <w:t>Time etc. for making, accepting etc. offer</w:t>
      </w:r>
      <w:bookmarkEnd w:id="334"/>
    </w:p>
    <w:p w:rsidR="00425758" w:rsidRDefault="00425758">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rsidR="00425758" w:rsidRDefault="00425758">
      <w:pPr>
        <w:pStyle w:val="Subsection"/>
        <w:spacing w:before="180"/>
        <w:rPr>
          <w:snapToGrid w:val="0"/>
        </w:rPr>
      </w:pPr>
      <w:r>
        <w:rPr>
          <w:snapToGrid w:val="0"/>
        </w:rPr>
        <w:lastRenderedPageBreak/>
        <w:tab/>
        <w:t>(2)</w:t>
      </w:r>
      <w:r>
        <w:rPr>
          <w:snapToGrid w:val="0"/>
        </w:rPr>
        <w:tab/>
        <w:t>A party may make more than one offer.</w:t>
      </w:r>
    </w:p>
    <w:p w:rsidR="00425758" w:rsidRDefault="00425758">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rsidR="00425758" w:rsidRDefault="00425758">
      <w:pPr>
        <w:pStyle w:val="Subsection"/>
        <w:spacing w:before="180"/>
        <w:rPr>
          <w:snapToGrid w:val="0"/>
        </w:rPr>
      </w:pPr>
      <w:r>
        <w:rPr>
          <w:snapToGrid w:val="0"/>
        </w:rPr>
        <w:tab/>
        <w:t>(4)</w:t>
      </w:r>
      <w:r>
        <w:rPr>
          <w:snapToGrid w:val="0"/>
        </w:rPr>
        <w:tab/>
        <w:t>An offeree shall, within 3 days after service, serve a written acknowledgment of receipt on the offeror.</w:t>
      </w:r>
    </w:p>
    <w:p w:rsidR="00425758" w:rsidRDefault="00425758">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rsidR="00425758" w:rsidRDefault="00425758">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rsidR="00425758" w:rsidRDefault="00425758">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rsidR="00425758" w:rsidRDefault="00425758">
      <w:pPr>
        <w:pStyle w:val="Subsection"/>
        <w:keepLines/>
        <w:rPr>
          <w:snapToGrid w:val="0"/>
        </w:rPr>
      </w:pPr>
      <w:r>
        <w:rPr>
          <w:snapToGrid w:val="0"/>
        </w:rPr>
        <w:tab/>
      </w:r>
      <w:r>
        <w:rPr>
          <w:snapToGrid w:val="0"/>
        </w:rPr>
        <w:tab/>
        <w:t>whichever is sooner.</w:t>
      </w:r>
    </w:p>
    <w:p w:rsidR="00425758" w:rsidRDefault="00425758">
      <w:pPr>
        <w:pStyle w:val="Subsection"/>
        <w:rPr>
          <w:snapToGrid w:val="0"/>
        </w:rPr>
      </w:pPr>
      <w:r>
        <w:rPr>
          <w:snapToGrid w:val="0"/>
        </w:rPr>
        <w:tab/>
        <w:t>(6)</w:t>
      </w:r>
      <w:r>
        <w:rPr>
          <w:snapToGrid w:val="0"/>
        </w:rPr>
        <w:tab/>
        <w:t>An offer shall not be withdrawn during the time it is open to be accepted, unless the Court otherwise orders.</w:t>
      </w:r>
    </w:p>
    <w:p w:rsidR="00425758" w:rsidRDefault="00425758">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rsidR="00425758" w:rsidRDefault="00425758">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rsidR="00425758" w:rsidRDefault="00425758">
      <w:pPr>
        <w:pStyle w:val="Indenta"/>
        <w:rPr>
          <w:snapToGrid w:val="0"/>
        </w:rPr>
      </w:pPr>
      <w:r>
        <w:rPr>
          <w:snapToGrid w:val="0"/>
        </w:rPr>
        <w:tab/>
        <w:t>(a)</w:t>
      </w:r>
      <w:r>
        <w:rPr>
          <w:snapToGrid w:val="0"/>
        </w:rPr>
        <w:tab/>
        <w:t>where the trial is before a jury — after the judge begins to sum up to the jury; or</w:t>
      </w:r>
    </w:p>
    <w:p w:rsidR="00425758" w:rsidRDefault="00425758">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rsidR="00425758" w:rsidRDefault="00425758">
      <w:pPr>
        <w:pStyle w:val="Subsection"/>
        <w:rPr>
          <w:snapToGrid w:val="0"/>
        </w:rPr>
      </w:pPr>
      <w:r>
        <w:rPr>
          <w:snapToGrid w:val="0"/>
        </w:rPr>
        <w:tab/>
        <w:t>(9)</w:t>
      </w:r>
      <w:r>
        <w:rPr>
          <w:snapToGrid w:val="0"/>
        </w:rPr>
        <w:tab/>
        <w:t xml:space="preserve">Where an offer is accepted under this rule, any party to the compromise may apply to the Court for such judgment or order as he may be entitled to and on the hearing of the application the </w:t>
      </w:r>
      <w:r>
        <w:rPr>
          <w:snapToGrid w:val="0"/>
        </w:rPr>
        <w:lastRenderedPageBreak/>
        <w:t>Court shall give such judgment or make such order as it thinks fit.</w:t>
      </w:r>
    </w:p>
    <w:p w:rsidR="00425758" w:rsidRDefault="00425758">
      <w:pPr>
        <w:pStyle w:val="Footnotesection"/>
      </w:pPr>
      <w:r>
        <w:tab/>
        <w:t>[Rule 3 inserted: Gazette 5 Apr 1991 p. 1399; amended: Gazette 28 Feb 1992 p. 995; 30 Oct 1992 p. 5310; 28 Jun 2011 p. 2552</w:t>
      </w:r>
      <w:r>
        <w:noBreakHyphen/>
        <w:t xml:space="preserve">3.] </w:t>
      </w:r>
    </w:p>
    <w:p w:rsidR="00425758" w:rsidRDefault="00425758">
      <w:pPr>
        <w:pStyle w:val="Heading5"/>
        <w:rPr>
          <w:snapToGrid w:val="0"/>
        </w:rPr>
      </w:pPr>
      <w:bookmarkStart w:id="335" w:name="_Toc75863015"/>
      <w:r>
        <w:rPr>
          <w:rStyle w:val="CharSectno"/>
        </w:rPr>
        <w:t>4</w:t>
      </w:r>
      <w:r>
        <w:rPr>
          <w:snapToGrid w:val="0"/>
        </w:rPr>
        <w:t>.</w:t>
      </w:r>
      <w:r>
        <w:rPr>
          <w:snapToGrid w:val="0"/>
        </w:rPr>
        <w:tab/>
        <w:t>Time for payment of sum offered</w:t>
      </w:r>
      <w:bookmarkEnd w:id="335"/>
    </w:p>
    <w:p w:rsidR="00425758" w:rsidRDefault="00425758">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rsidR="00425758" w:rsidRDefault="00425758">
      <w:pPr>
        <w:pStyle w:val="Footnotesection"/>
      </w:pPr>
      <w:r>
        <w:tab/>
        <w:t xml:space="preserve">[Rule 4 inserted: Gazette 5 Apr 1991 p. 1399.] </w:t>
      </w:r>
    </w:p>
    <w:p w:rsidR="00425758" w:rsidRDefault="00425758">
      <w:pPr>
        <w:pStyle w:val="Heading5"/>
        <w:rPr>
          <w:snapToGrid w:val="0"/>
        </w:rPr>
      </w:pPr>
      <w:bookmarkStart w:id="336" w:name="_Toc75863016"/>
      <w:r>
        <w:rPr>
          <w:rStyle w:val="CharSectno"/>
        </w:rPr>
        <w:t>5</w:t>
      </w:r>
      <w:r>
        <w:rPr>
          <w:snapToGrid w:val="0"/>
        </w:rPr>
        <w:t>.</w:t>
      </w:r>
      <w:r>
        <w:rPr>
          <w:snapToGrid w:val="0"/>
        </w:rPr>
        <w:tab/>
        <w:t>Withdrawing acceptance of offer</w:t>
      </w:r>
      <w:bookmarkEnd w:id="336"/>
    </w:p>
    <w:p w:rsidR="00425758" w:rsidRDefault="00425758">
      <w:pPr>
        <w:pStyle w:val="Subsection"/>
        <w:rPr>
          <w:snapToGrid w:val="0"/>
        </w:rPr>
      </w:pPr>
      <w:r>
        <w:rPr>
          <w:snapToGrid w:val="0"/>
        </w:rPr>
        <w:tab/>
        <w:t>(1)</w:t>
      </w:r>
      <w:r>
        <w:rPr>
          <w:snapToGrid w:val="0"/>
        </w:rPr>
        <w:tab/>
        <w:t>A party who accepts an offer may, by serving a notice of withdrawal on the offeror, withdraw the acceptance — </w:t>
      </w:r>
    </w:p>
    <w:p w:rsidR="00425758" w:rsidRDefault="00425758">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rsidR="00425758" w:rsidRDefault="00425758">
      <w:pPr>
        <w:pStyle w:val="Indenta"/>
        <w:rPr>
          <w:snapToGrid w:val="0"/>
        </w:rPr>
      </w:pPr>
      <w:r>
        <w:rPr>
          <w:snapToGrid w:val="0"/>
        </w:rPr>
        <w:tab/>
        <w:t>(b)</w:t>
      </w:r>
      <w:r>
        <w:rPr>
          <w:snapToGrid w:val="0"/>
        </w:rPr>
        <w:tab/>
        <w:t>where the Court gives leave so to do.</w:t>
      </w:r>
    </w:p>
    <w:p w:rsidR="00425758" w:rsidRDefault="00425758">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rsidR="00425758" w:rsidRDefault="00425758">
      <w:pPr>
        <w:pStyle w:val="Subsection"/>
        <w:rPr>
          <w:snapToGrid w:val="0"/>
        </w:rPr>
      </w:pPr>
      <w:r>
        <w:rPr>
          <w:snapToGrid w:val="0"/>
        </w:rPr>
        <w:tab/>
        <w:t>(3)</w:t>
      </w:r>
      <w:r>
        <w:rPr>
          <w:snapToGrid w:val="0"/>
        </w:rPr>
        <w:tab/>
        <w:t>On withdrawal of an acceptance or on the motion for leave to withdraw an acceptance, the Court may — </w:t>
      </w:r>
    </w:p>
    <w:p w:rsidR="00425758" w:rsidRDefault="00425758">
      <w:pPr>
        <w:pStyle w:val="Indenta"/>
        <w:rPr>
          <w:snapToGrid w:val="0"/>
        </w:rPr>
      </w:pPr>
      <w:r>
        <w:rPr>
          <w:snapToGrid w:val="0"/>
        </w:rPr>
        <w:tab/>
        <w:t>(a)</w:t>
      </w:r>
      <w:r>
        <w:rPr>
          <w:snapToGrid w:val="0"/>
        </w:rPr>
        <w:tab/>
        <w:t xml:space="preserve">give directions under </w:t>
      </w:r>
      <w:r>
        <w:t>subrule</w:t>
      </w:r>
      <w:r>
        <w:rPr>
          <w:snapToGrid w:val="0"/>
        </w:rPr>
        <w:t> (2); and</w:t>
      </w:r>
    </w:p>
    <w:p w:rsidR="00425758" w:rsidRDefault="00425758">
      <w:pPr>
        <w:pStyle w:val="Indenta"/>
        <w:rPr>
          <w:snapToGrid w:val="0"/>
        </w:rPr>
      </w:pPr>
      <w:r>
        <w:rPr>
          <w:snapToGrid w:val="0"/>
        </w:rPr>
        <w:tab/>
        <w:t>(b)</w:t>
      </w:r>
      <w:r>
        <w:rPr>
          <w:snapToGrid w:val="0"/>
        </w:rPr>
        <w:tab/>
        <w:t>give directions for restoring the parties as nearly as may be to their positions at the time of the acceptance; and</w:t>
      </w:r>
    </w:p>
    <w:p w:rsidR="00425758" w:rsidRDefault="00425758">
      <w:pPr>
        <w:pStyle w:val="Indenta"/>
        <w:rPr>
          <w:snapToGrid w:val="0"/>
        </w:rPr>
      </w:pPr>
      <w:r>
        <w:rPr>
          <w:snapToGrid w:val="0"/>
        </w:rPr>
        <w:tab/>
        <w:t>(c)</w:t>
      </w:r>
      <w:r>
        <w:rPr>
          <w:snapToGrid w:val="0"/>
        </w:rPr>
        <w:tab/>
        <w:t>give directions for the further conduct of the proceedings.</w:t>
      </w:r>
    </w:p>
    <w:p w:rsidR="00425758" w:rsidRDefault="00425758">
      <w:pPr>
        <w:pStyle w:val="Footnotesection"/>
      </w:pPr>
      <w:r>
        <w:tab/>
        <w:t xml:space="preserve">[Rule 5 inserted: Gazette 5 Apr 1991 p. 1399; amended: Gazette 28 Jun 2011 p. 2552.] </w:t>
      </w:r>
    </w:p>
    <w:p w:rsidR="00425758" w:rsidRDefault="00425758">
      <w:pPr>
        <w:pStyle w:val="Heading5"/>
        <w:rPr>
          <w:snapToGrid w:val="0"/>
        </w:rPr>
      </w:pPr>
      <w:bookmarkStart w:id="337" w:name="_Toc75863017"/>
      <w:r>
        <w:rPr>
          <w:rStyle w:val="CharSectno"/>
        </w:rPr>
        <w:lastRenderedPageBreak/>
        <w:t>6</w:t>
      </w:r>
      <w:r>
        <w:rPr>
          <w:snapToGrid w:val="0"/>
        </w:rPr>
        <w:t>.</w:t>
      </w:r>
      <w:r>
        <w:rPr>
          <w:snapToGrid w:val="0"/>
        </w:rPr>
        <w:tab/>
        <w:t>Offer without prejudice</w:t>
      </w:r>
      <w:bookmarkEnd w:id="337"/>
      <w:r>
        <w:rPr>
          <w:snapToGrid w:val="0"/>
        </w:rPr>
        <w:t xml:space="preserve"> </w:t>
      </w:r>
    </w:p>
    <w:p w:rsidR="00425758" w:rsidRDefault="00425758">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rsidR="00425758" w:rsidRDefault="00425758">
      <w:pPr>
        <w:pStyle w:val="Footnotesection"/>
      </w:pPr>
      <w:r>
        <w:tab/>
        <w:t xml:space="preserve">[Rule 6 inserted: Gazette 5 Apr 1991 p. 1399.] </w:t>
      </w:r>
    </w:p>
    <w:p w:rsidR="00425758" w:rsidRDefault="00425758">
      <w:pPr>
        <w:pStyle w:val="Heading5"/>
        <w:spacing w:before="180"/>
        <w:rPr>
          <w:snapToGrid w:val="0"/>
        </w:rPr>
      </w:pPr>
      <w:bookmarkStart w:id="338" w:name="_Toc75863018"/>
      <w:r>
        <w:rPr>
          <w:rStyle w:val="CharSectno"/>
        </w:rPr>
        <w:t>7</w:t>
      </w:r>
      <w:r>
        <w:rPr>
          <w:snapToGrid w:val="0"/>
        </w:rPr>
        <w:t>.</w:t>
      </w:r>
      <w:r>
        <w:rPr>
          <w:snapToGrid w:val="0"/>
        </w:rPr>
        <w:tab/>
        <w:t>Disclosure of offer to Court</w:t>
      </w:r>
      <w:bookmarkEnd w:id="338"/>
      <w:r>
        <w:rPr>
          <w:snapToGrid w:val="0"/>
        </w:rPr>
        <w:t xml:space="preserve"> </w:t>
      </w:r>
    </w:p>
    <w:p w:rsidR="00425758" w:rsidRDefault="00425758">
      <w:pPr>
        <w:pStyle w:val="Subsection"/>
        <w:spacing w:before="120"/>
        <w:rPr>
          <w:snapToGrid w:val="0"/>
        </w:rPr>
      </w:pPr>
      <w:r>
        <w:rPr>
          <w:snapToGrid w:val="0"/>
        </w:rPr>
        <w:tab/>
        <w:t>(1)</w:t>
      </w:r>
      <w:r>
        <w:rPr>
          <w:snapToGrid w:val="0"/>
        </w:rPr>
        <w:tab/>
        <w:t>No statement of the fact that an offer has been made shall be contained in any pleading or affidavit.</w:t>
      </w:r>
    </w:p>
    <w:p w:rsidR="00425758" w:rsidRDefault="00425758">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rsidR="00425758" w:rsidRDefault="00425758">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rsidR="00425758" w:rsidRDefault="00425758">
      <w:pPr>
        <w:pStyle w:val="Footnotesection"/>
        <w:ind w:left="890" w:hanging="890"/>
      </w:pPr>
      <w:r>
        <w:tab/>
        <w:t>[Rule 7 inserted: Gazette 5 Apr 1991 p. 1399</w:t>
      </w:r>
      <w:r>
        <w:noBreakHyphen/>
        <w:t xml:space="preserve">400.] </w:t>
      </w:r>
    </w:p>
    <w:p w:rsidR="00425758" w:rsidRDefault="00425758">
      <w:pPr>
        <w:pStyle w:val="Heading5"/>
        <w:spacing w:before="180"/>
        <w:rPr>
          <w:snapToGrid w:val="0"/>
        </w:rPr>
      </w:pPr>
      <w:bookmarkStart w:id="339" w:name="_Toc75863019"/>
      <w:r>
        <w:rPr>
          <w:rStyle w:val="CharSectno"/>
        </w:rPr>
        <w:t>8</w:t>
      </w:r>
      <w:r>
        <w:rPr>
          <w:snapToGrid w:val="0"/>
        </w:rPr>
        <w:t>.</w:t>
      </w:r>
      <w:r>
        <w:rPr>
          <w:snapToGrid w:val="0"/>
        </w:rPr>
        <w:tab/>
        <w:t>Failure to comply with accepted offer</w:t>
      </w:r>
      <w:bookmarkEnd w:id="339"/>
      <w:r>
        <w:rPr>
          <w:snapToGrid w:val="0"/>
        </w:rPr>
        <w:t xml:space="preserve"> </w:t>
      </w:r>
    </w:p>
    <w:p w:rsidR="00425758" w:rsidRDefault="00425758">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rsidR="00425758" w:rsidRDefault="00425758">
      <w:pPr>
        <w:pStyle w:val="Indenta"/>
        <w:spacing w:before="60"/>
        <w:rPr>
          <w:snapToGrid w:val="0"/>
        </w:rPr>
      </w:pPr>
      <w:r>
        <w:rPr>
          <w:snapToGrid w:val="0"/>
        </w:rPr>
        <w:tab/>
        <w:t>(a)</w:t>
      </w:r>
      <w:r>
        <w:rPr>
          <w:snapToGrid w:val="0"/>
        </w:rPr>
        <w:tab/>
        <w:t>shall be entitled to an order — </w:t>
      </w:r>
    </w:p>
    <w:p w:rsidR="00425758" w:rsidRDefault="00425758">
      <w:pPr>
        <w:pStyle w:val="Indenti"/>
        <w:spacing w:before="60"/>
        <w:rPr>
          <w:snapToGrid w:val="0"/>
        </w:rPr>
      </w:pPr>
      <w:r>
        <w:rPr>
          <w:snapToGrid w:val="0"/>
        </w:rPr>
        <w:tab/>
        <w:t>(i)</w:t>
      </w:r>
      <w:r>
        <w:rPr>
          <w:snapToGrid w:val="0"/>
        </w:rPr>
        <w:tab/>
        <w:t>where the party in default is the plaintiff, that the proceedings be dismissed; and</w:t>
      </w:r>
    </w:p>
    <w:p w:rsidR="00425758" w:rsidRDefault="00425758">
      <w:pPr>
        <w:pStyle w:val="Indenti"/>
        <w:spacing w:before="60"/>
        <w:rPr>
          <w:snapToGrid w:val="0"/>
        </w:rPr>
      </w:pPr>
      <w:r>
        <w:rPr>
          <w:snapToGrid w:val="0"/>
        </w:rPr>
        <w:tab/>
        <w:t>(ii)</w:t>
      </w:r>
      <w:r>
        <w:rPr>
          <w:snapToGrid w:val="0"/>
        </w:rPr>
        <w:tab/>
        <w:t>where the party in default is the defendant, that the defence be struck out,</w:t>
      </w:r>
    </w:p>
    <w:p w:rsidR="00425758" w:rsidRDefault="00425758">
      <w:pPr>
        <w:pStyle w:val="Indenta"/>
        <w:spacing w:before="60"/>
        <w:rPr>
          <w:snapToGrid w:val="0"/>
        </w:rPr>
      </w:pPr>
      <w:r>
        <w:rPr>
          <w:snapToGrid w:val="0"/>
        </w:rPr>
        <w:tab/>
      </w:r>
      <w:r>
        <w:rPr>
          <w:snapToGrid w:val="0"/>
        </w:rPr>
        <w:tab/>
        <w:t>and in either case to judgment accordingly; or</w:t>
      </w:r>
    </w:p>
    <w:p w:rsidR="00425758" w:rsidRDefault="00425758">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rsidR="00425758" w:rsidRDefault="00425758">
      <w:pPr>
        <w:pStyle w:val="Subsection"/>
        <w:rPr>
          <w:snapToGrid w:val="0"/>
        </w:rPr>
      </w:pPr>
      <w:r>
        <w:rPr>
          <w:snapToGrid w:val="0"/>
        </w:rPr>
        <w:tab/>
        <w:t>(2)</w:t>
      </w:r>
      <w:r>
        <w:rPr>
          <w:snapToGrid w:val="0"/>
        </w:rPr>
        <w:tab/>
        <w:t xml:space="preserve">Where a party to an accepted offer fails to comply with the terms of the offer, and another party in the proceedings has </w:t>
      </w:r>
      <w:r>
        <w:rPr>
          <w:snapToGrid w:val="0"/>
        </w:rPr>
        <w:lastRenderedPageBreak/>
        <w:t xml:space="preserve">made a claim which is not the subject of the accepted offer, the Court may make such order or give such judgment under </w:t>
      </w:r>
      <w:r>
        <w:t>subrule</w:t>
      </w:r>
      <w:r>
        <w:rPr>
          <w:snapToGrid w:val="0"/>
        </w:rPr>
        <w:t> (1), and make such order that the proceeding on that other party’s claim be continued, as it thinks fit.</w:t>
      </w:r>
    </w:p>
    <w:p w:rsidR="00425758" w:rsidRDefault="00425758">
      <w:pPr>
        <w:pStyle w:val="Footnotesection"/>
        <w:ind w:left="890" w:hanging="890"/>
      </w:pPr>
      <w:r>
        <w:tab/>
        <w:t xml:space="preserve">[Rule 8 inserted: Gazette 5 Apr 1991 p. 1400; amended: Gazette 28 Feb 1992 p. 995; 28 Jun 2011 p. 2552; 4 Sep 2015 p. 3697.] </w:t>
      </w:r>
    </w:p>
    <w:p w:rsidR="00425758" w:rsidRDefault="00425758">
      <w:pPr>
        <w:pStyle w:val="Heading5"/>
        <w:spacing w:before="180"/>
        <w:rPr>
          <w:snapToGrid w:val="0"/>
        </w:rPr>
      </w:pPr>
      <w:bookmarkStart w:id="340" w:name="_Toc75863020"/>
      <w:r>
        <w:rPr>
          <w:rStyle w:val="CharSectno"/>
        </w:rPr>
        <w:t>9</w:t>
      </w:r>
      <w:r>
        <w:rPr>
          <w:snapToGrid w:val="0"/>
        </w:rPr>
        <w:t>.</w:t>
      </w:r>
      <w:r>
        <w:rPr>
          <w:snapToGrid w:val="0"/>
        </w:rPr>
        <w:tab/>
        <w:t>Multiple defendants</w:t>
      </w:r>
      <w:bookmarkEnd w:id="340"/>
      <w:r>
        <w:rPr>
          <w:snapToGrid w:val="0"/>
        </w:rPr>
        <w:t xml:space="preserve"> </w:t>
      </w:r>
    </w:p>
    <w:p w:rsidR="00425758" w:rsidRDefault="00425758">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rsidR="00425758" w:rsidRDefault="00425758">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rsidR="00425758" w:rsidRDefault="00425758">
      <w:pPr>
        <w:pStyle w:val="Indenta"/>
        <w:rPr>
          <w:snapToGrid w:val="0"/>
        </w:rPr>
      </w:pPr>
      <w:r>
        <w:rPr>
          <w:snapToGrid w:val="0"/>
        </w:rPr>
        <w:tab/>
        <w:t>(b)</w:t>
      </w:r>
      <w:r>
        <w:rPr>
          <w:snapToGrid w:val="0"/>
        </w:rPr>
        <w:tab/>
        <w:t>in the case of an offer made to the plaintiff — </w:t>
      </w:r>
    </w:p>
    <w:p w:rsidR="00425758" w:rsidRDefault="00425758">
      <w:pPr>
        <w:pStyle w:val="Indenti"/>
        <w:rPr>
          <w:snapToGrid w:val="0"/>
        </w:rPr>
      </w:pPr>
      <w:r>
        <w:rPr>
          <w:snapToGrid w:val="0"/>
        </w:rPr>
        <w:tab/>
        <w:t>(i)</w:t>
      </w:r>
      <w:r>
        <w:rPr>
          <w:snapToGrid w:val="0"/>
        </w:rPr>
        <w:tab/>
        <w:t>the offer is to compromise the claim against all defendants; and</w:t>
      </w:r>
    </w:p>
    <w:p w:rsidR="00425758" w:rsidRDefault="00425758">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rsidR="00425758" w:rsidRDefault="00425758">
      <w:pPr>
        <w:pStyle w:val="Footnotesection"/>
      </w:pPr>
      <w:r>
        <w:tab/>
        <w:t xml:space="preserve">[Rule 9 inserted: Gazette 5 Apr 1991 p. 1400.] </w:t>
      </w:r>
    </w:p>
    <w:p w:rsidR="00425758" w:rsidRDefault="00425758">
      <w:pPr>
        <w:pStyle w:val="Heading5"/>
        <w:rPr>
          <w:snapToGrid w:val="0"/>
        </w:rPr>
      </w:pPr>
      <w:bookmarkStart w:id="341" w:name="_Toc75863021"/>
      <w:r>
        <w:rPr>
          <w:rStyle w:val="CharSectno"/>
        </w:rPr>
        <w:t>10</w:t>
      </w:r>
      <w:r>
        <w:rPr>
          <w:snapToGrid w:val="0"/>
        </w:rPr>
        <w:t>.</w:t>
      </w:r>
      <w:r>
        <w:rPr>
          <w:snapToGrid w:val="0"/>
        </w:rPr>
        <w:tab/>
        <w:t>Costs</w:t>
      </w:r>
      <w:bookmarkEnd w:id="341"/>
      <w:r>
        <w:rPr>
          <w:snapToGrid w:val="0"/>
        </w:rPr>
        <w:t xml:space="preserve"> </w:t>
      </w:r>
    </w:p>
    <w:p w:rsidR="00425758" w:rsidRDefault="00425758">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rsidR="00425758" w:rsidRDefault="00425758">
      <w:pPr>
        <w:pStyle w:val="Subsection"/>
        <w:rPr>
          <w:snapToGrid w:val="0"/>
        </w:rPr>
      </w:pPr>
      <w:r>
        <w:rPr>
          <w:snapToGrid w:val="0"/>
        </w:rPr>
        <w:lastRenderedPageBreak/>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rsidR="00425758" w:rsidRDefault="00425758">
      <w:pPr>
        <w:pStyle w:val="Subsection"/>
      </w:pPr>
      <w:r>
        <w:tab/>
        <w:t>(3)</w:t>
      </w:r>
      <w:r>
        <w:tab/>
        <w:t>Subrules</w:t>
      </w:r>
      <w:r>
        <w:rPr>
          <w:snapToGrid w:val="0"/>
        </w:rPr>
        <w:t xml:space="preserve"> (4) and (5) apply to an offer which has not been accepted in the time prescribed by </w:t>
      </w:r>
      <w:r>
        <w:t>rule 3(5) if the Court is satisfied by the party who made the offer that the party was at all material times willing and able to comply with the terms of the offer.</w:t>
      </w:r>
    </w:p>
    <w:p w:rsidR="00425758" w:rsidRDefault="00425758">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w:t>
      </w:r>
      <w:r>
        <w:t>basis, except as provided in subrule (5A).</w:t>
      </w:r>
    </w:p>
    <w:p w:rsidR="00425758" w:rsidRDefault="00425758">
      <w:pPr>
        <w:pStyle w:val="Ednotesubsection"/>
      </w:pPr>
      <w:r>
        <w:tab/>
        <w:t>[(4a)</w:t>
      </w:r>
      <w:r>
        <w:tab/>
        <w:t>deleted]</w:t>
      </w:r>
    </w:p>
    <w:p w:rsidR="00425758" w:rsidRDefault="00425758">
      <w:pPr>
        <w:pStyle w:val="Subsection"/>
      </w:pPr>
      <w:r>
        <w:tab/>
        <w:t>(5A)</w:t>
      </w:r>
      <w:r>
        <w:tab/>
      </w:r>
      <w:r>
        <w:rPr>
          <w:snapToGrid w:val="0"/>
        </w:rPr>
        <w:t>If the Court is satisfied that the failure by the defendant to accept the offer made by the plaintiff was unreasonable, the plaintiff’s costs from the date on which the offer was made are to be taxed on an indemnity basis, unless the interests of justice require otherwise.</w:t>
      </w:r>
    </w:p>
    <w:p w:rsidR="00425758" w:rsidRDefault="00425758">
      <w:pPr>
        <w:pStyle w:val="Subsection"/>
        <w:rPr>
          <w:snapToGrid w:val="0"/>
        </w:rPr>
      </w:pPr>
      <w:r>
        <w:rPr>
          <w:snapToGrid w:val="0"/>
        </w:rPr>
        <w:tab/>
        <w:t>(5)</w:t>
      </w:r>
      <w:r>
        <w:rPr>
          <w:snapToGrid w:val="0"/>
        </w:rPr>
        <w:tab/>
        <w:t xml:space="preserve">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w:t>
      </w:r>
      <w:r>
        <w:t>basis, except as provided in subrule (7A).</w:t>
      </w:r>
    </w:p>
    <w:p w:rsidR="00425758" w:rsidRDefault="00425758">
      <w:pPr>
        <w:pStyle w:val="Subsection"/>
        <w:rPr>
          <w:snapToGrid w:val="0"/>
        </w:rPr>
      </w:pPr>
      <w:r>
        <w:rPr>
          <w:snapToGrid w:val="0"/>
        </w:rPr>
        <w:lastRenderedPageBreak/>
        <w:tab/>
        <w:t>(6)</w:t>
      </w:r>
      <w:r>
        <w:rPr>
          <w:snapToGrid w:val="0"/>
        </w:rPr>
        <w:tab/>
        <w:t xml:space="preserve">For the purpose of </w:t>
      </w:r>
      <w:r>
        <w:t>subrule</w:t>
      </w:r>
      <w:r>
        <w:rPr>
          <w:snapToGrid w:val="0"/>
        </w:rPr>
        <w:t xml:space="preserve">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w:t>
      </w:r>
      <w:r>
        <w:t>basis, except as provided in subrule (7A).</w:t>
      </w:r>
    </w:p>
    <w:p w:rsidR="00425758" w:rsidRDefault="00425758">
      <w:pPr>
        <w:pStyle w:val="Subsection"/>
      </w:pPr>
      <w:r>
        <w:tab/>
        <w:t>(7A)</w:t>
      </w:r>
      <w:r>
        <w:tab/>
      </w:r>
      <w:r>
        <w:rPr>
          <w:snapToGrid w:val="0"/>
        </w:rPr>
        <w:t>If the Court is satisfied that the failure by the plaintiff to accept the offer made by the defendant was unreasonable, the defendant’s costs are to be taxed on an indemnity basis, unless the interests of justice require otherwise.</w:t>
      </w:r>
    </w:p>
    <w:p w:rsidR="00425758" w:rsidRDefault="00425758">
      <w:pPr>
        <w:pStyle w:val="Subsection"/>
        <w:rPr>
          <w:snapToGrid w:val="0"/>
        </w:rPr>
      </w:pPr>
      <w:r>
        <w:rPr>
          <w:snapToGrid w:val="0"/>
        </w:rPr>
        <w:tab/>
        <w:t>(7)</w:t>
      </w:r>
      <w:r>
        <w:rPr>
          <w:snapToGrid w:val="0"/>
        </w:rPr>
        <w:tab/>
        <w:t>Where a plaintiff obtains judgment for the payment of a debt or damages and — </w:t>
      </w:r>
    </w:p>
    <w:p w:rsidR="00425758" w:rsidRDefault="00425758">
      <w:pPr>
        <w:pStyle w:val="Indenta"/>
        <w:rPr>
          <w:snapToGrid w:val="0"/>
        </w:rPr>
      </w:pPr>
      <w:r>
        <w:rPr>
          <w:snapToGrid w:val="0"/>
        </w:rPr>
        <w:tab/>
        <w:t>(a)</w:t>
      </w:r>
      <w:r>
        <w:rPr>
          <w:snapToGrid w:val="0"/>
        </w:rPr>
        <w:tab/>
        <w:t>the amount for which judgment is given includes interest or damages in the nature of interest; or</w:t>
      </w:r>
    </w:p>
    <w:p w:rsidR="00425758" w:rsidRDefault="00425758">
      <w:pPr>
        <w:pStyle w:val="Indenta"/>
        <w:rPr>
          <w:snapToGrid w:val="0"/>
        </w:rPr>
      </w:pPr>
      <w:r>
        <w:rPr>
          <w:snapToGrid w:val="0"/>
        </w:rPr>
        <w:tab/>
        <w:t>(b)</w:t>
      </w:r>
      <w:r>
        <w:rPr>
          <w:snapToGrid w:val="0"/>
        </w:rPr>
        <w:tab/>
        <w:t>by or under any Act the Court awards the plaintiff interest or damages in the nature of interest in respect of the amount,</w:t>
      </w:r>
    </w:p>
    <w:p w:rsidR="00425758" w:rsidRDefault="00425758">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rsidR="00425758" w:rsidRDefault="00425758">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rsidR="00425758" w:rsidRDefault="00425758">
      <w:pPr>
        <w:pStyle w:val="Ednotesubsection"/>
      </w:pPr>
      <w:r>
        <w:tab/>
        <w:t>[(9)</w:t>
      </w:r>
      <w:r>
        <w:tab/>
        <w:t>deleted]</w:t>
      </w:r>
    </w:p>
    <w:p w:rsidR="00425758" w:rsidRDefault="00425758">
      <w:pPr>
        <w:pStyle w:val="Footnotesection"/>
      </w:pPr>
      <w:r>
        <w:tab/>
        <w:t>[Rule 10 inserted: Gazette 5 Apr 1991 p. 1400</w:t>
      </w:r>
      <w:r>
        <w:noBreakHyphen/>
        <w:t>1; amended: Gazette 28 Feb 1992 p. 996; 21 Feb 2007 p. 536; 28 Jun 2011 p. 2552</w:t>
      </w:r>
      <w:r>
        <w:noBreakHyphen/>
        <w:t>3; 4 Sep 2015 p. 3697</w:t>
      </w:r>
      <w:r>
        <w:noBreakHyphen/>
        <w:t xml:space="preserve">8.] </w:t>
      </w:r>
    </w:p>
    <w:p w:rsidR="00425758" w:rsidRDefault="00425758">
      <w:pPr>
        <w:pStyle w:val="Heading2"/>
        <w:rPr>
          <w:b w:val="0"/>
        </w:rPr>
      </w:pPr>
      <w:bookmarkStart w:id="342" w:name="_Toc75511926"/>
      <w:bookmarkStart w:id="343" w:name="_Toc75863022"/>
      <w:r>
        <w:rPr>
          <w:rStyle w:val="CharPartNo"/>
        </w:rPr>
        <w:lastRenderedPageBreak/>
        <w:t>Order 25</w:t>
      </w:r>
      <w:r>
        <w:t> — </w:t>
      </w:r>
      <w:r>
        <w:rPr>
          <w:rStyle w:val="CharPartText"/>
        </w:rPr>
        <w:t>Security for costs</w:t>
      </w:r>
      <w:bookmarkEnd w:id="342"/>
      <w:bookmarkEnd w:id="343"/>
      <w:r>
        <w:rPr>
          <w:b w:val="0"/>
        </w:rPr>
        <w:t xml:space="preserve"> </w:t>
      </w:r>
    </w:p>
    <w:p w:rsidR="00425758" w:rsidRDefault="00425758">
      <w:pPr>
        <w:pStyle w:val="Heading5"/>
        <w:rPr>
          <w:snapToGrid w:val="0"/>
        </w:rPr>
      </w:pPr>
      <w:bookmarkStart w:id="344" w:name="_Toc75863023"/>
      <w:r>
        <w:rPr>
          <w:rStyle w:val="CharSectno"/>
        </w:rPr>
        <w:t>1</w:t>
      </w:r>
      <w:r>
        <w:rPr>
          <w:snapToGrid w:val="0"/>
        </w:rPr>
        <w:t>.</w:t>
      </w:r>
      <w:r>
        <w:rPr>
          <w:snapToGrid w:val="0"/>
        </w:rPr>
        <w:tab/>
        <w:t>Factors that are not grounds for ordering security for costs</w:t>
      </w:r>
      <w:bookmarkEnd w:id="344"/>
    </w:p>
    <w:p w:rsidR="00425758" w:rsidRDefault="00425758">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rsidR="00425758" w:rsidRDefault="00425758">
      <w:pPr>
        <w:pStyle w:val="Heading5"/>
        <w:spacing w:before="180"/>
        <w:rPr>
          <w:snapToGrid w:val="0"/>
        </w:rPr>
      </w:pPr>
      <w:bookmarkStart w:id="345" w:name="_Toc75863024"/>
      <w:r>
        <w:rPr>
          <w:rStyle w:val="CharSectno"/>
        </w:rPr>
        <w:t>2</w:t>
      </w:r>
      <w:r>
        <w:rPr>
          <w:snapToGrid w:val="0"/>
        </w:rPr>
        <w:t>.</w:t>
      </w:r>
      <w:r>
        <w:rPr>
          <w:snapToGrid w:val="0"/>
        </w:rPr>
        <w:tab/>
        <w:t>Grounds for ordering security for costs</w:t>
      </w:r>
      <w:bookmarkEnd w:id="345"/>
    </w:p>
    <w:p w:rsidR="00425758" w:rsidRDefault="00425758">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rsidR="00425758" w:rsidRDefault="00425758">
      <w:pPr>
        <w:pStyle w:val="Indenta"/>
        <w:rPr>
          <w:snapToGrid w:val="0"/>
        </w:rPr>
      </w:pPr>
      <w:r>
        <w:rPr>
          <w:snapToGrid w:val="0"/>
        </w:rPr>
        <w:tab/>
        <w:t>(a)</w:t>
      </w:r>
      <w:r>
        <w:rPr>
          <w:snapToGrid w:val="0"/>
        </w:rPr>
        <w:tab/>
        <w:t>is ordinarily resident out of the jurisdiction, notwithstanding that he may be temporarily within the jurisdiction;</w:t>
      </w:r>
    </w:p>
    <w:p w:rsidR="00425758" w:rsidRDefault="00425758">
      <w:pPr>
        <w:pStyle w:val="Indenta"/>
        <w:rPr>
          <w:snapToGrid w:val="0"/>
        </w:rPr>
      </w:pPr>
      <w:r>
        <w:rPr>
          <w:snapToGrid w:val="0"/>
        </w:rPr>
        <w:tab/>
        <w:t>(b)</w:t>
      </w:r>
      <w:r>
        <w:rPr>
          <w:snapToGrid w:val="0"/>
        </w:rPr>
        <w:tab/>
        <w:t>is about to depart from the jurisdiction;</w:t>
      </w:r>
    </w:p>
    <w:p w:rsidR="00425758" w:rsidRDefault="00425758">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rsidR="00425758" w:rsidRDefault="00425758">
      <w:pPr>
        <w:pStyle w:val="Indenta"/>
        <w:rPr>
          <w:snapToGrid w:val="0"/>
        </w:rPr>
      </w:pPr>
      <w:r>
        <w:rPr>
          <w:snapToGrid w:val="0"/>
        </w:rPr>
        <w:tab/>
        <w:t>(d)</w:t>
      </w:r>
      <w:r>
        <w:rPr>
          <w:snapToGrid w:val="0"/>
        </w:rPr>
        <w:tab/>
        <w:t>is an undischarged bankrupt or a person who has suspended, or given notice of suspension of, his debts;</w:t>
      </w:r>
    </w:p>
    <w:p w:rsidR="00425758" w:rsidRDefault="00425758">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rsidR="00425758" w:rsidRDefault="00425758">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rsidR="00425758" w:rsidRDefault="00425758">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rsidR="00425758" w:rsidRDefault="00425758">
      <w:pPr>
        <w:pStyle w:val="Indenta"/>
        <w:rPr>
          <w:snapToGrid w:val="0"/>
        </w:rPr>
      </w:pPr>
      <w:r>
        <w:rPr>
          <w:snapToGrid w:val="0"/>
        </w:rPr>
        <w:tab/>
        <w:t>(h)</w:t>
      </w:r>
      <w:r>
        <w:rPr>
          <w:snapToGrid w:val="0"/>
        </w:rPr>
        <w:tab/>
        <w:t>is a person who has in the past vexatiously brought litigation against the same defendant or against any other defendant;</w:t>
      </w:r>
    </w:p>
    <w:p w:rsidR="00425758" w:rsidRDefault="00425758">
      <w:pPr>
        <w:pStyle w:val="Indenta"/>
        <w:rPr>
          <w:snapToGrid w:val="0"/>
        </w:rPr>
      </w:pPr>
      <w:r>
        <w:rPr>
          <w:snapToGrid w:val="0"/>
        </w:rPr>
        <w:lastRenderedPageBreak/>
        <w:tab/>
        <w:t>(i)</w:t>
      </w:r>
      <w:r>
        <w:rPr>
          <w:snapToGrid w:val="0"/>
        </w:rPr>
        <w:tab/>
        <w:t>is suing the sheriff in respect of anything done or omitted to be done by the sheriff or his officers in the execution of any judgment of the Court.</w:t>
      </w:r>
    </w:p>
    <w:p w:rsidR="00425758" w:rsidRDefault="00425758">
      <w:pPr>
        <w:pStyle w:val="Footnotesection"/>
      </w:pPr>
      <w:r>
        <w:tab/>
        <w:t>[Rule 2 amended: Gazette 28 Jun 2011 p. 2554.]</w:t>
      </w:r>
    </w:p>
    <w:p w:rsidR="00425758" w:rsidRDefault="00425758">
      <w:pPr>
        <w:pStyle w:val="Heading5"/>
        <w:spacing w:before="180"/>
        <w:rPr>
          <w:snapToGrid w:val="0"/>
        </w:rPr>
      </w:pPr>
      <w:bookmarkStart w:id="346" w:name="_Toc75863025"/>
      <w:r>
        <w:rPr>
          <w:rStyle w:val="CharSectno"/>
        </w:rPr>
        <w:t>3</w:t>
      </w:r>
      <w:r>
        <w:rPr>
          <w:snapToGrid w:val="0"/>
        </w:rPr>
        <w:t>.</w:t>
      </w:r>
      <w:r>
        <w:rPr>
          <w:snapToGrid w:val="0"/>
        </w:rPr>
        <w:tab/>
        <w:t>Court has discretion</w:t>
      </w:r>
      <w:bookmarkEnd w:id="346"/>
    </w:p>
    <w:p w:rsidR="00425758" w:rsidRDefault="00425758">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rsidR="00425758" w:rsidRDefault="00425758">
      <w:pPr>
        <w:pStyle w:val="Indenta"/>
        <w:rPr>
          <w:snapToGrid w:val="0"/>
        </w:rPr>
      </w:pPr>
      <w:r>
        <w:rPr>
          <w:snapToGrid w:val="0"/>
        </w:rPr>
        <w:tab/>
        <w:t>(a)</w:t>
      </w:r>
      <w:r>
        <w:rPr>
          <w:snapToGrid w:val="0"/>
        </w:rPr>
        <w:tab/>
        <w:t>the prima facie merits of the claim;</w:t>
      </w:r>
    </w:p>
    <w:p w:rsidR="00425758" w:rsidRDefault="00425758">
      <w:pPr>
        <w:pStyle w:val="Indenta"/>
        <w:rPr>
          <w:snapToGrid w:val="0"/>
        </w:rPr>
      </w:pPr>
      <w:r>
        <w:rPr>
          <w:snapToGrid w:val="0"/>
        </w:rPr>
        <w:tab/>
        <w:t>(b)</w:t>
      </w:r>
      <w:r>
        <w:rPr>
          <w:snapToGrid w:val="0"/>
        </w:rPr>
        <w:tab/>
        <w:t>what property within the jurisdiction may be available to satisfy any order for costs against the plaintiff;</w:t>
      </w:r>
    </w:p>
    <w:p w:rsidR="00425758" w:rsidRDefault="00425758">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rsidR="00425758" w:rsidRDefault="00425758">
      <w:pPr>
        <w:pStyle w:val="Heading5"/>
        <w:rPr>
          <w:snapToGrid w:val="0"/>
        </w:rPr>
      </w:pPr>
      <w:bookmarkStart w:id="347" w:name="_Toc75863026"/>
      <w:r>
        <w:rPr>
          <w:rStyle w:val="CharSectno"/>
        </w:rPr>
        <w:t>4</w:t>
      </w:r>
      <w:r>
        <w:rPr>
          <w:snapToGrid w:val="0"/>
        </w:rPr>
        <w:t>.</w:t>
      </w:r>
      <w:r>
        <w:rPr>
          <w:snapToGrid w:val="0"/>
        </w:rPr>
        <w:tab/>
        <w:t>Term used: plaintiff</w:t>
      </w:r>
      <w:bookmarkEnd w:id="347"/>
    </w:p>
    <w:p w:rsidR="00425758" w:rsidRDefault="00425758">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rsidR="00425758" w:rsidRDefault="00425758">
      <w:pPr>
        <w:pStyle w:val="Heading5"/>
        <w:keepNext w:val="0"/>
        <w:keepLines w:val="0"/>
        <w:rPr>
          <w:snapToGrid w:val="0"/>
        </w:rPr>
      </w:pPr>
      <w:bookmarkStart w:id="348" w:name="_Toc75863027"/>
      <w:r>
        <w:rPr>
          <w:rStyle w:val="CharSectno"/>
        </w:rPr>
        <w:t>5</w:t>
      </w:r>
      <w:r>
        <w:rPr>
          <w:snapToGrid w:val="0"/>
        </w:rPr>
        <w:t>.</w:t>
      </w:r>
      <w:r>
        <w:rPr>
          <w:snapToGrid w:val="0"/>
        </w:rPr>
        <w:tab/>
        <w:t>Manner of giving security</w:t>
      </w:r>
      <w:bookmarkEnd w:id="348"/>
    </w:p>
    <w:p w:rsidR="00425758" w:rsidRDefault="00425758">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rsidR="00425758" w:rsidRDefault="00425758">
      <w:pPr>
        <w:pStyle w:val="Heading5"/>
        <w:rPr>
          <w:snapToGrid w:val="0"/>
        </w:rPr>
      </w:pPr>
      <w:bookmarkStart w:id="349" w:name="_Toc75863028"/>
      <w:r>
        <w:rPr>
          <w:rStyle w:val="CharSectno"/>
        </w:rPr>
        <w:t>6</w:t>
      </w:r>
      <w:r>
        <w:rPr>
          <w:snapToGrid w:val="0"/>
        </w:rPr>
        <w:t>.</w:t>
      </w:r>
      <w:r>
        <w:rPr>
          <w:snapToGrid w:val="0"/>
        </w:rPr>
        <w:tab/>
        <w:t>Action may be stayed</w:t>
      </w:r>
      <w:bookmarkEnd w:id="349"/>
    </w:p>
    <w:p w:rsidR="00425758" w:rsidRDefault="00425758">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rsidR="00425758" w:rsidRDefault="00425758">
      <w:pPr>
        <w:pStyle w:val="Heading5"/>
        <w:rPr>
          <w:snapToGrid w:val="0"/>
        </w:rPr>
      </w:pPr>
      <w:bookmarkStart w:id="350" w:name="_Toc75863029"/>
      <w:r>
        <w:rPr>
          <w:rStyle w:val="CharSectno"/>
        </w:rPr>
        <w:t>7</w:t>
      </w:r>
      <w:r>
        <w:rPr>
          <w:snapToGrid w:val="0"/>
        </w:rPr>
        <w:t>.</w:t>
      </w:r>
      <w:r>
        <w:rPr>
          <w:snapToGrid w:val="0"/>
        </w:rPr>
        <w:tab/>
        <w:t>Payment out</w:t>
      </w:r>
      <w:bookmarkEnd w:id="350"/>
    </w:p>
    <w:p w:rsidR="00425758" w:rsidRDefault="00425758">
      <w:pPr>
        <w:pStyle w:val="Subsection"/>
        <w:rPr>
          <w:snapToGrid w:val="0"/>
        </w:rPr>
      </w:pPr>
      <w:r>
        <w:rPr>
          <w:snapToGrid w:val="0"/>
        </w:rPr>
        <w:tab/>
      </w:r>
      <w:r>
        <w:rPr>
          <w:snapToGrid w:val="0"/>
        </w:rPr>
        <w:tab/>
        <w:t xml:space="preserve">Where money has been paid into court as security for costs and the action has been finally disposed of, the amount of the </w:t>
      </w:r>
      <w:r>
        <w:rPr>
          <w:snapToGrid w:val="0"/>
        </w:rPr>
        <w:lastRenderedPageBreak/>
        <w:t xml:space="preserve">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rsidR="00425758" w:rsidRDefault="00425758">
      <w:pPr>
        <w:pStyle w:val="Footnotesection"/>
      </w:pPr>
      <w:r>
        <w:tab/>
        <w:t xml:space="preserve">[Rule 7 amended: Gazette 14 Dec 1979 p. 3869.] </w:t>
      </w:r>
    </w:p>
    <w:p w:rsidR="00425758" w:rsidRDefault="00425758">
      <w:pPr>
        <w:pStyle w:val="Heading5"/>
        <w:rPr>
          <w:snapToGrid w:val="0"/>
        </w:rPr>
      </w:pPr>
      <w:bookmarkStart w:id="351" w:name="_Toc75863030"/>
      <w:r>
        <w:rPr>
          <w:rStyle w:val="CharSectno"/>
        </w:rPr>
        <w:t>8</w:t>
      </w:r>
      <w:r>
        <w:rPr>
          <w:snapToGrid w:val="0"/>
        </w:rPr>
        <w:t>.</w:t>
      </w:r>
      <w:r>
        <w:rPr>
          <w:snapToGrid w:val="0"/>
        </w:rPr>
        <w:tab/>
        <w:t>Saving</w:t>
      </w:r>
      <w:bookmarkEnd w:id="351"/>
    </w:p>
    <w:p w:rsidR="00425758" w:rsidRDefault="00425758">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rsidR="00425758" w:rsidRDefault="00425758">
      <w:pPr>
        <w:pStyle w:val="Heading2"/>
        <w:rPr>
          <w:b w:val="0"/>
        </w:rPr>
      </w:pPr>
      <w:bookmarkStart w:id="352" w:name="_Toc75511935"/>
      <w:bookmarkStart w:id="353" w:name="_Toc75863031"/>
      <w:r>
        <w:rPr>
          <w:rStyle w:val="CharPartNo"/>
        </w:rPr>
        <w:lastRenderedPageBreak/>
        <w:t>Order 26</w:t>
      </w:r>
      <w:r>
        <w:t> — </w:t>
      </w:r>
      <w:r>
        <w:rPr>
          <w:rStyle w:val="CharPartText"/>
        </w:rPr>
        <w:t>Discovery and inspection</w:t>
      </w:r>
      <w:bookmarkEnd w:id="352"/>
      <w:bookmarkEnd w:id="353"/>
    </w:p>
    <w:p w:rsidR="00425758" w:rsidRDefault="00425758">
      <w:pPr>
        <w:pStyle w:val="Heading5"/>
        <w:rPr>
          <w:snapToGrid w:val="0"/>
        </w:rPr>
      </w:pPr>
      <w:bookmarkStart w:id="354" w:name="_Toc75863032"/>
      <w:r>
        <w:rPr>
          <w:rStyle w:val="CharSectno"/>
        </w:rPr>
        <w:t>1A</w:t>
      </w:r>
      <w:r>
        <w:rPr>
          <w:snapToGrid w:val="0"/>
        </w:rPr>
        <w:t>.</w:t>
      </w:r>
      <w:r>
        <w:rPr>
          <w:snapToGrid w:val="0"/>
        </w:rPr>
        <w:tab/>
        <w:t>Terms used</w:t>
      </w:r>
      <w:bookmarkEnd w:id="354"/>
    </w:p>
    <w:p w:rsidR="00425758" w:rsidRDefault="00425758">
      <w:pPr>
        <w:pStyle w:val="Subsection"/>
        <w:rPr>
          <w:snapToGrid w:val="0"/>
        </w:rPr>
      </w:pPr>
      <w:r>
        <w:rPr>
          <w:snapToGrid w:val="0"/>
        </w:rPr>
        <w:tab/>
      </w:r>
      <w:r>
        <w:rPr>
          <w:snapToGrid w:val="0"/>
        </w:rPr>
        <w:tab/>
        <w:t>For the purposes of this Order — </w:t>
      </w:r>
    </w:p>
    <w:p w:rsidR="00425758" w:rsidRDefault="00425758">
      <w:pPr>
        <w:pStyle w:val="Defstart"/>
      </w:pPr>
      <w:r>
        <w:rPr>
          <w:b/>
        </w:rPr>
        <w:tab/>
      </w:r>
      <w:r>
        <w:rPr>
          <w:rStyle w:val="CharDefText"/>
        </w:rPr>
        <w:t>document</w:t>
      </w:r>
      <w:r>
        <w:t xml:space="preserve"> means any record of information and includes — </w:t>
      </w:r>
    </w:p>
    <w:p w:rsidR="00425758" w:rsidRDefault="00425758">
      <w:pPr>
        <w:pStyle w:val="Defpara"/>
      </w:pPr>
      <w:r>
        <w:tab/>
        <w:t>(a)</w:t>
      </w:r>
      <w:r>
        <w:tab/>
        <w:t>any disc, tape, sound</w:t>
      </w:r>
      <w:r>
        <w:noBreakHyphen/>
        <w:t>track or other device in which sounds or other means of transmitting data (not being visual images); and</w:t>
      </w:r>
    </w:p>
    <w:p w:rsidR="00425758" w:rsidRDefault="00425758">
      <w:pPr>
        <w:pStyle w:val="Defpara"/>
      </w:pPr>
      <w:r>
        <w:tab/>
        <w:t>(b)</w:t>
      </w:r>
      <w:r>
        <w:tab/>
        <w:t>any film, negative, disc, tape or other device in which one or more visual images,</w:t>
      </w:r>
    </w:p>
    <w:p w:rsidR="00425758" w:rsidRDefault="00425758">
      <w:pPr>
        <w:pStyle w:val="Defstart"/>
      </w:pPr>
      <w:r>
        <w:tab/>
        <w:t>are embodied so as to be capable, with or without the aid of some other device, of being reproduced therefrom;</w:t>
      </w:r>
    </w:p>
    <w:p w:rsidR="00425758" w:rsidRDefault="00425758">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rsidR="00425758" w:rsidRDefault="00425758">
      <w:pPr>
        <w:pStyle w:val="Footnotesection"/>
      </w:pPr>
      <w:r>
        <w:tab/>
        <w:t>[Rule 1A inserted: Gazette 5 Jun 1992 p. 2280</w:t>
      </w:r>
      <w:r>
        <w:noBreakHyphen/>
        <w:t xml:space="preserve">1.] </w:t>
      </w:r>
    </w:p>
    <w:p w:rsidR="00425758" w:rsidRDefault="00425758">
      <w:pPr>
        <w:pStyle w:val="Heading5"/>
      </w:pPr>
      <w:bookmarkStart w:id="355" w:name="_Toc75863033"/>
      <w:r>
        <w:rPr>
          <w:rStyle w:val="CharSectno"/>
        </w:rPr>
        <w:t>1B</w:t>
      </w:r>
      <w:r>
        <w:t>.</w:t>
      </w:r>
      <w:r>
        <w:tab/>
        <w:t>Documents not wholly discoverable</w:t>
      </w:r>
      <w:bookmarkEnd w:id="355"/>
    </w:p>
    <w:p w:rsidR="00425758" w:rsidRDefault="00425758">
      <w:pPr>
        <w:pStyle w:val="Subsection"/>
      </w:pPr>
      <w:r>
        <w:tab/>
        <w:t>(1)</w:t>
      </w:r>
      <w:r>
        <w:tab/>
        <w:t xml:space="preserve">If under this Order a party in a cause or matter is required to give discovery of a document — </w:t>
      </w:r>
    </w:p>
    <w:p w:rsidR="00425758" w:rsidRDefault="00425758">
      <w:pPr>
        <w:pStyle w:val="Indenta"/>
      </w:pPr>
      <w:r>
        <w:tab/>
        <w:t>(a)</w:t>
      </w:r>
      <w:r>
        <w:tab/>
        <w:t>the party must discover the document even if it contains —</w:t>
      </w:r>
    </w:p>
    <w:p w:rsidR="00425758" w:rsidRDefault="00425758">
      <w:pPr>
        <w:pStyle w:val="Indenti"/>
      </w:pPr>
      <w:r>
        <w:tab/>
        <w:t>(i)</w:t>
      </w:r>
      <w:r>
        <w:tab/>
        <w:t>information that is not related to a matter in question in the cause or matter; or</w:t>
      </w:r>
    </w:p>
    <w:p w:rsidR="00425758" w:rsidRDefault="00425758">
      <w:pPr>
        <w:pStyle w:val="Indenti"/>
      </w:pPr>
      <w:r>
        <w:tab/>
        <w:t>(ii)</w:t>
      </w:r>
      <w:r>
        <w:tab/>
        <w:t>information that the party objects to producing,</w:t>
      </w:r>
    </w:p>
    <w:p w:rsidR="00425758" w:rsidRDefault="00425758">
      <w:pPr>
        <w:pStyle w:val="Indenta"/>
      </w:pPr>
      <w:r>
        <w:tab/>
      </w:r>
      <w:r>
        <w:tab/>
        <w:t>as well as information relating to a matter in question in the cause or matter that the party may be required to produce; but</w:t>
      </w:r>
    </w:p>
    <w:p w:rsidR="00425758" w:rsidRDefault="00425758">
      <w:pPr>
        <w:pStyle w:val="Indenta"/>
      </w:pPr>
      <w:r>
        <w:tab/>
        <w:t>(b)</w:t>
      </w:r>
      <w:r>
        <w:tab/>
        <w:t>if the party has possession, custody or power of the document, the party may edit the document to hide the information referred to in paragraph (a)(i) and (ii).</w:t>
      </w:r>
    </w:p>
    <w:p w:rsidR="00425758" w:rsidRDefault="00425758">
      <w:pPr>
        <w:pStyle w:val="Subsection"/>
      </w:pPr>
      <w:r>
        <w:lastRenderedPageBreak/>
        <w:tab/>
        <w:t>(2)</w:t>
      </w:r>
      <w:r>
        <w:tab/>
        <w:t xml:space="preserve">If a party edits a document under </w:t>
      </w:r>
      <w:r>
        <w:rPr>
          <w:snapToGrid w:val="0"/>
        </w:rPr>
        <w:t>subrule</w:t>
      </w:r>
      <w:r>
        <w:t xml:space="preserve"> (1), the party must do the following —</w:t>
      </w:r>
    </w:p>
    <w:p w:rsidR="00425758" w:rsidRDefault="00425758">
      <w:pPr>
        <w:pStyle w:val="Indenta"/>
      </w:pPr>
      <w:r>
        <w:tab/>
        <w:t>(a)</w:t>
      </w:r>
      <w:r>
        <w:tab/>
        <w:t>in Part 1B of its list of documents (Form No. 17) —</w:t>
      </w:r>
    </w:p>
    <w:p w:rsidR="00425758" w:rsidRDefault="00425758">
      <w:pPr>
        <w:pStyle w:val="Indenti"/>
      </w:pPr>
      <w:r>
        <w:tab/>
        <w:t>(i)</w:t>
      </w:r>
      <w:r>
        <w:tab/>
        <w:t>list the document; and</w:t>
      </w:r>
    </w:p>
    <w:p w:rsidR="00425758" w:rsidRDefault="00425758">
      <w:pPr>
        <w:pStyle w:val="Indenti"/>
      </w:pPr>
      <w:r>
        <w:tab/>
        <w:t>(ii)</w:t>
      </w:r>
      <w:r>
        <w:tab/>
        <w:t>identify the document as one that contains hidden information; and</w:t>
      </w:r>
    </w:p>
    <w:p w:rsidR="00425758" w:rsidRDefault="00425758">
      <w:pPr>
        <w:pStyle w:val="Indenti"/>
      </w:pPr>
      <w:r>
        <w:tab/>
        <w:t>(iii)</w:t>
      </w:r>
      <w:r>
        <w:tab/>
        <w:t>state why the information is hidden; and</w:t>
      </w:r>
    </w:p>
    <w:p w:rsidR="00425758" w:rsidRDefault="00425758">
      <w:pPr>
        <w:pStyle w:val="Indenti"/>
      </w:pPr>
      <w:r>
        <w:tab/>
        <w:t>(iv)</w:t>
      </w:r>
      <w:r>
        <w:tab/>
        <w:t>if the party objects to producing any of the hidden information, state the grounds for objecting;</w:t>
      </w:r>
    </w:p>
    <w:p w:rsidR="00425758" w:rsidRDefault="00425758">
      <w:pPr>
        <w:pStyle w:val="Indenta"/>
      </w:pPr>
      <w:r>
        <w:tab/>
      </w:r>
      <w:r>
        <w:tab/>
        <w:t>and</w:t>
      </w:r>
    </w:p>
    <w:p w:rsidR="00425758" w:rsidRDefault="00425758">
      <w:pPr>
        <w:pStyle w:val="Indenta"/>
      </w:pPr>
      <w:r>
        <w:tab/>
        <w:t>(b)</w:t>
      </w:r>
      <w:r>
        <w:tab/>
        <w:t>modify Form No. 17 for the purposes of complying with paragraph (a); and</w:t>
      </w:r>
    </w:p>
    <w:p w:rsidR="00425758" w:rsidRDefault="00425758">
      <w:pPr>
        <w:pStyle w:val="Indenta"/>
      </w:pPr>
      <w:r>
        <w:tab/>
        <w:t>(c)</w:t>
      </w:r>
      <w:r>
        <w:tab/>
        <w:t>if an affidavit verifying the list of documents is required, modify Form No. 18 for the purposes of complying with paragraph (a).</w:t>
      </w:r>
    </w:p>
    <w:p w:rsidR="00425758" w:rsidRDefault="00425758">
      <w:pPr>
        <w:pStyle w:val="Subsection"/>
      </w:pPr>
      <w:r>
        <w:tab/>
        <w:t>(3)</w:t>
      </w:r>
      <w:r>
        <w:tab/>
        <w:t xml:space="preserve">If a party edits a document under </w:t>
      </w:r>
      <w:r>
        <w:rPr>
          <w:snapToGrid w:val="0"/>
        </w:rPr>
        <w:t>subrule</w:t>
      </w:r>
      <w:r>
        <w:t xml:space="preserve"> (1), the party is not required — </w:t>
      </w:r>
    </w:p>
    <w:p w:rsidR="00425758" w:rsidRDefault="00425758">
      <w:pPr>
        <w:pStyle w:val="Indenta"/>
      </w:pPr>
      <w:r>
        <w:tab/>
        <w:t>(a)</w:t>
      </w:r>
      <w:r>
        <w:tab/>
        <w:t>to produce the hidden information to another party; or</w:t>
      </w:r>
    </w:p>
    <w:p w:rsidR="00425758" w:rsidRDefault="00425758">
      <w:pPr>
        <w:pStyle w:val="Indenta"/>
      </w:pPr>
      <w:r>
        <w:tab/>
        <w:t>(b)</w:t>
      </w:r>
      <w:r>
        <w:tab/>
        <w:t>to allow another party to inspect or copy the hidden information,</w:t>
      </w:r>
    </w:p>
    <w:p w:rsidR="00425758" w:rsidRDefault="00425758">
      <w:pPr>
        <w:pStyle w:val="Subsection"/>
      </w:pPr>
      <w:r>
        <w:tab/>
      </w:r>
      <w:r>
        <w:tab/>
        <w:t>unless the Court orders otherwise.</w:t>
      </w:r>
    </w:p>
    <w:p w:rsidR="00425758" w:rsidRDefault="00425758">
      <w:pPr>
        <w:pStyle w:val="Footnotesection"/>
      </w:pPr>
      <w:r>
        <w:tab/>
        <w:t>[Rule 1B inserted: Gazette 28 Jul 2010 p. 3469-70.]</w:t>
      </w:r>
    </w:p>
    <w:p w:rsidR="00425758" w:rsidRDefault="00425758">
      <w:pPr>
        <w:pStyle w:val="Heading5"/>
        <w:rPr>
          <w:snapToGrid w:val="0"/>
        </w:rPr>
      </w:pPr>
      <w:bookmarkStart w:id="356" w:name="_Toc75863034"/>
      <w:r>
        <w:rPr>
          <w:rStyle w:val="CharSectno"/>
        </w:rPr>
        <w:t>1</w:t>
      </w:r>
      <w:r>
        <w:rPr>
          <w:snapToGrid w:val="0"/>
        </w:rPr>
        <w:t>.</w:t>
      </w:r>
      <w:r>
        <w:rPr>
          <w:snapToGrid w:val="0"/>
        </w:rPr>
        <w:tab/>
        <w:t>Discovery without order</w:t>
      </w:r>
      <w:bookmarkEnd w:id="356"/>
    </w:p>
    <w:p w:rsidR="00425758" w:rsidRDefault="00425758">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rsidR="00425758" w:rsidRDefault="00425758">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rsidR="00425758" w:rsidRDefault="00425758">
      <w:pPr>
        <w:pStyle w:val="Subsection"/>
      </w:pPr>
      <w:r>
        <w:lastRenderedPageBreak/>
        <w:tab/>
        <w:t>(3)</w:t>
      </w:r>
      <w:r>
        <w:tab/>
        <w:t>The statements in the Form No. 17 (list of documents) filed by a party giving discovery of documents must —</w:t>
      </w:r>
    </w:p>
    <w:p w:rsidR="00425758" w:rsidRDefault="00425758">
      <w:pPr>
        <w:pStyle w:val="Indenta"/>
      </w:pPr>
      <w:r>
        <w:tab/>
        <w:t>(a)</w:t>
      </w:r>
      <w:r>
        <w:tab/>
        <w:t>be verified by an affidavit of a person listed in rule 4(4); or</w:t>
      </w:r>
    </w:p>
    <w:p w:rsidR="00425758" w:rsidRDefault="00425758">
      <w:pPr>
        <w:pStyle w:val="Indenta"/>
      </w:pPr>
      <w:r>
        <w:tab/>
        <w:t>(b)</w:t>
      </w:r>
      <w:r>
        <w:tab/>
        <w:t>if the party requiring discovery, in its notice given under subrule (1), so consents, be certified as correct by a person listed in rule 4(4) or the party’s practitioner.</w:t>
      </w:r>
    </w:p>
    <w:p w:rsidR="00425758" w:rsidRDefault="00425758">
      <w:pPr>
        <w:pStyle w:val="Footnotesection"/>
      </w:pPr>
      <w:r>
        <w:tab/>
        <w:t xml:space="preserve">[Rule 1 amended: Gazette 28 Oct 1996 p. 5675; 28 Jul 2010 p. 3470; 28 Jun 2011 p. 2552.] </w:t>
      </w:r>
    </w:p>
    <w:p w:rsidR="00425758" w:rsidRDefault="00425758">
      <w:pPr>
        <w:pStyle w:val="Heading5"/>
        <w:rPr>
          <w:snapToGrid w:val="0"/>
        </w:rPr>
      </w:pPr>
      <w:bookmarkStart w:id="357" w:name="_Toc75863035"/>
      <w:r>
        <w:rPr>
          <w:rStyle w:val="CharSectno"/>
        </w:rPr>
        <w:t>2</w:t>
      </w:r>
      <w:r>
        <w:rPr>
          <w:snapToGrid w:val="0"/>
        </w:rPr>
        <w:t>.</w:t>
      </w:r>
      <w:r>
        <w:rPr>
          <w:snapToGrid w:val="0"/>
        </w:rPr>
        <w:tab/>
        <w:t>Continuing obligation to give discovery</w:t>
      </w:r>
      <w:bookmarkEnd w:id="357"/>
      <w:r>
        <w:rPr>
          <w:snapToGrid w:val="0"/>
        </w:rPr>
        <w:t xml:space="preserve"> </w:t>
      </w:r>
    </w:p>
    <w:p w:rsidR="00425758" w:rsidRDefault="00425758">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rsidR="00425758" w:rsidRDefault="00425758">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rsidR="00425758" w:rsidRDefault="00425758">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rsidR="00425758" w:rsidRDefault="00425758">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rsidR="00425758" w:rsidRDefault="00425758">
      <w:pPr>
        <w:pStyle w:val="Indenta"/>
        <w:rPr>
          <w:snapToGrid w:val="0"/>
        </w:rPr>
      </w:pPr>
      <w:r>
        <w:rPr>
          <w:snapToGrid w:val="0"/>
        </w:rPr>
        <w:tab/>
        <w:t>(a)</w:t>
      </w:r>
      <w:r>
        <w:rPr>
          <w:snapToGrid w:val="0"/>
        </w:rPr>
        <w:tab/>
        <w:t>is a communication between 2 or more of the parties or their solicitors; or</w:t>
      </w:r>
    </w:p>
    <w:p w:rsidR="00425758" w:rsidRDefault="00425758">
      <w:pPr>
        <w:pStyle w:val="Indenta"/>
        <w:rPr>
          <w:snapToGrid w:val="0"/>
        </w:rPr>
      </w:pPr>
      <w:r>
        <w:rPr>
          <w:snapToGrid w:val="0"/>
        </w:rPr>
        <w:tab/>
        <w:t>(b)</w:t>
      </w:r>
      <w:r>
        <w:rPr>
          <w:snapToGrid w:val="0"/>
        </w:rPr>
        <w:tab/>
        <w:t>is privileged from production.</w:t>
      </w:r>
    </w:p>
    <w:p w:rsidR="00425758" w:rsidRDefault="00425758">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rsidR="00425758" w:rsidRDefault="00425758">
      <w:pPr>
        <w:pStyle w:val="Subsection"/>
        <w:rPr>
          <w:snapToGrid w:val="0"/>
        </w:rPr>
      </w:pPr>
      <w:r>
        <w:rPr>
          <w:snapToGrid w:val="0"/>
        </w:rPr>
        <w:lastRenderedPageBreak/>
        <w:tab/>
        <w:t>(6)</w:t>
      </w:r>
      <w:r>
        <w:rPr>
          <w:snapToGrid w:val="0"/>
        </w:rPr>
        <w:tab/>
        <w:t>Discovery under this rule shall be given by filing and serving on the other parties a supplementary list in accordance with rule 4 showing the relevant documents together with a verifying affidavit.</w:t>
      </w:r>
    </w:p>
    <w:p w:rsidR="00425758" w:rsidRDefault="00425758">
      <w:pPr>
        <w:pStyle w:val="Footnotesection"/>
      </w:pPr>
      <w:r>
        <w:tab/>
        <w:t>[Rule 2 inserted: Gazette 28 Oct 1996 p. 5675</w:t>
      </w:r>
      <w:r>
        <w:noBreakHyphen/>
        <w:t>6; amended: Gazette 28 Jun 2011 p. 2552</w:t>
      </w:r>
      <w:r>
        <w:noBreakHyphen/>
        <w:t xml:space="preserve">3.] </w:t>
      </w:r>
    </w:p>
    <w:p w:rsidR="00425758" w:rsidRDefault="00425758">
      <w:pPr>
        <w:pStyle w:val="Ednotesection"/>
      </w:pPr>
      <w:r>
        <w:t>[</w:t>
      </w:r>
      <w:r>
        <w:rPr>
          <w:b/>
        </w:rPr>
        <w:t>2A.</w:t>
      </w:r>
      <w:r>
        <w:rPr>
          <w:b/>
        </w:rPr>
        <w:tab/>
      </w:r>
      <w:r>
        <w:t xml:space="preserve">Deleted: Gazette 28 Oct 1996 p. 5675.] </w:t>
      </w:r>
    </w:p>
    <w:p w:rsidR="00425758" w:rsidRDefault="00425758">
      <w:pPr>
        <w:pStyle w:val="Heading5"/>
        <w:rPr>
          <w:snapToGrid w:val="0"/>
        </w:rPr>
      </w:pPr>
      <w:bookmarkStart w:id="358" w:name="_Toc75863036"/>
      <w:r>
        <w:rPr>
          <w:rStyle w:val="CharSectno"/>
        </w:rPr>
        <w:t>3</w:t>
      </w:r>
      <w:r>
        <w:rPr>
          <w:snapToGrid w:val="0"/>
        </w:rPr>
        <w:t>.</w:t>
      </w:r>
      <w:r>
        <w:rPr>
          <w:snapToGrid w:val="0"/>
        </w:rPr>
        <w:tab/>
        <w:t>Determination of issue relevant to right to discovery</w:t>
      </w:r>
      <w:bookmarkEnd w:id="358"/>
    </w:p>
    <w:p w:rsidR="00425758" w:rsidRDefault="00425758">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rsidR="00425758" w:rsidRDefault="00425758">
      <w:pPr>
        <w:pStyle w:val="Footnotesection"/>
      </w:pPr>
      <w:r>
        <w:tab/>
        <w:t xml:space="preserve">[Rule 3 amended: Gazette 28 Oct 1996 p. 5676.] </w:t>
      </w:r>
    </w:p>
    <w:p w:rsidR="00425758" w:rsidRDefault="00425758">
      <w:pPr>
        <w:pStyle w:val="Heading5"/>
        <w:rPr>
          <w:snapToGrid w:val="0"/>
        </w:rPr>
      </w:pPr>
      <w:bookmarkStart w:id="359" w:name="_Toc75863037"/>
      <w:r>
        <w:rPr>
          <w:rStyle w:val="CharSectno"/>
        </w:rPr>
        <w:t>4</w:t>
      </w:r>
      <w:r>
        <w:rPr>
          <w:snapToGrid w:val="0"/>
        </w:rPr>
        <w:t>.</w:t>
      </w:r>
      <w:r>
        <w:rPr>
          <w:snapToGrid w:val="0"/>
        </w:rPr>
        <w:tab/>
        <w:t>List of documents and verifying affidavit, form, content and making of</w:t>
      </w:r>
      <w:bookmarkEnd w:id="359"/>
    </w:p>
    <w:p w:rsidR="00425758" w:rsidRDefault="00425758">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rsidR="00425758" w:rsidRDefault="00425758">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rsidR="00425758" w:rsidRDefault="00425758">
      <w:pPr>
        <w:pStyle w:val="Subsection"/>
        <w:rPr>
          <w:snapToGrid w:val="0"/>
        </w:rPr>
      </w:pPr>
      <w:r>
        <w:rPr>
          <w:snapToGrid w:val="0"/>
        </w:rPr>
        <w:tab/>
        <w:t>(3)</w:t>
      </w:r>
      <w:r>
        <w:rPr>
          <w:snapToGrid w:val="0"/>
        </w:rPr>
        <w:tab/>
        <w:t>An affidavit verifying a list of documents must be in Form No. 18.</w:t>
      </w:r>
    </w:p>
    <w:p w:rsidR="00425758" w:rsidRDefault="00425758">
      <w:pPr>
        <w:pStyle w:val="Subsection"/>
        <w:rPr>
          <w:snapToGrid w:val="0"/>
        </w:rPr>
      </w:pPr>
      <w:r>
        <w:rPr>
          <w:snapToGrid w:val="0"/>
        </w:rPr>
        <w:lastRenderedPageBreak/>
        <w:tab/>
        <w:t>(4)</w:t>
      </w:r>
      <w:r>
        <w:rPr>
          <w:snapToGrid w:val="0"/>
        </w:rPr>
        <w:tab/>
        <w:t>Any list of documents or affidavit verifying such list may be made — </w:t>
      </w:r>
    </w:p>
    <w:p w:rsidR="00425758" w:rsidRDefault="00425758">
      <w:pPr>
        <w:pStyle w:val="Indenta"/>
        <w:rPr>
          <w:snapToGrid w:val="0"/>
        </w:rPr>
      </w:pPr>
      <w:r>
        <w:rPr>
          <w:snapToGrid w:val="0"/>
        </w:rPr>
        <w:tab/>
        <w:t>(a)</w:t>
      </w:r>
      <w:r>
        <w:rPr>
          <w:snapToGrid w:val="0"/>
        </w:rPr>
        <w:tab/>
        <w:t>by the party;</w:t>
      </w:r>
    </w:p>
    <w:p w:rsidR="00425758" w:rsidRDefault="00425758">
      <w:pPr>
        <w:pStyle w:val="Indenta"/>
        <w:rPr>
          <w:snapToGrid w:val="0"/>
        </w:rPr>
      </w:pPr>
      <w:r>
        <w:rPr>
          <w:snapToGrid w:val="0"/>
        </w:rPr>
        <w:tab/>
        <w:t>(b)</w:t>
      </w:r>
      <w:r>
        <w:rPr>
          <w:snapToGrid w:val="0"/>
        </w:rPr>
        <w:tab/>
        <w:t>where the party is the State or an officer of the State sued or suing in his official capacity — by an officer of the State;</w:t>
      </w:r>
    </w:p>
    <w:p w:rsidR="00425758" w:rsidRDefault="00425758">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rsidR="00425758" w:rsidRDefault="00425758">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rsidR="00425758" w:rsidRDefault="00425758">
      <w:pPr>
        <w:pStyle w:val="Footnotesection"/>
      </w:pPr>
      <w:r>
        <w:tab/>
        <w:t xml:space="preserve">[Rule 4 amended: Gazette 30 Nov 1984 p. 3953; 28 Oct 1996 p. 5676; 19 Apr 2005 p. 1298.] </w:t>
      </w:r>
    </w:p>
    <w:p w:rsidR="00425758" w:rsidRDefault="00425758">
      <w:pPr>
        <w:pStyle w:val="Heading5"/>
        <w:rPr>
          <w:snapToGrid w:val="0"/>
        </w:rPr>
      </w:pPr>
      <w:bookmarkStart w:id="360" w:name="_Toc75863038"/>
      <w:r>
        <w:rPr>
          <w:rStyle w:val="CharSectno"/>
        </w:rPr>
        <w:t>5</w:t>
      </w:r>
      <w:r>
        <w:rPr>
          <w:snapToGrid w:val="0"/>
        </w:rPr>
        <w:t>.</w:t>
      </w:r>
      <w:r>
        <w:rPr>
          <w:snapToGrid w:val="0"/>
        </w:rPr>
        <w:tab/>
        <w:t>Defendant entitled to copy of co</w:t>
      </w:r>
      <w:r>
        <w:rPr>
          <w:snapToGrid w:val="0"/>
        </w:rPr>
        <w:noBreakHyphen/>
        <w:t>defendant’s list etc.</w:t>
      </w:r>
      <w:bookmarkEnd w:id="360"/>
    </w:p>
    <w:p w:rsidR="00425758" w:rsidRDefault="00425758">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rsidR="00425758" w:rsidRDefault="00425758">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rsidR="00425758" w:rsidRDefault="00425758">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rsidR="00425758" w:rsidRDefault="00425758">
      <w:pPr>
        <w:pStyle w:val="Footnotesection"/>
      </w:pPr>
      <w:r>
        <w:tab/>
        <w:t xml:space="preserve">[Rule 5 amended: Gazette 28 Oct 1996 p. 5676; 28 Jun 2011 p. 2552.] </w:t>
      </w:r>
    </w:p>
    <w:p w:rsidR="00425758" w:rsidRDefault="00425758">
      <w:pPr>
        <w:pStyle w:val="Heading5"/>
        <w:rPr>
          <w:snapToGrid w:val="0"/>
        </w:rPr>
      </w:pPr>
      <w:bookmarkStart w:id="361" w:name="_Toc75863039"/>
      <w:r>
        <w:rPr>
          <w:rStyle w:val="CharSectno"/>
        </w:rPr>
        <w:lastRenderedPageBreak/>
        <w:t>6</w:t>
      </w:r>
      <w:r>
        <w:rPr>
          <w:snapToGrid w:val="0"/>
        </w:rPr>
        <w:t>.</w:t>
      </w:r>
      <w:r>
        <w:rPr>
          <w:snapToGrid w:val="0"/>
        </w:rPr>
        <w:tab/>
        <w:t>Order for information as to particular documents</w:t>
      </w:r>
      <w:bookmarkEnd w:id="361"/>
    </w:p>
    <w:p w:rsidR="00425758" w:rsidRDefault="00425758">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rsidR="00425758" w:rsidRDefault="00425758">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rsidR="00425758" w:rsidRDefault="00425758">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rsidR="00425758" w:rsidRDefault="00425758">
      <w:pPr>
        <w:pStyle w:val="Footnotesection"/>
      </w:pPr>
      <w:r>
        <w:tab/>
        <w:t xml:space="preserve">[Rule 6 amended: Gazette 28 Oct 1996 p. 5676.] </w:t>
      </w:r>
    </w:p>
    <w:p w:rsidR="00425758" w:rsidRDefault="00425758">
      <w:pPr>
        <w:pStyle w:val="Heading5"/>
        <w:rPr>
          <w:snapToGrid w:val="0"/>
        </w:rPr>
      </w:pPr>
      <w:bookmarkStart w:id="362" w:name="_Toc75863040"/>
      <w:r>
        <w:rPr>
          <w:rStyle w:val="CharSectno"/>
        </w:rPr>
        <w:t>7</w:t>
      </w:r>
      <w:r>
        <w:rPr>
          <w:snapToGrid w:val="0"/>
        </w:rPr>
        <w:t>.</w:t>
      </w:r>
      <w:r>
        <w:rPr>
          <w:snapToGrid w:val="0"/>
        </w:rPr>
        <w:tab/>
        <w:t>Orders as to discovery</w:t>
      </w:r>
      <w:bookmarkEnd w:id="362"/>
      <w:r>
        <w:rPr>
          <w:snapToGrid w:val="0"/>
        </w:rPr>
        <w:t xml:space="preserve"> </w:t>
      </w:r>
    </w:p>
    <w:p w:rsidR="00425758" w:rsidRDefault="00425758">
      <w:pPr>
        <w:pStyle w:val="Subsection"/>
        <w:keepNext/>
        <w:rPr>
          <w:snapToGrid w:val="0"/>
        </w:rPr>
      </w:pPr>
      <w:r>
        <w:rPr>
          <w:snapToGrid w:val="0"/>
        </w:rPr>
        <w:tab/>
        <w:t>(1)</w:t>
      </w:r>
      <w:r>
        <w:rPr>
          <w:snapToGrid w:val="0"/>
        </w:rPr>
        <w:tab/>
        <w:t>An application for an order under this rule may be made at any time by — </w:t>
      </w:r>
    </w:p>
    <w:p w:rsidR="00425758" w:rsidRDefault="00425758">
      <w:pPr>
        <w:pStyle w:val="Indenta"/>
        <w:rPr>
          <w:snapToGrid w:val="0"/>
        </w:rPr>
      </w:pPr>
      <w:r>
        <w:rPr>
          <w:snapToGrid w:val="0"/>
        </w:rPr>
        <w:tab/>
        <w:t>(a)</w:t>
      </w:r>
      <w:r>
        <w:rPr>
          <w:snapToGrid w:val="0"/>
        </w:rPr>
        <w:tab/>
        <w:t>a party whose request under rule 1 for discovery has not been satisfied; or</w:t>
      </w:r>
    </w:p>
    <w:p w:rsidR="00425758" w:rsidRDefault="00425758">
      <w:pPr>
        <w:pStyle w:val="Indenta"/>
        <w:rPr>
          <w:snapToGrid w:val="0"/>
        </w:rPr>
      </w:pPr>
      <w:r>
        <w:rPr>
          <w:snapToGrid w:val="0"/>
        </w:rPr>
        <w:tab/>
        <w:t>(b)</w:t>
      </w:r>
      <w:r>
        <w:rPr>
          <w:snapToGrid w:val="0"/>
        </w:rPr>
        <w:tab/>
        <w:t>a party who has been requested under rule 1 to give discovery, whether or not the party has complied with the request.</w:t>
      </w:r>
    </w:p>
    <w:p w:rsidR="00425758" w:rsidRDefault="00425758">
      <w:pPr>
        <w:pStyle w:val="Subsection"/>
        <w:rPr>
          <w:snapToGrid w:val="0"/>
        </w:rPr>
      </w:pPr>
      <w:r>
        <w:rPr>
          <w:snapToGrid w:val="0"/>
        </w:rPr>
        <w:tab/>
        <w:t>(2)</w:t>
      </w:r>
      <w:r>
        <w:rPr>
          <w:snapToGrid w:val="0"/>
        </w:rPr>
        <w:tab/>
        <w:t>An affidavit in support of the application is not necessary.</w:t>
      </w:r>
    </w:p>
    <w:p w:rsidR="00425758" w:rsidRDefault="00425758">
      <w:pPr>
        <w:pStyle w:val="Subsection"/>
        <w:keepNext/>
        <w:rPr>
          <w:snapToGrid w:val="0"/>
        </w:rPr>
      </w:pPr>
      <w:r>
        <w:rPr>
          <w:snapToGrid w:val="0"/>
        </w:rPr>
        <w:lastRenderedPageBreak/>
        <w:tab/>
        <w:t>(3)</w:t>
      </w:r>
      <w:r>
        <w:rPr>
          <w:snapToGrid w:val="0"/>
        </w:rPr>
        <w:tab/>
        <w:t>On an application, or at any time of its own motion in any proceedings, the Court, having regard to Order 1 rule 4B, may — </w:t>
      </w:r>
    </w:p>
    <w:p w:rsidR="00425758" w:rsidRDefault="00425758">
      <w:pPr>
        <w:pStyle w:val="Indenta"/>
        <w:rPr>
          <w:snapToGrid w:val="0"/>
        </w:rPr>
      </w:pPr>
      <w:r>
        <w:rPr>
          <w:snapToGrid w:val="0"/>
        </w:rPr>
        <w:tab/>
        <w:t>(a)</w:t>
      </w:r>
      <w:r>
        <w:rPr>
          <w:snapToGrid w:val="0"/>
        </w:rPr>
        <w:tab/>
        <w:t>order any or all of the parties to give discovery at that stage or at some specified future stage of the action;</w:t>
      </w:r>
    </w:p>
    <w:p w:rsidR="00425758" w:rsidRDefault="00425758">
      <w:pPr>
        <w:pStyle w:val="Indenta"/>
        <w:rPr>
          <w:snapToGrid w:val="0"/>
        </w:rPr>
      </w:pPr>
      <w:r>
        <w:rPr>
          <w:snapToGrid w:val="0"/>
        </w:rPr>
        <w:tab/>
        <w:t>(b)</w:t>
      </w:r>
      <w:r>
        <w:rPr>
          <w:snapToGrid w:val="0"/>
        </w:rPr>
        <w:tab/>
        <w:t>as to the documents to be discovered by any party — </w:t>
      </w:r>
    </w:p>
    <w:p w:rsidR="00425758" w:rsidRDefault="00425758">
      <w:pPr>
        <w:pStyle w:val="Indenti"/>
        <w:rPr>
          <w:snapToGrid w:val="0"/>
        </w:rPr>
      </w:pPr>
      <w:r>
        <w:rPr>
          <w:snapToGrid w:val="0"/>
        </w:rPr>
        <w:tab/>
        <w:t>(i)</w:t>
      </w:r>
      <w:r>
        <w:rPr>
          <w:snapToGrid w:val="0"/>
        </w:rPr>
        <w:tab/>
        <w:t>order that discovery be given of only those specified documents or specified classes of document;</w:t>
      </w:r>
    </w:p>
    <w:p w:rsidR="00425758" w:rsidRDefault="00425758">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rsidR="00425758" w:rsidRDefault="00425758">
      <w:pPr>
        <w:pStyle w:val="Indenti"/>
        <w:rPr>
          <w:snapToGrid w:val="0"/>
        </w:rPr>
      </w:pPr>
      <w:r>
        <w:rPr>
          <w:snapToGrid w:val="0"/>
        </w:rPr>
        <w:tab/>
        <w:t>(iii)</w:t>
      </w:r>
      <w:r>
        <w:rPr>
          <w:snapToGrid w:val="0"/>
        </w:rPr>
        <w:tab/>
        <w:t>order that discovery be given of all documents relating to any specified matter in question or to all matters in question;</w:t>
      </w:r>
    </w:p>
    <w:p w:rsidR="00425758" w:rsidRDefault="00425758">
      <w:pPr>
        <w:pStyle w:val="Indenta"/>
        <w:rPr>
          <w:snapToGrid w:val="0"/>
        </w:rPr>
      </w:pPr>
      <w:r>
        <w:rPr>
          <w:snapToGrid w:val="0"/>
        </w:rPr>
        <w:tab/>
        <w:t>(c)</w:t>
      </w:r>
      <w:r>
        <w:rPr>
          <w:snapToGrid w:val="0"/>
        </w:rPr>
        <w:tab/>
        <w:t>make orders as to which parties are to be given discovery by any specified party;</w:t>
      </w:r>
    </w:p>
    <w:p w:rsidR="00425758" w:rsidRDefault="00425758">
      <w:pPr>
        <w:pStyle w:val="Indenta"/>
        <w:rPr>
          <w:snapToGrid w:val="0"/>
        </w:rPr>
      </w:pPr>
      <w:r>
        <w:rPr>
          <w:snapToGrid w:val="0"/>
        </w:rPr>
        <w:tab/>
        <w:t>(d)</w:t>
      </w:r>
      <w:r>
        <w:rPr>
          <w:snapToGrid w:val="0"/>
        </w:rPr>
        <w:tab/>
        <w:t>order that any or all of the parties not give discovery at that stage of the action, or at all;</w:t>
      </w:r>
    </w:p>
    <w:p w:rsidR="00425758" w:rsidRDefault="00425758">
      <w:pPr>
        <w:pStyle w:val="Indenta"/>
        <w:rPr>
          <w:snapToGrid w:val="0"/>
        </w:rPr>
      </w:pPr>
      <w:r>
        <w:rPr>
          <w:snapToGrid w:val="0"/>
        </w:rPr>
        <w:tab/>
        <w:t>(e)</w:t>
      </w:r>
      <w:r>
        <w:rPr>
          <w:snapToGrid w:val="0"/>
        </w:rPr>
        <w:tab/>
        <w:t>order any or all parties to make, file and serve an affidavit verifying the party’s list of documents discovered.</w:t>
      </w:r>
    </w:p>
    <w:p w:rsidR="00425758" w:rsidRDefault="00425758">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rsidR="00425758" w:rsidRDefault="00425758">
      <w:pPr>
        <w:pStyle w:val="Footnotesection"/>
      </w:pPr>
      <w:r>
        <w:tab/>
        <w:t>[Rule 7 inserted: Gazette 28 Oct 1996 p. 5677</w:t>
      </w:r>
      <w:r>
        <w:noBreakHyphen/>
        <w:t xml:space="preserve">8.] </w:t>
      </w:r>
    </w:p>
    <w:p w:rsidR="00425758" w:rsidRDefault="00425758">
      <w:pPr>
        <w:pStyle w:val="Heading5"/>
        <w:rPr>
          <w:snapToGrid w:val="0"/>
        </w:rPr>
      </w:pPr>
      <w:bookmarkStart w:id="363" w:name="_Toc75863041"/>
      <w:r>
        <w:rPr>
          <w:rStyle w:val="CharSectno"/>
        </w:rPr>
        <w:t>8</w:t>
      </w:r>
      <w:r>
        <w:rPr>
          <w:snapToGrid w:val="0"/>
        </w:rPr>
        <w:t>.</w:t>
      </w:r>
      <w:r>
        <w:rPr>
          <w:snapToGrid w:val="0"/>
        </w:rPr>
        <w:tab/>
        <w:t>Inspection of documents in list</w:t>
      </w:r>
      <w:bookmarkEnd w:id="363"/>
    </w:p>
    <w:p w:rsidR="00425758" w:rsidRDefault="00425758">
      <w:pPr>
        <w:pStyle w:val="Subsection"/>
        <w:rPr>
          <w:snapToGrid w:val="0"/>
        </w:rPr>
      </w:pPr>
      <w:r>
        <w:rPr>
          <w:snapToGrid w:val="0"/>
        </w:rPr>
        <w:tab/>
        <w:t>(1)</w:t>
      </w:r>
      <w:r>
        <w:rPr>
          <w:snapToGrid w:val="0"/>
        </w:rPr>
        <w:tab/>
        <w:t xml:space="preserve">A party who has served a list of documents on any other party in compliance with rule 1 or with an order under rule 7 must allow the other party to inspect the documents mentioned in the list, other than any which he objects to produce, and must when </w:t>
      </w:r>
      <w:r>
        <w:rPr>
          <w:snapToGrid w:val="0"/>
        </w:rPr>
        <w:lastRenderedPageBreak/>
        <w:t>serving the list on the other party also serve on him a notice stating a time within 7 days after the service thereof at which the said documents may be inspected at the place specified in the notice.</w:t>
      </w:r>
    </w:p>
    <w:p w:rsidR="00425758" w:rsidRDefault="00425758">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rsidR="00425758" w:rsidRDefault="00425758">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rsidR="00425758" w:rsidRDefault="00425758">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rsidR="00425758" w:rsidRDefault="00425758">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rsidR="00425758" w:rsidRDefault="00425758">
      <w:pPr>
        <w:pStyle w:val="Footnotesection"/>
      </w:pPr>
      <w:r>
        <w:tab/>
        <w:t xml:space="preserve">[Rule 8 amended: Gazette 7 Dec 1973 p. 4489; 28 Oct 1996 p. 5678; 21 Feb 2007 p. 536; 28 Jun 2011 p. 2552.] </w:t>
      </w:r>
    </w:p>
    <w:p w:rsidR="00425758" w:rsidRDefault="00425758">
      <w:pPr>
        <w:pStyle w:val="Heading5"/>
        <w:rPr>
          <w:snapToGrid w:val="0"/>
        </w:rPr>
      </w:pPr>
      <w:bookmarkStart w:id="364" w:name="_Toc75863042"/>
      <w:r>
        <w:rPr>
          <w:rStyle w:val="CharSectno"/>
        </w:rPr>
        <w:t>8A</w:t>
      </w:r>
      <w:r>
        <w:rPr>
          <w:snapToGrid w:val="0"/>
        </w:rPr>
        <w:t>.</w:t>
      </w:r>
      <w:r>
        <w:rPr>
          <w:snapToGrid w:val="0"/>
        </w:rPr>
        <w:tab/>
        <w:t>Procedure on discovery</w:t>
      </w:r>
      <w:bookmarkEnd w:id="364"/>
      <w:r>
        <w:rPr>
          <w:snapToGrid w:val="0"/>
        </w:rPr>
        <w:t xml:space="preserve"> </w:t>
      </w:r>
    </w:p>
    <w:p w:rsidR="00425758" w:rsidRDefault="00425758">
      <w:pPr>
        <w:pStyle w:val="Subsection"/>
        <w:rPr>
          <w:snapToGrid w:val="0"/>
        </w:rPr>
      </w:pPr>
      <w:r>
        <w:rPr>
          <w:snapToGrid w:val="0"/>
        </w:rPr>
        <w:tab/>
        <w:t>(1)</w:t>
      </w:r>
      <w:r>
        <w:rPr>
          <w:snapToGrid w:val="0"/>
        </w:rPr>
        <w:tab/>
        <w:t>Documents delivered or produced under these rules are — </w:t>
      </w:r>
    </w:p>
    <w:p w:rsidR="00425758" w:rsidRDefault="00425758">
      <w:pPr>
        <w:pStyle w:val="Indenta"/>
        <w:rPr>
          <w:snapToGrid w:val="0"/>
        </w:rPr>
      </w:pPr>
      <w:r>
        <w:rPr>
          <w:snapToGrid w:val="0"/>
        </w:rPr>
        <w:tab/>
        <w:t>(a)</w:t>
      </w:r>
      <w:r>
        <w:rPr>
          <w:snapToGrid w:val="0"/>
        </w:rPr>
        <w:tab/>
        <w:t>to be — </w:t>
      </w:r>
    </w:p>
    <w:p w:rsidR="00425758" w:rsidRDefault="00425758">
      <w:pPr>
        <w:pStyle w:val="Indenti"/>
        <w:rPr>
          <w:snapToGrid w:val="0"/>
        </w:rPr>
      </w:pPr>
      <w:r>
        <w:rPr>
          <w:snapToGrid w:val="0"/>
        </w:rPr>
        <w:tab/>
        <w:t>(i)</w:t>
      </w:r>
      <w:r>
        <w:rPr>
          <w:snapToGrid w:val="0"/>
        </w:rPr>
        <w:tab/>
        <w:t>in bundles, files, folders or receptacles; and either</w:t>
      </w:r>
    </w:p>
    <w:p w:rsidR="00425758" w:rsidRDefault="00425758">
      <w:pPr>
        <w:pStyle w:val="Indenti"/>
        <w:rPr>
          <w:snapToGrid w:val="0"/>
        </w:rPr>
      </w:pPr>
      <w:r>
        <w:rPr>
          <w:snapToGrid w:val="0"/>
        </w:rPr>
        <w:lastRenderedPageBreak/>
        <w:tab/>
        <w:t>(ii)</w:t>
      </w:r>
      <w:r>
        <w:rPr>
          <w:snapToGrid w:val="0"/>
        </w:rPr>
        <w:tab/>
        <w:t>grouped according to topic, class, category, allegation in issue or otherwise; or</w:t>
      </w:r>
    </w:p>
    <w:p w:rsidR="00425758" w:rsidRDefault="00425758">
      <w:pPr>
        <w:pStyle w:val="Indenti"/>
        <w:rPr>
          <w:snapToGrid w:val="0"/>
        </w:rPr>
      </w:pPr>
      <w:r>
        <w:rPr>
          <w:snapToGrid w:val="0"/>
        </w:rPr>
        <w:tab/>
        <w:t>(iii)</w:t>
      </w:r>
      <w:r>
        <w:rPr>
          <w:snapToGrid w:val="0"/>
        </w:rPr>
        <w:tab/>
        <w:t>in an order or sequence,</w:t>
      </w:r>
    </w:p>
    <w:p w:rsidR="00425758" w:rsidRDefault="00425758">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rsidR="00425758" w:rsidRDefault="00425758">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rsidR="00425758" w:rsidRDefault="00425758">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rsidR="00425758" w:rsidRDefault="00425758">
      <w:pPr>
        <w:pStyle w:val="Indenta"/>
        <w:rPr>
          <w:snapToGrid w:val="0"/>
        </w:rPr>
      </w:pPr>
      <w:r>
        <w:rPr>
          <w:snapToGrid w:val="0"/>
        </w:rPr>
        <w:tab/>
        <w:t>(a)</w:t>
      </w:r>
      <w:r>
        <w:rPr>
          <w:snapToGrid w:val="0"/>
        </w:rPr>
        <w:tab/>
        <w:t>explain the arrangement used; and</w:t>
      </w:r>
    </w:p>
    <w:p w:rsidR="00425758" w:rsidRDefault="00425758">
      <w:pPr>
        <w:pStyle w:val="Indenta"/>
        <w:rPr>
          <w:snapToGrid w:val="0"/>
        </w:rPr>
      </w:pPr>
      <w:r>
        <w:rPr>
          <w:snapToGrid w:val="0"/>
        </w:rPr>
        <w:tab/>
        <w:t>(b)</w:t>
      </w:r>
      <w:r>
        <w:rPr>
          <w:snapToGrid w:val="0"/>
        </w:rPr>
        <w:tab/>
        <w:t>assist in locating and identifying particular documents or classes of documents.</w:t>
      </w:r>
    </w:p>
    <w:p w:rsidR="00425758" w:rsidRDefault="00425758">
      <w:pPr>
        <w:pStyle w:val="Subsection"/>
        <w:rPr>
          <w:snapToGrid w:val="0"/>
        </w:rPr>
      </w:pPr>
      <w:r>
        <w:rPr>
          <w:snapToGrid w:val="0"/>
        </w:rPr>
        <w:tab/>
        <w:t>(3)</w:t>
      </w:r>
      <w:r>
        <w:rPr>
          <w:snapToGrid w:val="0"/>
        </w:rPr>
        <w:tab/>
        <w:t>An existing arrangement of documents already in use by a party — </w:t>
      </w:r>
    </w:p>
    <w:p w:rsidR="00425758" w:rsidRDefault="00425758">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rsidR="00425758" w:rsidRDefault="00425758">
      <w:pPr>
        <w:pStyle w:val="Indenta"/>
        <w:rPr>
          <w:snapToGrid w:val="0"/>
        </w:rPr>
      </w:pPr>
      <w:r>
        <w:rPr>
          <w:snapToGrid w:val="0"/>
        </w:rPr>
        <w:tab/>
        <w:t>(b)</w:t>
      </w:r>
      <w:r>
        <w:rPr>
          <w:snapToGrid w:val="0"/>
        </w:rPr>
        <w:tab/>
        <w:t>if the party so requires, is not to be disturbed at all.</w:t>
      </w:r>
    </w:p>
    <w:p w:rsidR="00425758" w:rsidRDefault="00425758">
      <w:pPr>
        <w:pStyle w:val="Footnotesection"/>
      </w:pPr>
      <w:r>
        <w:tab/>
        <w:t>[Rule 8A inserted: Gazette 26 Aug 1994 p. 4411</w:t>
      </w:r>
      <w:r>
        <w:noBreakHyphen/>
        <w:t xml:space="preserve">12; amended: Gazette 28 Jun 2011 p. 2552.] </w:t>
      </w:r>
    </w:p>
    <w:p w:rsidR="00425758" w:rsidRDefault="00425758">
      <w:pPr>
        <w:pStyle w:val="Heading5"/>
        <w:rPr>
          <w:snapToGrid w:val="0"/>
        </w:rPr>
      </w:pPr>
      <w:bookmarkStart w:id="365" w:name="_Toc75863043"/>
      <w:r>
        <w:rPr>
          <w:rStyle w:val="CharSectno"/>
        </w:rPr>
        <w:t>9</w:t>
      </w:r>
      <w:r>
        <w:rPr>
          <w:snapToGrid w:val="0"/>
        </w:rPr>
        <w:t>.</w:t>
      </w:r>
      <w:r>
        <w:rPr>
          <w:snapToGrid w:val="0"/>
        </w:rPr>
        <w:tab/>
        <w:t>Order for inspection of documents</w:t>
      </w:r>
      <w:bookmarkEnd w:id="365"/>
    </w:p>
    <w:p w:rsidR="00425758" w:rsidRDefault="00425758">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rsidR="00425758" w:rsidRDefault="00425758">
      <w:pPr>
        <w:pStyle w:val="Indenta"/>
        <w:rPr>
          <w:snapToGrid w:val="0"/>
        </w:rPr>
      </w:pPr>
      <w:r>
        <w:rPr>
          <w:snapToGrid w:val="0"/>
        </w:rPr>
        <w:tab/>
        <w:t>(a)</w:t>
      </w:r>
      <w:r>
        <w:rPr>
          <w:snapToGrid w:val="0"/>
        </w:rPr>
        <w:tab/>
        <w:t>fails to serve the notice under rule 8(1) or as the case may be rule 8(3); or</w:t>
      </w:r>
    </w:p>
    <w:p w:rsidR="00425758" w:rsidRDefault="00425758">
      <w:pPr>
        <w:pStyle w:val="Indenta"/>
        <w:rPr>
          <w:snapToGrid w:val="0"/>
        </w:rPr>
      </w:pPr>
      <w:r>
        <w:rPr>
          <w:snapToGrid w:val="0"/>
        </w:rPr>
        <w:tab/>
        <w:t>(b)</w:t>
      </w:r>
      <w:r>
        <w:rPr>
          <w:snapToGrid w:val="0"/>
        </w:rPr>
        <w:tab/>
        <w:t>objects to produce any document for inspection; or</w:t>
      </w:r>
    </w:p>
    <w:p w:rsidR="00425758" w:rsidRDefault="00425758">
      <w:pPr>
        <w:pStyle w:val="Indenta"/>
        <w:keepNext/>
        <w:rPr>
          <w:snapToGrid w:val="0"/>
        </w:rPr>
      </w:pPr>
      <w:r>
        <w:rPr>
          <w:snapToGrid w:val="0"/>
        </w:rPr>
        <w:lastRenderedPageBreak/>
        <w:tab/>
        <w:t>(c)</w:t>
      </w:r>
      <w:r>
        <w:rPr>
          <w:snapToGrid w:val="0"/>
        </w:rPr>
        <w:tab/>
        <w:t>offers inspection at a time or place which in the opinion of the Court is unreasonable for such purpose,</w:t>
      </w:r>
    </w:p>
    <w:p w:rsidR="00425758" w:rsidRDefault="00425758">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rsidR="00425758" w:rsidRDefault="00425758">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rsidR="00425758" w:rsidRDefault="00425758">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rsidR="00425758" w:rsidRDefault="00425758">
      <w:pPr>
        <w:pStyle w:val="Footnotesection"/>
      </w:pPr>
      <w:r>
        <w:tab/>
        <w:t>[Rule 9 amended: Gazette 28 Jun 2011 p. 2552.]</w:t>
      </w:r>
    </w:p>
    <w:p w:rsidR="00425758" w:rsidRDefault="00425758">
      <w:pPr>
        <w:pStyle w:val="Heading5"/>
        <w:rPr>
          <w:snapToGrid w:val="0"/>
        </w:rPr>
      </w:pPr>
      <w:bookmarkStart w:id="366" w:name="_Toc75863044"/>
      <w:r>
        <w:rPr>
          <w:rStyle w:val="CharSectno"/>
        </w:rPr>
        <w:t>10</w:t>
      </w:r>
      <w:r>
        <w:rPr>
          <w:snapToGrid w:val="0"/>
        </w:rPr>
        <w:t>.</w:t>
      </w:r>
      <w:r>
        <w:rPr>
          <w:snapToGrid w:val="0"/>
        </w:rPr>
        <w:tab/>
        <w:t>Order for production to Court</w:t>
      </w:r>
      <w:bookmarkEnd w:id="366"/>
    </w:p>
    <w:p w:rsidR="00425758" w:rsidRDefault="00425758">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rsidR="00425758" w:rsidRDefault="00425758">
      <w:pPr>
        <w:pStyle w:val="Heading5"/>
        <w:rPr>
          <w:snapToGrid w:val="0"/>
        </w:rPr>
      </w:pPr>
      <w:bookmarkStart w:id="367" w:name="_Toc75863045"/>
      <w:r>
        <w:rPr>
          <w:rStyle w:val="CharSectno"/>
        </w:rPr>
        <w:t>11</w:t>
      </w:r>
      <w:r>
        <w:rPr>
          <w:snapToGrid w:val="0"/>
        </w:rPr>
        <w:t>.</w:t>
      </w:r>
      <w:r>
        <w:rPr>
          <w:snapToGrid w:val="0"/>
        </w:rPr>
        <w:tab/>
        <w:t>Order for production etc. only if necessary</w:t>
      </w:r>
      <w:bookmarkEnd w:id="367"/>
    </w:p>
    <w:p w:rsidR="00425758" w:rsidRDefault="00425758">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rsidR="00425758" w:rsidRDefault="00425758">
      <w:pPr>
        <w:pStyle w:val="Heading5"/>
        <w:rPr>
          <w:snapToGrid w:val="0"/>
        </w:rPr>
      </w:pPr>
      <w:bookmarkStart w:id="368" w:name="_Toc75863046"/>
      <w:r>
        <w:rPr>
          <w:rStyle w:val="CharSectno"/>
        </w:rPr>
        <w:lastRenderedPageBreak/>
        <w:t>11A</w:t>
      </w:r>
      <w:r>
        <w:rPr>
          <w:snapToGrid w:val="0"/>
        </w:rPr>
        <w:t>.</w:t>
      </w:r>
      <w:r>
        <w:rPr>
          <w:snapToGrid w:val="0"/>
        </w:rPr>
        <w:tab/>
        <w:t>Costs of preparing document to facilitate inspection</w:t>
      </w:r>
      <w:bookmarkEnd w:id="368"/>
      <w:r>
        <w:rPr>
          <w:snapToGrid w:val="0"/>
        </w:rPr>
        <w:t xml:space="preserve"> </w:t>
      </w:r>
    </w:p>
    <w:p w:rsidR="00425758" w:rsidRDefault="00425758">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rsidR="00425758" w:rsidRDefault="00425758">
      <w:pPr>
        <w:pStyle w:val="Footnotesection"/>
      </w:pPr>
      <w:r>
        <w:tab/>
        <w:t xml:space="preserve">[Rule 11A inserted: Gazette 5 Jun 1992 p. 2281.] </w:t>
      </w:r>
    </w:p>
    <w:p w:rsidR="00425758" w:rsidRDefault="00425758">
      <w:pPr>
        <w:pStyle w:val="Heading5"/>
        <w:rPr>
          <w:snapToGrid w:val="0"/>
        </w:rPr>
      </w:pPr>
      <w:bookmarkStart w:id="369" w:name="_Toc75863047"/>
      <w:r>
        <w:rPr>
          <w:rStyle w:val="CharSectno"/>
        </w:rPr>
        <w:t>12</w:t>
      </w:r>
      <w:r>
        <w:rPr>
          <w:snapToGrid w:val="0"/>
        </w:rPr>
        <w:t>.</w:t>
      </w:r>
      <w:r>
        <w:rPr>
          <w:snapToGrid w:val="0"/>
        </w:rPr>
        <w:tab/>
        <w:t>Claim of privilege</w:t>
      </w:r>
      <w:bookmarkEnd w:id="369"/>
    </w:p>
    <w:p w:rsidR="00425758" w:rsidRDefault="00425758">
      <w:pPr>
        <w:pStyle w:val="Subsection"/>
        <w:rPr>
          <w:snapToGrid w:val="0"/>
        </w:rPr>
      </w:pPr>
      <w:r>
        <w:rPr>
          <w:snapToGrid w:val="0"/>
        </w:rPr>
        <w:tab/>
        <w:t>(1)</w:t>
      </w:r>
      <w:r>
        <w:rPr>
          <w:snapToGrid w:val="0"/>
        </w:rPr>
        <w:tab/>
        <w:t>Where — </w:t>
      </w:r>
    </w:p>
    <w:p w:rsidR="00425758" w:rsidRDefault="00425758">
      <w:pPr>
        <w:pStyle w:val="Indenta"/>
        <w:rPr>
          <w:snapToGrid w:val="0"/>
        </w:rPr>
      </w:pPr>
      <w:r>
        <w:rPr>
          <w:snapToGrid w:val="0"/>
        </w:rPr>
        <w:tab/>
        <w:t>(a)</w:t>
      </w:r>
      <w:r>
        <w:rPr>
          <w:snapToGrid w:val="0"/>
        </w:rPr>
        <w:tab/>
        <w:t>on an application for production of a document for inspection or to the Court; or</w:t>
      </w:r>
    </w:p>
    <w:p w:rsidR="00425758" w:rsidRDefault="00425758">
      <w:pPr>
        <w:pStyle w:val="Indenta"/>
        <w:keepNext/>
        <w:rPr>
          <w:snapToGrid w:val="0"/>
        </w:rPr>
      </w:pPr>
      <w:r>
        <w:rPr>
          <w:snapToGrid w:val="0"/>
        </w:rPr>
        <w:tab/>
        <w:t>(b)</w:t>
      </w:r>
      <w:r>
        <w:rPr>
          <w:snapToGrid w:val="0"/>
        </w:rPr>
        <w:tab/>
        <w:t>in any list of documents supplied on discovery,</w:t>
      </w:r>
    </w:p>
    <w:p w:rsidR="00425758" w:rsidRDefault="00425758">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rsidR="00425758" w:rsidRDefault="00425758">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rsidR="00425758" w:rsidRDefault="00425758">
      <w:pPr>
        <w:pStyle w:val="Heading5"/>
        <w:rPr>
          <w:snapToGrid w:val="0"/>
        </w:rPr>
      </w:pPr>
      <w:bookmarkStart w:id="370" w:name="_Toc75863048"/>
      <w:r>
        <w:rPr>
          <w:rStyle w:val="CharSectno"/>
        </w:rPr>
        <w:t>13</w:t>
      </w:r>
      <w:r>
        <w:rPr>
          <w:snapToGrid w:val="0"/>
        </w:rPr>
        <w:t>.</w:t>
      </w:r>
      <w:r>
        <w:rPr>
          <w:snapToGrid w:val="0"/>
        </w:rPr>
        <w:tab/>
        <w:t>Inspection of copies of business books</w:t>
      </w:r>
      <w:bookmarkEnd w:id="370"/>
    </w:p>
    <w:p w:rsidR="00425758" w:rsidRDefault="00425758">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rsidR="00425758" w:rsidRDefault="00425758">
      <w:pPr>
        <w:pStyle w:val="Footnotesection"/>
      </w:pPr>
      <w:r>
        <w:tab/>
        <w:t xml:space="preserve">[Rule 13 amended: Gazette 14 Dec 1979 p. 3870.] </w:t>
      </w:r>
    </w:p>
    <w:p w:rsidR="00425758" w:rsidRDefault="00425758">
      <w:pPr>
        <w:pStyle w:val="Heading5"/>
        <w:rPr>
          <w:snapToGrid w:val="0"/>
        </w:rPr>
      </w:pPr>
      <w:bookmarkStart w:id="371" w:name="_Toc75863049"/>
      <w:r>
        <w:rPr>
          <w:rStyle w:val="CharSectno"/>
        </w:rPr>
        <w:lastRenderedPageBreak/>
        <w:t>14</w:t>
      </w:r>
      <w:r>
        <w:rPr>
          <w:snapToGrid w:val="0"/>
        </w:rPr>
        <w:t>.</w:t>
      </w:r>
      <w:r>
        <w:rPr>
          <w:snapToGrid w:val="0"/>
        </w:rPr>
        <w:tab/>
        <w:t>Public interest immunity not affected</w:t>
      </w:r>
      <w:bookmarkEnd w:id="371"/>
    </w:p>
    <w:p w:rsidR="00425758" w:rsidRDefault="00425758">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rsidR="00425758" w:rsidRDefault="00425758">
      <w:pPr>
        <w:pStyle w:val="Heading5"/>
        <w:rPr>
          <w:snapToGrid w:val="0"/>
        </w:rPr>
      </w:pPr>
      <w:bookmarkStart w:id="372" w:name="_Toc75863050"/>
      <w:r>
        <w:rPr>
          <w:rStyle w:val="CharSectno"/>
        </w:rPr>
        <w:t>15</w:t>
      </w:r>
      <w:r>
        <w:rPr>
          <w:snapToGrid w:val="0"/>
        </w:rPr>
        <w:t>.</w:t>
      </w:r>
      <w:r>
        <w:rPr>
          <w:snapToGrid w:val="0"/>
        </w:rPr>
        <w:tab/>
        <w:t>Non</w:t>
      </w:r>
      <w:r>
        <w:rPr>
          <w:snapToGrid w:val="0"/>
        </w:rPr>
        <w:noBreakHyphen/>
        <w:t>compliance with requirements for discovery etc.</w:t>
      </w:r>
      <w:bookmarkEnd w:id="372"/>
    </w:p>
    <w:p w:rsidR="00425758" w:rsidRDefault="00425758">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rsidR="00425758" w:rsidRDefault="00425758">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rsidR="00425758" w:rsidRDefault="00425758">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rsidR="00425758" w:rsidRDefault="00425758">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rsidR="00425758" w:rsidRDefault="00425758">
      <w:pPr>
        <w:pStyle w:val="Footnotesection"/>
      </w:pPr>
      <w:r>
        <w:tab/>
        <w:t xml:space="preserve">[Rule 15 amended: Gazette 28 Oct 1996 p. 5678; 21 Feb 2007 p. 536; 28 Jun 2011 p. 2552.] </w:t>
      </w:r>
    </w:p>
    <w:p w:rsidR="00425758" w:rsidRDefault="00425758">
      <w:pPr>
        <w:pStyle w:val="Ednotesection"/>
      </w:pPr>
      <w:r>
        <w:t>[</w:t>
      </w:r>
      <w:r>
        <w:rPr>
          <w:b/>
          <w:bCs/>
        </w:rPr>
        <w:t>15A.</w:t>
      </w:r>
      <w:r>
        <w:tab/>
        <w:t>Deleted: Gazette 28 Jul 2010 p. 3471.]</w:t>
      </w:r>
    </w:p>
    <w:p w:rsidR="00425758" w:rsidRDefault="00425758">
      <w:pPr>
        <w:pStyle w:val="Heading5"/>
      </w:pPr>
      <w:bookmarkStart w:id="373" w:name="_Toc75863051"/>
      <w:r>
        <w:rPr>
          <w:rStyle w:val="CharSectno"/>
        </w:rPr>
        <w:lastRenderedPageBreak/>
        <w:t>16A</w:t>
      </w:r>
      <w:r>
        <w:t>.</w:t>
      </w:r>
      <w:r>
        <w:tab/>
        <w:t>Certificate by practitioner</w:t>
      </w:r>
      <w:bookmarkEnd w:id="373"/>
    </w:p>
    <w:p w:rsidR="00425758" w:rsidRDefault="00425758">
      <w:pPr>
        <w:pStyle w:val="Subsection"/>
      </w:pPr>
      <w:r>
        <w:tab/>
      </w:r>
      <w:r>
        <w:tab/>
        <w:t>The practitioner of a party giving discovery must —</w:t>
      </w:r>
    </w:p>
    <w:p w:rsidR="00425758" w:rsidRDefault="00425758">
      <w:pPr>
        <w:pStyle w:val="Indenta"/>
      </w:pPr>
      <w:r>
        <w:tab/>
        <w:t>(a)</w:t>
      </w:r>
      <w:r>
        <w:tab/>
        <w:t xml:space="preserve">sign a certificate addressed to the Court that — </w:t>
      </w:r>
    </w:p>
    <w:p w:rsidR="00425758" w:rsidRDefault="00425758">
      <w:pPr>
        <w:pStyle w:val="Indenti"/>
      </w:pPr>
      <w:r>
        <w:tab/>
        <w:t>(i)</w:t>
      </w:r>
      <w:r>
        <w:tab/>
        <w:t>states that the duty of discovery has been fully explained to the party; and</w:t>
      </w:r>
    </w:p>
    <w:p w:rsidR="00425758" w:rsidRDefault="00425758">
      <w:pPr>
        <w:pStyle w:val="Indenti"/>
      </w:pPr>
      <w:r>
        <w:tab/>
        <w:t>(ii)</w:t>
      </w:r>
      <w:r>
        <w:tab/>
        <w:t>if the party is a corporation, identifies the individual, or individuals, to whom the duty was explained;</w:t>
      </w:r>
    </w:p>
    <w:p w:rsidR="00425758" w:rsidRDefault="00425758">
      <w:pPr>
        <w:pStyle w:val="Indenta"/>
      </w:pPr>
      <w:r>
        <w:tab/>
      </w:r>
      <w:r>
        <w:tab/>
        <w:t>and</w:t>
      </w:r>
    </w:p>
    <w:p w:rsidR="00425758" w:rsidRDefault="00425758">
      <w:pPr>
        <w:pStyle w:val="Indenta"/>
      </w:pPr>
      <w:r>
        <w:tab/>
        <w:t>(b)</w:t>
      </w:r>
      <w:r>
        <w:tab/>
        <w:t>file the certificate when or immediately after the party’s list of documents is served.</w:t>
      </w:r>
    </w:p>
    <w:p w:rsidR="00425758" w:rsidRDefault="00425758">
      <w:pPr>
        <w:pStyle w:val="Footnotesection"/>
      </w:pPr>
      <w:r>
        <w:tab/>
        <w:t>[Rule 16A inserted: Gazette 28 Jul 2010 p. 3471.]</w:t>
      </w:r>
    </w:p>
    <w:p w:rsidR="00425758" w:rsidRDefault="00425758">
      <w:pPr>
        <w:pStyle w:val="Heading5"/>
        <w:rPr>
          <w:snapToGrid w:val="0"/>
        </w:rPr>
      </w:pPr>
      <w:bookmarkStart w:id="374" w:name="_Toc75863052"/>
      <w:r>
        <w:rPr>
          <w:rStyle w:val="CharSectno"/>
        </w:rPr>
        <w:t>16</w:t>
      </w:r>
      <w:r>
        <w:rPr>
          <w:snapToGrid w:val="0"/>
        </w:rPr>
        <w:t>.</w:t>
      </w:r>
      <w:r>
        <w:rPr>
          <w:snapToGrid w:val="0"/>
        </w:rPr>
        <w:tab/>
        <w:t>Revocation and variation of orders</w:t>
      </w:r>
      <w:bookmarkEnd w:id="374"/>
    </w:p>
    <w:p w:rsidR="00425758" w:rsidRDefault="00425758">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rsidR="00425758" w:rsidRDefault="00425758">
      <w:pPr>
        <w:pStyle w:val="Heading2"/>
        <w:rPr>
          <w:b w:val="0"/>
        </w:rPr>
      </w:pPr>
      <w:bookmarkStart w:id="375" w:name="_Toc75511957"/>
      <w:bookmarkStart w:id="376" w:name="_Toc75863053"/>
      <w:r>
        <w:rPr>
          <w:rStyle w:val="CharPartNo"/>
        </w:rPr>
        <w:lastRenderedPageBreak/>
        <w:t>Order 26A</w:t>
      </w:r>
      <w:r>
        <w:t> — </w:t>
      </w:r>
      <w:r>
        <w:rPr>
          <w:rStyle w:val="CharPartText"/>
        </w:rPr>
        <w:t>Discovery etc. from non</w:t>
      </w:r>
      <w:r>
        <w:rPr>
          <w:rStyle w:val="CharPartText"/>
        </w:rPr>
        <w:noBreakHyphen/>
        <w:t>parties and potential parties</w:t>
      </w:r>
      <w:bookmarkEnd w:id="375"/>
      <w:bookmarkEnd w:id="376"/>
      <w:r>
        <w:rPr>
          <w:b w:val="0"/>
        </w:rPr>
        <w:t xml:space="preserve"> </w:t>
      </w:r>
    </w:p>
    <w:p w:rsidR="00425758" w:rsidRDefault="00425758">
      <w:pPr>
        <w:pStyle w:val="Footnoteheading"/>
        <w:ind w:left="890"/>
        <w:rPr>
          <w:snapToGrid w:val="0"/>
        </w:rPr>
      </w:pPr>
      <w:r>
        <w:rPr>
          <w:snapToGrid w:val="0"/>
        </w:rPr>
        <w:tab/>
        <w:t xml:space="preserve">[Heading inserted: Gazette 28 Oct 1996 p. 5678.] </w:t>
      </w:r>
    </w:p>
    <w:p w:rsidR="00425758" w:rsidRDefault="00425758">
      <w:pPr>
        <w:pStyle w:val="Heading5"/>
        <w:rPr>
          <w:snapToGrid w:val="0"/>
        </w:rPr>
      </w:pPr>
      <w:bookmarkStart w:id="377" w:name="_Toc75863054"/>
      <w:r>
        <w:rPr>
          <w:rStyle w:val="CharSectno"/>
        </w:rPr>
        <w:t>1</w:t>
      </w:r>
      <w:r>
        <w:rPr>
          <w:snapToGrid w:val="0"/>
        </w:rPr>
        <w:t>.</w:t>
      </w:r>
      <w:r>
        <w:rPr>
          <w:snapToGrid w:val="0"/>
        </w:rPr>
        <w:tab/>
        <w:t>Terms used</w:t>
      </w:r>
      <w:bookmarkEnd w:id="377"/>
    </w:p>
    <w:p w:rsidR="00425758" w:rsidRDefault="00425758">
      <w:pPr>
        <w:pStyle w:val="Subsection"/>
        <w:rPr>
          <w:snapToGrid w:val="0"/>
        </w:rPr>
      </w:pPr>
      <w:r>
        <w:rPr>
          <w:snapToGrid w:val="0"/>
        </w:rPr>
        <w:tab/>
      </w:r>
      <w:r>
        <w:rPr>
          <w:snapToGrid w:val="0"/>
        </w:rPr>
        <w:tab/>
        <w:t>In this Order, unless the contrary intention appears — </w:t>
      </w:r>
    </w:p>
    <w:p w:rsidR="00425758" w:rsidRDefault="00425758">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rsidR="00425758" w:rsidRDefault="00425758">
      <w:pPr>
        <w:pStyle w:val="Defstart"/>
      </w:pPr>
      <w:r>
        <w:rPr>
          <w:b/>
        </w:rPr>
        <w:tab/>
      </w:r>
      <w:r>
        <w:rPr>
          <w:rStyle w:val="CharDefText"/>
        </w:rPr>
        <w:t>document</w:t>
      </w:r>
      <w:r>
        <w:t xml:space="preserve"> has the same definition as in Order 26 rule 1A;</w:t>
      </w:r>
    </w:p>
    <w:p w:rsidR="00425758" w:rsidRDefault="00425758">
      <w:pPr>
        <w:pStyle w:val="Defstart"/>
      </w:pPr>
      <w:r>
        <w:rPr>
          <w:b/>
        </w:rPr>
        <w:tab/>
      </w:r>
      <w:r>
        <w:rPr>
          <w:rStyle w:val="CharDefText"/>
        </w:rPr>
        <w:t>possession</w:t>
      </w:r>
      <w:r>
        <w:t xml:space="preserve"> includes custody or power.</w:t>
      </w:r>
    </w:p>
    <w:p w:rsidR="00425758" w:rsidRDefault="00425758">
      <w:pPr>
        <w:pStyle w:val="Footnotesection"/>
      </w:pPr>
      <w:r>
        <w:tab/>
        <w:t xml:space="preserve">[Rule 1 inserted: Gazette 28 Oct 1996 p. 5678.] </w:t>
      </w:r>
    </w:p>
    <w:p w:rsidR="00425758" w:rsidRDefault="00425758">
      <w:pPr>
        <w:pStyle w:val="Heading5"/>
        <w:rPr>
          <w:snapToGrid w:val="0"/>
        </w:rPr>
      </w:pPr>
      <w:bookmarkStart w:id="378" w:name="_Toc75863055"/>
      <w:r>
        <w:rPr>
          <w:rStyle w:val="CharSectno"/>
        </w:rPr>
        <w:t>2</w:t>
      </w:r>
      <w:r>
        <w:rPr>
          <w:snapToGrid w:val="0"/>
        </w:rPr>
        <w:t>.</w:t>
      </w:r>
      <w:r>
        <w:rPr>
          <w:snapToGrid w:val="0"/>
        </w:rPr>
        <w:tab/>
        <w:t>Public interest immunity not affected</w:t>
      </w:r>
      <w:bookmarkEnd w:id="378"/>
      <w:r>
        <w:rPr>
          <w:snapToGrid w:val="0"/>
        </w:rPr>
        <w:t xml:space="preserve"> </w:t>
      </w:r>
    </w:p>
    <w:p w:rsidR="00425758" w:rsidRDefault="00425758">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rsidR="00425758" w:rsidRDefault="00425758">
      <w:pPr>
        <w:pStyle w:val="Footnotesection"/>
      </w:pPr>
      <w:r>
        <w:tab/>
        <w:t xml:space="preserve">[Rule 2 inserted: Gazette 28 Oct 1996 p. 5679.] </w:t>
      </w:r>
    </w:p>
    <w:p w:rsidR="00425758" w:rsidRDefault="00425758">
      <w:pPr>
        <w:pStyle w:val="Heading5"/>
        <w:rPr>
          <w:snapToGrid w:val="0"/>
        </w:rPr>
      </w:pPr>
      <w:bookmarkStart w:id="379" w:name="_Toc75863056"/>
      <w:r>
        <w:rPr>
          <w:rStyle w:val="CharSectno"/>
        </w:rPr>
        <w:t>3</w:t>
      </w:r>
      <w:r>
        <w:rPr>
          <w:snapToGrid w:val="0"/>
        </w:rPr>
        <w:t>.</w:t>
      </w:r>
      <w:r>
        <w:rPr>
          <w:snapToGrid w:val="0"/>
        </w:rPr>
        <w:tab/>
        <w:t>Discovery etc. to identify a potential party</w:t>
      </w:r>
      <w:bookmarkEnd w:id="379"/>
      <w:r>
        <w:rPr>
          <w:snapToGrid w:val="0"/>
        </w:rPr>
        <w:t xml:space="preserve"> </w:t>
      </w:r>
    </w:p>
    <w:p w:rsidR="00425758" w:rsidRDefault="00425758">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rsidR="00425758" w:rsidRDefault="00425758">
      <w:pPr>
        <w:pStyle w:val="Indenta"/>
        <w:rPr>
          <w:snapToGrid w:val="0"/>
        </w:rPr>
      </w:pPr>
      <w:r>
        <w:rPr>
          <w:snapToGrid w:val="0"/>
        </w:rPr>
        <w:tab/>
        <w:t>(a)</w:t>
      </w:r>
      <w:r>
        <w:rPr>
          <w:snapToGrid w:val="0"/>
        </w:rPr>
        <w:tab/>
        <w:t>to commence proceedings against the potential party; or</w:t>
      </w:r>
    </w:p>
    <w:p w:rsidR="00425758" w:rsidRDefault="00425758">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rsidR="00425758" w:rsidRDefault="00425758">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rsidR="00425758" w:rsidRDefault="00425758">
      <w:pPr>
        <w:pStyle w:val="Subsection"/>
        <w:keepLines/>
        <w:rPr>
          <w:snapToGrid w:val="0"/>
        </w:rPr>
      </w:pPr>
      <w:r>
        <w:rPr>
          <w:snapToGrid w:val="0"/>
        </w:rPr>
        <w:lastRenderedPageBreak/>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rsidR="00425758" w:rsidRDefault="00425758">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rsidR="00425758" w:rsidRDefault="00425758">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rsidR="00425758" w:rsidRDefault="00425758">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rsidR="00425758" w:rsidRDefault="00425758">
      <w:pPr>
        <w:pStyle w:val="Indenta"/>
        <w:rPr>
          <w:snapToGrid w:val="0"/>
        </w:rPr>
      </w:pPr>
      <w:r>
        <w:rPr>
          <w:snapToGrid w:val="0"/>
        </w:rPr>
        <w:tab/>
        <w:t>(b)</w:t>
      </w:r>
      <w:r>
        <w:rPr>
          <w:snapToGrid w:val="0"/>
        </w:rPr>
        <w:tab/>
        <w:t>to personally attend the Court to be examined in relation to the description of the potential party.</w:t>
      </w:r>
    </w:p>
    <w:p w:rsidR="00425758" w:rsidRDefault="00425758">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rsidR="00425758" w:rsidRDefault="00425758">
      <w:pPr>
        <w:pStyle w:val="Subsection"/>
        <w:rPr>
          <w:snapToGrid w:val="0"/>
        </w:rPr>
      </w:pPr>
      <w:r>
        <w:rPr>
          <w:snapToGrid w:val="0"/>
        </w:rPr>
        <w:tab/>
        <w:t>(6)</w:t>
      </w:r>
      <w:r>
        <w:rPr>
          <w:snapToGrid w:val="0"/>
        </w:rPr>
        <w:tab/>
        <w:t>The Court may direct that the examination of the person be by a registrar.</w:t>
      </w:r>
    </w:p>
    <w:p w:rsidR="00425758" w:rsidRDefault="00425758">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rsidR="00425758" w:rsidRDefault="00425758">
      <w:pPr>
        <w:pStyle w:val="Footnotesection"/>
      </w:pPr>
      <w:r>
        <w:tab/>
        <w:t>[Rule 3 inserted: Gazette 28 Oct 1996 p. 5679</w:t>
      </w:r>
      <w:r>
        <w:noBreakHyphen/>
        <w:t xml:space="preserve">80.] </w:t>
      </w:r>
    </w:p>
    <w:p w:rsidR="00425758" w:rsidRDefault="00425758">
      <w:pPr>
        <w:pStyle w:val="Heading5"/>
        <w:rPr>
          <w:snapToGrid w:val="0"/>
        </w:rPr>
      </w:pPr>
      <w:bookmarkStart w:id="380" w:name="_Toc75863057"/>
      <w:r>
        <w:rPr>
          <w:rStyle w:val="CharSectno"/>
        </w:rPr>
        <w:t>4</w:t>
      </w:r>
      <w:r>
        <w:rPr>
          <w:snapToGrid w:val="0"/>
        </w:rPr>
        <w:t>.</w:t>
      </w:r>
      <w:r>
        <w:rPr>
          <w:snapToGrid w:val="0"/>
        </w:rPr>
        <w:tab/>
        <w:t>Discovery from potential party</w:t>
      </w:r>
      <w:bookmarkEnd w:id="380"/>
      <w:r>
        <w:rPr>
          <w:snapToGrid w:val="0"/>
        </w:rPr>
        <w:t xml:space="preserve"> </w:t>
      </w:r>
    </w:p>
    <w:p w:rsidR="00425758" w:rsidRDefault="00425758">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rsidR="00425758" w:rsidRDefault="00425758">
      <w:pPr>
        <w:pStyle w:val="Indenta"/>
        <w:rPr>
          <w:snapToGrid w:val="0"/>
        </w:rPr>
      </w:pPr>
      <w:r>
        <w:rPr>
          <w:snapToGrid w:val="0"/>
        </w:rPr>
        <w:tab/>
        <w:t>(a)</w:t>
      </w:r>
      <w:r>
        <w:rPr>
          <w:snapToGrid w:val="0"/>
        </w:rPr>
        <w:tab/>
        <w:t>to commence proceedings against the potential party; or</w:t>
      </w:r>
    </w:p>
    <w:p w:rsidR="00425758" w:rsidRDefault="00425758">
      <w:pPr>
        <w:pStyle w:val="Indenta"/>
        <w:keepNext/>
        <w:keepLines/>
        <w:rPr>
          <w:snapToGrid w:val="0"/>
        </w:rPr>
      </w:pPr>
      <w:r>
        <w:rPr>
          <w:snapToGrid w:val="0"/>
        </w:rPr>
        <w:lastRenderedPageBreak/>
        <w:tab/>
        <w:t>(b)</w:t>
      </w:r>
      <w:r>
        <w:rPr>
          <w:snapToGrid w:val="0"/>
        </w:rPr>
        <w:tab/>
        <w:t>to take proceedings against the potential party in the course of an action to which the person is a party,</w:t>
      </w:r>
    </w:p>
    <w:p w:rsidR="00425758" w:rsidRDefault="00425758">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rsidR="00425758" w:rsidRDefault="00425758">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rsidR="00425758" w:rsidRDefault="00425758">
      <w:pPr>
        <w:pStyle w:val="Subsection"/>
        <w:rPr>
          <w:snapToGrid w:val="0"/>
        </w:rPr>
      </w:pPr>
      <w:r>
        <w:rPr>
          <w:snapToGrid w:val="0"/>
        </w:rPr>
        <w:tab/>
        <w:t>(3)</w:t>
      </w:r>
      <w:r>
        <w:rPr>
          <w:snapToGrid w:val="0"/>
        </w:rPr>
        <w:tab/>
        <w:t>The application shall be supported by an affidavit and a copy of both shall be served on the potential party.</w:t>
      </w:r>
    </w:p>
    <w:p w:rsidR="00425758" w:rsidRDefault="00425758">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rsidR="00425758" w:rsidRDefault="00425758">
      <w:pPr>
        <w:pStyle w:val="Footnotesection"/>
      </w:pPr>
      <w:r>
        <w:tab/>
        <w:t xml:space="preserve">[Rule 4 inserted: Gazette 28 Oct 1996 p. 5680.] </w:t>
      </w:r>
    </w:p>
    <w:p w:rsidR="00425758" w:rsidRDefault="00425758">
      <w:pPr>
        <w:pStyle w:val="Heading5"/>
        <w:rPr>
          <w:snapToGrid w:val="0"/>
        </w:rPr>
      </w:pPr>
      <w:bookmarkStart w:id="381" w:name="_Toc75863058"/>
      <w:r>
        <w:rPr>
          <w:rStyle w:val="CharSectno"/>
        </w:rPr>
        <w:t>5</w:t>
      </w:r>
      <w:r>
        <w:rPr>
          <w:snapToGrid w:val="0"/>
        </w:rPr>
        <w:t>.</w:t>
      </w:r>
      <w:r>
        <w:rPr>
          <w:snapToGrid w:val="0"/>
        </w:rPr>
        <w:tab/>
        <w:t>Discovery from non</w:t>
      </w:r>
      <w:r>
        <w:rPr>
          <w:snapToGrid w:val="0"/>
        </w:rPr>
        <w:noBreakHyphen/>
        <w:t>party</w:t>
      </w:r>
      <w:bookmarkEnd w:id="381"/>
      <w:r>
        <w:rPr>
          <w:snapToGrid w:val="0"/>
        </w:rPr>
        <w:t xml:space="preserve"> </w:t>
      </w:r>
    </w:p>
    <w:p w:rsidR="00425758" w:rsidRDefault="00425758">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rsidR="00425758" w:rsidRDefault="00425758">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rsidR="00425758" w:rsidRDefault="00425758">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rsidR="00425758" w:rsidRDefault="00425758">
      <w:pPr>
        <w:pStyle w:val="Footnotesection"/>
      </w:pPr>
      <w:r>
        <w:tab/>
        <w:t>[Rule 5 inserted: Gazette 28 Oct 1996 p. 5680</w:t>
      </w:r>
      <w:r>
        <w:noBreakHyphen/>
        <w:t xml:space="preserve">1.] </w:t>
      </w:r>
    </w:p>
    <w:p w:rsidR="00425758" w:rsidRDefault="00425758">
      <w:pPr>
        <w:pStyle w:val="Heading5"/>
        <w:rPr>
          <w:snapToGrid w:val="0"/>
        </w:rPr>
      </w:pPr>
      <w:bookmarkStart w:id="382" w:name="_Toc75863059"/>
      <w:r>
        <w:rPr>
          <w:rStyle w:val="CharSectno"/>
        </w:rPr>
        <w:lastRenderedPageBreak/>
        <w:t>6</w:t>
      </w:r>
      <w:r>
        <w:rPr>
          <w:snapToGrid w:val="0"/>
        </w:rPr>
        <w:t>.</w:t>
      </w:r>
      <w:r>
        <w:rPr>
          <w:snapToGrid w:val="0"/>
        </w:rPr>
        <w:tab/>
        <w:t>Order 26 applies to discovery ordered under this Order</w:t>
      </w:r>
      <w:bookmarkEnd w:id="382"/>
      <w:r>
        <w:rPr>
          <w:snapToGrid w:val="0"/>
        </w:rPr>
        <w:t xml:space="preserve"> </w:t>
      </w:r>
    </w:p>
    <w:p w:rsidR="00425758" w:rsidRDefault="00425758">
      <w:pPr>
        <w:pStyle w:val="Subsection"/>
        <w:rPr>
          <w:snapToGrid w:val="0"/>
        </w:rPr>
      </w:pPr>
      <w:r>
        <w:rPr>
          <w:snapToGrid w:val="0"/>
        </w:rPr>
        <w:tab/>
        <w:t>(1)</w:t>
      </w:r>
      <w:r>
        <w:rPr>
          <w:snapToGrid w:val="0"/>
        </w:rPr>
        <w:tab/>
        <w:t>A court making an order for discovery under this Order may exercise any of the powers in Order 26 rule 7(3).</w:t>
      </w:r>
    </w:p>
    <w:p w:rsidR="00425758" w:rsidRDefault="00425758">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rsidR="00425758" w:rsidRDefault="00425758">
      <w:pPr>
        <w:pStyle w:val="Footnotesection"/>
      </w:pPr>
      <w:r>
        <w:tab/>
        <w:t xml:space="preserve">[Rule 6 inserted: Gazette 28 Oct 1996 p. 5681.] </w:t>
      </w:r>
    </w:p>
    <w:p w:rsidR="00425758" w:rsidRDefault="00425758">
      <w:pPr>
        <w:pStyle w:val="Heading5"/>
        <w:rPr>
          <w:snapToGrid w:val="0"/>
        </w:rPr>
      </w:pPr>
      <w:bookmarkStart w:id="383" w:name="_Toc75863060"/>
      <w:r>
        <w:rPr>
          <w:rStyle w:val="CharSectno"/>
        </w:rPr>
        <w:t>7</w:t>
      </w:r>
      <w:r>
        <w:rPr>
          <w:snapToGrid w:val="0"/>
        </w:rPr>
        <w:t>.</w:t>
      </w:r>
      <w:r>
        <w:rPr>
          <w:snapToGrid w:val="0"/>
        </w:rPr>
        <w:tab/>
        <w:t>Costs</w:t>
      </w:r>
      <w:bookmarkEnd w:id="383"/>
      <w:r>
        <w:rPr>
          <w:snapToGrid w:val="0"/>
        </w:rPr>
        <w:t xml:space="preserve"> </w:t>
      </w:r>
    </w:p>
    <w:p w:rsidR="00425758" w:rsidRDefault="00425758">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rsidR="00425758" w:rsidRDefault="00425758">
      <w:pPr>
        <w:pStyle w:val="Subsection"/>
        <w:rPr>
          <w:snapToGrid w:val="0"/>
        </w:rPr>
      </w:pPr>
      <w:r>
        <w:rPr>
          <w:snapToGrid w:val="0"/>
        </w:rPr>
        <w:tab/>
        <w:t>(2)</w:t>
      </w:r>
      <w:r>
        <w:rPr>
          <w:snapToGrid w:val="0"/>
        </w:rPr>
        <w:tab/>
        <w:t>On an application under this Order the Court may make orders as to the costs and expenses — </w:t>
      </w:r>
    </w:p>
    <w:p w:rsidR="00425758" w:rsidRDefault="00425758">
      <w:pPr>
        <w:pStyle w:val="Indenta"/>
        <w:rPr>
          <w:snapToGrid w:val="0"/>
        </w:rPr>
      </w:pPr>
      <w:r>
        <w:rPr>
          <w:snapToGrid w:val="0"/>
        </w:rPr>
        <w:tab/>
        <w:t>(a)</w:t>
      </w:r>
      <w:r>
        <w:rPr>
          <w:snapToGrid w:val="0"/>
        </w:rPr>
        <w:tab/>
        <w:t>of any person in respect of the application; and</w:t>
      </w:r>
    </w:p>
    <w:p w:rsidR="00425758" w:rsidRDefault="00425758">
      <w:pPr>
        <w:pStyle w:val="Indenta"/>
        <w:rPr>
          <w:snapToGrid w:val="0"/>
        </w:rPr>
      </w:pPr>
      <w:r>
        <w:rPr>
          <w:snapToGrid w:val="0"/>
        </w:rPr>
        <w:tab/>
        <w:t>(b)</w:t>
      </w:r>
      <w:r>
        <w:rPr>
          <w:snapToGrid w:val="0"/>
        </w:rPr>
        <w:tab/>
        <w:t>of a person against whom an order is made in respect of complying with the order and with this Order.</w:t>
      </w:r>
    </w:p>
    <w:p w:rsidR="00425758" w:rsidRDefault="00425758">
      <w:pPr>
        <w:pStyle w:val="Footnotesection"/>
      </w:pPr>
      <w:r>
        <w:tab/>
        <w:t xml:space="preserve">[Rule 7 inserted: Gazette 28 Oct 1996 p. 5681.] </w:t>
      </w:r>
    </w:p>
    <w:p w:rsidR="00425758" w:rsidRDefault="00425758">
      <w:pPr>
        <w:pStyle w:val="Heading5"/>
      </w:pPr>
      <w:bookmarkStart w:id="384" w:name="_Toc75863061"/>
      <w:r>
        <w:rPr>
          <w:rStyle w:val="CharSectno"/>
        </w:rPr>
        <w:t>8</w:t>
      </w:r>
      <w:r>
        <w:t>.</w:t>
      </w:r>
      <w:r>
        <w:tab/>
        <w:t>Certificate by practitioner for non</w:t>
      </w:r>
      <w:r>
        <w:noBreakHyphen/>
        <w:t>party or potential party</w:t>
      </w:r>
      <w:bookmarkEnd w:id="384"/>
    </w:p>
    <w:p w:rsidR="00425758" w:rsidRDefault="00425758">
      <w:pPr>
        <w:pStyle w:val="Subsection"/>
      </w:pPr>
      <w:r>
        <w:tab/>
        <w:t>(1)</w:t>
      </w:r>
      <w:r>
        <w:tab/>
        <w:t>This rule applies to these practitioners —</w:t>
      </w:r>
    </w:p>
    <w:p w:rsidR="00425758" w:rsidRDefault="00425758">
      <w:pPr>
        <w:pStyle w:val="Indenta"/>
      </w:pPr>
      <w:r>
        <w:tab/>
        <w:t>(a)</w:t>
      </w:r>
      <w:r>
        <w:tab/>
        <w:t>the practitioner (if any) who drafts the list of documents, or the affidavit verifying the list, for a non</w:t>
      </w:r>
      <w:r>
        <w:noBreakHyphen/>
        <w:t>party who has been ordered under rule 3 or 5 to give discovery;</w:t>
      </w:r>
    </w:p>
    <w:p w:rsidR="00425758" w:rsidRDefault="00425758">
      <w:pPr>
        <w:pStyle w:val="Indenta"/>
      </w:pPr>
      <w:r>
        <w:tab/>
        <w:t>(b)</w:t>
      </w:r>
      <w:r>
        <w:tab/>
        <w:t>the practitioner (if any) who drafts the list of documents, or the affidavit verifying the list, for a potential party who has been ordered under rule 4 to give discovery.</w:t>
      </w:r>
    </w:p>
    <w:p w:rsidR="00425758" w:rsidRDefault="00425758">
      <w:pPr>
        <w:pStyle w:val="Subsection"/>
      </w:pPr>
      <w:r>
        <w:tab/>
        <w:t>(2)</w:t>
      </w:r>
      <w:r>
        <w:tab/>
        <w:t>This rule does not limit the operation of rule 6(2).</w:t>
      </w:r>
    </w:p>
    <w:p w:rsidR="00425758" w:rsidRDefault="00425758">
      <w:pPr>
        <w:pStyle w:val="Subsection"/>
        <w:keepNext/>
      </w:pPr>
      <w:r>
        <w:lastRenderedPageBreak/>
        <w:tab/>
        <w:t>(3)</w:t>
      </w:r>
      <w:r>
        <w:tab/>
        <w:t>A practitioner to whom this rule applies must —</w:t>
      </w:r>
    </w:p>
    <w:p w:rsidR="00425758" w:rsidRDefault="00425758">
      <w:pPr>
        <w:pStyle w:val="Indenta"/>
        <w:keepNext/>
      </w:pPr>
      <w:r>
        <w:tab/>
        <w:t>(a)</w:t>
      </w:r>
      <w:r>
        <w:tab/>
        <w:t xml:space="preserve">sign a certificate addressed to the Court that — </w:t>
      </w:r>
    </w:p>
    <w:p w:rsidR="00425758" w:rsidRDefault="00425758">
      <w:pPr>
        <w:pStyle w:val="Indenti"/>
      </w:pPr>
      <w:r>
        <w:tab/>
        <w:t>(i)</w:t>
      </w:r>
      <w:r>
        <w:tab/>
        <w:t>states that the duty of discovery has been fully explained to the non</w:t>
      </w:r>
      <w:r>
        <w:noBreakHyphen/>
        <w:t>party or potential party (as the case requires); and</w:t>
      </w:r>
    </w:p>
    <w:p w:rsidR="00425758" w:rsidRDefault="00425758">
      <w:pPr>
        <w:pStyle w:val="Indenti"/>
      </w:pPr>
      <w:r>
        <w:tab/>
        <w:t>(ii)</w:t>
      </w:r>
      <w:r>
        <w:tab/>
        <w:t>if that party is a corporation, identifies the individual, or individuals, to whom the duty was explained;</w:t>
      </w:r>
    </w:p>
    <w:p w:rsidR="00425758" w:rsidRDefault="00425758">
      <w:pPr>
        <w:pStyle w:val="Indenta"/>
      </w:pPr>
      <w:r>
        <w:tab/>
      </w:r>
      <w:r>
        <w:tab/>
        <w:t>and</w:t>
      </w:r>
    </w:p>
    <w:p w:rsidR="00425758" w:rsidRDefault="00425758">
      <w:pPr>
        <w:pStyle w:val="Indenta"/>
      </w:pPr>
      <w:r>
        <w:tab/>
        <w:t>(b)</w:t>
      </w:r>
      <w:r>
        <w:tab/>
        <w:t>file the certificate when or immediately after the list of documents is served.</w:t>
      </w:r>
    </w:p>
    <w:p w:rsidR="00425758" w:rsidRDefault="00425758">
      <w:pPr>
        <w:pStyle w:val="Footnotesection"/>
      </w:pPr>
      <w:r>
        <w:tab/>
        <w:t>[Rule 8 inserted: Gazette 28 Jul 2010 p. 3471-2.]</w:t>
      </w:r>
    </w:p>
    <w:p w:rsidR="00425758" w:rsidRDefault="00425758">
      <w:pPr>
        <w:pStyle w:val="Heading2"/>
        <w:rPr>
          <w:b w:val="0"/>
        </w:rPr>
      </w:pPr>
      <w:bookmarkStart w:id="385" w:name="_Toc75511966"/>
      <w:bookmarkStart w:id="386" w:name="_Toc75863062"/>
      <w:r>
        <w:rPr>
          <w:rStyle w:val="CharPartNo"/>
        </w:rPr>
        <w:lastRenderedPageBreak/>
        <w:t>Order 27</w:t>
      </w:r>
      <w:r>
        <w:t> — </w:t>
      </w:r>
      <w:r>
        <w:rPr>
          <w:rStyle w:val="CharPartText"/>
        </w:rPr>
        <w:t>Interrogatories</w:t>
      </w:r>
      <w:bookmarkEnd w:id="385"/>
      <w:bookmarkEnd w:id="386"/>
    </w:p>
    <w:p w:rsidR="00425758" w:rsidRDefault="00425758">
      <w:pPr>
        <w:pStyle w:val="Heading5"/>
        <w:rPr>
          <w:snapToGrid w:val="0"/>
        </w:rPr>
      </w:pPr>
      <w:bookmarkStart w:id="387" w:name="_Toc75863063"/>
      <w:r>
        <w:rPr>
          <w:rStyle w:val="CharSectno"/>
        </w:rPr>
        <w:t>1</w:t>
      </w:r>
      <w:r>
        <w:rPr>
          <w:snapToGrid w:val="0"/>
        </w:rPr>
        <w:t>.</w:t>
      </w:r>
      <w:r>
        <w:rPr>
          <w:snapToGrid w:val="0"/>
        </w:rPr>
        <w:tab/>
        <w:t>Notice of and answers to interrogatories</w:t>
      </w:r>
      <w:bookmarkEnd w:id="387"/>
    </w:p>
    <w:p w:rsidR="00425758" w:rsidRDefault="00425758">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rsidR="00425758" w:rsidRDefault="00425758">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rsidR="00425758" w:rsidRDefault="00425758">
      <w:pPr>
        <w:pStyle w:val="Ednotesubsection"/>
      </w:pPr>
      <w:r>
        <w:tab/>
        <w:t>[(3)</w:t>
      </w:r>
      <w:r>
        <w:tab/>
        <w:t>deleted]</w:t>
      </w:r>
    </w:p>
    <w:p w:rsidR="00425758" w:rsidRDefault="00425758">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rsidR="00425758" w:rsidRDefault="00425758">
      <w:pPr>
        <w:pStyle w:val="Footnotesection"/>
      </w:pPr>
      <w:r>
        <w:tab/>
        <w:t xml:space="preserve">[Rule 1 amended: Gazette 24 Jan 1995 p. 270; 28 Oct 1996 p. 5681; 28 Jul 2010 p. 3472.] </w:t>
      </w:r>
    </w:p>
    <w:p w:rsidR="00425758" w:rsidRDefault="00425758">
      <w:pPr>
        <w:pStyle w:val="Heading5"/>
        <w:rPr>
          <w:snapToGrid w:val="0"/>
        </w:rPr>
      </w:pPr>
      <w:bookmarkStart w:id="388" w:name="_Toc75863064"/>
      <w:r>
        <w:rPr>
          <w:rStyle w:val="CharSectno"/>
        </w:rPr>
        <w:t>2</w:t>
      </w:r>
      <w:r>
        <w:rPr>
          <w:snapToGrid w:val="0"/>
        </w:rPr>
        <w:t>.</w:t>
      </w:r>
      <w:r>
        <w:rPr>
          <w:snapToGrid w:val="0"/>
        </w:rPr>
        <w:tab/>
        <w:t>Answers, time for and manner of giving</w:t>
      </w:r>
      <w:bookmarkEnd w:id="388"/>
    </w:p>
    <w:p w:rsidR="00425758" w:rsidRDefault="00425758">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rsidR="00425758" w:rsidRDefault="00425758">
      <w:pPr>
        <w:pStyle w:val="Heading5"/>
        <w:rPr>
          <w:snapToGrid w:val="0"/>
        </w:rPr>
      </w:pPr>
      <w:bookmarkStart w:id="389" w:name="_Toc75863065"/>
      <w:r>
        <w:rPr>
          <w:rStyle w:val="CharSectno"/>
        </w:rPr>
        <w:t>3</w:t>
      </w:r>
      <w:r>
        <w:rPr>
          <w:snapToGrid w:val="0"/>
        </w:rPr>
        <w:t>.</w:t>
      </w:r>
      <w:r>
        <w:rPr>
          <w:snapToGrid w:val="0"/>
        </w:rPr>
        <w:tab/>
        <w:t>Interrogatories given to 2 or more parties etc., who has to answer</w:t>
      </w:r>
      <w:bookmarkEnd w:id="389"/>
    </w:p>
    <w:p w:rsidR="00425758" w:rsidRDefault="00425758">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rsidR="00425758" w:rsidRDefault="00425758">
      <w:pPr>
        <w:pStyle w:val="Heading5"/>
        <w:rPr>
          <w:snapToGrid w:val="0"/>
        </w:rPr>
      </w:pPr>
      <w:bookmarkStart w:id="390" w:name="_Toc75863066"/>
      <w:r>
        <w:rPr>
          <w:rStyle w:val="CharSectno"/>
        </w:rPr>
        <w:lastRenderedPageBreak/>
        <w:t>4</w:t>
      </w:r>
      <w:r>
        <w:rPr>
          <w:snapToGrid w:val="0"/>
        </w:rPr>
        <w:t>.</w:t>
      </w:r>
      <w:r>
        <w:rPr>
          <w:snapToGrid w:val="0"/>
        </w:rPr>
        <w:tab/>
        <w:t>Content of answers</w:t>
      </w:r>
      <w:bookmarkEnd w:id="390"/>
    </w:p>
    <w:p w:rsidR="00425758" w:rsidRDefault="00425758">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rsidR="00425758" w:rsidRDefault="00425758">
      <w:pPr>
        <w:pStyle w:val="Heading5"/>
        <w:rPr>
          <w:snapToGrid w:val="0"/>
        </w:rPr>
      </w:pPr>
      <w:bookmarkStart w:id="391" w:name="_Toc75863067"/>
      <w:r>
        <w:rPr>
          <w:rStyle w:val="CharSectno"/>
        </w:rPr>
        <w:t>5</w:t>
      </w:r>
      <w:r>
        <w:rPr>
          <w:snapToGrid w:val="0"/>
        </w:rPr>
        <w:t>.</w:t>
      </w:r>
      <w:r>
        <w:rPr>
          <w:snapToGrid w:val="0"/>
        </w:rPr>
        <w:tab/>
        <w:t>Grounds for objecting to answer</w:t>
      </w:r>
      <w:bookmarkEnd w:id="391"/>
    </w:p>
    <w:p w:rsidR="00425758" w:rsidRDefault="00425758">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rsidR="00425758" w:rsidRDefault="00425758">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rsidR="00425758" w:rsidRDefault="00425758">
      <w:pPr>
        <w:pStyle w:val="Indenta"/>
        <w:rPr>
          <w:snapToGrid w:val="0"/>
        </w:rPr>
      </w:pPr>
      <w:r>
        <w:rPr>
          <w:snapToGrid w:val="0"/>
        </w:rPr>
        <w:tab/>
        <w:t>(b)</w:t>
      </w:r>
      <w:r>
        <w:rPr>
          <w:snapToGrid w:val="0"/>
        </w:rPr>
        <w:tab/>
        <w:t>that the matters inquired into are not sufficiently material at that stage;</w:t>
      </w:r>
    </w:p>
    <w:p w:rsidR="00425758" w:rsidRDefault="00425758">
      <w:pPr>
        <w:pStyle w:val="Indenta"/>
        <w:rPr>
          <w:snapToGrid w:val="0"/>
        </w:rPr>
      </w:pPr>
      <w:r>
        <w:rPr>
          <w:snapToGrid w:val="0"/>
        </w:rPr>
        <w:tab/>
        <w:t>(c)</w:t>
      </w:r>
      <w:r>
        <w:rPr>
          <w:snapToGrid w:val="0"/>
        </w:rPr>
        <w:tab/>
        <w:t>privilege;</w:t>
      </w:r>
    </w:p>
    <w:p w:rsidR="00425758" w:rsidRDefault="00425758">
      <w:pPr>
        <w:pStyle w:val="Indenta"/>
        <w:rPr>
          <w:snapToGrid w:val="0"/>
        </w:rPr>
      </w:pPr>
      <w:r>
        <w:rPr>
          <w:snapToGrid w:val="0"/>
        </w:rPr>
        <w:tab/>
        <w:t>(d)</w:t>
      </w:r>
      <w:r>
        <w:rPr>
          <w:snapToGrid w:val="0"/>
        </w:rPr>
        <w:tab/>
        <w:t>any other ground on which objection may be taken.</w:t>
      </w:r>
    </w:p>
    <w:p w:rsidR="00425758" w:rsidRDefault="00425758">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rsidR="00425758" w:rsidRDefault="00425758">
      <w:pPr>
        <w:pStyle w:val="Footnotesection"/>
      </w:pPr>
      <w:r>
        <w:tab/>
        <w:t xml:space="preserve">[Rule 5 amended: Gazette 15 Jun 1973 p. 2248.] </w:t>
      </w:r>
    </w:p>
    <w:p w:rsidR="00425758" w:rsidRDefault="00425758">
      <w:pPr>
        <w:pStyle w:val="Heading5"/>
        <w:rPr>
          <w:snapToGrid w:val="0"/>
        </w:rPr>
      </w:pPr>
      <w:bookmarkStart w:id="392" w:name="_Toc75863068"/>
      <w:r>
        <w:rPr>
          <w:rStyle w:val="CharSectno"/>
        </w:rPr>
        <w:t>6</w:t>
      </w:r>
      <w:r>
        <w:rPr>
          <w:snapToGrid w:val="0"/>
        </w:rPr>
        <w:t>.</w:t>
      </w:r>
      <w:r>
        <w:rPr>
          <w:snapToGrid w:val="0"/>
        </w:rPr>
        <w:tab/>
        <w:t>Answers, who can make</w:t>
      </w:r>
      <w:bookmarkEnd w:id="392"/>
    </w:p>
    <w:p w:rsidR="00425758" w:rsidRDefault="00425758">
      <w:pPr>
        <w:pStyle w:val="Subsection"/>
        <w:rPr>
          <w:snapToGrid w:val="0"/>
        </w:rPr>
      </w:pPr>
      <w:r>
        <w:rPr>
          <w:snapToGrid w:val="0"/>
        </w:rPr>
        <w:tab/>
        <w:t>(1)</w:t>
      </w:r>
      <w:r>
        <w:rPr>
          <w:snapToGrid w:val="0"/>
        </w:rPr>
        <w:tab/>
        <w:t>A statement or an affidavit verifying a statement in answer to interrogatories may be made as follows — </w:t>
      </w:r>
    </w:p>
    <w:p w:rsidR="00425758" w:rsidRDefault="00425758">
      <w:pPr>
        <w:pStyle w:val="Indenta"/>
        <w:rPr>
          <w:snapToGrid w:val="0"/>
        </w:rPr>
      </w:pPr>
      <w:r>
        <w:rPr>
          <w:snapToGrid w:val="0"/>
        </w:rPr>
        <w:tab/>
        <w:t>(a)</w:t>
      </w:r>
      <w:r>
        <w:rPr>
          <w:snapToGrid w:val="0"/>
        </w:rPr>
        <w:tab/>
        <w:t>by the party;</w:t>
      </w:r>
    </w:p>
    <w:p w:rsidR="00425758" w:rsidRDefault="00425758">
      <w:pPr>
        <w:pStyle w:val="Indenta"/>
        <w:rPr>
          <w:snapToGrid w:val="0"/>
        </w:rPr>
      </w:pPr>
      <w:r>
        <w:rPr>
          <w:snapToGrid w:val="0"/>
        </w:rPr>
        <w:tab/>
        <w:t>(b)</w:t>
      </w:r>
      <w:r>
        <w:rPr>
          <w:snapToGrid w:val="0"/>
        </w:rPr>
        <w:tab/>
        <w:t>where the party is the State or an officer of the State sued or suing in his official capacity — by an officer of the State;</w:t>
      </w:r>
    </w:p>
    <w:p w:rsidR="00425758" w:rsidRDefault="00425758">
      <w:pPr>
        <w:pStyle w:val="Indenta"/>
        <w:rPr>
          <w:snapToGrid w:val="0"/>
        </w:rPr>
      </w:pPr>
      <w:r>
        <w:rPr>
          <w:snapToGrid w:val="0"/>
        </w:rPr>
        <w:lastRenderedPageBreak/>
        <w:tab/>
        <w:t>(c)</w:t>
      </w:r>
      <w:r>
        <w:rPr>
          <w:snapToGrid w:val="0"/>
        </w:rPr>
        <w:tab/>
        <w:t>where the party is a body corporate or a body of persons empowered by law to sue or be sued whether in its own name or in the name of any officer or other person — by a member or officer of the corporation or body.</w:t>
      </w:r>
    </w:p>
    <w:p w:rsidR="00425758" w:rsidRDefault="00425758">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rsidR="00425758" w:rsidRDefault="00425758">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rsidR="00425758" w:rsidRDefault="00425758">
      <w:pPr>
        <w:pStyle w:val="Footnotesection"/>
      </w:pPr>
      <w:r>
        <w:tab/>
        <w:t xml:space="preserve">[Rule 6 amended: Gazette 19 Apr 2005 p. 1298; 28 Jun 2011 p. 2552 and 2554.] </w:t>
      </w:r>
    </w:p>
    <w:p w:rsidR="00425758" w:rsidRDefault="00425758">
      <w:pPr>
        <w:pStyle w:val="Heading5"/>
        <w:rPr>
          <w:snapToGrid w:val="0"/>
        </w:rPr>
      </w:pPr>
      <w:bookmarkStart w:id="393" w:name="_Toc75863069"/>
      <w:r>
        <w:rPr>
          <w:rStyle w:val="CharSectno"/>
        </w:rPr>
        <w:t>7</w:t>
      </w:r>
      <w:r>
        <w:rPr>
          <w:snapToGrid w:val="0"/>
        </w:rPr>
        <w:t>.</w:t>
      </w:r>
      <w:r>
        <w:rPr>
          <w:snapToGrid w:val="0"/>
        </w:rPr>
        <w:tab/>
        <w:t>Failing to answer or to answer sufficiently</w:t>
      </w:r>
      <w:bookmarkEnd w:id="393"/>
    </w:p>
    <w:p w:rsidR="00425758" w:rsidRDefault="00425758">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rsidR="00425758" w:rsidRDefault="00425758">
      <w:pPr>
        <w:pStyle w:val="Heading5"/>
        <w:rPr>
          <w:snapToGrid w:val="0"/>
        </w:rPr>
      </w:pPr>
      <w:bookmarkStart w:id="394" w:name="_Toc75863070"/>
      <w:r>
        <w:rPr>
          <w:rStyle w:val="CharSectno"/>
        </w:rPr>
        <w:t>8</w:t>
      </w:r>
      <w:r>
        <w:rPr>
          <w:snapToGrid w:val="0"/>
        </w:rPr>
        <w:t>.</w:t>
      </w:r>
      <w:r>
        <w:rPr>
          <w:snapToGrid w:val="0"/>
        </w:rPr>
        <w:tab/>
        <w:t>Non</w:t>
      </w:r>
      <w:r>
        <w:rPr>
          <w:snapToGrid w:val="0"/>
        </w:rPr>
        <w:noBreakHyphen/>
        <w:t>compliance with order under r. 7</w:t>
      </w:r>
      <w:bookmarkEnd w:id="394"/>
    </w:p>
    <w:p w:rsidR="00425758" w:rsidRDefault="00425758">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rsidR="00425758" w:rsidRDefault="00425758">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rsidR="00425758" w:rsidRDefault="00425758">
      <w:pPr>
        <w:pStyle w:val="Subsection"/>
        <w:rPr>
          <w:snapToGrid w:val="0"/>
        </w:rPr>
      </w:pPr>
      <w:r>
        <w:rPr>
          <w:snapToGrid w:val="0"/>
        </w:rPr>
        <w:lastRenderedPageBreak/>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rsidR="00425758" w:rsidRDefault="00425758">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rsidR="00425758" w:rsidRDefault="00425758">
      <w:pPr>
        <w:pStyle w:val="Footnotesection"/>
      </w:pPr>
      <w:r>
        <w:tab/>
        <w:t>[Rule 8 amended: Gazette 21 Feb 2007 p. 536; 28 Jun 2011 p. 2552.]</w:t>
      </w:r>
    </w:p>
    <w:p w:rsidR="00425758" w:rsidRDefault="00425758">
      <w:pPr>
        <w:pStyle w:val="Heading5"/>
        <w:rPr>
          <w:snapToGrid w:val="0"/>
        </w:rPr>
      </w:pPr>
      <w:bookmarkStart w:id="395" w:name="_Toc75863071"/>
      <w:r>
        <w:rPr>
          <w:rStyle w:val="CharSectno"/>
        </w:rPr>
        <w:t>9</w:t>
      </w:r>
      <w:r>
        <w:rPr>
          <w:snapToGrid w:val="0"/>
        </w:rPr>
        <w:t>.</w:t>
      </w:r>
      <w:r>
        <w:rPr>
          <w:snapToGrid w:val="0"/>
        </w:rPr>
        <w:tab/>
        <w:t>Use of answers in evidence</w:t>
      </w:r>
      <w:bookmarkEnd w:id="395"/>
    </w:p>
    <w:p w:rsidR="00425758" w:rsidRDefault="00425758">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rsidR="00425758" w:rsidRDefault="00425758">
      <w:pPr>
        <w:pStyle w:val="Heading5"/>
        <w:rPr>
          <w:snapToGrid w:val="0"/>
        </w:rPr>
      </w:pPr>
      <w:bookmarkStart w:id="396" w:name="_Toc75863072"/>
      <w:r>
        <w:rPr>
          <w:rStyle w:val="CharSectno"/>
        </w:rPr>
        <w:t>10</w:t>
      </w:r>
      <w:r>
        <w:rPr>
          <w:snapToGrid w:val="0"/>
        </w:rPr>
        <w:t>.</w:t>
      </w:r>
      <w:r>
        <w:rPr>
          <w:snapToGrid w:val="0"/>
        </w:rPr>
        <w:tab/>
        <w:t>Revoking and varying orders</w:t>
      </w:r>
      <w:bookmarkEnd w:id="396"/>
    </w:p>
    <w:p w:rsidR="00425758" w:rsidRDefault="00425758">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rsidR="00425758" w:rsidRDefault="00425758">
      <w:pPr>
        <w:pStyle w:val="Heading2"/>
        <w:rPr>
          <w:b w:val="0"/>
        </w:rPr>
      </w:pPr>
      <w:bookmarkStart w:id="397" w:name="_Toc75511977"/>
      <w:bookmarkStart w:id="398" w:name="_Toc75863073"/>
      <w:r>
        <w:rPr>
          <w:rStyle w:val="CharPartNo"/>
        </w:rPr>
        <w:lastRenderedPageBreak/>
        <w:t>Order 28</w:t>
      </w:r>
      <w:r>
        <w:t> — </w:t>
      </w:r>
      <w:r>
        <w:rPr>
          <w:rStyle w:val="CharPartText"/>
        </w:rPr>
        <w:t>Medical examination: inspection of physical objects</w:t>
      </w:r>
      <w:bookmarkEnd w:id="397"/>
      <w:bookmarkEnd w:id="398"/>
    </w:p>
    <w:p w:rsidR="00425758" w:rsidRDefault="00425758">
      <w:pPr>
        <w:pStyle w:val="Heading5"/>
        <w:rPr>
          <w:snapToGrid w:val="0"/>
        </w:rPr>
      </w:pPr>
      <w:bookmarkStart w:id="399" w:name="_Toc75863074"/>
      <w:r>
        <w:rPr>
          <w:rStyle w:val="CharSectno"/>
        </w:rPr>
        <w:t>1</w:t>
      </w:r>
      <w:r>
        <w:rPr>
          <w:snapToGrid w:val="0"/>
        </w:rPr>
        <w:t>.</w:t>
      </w:r>
      <w:r>
        <w:rPr>
          <w:snapToGrid w:val="0"/>
        </w:rPr>
        <w:tab/>
        <w:t>Medical examination of a party</w:t>
      </w:r>
      <w:bookmarkEnd w:id="399"/>
    </w:p>
    <w:p w:rsidR="00425758" w:rsidRDefault="00425758">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rsidR="00425758" w:rsidRDefault="00425758">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rsidR="00425758" w:rsidRDefault="00425758">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rsidR="00425758" w:rsidRDefault="00425758">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rsidR="00425758" w:rsidRDefault="00425758">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rsidR="00425758" w:rsidRDefault="00425758">
      <w:pPr>
        <w:pStyle w:val="Subsection"/>
        <w:rPr>
          <w:snapToGrid w:val="0"/>
        </w:rPr>
      </w:pPr>
      <w:r>
        <w:rPr>
          <w:snapToGrid w:val="0"/>
        </w:rPr>
        <w:lastRenderedPageBreak/>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rsidR="00425758" w:rsidRDefault="00425758">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rsidR="00425758" w:rsidRDefault="00425758">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rsidR="00425758" w:rsidRDefault="00425758">
      <w:pPr>
        <w:pStyle w:val="Footnotesection"/>
        <w:spacing w:before="100"/>
        <w:ind w:left="890" w:hanging="890"/>
      </w:pPr>
      <w:r>
        <w:tab/>
        <w:t>[Rule 1 amended: Gazette 28 Jun 2011 p. 2552 and 2554.]</w:t>
      </w:r>
    </w:p>
    <w:p w:rsidR="00425758" w:rsidRDefault="00425758">
      <w:pPr>
        <w:pStyle w:val="Heading5"/>
        <w:spacing w:before="180"/>
        <w:rPr>
          <w:snapToGrid w:val="0"/>
        </w:rPr>
      </w:pPr>
      <w:bookmarkStart w:id="400" w:name="_Toc75863075"/>
      <w:r>
        <w:rPr>
          <w:rStyle w:val="CharSectno"/>
        </w:rPr>
        <w:t>2</w:t>
      </w:r>
      <w:r>
        <w:rPr>
          <w:snapToGrid w:val="0"/>
        </w:rPr>
        <w:t>.</w:t>
      </w:r>
      <w:r>
        <w:rPr>
          <w:snapToGrid w:val="0"/>
        </w:rPr>
        <w:tab/>
        <w:t>Inspection of physical objects</w:t>
      </w:r>
      <w:bookmarkEnd w:id="400"/>
    </w:p>
    <w:p w:rsidR="00425758" w:rsidRDefault="00425758">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rsidR="00425758" w:rsidRDefault="00425758">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rsidR="00425758" w:rsidRDefault="00425758">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rsidR="00425758" w:rsidRDefault="00425758">
      <w:pPr>
        <w:pStyle w:val="Ednotepart"/>
      </w:pPr>
      <w:r>
        <w:lastRenderedPageBreak/>
        <w:t xml:space="preserve">[Order 29: </w:t>
      </w:r>
      <w:r>
        <w:tab/>
        <w:t>r. 1-2 deleted: Gazette 16 Aug 2017 p. 4411.</w:t>
      </w:r>
    </w:p>
    <w:p w:rsidR="00425758" w:rsidRDefault="00425758">
      <w:pPr>
        <w:pStyle w:val="Ednotepart"/>
        <w:spacing w:before="0"/>
      </w:pPr>
      <w:r>
        <w:tab/>
      </w:r>
      <w:r>
        <w:tab/>
        <w:t xml:space="preserve">r. </w:t>
      </w:r>
      <w:r>
        <w:rPr>
          <w:bCs/>
        </w:rPr>
        <w:t>3-6</w:t>
      </w:r>
      <w:r>
        <w:t xml:space="preserve"> deleted: Gazette 28 Jul 2010 p. 3464.]</w:t>
      </w:r>
    </w:p>
    <w:p w:rsidR="00425758" w:rsidRDefault="00425758">
      <w:pPr>
        <w:pStyle w:val="Ednotepart"/>
      </w:pPr>
      <w:r>
        <w:t>[Order 29A deleted: Gazette 28 Jul 2010 p. 3465.]</w:t>
      </w:r>
    </w:p>
    <w:p w:rsidR="00425758" w:rsidRDefault="00425758">
      <w:pPr>
        <w:pStyle w:val="Heading2"/>
        <w:rPr>
          <w:b w:val="0"/>
        </w:rPr>
      </w:pPr>
      <w:bookmarkStart w:id="401" w:name="_Toc75511980"/>
      <w:bookmarkStart w:id="402" w:name="_Toc75863076"/>
      <w:r>
        <w:rPr>
          <w:rStyle w:val="CharPartNo"/>
        </w:rPr>
        <w:lastRenderedPageBreak/>
        <w:t>Order 30</w:t>
      </w:r>
      <w:r>
        <w:rPr>
          <w:rStyle w:val="CharDivNo"/>
        </w:rPr>
        <w:t> </w:t>
      </w:r>
      <w:r>
        <w:t>—</w:t>
      </w:r>
      <w:r>
        <w:rPr>
          <w:rStyle w:val="CharDivText"/>
        </w:rPr>
        <w:t> </w:t>
      </w:r>
      <w:r>
        <w:rPr>
          <w:rStyle w:val="CharPartText"/>
        </w:rPr>
        <w:t>Admissions</w:t>
      </w:r>
      <w:bookmarkEnd w:id="401"/>
      <w:bookmarkEnd w:id="402"/>
    </w:p>
    <w:p w:rsidR="00425758" w:rsidRDefault="00425758">
      <w:pPr>
        <w:pStyle w:val="Heading5"/>
        <w:rPr>
          <w:snapToGrid w:val="0"/>
        </w:rPr>
      </w:pPr>
      <w:bookmarkStart w:id="403" w:name="_Toc75863077"/>
      <w:r>
        <w:rPr>
          <w:rStyle w:val="CharSectno"/>
        </w:rPr>
        <w:t>1</w:t>
      </w:r>
      <w:r>
        <w:rPr>
          <w:snapToGrid w:val="0"/>
        </w:rPr>
        <w:t>.</w:t>
      </w:r>
      <w:r>
        <w:rPr>
          <w:snapToGrid w:val="0"/>
        </w:rPr>
        <w:tab/>
        <w:t>Admission of other party’s case</w:t>
      </w:r>
      <w:bookmarkEnd w:id="403"/>
    </w:p>
    <w:p w:rsidR="00425758" w:rsidRDefault="00425758">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rsidR="00425758" w:rsidRDefault="00425758">
      <w:pPr>
        <w:pStyle w:val="Heading5"/>
        <w:rPr>
          <w:snapToGrid w:val="0"/>
        </w:rPr>
      </w:pPr>
      <w:bookmarkStart w:id="404" w:name="_Toc75863078"/>
      <w:r>
        <w:rPr>
          <w:rStyle w:val="CharSectno"/>
        </w:rPr>
        <w:t>2</w:t>
      </w:r>
      <w:r>
        <w:rPr>
          <w:snapToGrid w:val="0"/>
        </w:rPr>
        <w:t>.</w:t>
      </w:r>
      <w:r>
        <w:rPr>
          <w:snapToGrid w:val="0"/>
        </w:rPr>
        <w:tab/>
        <w:t>Notice to admit facts</w:t>
      </w:r>
      <w:bookmarkEnd w:id="404"/>
    </w:p>
    <w:p w:rsidR="00425758" w:rsidRDefault="00425758">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rsidR="00425758" w:rsidRDefault="00425758">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rsidR="00425758" w:rsidRDefault="00425758">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rsidR="00425758" w:rsidRDefault="00425758">
      <w:pPr>
        <w:pStyle w:val="Heading5"/>
        <w:rPr>
          <w:snapToGrid w:val="0"/>
        </w:rPr>
      </w:pPr>
      <w:bookmarkStart w:id="405" w:name="_Toc75863079"/>
      <w:r>
        <w:rPr>
          <w:rStyle w:val="CharSectno"/>
        </w:rPr>
        <w:t>3</w:t>
      </w:r>
      <w:r>
        <w:rPr>
          <w:snapToGrid w:val="0"/>
        </w:rPr>
        <w:t>.</w:t>
      </w:r>
      <w:r>
        <w:rPr>
          <w:snapToGrid w:val="0"/>
        </w:rPr>
        <w:tab/>
        <w:t>Judgment on admissions</w:t>
      </w:r>
      <w:bookmarkEnd w:id="405"/>
    </w:p>
    <w:p w:rsidR="00425758" w:rsidRDefault="00425758">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rsidR="00425758" w:rsidRDefault="00425758">
      <w:pPr>
        <w:pStyle w:val="Subsection"/>
        <w:rPr>
          <w:snapToGrid w:val="0"/>
        </w:rPr>
      </w:pPr>
      <w:r>
        <w:rPr>
          <w:snapToGrid w:val="0"/>
        </w:rPr>
        <w:tab/>
        <w:t>(2)</w:t>
      </w:r>
      <w:r>
        <w:rPr>
          <w:snapToGrid w:val="0"/>
        </w:rPr>
        <w:tab/>
        <w:t>An application under this rule may be made on motion or by summons.</w:t>
      </w:r>
    </w:p>
    <w:p w:rsidR="00425758" w:rsidRDefault="00425758">
      <w:pPr>
        <w:pStyle w:val="Heading5"/>
        <w:spacing w:before="120"/>
        <w:rPr>
          <w:snapToGrid w:val="0"/>
        </w:rPr>
      </w:pPr>
      <w:bookmarkStart w:id="406" w:name="_Toc75863080"/>
      <w:r>
        <w:rPr>
          <w:rStyle w:val="CharSectno"/>
        </w:rPr>
        <w:lastRenderedPageBreak/>
        <w:t>4</w:t>
      </w:r>
      <w:r>
        <w:rPr>
          <w:snapToGrid w:val="0"/>
        </w:rPr>
        <w:t>.</w:t>
      </w:r>
      <w:r>
        <w:rPr>
          <w:snapToGrid w:val="0"/>
        </w:rPr>
        <w:tab/>
        <w:t>Admissions as to and production of documents</w:t>
      </w:r>
      <w:bookmarkEnd w:id="406"/>
    </w:p>
    <w:p w:rsidR="00425758" w:rsidRDefault="00425758">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rsidR="00425758" w:rsidRDefault="00425758">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rsidR="00425758" w:rsidRDefault="00425758">
      <w:pPr>
        <w:pStyle w:val="Indenta"/>
        <w:rPr>
          <w:snapToGrid w:val="0"/>
        </w:rPr>
      </w:pPr>
      <w:r>
        <w:rPr>
          <w:snapToGrid w:val="0"/>
        </w:rPr>
        <w:tab/>
        <w:t>(b)</w:t>
      </w:r>
      <w:r>
        <w:rPr>
          <w:snapToGrid w:val="0"/>
        </w:rPr>
        <w:tab/>
        <w:t>that a document if described in the list as a copy, is a true copy.</w:t>
      </w:r>
    </w:p>
    <w:p w:rsidR="00425758" w:rsidRDefault="00425758">
      <w:pPr>
        <w:pStyle w:val="Subsection"/>
        <w:rPr>
          <w:snapToGrid w:val="0"/>
        </w:rPr>
      </w:pPr>
      <w:r>
        <w:rPr>
          <w:snapToGrid w:val="0"/>
        </w:rPr>
        <w:tab/>
        <w:t>(2)</w:t>
      </w:r>
      <w:r>
        <w:rPr>
          <w:snapToGrid w:val="0"/>
        </w:rPr>
        <w:tab/>
      </w:r>
      <w:r>
        <w:t>Subrule</w:t>
      </w:r>
      <w:r>
        <w:rPr>
          <w:snapToGrid w:val="0"/>
        </w:rPr>
        <w:t> (1) does not apply — </w:t>
      </w:r>
    </w:p>
    <w:p w:rsidR="00425758" w:rsidRDefault="00425758">
      <w:pPr>
        <w:pStyle w:val="Indenta"/>
        <w:rPr>
          <w:snapToGrid w:val="0"/>
        </w:rPr>
      </w:pPr>
      <w:r>
        <w:rPr>
          <w:snapToGrid w:val="0"/>
        </w:rPr>
        <w:tab/>
        <w:t>(a)</w:t>
      </w:r>
      <w:r>
        <w:rPr>
          <w:snapToGrid w:val="0"/>
        </w:rPr>
        <w:tab/>
        <w:t>to a document the authenticity of which has been denied by a party in his pleading; or</w:t>
      </w:r>
    </w:p>
    <w:p w:rsidR="00425758" w:rsidRDefault="00425758">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rsidR="00425758" w:rsidRDefault="00425758">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rsidR="00425758" w:rsidRDefault="00425758">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rsidR="00425758" w:rsidRDefault="00425758">
      <w:pPr>
        <w:pStyle w:val="Footnotesection"/>
      </w:pPr>
      <w:r>
        <w:tab/>
        <w:t>[Rule 4 amended: Gazette 28 Jun 2011 p. 2552.]</w:t>
      </w:r>
    </w:p>
    <w:p w:rsidR="00425758" w:rsidRDefault="00425758">
      <w:pPr>
        <w:pStyle w:val="Heading5"/>
        <w:rPr>
          <w:snapToGrid w:val="0"/>
        </w:rPr>
      </w:pPr>
      <w:bookmarkStart w:id="407" w:name="_Toc75863081"/>
      <w:r>
        <w:rPr>
          <w:rStyle w:val="CharSectno"/>
        </w:rPr>
        <w:lastRenderedPageBreak/>
        <w:t>5</w:t>
      </w:r>
      <w:r>
        <w:rPr>
          <w:snapToGrid w:val="0"/>
        </w:rPr>
        <w:t>.</w:t>
      </w:r>
      <w:r>
        <w:rPr>
          <w:snapToGrid w:val="0"/>
        </w:rPr>
        <w:tab/>
        <w:t>Notice to admit authenticity of documents; notice requiring production of documents at trial</w:t>
      </w:r>
      <w:bookmarkEnd w:id="407"/>
    </w:p>
    <w:p w:rsidR="00425758" w:rsidRDefault="00425758">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rsidR="00425758" w:rsidRDefault="00425758">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rsidR="00425758" w:rsidRDefault="00425758">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rsidR="00425758" w:rsidRDefault="00425758">
      <w:pPr>
        <w:pStyle w:val="Footnotesection"/>
      </w:pPr>
      <w:r>
        <w:tab/>
        <w:t>[Rule 5 amended: Gazette 28 Jun 2011 p. 2552.]</w:t>
      </w:r>
    </w:p>
    <w:p w:rsidR="00425758" w:rsidRDefault="00425758">
      <w:pPr>
        <w:pStyle w:val="Heading2"/>
        <w:rPr>
          <w:b w:val="0"/>
        </w:rPr>
      </w:pPr>
      <w:bookmarkStart w:id="408" w:name="_Toc75511986"/>
      <w:bookmarkStart w:id="409" w:name="_Toc75863082"/>
      <w:r>
        <w:rPr>
          <w:rStyle w:val="CharPartNo"/>
        </w:rPr>
        <w:lastRenderedPageBreak/>
        <w:t>Order 31</w:t>
      </w:r>
      <w:r>
        <w:rPr>
          <w:rStyle w:val="CharDivNo"/>
        </w:rPr>
        <w:t> </w:t>
      </w:r>
      <w:r>
        <w:t>—</w:t>
      </w:r>
      <w:r>
        <w:rPr>
          <w:rStyle w:val="CharDivText"/>
        </w:rPr>
        <w:t> </w:t>
      </w:r>
      <w:r>
        <w:rPr>
          <w:rStyle w:val="CharPartText"/>
        </w:rPr>
        <w:t>Special cases and stated cases</w:t>
      </w:r>
      <w:bookmarkEnd w:id="408"/>
      <w:bookmarkEnd w:id="409"/>
    </w:p>
    <w:p w:rsidR="00425758" w:rsidRDefault="00425758">
      <w:pPr>
        <w:pStyle w:val="Heading5"/>
        <w:rPr>
          <w:snapToGrid w:val="0"/>
        </w:rPr>
      </w:pPr>
      <w:bookmarkStart w:id="410" w:name="_Toc75863083"/>
      <w:r>
        <w:rPr>
          <w:rStyle w:val="CharSectno"/>
        </w:rPr>
        <w:t>1</w:t>
      </w:r>
      <w:r>
        <w:rPr>
          <w:snapToGrid w:val="0"/>
        </w:rPr>
        <w:t>.</w:t>
      </w:r>
      <w:r>
        <w:rPr>
          <w:snapToGrid w:val="0"/>
        </w:rPr>
        <w:tab/>
        <w:t>Questions of law, stating of in special case</w:t>
      </w:r>
      <w:bookmarkEnd w:id="410"/>
    </w:p>
    <w:p w:rsidR="00425758" w:rsidRDefault="00425758">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rsidR="00425758" w:rsidRDefault="00425758">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rsidR="00425758" w:rsidRDefault="00425758">
      <w:pPr>
        <w:pStyle w:val="Subsection"/>
        <w:rPr>
          <w:snapToGrid w:val="0"/>
        </w:rPr>
      </w:pPr>
      <w:r>
        <w:rPr>
          <w:snapToGrid w:val="0"/>
        </w:rPr>
        <w:tab/>
        <w:t>(3)</w:t>
      </w:r>
      <w:r>
        <w:rPr>
          <w:snapToGrid w:val="0"/>
        </w:rPr>
        <w:tab/>
        <w:t>Upon the argument of the case the Court and the parties may refer to the whole contents of the documents stated.</w:t>
      </w:r>
    </w:p>
    <w:p w:rsidR="00425758" w:rsidRDefault="00425758">
      <w:pPr>
        <w:pStyle w:val="Footnotesection"/>
      </w:pPr>
      <w:r>
        <w:tab/>
        <w:t xml:space="preserve">[Rule 1 amended: Gazette 15 Jun 1973 p. 2248; 29 Apr 2005 p. 1795.] </w:t>
      </w:r>
    </w:p>
    <w:p w:rsidR="00425758" w:rsidRDefault="00425758">
      <w:pPr>
        <w:pStyle w:val="Heading5"/>
        <w:rPr>
          <w:snapToGrid w:val="0"/>
        </w:rPr>
      </w:pPr>
      <w:bookmarkStart w:id="411" w:name="_Toc75863084"/>
      <w:r>
        <w:rPr>
          <w:rStyle w:val="CharSectno"/>
        </w:rPr>
        <w:t>2</w:t>
      </w:r>
      <w:r>
        <w:rPr>
          <w:snapToGrid w:val="0"/>
        </w:rPr>
        <w:t>.</w:t>
      </w:r>
      <w:r>
        <w:rPr>
          <w:snapToGrid w:val="0"/>
        </w:rPr>
        <w:tab/>
        <w:t>Preliminary question of law, orders as to</w:t>
      </w:r>
      <w:bookmarkEnd w:id="411"/>
    </w:p>
    <w:p w:rsidR="00425758" w:rsidRDefault="00425758">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rsidR="00425758" w:rsidRDefault="00425758">
      <w:pPr>
        <w:pStyle w:val="Subsection"/>
        <w:rPr>
          <w:snapToGrid w:val="0"/>
        </w:rPr>
      </w:pPr>
      <w:r>
        <w:rPr>
          <w:snapToGrid w:val="0"/>
        </w:rPr>
        <w:tab/>
        <w:t>(2)</w:t>
      </w:r>
      <w:r>
        <w:rPr>
          <w:snapToGrid w:val="0"/>
        </w:rPr>
        <w:tab/>
        <w:t>All such further proceedings as the decision of such question of law may render unnecessary may thereupon be stayed.</w:t>
      </w:r>
    </w:p>
    <w:p w:rsidR="00425758" w:rsidRDefault="00425758">
      <w:pPr>
        <w:pStyle w:val="Heading5"/>
        <w:rPr>
          <w:snapToGrid w:val="0"/>
        </w:rPr>
      </w:pPr>
      <w:bookmarkStart w:id="412" w:name="_Toc75863085"/>
      <w:r>
        <w:rPr>
          <w:rStyle w:val="CharSectno"/>
        </w:rPr>
        <w:t>3</w:t>
      </w:r>
      <w:r>
        <w:rPr>
          <w:snapToGrid w:val="0"/>
        </w:rPr>
        <w:t>.</w:t>
      </w:r>
      <w:r>
        <w:rPr>
          <w:snapToGrid w:val="0"/>
        </w:rPr>
        <w:tab/>
        <w:t>Preparing special case</w:t>
      </w:r>
      <w:bookmarkEnd w:id="412"/>
    </w:p>
    <w:p w:rsidR="00425758" w:rsidRDefault="00425758">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rsidR="00425758" w:rsidRDefault="00425758">
      <w:pPr>
        <w:pStyle w:val="Subsection"/>
        <w:rPr>
          <w:snapToGrid w:val="0"/>
        </w:rPr>
      </w:pPr>
      <w:r>
        <w:rPr>
          <w:snapToGrid w:val="0"/>
        </w:rPr>
        <w:lastRenderedPageBreak/>
        <w:tab/>
        <w:t>(2)</w:t>
      </w:r>
      <w:r>
        <w:rPr>
          <w:snapToGrid w:val="0"/>
        </w:rPr>
        <w:tab/>
        <w:t xml:space="preserve">At least 14 days before the day appointed for argument the plaintiff or the party having the carriage of the proceedings shall </w:t>
      </w:r>
      <w:r>
        <w:t>file</w:t>
      </w:r>
      <w:r>
        <w:rPr>
          <w:snapToGrid w:val="0"/>
        </w:rPr>
        <w:t xml:space="preserve"> copies of the special case for the use of the judge or judges hearing the argument, and in default thereof the other party may on the day following, </w:t>
      </w:r>
      <w:r>
        <w:t>file those</w:t>
      </w:r>
      <w:r>
        <w:rPr>
          <w:snapToGrid w:val="0"/>
        </w:rPr>
        <w:t xml:space="preserve"> copies.</w:t>
      </w:r>
    </w:p>
    <w:p w:rsidR="00425758" w:rsidRDefault="00425758">
      <w:pPr>
        <w:pStyle w:val="Footnotesection"/>
      </w:pPr>
      <w:r>
        <w:tab/>
        <w:t>[Rule 3 amended: Gazette 27 Feb 2018 p. 560-1.]</w:t>
      </w:r>
    </w:p>
    <w:p w:rsidR="00425758" w:rsidRDefault="00425758">
      <w:pPr>
        <w:pStyle w:val="Heading5"/>
        <w:rPr>
          <w:snapToGrid w:val="0"/>
        </w:rPr>
      </w:pPr>
      <w:bookmarkStart w:id="413" w:name="_Toc75863086"/>
      <w:r>
        <w:rPr>
          <w:rStyle w:val="CharSectno"/>
        </w:rPr>
        <w:t>4</w:t>
      </w:r>
      <w:r>
        <w:rPr>
          <w:snapToGrid w:val="0"/>
        </w:rPr>
        <w:t>.</w:t>
      </w:r>
      <w:r>
        <w:rPr>
          <w:snapToGrid w:val="0"/>
        </w:rPr>
        <w:tab/>
        <w:t>Special case affecting person under disability, leave needed to enter for argument</w:t>
      </w:r>
      <w:bookmarkEnd w:id="413"/>
    </w:p>
    <w:p w:rsidR="00425758" w:rsidRDefault="00425758">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rsidR="00425758" w:rsidRDefault="00425758">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rsidR="00425758" w:rsidRDefault="00425758">
      <w:pPr>
        <w:pStyle w:val="Footnotesection"/>
      </w:pPr>
      <w:r>
        <w:tab/>
        <w:t>[Rule 4 amended: Gazette 28 Jun 2011 p. 2552.]</w:t>
      </w:r>
    </w:p>
    <w:p w:rsidR="00425758" w:rsidRDefault="00425758">
      <w:pPr>
        <w:pStyle w:val="Heading5"/>
        <w:rPr>
          <w:snapToGrid w:val="0"/>
        </w:rPr>
      </w:pPr>
      <w:bookmarkStart w:id="414" w:name="_Toc75863087"/>
      <w:r>
        <w:rPr>
          <w:rStyle w:val="CharSectno"/>
        </w:rPr>
        <w:t>5</w:t>
      </w:r>
      <w:r>
        <w:rPr>
          <w:snapToGrid w:val="0"/>
        </w:rPr>
        <w:t>.</w:t>
      </w:r>
      <w:r>
        <w:rPr>
          <w:snapToGrid w:val="0"/>
        </w:rPr>
        <w:tab/>
        <w:t>Entering special case for argument</w:t>
      </w:r>
      <w:bookmarkEnd w:id="414"/>
    </w:p>
    <w:p w:rsidR="00425758" w:rsidRDefault="00425758">
      <w:pPr>
        <w:pStyle w:val="Subsection"/>
        <w:rPr>
          <w:snapToGrid w:val="0"/>
        </w:rPr>
      </w:pPr>
      <w:r>
        <w:rPr>
          <w:snapToGrid w:val="0"/>
        </w:rPr>
        <w:tab/>
        <w:t>(1)</w:t>
      </w:r>
      <w:r>
        <w:rPr>
          <w:snapToGrid w:val="0"/>
        </w:rPr>
        <w:tab/>
        <w:t xml:space="preserve">Either party may enter a special case for argument before the Court, by filing a memorandum of entry, and if a person under disability is a party, by producing </w:t>
      </w:r>
      <w:r>
        <w:t>a sealed</w:t>
      </w:r>
      <w:r>
        <w:rPr>
          <w:snapToGrid w:val="0"/>
        </w:rPr>
        <w:t xml:space="preserve"> copy of the order giving leave to enter the same for argument.</w:t>
      </w:r>
    </w:p>
    <w:p w:rsidR="00425758" w:rsidRDefault="00425758">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rsidR="00425758" w:rsidRDefault="00425758">
      <w:pPr>
        <w:pStyle w:val="Footnotesection"/>
      </w:pPr>
      <w:r>
        <w:tab/>
        <w:t>[Rule 5 amended: Gazette 27 Feb 2018 p. 561.]</w:t>
      </w:r>
    </w:p>
    <w:p w:rsidR="00425758" w:rsidRDefault="00425758">
      <w:pPr>
        <w:pStyle w:val="Heading5"/>
        <w:rPr>
          <w:snapToGrid w:val="0"/>
        </w:rPr>
      </w:pPr>
      <w:bookmarkStart w:id="415" w:name="_Toc75863088"/>
      <w:r>
        <w:rPr>
          <w:rStyle w:val="CharSectno"/>
        </w:rPr>
        <w:t>6</w:t>
      </w:r>
      <w:r>
        <w:rPr>
          <w:snapToGrid w:val="0"/>
        </w:rPr>
        <w:t>.</w:t>
      </w:r>
      <w:r>
        <w:rPr>
          <w:snapToGrid w:val="0"/>
        </w:rPr>
        <w:tab/>
        <w:t>Agreement as to payment of money and costs</w:t>
      </w:r>
      <w:bookmarkEnd w:id="415"/>
    </w:p>
    <w:p w:rsidR="00425758" w:rsidRDefault="00425758">
      <w:pPr>
        <w:pStyle w:val="Subsection"/>
        <w:rPr>
          <w:snapToGrid w:val="0"/>
        </w:rPr>
      </w:pPr>
      <w:r>
        <w:rPr>
          <w:snapToGrid w:val="0"/>
        </w:rPr>
        <w:tab/>
        <w:t>(1)</w:t>
      </w:r>
      <w:r>
        <w:rPr>
          <w:snapToGrid w:val="0"/>
        </w:rPr>
        <w:tab/>
        <w:t xml:space="preserve">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w:t>
      </w:r>
      <w:r>
        <w:rPr>
          <w:snapToGrid w:val="0"/>
        </w:rPr>
        <w:lastRenderedPageBreak/>
        <w:t>the Court may direct, shall be paid by a party to another party, either with or without costs of the cause or matter.</w:t>
      </w:r>
    </w:p>
    <w:p w:rsidR="00425758" w:rsidRDefault="00425758">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rsidR="00425758" w:rsidRDefault="00425758">
      <w:pPr>
        <w:pStyle w:val="Heading5"/>
        <w:rPr>
          <w:snapToGrid w:val="0"/>
        </w:rPr>
      </w:pPr>
      <w:bookmarkStart w:id="416" w:name="_Toc75863089"/>
      <w:r>
        <w:rPr>
          <w:rStyle w:val="CharSectno"/>
        </w:rPr>
        <w:t>7</w:t>
      </w:r>
      <w:r>
        <w:rPr>
          <w:snapToGrid w:val="0"/>
        </w:rPr>
        <w:t>.</w:t>
      </w:r>
      <w:r>
        <w:rPr>
          <w:snapToGrid w:val="0"/>
        </w:rPr>
        <w:tab/>
        <w:t>Reference of case to</w:t>
      </w:r>
      <w:r>
        <w:t xml:space="preserve"> Court of Appeal</w:t>
      </w:r>
      <w:r>
        <w:rPr>
          <w:snapToGrid w:val="0"/>
        </w:rPr>
        <w:t xml:space="preserve"> (Act s. 58(1)(d))</w:t>
      </w:r>
      <w:bookmarkEnd w:id="416"/>
    </w:p>
    <w:p w:rsidR="00425758" w:rsidRDefault="00425758">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rsidR="00425758" w:rsidRDefault="00425758">
      <w:pPr>
        <w:pStyle w:val="Footnotesection"/>
      </w:pPr>
      <w:r>
        <w:tab/>
        <w:t>[Rule 7 amended: Gazette 29 Apr 2005 p. 1795.]</w:t>
      </w:r>
    </w:p>
    <w:p w:rsidR="00425758" w:rsidRDefault="00425758">
      <w:pPr>
        <w:pStyle w:val="Heading5"/>
        <w:rPr>
          <w:snapToGrid w:val="0"/>
        </w:rPr>
      </w:pPr>
      <w:bookmarkStart w:id="417" w:name="_Toc75863090"/>
      <w:r>
        <w:rPr>
          <w:rStyle w:val="CharSectno"/>
        </w:rPr>
        <w:t>8</w:t>
      </w:r>
      <w:r>
        <w:rPr>
          <w:snapToGrid w:val="0"/>
        </w:rPr>
        <w:t>.</w:t>
      </w:r>
      <w:r>
        <w:rPr>
          <w:snapToGrid w:val="0"/>
        </w:rPr>
        <w:tab/>
        <w:t>Cases stated to Court (not Court of Appeal) by other courts etc.</w:t>
      </w:r>
      <w:bookmarkEnd w:id="417"/>
    </w:p>
    <w:p w:rsidR="00425758" w:rsidRDefault="00425758">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rsidR="00425758" w:rsidRDefault="00425758">
      <w:pPr>
        <w:pStyle w:val="Subsection"/>
      </w:pPr>
      <w:r>
        <w:tab/>
        <w:t>(1a)</w:t>
      </w:r>
      <w:r>
        <w:tab/>
        <w:t>This rule does not apply to a case stated by a tribunal which is empowered or may be required to state a case on a question of law for determination by or the opinion of the Court of Appeal.</w:t>
      </w:r>
    </w:p>
    <w:p w:rsidR="00425758" w:rsidRDefault="00425758">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rsidR="00425758" w:rsidRDefault="00425758">
      <w:pPr>
        <w:pStyle w:val="Subsection"/>
        <w:rPr>
          <w:snapToGrid w:val="0"/>
        </w:rPr>
      </w:pPr>
      <w:r>
        <w:rPr>
          <w:snapToGrid w:val="0"/>
        </w:rPr>
        <w:tab/>
        <w:t>(3)</w:t>
      </w:r>
      <w:r>
        <w:rPr>
          <w:snapToGrid w:val="0"/>
        </w:rPr>
        <w:tab/>
        <w:t>Rule 1(3), rule 3(2) and rule 7 shall apply to cases under this rule as they apply to special cases stated in the Court.</w:t>
      </w:r>
    </w:p>
    <w:p w:rsidR="00425758" w:rsidRDefault="00425758">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rsidR="00425758" w:rsidRDefault="00425758">
      <w:pPr>
        <w:pStyle w:val="Subsection"/>
        <w:rPr>
          <w:snapToGrid w:val="0"/>
        </w:rPr>
      </w:pPr>
      <w:r>
        <w:rPr>
          <w:snapToGrid w:val="0"/>
        </w:rPr>
        <w:lastRenderedPageBreak/>
        <w:tab/>
        <w:t>(5)</w:t>
      </w:r>
      <w:r>
        <w:rPr>
          <w:snapToGrid w:val="0"/>
        </w:rPr>
        <w:tab/>
        <w:t>The proper officer shall notify the tribunal of the decision of the Court on the case, and of any directions given by that Court thereon.</w:t>
      </w:r>
    </w:p>
    <w:p w:rsidR="00425758" w:rsidRDefault="00425758">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rsidR="00425758" w:rsidRDefault="00425758">
      <w:pPr>
        <w:pStyle w:val="Footnotesection"/>
      </w:pPr>
      <w:r>
        <w:tab/>
        <w:t>[Rule 8 amended: Gazette 29 Apr 2005 p. 1791</w:t>
      </w:r>
      <w:r>
        <w:noBreakHyphen/>
        <w:t xml:space="preserve">2.] </w:t>
      </w:r>
    </w:p>
    <w:p w:rsidR="00425758" w:rsidRDefault="00425758">
      <w:pPr>
        <w:pStyle w:val="Ednotepart"/>
      </w:pPr>
      <w:r>
        <w:t>[Order 31A deleted: Gazette 28 Jul 2010 p. 3466.]</w:t>
      </w:r>
    </w:p>
    <w:p w:rsidR="00425758" w:rsidRDefault="00425758">
      <w:pPr>
        <w:pStyle w:val="Heading2"/>
        <w:rPr>
          <w:b w:val="0"/>
        </w:rPr>
      </w:pPr>
      <w:bookmarkStart w:id="418" w:name="_Toc75511995"/>
      <w:bookmarkStart w:id="419" w:name="_Toc75863091"/>
      <w:r>
        <w:rPr>
          <w:rStyle w:val="CharPartNo"/>
        </w:rPr>
        <w:lastRenderedPageBreak/>
        <w:t>Order 32</w:t>
      </w:r>
      <w:r>
        <w:rPr>
          <w:rStyle w:val="CharDivNo"/>
        </w:rPr>
        <w:t> </w:t>
      </w:r>
      <w:r>
        <w:t>—</w:t>
      </w:r>
      <w:r>
        <w:rPr>
          <w:rStyle w:val="CharDivText"/>
        </w:rPr>
        <w:t> </w:t>
      </w:r>
      <w:r>
        <w:rPr>
          <w:rStyle w:val="CharPartText"/>
        </w:rPr>
        <w:t>Place and mode of trial</w:t>
      </w:r>
      <w:bookmarkEnd w:id="418"/>
      <w:bookmarkEnd w:id="419"/>
    </w:p>
    <w:p w:rsidR="00425758" w:rsidRDefault="00425758">
      <w:pPr>
        <w:pStyle w:val="Heading5"/>
        <w:rPr>
          <w:snapToGrid w:val="0"/>
        </w:rPr>
      </w:pPr>
      <w:bookmarkStart w:id="420" w:name="_Toc75863092"/>
      <w:r>
        <w:rPr>
          <w:rStyle w:val="CharSectno"/>
        </w:rPr>
        <w:t>1</w:t>
      </w:r>
      <w:r>
        <w:rPr>
          <w:snapToGrid w:val="0"/>
        </w:rPr>
        <w:t>.</w:t>
      </w:r>
      <w:r>
        <w:rPr>
          <w:snapToGrid w:val="0"/>
        </w:rPr>
        <w:tab/>
        <w:t>Trial in circuit town</w:t>
      </w:r>
      <w:bookmarkEnd w:id="420"/>
    </w:p>
    <w:p w:rsidR="00425758" w:rsidRDefault="00425758">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rsidR="00425758" w:rsidRDefault="00425758">
      <w:pPr>
        <w:pStyle w:val="Footnotesection"/>
      </w:pPr>
      <w:r>
        <w:tab/>
        <w:t xml:space="preserve">[Rule 1 inserted: Gazette 27 Aug 1976 p. 3223.] </w:t>
      </w:r>
    </w:p>
    <w:p w:rsidR="00425758" w:rsidRDefault="00425758">
      <w:pPr>
        <w:pStyle w:val="Heading5"/>
        <w:rPr>
          <w:snapToGrid w:val="0"/>
        </w:rPr>
      </w:pPr>
      <w:bookmarkStart w:id="421" w:name="_Toc75863093"/>
      <w:r>
        <w:rPr>
          <w:rStyle w:val="CharSectno"/>
        </w:rPr>
        <w:t>2</w:t>
      </w:r>
      <w:r>
        <w:rPr>
          <w:snapToGrid w:val="0"/>
        </w:rPr>
        <w:t>.</w:t>
      </w:r>
      <w:r>
        <w:rPr>
          <w:snapToGrid w:val="0"/>
        </w:rPr>
        <w:tab/>
        <w:t>Application for trial by jury</w:t>
      </w:r>
      <w:bookmarkEnd w:id="421"/>
    </w:p>
    <w:p w:rsidR="00425758" w:rsidRDefault="00425758">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rsidR="00425758" w:rsidRDefault="00425758">
      <w:pPr>
        <w:pStyle w:val="Heading5"/>
        <w:rPr>
          <w:snapToGrid w:val="0"/>
        </w:rPr>
      </w:pPr>
      <w:bookmarkStart w:id="422" w:name="_Toc75863094"/>
      <w:r>
        <w:rPr>
          <w:rStyle w:val="CharSectno"/>
        </w:rPr>
        <w:t>3</w:t>
      </w:r>
      <w:r>
        <w:rPr>
          <w:snapToGrid w:val="0"/>
        </w:rPr>
        <w:t>.</w:t>
      </w:r>
      <w:r>
        <w:rPr>
          <w:snapToGrid w:val="0"/>
        </w:rPr>
        <w:tab/>
        <w:t>Usual mode of trial, other modes</w:t>
      </w:r>
      <w:bookmarkEnd w:id="422"/>
    </w:p>
    <w:p w:rsidR="00425758" w:rsidRDefault="00425758">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rsidR="00425758" w:rsidRDefault="00425758">
      <w:pPr>
        <w:pStyle w:val="Heading5"/>
        <w:rPr>
          <w:snapToGrid w:val="0"/>
        </w:rPr>
      </w:pPr>
      <w:bookmarkStart w:id="423" w:name="_Toc75863095"/>
      <w:r>
        <w:rPr>
          <w:rStyle w:val="CharSectno"/>
        </w:rPr>
        <w:t>4</w:t>
      </w:r>
      <w:r>
        <w:rPr>
          <w:snapToGrid w:val="0"/>
        </w:rPr>
        <w:t>.</w:t>
      </w:r>
      <w:r>
        <w:rPr>
          <w:snapToGrid w:val="0"/>
        </w:rPr>
        <w:tab/>
        <w:t>Time of trial of questions or issues</w:t>
      </w:r>
      <w:bookmarkEnd w:id="423"/>
    </w:p>
    <w:p w:rsidR="00425758" w:rsidRDefault="00425758">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rsidR="00425758" w:rsidRDefault="00425758">
      <w:pPr>
        <w:pStyle w:val="Heading5"/>
        <w:rPr>
          <w:snapToGrid w:val="0"/>
        </w:rPr>
      </w:pPr>
      <w:bookmarkStart w:id="424" w:name="_Toc75863096"/>
      <w:r>
        <w:rPr>
          <w:rStyle w:val="CharSectno"/>
        </w:rPr>
        <w:t>5</w:t>
      </w:r>
      <w:r>
        <w:rPr>
          <w:snapToGrid w:val="0"/>
        </w:rPr>
        <w:t>.</w:t>
      </w:r>
      <w:r>
        <w:rPr>
          <w:snapToGrid w:val="0"/>
        </w:rPr>
        <w:tab/>
        <w:t>Issues may be tried differently</w:t>
      </w:r>
      <w:bookmarkEnd w:id="424"/>
    </w:p>
    <w:p w:rsidR="00425758" w:rsidRDefault="00425758">
      <w:pPr>
        <w:pStyle w:val="Subsection"/>
        <w:rPr>
          <w:snapToGrid w:val="0"/>
        </w:rPr>
      </w:pPr>
      <w:r>
        <w:rPr>
          <w:snapToGrid w:val="0"/>
        </w:rPr>
        <w:tab/>
      </w:r>
      <w:r>
        <w:rPr>
          <w:snapToGrid w:val="0"/>
        </w:rPr>
        <w:tab/>
        <w:t xml:space="preserve">In any cause or matter the Court may at any time, or from time to time, order that different questions or issues arising therein be </w:t>
      </w:r>
      <w:r>
        <w:rPr>
          <w:snapToGrid w:val="0"/>
        </w:rPr>
        <w:lastRenderedPageBreak/>
        <w:t>tried at different places or by different modes of trial, and that one or more questions or issues be tried before the others.</w:t>
      </w:r>
    </w:p>
    <w:p w:rsidR="00425758" w:rsidRDefault="00425758">
      <w:pPr>
        <w:pStyle w:val="Heading5"/>
        <w:rPr>
          <w:snapToGrid w:val="0"/>
        </w:rPr>
      </w:pPr>
      <w:bookmarkStart w:id="425" w:name="_Toc75863097"/>
      <w:r>
        <w:rPr>
          <w:rStyle w:val="CharSectno"/>
        </w:rPr>
        <w:t>6</w:t>
      </w:r>
      <w:r>
        <w:rPr>
          <w:snapToGrid w:val="0"/>
        </w:rPr>
        <w:t>.</w:t>
      </w:r>
      <w:r>
        <w:rPr>
          <w:snapToGrid w:val="0"/>
        </w:rPr>
        <w:tab/>
        <w:t>Trial with jury to be by single judge</w:t>
      </w:r>
      <w:bookmarkEnd w:id="425"/>
    </w:p>
    <w:p w:rsidR="00425758" w:rsidRDefault="00425758">
      <w:pPr>
        <w:pStyle w:val="Subsection"/>
        <w:rPr>
          <w:snapToGrid w:val="0"/>
        </w:rPr>
      </w:pPr>
      <w:r>
        <w:rPr>
          <w:snapToGrid w:val="0"/>
        </w:rPr>
        <w:tab/>
      </w:r>
      <w:r>
        <w:rPr>
          <w:snapToGrid w:val="0"/>
        </w:rPr>
        <w:tab/>
        <w:t>A trial of a question or issue of fact with a jury shall be by a single judge.</w:t>
      </w:r>
    </w:p>
    <w:p w:rsidR="00425758" w:rsidRDefault="00425758">
      <w:pPr>
        <w:pStyle w:val="Heading5"/>
        <w:rPr>
          <w:snapToGrid w:val="0"/>
        </w:rPr>
      </w:pPr>
      <w:bookmarkStart w:id="426" w:name="_Toc75863098"/>
      <w:r>
        <w:rPr>
          <w:rStyle w:val="CharSectno"/>
        </w:rPr>
        <w:t>7</w:t>
      </w:r>
      <w:r>
        <w:rPr>
          <w:snapToGrid w:val="0"/>
        </w:rPr>
        <w:t>.</w:t>
      </w:r>
      <w:r>
        <w:rPr>
          <w:snapToGrid w:val="0"/>
        </w:rPr>
        <w:tab/>
        <w:t>Disposal of action</w:t>
      </w:r>
      <w:bookmarkEnd w:id="426"/>
    </w:p>
    <w:p w:rsidR="00425758" w:rsidRDefault="00425758">
      <w:pPr>
        <w:pStyle w:val="Subsection"/>
        <w:rPr>
          <w:snapToGrid w:val="0"/>
        </w:rPr>
      </w:pPr>
      <w:r>
        <w:rPr>
          <w:snapToGrid w:val="0"/>
        </w:rPr>
        <w:tab/>
      </w:r>
      <w:r>
        <w:rPr>
          <w:snapToGrid w:val="0"/>
        </w:rPr>
        <w:tab/>
        <w:t>Where the decision of a question or issue under this Order — </w:t>
      </w:r>
    </w:p>
    <w:p w:rsidR="00425758" w:rsidRDefault="00425758">
      <w:pPr>
        <w:pStyle w:val="Indenta"/>
        <w:rPr>
          <w:snapToGrid w:val="0"/>
        </w:rPr>
      </w:pPr>
      <w:r>
        <w:rPr>
          <w:snapToGrid w:val="0"/>
        </w:rPr>
        <w:tab/>
        <w:t>(a)</w:t>
      </w:r>
      <w:r>
        <w:rPr>
          <w:snapToGrid w:val="0"/>
        </w:rPr>
        <w:tab/>
        <w:t>substantially disposes of the cause or matter; or</w:t>
      </w:r>
    </w:p>
    <w:p w:rsidR="00425758" w:rsidRDefault="00425758">
      <w:pPr>
        <w:pStyle w:val="Indenta"/>
        <w:rPr>
          <w:snapToGrid w:val="0"/>
        </w:rPr>
      </w:pPr>
      <w:r>
        <w:rPr>
          <w:snapToGrid w:val="0"/>
        </w:rPr>
        <w:tab/>
        <w:t>(b)</w:t>
      </w:r>
      <w:r>
        <w:rPr>
          <w:snapToGrid w:val="0"/>
        </w:rPr>
        <w:tab/>
        <w:t>renders unnecessary the trial or further trial of the cause or matter,</w:t>
      </w:r>
    </w:p>
    <w:p w:rsidR="00425758" w:rsidRDefault="00425758">
      <w:pPr>
        <w:pStyle w:val="Subsection"/>
        <w:rPr>
          <w:snapToGrid w:val="0"/>
        </w:rPr>
      </w:pPr>
      <w:r>
        <w:rPr>
          <w:snapToGrid w:val="0"/>
        </w:rPr>
        <w:tab/>
      </w:r>
      <w:r>
        <w:rPr>
          <w:snapToGrid w:val="0"/>
        </w:rPr>
        <w:tab/>
        <w:t>the Court may dismiss the cause or matter or give such judgment or make such other order as the nature of the case requires.</w:t>
      </w:r>
    </w:p>
    <w:p w:rsidR="00425758" w:rsidRDefault="00425758">
      <w:pPr>
        <w:pStyle w:val="Heading5"/>
      </w:pPr>
      <w:bookmarkStart w:id="427" w:name="_Toc75863099"/>
      <w:r>
        <w:t>8.</w:t>
      </w:r>
      <w:r>
        <w:tab/>
        <w:t>Trial by jury, precepts for etc.</w:t>
      </w:r>
      <w:bookmarkEnd w:id="427"/>
    </w:p>
    <w:p w:rsidR="00425758" w:rsidRDefault="00425758">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rsidR="00425758" w:rsidRDefault="00425758">
      <w:pPr>
        <w:pStyle w:val="Footnotesection"/>
      </w:pPr>
      <w:r>
        <w:tab/>
        <w:t>[Rule 8 inserted: Gazette 29 Apr 2005 p. 1801.]</w:t>
      </w:r>
    </w:p>
    <w:p w:rsidR="00425758" w:rsidRDefault="00425758">
      <w:pPr>
        <w:pStyle w:val="Heading2"/>
        <w:rPr>
          <w:b w:val="0"/>
        </w:rPr>
      </w:pPr>
      <w:bookmarkStart w:id="428" w:name="_Toc75512004"/>
      <w:bookmarkStart w:id="429" w:name="_Toc75863100"/>
      <w:r>
        <w:rPr>
          <w:rStyle w:val="CharPartNo"/>
        </w:rPr>
        <w:lastRenderedPageBreak/>
        <w:t>Order 33</w:t>
      </w:r>
      <w:r>
        <w:rPr>
          <w:rStyle w:val="CharDivNo"/>
        </w:rPr>
        <w:t> </w:t>
      </w:r>
      <w:r>
        <w:t>—</w:t>
      </w:r>
      <w:r>
        <w:rPr>
          <w:rStyle w:val="CharDivText"/>
        </w:rPr>
        <w:t> </w:t>
      </w:r>
      <w:r>
        <w:rPr>
          <w:rStyle w:val="CharPartText"/>
        </w:rPr>
        <w:t>Entry for trial</w:t>
      </w:r>
      <w:bookmarkEnd w:id="428"/>
      <w:bookmarkEnd w:id="429"/>
    </w:p>
    <w:p w:rsidR="00425758" w:rsidRDefault="00425758">
      <w:pPr>
        <w:pStyle w:val="Heading5"/>
      </w:pPr>
      <w:bookmarkStart w:id="430" w:name="_Toc75863101"/>
      <w:r>
        <w:rPr>
          <w:rStyle w:val="CharSectno"/>
        </w:rPr>
        <w:t>1</w:t>
      </w:r>
      <w:r>
        <w:t>.</w:t>
      </w:r>
      <w:r>
        <w:tab/>
        <w:t>Entry for trial</w:t>
      </w:r>
      <w:bookmarkEnd w:id="430"/>
    </w:p>
    <w:p w:rsidR="00425758" w:rsidRDefault="00425758">
      <w:pPr>
        <w:pStyle w:val="Subsection"/>
      </w:pPr>
      <w:r>
        <w:tab/>
      </w:r>
      <w:r>
        <w:tab/>
        <w:t xml:space="preserve">A party cannot enter a cause, matter or issue for trial unless — </w:t>
      </w:r>
    </w:p>
    <w:p w:rsidR="00425758" w:rsidRDefault="00425758">
      <w:pPr>
        <w:pStyle w:val="Indenta"/>
      </w:pPr>
      <w:r>
        <w:tab/>
        <w:t>(a)</w:t>
      </w:r>
      <w:r>
        <w:tab/>
        <w:t xml:space="preserve">the party is satisfied — </w:t>
      </w:r>
    </w:p>
    <w:p w:rsidR="00425758" w:rsidRDefault="00425758">
      <w:pPr>
        <w:pStyle w:val="Indenti"/>
      </w:pPr>
      <w:r>
        <w:tab/>
        <w:t>(i)</w:t>
      </w:r>
      <w:r>
        <w:tab/>
        <w:t xml:space="preserve">that all of the interlocutory steps in relation to the cause, matter or issue are complete; and </w:t>
      </w:r>
    </w:p>
    <w:p w:rsidR="00425758" w:rsidRDefault="00425758">
      <w:pPr>
        <w:pStyle w:val="Indenti"/>
      </w:pPr>
      <w:r>
        <w:tab/>
        <w:t>(ii)</w:t>
      </w:r>
      <w:r>
        <w:tab/>
        <w:t>that the cause, matter or issue is ready for entry;</w:t>
      </w:r>
    </w:p>
    <w:p w:rsidR="00425758" w:rsidRDefault="00425758">
      <w:pPr>
        <w:pStyle w:val="Indenta"/>
      </w:pPr>
      <w:r>
        <w:tab/>
      </w:r>
      <w:r>
        <w:tab/>
        <w:t>or</w:t>
      </w:r>
    </w:p>
    <w:p w:rsidR="00425758" w:rsidRDefault="00425758">
      <w:pPr>
        <w:pStyle w:val="Indenta"/>
      </w:pPr>
      <w:r>
        <w:tab/>
        <w:t>(b)</w:t>
      </w:r>
      <w:r>
        <w:tab/>
        <w:t>the party is directed by the Court to do so.</w:t>
      </w:r>
    </w:p>
    <w:p w:rsidR="00425758" w:rsidRDefault="00425758">
      <w:pPr>
        <w:pStyle w:val="Footnotesection"/>
      </w:pPr>
      <w:r>
        <w:tab/>
        <w:t>[Rule 1 inserted: Gazette 16 Aug 2017 p. 4411.]</w:t>
      </w:r>
    </w:p>
    <w:p w:rsidR="00425758" w:rsidRDefault="00425758">
      <w:pPr>
        <w:pStyle w:val="Heading5"/>
        <w:rPr>
          <w:snapToGrid w:val="0"/>
        </w:rPr>
      </w:pPr>
      <w:bookmarkStart w:id="431" w:name="_Toc75863102"/>
      <w:r>
        <w:rPr>
          <w:rStyle w:val="CharSectno"/>
        </w:rPr>
        <w:t>2</w:t>
      </w:r>
      <w:r>
        <w:rPr>
          <w:snapToGrid w:val="0"/>
        </w:rPr>
        <w:t>.</w:t>
      </w:r>
      <w:r>
        <w:rPr>
          <w:snapToGrid w:val="0"/>
        </w:rPr>
        <w:tab/>
        <w:t>Consequences of failing to enter for trial as directed</w:t>
      </w:r>
      <w:bookmarkEnd w:id="431"/>
    </w:p>
    <w:p w:rsidR="00425758" w:rsidRDefault="00425758">
      <w:pPr>
        <w:pStyle w:val="Subsection"/>
      </w:pPr>
      <w:r>
        <w:tab/>
        <w:t>(1)</w:t>
      </w:r>
      <w:r>
        <w:tab/>
        <w:t xml:space="preserve">In this rule — </w:t>
      </w:r>
    </w:p>
    <w:p w:rsidR="00425758" w:rsidRDefault="00425758">
      <w:pPr>
        <w:pStyle w:val="Defstart"/>
      </w:pPr>
      <w:r>
        <w:tab/>
      </w:r>
      <w:r>
        <w:rPr>
          <w:rStyle w:val="CharDefText"/>
        </w:rPr>
        <w:t>entry period</w:t>
      </w:r>
      <w:r>
        <w:t xml:space="preserve">, in relation to a direction under rule 1(b), means the period starting on the day the direction is given and ending — </w:t>
      </w:r>
    </w:p>
    <w:p w:rsidR="00425758" w:rsidRDefault="00425758">
      <w:pPr>
        <w:pStyle w:val="Defpara"/>
      </w:pPr>
      <w:r>
        <w:tab/>
        <w:t>(a)</w:t>
      </w:r>
      <w:r>
        <w:tab/>
        <w:t xml:space="preserve">at the time specified in the direction as the time by which the cause, matter or issue must be entered for trial; or </w:t>
      </w:r>
    </w:p>
    <w:p w:rsidR="00425758" w:rsidRDefault="00425758">
      <w:pPr>
        <w:pStyle w:val="Defpara"/>
      </w:pPr>
      <w:r>
        <w:tab/>
        <w:t>(b)</w:t>
      </w:r>
      <w:r>
        <w:tab/>
        <w:t>if a time by which the cause, matter or issue must be entered is not specified in the direction, 4 weeks after the day on which the direction is given.</w:t>
      </w:r>
    </w:p>
    <w:p w:rsidR="00425758" w:rsidRDefault="00425758">
      <w:pPr>
        <w:pStyle w:val="Subsection"/>
      </w:pPr>
      <w:r>
        <w:tab/>
        <w:t>(1A)</w:t>
      </w:r>
      <w:r>
        <w:tab/>
        <w:t>A party may enter a cause, matter or issue for trial if another party has been directed under rule 1(b) to enter the cause, matter or issue for trial and has not done so before the end of the entry period.</w:t>
      </w:r>
    </w:p>
    <w:p w:rsidR="00425758" w:rsidRDefault="00425758">
      <w:pPr>
        <w:pStyle w:val="Subsection"/>
      </w:pPr>
      <w:r>
        <w:tab/>
        <w:t>(1B)</w:t>
      </w:r>
      <w:r>
        <w:tab/>
        <w:t>A party may apply to the Court for an order dismissing, for want of prosecution, a cause or matter in respect of a plaintiff’s claim or an issue raised by a plaintiff against the party, if the plaintiff has been directed under rule 1(b) to enter the cause, matter or issue for trial and has not done so before the end of the entry period.</w:t>
      </w:r>
    </w:p>
    <w:p w:rsidR="00425758" w:rsidRDefault="00425758">
      <w:pPr>
        <w:pStyle w:val="Subsection"/>
        <w:rPr>
          <w:snapToGrid w:val="0"/>
        </w:rPr>
      </w:pPr>
      <w:r>
        <w:rPr>
          <w:snapToGrid w:val="0"/>
        </w:rPr>
        <w:lastRenderedPageBreak/>
        <w:tab/>
        <w:t>(2)</w:t>
      </w:r>
      <w:r>
        <w:rPr>
          <w:snapToGrid w:val="0"/>
        </w:rPr>
        <w:tab/>
        <w:t>On an application</w:t>
      </w:r>
      <w:r>
        <w:t xml:space="preserve"> under subrule (1B)</w:t>
      </w:r>
      <w:r>
        <w:rPr>
          <w:snapToGrid w:val="0"/>
        </w:rPr>
        <w:t xml:space="preserve"> to dismiss the cause or matter for want of prosecution, the Court may make such order as may be just either dismissing the claim or striking out the issue or permitting it to go to trial with or without the imposition of terms.</w:t>
      </w:r>
    </w:p>
    <w:p w:rsidR="00425758" w:rsidRDefault="00425758">
      <w:pPr>
        <w:pStyle w:val="Ednotesubsection"/>
      </w:pPr>
      <w:r>
        <w:tab/>
        <w:t>[(3)</w:t>
      </w:r>
      <w:r>
        <w:tab/>
        <w:t>deleted]</w:t>
      </w:r>
    </w:p>
    <w:p w:rsidR="00425758" w:rsidRDefault="00425758">
      <w:pPr>
        <w:pStyle w:val="Footnotesection"/>
      </w:pPr>
      <w:r>
        <w:tab/>
        <w:t>[Rule 2 amended: Gazette 16 Aug 2017 p. 4412.]</w:t>
      </w:r>
    </w:p>
    <w:p w:rsidR="00425758" w:rsidRDefault="00425758">
      <w:pPr>
        <w:pStyle w:val="Heading5"/>
        <w:rPr>
          <w:snapToGrid w:val="0"/>
        </w:rPr>
      </w:pPr>
      <w:bookmarkStart w:id="432" w:name="_Toc75863103"/>
      <w:r>
        <w:rPr>
          <w:rStyle w:val="CharSectno"/>
        </w:rPr>
        <w:t>3</w:t>
      </w:r>
      <w:r>
        <w:rPr>
          <w:snapToGrid w:val="0"/>
        </w:rPr>
        <w:t>.</w:t>
      </w:r>
      <w:r>
        <w:rPr>
          <w:snapToGrid w:val="0"/>
        </w:rPr>
        <w:tab/>
        <w:t>Notice of entry</w:t>
      </w:r>
      <w:bookmarkEnd w:id="432"/>
    </w:p>
    <w:p w:rsidR="00425758" w:rsidRDefault="00425758">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rsidR="00425758" w:rsidRDefault="00425758">
      <w:pPr>
        <w:pStyle w:val="Ednotesubsection"/>
      </w:pPr>
      <w:r>
        <w:tab/>
        <w:t>[(2)</w:t>
      </w:r>
      <w:r>
        <w:tab/>
        <w:t>deleted]</w:t>
      </w:r>
    </w:p>
    <w:p w:rsidR="00425758" w:rsidRDefault="00425758">
      <w:pPr>
        <w:pStyle w:val="Footnotesection"/>
      </w:pPr>
      <w:r>
        <w:tab/>
        <w:t>[Rule 3 amended: Gazette 16 Nov 2016 p. 5199.]</w:t>
      </w:r>
    </w:p>
    <w:p w:rsidR="00425758" w:rsidRDefault="00425758">
      <w:pPr>
        <w:pStyle w:val="Heading5"/>
        <w:rPr>
          <w:snapToGrid w:val="0"/>
        </w:rPr>
      </w:pPr>
      <w:bookmarkStart w:id="433" w:name="_Toc75863104"/>
      <w:r>
        <w:rPr>
          <w:rStyle w:val="CharSectno"/>
        </w:rPr>
        <w:t>4</w:t>
      </w:r>
      <w:r>
        <w:rPr>
          <w:snapToGrid w:val="0"/>
        </w:rPr>
        <w:t>.</w:t>
      </w:r>
      <w:r>
        <w:rPr>
          <w:snapToGrid w:val="0"/>
        </w:rPr>
        <w:tab/>
        <w:t>Form of entry for trial</w:t>
      </w:r>
      <w:bookmarkEnd w:id="433"/>
    </w:p>
    <w:p w:rsidR="00425758" w:rsidRDefault="00425758">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rsidR="00425758" w:rsidRDefault="00425758">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rsidR="00425758" w:rsidRDefault="00425758">
      <w:pPr>
        <w:pStyle w:val="Ednotesection"/>
      </w:pPr>
      <w:r>
        <w:t>[</w:t>
      </w:r>
      <w:r>
        <w:rPr>
          <w:b/>
        </w:rPr>
        <w:t>5-13.</w:t>
      </w:r>
      <w:r>
        <w:tab/>
        <w:t>Deleted: Gazette 16 Aug 2017 p. 4412]</w:t>
      </w:r>
    </w:p>
    <w:p w:rsidR="00425758" w:rsidRDefault="00425758">
      <w:pPr>
        <w:pStyle w:val="Heading5"/>
        <w:rPr>
          <w:snapToGrid w:val="0"/>
        </w:rPr>
      </w:pPr>
      <w:bookmarkStart w:id="434" w:name="_Toc75863105"/>
      <w:r>
        <w:rPr>
          <w:rStyle w:val="CharSectno"/>
        </w:rPr>
        <w:t>14</w:t>
      </w:r>
      <w:r>
        <w:rPr>
          <w:snapToGrid w:val="0"/>
        </w:rPr>
        <w:t>.</w:t>
      </w:r>
      <w:r>
        <w:rPr>
          <w:snapToGrid w:val="0"/>
        </w:rPr>
        <w:tab/>
        <w:t>Papers for judge</w:t>
      </w:r>
      <w:bookmarkEnd w:id="434"/>
    </w:p>
    <w:p w:rsidR="00425758" w:rsidRDefault="00425758">
      <w:pPr>
        <w:pStyle w:val="Subsection"/>
      </w:pPr>
      <w:r>
        <w:tab/>
        <w:t>(1A)</w:t>
      </w:r>
      <w:r>
        <w:tab/>
        <w:t>This rule applies unless otherwise directed by the Court.</w:t>
      </w:r>
    </w:p>
    <w:p w:rsidR="00425758" w:rsidRDefault="00425758">
      <w:pPr>
        <w:pStyle w:val="Subsection"/>
        <w:rPr>
          <w:snapToGrid w:val="0"/>
        </w:rPr>
      </w:pPr>
      <w:r>
        <w:rPr>
          <w:snapToGrid w:val="0"/>
        </w:rPr>
        <w:tab/>
        <w:t>(1)</w:t>
      </w:r>
      <w:r>
        <w:rPr>
          <w:snapToGrid w:val="0"/>
        </w:rPr>
        <w:tab/>
        <w:t xml:space="preserve">The party making an entry for trial shall </w:t>
      </w:r>
      <w:r>
        <w:t>file as a bundle</w:t>
      </w:r>
      <w:r>
        <w:rPr>
          <w:snapToGrid w:val="0"/>
        </w:rPr>
        <w:t xml:space="preserve"> each of the following documents — </w:t>
      </w:r>
    </w:p>
    <w:p w:rsidR="00425758" w:rsidRDefault="00425758">
      <w:pPr>
        <w:pStyle w:val="Indenta"/>
        <w:rPr>
          <w:snapToGrid w:val="0"/>
        </w:rPr>
      </w:pPr>
      <w:r>
        <w:rPr>
          <w:snapToGrid w:val="0"/>
        </w:rPr>
        <w:tab/>
        <w:t>(a)</w:t>
      </w:r>
      <w:r>
        <w:rPr>
          <w:snapToGrid w:val="0"/>
        </w:rPr>
        <w:tab/>
        <w:t>the pleadings and any affidavits ordered to stand as pleadings; and</w:t>
      </w:r>
    </w:p>
    <w:p w:rsidR="00425758" w:rsidRDefault="00425758">
      <w:pPr>
        <w:pStyle w:val="Indenta"/>
        <w:rPr>
          <w:snapToGrid w:val="0"/>
        </w:rPr>
      </w:pPr>
      <w:r>
        <w:rPr>
          <w:snapToGrid w:val="0"/>
        </w:rPr>
        <w:lastRenderedPageBreak/>
        <w:tab/>
        <w:t>(b)</w:t>
      </w:r>
      <w:r>
        <w:rPr>
          <w:snapToGrid w:val="0"/>
        </w:rPr>
        <w:tab/>
        <w:t>any request or order for particulars and the particulars given; and</w:t>
      </w:r>
    </w:p>
    <w:p w:rsidR="00425758" w:rsidRDefault="00425758">
      <w:pPr>
        <w:pStyle w:val="Indenta"/>
        <w:rPr>
          <w:snapToGrid w:val="0"/>
        </w:rPr>
      </w:pPr>
      <w:r>
        <w:rPr>
          <w:snapToGrid w:val="0"/>
        </w:rPr>
        <w:tab/>
        <w:t>(c)</w:t>
      </w:r>
      <w:r>
        <w:rPr>
          <w:snapToGrid w:val="0"/>
        </w:rPr>
        <w:tab/>
        <w:t>any order for directions made under Order 19 rule 4; and</w:t>
      </w:r>
    </w:p>
    <w:p w:rsidR="00425758" w:rsidRDefault="00425758">
      <w:pPr>
        <w:pStyle w:val="Indenta"/>
        <w:rPr>
          <w:snapToGrid w:val="0"/>
        </w:rPr>
      </w:pPr>
      <w:r>
        <w:rPr>
          <w:snapToGrid w:val="0"/>
        </w:rPr>
        <w:tab/>
        <w:t>(d)</w:t>
      </w:r>
      <w:r>
        <w:rPr>
          <w:snapToGrid w:val="0"/>
        </w:rPr>
        <w:tab/>
        <w:t>where an issue in an action is being entered, any order relating to the trial of that issue.</w:t>
      </w:r>
    </w:p>
    <w:p w:rsidR="00425758" w:rsidRDefault="00425758">
      <w:pPr>
        <w:pStyle w:val="Subsection"/>
        <w:rPr>
          <w:snapToGrid w:val="0"/>
        </w:rPr>
      </w:pPr>
      <w:r>
        <w:rPr>
          <w:snapToGrid w:val="0"/>
        </w:rPr>
        <w:tab/>
        <w:t>(2)</w:t>
      </w:r>
      <w:r>
        <w:rPr>
          <w:snapToGrid w:val="0"/>
        </w:rPr>
        <w:tab/>
        <w:t xml:space="preserve">Where the pleadings are amended after entry for trial but before </w:t>
      </w:r>
      <w:r>
        <w:t xml:space="preserve">the trial, </w:t>
      </w:r>
      <w:r>
        <w:rPr>
          <w:snapToGrid w:val="0"/>
        </w:rPr>
        <w:t xml:space="preserve">the party who made the entry shall forthwith after the filing of the amended pleading, or of any further pleading filed in consequence of the first amendment, file </w:t>
      </w:r>
      <w:r>
        <w:t>a further copy</w:t>
      </w:r>
      <w:r>
        <w:rPr>
          <w:snapToGrid w:val="0"/>
        </w:rPr>
        <w:t xml:space="preserve"> of the whole of the pleadings as amended.</w:t>
      </w:r>
    </w:p>
    <w:p w:rsidR="00425758" w:rsidRDefault="00425758">
      <w:pPr>
        <w:pStyle w:val="Subsection"/>
        <w:rPr>
          <w:snapToGrid w:val="0"/>
        </w:rPr>
      </w:pPr>
      <w:r>
        <w:rPr>
          <w:snapToGrid w:val="0"/>
        </w:rPr>
        <w:tab/>
        <w:t>(3)</w:t>
      </w:r>
      <w:r>
        <w:rPr>
          <w:snapToGrid w:val="0"/>
        </w:rPr>
        <w:tab/>
        <w:t xml:space="preserve">Where the pleadings are amended at trial a party </w:t>
      </w:r>
      <w:r>
        <w:t>must</w:t>
      </w:r>
      <w:r>
        <w:rPr>
          <w:snapToGrid w:val="0"/>
        </w:rPr>
        <w:t xml:space="preserve"> file </w:t>
      </w:r>
      <w:r>
        <w:t>a further copy</w:t>
      </w:r>
      <w:r>
        <w:rPr>
          <w:snapToGrid w:val="0"/>
        </w:rPr>
        <w:t xml:space="preserve"> of the whole of the pleadings as amended.</w:t>
      </w:r>
    </w:p>
    <w:p w:rsidR="00425758" w:rsidRDefault="00425758">
      <w:pPr>
        <w:pStyle w:val="Subsection"/>
        <w:rPr>
          <w:snapToGrid w:val="0"/>
        </w:rPr>
      </w:pPr>
      <w:r>
        <w:rPr>
          <w:snapToGrid w:val="0"/>
        </w:rPr>
        <w:tab/>
        <w:t>(4)</w:t>
      </w:r>
      <w:r>
        <w:rPr>
          <w:snapToGrid w:val="0"/>
        </w:rPr>
        <w:tab/>
        <w:t>All copies of pleadings required by this rule to be filed must be clear copies of the pleadings as amended, with a suitable notation of the date or dates of any amendments.</w:t>
      </w:r>
    </w:p>
    <w:p w:rsidR="00425758" w:rsidRDefault="00425758">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rsidR="00425758" w:rsidRDefault="00425758">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rsidR="00425758" w:rsidRDefault="00425758">
      <w:pPr>
        <w:pStyle w:val="Footnotesection"/>
      </w:pPr>
      <w:r>
        <w:tab/>
        <w:t xml:space="preserve">[Rule 14 amended: Gazette 10 Jan 1975 p. 50; 16 Aug 2017 p. 4413; 27 Feb 2018 p. 561.] </w:t>
      </w:r>
    </w:p>
    <w:p w:rsidR="00425758" w:rsidRDefault="00425758">
      <w:pPr>
        <w:pStyle w:val="Heading2"/>
        <w:rPr>
          <w:b w:val="0"/>
        </w:rPr>
      </w:pPr>
      <w:bookmarkStart w:id="435" w:name="_Toc75512010"/>
      <w:bookmarkStart w:id="436" w:name="_Toc75863106"/>
      <w:r>
        <w:rPr>
          <w:rStyle w:val="CharPartNo"/>
        </w:rPr>
        <w:lastRenderedPageBreak/>
        <w:t>Order 34</w:t>
      </w:r>
      <w:r>
        <w:rPr>
          <w:rStyle w:val="CharDivNo"/>
        </w:rPr>
        <w:t> </w:t>
      </w:r>
      <w:r>
        <w:t>—</w:t>
      </w:r>
      <w:r>
        <w:rPr>
          <w:rStyle w:val="CharDivText"/>
        </w:rPr>
        <w:t> </w:t>
      </w:r>
      <w:r>
        <w:rPr>
          <w:rStyle w:val="CharPartText"/>
        </w:rPr>
        <w:t>Proceedings at trial</w:t>
      </w:r>
      <w:bookmarkEnd w:id="435"/>
      <w:bookmarkEnd w:id="436"/>
    </w:p>
    <w:p w:rsidR="00425758" w:rsidRDefault="00425758">
      <w:pPr>
        <w:pStyle w:val="Heading5"/>
      </w:pPr>
      <w:bookmarkStart w:id="437" w:name="_Toc75863107"/>
      <w:r>
        <w:rPr>
          <w:rStyle w:val="CharSectno"/>
        </w:rPr>
        <w:t>1A</w:t>
      </w:r>
      <w:r>
        <w:t>.</w:t>
      </w:r>
      <w:r>
        <w:tab/>
        <w:t>Outlines for trial</w:t>
      </w:r>
      <w:bookmarkEnd w:id="437"/>
    </w:p>
    <w:p w:rsidR="00425758" w:rsidRDefault="00425758">
      <w:pPr>
        <w:pStyle w:val="Subsection"/>
      </w:pPr>
      <w:r>
        <w:tab/>
        <w:t>(1)</w:t>
      </w:r>
      <w:r>
        <w:tab/>
        <w:t>Unless the Court orders otherwise, each party who is directed to provide an outline must file and serve it on each other party —</w:t>
      </w:r>
    </w:p>
    <w:p w:rsidR="00425758" w:rsidRDefault="00425758">
      <w:pPr>
        <w:pStyle w:val="Indenta"/>
      </w:pPr>
      <w:r>
        <w:tab/>
        <w:t>(a)</w:t>
      </w:r>
      <w:r>
        <w:tab/>
        <w:t>if the outline is on paper, at least 4 clear days before the trial; or</w:t>
      </w:r>
    </w:p>
    <w:p w:rsidR="00425758" w:rsidRDefault="00425758">
      <w:pPr>
        <w:pStyle w:val="Indenta"/>
      </w:pPr>
      <w:r>
        <w:tab/>
        <w:t>(b)</w:t>
      </w:r>
      <w:r>
        <w:tab/>
        <w:t>if the outline is in a digital form, at least 2 clear days before the trial.</w:t>
      </w:r>
    </w:p>
    <w:p w:rsidR="00425758" w:rsidRDefault="00425758">
      <w:pPr>
        <w:pStyle w:val="Subsection"/>
      </w:pPr>
      <w:r>
        <w:tab/>
        <w:t>(2)</w:t>
      </w:r>
      <w:r>
        <w:tab/>
        <w:t>A party’s outline must contain —</w:t>
      </w:r>
    </w:p>
    <w:p w:rsidR="00425758" w:rsidRDefault="00425758">
      <w:pPr>
        <w:pStyle w:val="Indenta"/>
      </w:pPr>
      <w:r>
        <w:tab/>
        <w:t>(a)</w:t>
      </w:r>
      <w:r>
        <w:tab/>
        <w:t>a summary of the submissions the party intends to make at the trial; and</w:t>
      </w:r>
    </w:p>
    <w:p w:rsidR="00425758" w:rsidRDefault="00425758">
      <w:pPr>
        <w:pStyle w:val="Indenta"/>
      </w:pPr>
      <w:r>
        <w:tab/>
        <w:t>(b)</w:t>
      </w:r>
      <w:r>
        <w:tab/>
        <w:t>if the party considers it would be useful at the trial, a chronology of relevant events; and</w:t>
      </w:r>
    </w:p>
    <w:p w:rsidR="00425758" w:rsidRDefault="00425758">
      <w:pPr>
        <w:pStyle w:val="Indenta"/>
      </w:pPr>
      <w:r>
        <w:tab/>
        <w:t>(c)</w:t>
      </w:r>
      <w:r>
        <w:tab/>
        <w:t>a list of the cases and legislation referred to in the submissions.</w:t>
      </w:r>
    </w:p>
    <w:p w:rsidR="00425758" w:rsidRDefault="00425758">
      <w:pPr>
        <w:pStyle w:val="Footnotesection"/>
      </w:pPr>
      <w:r>
        <w:tab/>
        <w:t>[Rule 1A inserted: Gazette 16 Aug 2017 p. 4413</w:t>
      </w:r>
      <w:r>
        <w:noBreakHyphen/>
        <w:t>14.]</w:t>
      </w:r>
    </w:p>
    <w:p w:rsidR="00425758" w:rsidRDefault="00425758">
      <w:pPr>
        <w:pStyle w:val="Heading5"/>
        <w:rPr>
          <w:snapToGrid w:val="0"/>
        </w:rPr>
      </w:pPr>
      <w:bookmarkStart w:id="438" w:name="_Toc75863108"/>
      <w:r>
        <w:rPr>
          <w:rStyle w:val="CharSectno"/>
        </w:rPr>
        <w:t>1</w:t>
      </w:r>
      <w:r>
        <w:rPr>
          <w:snapToGrid w:val="0"/>
        </w:rPr>
        <w:t>.</w:t>
      </w:r>
      <w:r>
        <w:rPr>
          <w:snapToGrid w:val="0"/>
        </w:rPr>
        <w:tab/>
        <w:t>Absence of both parties at trial</w:t>
      </w:r>
      <w:bookmarkEnd w:id="438"/>
    </w:p>
    <w:p w:rsidR="00425758" w:rsidRDefault="00425758">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rsidR="00425758" w:rsidRDefault="00425758">
      <w:pPr>
        <w:pStyle w:val="Heading5"/>
        <w:rPr>
          <w:snapToGrid w:val="0"/>
        </w:rPr>
      </w:pPr>
      <w:bookmarkStart w:id="439" w:name="_Toc75863109"/>
      <w:r>
        <w:rPr>
          <w:rStyle w:val="CharSectno"/>
        </w:rPr>
        <w:t>2</w:t>
      </w:r>
      <w:r>
        <w:rPr>
          <w:snapToGrid w:val="0"/>
        </w:rPr>
        <w:t>.</w:t>
      </w:r>
      <w:r>
        <w:rPr>
          <w:snapToGrid w:val="0"/>
        </w:rPr>
        <w:tab/>
        <w:t>Absence of one party at trial</w:t>
      </w:r>
      <w:bookmarkEnd w:id="439"/>
    </w:p>
    <w:p w:rsidR="00425758" w:rsidRDefault="00425758">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rsidR="00425758" w:rsidRDefault="00425758">
      <w:pPr>
        <w:pStyle w:val="Heading5"/>
        <w:rPr>
          <w:snapToGrid w:val="0"/>
        </w:rPr>
      </w:pPr>
      <w:bookmarkStart w:id="440" w:name="_Toc75863110"/>
      <w:r>
        <w:rPr>
          <w:rStyle w:val="CharSectno"/>
        </w:rPr>
        <w:t>3</w:t>
      </w:r>
      <w:r>
        <w:rPr>
          <w:snapToGrid w:val="0"/>
        </w:rPr>
        <w:t>.</w:t>
      </w:r>
      <w:r>
        <w:rPr>
          <w:snapToGrid w:val="0"/>
        </w:rPr>
        <w:tab/>
        <w:t>Setting aside judgment given in absence of party</w:t>
      </w:r>
      <w:bookmarkEnd w:id="440"/>
    </w:p>
    <w:p w:rsidR="00425758" w:rsidRDefault="00425758">
      <w:pPr>
        <w:pStyle w:val="Subsection"/>
        <w:rPr>
          <w:snapToGrid w:val="0"/>
        </w:rPr>
      </w:pPr>
      <w:r>
        <w:rPr>
          <w:snapToGrid w:val="0"/>
        </w:rPr>
        <w:tab/>
      </w:r>
      <w:r>
        <w:rPr>
          <w:snapToGrid w:val="0"/>
        </w:rPr>
        <w:tab/>
        <w:t xml:space="preserve">Any judgment, order, or verdict obtained where one party does not appear at the trial may be set aside by the Court upon such </w:t>
      </w:r>
      <w:r>
        <w:rPr>
          <w:snapToGrid w:val="0"/>
        </w:rPr>
        <w:lastRenderedPageBreak/>
        <w:t>terms as the Court thinks just upon application made within 14 days after the trial.</w:t>
      </w:r>
    </w:p>
    <w:p w:rsidR="00425758" w:rsidRDefault="00425758">
      <w:pPr>
        <w:pStyle w:val="Heading5"/>
        <w:rPr>
          <w:snapToGrid w:val="0"/>
        </w:rPr>
      </w:pPr>
      <w:bookmarkStart w:id="441" w:name="_Toc75863111"/>
      <w:r>
        <w:rPr>
          <w:rStyle w:val="CharSectno"/>
        </w:rPr>
        <w:t>4</w:t>
      </w:r>
      <w:r>
        <w:rPr>
          <w:snapToGrid w:val="0"/>
        </w:rPr>
        <w:t>.</w:t>
      </w:r>
      <w:r>
        <w:rPr>
          <w:snapToGrid w:val="0"/>
        </w:rPr>
        <w:tab/>
        <w:t>Adjournment of trial</w:t>
      </w:r>
      <w:bookmarkEnd w:id="441"/>
    </w:p>
    <w:p w:rsidR="00425758" w:rsidRDefault="00425758">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rsidR="00425758" w:rsidRDefault="00425758">
      <w:pPr>
        <w:pStyle w:val="Heading5"/>
        <w:rPr>
          <w:snapToGrid w:val="0"/>
        </w:rPr>
      </w:pPr>
      <w:bookmarkStart w:id="442" w:name="_Toc75863112"/>
      <w:r>
        <w:rPr>
          <w:rStyle w:val="CharSectno"/>
        </w:rPr>
        <w:t>5</w:t>
      </w:r>
      <w:r>
        <w:rPr>
          <w:snapToGrid w:val="0"/>
        </w:rPr>
        <w:t>.</w:t>
      </w:r>
      <w:r>
        <w:rPr>
          <w:snapToGrid w:val="0"/>
        </w:rPr>
        <w:tab/>
        <w:t>Conduct of trial</w:t>
      </w:r>
      <w:bookmarkEnd w:id="442"/>
    </w:p>
    <w:p w:rsidR="00425758" w:rsidRDefault="00425758">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rsidR="00425758" w:rsidRDefault="00425758">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rsidR="00425758" w:rsidRDefault="00425758">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rsidR="00425758" w:rsidRDefault="00425758">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rsidR="00425758" w:rsidRDefault="00425758">
      <w:pPr>
        <w:pStyle w:val="Subsection"/>
        <w:rPr>
          <w:snapToGrid w:val="0"/>
        </w:rPr>
      </w:pPr>
      <w:r>
        <w:rPr>
          <w:snapToGrid w:val="0"/>
        </w:rPr>
        <w:tab/>
        <w:t>(5)</w:t>
      </w:r>
      <w:r>
        <w:rPr>
          <w:snapToGrid w:val="0"/>
        </w:rPr>
        <w:tab/>
        <w:t xml:space="preserve">At the conclusion of all the evidence at a trial, the Court may direct the parties to </w:t>
      </w:r>
      <w:r>
        <w:t>file</w:t>
      </w:r>
      <w:r>
        <w:rPr>
          <w:snapToGrid w:val="0"/>
        </w:rPr>
        <w:t xml:space="preserve"> written submissions instead of or as adjuncts to their closing addresses.</w:t>
      </w:r>
    </w:p>
    <w:p w:rsidR="00425758" w:rsidRDefault="00425758">
      <w:pPr>
        <w:pStyle w:val="Footnotesection"/>
      </w:pPr>
      <w:r>
        <w:tab/>
        <w:t>[Rule 5 amended: Gazette 28 Oct 1996 p. 5695; 28 Jun 2011 p. 2552</w:t>
      </w:r>
      <w:r>
        <w:noBreakHyphen/>
        <w:t xml:space="preserve">3; 27 Feb 2018 p. 561.] </w:t>
      </w:r>
    </w:p>
    <w:p w:rsidR="00425758" w:rsidRDefault="00425758">
      <w:pPr>
        <w:pStyle w:val="Heading5"/>
        <w:rPr>
          <w:snapToGrid w:val="0"/>
        </w:rPr>
      </w:pPr>
      <w:bookmarkStart w:id="443" w:name="_Toc75863113"/>
      <w:r>
        <w:rPr>
          <w:rStyle w:val="CharSectno"/>
        </w:rPr>
        <w:lastRenderedPageBreak/>
        <w:t>5A</w:t>
      </w:r>
      <w:r>
        <w:rPr>
          <w:snapToGrid w:val="0"/>
        </w:rPr>
        <w:t>.</w:t>
      </w:r>
      <w:r>
        <w:rPr>
          <w:snapToGrid w:val="0"/>
        </w:rPr>
        <w:tab/>
        <w:t>Time etc. limits at trial</w:t>
      </w:r>
      <w:bookmarkEnd w:id="443"/>
      <w:r>
        <w:rPr>
          <w:snapToGrid w:val="0"/>
        </w:rPr>
        <w:t xml:space="preserve"> </w:t>
      </w:r>
    </w:p>
    <w:p w:rsidR="00425758" w:rsidRDefault="00425758">
      <w:pPr>
        <w:pStyle w:val="Subsection"/>
        <w:rPr>
          <w:snapToGrid w:val="0"/>
        </w:rPr>
      </w:pPr>
      <w:r>
        <w:rPr>
          <w:snapToGrid w:val="0"/>
        </w:rPr>
        <w:tab/>
        <w:t>(1)</w:t>
      </w:r>
      <w:r>
        <w:rPr>
          <w:snapToGrid w:val="0"/>
        </w:rPr>
        <w:tab/>
        <w:t>A judge may at any time by direction — </w:t>
      </w:r>
    </w:p>
    <w:p w:rsidR="00425758" w:rsidRDefault="00425758">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rsidR="00425758" w:rsidRDefault="00425758">
      <w:pPr>
        <w:pStyle w:val="Indenta"/>
        <w:rPr>
          <w:snapToGrid w:val="0"/>
        </w:rPr>
      </w:pPr>
      <w:r>
        <w:rPr>
          <w:snapToGrid w:val="0"/>
        </w:rPr>
        <w:tab/>
        <w:t>(b)</w:t>
      </w:r>
      <w:r>
        <w:rPr>
          <w:snapToGrid w:val="0"/>
        </w:rPr>
        <w:tab/>
        <w:t>limit the number of witnesses (including expert witnesses) that a party may call on a particular issue;</w:t>
      </w:r>
    </w:p>
    <w:p w:rsidR="00425758" w:rsidRDefault="00425758">
      <w:pPr>
        <w:pStyle w:val="Indenta"/>
        <w:rPr>
          <w:snapToGrid w:val="0"/>
        </w:rPr>
      </w:pPr>
      <w:r>
        <w:rPr>
          <w:snapToGrid w:val="0"/>
        </w:rPr>
        <w:tab/>
        <w:t>(c)</w:t>
      </w:r>
      <w:r>
        <w:rPr>
          <w:snapToGrid w:val="0"/>
        </w:rPr>
        <w:tab/>
        <w:t>limit the time to be taken in making any oral submission;</w:t>
      </w:r>
    </w:p>
    <w:p w:rsidR="00425758" w:rsidRDefault="00425758">
      <w:pPr>
        <w:pStyle w:val="Indenta"/>
        <w:rPr>
          <w:snapToGrid w:val="0"/>
        </w:rPr>
      </w:pPr>
      <w:r>
        <w:rPr>
          <w:snapToGrid w:val="0"/>
        </w:rPr>
        <w:tab/>
        <w:t>(d)</w:t>
      </w:r>
      <w:r>
        <w:rPr>
          <w:snapToGrid w:val="0"/>
        </w:rPr>
        <w:tab/>
        <w:t>limit the time to be taken by a party in presenting its case;</w:t>
      </w:r>
    </w:p>
    <w:p w:rsidR="00425758" w:rsidRDefault="00425758">
      <w:pPr>
        <w:pStyle w:val="Indenta"/>
        <w:rPr>
          <w:snapToGrid w:val="0"/>
        </w:rPr>
      </w:pPr>
      <w:r>
        <w:rPr>
          <w:snapToGrid w:val="0"/>
        </w:rPr>
        <w:tab/>
        <w:t>(e)</w:t>
      </w:r>
      <w:r>
        <w:rPr>
          <w:snapToGrid w:val="0"/>
        </w:rPr>
        <w:tab/>
        <w:t>limit the time to be taken by the trial;</w:t>
      </w:r>
    </w:p>
    <w:p w:rsidR="00425758" w:rsidRDefault="00425758">
      <w:pPr>
        <w:pStyle w:val="Indenta"/>
        <w:rPr>
          <w:snapToGrid w:val="0"/>
        </w:rPr>
      </w:pPr>
      <w:r>
        <w:rPr>
          <w:snapToGrid w:val="0"/>
        </w:rPr>
        <w:tab/>
        <w:t>(f)</w:t>
      </w:r>
      <w:r>
        <w:rPr>
          <w:snapToGrid w:val="0"/>
        </w:rPr>
        <w:tab/>
        <w:t>amend any such limitation.</w:t>
      </w:r>
    </w:p>
    <w:p w:rsidR="00425758" w:rsidRDefault="00425758">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rsidR="00425758" w:rsidRDefault="00425758">
      <w:pPr>
        <w:pStyle w:val="Indenta"/>
        <w:rPr>
          <w:snapToGrid w:val="0"/>
        </w:rPr>
      </w:pPr>
      <w:r>
        <w:rPr>
          <w:snapToGrid w:val="0"/>
        </w:rPr>
        <w:tab/>
        <w:t>(a)</w:t>
      </w:r>
      <w:r>
        <w:rPr>
          <w:snapToGrid w:val="0"/>
        </w:rPr>
        <w:tab/>
        <w:t>the time limited for a trial must be reasonable; and</w:t>
      </w:r>
    </w:p>
    <w:p w:rsidR="00425758" w:rsidRDefault="00425758">
      <w:pPr>
        <w:pStyle w:val="Indenta"/>
        <w:rPr>
          <w:snapToGrid w:val="0"/>
        </w:rPr>
      </w:pPr>
      <w:r>
        <w:rPr>
          <w:snapToGrid w:val="0"/>
        </w:rPr>
        <w:tab/>
        <w:t>(b)</w:t>
      </w:r>
      <w:r>
        <w:rPr>
          <w:snapToGrid w:val="0"/>
        </w:rPr>
        <w:tab/>
        <w:t>any such direction must not detract from the principle that each party is entitled to a fair trial; and</w:t>
      </w:r>
    </w:p>
    <w:p w:rsidR="00425758" w:rsidRDefault="00425758">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rsidR="00425758" w:rsidRDefault="00425758">
      <w:pPr>
        <w:pStyle w:val="Indenta"/>
        <w:rPr>
          <w:snapToGrid w:val="0"/>
        </w:rPr>
      </w:pPr>
      <w:r>
        <w:rPr>
          <w:snapToGrid w:val="0"/>
        </w:rPr>
        <w:tab/>
        <w:t>(d)</w:t>
      </w:r>
      <w:r>
        <w:rPr>
          <w:snapToGrid w:val="0"/>
        </w:rPr>
        <w:tab/>
        <w:t>the complexity or simplicity of the case; and</w:t>
      </w:r>
    </w:p>
    <w:p w:rsidR="00425758" w:rsidRDefault="00425758">
      <w:pPr>
        <w:pStyle w:val="Indenta"/>
        <w:rPr>
          <w:snapToGrid w:val="0"/>
        </w:rPr>
      </w:pPr>
      <w:r>
        <w:rPr>
          <w:snapToGrid w:val="0"/>
        </w:rPr>
        <w:tab/>
        <w:t>(e)</w:t>
      </w:r>
      <w:r>
        <w:rPr>
          <w:snapToGrid w:val="0"/>
        </w:rPr>
        <w:tab/>
        <w:t>the number of witnesses to be called by the parties; and</w:t>
      </w:r>
    </w:p>
    <w:p w:rsidR="00425758" w:rsidRDefault="00425758">
      <w:pPr>
        <w:pStyle w:val="Indenta"/>
        <w:rPr>
          <w:snapToGrid w:val="0"/>
        </w:rPr>
      </w:pPr>
      <w:r>
        <w:rPr>
          <w:snapToGrid w:val="0"/>
        </w:rPr>
        <w:tab/>
        <w:t>(f)</w:t>
      </w:r>
      <w:r>
        <w:rPr>
          <w:snapToGrid w:val="0"/>
        </w:rPr>
        <w:tab/>
        <w:t>the volume and character of the evidence to be led; and</w:t>
      </w:r>
    </w:p>
    <w:p w:rsidR="00425758" w:rsidRDefault="00425758">
      <w:pPr>
        <w:pStyle w:val="Indenta"/>
        <w:rPr>
          <w:snapToGrid w:val="0"/>
        </w:rPr>
      </w:pPr>
      <w:r>
        <w:rPr>
          <w:snapToGrid w:val="0"/>
        </w:rPr>
        <w:tab/>
        <w:t>(g)</w:t>
      </w:r>
      <w:r>
        <w:rPr>
          <w:snapToGrid w:val="0"/>
        </w:rPr>
        <w:tab/>
        <w:t>the state of the Court lists; and</w:t>
      </w:r>
    </w:p>
    <w:p w:rsidR="00425758" w:rsidRDefault="00425758">
      <w:pPr>
        <w:pStyle w:val="Indenta"/>
        <w:rPr>
          <w:snapToGrid w:val="0"/>
        </w:rPr>
      </w:pPr>
      <w:r>
        <w:rPr>
          <w:snapToGrid w:val="0"/>
        </w:rPr>
        <w:tab/>
        <w:t>(h)</w:t>
      </w:r>
      <w:r>
        <w:rPr>
          <w:snapToGrid w:val="0"/>
        </w:rPr>
        <w:tab/>
        <w:t>the time expected to be taken for the trial; and</w:t>
      </w:r>
    </w:p>
    <w:p w:rsidR="00425758" w:rsidRDefault="00425758">
      <w:pPr>
        <w:pStyle w:val="Indenta"/>
        <w:rPr>
          <w:snapToGrid w:val="0"/>
        </w:rPr>
      </w:pPr>
      <w:r>
        <w:rPr>
          <w:snapToGrid w:val="0"/>
        </w:rPr>
        <w:tab/>
        <w:t>(i)</w:t>
      </w:r>
      <w:r>
        <w:rPr>
          <w:snapToGrid w:val="0"/>
        </w:rPr>
        <w:tab/>
        <w:t>the importance of the issues and the case as a whole.</w:t>
      </w:r>
    </w:p>
    <w:p w:rsidR="00425758" w:rsidRDefault="00425758">
      <w:pPr>
        <w:pStyle w:val="Footnotesection"/>
      </w:pPr>
      <w:r>
        <w:tab/>
        <w:t>[Rule 5A inserted: Gazette 28 Oct 1996 p. 5695</w:t>
      </w:r>
      <w:r>
        <w:noBreakHyphen/>
        <w:t xml:space="preserve">6.] </w:t>
      </w:r>
    </w:p>
    <w:p w:rsidR="00425758" w:rsidRDefault="00425758">
      <w:pPr>
        <w:pStyle w:val="Heading5"/>
        <w:rPr>
          <w:snapToGrid w:val="0"/>
        </w:rPr>
      </w:pPr>
      <w:bookmarkStart w:id="444" w:name="_Toc75863114"/>
      <w:r>
        <w:rPr>
          <w:rStyle w:val="CharSectno"/>
        </w:rPr>
        <w:t>6</w:t>
      </w:r>
      <w:r>
        <w:rPr>
          <w:snapToGrid w:val="0"/>
        </w:rPr>
        <w:t>.</w:t>
      </w:r>
      <w:r>
        <w:rPr>
          <w:snapToGrid w:val="0"/>
        </w:rPr>
        <w:tab/>
        <w:t>Evidence in mitigation of damages for defamation</w:t>
      </w:r>
      <w:bookmarkEnd w:id="444"/>
    </w:p>
    <w:p w:rsidR="00425758" w:rsidRDefault="00425758">
      <w:pPr>
        <w:pStyle w:val="Subsection"/>
        <w:rPr>
          <w:snapToGrid w:val="0"/>
        </w:rPr>
      </w:pPr>
      <w:r>
        <w:rPr>
          <w:snapToGrid w:val="0"/>
        </w:rPr>
        <w:tab/>
      </w:r>
      <w:r>
        <w:rPr>
          <w:snapToGrid w:val="0"/>
        </w:rPr>
        <w:tab/>
        <w:t xml:space="preserve">In actions for </w:t>
      </w:r>
      <w:r>
        <w:t>defamation</w:t>
      </w:r>
      <w:r>
        <w:rPr>
          <w:snapToGrid w:val="0"/>
        </w:rPr>
        <w:t xml:space="preserve"> in which the defendant does not by his defence assert the truth of the statement complained of, the </w:t>
      </w:r>
      <w:r>
        <w:rPr>
          <w:snapToGrid w:val="0"/>
        </w:rPr>
        <w:lastRenderedPageBreak/>
        <w:t xml:space="preserve">defendant shall not be entitled on the trial to give evidence in chief, with a view to mitigation of damages, as to the circumstances under which the </w:t>
      </w:r>
      <w:r>
        <w:t>defamation</w:t>
      </w:r>
      <w:r>
        <w:rPr>
          <w:snapToGrid w:val="0"/>
        </w:rPr>
        <w:t xml:space="preserve"> was published, or as to the character of the plaintiff, without the leave of the judge, unless 7 days at least before the trial he </w:t>
      </w:r>
      <w:r>
        <w:t>files and serves on the plaintiff particulars</w:t>
      </w:r>
      <w:r>
        <w:rPr>
          <w:snapToGrid w:val="0"/>
        </w:rPr>
        <w:t xml:space="preserve"> of the matters as to which he intends to give evidence.</w:t>
      </w:r>
    </w:p>
    <w:p w:rsidR="00425758" w:rsidRDefault="00425758">
      <w:pPr>
        <w:pStyle w:val="Footnotesection"/>
      </w:pPr>
      <w:r>
        <w:tab/>
        <w:t>[Rule 6 amended: Gazette 16 Aug 2017 p. 4414; 27 Feb 2018 p. 562.]</w:t>
      </w:r>
    </w:p>
    <w:p w:rsidR="00425758" w:rsidRDefault="00425758">
      <w:pPr>
        <w:pStyle w:val="Heading5"/>
        <w:rPr>
          <w:snapToGrid w:val="0"/>
        </w:rPr>
      </w:pPr>
      <w:bookmarkStart w:id="445" w:name="_Toc75863115"/>
      <w:r>
        <w:rPr>
          <w:rStyle w:val="CharSectno"/>
        </w:rPr>
        <w:t>7</w:t>
      </w:r>
      <w:r>
        <w:rPr>
          <w:snapToGrid w:val="0"/>
        </w:rPr>
        <w:t>.</w:t>
      </w:r>
      <w:r>
        <w:rPr>
          <w:snapToGrid w:val="0"/>
        </w:rPr>
        <w:tab/>
        <w:t>Inspection by judge or jury</w:t>
      </w:r>
      <w:bookmarkEnd w:id="445"/>
    </w:p>
    <w:p w:rsidR="00425758" w:rsidRDefault="00425758">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rsidR="00425758" w:rsidRDefault="00425758">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rsidR="00425758" w:rsidRDefault="00425758">
      <w:pPr>
        <w:pStyle w:val="Footnotesection"/>
      </w:pPr>
      <w:r>
        <w:tab/>
        <w:t>[Rule 7 amended: Gazette 28 Jun 2011 p. 2552.]</w:t>
      </w:r>
    </w:p>
    <w:p w:rsidR="00425758" w:rsidRDefault="00425758">
      <w:pPr>
        <w:pStyle w:val="Heading5"/>
        <w:rPr>
          <w:snapToGrid w:val="0"/>
        </w:rPr>
      </w:pPr>
      <w:bookmarkStart w:id="446" w:name="_Toc75863116"/>
      <w:r>
        <w:rPr>
          <w:rStyle w:val="CharSectno"/>
        </w:rPr>
        <w:t>8</w:t>
      </w:r>
      <w:r>
        <w:rPr>
          <w:snapToGrid w:val="0"/>
        </w:rPr>
        <w:t>.</w:t>
      </w:r>
      <w:r>
        <w:rPr>
          <w:snapToGrid w:val="0"/>
        </w:rPr>
        <w:tab/>
        <w:t>Judgment at or after trial</w:t>
      </w:r>
      <w:bookmarkEnd w:id="446"/>
    </w:p>
    <w:p w:rsidR="00425758" w:rsidRDefault="00425758">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rsidR="00425758" w:rsidRDefault="00425758">
      <w:pPr>
        <w:pStyle w:val="Heading5"/>
        <w:rPr>
          <w:snapToGrid w:val="0"/>
        </w:rPr>
      </w:pPr>
      <w:bookmarkStart w:id="447" w:name="_Toc75863117"/>
      <w:r>
        <w:rPr>
          <w:rStyle w:val="CharSectno"/>
        </w:rPr>
        <w:t>9</w:t>
      </w:r>
      <w:r>
        <w:rPr>
          <w:snapToGrid w:val="0"/>
        </w:rPr>
        <w:t>.</w:t>
      </w:r>
      <w:r>
        <w:rPr>
          <w:snapToGrid w:val="0"/>
        </w:rPr>
        <w:tab/>
        <w:t>Record of proceedings</w:t>
      </w:r>
      <w:bookmarkEnd w:id="447"/>
    </w:p>
    <w:p w:rsidR="00425758" w:rsidRDefault="00425758">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rsidR="00425758" w:rsidRDefault="00425758">
      <w:pPr>
        <w:pStyle w:val="Heading5"/>
        <w:rPr>
          <w:snapToGrid w:val="0"/>
        </w:rPr>
      </w:pPr>
      <w:bookmarkStart w:id="448" w:name="_Toc75863118"/>
      <w:r>
        <w:rPr>
          <w:rStyle w:val="CharSectno"/>
        </w:rPr>
        <w:lastRenderedPageBreak/>
        <w:t>10</w:t>
      </w:r>
      <w:r>
        <w:rPr>
          <w:snapToGrid w:val="0"/>
        </w:rPr>
        <w:t>.</w:t>
      </w:r>
      <w:r>
        <w:rPr>
          <w:snapToGrid w:val="0"/>
        </w:rPr>
        <w:tab/>
        <w:t>Where time occupied by trial excessive</w:t>
      </w:r>
      <w:bookmarkEnd w:id="448"/>
    </w:p>
    <w:p w:rsidR="00425758" w:rsidRDefault="00425758">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rsidR="00425758" w:rsidRDefault="00425758">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rsidR="00425758" w:rsidRDefault="00425758">
      <w:pPr>
        <w:pStyle w:val="Footnotesection"/>
      </w:pPr>
      <w:r>
        <w:tab/>
        <w:t>[Rule 10 amended: Gazette 28 Jun 2011 p. 2552.]</w:t>
      </w:r>
    </w:p>
    <w:p w:rsidR="00425758" w:rsidRDefault="00425758">
      <w:pPr>
        <w:pStyle w:val="Heading5"/>
        <w:rPr>
          <w:snapToGrid w:val="0"/>
        </w:rPr>
      </w:pPr>
      <w:bookmarkStart w:id="449" w:name="_Toc75863119"/>
      <w:r>
        <w:rPr>
          <w:rStyle w:val="CharSectno"/>
        </w:rPr>
        <w:t>11</w:t>
      </w:r>
      <w:r>
        <w:rPr>
          <w:snapToGrid w:val="0"/>
        </w:rPr>
        <w:t>.</w:t>
      </w:r>
      <w:r>
        <w:rPr>
          <w:snapToGrid w:val="0"/>
        </w:rPr>
        <w:tab/>
        <w:t>Entry of findings of fact on trial</w:t>
      </w:r>
      <w:bookmarkEnd w:id="449"/>
    </w:p>
    <w:p w:rsidR="00425758" w:rsidRDefault="00425758">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rsidR="00425758" w:rsidRDefault="00425758">
      <w:pPr>
        <w:pStyle w:val="Heading5"/>
        <w:rPr>
          <w:snapToGrid w:val="0"/>
        </w:rPr>
      </w:pPr>
      <w:bookmarkStart w:id="450" w:name="_Toc75863120"/>
      <w:r>
        <w:rPr>
          <w:rStyle w:val="CharSectno"/>
        </w:rPr>
        <w:t>12</w:t>
      </w:r>
      <w:r>
        <w:rPr>
          <w:snapToGrid w:val="0"/>
        </w:rPr>
        <w:t>.</w:t>
      </w:r>
      <w:r>
        <w:rPr>
          <w:snapToGrid w:val="0"/>
        </w:rPr>
        <w:tab/>
        <w:t>Certificate for entry of judgment</w:t>
      </w:r>
      <w:bookmarkEnd w:id="450"/>
      <w:r>
        <w:rPr>
          <w:snapToGrid w:val="0"/>
        </w:rPr>
        <w:t xml:space="preserve"> </w:t>
      </w:r>
    </w:p>
    <w:p w:rsidR="00425758" w:rsidRDefault="00425758">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rsidR="00425758" w:rsidRDefault="00425758">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rsidR="00425758" w:rsidRDefault="00425758">
      <w:pPr>
        <w:pStyle w:val="Footnotesection"/>
      </w:pPr>
      <w:r>
        <w:tab/>
        <w:t xml:space="preserve">[Rule 12 amended: Gazette 13 Oct 1978 p. 3698; 30 Nov 1984 p. 3952.] </w:t>
      </w:r>
    </w:p>
    <w:p w:rsidR="00425758" w:rsidRDefault="00425758">
      <w:pPr>
        <w:pStyle w:val="Heading5"/>
        <w:rPr>
          <w:snapToGrid w:val="0"/>
        </w:rPr>
      </w:pPr>
      <w:bookmarkStart w:id="451" w:name="_Toc75863121"/>
      <w:r>
        <w:rPr>
          <w:rStyle w:val="CharSectno"/>
        </w:rPr>
        <w:t>13</w:t>
      </w:r>
      <w:r>
        <w:rPr>
          <w:snapToGrid w:val="0"/>
        </w:rPr>
        <w:t>.</w:t>
      </w:r>
      <w:r>
        <w:rPr>
          <w:snapToGrid w:val="0"/>
        </w:rPr>
        <w:tab/>
        <w:t>Exhibits</w:t>
      </w:r>
      <w:bookmarkEnd w:id="451"/>
    </w:p>
    <w:p w:rsidR="00425758" w:rsidRDefault="00425758">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rsidR="00425758" w:rsidRDefault="00425758">
      <w:pPr>
        <w:pStyle w:val="Subsection"/>
        <w:spacing w:before="120"/>
        <w:rPr>
          <w:snapToGrid w:val="0"/>
        </w:rPr>
      </w:pPr>
      <w:r>
        <w:rPr>
          <w:snapToGrid w:val="0"/>
        </w:rPr>
        <w:lastRenderedPageBreak/>
        <w:tab/>
        <w:t>(2)</w:t>
      </w:r>
      <w:r>
        <w:rPr>
          <w:snapToGrid w:val="0"/>
        </w:rPr>
        <w:tab/>
        <w:t>A bundle of documents put in evidence may be treated and marked as one exhibit.</w:t>
      </w:r>
    </w:p>
    <w:p w:rsidR="00425758" w:rsidRDefault="00425758">
      <w:pPr>
        <w:pStyle w:val="Footnotesection"/>
      </w:pPr>
      <w:r>
        <w:tab/>
        <w:t xml:space="preserve">[Rule 13 amended: Gazette 13 Oct 1978 p. 3698.] </w:t>
      </w:r>
    </w:p>
    <w:p w:rsidR="00425758" w:rsidRDefault="00425758">
      <w:pPr>
        <w:pStyle w:val="Heading5"/>
      </w:pPr>
      <w:bookmarkStart w:id="452" w:name="_Toc75863122"/>
      <w:r>
        <w:rPr>
          <w:rStyle w:val="CharSectno"/>
        </w:rPr>
        <w:t>14</w:t>
      </w:r>
      <w:r>
        <w:t>.</w:t>
      </w:r>
      <w:r>
        <w:tab/>
        <w:t>Return of exhibits</w:t>
      </w:r>
      <w:bookmarkEnd w:id="452"/>
    </w:p>
    <w:p w:rsidR="00425758" w:rsidRDefault="00425758">
      <w:pPr>
        <w:pStyle w:val="Subsection"/>
      </w:pPr>
      <w:r>
        <w:tab/>
        <w:t>(1)</w:t>
      </w:r>
      <w:r>
        <w:tab/>
        <w:t>This rule does not apply to or in respect of any record or thing that forms part of the Court’s record.</w:t>
      </w:r>
    </w:p>
    <w:p w:rsidR="00425758" w:rsidRDefault="00425758">
      <w:pPr>
        <w:pStyle w:val="Subsection"/>
      </w:pPr>
      <w:r>
        <w:tab/>
        <w:t>(2)</w:t>
      </w:r>
      <w:r>
        <w:tab/>
        <w:t>After judgment in an action is given, a registrar must, unless the Court has ordered otherwise —</w:t>
      </w:r>
    </w:p>
    <w:p w:rsidR="00425758" w:rsidRDefault="00425758">
      <w:pPr>
        <w:pStyle w:val="Indenta"/>
        <w:spacing w:before="70"/>
      </w:pPr>
      <w:r>
        <w:tab/>
        <w:t>(a)</w:t>
      </w:r>
      <w:r>
        <w:tab/>
        <w:t>by a written notice, require the party who tendered any record or thing that was admitted in evidence by the Court to collect it from the court; and</w:t>
      </w:r>
    </w:p>
    <w:p w:rsidR="00425758" w:rsidRDefault="00425758">
      <w:pPr>
        <w:pStyle w:val="Indenta"/>
        <w:spacing w:before="70"/>
      </w:pPr>
      <w:r>
        <w:tab/>
        <w:t>(b)</w:t>
      </w:r>
      <w:r>
        <w:tab/>
        <w:t>by a written notice, require any person who, under a subpoena, produced any record or thing to the Court that was not admitted in evidence, to collect it from the court.</w:t>
      </w:r>
    </w:p>
    <w:p w:rsidR="00425758" w:rsidRDefault="00425758">
      <w:pPr>
        <w:pStyle w:val="Subsection"/>
      </w:pPr>
      <w:r>
        <w:tab/>
        <w:t>(3)</w:t>
      </w:r>
      <w:r>
        <w:tab/>
        <w:t xml:space="preserve">A registrar must not act under </w:t>
      </w:r>
      <w:r>
        <w:rPr>
          <w:snapToGrid w:val="0"/>
        </w:rPr>
        <w:t>subrule</w:t>
      </w:r>
      <w:r>
        <w:t xml:space="preserve"> (2) until —</w:t>
      </w:r>
    </w:p>
    <w:p w:rsidR="00425758" w:rsidRDefault="00425758">
      <w:pPr>
        <w:pStyle w:val="Indenta"/>
      </w:pPr>
      <w:r>
        <w:tab/>
        <w:t>(a)</w:t>
      </w:r>
      <w:r>
        <w:tab/>
        <w:t>the time for commencing an appeal against the judgment expires; and</w:t>
      </w:r>
    </w:p>
    <w:p w:rsidR="00425758" w:rsidRDefault="00425758">
      <w:pPr>
        <w:pStyle w:val="Indenta"/>
      </w:pPr>
      <w:r>
        <w:tab/>
        <w:t>(b)</w:t>
      </w:r>
      <w:r>
        <w:tab/>
        <w:t>any appeal commenced before that time expires is decided, dismissed or discontinued.</w:t>
      </w:r>
    </w:p>
    <w:p w:rsidR="00425758" w:rsidRDefault="00425758">
      <w:pPr>
        <w:pStyle w:val="Subsection"/>
      </w:pPr>
      <w:r>
        <w:tab/>
        <w:t>(4)</w:t>
      </w:r>
      <w:r>
        <w:tab/>
        <w:t xml:space="preserve">Despite </w:t>
      </w:r>
      <w:r>
        <w:rPr>
          <w:snapToGrid w:val="0"/>
        </w:rPr>
        <w:t>subrule</w:t>
      </w:r>
      <w:r>
        <w:t xml:space="preserve"> (3), a registrar —</w:t>
      </w:r>
    </w:p>
    <w:p w:rsidR="00425758" w:rsidRDefault="00425758">
      <w:pPr>
        <w:pStyle w:val="Indenta"/>
      </w:pPr>
      <w:r>
        <w:tab/>
        <w:t>(a)</w:t>
      </w:r>
      <w:r>
        <w:tab/>
        <w:t>may dispose of a record or thing that the registrar considers is dangerous to retain or return to a person; or</w:t>
      </w:r>
    </w:p>
    <w:p w:rsidR="00425758" w:rsidRDefault="00425758">
      <w:pPr>
        <w:pStyle w:val="Indenta"/>
      </w:pPr>
      <w:r>
        <w:tab/>
        <w:t>(b)</w:t>
      </w:r>
      <w:r>
        <w:tab/>
        <w:t>may release a record or thing to a person who is entitled to custody of it if the registrar considers that —</w:t>
      </w:r>
    </w:p>
    <w:p w:rsidR="00425758" w:rsidRDefault="00425758">
      <w:pPr>
        <w:pStyle w:val="Indenti"/>
      </w:pPr>
      <w:r>
        <w:tab/>
        <w:t>(i)</w:t>
      </w:r>
      <w:r>
        <w:tab/>
        <w:t>it is dangerous, impracticable or inconvenient to retain the record or thing under this rule; or</w:t>
      </w:r>
    </w:p>
    <w:p w:rsidR="00425758" w:rsidRDefault="00425758">
      <w:pPr>
        <w:pStyle w:val="Indenti"/>
      </w:pPr>
      <w:r>
        <w:tab/>
        <w:t>(ii)</w:t>
      </w:r>
      <w:r>
        <w:tab/>
        <w:t>it is necessary for that person to have use of the record or thing.</w:t>
      </w:r>
    </w:p>
    <w:p w:rsidR="00425758" w:rsidRDefault="00425758">
      <w:pPr>
        <w:pStyle w:val="Subsection"/>
      </w:pPr>
      <w:r>
        <w:tab/>
        <w:t>(5)</w:t>
      </w:r>
      <w:r>
        <w:tab/>
        <w:t xml:space="preserve">If under </w:t>
      </w:r>
      <w:r>
        <w:rPr>
          <w:snapToGrid w:val="0"/>
        </w:rPr>
        <w:t>subrule</w:t>
      </w:r>
      <w:r>
        <w:t xml:space="preserve"> (4)(b) a registrar releases a record or thing to a person, the registrar may require the person, as a condition of </w:t>
      </w:r>
      <w:r>
        <w:lastRenderedPageBreak/>
        <w:t>being given it, to file a written undertaking as to the care, maintenance and custody of it and its re</w:t>
      </w:r>
      <w:r>
        <w:noBreakHyphen/>
        <w:t>delivery to the Court.</w:t>
      </w:r>
    </w:p>
    <w:p w:rsidR="00425758" w:rsidRDefault="00425758">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rsidR="00425758" w:rsidRDefault="00425758">
      <w:pPr>
        <w:pStyle w:val="Footnotesection"/>
      </w:pPr>
      <w:r>
        <w:tab/>
        <w:t>[Rule 14 inserted: Gazette 21 Feb 2007 p. 539; amended: Gazette 27 Feb 2018 p. 562.]</w:t>
      </w:r>
    </w:p>
    <w:p w:rsidR="00425758" w:rsidRDefault="00425758">
      <w:pPr>
        <w:pStyle w:val="Ednotesection"/>
      </w:pPr>
      <w:r>
        <w:t>[</w:t>
      </w:r>
      <w:r>
        <w:rPr>
          <w:b/>
        </w:rPr>
        <w:t>15.</w:t>
      </w:r>
      <w:r>
        <w:tab/>
        <w:t>Deleted: Gazette 21 Feb 2007 p. 539.]</w:t>
      </w:r>
    </w:p>
    <w:p w:rsidR="00425758" w:rsidRDefault="00425758">
      <w:pPr>
        <w:pStyle w:val="Heading5"/>
        <w:rPr>
          <w:snapToGrid w:val="0"/>
        </w:rPr>
      </w:pPr>
      <w:bookmarkStart w:id="453" w:name="_Toc75863123"/>
      <w:r>
        <w:rPr>
          <w:rStyle w:val="CharSectno"/>
        </w:rPr>
        <w:t>15A</w:t>
      </w:r>
      <w:r>
        <w:rPr>
          <w:snapToGrid w:val="0"/>
        </w:rPr>
        <w:t>.</w:t>
      </w:r>
      <w:r>
        <w:rPr>
          <w:snapToGrid w:val="0"/>
        </w:rPr>
        <w:tab/>
        <w:t>Return of document etc. to non-party who produced it under subpoena</w:t>
      </w:r>
      <w:bookmarkEnd w:id="453"/>
    </w:p>
    <w:p w:rsidR="00425758" w:rsidRDefault="00425758">
      <w:pPr>
        <w:pStyle w:val="Subsection"/>
        <w:rPr>
          <w:snapToGrid w:val="0"/>
        </w:rPr>
      </w:pPr>
      <w:r>
        <w:rPr>
          <w:snapToGrid w:val="0"/>
        </w:rPr>
        <w:tab/>
        <w:t>(1)</w:t>
      </w:r>
      <w:r>
        <w:rPr>
          <w:snapToGrid w:val="0"/>
        </w:rPr>
        <w:tab/>
        <w:t>A party to an action who subpoenas a document or object, belonging to a person not a party to the action, which was — </w:t>
      </w:r>
    </w:p>
    <w:p w:rsidR="00425758" w:rsidRDefault="00425758">
      <w:pPr>
        <w:pStyle w:val="Indenta"/>
        <w:rPr>
          <w:snapToGrid w:val="0"/>
        </w:rPr>
      </w:pPr>
      <w:r>
        <w:rPr>
          <w:snapToGrid w:val="0"/>
        </w:rPr>
        <w:tab/>
        <w:t>(a)</w:t>
      </w:r>
      <w:r>
        <w:rPr>
          <w:snapToGrid w:val="0"/>
        </w:rPr>
        <w:tab/>
        <w:t>marked for identification but not tendered; or</w:t>
      </w:r>
    </w:p>
    <w:p w:rsidR="00425758" w:rsidRDefault="00425758">
      <w:pPr>
        <w:pStyle w:val="Indenta"/>
        <w:rPr>
          <w:snapToGrid w:val="0"/>
        </w:rPr>
      </w:pPr>
      <w:r>
        <w:rPr>
          <w:snapToGrid w:val="0"/>
        </w:rPr>
        <w:tab/>
        <w:t>(b)</w:t>
      </w:r>
      <w:r>
        <w:rPr>
          <w:snapToGrid w:val="0"/>
        </w:rPr>
        <w:tab/>
        <w:t>neither marked nor tendered,</w:t>
      </w:r>
    </w:p>
    <w:p w:rsidR="00425758" w:rsidRDefault="00425758">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rsidR="00425758" w:rsidRDefault="00425758">
      <w:pPr>
        <w:pStyle w:val="Footnotesection"/>
      </w:pPr>
      <w:r>
        <w:tab/>
        <w:t xml:space="preserve">[Rule 15A inserted: Gazette 1 Mar 1994 p. 785.] </w:t>
      </w:r>
    </w:p>
    <w:p w:rsidR="00425758" w:rsidRDefault="00425758">
      <w:pPr>
        <w:pStyle w:val="Ednotesection"/>
      </w:pPr>
      <w:r>
        <w:t>[</w:t>
      </w:r>
      <w:r>
        <w:rPr>
          <w:b/>
        </w:rPr>
        <w:t>15B.</w:t>
      </w:r>
      <w:r>
        <w:tab/>
        <w:t>Deleted: Gazette 21 Feb 2007 p. 539.]</w:t>
      </w:r>
    </w:p>
    <w:p w:rsidR="00425758" w:rsidRDefault="00425758">
      <w:pPr>
        <w:pStyle w:val="Heading5"/>
        <w:rPr>
          <w:snapToGrid w:val="0"/>
        </w:rPr>
      </w:pPr>
      <w:bookmarkStart w:id="454" w:name="_Toc75863124"/>
      <w:r>
        <w:rPr>
          <w:rStyle w:val="CharSectno"/>
        </w:rPr>
        <w:t>16</w:t>
      </w:r>
      <w:r>
        <w:rPr>
          <w:snapToGrid w:val="0"/>
        </w:rPr>
        <w:t>.</w:t>
      </w:r>
      <w:r>
        <w:rPr>
          <w:snapToGrid w:val="0"/>
        </w:rPr>
        <w:tab/>
        <w:t>Death of party before judgment is given</w:t>
      </w:r>
      <w:bookmarkEnd w:id="454"/>
    </w:p>
    <w:p w:rsidR="00425758" w:rsidRDefault="00425758">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rsidR="00425758" w:rsidRDefault="00425758">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rsidR="00425758" w:rsidRDefault="00425758">
      <w:pPr>
        <w:pStyle w:val="Footnotesection"/>
      </w:pPr>
      <w:r>
        <w:tab/>
        <w:t>[Rule 16 amended: Gazette 28 Jun 2011 p. 2552.]</w:t>
      </w:r>
    </w:p>
    <w:p w:rsidR="00425758" w:rsidRDefault="00425758">
      <w:pPr>
        <w:pStyle w:val="Heading5"/>
        <w:rPr>
          <w:snapToGrid w:val="0"/>
        </w:rPr>
      </w:pPr>
      <w:bookmarkStart w:id="455" w:name="_Toc75863125"/>
      <w:r>
        <w:rPr>
          <w:rStyle w:val="CharSectno"/>
        </w:rPr>
        <w:lastRenderedPageBreak/>
        <w:t>17</w:t>
      </w:r>
      <w:r>
        <w:rPr>
          <w:snapToGrid w:val="0"/>
        </w:rPr>
        <w:t>.</w:t>
      </w:r>
      <w:r>
        <w:rPr>
          <w:snapToGrid w:val="0"/>
        </w:rPr>
        <w:tab/>
        <w:t>Impounded documents</w:t>
      </w:r>
      <w:bookmarkEnd w:id="455"/>
    </w:p>
    <w:p w:rsidR="00425758" w:rsidRDefault="00425758">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rsidR="00425758" w:rsidRDefault="00425758">
      <w:pPr>
        <w:pStyle w:val="Footnotesection"/>
      </w:pPr>
      <w:r>
        <w:tab/>
        <w:t>[Rule 17 amended: Gazette 29 Apr 2005 p. 1795.]</w:t>
      </w:r>
    </w:p>
    <w:p w:rsidR="00425758" w:rsidRDefault="00425758">
      <w:pPr>
        <w:pStyle w:val="Heading5"/>
        <w:rPr>
          <w:snapToGrid w:val="0"/>
        </w:rPr>
      </w:pPr>
      <w:bookmarkStart w:id="456" w:name="_Toc75863126"/>
      <w:r>
        <w:rPr>
          <w:rStyle w:val="CharSectno"/>
        </w:rPr>
        <w:t>18</w:t>
      </w:r>
      <w:r>
        <w:rPr>
          <w:snapToGrid w:val="0"/>
        </w:rPr>
        <w:t>.</w:t>
      </w:r>
      <w:r>
        <w:rPr>
          <w:snapToGrid w:val="0"/>
        </w:rPr>
        <w:tab/>
        <w:t>Assessment of damages by master</w:t>
      </w:r>
      <w:bookmarkEnd w:id="456"/>
    </w:p>
    <w:p w:rsidR="00425758" w:rsidRDefault="00425758">
      <w:pPr>
        <w:pStyle w:val="Subsection"/>
        <w:rPr>
          <w:snapToGrid w:val="0"/>
        </w:rPr>
      </w:pPr>
      <w:r>
        <w:rPr>
          <w:snapToGrid w:val="0"/>
        </w:rPr>
        <w:tab/>
        <w:t>(1)</w:t>
      </w:r>
      <w:r>
        <w:rPr>
          <w:snapToGrid w:val="0"/>
        </w:rPr>
        <w:tab/>
        <w:t>This rule applies where the Court orders that the amount of damages for which judgment is to be entered shall be assessed by a master.</w:t>
      </w:r>
    </w:p>
    <w:p w:rsidR="00425758" w:rsidRDefault="00425758">
      <w:pPr>
        <w:pStyle w:val="Subsection"/>
        <w:rPr>
          <w:snapToGrid w:val="0"/>
        </w:rPr>
      </w:pPr>
      <w:r>
        <w:rPr>
          <w:snapToGrid w:val="0"/>
        </w:rPr>
        <w:tab/>
        <w:t>(2)</w:t>
      </w:r>
      <w:r>
        <w:rPr>
          <w:snapToGrid w:val="0"/>
        </w:rPr>
        <w:tab/>
        <w:t>The attendance of witnesses and the production of documents before the master may be compelled by subpoena.</w:t>
      </w:r>
    </w:p>
    <w:p w:rsidR="00425758" w:rsidRDefault="00425758">
      <w:pPr>
        <w:pStyle w:val="Subsection"/>
        <w:rPr>
          <w:snapToGrid w:val="0"/>
        </w:rPr>
      </w:pPr>
      <w:r>
        <w:rPr>
          <w:snapToGrid w:val="0"/>
        </w:rPr>
        <w:tab/>
        <w:t>(3)</w:t>
      </w:r>
      <w:r>
        <w:rPr>
          <w:snapToGrid w:val="0"/>
        </w:rPr>
        <w:tab/>
        <w:t>The master may adjourn the inquiry from time to time.</w:t>
      </w:r>
    </w:p>
    <w:p w:rsidR="00425758" w:rsidRDefault="00425758">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rsidR="00425758" w:rsidRDefault="00425758">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rsidR="00425758" w:rsidRDefault="00425758">
      <w:pPr>
        <w:pStyle w:val="Ednotesubsection"/>
      </w:pPr>
      <w:r>
        <w:tab/>
        <w:t>[(6)</w:t>
      </w:r>
      <w:r>
        <w:tab/>
        <w:t>deleted]</w:t>
      </w:r>
    </w:p>
    <w:p w:rsidR="00425758" w:rsidRDefault="00425758">
      <w:pPr>
        <w:pStyle w:val="Footnotesection"/>
      </w:pPr>
      <w:r>
        <w:tab/>
        <w:t xml:space="preserve">[Rule 18 amended: Gazette 9 Nov 1973 p. 4162; 30 Nov 1984 p. 3951; 16 Nov 2016 p. 5199.] </w:t>
      </w:r>
    </w:p>
    <w:p w:rsidR="00425758" w:rsidRDefault="00425758">
      <w:pPr>
        <w:pStyle w:val="Heading5"/>
        <w:rPr>
          <w:snapToGrid w:val="0"/>
        </w:rPr>
      </w:pPr>
      <w:bookmarkStart w:id="457" w:name="_Toc75863127"/>
      <w:r>
        <w:rPr>
          <w:rStyle w:val="CharSectno"/>
        </w:rPr>
        <w:t>19</w:t>
      </w:r>
      <w:r>
        <w:rPr>
          <w:snapToGrid w:val="0"/>
        </w:rPr>
        <w:t>.</w:t>
      </w:r>
      <w:r>
        <w:rPr>
          <w:snapToGrid w:val="0"/>
        </w:rPr>
        <w:tab/>
        <w:t>Damages to time of assessment</w:t>
      </w:r>
      <w:bookmarkEnd w:id="457"/>
    </w:p>
    <w:p w:rsidR="00425758" w:rsidRDefault="00425758">
      <w:pPr>
        <w:pStyle w:val="Subsection"/>
        <w:rPr>
          <w:snapToGrid w:val="0"/>
        </w:rPr>
      </w:pPr>
      <w:r>
        <w:rPr>
          <w:snapToGrid w:val="0"/>
        </w:rPr>
        <w:tab/>
        <w:t>(1)</w:t>
      </w:r>
      <w:r>
        <w:rPr>
          <w:snapToGrid w:val="0"/>
        </w:rPr>
        <w:tab/>
        <w:t>Where damages are to be assessed in respect of — </w:t>
      </w:r>
    </w:p>
    <w:p w:rsidR="00425758" w:rsidRDefault="00425758">
      <w:pPr>
        <w:pStyle w:val="Indenta"/>
        <w:rPr>
          <w:snapToGrid w:val="0"/>
        </w:rPr>
      </w:pPr>
      <w:r>
        <w:rPr>
          <w:snapToGrid w:val="0"/>
        </w:rPr>
        <w:tab/>
        <w:t>(a)</w:t>
      </w:r>
      <w:r>
        <w:rPr>
          <w:snapToGrid w:val="0"/>
        </w:rPr>
        <w:tab/>
        <w:t>any continuing cause of action;</w:t>
      </w:r>
    </w:p>
    <w:p w:rsidR="00425758" w:rsidRDefault="00425758">
      <w:pPr>
        <w:pStyle w:val="Indenta"/>
        <w:rPr>
          <w:snapToGrid w:val="0"/>
        </w:rPr>
      </w:pPr>
      <w:r>
        <w:rPr>
          <w:snapToGrid w:val="0"/>
        </w:rPr>
        <w:tab/>
        <w:t>(b)</w:t>
      </w:r>
      <w:r>
        <w:rPr>
          <w:snapToGrid w:val="0"/>
        </w:rPr>
        <w:tab/>
        <w:t>repeated breaches of recurring obligations;</w:t>
      </w:r>
    </w:p>
    <w:p w:rsidR="00425758" w:rsidRDefault="00425758">
      <w:pPr>
        <w:pStyle w:val="Indenta"/>
        <w:rPr>
          <w:snapToGrid w:val="0"/>
        </w:rPr>
      </w:pPr>
      <w:r>
        <w:rPr>
          <w:snapToGrid w:val="0"/>
        </w:rPr>
        <w:lastRenderedPageBreak/>
        <w:tab/>
        <w:t>(c)</w:t>
      </w:r>
      <w:r>
        <w:rPr>
          <w:snapToGrid w:val="0"/>
        </w:rPr>
        <w:tab/>
        <w:t>intermittent breaches of a continuing obligation,</w:t>
      </w:r>
    </w:p>
    <w:p w:rsidR="00425758" w:rsidRDefault="00425758">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rsidR="00425758" w:rsidRDefault="00425758">
      <w:pPr>
        <w:pStyle w:val="Subsection"/>
        <w:rPr>
          <w:snapToGrid w:val="0"/>
        </w:rPr>
      </w:pPr>
      <w:r>
        <w:rPr>
          <w:snapToGrid w:val="0"/>
        </w:rPr>
        <w:tab/>
        <w:t>(2)</w:t>
      </w:r>
      <w:r>
        <w:rPr>
          <w:snapToGrid w:val="0"/>
        </w:rPr>
        <w:tab/>
      </w:r>
      <w:r>
        <w:t>Subrule</w:t>
      </w:r>
      <w:r>
        <w:rPr>
          <w:snapToGrid w:val="0"/>
        </w:rPr>
        <w:t> (1) applies to the assessment of damages under this Order or otherwise.</w:t>
      </w:r>
    </w:p>
    <w:p w:rsidR="00425758" w:rsidRDefault="00425758">
      <w:pPr>
        <w:pStyle w:val="Footnotesection"/>
      </w:pPr>
      <w:r>
        <w:tab/>
        <w:t>[Rule 19 amended: Gazette 28 Jun 2011 p. 2552.]</w:t>
      </w:r>
    </w:p>
    <w:p w:rsidR="00425758" w:rsidRDefault="00425758">
      <w:pPr>
        <w:pStyle w:val="Heading5"/>
        <w:rPr>
          <w:snapToGrid w:val="0"/>
        </w:rPr>
      </w:pPr>
      <w:bookmarkStart w:id="458" w:name="_Toc75863128"/>
      <w:r>
        <w:rPr>
          <w:rStyle w:val="CharSectno"/>
        </w:rPr>
        <w:t>20</w:t>
      </w:r>
      <w:r>
        <w:rPr>
          <w:snapToGrid w:val="0"/>
        </w:rPr>
        <w:t>.</w:t>
      </w:r>
      <w:r>
        <w:rPr>
          <w:snapToGrid w:val="0"/>
        </w:rPr>
        <w:tab/>
        <w:t>Writ of inquiry not to be used</w:t>
      </w:r>
      <w:bookmarkEnd w:id="458"/>
    </w:p>
    <w:p w:rsidR="00425758" w:rsidRDefault="00425758">
      <w:pPr>
        <w:pStyle w:val="Subsection"/>
        <w:rPr>
          <w:snapToGrid w:val="0"/>
        </w:rPr>
      </w:pPr>
      <w:r>
        <w:rPr>
          <w:snapToGrid w:val="0"/>
        </w:rPr>
        <w:tab/>
      </w:r>
      <w:r>
        <w:rPr>
          <w:snapToGrid w:val="0"/>
        </w:rPr>
        <w:tab/>
        <w:t>No writ of inquiry as to damages shall be issued in any cause or matter.</w:t>
      </w:r>
    </w:p>
    <w:p w:rsidR="00425758" w:rsidRDefault="00425758">
      <w:pPr>
        <w:pStyle w:val="Heading2"/>
        <w:rPr>
          <w:b w:val="0"/>
        </w:rPr>
      </w:pPr>
      <w:bookmarkStart w:id="459" w:name="_Toc75512033"/>
      <w:bookmarkStart w:id="460" w:name="_Toc75863129"/>
      <w:r>
        <w:rPr>
          <w:rStyle w:val="CharPartNo"/>
        </w:rPr>
        <w:lastRenderedPageBreak/>
        <w:t>Order 35</w:t>
      </w:r>
      <w:r>
        <w:rPr>
          <w:rStyle w:val="CharDivNo"/>
        </w:rPr>
        <w:t> </w:t>
      </w:r>
      <w:r>
        <w:t>—</w:t>
      </w:r>
      <w:r>
        <w:rPr>
          <w:rStyle w:val="CharDivText"/>
        </w:rPr>
        <w:t> </w:t>
      </w:r>
      <w:r>
        <w:rPr>
          <w:rStyle w:val="CharPartText"/>
        </w:rPr>
        <w:t>Assessors and referees</w:t>
      </w:r>
      <w:bookmarkEnd w:id="459"/>
      <w:bookmarkEnd w:id="460"/>
    </w:p>
    <w:p w:rsidR="00425758" w:rsidRDefault="00425758">
      <w:pPr>
        <w:pStyle w:val="Heading5"/>
        <w:rPr>
          <w:snapToGrid w:val="0"/>
        </w:rPr>
      </w:pPr>
      <w:bookmarkStart w:id="461" w:name="_Toc75863130"/>
      <w:r>
        <w:rPr>
          <w:rStyle w:val="CharSectno"/>
        </w:rPr>
        <w:t>1</w:t>
      </w:r>
      <w:r>
        <w:rPr>
          <w:snapToGrid w:val="0"/>
        </w:rPr>
        <w:t>.</w:t>
      </w:r>
      <w:r>
        <w:rPr>
          <w:snapToGrid w:val="0"/>
        </w:rPr>
        <w:tab/>
        <w:t>Trial with assessors</w:t>
      </w:r>
      <w:bookmarkEnd w:id="461"/>
    </w:p>
    <w:p w:rsidR="00425758" w:rsidRDefault="00425758">
      <w:pPr>
        <w:pStyle w:val="Subsection"/>
        <w:rPr>
          <w:snapToGrid w:val="0"/>
        </w:rPr>
      </w:pPr>
      <w:r>
        <w:rPr>
          <w:snapToGrid w:val="0"/>
        </w:rPr>
        <w:tab/>
      </w:r>
      <w:r>
        <w:rPr>
          <w:snapToGrid w:val="0"/>
        </w:rPr>
        <w:tab/>
        <w:t>Trials with assessors shall take place in such manner and upon such terms as the Court shall direct.</w:t>
      </w:r>
    </w:p>
    <w:p w:rsidR="00425758" w:rsidRDefault="00425758">
      <w:pPr>
        <w:pStyle w:val="Heading5"/>
        <w:rPr>
          <w:snapToGrid w:val="0"/>
        </w:rPr>
      </w:pPr>
      <w:bookmarkStart w:id="462" w:name="_Toc75863131"/>
      <w:r>
        <w:rPr>
          <w:rStyle w:val="CharSectno"/>
        </w:rPr>
        <w:t>2</w:t>
      </w:r>
      <w:r>
        <w:rPr>
          <w:snapToGrid w:val="0"/>
        </w:rPr>
        <w:t>.</w:t>
      </w:r>
      <w:r>
        <w:rPr>
          <w:snapToGrid w:val="0"/>
        </w:rPr>
        <w:tab/>
        <w:t>Trial before referee</w:t>
      </w:r>
      <w:bookmarkEnd w:id="462"/>
    </w:p>
    <w:p w:rsidR="00425758" w:rsidRDefault="00425758">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rsidR="00425758" w:rsidRDefault="00425758">
      <w:pPr>
        <w:pStyle w:val="Heading5"/>
        <w:rPr>
          <w:snapToGrid w:val="0"/>
        </w:rPr>
      </w:pPr>
      <w:bookmarkStart w:id="463" w:name="_Toc75863132"/>
      <w:r>
        <w:rPr>
          <w:rStyle w:val="CharSectno"/>
        </w:rPr>
        <w:t>3</w:t>
      </w:r>
      <w:r>
        <w:rPr>
          <w:snapToGrid w:val="0"/>
        </w:rPr>
        <w:t>.</w:t>
      </w:r>
      <w:r>
        <w:rPr>
          <w:snapToGrid w:val="0"/>
        </w:rPr>
        <w:tab/>
        <w:t>Evidence before referee</w:t>
      </w:r>
      <w:bookmarkEnd w:id="463"/>
    </w:p>
    <w:p w:rsidR="00425758" w:rsidRDefault="00425758">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rsidR="00425758" w:rsidRDefault="00425758">
      <w:pPr>
        <w:pStyle w:val="Heading5"/>
        <w:rPr>
          <w:snapToGrid w:val="0"/>
        </w:rPr>
      </w:pPr>
      <w:bookmarkStart w:id="464" w:name="_Toc75863133"/>
      <w:r>
        <w:rPr>
          <w:rStyle w:val="CharSectno"/>
        </w:rPr>
        <w:t>4</w:t>
      </w:r>
      <w:r>
        <w:rPr>
          <w:snapToGrid w:val="0"/>
        </w:rPr>
        <w:t>.</w:t>
      </w:r>
      <w:r>
        <w:rPr>
          <w:snapToGrid w:val="0"/>
        </w:rPr>
        <w:tab/>
        <w:t>Authority of referee</w:t>
      </w:r>
      <w:bookmarkEnd w:id="464"/>
    </w:p>
    <w:p w:rsidR="00425758" w:rsidRDefault="00425758">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rsidR="00425758" w:rsidRDefault="00425758">
      <w:pPr>
        <w:pStyle w:val="Heading5"/>
        <w:rPr>
          <w:snapToGrid w:val="0"/>
        </w:rPr>
      </w:pPr>
      <w:bookmarkStart w:id="465" w:name="_Toc75863134"/>
      <w:r>
        <w:rPr>
          <w:rStyle w:val="CharSectno"/>
        </w:rPr>
        <w:t>5</w:t>
      </w:r>
      <w:r>
        <w:rPr>
          <w:snapToGrid w:val="0"/>
        </w:rPr>
        <w:t>.</w:t>
      </w:r>
      <w:r>
        <w:rPr>
          <w:snapToGrid w:val="0"/>
        </w:rPr>
        <w:tab/>
        <w:t>Referee cannot order imprisonment</w:t>
      </w:r>
      <w:bookmarkEnd w:id="465"/>
    </w:p>
    <w:p w:rsidR="00425758" w:rsidRDefault="00425758">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rsidR="00425758" w:rsidRDefault="00425758">
      <w:pPr>
        <w:pStyle w:val="Heading5"/>
        <w:rPr>
          <w:snapToGrid w:val="0"/>
        </w:rPr>
      </w:pPr>
      <w:bookmarkStart w:id="466" w:name="_Toc75863135"/>
      <w:r>
        <w:rPr>
          <w:rStyle w:val="CharSectno"/>
        </w:rPr>
        <w:lastRenderedPageBreak/>
        <w:t>6</w:t>
      </w:r>
      <w:r>
        <w:rPr>
          <w:snapToGrid w:val="0"/>
        </w:rPr>
        <w:t>.</w:t>
      </w:r>
      <w:r>
        <w:rPr>
          <w:snapToGrid w:val="0"/>
        </w:rPr>
        <w:tab/>
        <w:t>Referee may submit question to Court</w:t>
      </w:r>
      <w:bookmarkEnd w:id="466"/>
    </w:p>
    <w:p w:rsidR="00425758" w:rsidRDefault="00425758">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rsidR="00425758" w:rsidRDefault="00425758">
      <w:pPr>
        <w:pStyle w:val="Heading5"/>
        <w:rPr>
          <w:snapToGrid w:val="0"/>
        </w:rPr>
      </w:pPr>
      <w:bookmarkStart w:id="467" w:name="_Toc75863136"/>
      <w:r>
        <w:rPr>
          <w:rStyle w:val="CharSectno"/>
        </w:rPr>
        <w:t>7</w:t>
      </w:r>
      <w:r>
        <w:rPr>
          <w:snapToGrid w:val="0"/>
        </w:rPr>
        <w:t>.</w:t>
      </w:r>
      <w:r>
        <w:rPr>
          <w:snapToGrid w:val="0"/>
        </w:rPr>
        <w:tab/>
        <w:t>Notice of referee’s report</w:t>
      </w:r>
      <w:bookmarkEnd w:id="467"/>
    </w:p>
    <w:p w:rsidR="00425758" w:rsidRDefault="00425758">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rsidR="00425758" w:rsidRDefault="00425758">
      <w:pPr>
        <w:pStyle w:val="Heading5"/>
        <w:rPr>
          <w:snapToGrid w:val="0"/>
        </w:rPr>
      </w:pPr>
      <w:bookmarkStart w:id="468" w:name="_Toc75863137"/>
      <w:r>
        <w:rPr>
          <w:rStyle w:val="CharSectno"/>
        </w:rPr>
        <w:t>8</w:t>
      </w:r>
      <w:r>
        <w:rPr>
          <w:snapToGrid w:val="0"/>
        </w:rPr>
        <w:t>.</w:t>
      </w:r>
      <w:r>
        <w:rPr>
          <w:snapToGrid w:val="0"/>
        </w:rPr>
        <w:tab/>
        <w:t>Adoption etc. of referee’s report in adjourned case</w:t>
      </w:r>
      <w:bookmarkEnd w:id="468"/>
    </w:p>
    <w:p w:rsidR="00425758" w:rsidRDefault="00425758">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rsidR="00425758" w:rsidRDefault="00425758">
      <w:pPr>
        <w:pStyle w:val="Heading5"/>
        <w:rPr>
          <w:snapToGrid w:val="0"/>
        </w:rPr>
      </w:pPr>
      <w:bookmarkStart w:id="469" w:name="_Toc75863138"/>
      <w:r>
        <w:rPr>
          <w:rStyle w:val="CharSectno"/>
        </w:rPr>
        <w:t>9</w:t>
      </w:r>
      <w:r>
        <w:rPr>
          <w:snapToGrid w:val="0"/>
        </w:rPr>
        <w:t>.</w:t>
      </w:r>
      <w:r>
        <w:rPr>
          <w:snapToGrid w:val="0"/>
        </w:rPr>
        <w:tab/>
        <w:t>Adoption etc. of referee’s report where case not adjourned</w:t>
      </w:r>
      <w:bookmarkEnd w:id="469"/>
    </w:p>
    <w:p w:rsidR="00425758" w:rsidRDefault="00425758">
      <w:pPr>
        <w:pStyle w:val="Subsection"/>
        <w:rPr>
          <w:snapToGrid w:val="0"/>
        </w:rPr>
      </w:pPr>
      <w:r>
        <w:rPr>
          <w:snapToGrid w:val="0"/>
        </w:rPr>
        <w:tab/>
      </w:r>
      <w:r>
        <w:rPr>
          <w:snapToGrid w:val="0"/>
        </w:rPr>
        <w:tab/>
        <w:t xml:space="preserve">Where the report of the referee has been made in a cause or matter, the further consideration of which has not been adjourned, any party may, by an 8 days’ notice of motion, apply to the Court to adopt and carry into effect the report of the </w:t>
      </w:r>
      <w:r>
        <w:rPr>
          <w:snapToGrid w:val="0"/>
        </w:rPr>
        <w:lastRenderedPageBreak/>
        <w:t>referee, or to vary the report, or to remit the cause or matter or any part thereof for re</w:t>
      </w:r>
      <w:r>
        <w:rPr>
          <w:snapToGrid w:val="0"/>
        </w:rPr>
        <w:noBreakHyphen/>
        <w:t>hearing or further consideration to the same or any other referee.</w:t>
      </w:r>
    </w:p>
    <w:p w:rsidR="00425758" w:rsidRDefault="00425758">
      <w:pPr>
        <w:pStyle w:val="Heading5"/>
        <w:rPr>
          <w:snapToGrid w:val="0"/>
        </w:rPr>
      </w:pPr>
      <w:bookmarkStart w:id="470" w:name="_Toc75863139"/>
      <w:r>
        <w:rPr>
          <w:rStyle w:val="CharSectno"/>
        </w:rPr>
        <w:t>10</w:t>
      </w:r>
      <w:r>
        <w:rPr>
          <w:snapToGrid w:val="0"/>
        </w:rPr>
        <w:t>.</w:t>
      </w:r>
      <w:r>
        <w:rPr>
          <w:snapToGrid w:val="0"/>
        </w:rPr>
        <w:tab/>
        <w:t>Costs</w:t>
      </w:r>
      <w:bookmarkEnd w:id="470"/>
    </w:p>
    <w:p w:rsidR="00425758" w:rsidRDefault="00425758">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rsidR="00425758" w:rsidRDefault="00425758">
      <w:pPr>
        <w:pStyle w:val="Heading5"/>
        <w:rPr>
          <w:snapToGrid w:val="0"/>
        </w:rPr>
      </w:pPr>
      <w:bookmarkStart w:id="471" w:name="_Toc75863140"/>
      <w:r>
        <w:rPr>
          <w:rStyle w:val="CharSectno"/>
        </w:rPr>
        <w:t>11</w:t>
      </w:r>
      <w:r>
        <w:rPr>
          <w:snapToGrid w:val="0"/>
        </w:rPr>
        <w:t>.</w:t>
      </w:r>
      <w:r>
        <w:rPr>
          <w:snapToGrid w:val="0"/>
        </w:rPr>
        <w:tab/>
        <w:t>Application of this Order to other references</w:t>
      </w:r>
      <w:bookmarkEnd w:id="471"/>
      <w:r>
        <w:rPr>
          <w:snapToGrid w:val="0"/>
        </w:rPr>
        <w:t xml:space="preserve"> </w:t>
      </w:r>
    </w:p>
    <w:p w:rsidR="00425758" w:rsidRDefault="00425758">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rsidR="00425758" w:rsidRDefault="00425758">
      <w:pPr>
        <w:pStyle w:val="Subsection"/>
        <w:rPr>
          <w:snapToGrid w:val="0"/>
        </w:rPr>
      </w:pPr>
      <w:r>
        <w:rPr>
          <w:snapToGrid w:val="0"/>
        </w:rPr>
        <w:tab/>
        <w:t>(2)</w:t>
      </w:r>
      <w:r>
        <w:rPr>
          <w:snapToGrid w:val="0"/>
        </w:rPr>
        <w:tab/>
        <w:t>Rule 9 does not apply in relation to a reference to a master.</w:t>
      </w:r>
    </w:p>
    <w:p w:rsidR="00425758" w:rsidRDefault="00425758">
      <w:pPr>
        <w:pStyle w:val="Subsection"/>
        <w:rPr>
          <w:snapToGrid w:val="0"/>
        </w:rPr>
      </w:pPr>
      <w:r>
        <w:rPr>
          <w:snapToGrid w:val="0"/>
        </w:rPr>
        <w:tab/>
        <w:t>(3)</w:t>
      </w:r>
      <w:r>
        <w:rPr>
          <w:snapToGrid w:val="0"/>
        </w:rPr>
        <w:tab/>
        <w:t>The provisions of rule 2 as to sitting from day to day do not apply where the reference is to a master or to a registrar.</w:t>
      </w:r>
    </w:p>
    <w:p w:rsidR="00425758" w:rsidRDefault="00425758">
      <w:pPr>
        <w:pStyle w:val="Footnotesection"/>
      </w:pPr>
      <w:r>
        <w:tab/>
        <w:t xml:space="preserve">[Rule 11 inserted: Gazette 2 Jul 1982 p. 2316; amended: Gazette 30 Nov 1984 p. 3951.] </w:t>
      </w:r>
    </w:p>
    <w:p w:rsidR="00425758" w:rsidRDefault="00425758">
      <w:pPr>
        <w:pStyle w:val="Heading2"/>
        <w:rPr>
          <w:b w:val="0"/>
        </w:rPr>
      </w:pPr>
      <w:bookmarkStart w:id="472" w:name="_Toc75512045"/>
      <w:bookmarkStart w:id="473" w:name="_Toc75863141"/>
      <w:r>
        <w:rPr>
          <w:rStyle w:val="CharPartNo"/>
        </w:rPr>
        <w:lastRenderedPageBreak/>
        <w:t>Order 36</w:t>
      </w:r>
      <w:r>
        <w:rPr>
          <w:rStyle w:val="CharDivNo"/>
        </w:rPr>
        <w:t> </w:t>
      </w:r>
      <w:r>
        <w:t>—</w:t>
      </w:r>
      <w:r>
        <w:rPr>
          <w:rStyle w:val="CharDivText"/>
        </w:rPr>
        <w:t> </w:t>
      </w:r>
      <w:r>
        <w:rPr>
          <w:rStyle w:val="CharPartText"/>
        </w:rPr>
        <w:t>Evidence: general</w:t>
      </w:r>
      <w:bookmarkEnd w:id="472"/>
      <w:bookmarkEnd w:id="473"/>
    </w:p>
    <w:p w:rsidR="00425758" w:rsidRDefault="00425758">
      <w:pPr>
        <w:pStyle w:val="Heading5"/>
        <w:rPr>
          <w:snapToGrid w:val="0"/>
        </w:rPr>
      </w:pPr>
      <w:bookmarkStart w:id="474" w:name="_Toc75863142"/>
      <w:r>
        <w:rPr>
          <w:rStyle w:val="CharSectno"/>
        </w:rPr>
        <w:t>1</w:t>
      </w:r>
      <w:r>
        <w:rPr>
          <w:snapToGrid w:val="0"/>
        </w:rPr>
        <w:t>.</w:t>
      </w:r>
      <w:r>
        <w:rPr>
          <w:snapToGrid w:val="0"/>
        </w:rPr>
        <w:tab/>
        <w:t>Facts to be proved usually by oral evidence in open court</w:t>
      </w:r>
      <w:bookmarkEnd w:id="474"/>
    </w:p>
    <w:p w:rsidR="00425758" w:rsidRDefault="00425758">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rsidR="00425758" w:rsidRDefault="00425758">
      <w:pPr>
        <w:pStyle w:val="Heading5"/>
        <w:rPr>
          <w:snapToGrid w:val="0"/>
        </w:rPr>
      </w:pPr>
      <w:bookmarkStart w:id="475" w:name="_Toc75863143"/>
      <w:r>
        <w:rPr>
          <w:rStyle w:val="CharSectno"/>
        </w:rPr>
        <w:t>2</w:t>
      </w:r>
      <w:r>
        <w:rPr>
          <w:snapToGrid w:val="0"/>
        </w:rPr>
        <w:t>.</w:t>
      </w:r>
      <w:r>
        <w:rPr>
          <w:snapToGrid w:val="0"/>
        </w:rPr>
        <w:tab/>
        <w:t>Evidence by affidavit</w:t>
      </w:r>
      <w:bookmarkEnd w:id="475"/>
    </w:p>
    <w:p w:rsidR="00425758" w:rsidRDefault="00425758">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rsidR="00425758" w:rsidRDefault="00425758">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rsidR="00425758" w:rsidRDefault="00425758">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rsidR="00425758" w:rsidRDefault="00425758">
      <w:pPr>
        <w:pStyle w:val="Footnotesection"/>
      </w:pPr>
      <w:r>
        <w:tab/>
        <w:t>[Rule 2 amended: Gazette 28 Jun 2011 p. 2552.]</w:t>
      </w:r>
    </w:p>
    <w:p w:rsidR="00425758" w:rsidRDefault="00425758">
      <w:pPr>
        <w:pStyle w:val="Heading5"/>
        <w:rPr>
          <w:snapToGrid w:val="0"/>
        </w:rPr>
      </w:pPr>
      <w:bookmarkStart w:id="476" w:name="_Toc75863144"/>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476"/>
    </w:p>
    <w:p w:rsidR="00425758" w:rsidRDefault="00425758">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rsidR="00425758" w:rsidRDefault="00425758">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w:t>
      </w:r>
      <w:r>
        <w:rPr>
          <w:snapToGrid w:val="0"/>
        </w:rPr>
        <w:lastRenderedPageBreak/>
        <w:t>shall be made by summons returnable in chambers at least 14 days before trial.</w:t>
      </w:r>
    </w:p>
    <w:p w:rsidR="00425758" w:rsidRDefault="00425758">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rsidR="00425758" w:rsidRDefault="00425758">
      <w:pPr>
        <w:pStyle w:val="Footnotesection"/>
      </w:pPr>
      <w:r>
        <w:tab/>
        <w:t>[Rule 3 inserted: Gazette 30 Oct 1992 p. 5310</w:t>
      </w:r>
      <w:r>
        <w:noBreakHyphen/>
        <w:t xml:space="preserve">11.] </w:t>
      </w:r>
    </w:p>
    <w:p w:rsidR="00425758" w:rsidRDefault="00425758">
      <w:pPr>
        <w:pStyle w:val="Heading5"/>
        <w:rPr>
          <w:snapToGrid w:val="0"/>
        </w:rPr>
      </w:pPr>
      <w:bookmarkStart w:id="477" w:name="_Toc75863145"/>
      <w:r>
        <w:rPr>
          <w:rStyle w:val="CharSectno"/>
        </w:rPr>
        <w:t>4</w:t>
      </w:r>
      <w:r>
        <w:rPr>
          <w:snapToGrid w:val="0"/>
        </w:rPr>
        <w:t>.</w:t>
      </w:r>
      <w:r>
        <w:rPr>
          <w:snapToGrid w:val="0"/>
        </w:rPr>
        <w:tab/>
        <w:t>Reception of plans etc. in evidence</w:t>
      </w:r>
      <w:bookmarkEnd w:id="477"/>
    </w:p>
    <w:p w:rsidR="00425758" w:rsidRDefault="00425758">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rsidR="00425758" w:rsidRDefault="00425758">
      <w:pPr>
        <w:pStyle w:val="Heading5"/>
        <w:rPr>
          <w:snapToGrid w:val="0"/>
        </w:rPr>
      </w:pPr>
      <w:bookmarkStart w:id="478" w:name="_Toc75863146"/>
      <w:r>
        <w:rPr>
          <w:rStyle w:val="CharSectno"/>
        </w:rPr>
        <w:t>5</w:t>
      </w:r>
      <w:r>
        <w:rPr>
          <w:snapToGrid w:val="0"/>
        </w:rPr>
        <w:t>.</w:t>
      </w:r>
      <w:r>
        <w:rPr>
          <w:snapToGrid w:val="0"/>
        </w:rPr>
        <w:tab/>
        <w:t>Orders under r. 2 or 4 may be revoked or varied</w:t>
      </w:r>
      <w:bookmarkEnd w:id="478"/>
    </w:p>
    <w:p w:rsidR="00425758" w:rsidRDefault="00425758">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rsidR="00425758" w:rsidRDefault="00425758">
      <w:pPr>
        <w:pStyle w:val="Footnotesection"/>
      </w:pPr>
      <w:r>
        <w:tab/>
        <w:t xml:space="preserve">[Rule 5 amended: Gazette 13 Oct 1978 p. 3698.] </w:t>
      </w:r>
    </w:p>
    <w:p w:rsidR="00425758" w:rsidRDefault="00425758">
      <w:pPr>
        <w:pStyle w:val="Heading5"/>
        <w:rPr>
          <w:snapToGrid w:val="0"/>
        </w:rPr>
      </w:pPr>
      <w:bookmarkStart w:id="479" w:name="_Toc75863147"/>
      <w:r>
        <w:rPr>
          <w:rStyle w:val="CharSectno"/>
        </w:rPr>
        <w:t>6</w:t>
      </w:r>
      <w:r>
        <w:rPr>
          <w:snapToGrid w:val="0"/>
        </w:rPr>
        <w:t>.</w:t>
      </w:r>
      <w:r>
        <w:rPr>
          <w:snapToGrid w:val="0"/>
        </w:rPr>
        <w:tab/>
        <w:t>Trials of issues etc., evidence in</w:t>
      </w:r>
      <w:bookmarkEnd w:id="479"/>
    </w:p>
    <w:p w:rsidR="00425758" w:rsidRDefault="00425758">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rsidR="00425758" w:rsidRDefault="00425758">
      <w:pPr>
        <w:pStyle w:val="Footnotesection"/>
      </w:pPr>
      <w:r>
        <w:tab/>
        <w:t>[Rule 6 amended: Gazette 28 Jun 2011 p. 2554.]</w:t>
      </w:r>
    </w:p>
    <w:p w:rsidR="00425758" w:rsidRDefault="00425758">
      <w:pPr>
        <w:pStyle w:val="Heading5"/>
        <w:rPr>
          <w:snapToGrid w:val="0"/>
        </w:rPr>
      </w:pPr>
      <w:bookmarkStart w:id="480" w:name="_Toc75863148"/>
      <w:r>
        <w:rPr>
          <w:rStyle w:val="CharSectno"/>
        </w:rPr>
        <w:t>7</w:t>
      </w:r>
      <w:r>
        <w:rPr>
          <w:snapToGrid w:val="0"/>
        </w:rPr>
        <w:t>.</w:t>
      </w:r>
      <w:r>
        <w:rPr>
          <w:snapToGrid w:val="0"/>
        </w:rPr>
        <w:tab/>
        <w:t>Depositions as evidence</w:t>
      </w:r>
      <w:bookmarkEnd w:id="480"/>
    </w:p>
    <w:p w:rsidR="00425758" w:rsidRDefault="00425758">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rsidR="00425758" w:rsidRDefault="00425758">
      <w:pPr>
        <w:pStyle w:val="Indenta"/>
        <w:rPr>
          <w:snapToGrid w:val="0"/>
        </w:rPr>
      </w:pPr>
      <w:r>
        <w:rPr>
          <w:snapToGrid w:val="0"/>
        </w:rPr>
        <w:tab/>
        <w:t>(a)</w:t>
      </w:r>
      <w:r>
        <w:rPr>
          <w:snapToGrid w:val="0"/>
        </w:rPr>
        <w:tab/>
        <w:t>the party against whom the deposition is tendered consents; or</w:t>
      </w:r>
    </w:p>
    <w:p w:rsidR="00425758" w:rsidRDefault="00425758">
      <w:pPr>
        <w:pStyle w:val="Indenta"/>
        <w:rPr>
          <w:snapToGrid w:val="0"/>
        </w:rPr>
      </w:pPr>
      <w:r>
        <w:rPr>
          <w:snapToGrid w:val="0"/>
        </w:rPr>
        <w:lastRenderedPageBreak/>
        <w:tab/>
        <w:t>(b)</w:t>
      </w:r>
      <w:r>
        <w:rPr>
          <w:snapToGrid w:val="0"/>
        </w:rPr>
        <w:tab/>
        <w:t>the deponent is dead or beyond the jurisdiction of the Court or is unable through sickness or other infirmity to attend the trial.</w:t>
      </w:r>
    </w:p>
    <w:p w:rsidR="00425758" w:rsidRDefault="00425758">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rsidR="00425758" w:rsidRDefault="00425758">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rsidR="00425758" w:rsidRDefault="00425758">
      <w:pPr>
        <w:pStyle w:val="Heading5"/>
        <w:rPr>
          <w:snapToGrid w:val="0"/>
        </w:rPr>
      </w:pPr>
      <w:bookmarkStart w:id="481" w:name="_Toc75863149"/>
      <w:r>
        <w:rPr>
          <w:rStyle w:val="CharSectno"/>
        </w:rPr>
        <w:t>8</w:t>
      </w:r>
      <w:r>
        <w:rPr>
          <w:snapToGrid w:val="0"/>
        </w:rPr>
        <w:t>.</w:t>
      </w:r>
      <w:r>
        <w:rPr>
          <w:snapToGrid w:val="0"/>
        </w:rPr>
        <w:tab/>
        <w:t>Court documents admissible in evidence</w:t>
      </w:r>
      <w:bookmarkEnd w:id="481"/>
    </w:p>
    <w:p w:rsidR="00425758" w:rsidRDefault="00425758">
      <w:pPr>
        <w:pStyle w:val="Subsection"/>
        <w:rPr>
          <w:snapToGrid w:val="0"/>
        </w:rPr>
      </w:pPr>
      <w:r>
        <w:rPr>
          <w:snapToGrid w:val="0"/>
        </w:rPr>
        <w:tab/>
        <w:t>(1)</w:t>
      </w:r>
      <w:r>
        <w:rPr>
          <w:snapToGrid w:val="0"/>
        </w:rPr>
        <w:tab/>
      </w:r>
      <w:r>
        <w:t>Copies</w:t>
      </w:r>
      <w:r>
        <w:rPr>
          <w:snapToGrid w:val="0"/>
        </w:rPr>
        <w:t xml:space="preserve"> of writs, records, pleadings and documents filed in the Court shall be admissible in evidence in any cause or matter, and between all persons and parties to the same extent as the original would be admissible.</w:t>
      </w:r>
    </w:p>
    <w:p w:rsidR="00425758" w:rsidRDefault="00425758">
      <w:pPr>
        <w:pStyle w:val="Subsection"/>
        <w:rPr>
          <w:snapToGrid w:val="0"/>
        </w:rPr>
      </w:pPr>
      <w:r>
        <w:rPr>
          <w:snapToGrid w:val="0"/>
        </w:rPr>
        <w:tab/>
        <w:t>(2)</w:t>
      </w:r>
      <w:r>
        <w:rPr>
          <w:snapToGrid w:val="0"/>
        </w:rPr>
        <w:tab/>
        <w:t xml:space="preserve">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w:t>
      </w:r>
      <w:r>
        <w:t>a true</w:t>
      </w:r>
      <w:r>
        <w:rPr>
          <w:snapToGrid w:val="0"/>
        </w:rPr>
        <w:t xml:space="preserve"> copy of that document without further proof unless the contrary is shown.</w:t>
      </w:r>
    </w:p>
    <w:p w:rsidR="00425758" w:rsidRDefault="00425758">
      <w:pPr>
        <w:pStyle w:val="Footnotesection"/>
      </w:pPr>
      <w:r>
        <w:tab/>
        <w:t>[Rule 8 amended: Gazette 27 Feb 2018 p. 562.]</w:t>
      </w:r>
    </w:p>
    <w:p w:rsidR="00425758" w:rsidRDefault="00425758">
      <w:pPr>
        <w:pStyle w:val="Heading5"/>
        <w:rPr>
          <w:snapToGrid w:val="0"/>
        </w:rPr>
      </w:pPr>
      <w:bookmarkStart w:id="482" w:name="_Toc75863150"/>
      <w:r>
        <w:rPr>
          <w:rStyle w:val="CharSectno"/>
        </w:rPr>
        <w:t>9</w:t>
      </w:r>
      <w:r>
        <w:rPr>
          <w:snapToGrid w:val="0"/>
        </w:rPr>
        <w:t>.</w:t>
      </w:r>
      <w:r>
        <w:rPr>
          <w:snapToGrid w:val="0"/>
        </w:rPr>
        <w:tab/>
        <w:t>Evidence at trial may be used in subsequent proceedings</w:t>
      </w:r>
      <w:bookmarkEnd w:id="482"/>
    </w:p>
    <w:p w:rsidR="00425758" w:rsidRDefault="00425758">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rsidR="00425758" w:rsidRDefault="00425758">
      <w:pPr>
        <w:pStyle w:val="Heading5"/>
        <w:rPr>
          <w:snapToGrid w:val="0"/>
        </w:rPr>
      </w:pPr>
      <w:bookmarkStart w:id="483" w:name="_Toc75863151"/>
      <w:r>
        <w:rPr>
          <w:rStyle w:val="CharSectno"/>
        </w:rPr>
        <w:t>10</w:t>
      </w:r>
      <w:r>
        <w:rPr>
          <w:snapToGrid w:val="0"/>
        </w:rPr>
        <w:t>.</w:t>
      </w:r>
      <w:r>
        <w:rPr>
          <w:snapToGrid w:val="0"/>
        </w:rPr>
        <w:tab/>
        <w:t>Evidence in another cause</w:t>
      </w:r>
      <w:bookmarkEnd w:id="483"/>
    </w:p>
    <w:p w:rsidR="00425758" w:rsidRDefault="00425758">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w:t>
      </w:r>
      <w:r>
        <w:rPr>
          <w:snapToGrid w:val="0"/>
        </w:rPr>
        <w:lastRenderedPageBreak/>
        <w:t>such evidence giving 2 days’ previous notice to the other parties of his intention to read such evidence.</w:t>
      </w:r>
    </w:p>
    <w:p w:rsidR="00425758" w:rsidRDefault="00425758">
      <w:pPr>
        <w:pStyle w:val="Heading5"/>
        <w:rPr>
          <w:snapToGrid w:val="0"/>
        </w:rPr>
      </w:pPr>
      <w:bookmarkStart w:id="484" w:name="_Toc75863152"/>
      <w:r>
        <w:rPr>
          <w:rStyle w:val="CharSectno"/>
        </w:rPr>
        <w:t>11</w:t>
      </w:r>
      <w:r>
        <w:rPr>
          <w:snapToGrid w:val="0"/>
        </w:rPr>
        <w:t>.</w:t>
      </w:r>
      <w:r>
        <w:rPr>
          <w:snapToGrid w:val="0"/>
        </w:rPr>
        <w:tab/>
        <w:t>Production of documents</w:t>
      </w:r>
      <w:bookmarkEnd w:id="484"/>
    </w:p>
    <w:p w:rsidR="00425758" w:rsidRDefault="00425758">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rsidR="00425758" w:rsidRDefault="00425758">
      <w:pPr>
        <w:pStyle w:val="Ednotesection"/>
      </w:pPr>
      <w:r>
        <w:t>[</w:t>
      </w:r>
      <w:r>
        <w:rPr>
          <w:b/>
        </w:rPr>
        <w:t>12</w:t>
      </w:r>
      <w:r>
        <w:rPr>
          <w:b/>
        </w:rPr>
        <w:noBreakHyphen/>
        <w:t>15, 15A, 16, 16A, 17</w:t>
      </w:r>
      <w:r>
        <w:rPr>
          <w:b/>
        </w:rPr>
        <w:noBreakHyphen/>
        <w:t>19.</w:t>
      </w:r>
      <w:r>
        <w:tab/>
        <w:t>Deleted: Gazette 21 Feb 2007 p. 540.]</w:t>
      </w:r>
    </w:p>
    <w:p w:rsidR="00425758" w:rsidRDefault="00425758">
      <w:pPr>
        <w:pStyle w:val="Heading5"/>
        <w:rPr>
          <w:snapToGrid w:val="0"/>
        </w:rPr>
      </w:pPr>
      <w:bookmarkStart w:id="485" w:name="_Toc75863153"/>
      <w:r>
        <w:rPr>
          <w:rStyle w:val="CharSectno"/>
        </w:rPr>
        <w:t>20</w:t>
      </w:r>
      <w:r>
        <w:rPr>
          <w:snapToGrid w:val="0"/>
        </w:rPr>
        <w:t>.</w:t>
      </w:r>
      <w:r>
        <w:rPr>
          <w:snapToGrid w:val="0"/>
        </w:rPr>
        <w:tab/>
        <w:t>Interest for purposes of Act s. 32</w:t>
      </w:r>
      <w:bookmarkEnd w:id="485"/>
    </w:p>
    <w:p w:rsidR="00425758" w:rsidRDefault="00425758">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rsidR="00425758" w:rsidRDefault="00425758">
      <w:pPr>
        <w:pStyle w:val="Footnotesection"/>
      </w:pPr>
      <w:r>
        <w:tab/>
        <w:t xml:space="preserve">[Rule 20 inserted: Gazette 26 Aug 1994 p. 4412; amended: Gazette 21 Feb 2007 p. 540.] </w:t>
      </w:r>
    </w:p>
    <w:p w:rsidR="00425758" w:rsidRDefault="00425758">
      <w:pPr>
        <w:pStyle w:val="Heading2"/>
        <w:rPr>
          <w:b w:val="0"/>
        </w:rPr>
      </w:pPr>
      <w:bookmarkStart w:id="486" w:name="_Toc75512058"/>
      <w:bookmarkStart w:id="487" w:name="_Toc75863154"/>
      <w:r>
        <w:rPr>
          <w:rStyle w:val="CharPartNo"/>
        </w:rPr>
        <w:lastRenderedPageBreak/>
        <w:t>Order 36A</w:t>
      </w:r>
      <w:r>
        <w:rPr>
          <w:rStyle w:val="CharDivNo"/>
        </w:rPr>
        <w:t> </w:t>
      </w:r>
      <w:r>
        <w:t>—</w:t>
      </w:r>
      <w:r>
        <w:rPr>
          <w:rStyle w:val="CharDivText"/>
        </w:rPr>
        <w:t> </w:t>
      </w:r>
      <w:r>
        <w:rPr>
          <w:rStyle w:val="CharPartText"/>
        </w:rPr>
        <w:t>Expert evidence</w:t>
      </w:r>
      <w:bookmarkEnd w:id="486"/>
      <w:bookmarkEnd w:id="487"/>
    </w:p>
    <w:p w:rsidR="00425758" w:rsidRDefault="00425758">
      <w:pPr>
        <w:pStyle w:val="Footnoteheading"/>
        <w:ind w:left="890"/>
        <w:rPr>
          <w:snapToGrid w:val="0"/>
        </w:rPr>
      </w:pPr>
      <w:r>
        <w:rPr>
          <w:snapToGrid w:val="0"/>
        </w:rPr>
        <w:tab/>
        <w:t>[Heading inserted: Gazette 13 Oct 1978 p. 3699.]</w:t>
      </w:r>
    </w:p>
    <w:p w:rsidR="00425758" w:rsidRDefault="00425758">
      <w:pPr>
        <w:pStyle w:val="Heading5"/>
      </w:pPr>
      <w:bookmarkStart w:id="488" w:name="_Toc75863155"/>
      <w:r>
        <w:rPr>
          <w:rStyle w:val="CharSectno"/>
        </w:rPr>
        <w:t>1</w:t>
      </w:r>
      <w:r>
        <w:t>.</w:t>
      </w:r>
      <w:r>
        <w:tab/>
        <w:t>Expert evidence</w:t>
      </w:r>
      <w:bookmarkEnd w:id="488"/>
    </w:p>
    <w:p w:rsidR="00425758" w:rsidRDefault="00425758">
      <w:pPr>
        <w:pStyle w:val="Subsection"/>
      </w:pPr>
      <w:r>
        <w:tab/>
        <w:t>(1)</w:t>
      </w:r>
      <w:r>
        <w:tab/>
        <w:t xml:space="preserve">A party may not adduce expert evidence at a trial of a cause or matter unless — </w:t>
      </w:r>
    </w:p>
    <w:p w:rsidR="00425758" w:rsidRDefault="00425758">
      <w:pPr>
        <w:pStyle w:val="Indenta"/>
      </w:pPr>
      <w:r>
        <w:tab/>
        <w:t>(a)</w:t>
      </w:r>
      <w:r>
        <w:tab/>
        <w:t xml:space="preserve">the case manager for the case has directed that the party may do so; and </w:t>
      </w:r>
    </w:p>
    <w:p w:rsidR="00425758" w:rsidRDefault="00425758">
      <w:pPr>
        <w:pStyle w:val="Indenta"/>
      </w:pPr>
      <w:r>
        <w:tab/>
        <w:t>(b)</w:t>
      </w:r>
      <w:r>
        <w:tab/>
        <w:t>the party has complied with all directions given in relation to that expert evidence.</w:t>
      </w:r>
    </w:p>
    <w:p w:rsidR="00425758" w:rsidRDefault="00425758">
      <w:pPr>
        <w:pStyle w:val="Subsection"/>
      </w:pPr>
      <w:r>
        <w:tab/>
        <w:t>(2)</w:t>
      </w:r>
      <w:r>
        <w:tab/>
        <w:t xml:space="preserve">A party who is required to disclose expert evidence by a time set out in a direction may not, after that time, object to the disclosure on the ground of privilege as defined in the </w:t>
      </w:r>
      <w:r>
        <w:rPr>
          <w:i/>
        </w:rPr>
        <w:t>Evidence Act 1906</w:t>
      </w:r>
      <w:r>
        <w:t xml:space="preserve"> section 32A.</w:t>
      </w:r>
    </w:p>
    <w:p w:rsidR="00425758" w:rsidRDefault="00425758">
      <w:pPr>
        <w:pStyle w:val="Footnotesection"/>
      </w:pPr>
      <w:r>
        <w:tab/>
        <w:t>[Rule 1 inserted: Gazette 16 Aug 2017 p. 4414</w:t>
      </w:r>
      <w:r>
        <w:noBreakHyphen/>
        <w:t>15.]</w:t>
      </w:r>
    </w:p>
    <w:p w:rsidR="00425758" w:rsidRDefault="00425758">
      <w:pPr>
        <w:pStyle w:val="Ednotesection"/>
      </w:pPr>
      <w:r>
        <w:t>[</w:t>
      </w:r>
      <w:r>
        <w:rPr>
          <w:b/>
        </w:rPr>
        <w:t>2-9.</w:t>
      </w:r>
      <w:r>
        <w:tab/>
        <w:t>Deleted: Gazette 16 Aug 2017 p. 4414.]</w:t>
      </w:r>
    </w:p>
    <w:p w:rsidR="00425758" w:rsidRDefault="00425758">
      <w:pPr>
        <w:pStyle w:val="Heading2"/>
      </w:pPr>
      <w:bookmarkStart w:id="489" w:name="_Toc75512060"/>
      <w:bookmarkStart w:id="490" w:name="_Toc75863156"/>
      <w:r>
        <w:rPr>
          <w:rStyle w:val="CharPartNo"/>
        </w:rPr>
        <w:lastRenderedPageBreak/>
        <w:t>Order 36B</w:t>
      </w:r>
      <w:r>
        <w:t> — </w:t>
      </w:r>
      <w:r>
        <w:rPr>
          <w:rStyle w:val="CharPartText"/>
        </w:rPr>
        <w:t>Subpoenas</w:t>
      </w:r>
      <w:bookmarkEnd w:id="489"/>
      <w:bookmarkEnd w:id="490"/>
    </w:p>
    <w:p w:rsidR="00425758" w:rsidRDefault="00425758">
      <w:pPr>
        <w:pStyle w:val="Footnoteheading"/>
      </w:pPr>
      <w:r>
        <w:tab/>
        <w:t>[Heading inserted: Gazette 21 Feb 2007 p. 540.]</w:t>
      </w:r>
    </w:p>
    <w:p w:rsidR="00425758" w:rsidRDefault="00425758">
      <w:pPr>
        <w:pStyle w:val="Heading5"/>
        <w:spacing w:before="180"/>
      </w:pPr>
      <w:bookmarkStart w:id="491" w:name="_Toc75863157"/>
      <w:r>
        <w:rPr>
          <w:rStyle w:val="CharSectno"/>
        </w:rPr>
        <w:t>1</w:t>
      </w:r>
      <w:r>
        <w:t>.</w:t>
      </w:r>
      <w:r>
        <w:tab/>
        <w:t>Terms used</w:t>
      </w:r>
      <w:bookmarkEnd w:id="491"/>
    </w:p>
    <w:p w:rsidR="00425758" w:rsidRDefault="00425758">
      <w:pPr>
        <w:pStyle w:val="Subsection"/>
      </w:pPr>
      <w:r>
        <w:tab/>
        <w:t>(1)</w:t>
      </w:r>
      <w:r>
        <w:tab/>
        <w:t xml:space="preserve">In this Order, unless the contrary intention appears — </w:t>
      </w:r>
    </w:p>
    <w:p w:rsidR="00425758" w:rsidRDefault="00425758">
      <w:pPr>
        <w:pStyle w:val="Defstart"/>
      </w:pPr>
      <w:r>
        <w:rPr>
          <w:b/>
        </w:rPr>
        <w:tab/>
      </w:r>
      <w:r>
        <w:rPr>
          <w:rStyle w:val="CharDefText"/>
        </w:rPr>
        <w:t>addressee</w:t>
      </w:r>
      <w:r>
        <w:t xml:space="preserve"> means the person who is the subject of the order expressed in a subpoena;</w:t>
      </w:r>
    </w:p>
    <w:p w:rsidR="00425758" w:rsidRDefault="00425758">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rsidR="00425758" w:rsidRDefault="00425758">
      <w:pPr>
        <w:pStyle w:val="Defstart"/>
      </w:pPr>
      <w:r>
        <w:rPr>
          <w:b/>
        </w:rPr>
        <w:tab/>
      </w:r>
      <w:r>
        <w:rPr>
          <w:rStyle w:val="CharDefText"/>
        </w:rPr>
        <w:t>issuing officer</w:t>
      </w:r>
      <w:r>
        <w:t xml:space="preserve"> means an officer empowered to issue a subpoena on behalf of the Court;</w:t>
      </w:r>
    </w:p>
    <w:p w:rsidR="00425758" w:rsidRDefault="00425758">
      <w:pPr>
        <w:pStyle w:val="Defstart"/>
      </w:pPr>
      <w:r>
        <w:rPr>
          <w:b/>
        </w:rPr>
        <w:tab/>
      </w:r>
      <w:r>
        <w:rPr>
          <w:rStyle w:val="CharDefText"/>
        </w:rPr>
        <w:t>issuing party</w:t>
      </w:r>
      <w:r>
        <w:t xml:space="preserve"> means the party at whose request a subpoena is issued;</w:t>
      </w:r>
    </w:p>
    <w:p w:rsidR="00425758" w:rsidRDefault="00425758">
      <w:pPr>
        <w:pStyle w:val="Defstart"/>
      </w:pPr>
      <w:r>
        <w:rPr>
          <w:rStyle w:val="CharDefText"/>
        </w:rPr>
        <w:tab/>
        <w:t>Registry</w:t>
      </w:r>
      <w:r>
        <w:t xml:space="preserve"> means the Central Office;</w:t>
      </w:r>
    </w:p>
    <w:p w:rsidR="00425758" w:rsidRDefault="00425758">
      <w:pPr>
        <w:pStyle w:val="Defstart"/>
      </w:pPr>
      <w:r>
        <w:rPr>
          <w:b/>
        </w:rPr>
        <w:tab/>
      </w:r>
      <w:r>
        <w:rPr>
          <w:rStyle w:val="CharDefText"/>
        </w:rPr>
        <w:t>subpoena</w:t>
      </w:r>
      <w:r>
        <w:t xml:space="preserve"> means an order in writing requiring the addressee — </w:t>
      </w:r>
    </w:p>
    <w:p w:rsidR="00425758" w:rsidRDefault="00425758">
      <w:pPr>
        <w:pStyle w:val="Defpara"/>
      </w:pPr>
      <w:r>
        <w:tab/>
        <w:t>(a)</w:t>
      </w:r>
      <w:r>
        <w:tab/>
        <w:t>to attend to give evidence; or</w:t>
      </w:r>
    </w:p>
    <w:p w:rsidR="00425758" w:rsidRDefault="00425758">
      <w:pPr>
        <w:pStyle w:val="Defpara"/>
      </w:pPr>
      <w:r>
        <w:tab/>
        <w:t>(b)</w:t>
      </w:r>
      <w:r>
        <w:tab/>
        <w:t>to produce the subpoena or a copy of it and a document or thing; or</w:t>
      </w:r>
    </w:p>
    <w:p w:rsidR="00425758" w:rsidRDefault="00425758">
      <w:pPr>
        <w:pStyle w:val="Defpara"/>
      </w:pPr>
      <w:r>
        <w:tab/>
        <w:t>(c)</w:t>
      </w:r>
      <w:r>
        <w:tab/>
        <w:t>to do both of those things.</w:t>
      </w:r>
    </w:p>
    <w:p w:rsidR="00425758" w:rsidRDefault="00425758">
      <w:pPr>
        <w:pStyle w:val="Subsection"/>
      </w:pPr>
      <w:r>
        <w:tab/>
        <w:t>(2)</w:t>
      </w:r>
      <w:r>
        <w:tab/>
        <w:t xml:space="preserve">To the extent that a subpoena requires the addressee to attend to give oral evidence, it is called a </w:t>
      </w:r>
      <w:r>
        <w:rPr>
          <w:rStyle w:val="CharDefText"/>
        </w:rPr>
        <w:t>subpoena to attend to give evidence</w:t>
      </w:r>
      <w:r>
        <w:t>.</w:t>
      </w:r>
    </w:p>
    <w:p w:rsidR="00425758" w:rsidRDefault="00425758">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rsidR="00425758" w:rsidRDefault="00425758">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rsidR="00425758" w:rsidRDefault="00425758">
      <w:pPr>
        <w:pStyle w:val="Subsection"/>
        <w:keepNext/>
      </w:pPr>
      <w:r>
        <w:lastRenderedPageBreak/>
        <w:tab/>
        <w:t>(5)</w:t>
      </w:r>
      <w:r>
        <w:tab/>
        <w:t>Unless the Court orders otherwise, this Order is subject to Order 34 rule 15A.</w:t>
      </w:r>
    </w:p>
    <w:p w:rsidR="00425758" w:rsidRDefault="00425758">
      <w:pPr>
        <w:pStyle w:val="Footnotesection"/>
        <w:spacing w:before="60"/>
        <w:ind w:left="890" w:hanging="890"/>
      </w:pPr>
      <w:r>
        <w:tab/>
        <w:t>[Rule 1 inserted: Gazette 21 Feb 2007 p. 540; amended: Gazette 22 Feb 2008 p. 636; 28 Jul 2010 p. 3477; 24 May 2017 p. 2566.]</w:t>
      </w:r>
    </w:p>
    <w:p w:rsidR="00425758" w:rsidRDefault="00425758">
      <w:pPr>
        <w:pStyle w:val="Heading5"/>
      </w:pPr>
      <w:bookmarkStart w:id="492" w:name="_Toc75863158"/>
      <w:r>
        <w:rPr>
          <w:rStyle w:val="CharSectno"/>
        </w:rPr>
        <w:t>2</w:t>
      </w:r>
      <w:r>
        <w:t>.</w:t>
      </w:r>
      <w:r>
        <w:tab/>
        <w:t>Issuing subpoenas</w:t>
      </w:r>
      <w:bookmarkEnd w:id="492"/>
    </w:p>
    <w:p w:rsidR="00425758" w:rsidRDefault="00425758">
      <w:pPr>
        <w:pStyle w:val="Subsection"/>
      </w:pPr>
      <w:r>
        <w:tab/>
        <w:t>(1)</w:t>
      </w:r>
      <w:r>
        <w:tab/>
        <w:t xml:space="preserve">The Court may, in any proceeding, by subpoena order the addressee — </w:t>
      </w:r>
    </w:p>
    <w:p w:rsidR="00425758" w:rsidRDefault="00425758">
      <w:pPr>
        <w:pStyle w:val="Indenta"/>
      </w:pPr>
      <w:r>
        <w:tab/>
        <w:t>(a)</w:t>
      </w:r>
      <w:r>
        <w:tab/>
        <w:t>to attend to give evidence as directed by the subpoena; or</w:t>
      </w:r>
    </w:p>
    <w:p w:rsidR="00425758" w:rsidRDefault="00425758">
      <w:pPr>
        <w:pStyle w:val="Indenta"/>
      </w:pPr>
      <w:r>
        <w:tab/>
        <w:t>(b)</w:t>
      </w:r>
      <w:r>
        <w:tab/>
        <w:t>to produce the subpoena or a copy of it and any document or thing as directed by the subpoena; or</w:t>
      </w:r>
    </w:p>
    <w:p w:rsidR="00425758" w:rsidRDefault="00425758">
      <w:pPr>
        <w:pStyle w:val="Indenta"/>
      </w:pPr>
      <w:r>
        <w:tab/>
        <w:t>(c)</w:t>
      </w:r>
      <w:r>
        <w:tab/>
        <w:t>to do both of those things.</w:t>
      </w:r>
    </w:p>
    <w:p w:rsidR="00425758" w:rsidRDefault="00425758">
      <w:pPr>
        <w:pStyle w:val="Subsection"/>
      </w:pPr>
      <w:r>
        <w:tab/>
        <w:t>(2)</w:t>
      </w:r>
      <w:r>
        <w:tab/>
        <w:t>An issuing officer must not issue either a subpoena to attend to give evidence or a subpoena to produce —</w:t>
      </w:r>
    </w:p>
    <w:p w:rsidR="00425758" w:rsidRDefault="00425758">
      <w:pPr>
        <w:pStyle w:val="Indenta"/>
      </w:pPr>
      <w:r>
        <w:tab/>
        <w:t>(a)</w:t>
      </w:r>
      <w:r>
        <w:tab/>
        <w:t>if a written law or a law of another Australian jurisdiction prohibits its issue; or</w:t>
      </w:r>
    </w:p>
    <w:p w:rsidR="00425758" w:rsidRDefault="00425758">
      <w:pPr>
        <w:pStyle w:val="Indenta"/>
      </w:pPr>
      <w:r>
        <w:tab/>
        <w:t>(b)</w:t>
      </w:r>
      <w:r>
        <w:tab/>
        <w:t>if a written law or a law of another Australian jurisdiction prohibits its issue except with the Court’s leave and the Court has not given that leave; or</w:t>
      </w:r>
    </w:p>
    <w:p w:rsidR="00425758" w:rsidRDefault="00425758">
      <w:pPr>
        <w:pStyle w:val="Indenta"/>
      </w:pPr>
      <w:r>
        <w:tab/>
        <w:t>(c)</w:t>
      </w:r>
      <w:r>
        <w:tab/>
        <w:t>if the Court has ordered that the subpoena not be issued; or</w:t>
      </w:r>
    </w:p>
    <w:p w:rsidR="00425758" w:rsidRDefault="00425758">
      <w:pPr>
        <w:pStyle w:val="Indenta"/>
      </w:pPr>
      <w:r>
        <w:tab/>
        <w:t>(d)</w:t>
      </w:r>
      <w:r>
        <w:tab/>
        <w:t>if the Court has ordered that the subpoena not be issued without the Court’s leave and the Court has not given that leave.</w:t>
      </w:r>
    </w:p>
    <w:p w:rsidR="00425758" w:rsidRDefault="00425758">
      <w:pPr>
        <w:pStyle w:val="Subsection"/>
      </w:pPr>
      <w:r>
        <w:tab/>
        <w:t>(2A)</w:t>
      </w:r>
      <w:r>
        <w:tab/>
        <w:t>An issuing officer must not issue a subpoena to attend to give evidence unless —</w:t>
      </w:r>
    </w:p>
    <w:p w:rsidR="00425758" w:rsidRDefault="00425758">
      <w:pPr>
        <w:pStyle w:val="Indenta"/>
      </w:pPr>
      <w:r>
        <w:tab/>
        <w:t>(a)</w:t>
      </w:r>
      <w:r>
        <w:tab/>
        <w:t>the oral evidence of the addressee is required at one of the following —</w:t>
      </w:r>
    </w:p>
    <w:p w:rsidR="00425758" w:rsidRDefault="00425758">
      <w:pPr>
        <w:pStyle w:val="Indenti"/>
      </w:pPr>
      <w:r>
        <w:tab/>
        <w:t>(i)</w:t>
      </w:r>
      <w:r>
        <w:tab/>
        <w:t>a trial of substantive issues in a proceeding;</w:t>
      </w:r>
    </w:p>
    <w:p w:rsidR="00425758" w:rsidRDefault="00425758">
      <w:pPr>
        <w:pStyle w:val="Indenti"/>
      </w:pPr>
      <w:r>
        <w:tab/>
        <w:t>(ii)</w:t>
      </w:r>
      <w:r>
        <w:tab/>
        <w:t>an assessment of damages under Order 34 rule 18;</w:t>
      </w:r>
    </w:p>
    <w:p w:rsidR="00425758" w:rsidRDefault="00425758">
      <w:pPr>
        <w:pStyle w:val="Indenti"/>
      </w:pPr>
      <w:r>
        <w:lastRenderedPageBreak/>
        <w:tab/>
        <w:t>(iii)</w:t>
      </w:r>
      <w:r>
        <w:tab/>
        <w:t>a trial ordered under Order 35 to be before a referee or other person;</w:t>
      </w:r>
    </w:p>
    <w:p w:rsidR="00425758" w:rsidRDefault="00425758">
      <w:pPr>
        <w:pStyle w:val="Indenti"/>
      </w:pPr>
      <w:r>
        <w:tab/>
        <w:t>(iv)</w:t>
      </w:r>
      <w:r>
        <w:tab/>
        <w:t>an examination ordered under Order 38 to be before an examiner;</w:t>
      </w:r>
    </w:p>
    <w:p w:rsidR="00425758" w:rsidRDefault="00425758">
      <w:pPr>
        <w:pStyle w:val="Indenti"/>
      </w:pPr>
      <w:r>
        <w:tab/>
        <w:t>(v)</w:t>
      </w:r>
      <w:r>
        <w:tab/>
        <w:t>any other proceeding at which, under an express provision of a written law, the attendance of a person may be enforced by a subpoena;</w:t>
      </w:r>
    </w:p>
    <w:p w:rsidR="00425758" w:rsidRDefault="00425758">
      <w:pPr>
        <w:pStyle w:val="Indenta"/>
      </w:pPr>
      <w:r>
        <w:tab/>
      </w:r>
      <w:r>
        <w:tab/>
        <w:t>and</w:t>
      </w:r>
    </w:p>
    <w:p w:rsidR="00425758" w:rsidRDefault="00425758">
      <w:pPr>
        <w:pStyle w:val="Indenta"/>
      </w:pPr>
      <w:r>
        <w:tab/>
        <w:t>(b)</w:t>
      </w:r>
      <w:r>
        <w:tab/>
        <w:t>a date has been set for the trial, assessment, examination or proceeding.</w:t>
      </w:r>
    </w:p>
    <w:p w:rsidR="00425758" w:rsidRDefault="00425758">
      <w:pPr>
        <w:pStyle w:val="Subsection"/>
      </w:pPr>
      <w:r>
        <w:tab/>
        <w:t>(2B)</w:t>
      </w:r>
      <w:r>
        <w:tab/>
        <w:t>An issuing officer must not issue a subpoena to produce —</w:t>
      </w:r>
    </w:p>
    <w:p w:rsidR="00425758" w:rsidRDefault="00425758">
      <w:pPr>
        <w:pStyle w:val="Indenta"/>
      </w:pPr>
      <w:r>
        <w:tab/>
        <w:t>(a)</w:t>
      </w:r>
      <w:r>
        <w:tab/>
        <w:t>if it would require the production of a document or thing in the custody of the Court or another court; or</w:t>
      </w:r>
    </w:p>
    <w:p w:rsidR="00425758" w:rsidRDefault="00425758">
      <w:pPr>
        <w:pStyle w:val="Indenta"/>
      </w:pPr>
      <w:r>
        <w:tab/>
        <w:t>(b)</w:t>
      </w:r>
      <w:r>
        <w:tab/>
        <w:t>in a proceeding in which a defence is required to be filed, unless —</w:t>
      </w:r>
    </w:p>
    <w:p w:rsidR="00425758" w:rsidRDefault="00425758">
      <w:pPr>
        <w:pStyle w:val="Indenti"/>
      </w:pPr>
      <w:r>
        <w:tab/>
        <w:t>(i)</w:t>
      </w:r>
      <w:r>
        <w:tab/>
        <w:t>the defence has been filed; or</w:t>
      </w:r>
    </w:p>
    <w:p w:rsidR="00425758" w:rsidRDefault="00425758">
      <w:pPr>
        <w:pStyle w:val="Indenti"/>
      </w:pPr>
      <w:r>
        <w:tab/>
        <w:t>(ii)</w:t>
      </w:r>
      <w:r>
        <w:tab/>
        <w:t>the Court has given leave for the subpoena to be issued; or</w:t>
      </w:r>
    </w:p>
    <w:p w:rsidR="00425758" w:rsidRDefault="00425758">
      <w:pPr>
        <w:pStyle w:val="Indenti"/>
      </w:pPr>
      <w:r>
        <w:tab/>
        <w:t>(iii)</w:t>
      </w:r>
      <w:r>
        <w:tab/>
        <w:t>the subpoena is being issued under Order 73 rule 20(2);</w:t>
      </w:r>
    </w:p>
    <w:p w:rsidR="00425758" w:rsidRDefault="00425758">
      <w:pPr>
        <w:pStyle w:val="Indenta"/>
      </w:pPr>
      <w:r>
        <w:tab/>
      </w:r>
      <w:r>
        <w:tab/>
        <w:t>or</w:t>
      </w:r>
    </w:p>
    <w:p w:rsidR="00425758" w:rsidRDefault="00425758">
      <w:pPr>
        <w:pStyle w:val="Indenta"/>
      </w:pPr>
      <w:r>
        <w:tab/>
        <w:t>(c)</w:t>
      </w:r>
      <w:r>
        <w:tab/>
        <w:t>in a proceeding in which a defence is not required to be filed, unless —</w:t>
      </w:r>
    </w:p>
    <w:p w:rsidR="00425758" w:rsidRDefault="00425758">
      <w:pPr>
        <w:pStyle w:val="Indenti"/>
      </w:pPr>
      <w:r>
        <w:tab/>
        <w:t>(i)</w:t>
      </w:r>
      <w:r>
        <w:tab/>
        <w:t>the date and time for production is the date and time of a trial; or</w:t>
      </w:r>
    </w:p>
    <w:p w:rsidR="00425758" w:rsidRDefault="00425758">
      <w:pPr>
        <w:pStyle w:val="Indenti"/>
      </w:pPr>
      <w:r>
        <w:tab/>
        <w:t>(ii)</w:t>
      </w:r>
      <w:r>
        <w:tab/>
        <w:t>the Court has given leave for the subpoena to be issued.</w:t>
      </w:r>
    </w:p>
    <w:p w:rsidR="00425758" w:rsidRDefault="00425758">
      <w:pPr>
        <w:pStyle w:val="Subsection"/>
      </w:pPr>
      <w:r>
        <w:tab/>
        <w:t>(2C)</w:t>
      </w:r>
      <w:r>
        <w:tab/>
        <w:t>A party may apply for leave under subrule (2B)(b) or (c) without notice to any other party.</w:t>
      </w:r>
    </w:p>
    <w:p w:rsidR="00425758" w:rsidRDefault="00425758">
      <w:pPr>
        <w:pStyle w:val="Subsection"/>
      </w:pPr>
      <w:r>
        <w:tab/>
        <w:t>(2D)</w:t>
      </w:r>
      <w:r>
        <w:tab/>
        <w:t>The Court must not give leave under subrule (2B)(b) or (c) unless satisfied there are exceptional circumstances.</w:t>
      </w:r>
    </w:p>
    <w:p w:rsidR="00425758" w:rsidRDefault="00425758">
      <w:pPr>
        <w:pStyle w:val="Subsection"/>
      </w:pPr>
      <w:r>
        <w:lastRenderedPageBreak/>
        <w:tab/>
        <w:t>(2E)</w:t>
      </w:r>
      <w:r>
        <w:tab/>
        <w:t>If the Court gives leave to issue a subpoena to produce, it must set the date and time for production to be specified in the subpoena which must be —</w:t>
      </w:r>
    </w:p>
    <w:p w:rsidR="00425758" w:rsidRDefault="00425758">
      <w:pPr>
        <w:pStyle w:val="Indenta"/>
      </w:pPr>
      <w:r>
        <w:tab/>
        <w:t>(a)</w:t>
      </w:r>
      <w:r>
        <w:tab/>
        <w:t>the date and time of the trial in the proceeding at which production is required; or</w:t>
      </w:r>
    </w:p>
    <w:p w:rsidR="00425758" w:rsidRDefault="00425758">
      <w:pPr>
        <w:pStyle w:val="Indenta"/>
      </w:pPr>
      <w:r>
        <w:tab/>
        <w:t>(b)</w:t>
      </w:r>
      <w:r>
        <w:tab/>
        <w:t>an earlier date and time.</w:t>
      </w:r>
    </w:p>
    <w:p w:rsidR="00425758" w:rsidRDefault="00425758">
      <w:pPr>
        <w:pStyle w:val="Subsection"/>
      </w:pPr>
      <w:r>
        <w:tab/>
        <w:t>(3)</w:t>
      </w:r>
      <w:r>
        <w:tab/>
        <w:t>The issuing officer must seal with the seal of the Court, or otherwise authenticate, a sufficient number of copies of the subpoena for service and proof of service.</w:t>
      </w:r>
    </w:p>
    <w:p w:rsidR="00425758" w:rsidRDefault="00425758">
      <w:pPr>
        <w:pStyle w:val="Subsection"/>
      </w:pPr>
      <w:r>
        <w:tab/>
        <w:t>(3A)</w:t>
      </w:r>
      <w:r>
        <w:tab/>
        <w:t xml:space="preserve">If the issuing officer issued the subpoena by means of the ECMS — </w:t>
      </w:r>
    </w:p>
    <w:p w:rsidR="00425758" w:rsidRDefault="00425758">
      <w:pPr>
        <w:pStyle w:val="Indenta"/>
      </w:pPr>
      <w:r>
        <w:tab/>
        <w:t>(a)</w:t>
      </w:r>
      <w:r>
        <w:tab/>
        <w:t>the issuing party may print from the ECMS 1 or more copies of the subpoena; and</w:t>
      </w:r>
    </w:p>
    <w:p w:rsidR="00425758" w:rsidRDefault="00425758">
      <w:pPr>
        <w:pStyle w:val="Indenta"/>
      </w:pPr>
      <w:r>
        <w:tab/>
        <w:t>(b)</w:t>
      </w:r>
      <w:r>
        <w:tab/>
        <w:t>a printed copy may be treated as a copy of the subpoena authenticated in accordance with subrule (3).</w:t>
      </w:r>
    </w:p>
    <w:p w:rsidR="00425758" w:rsidRDefault="00425758">
      <w:pPr>
        <w:pStyle w:val="Subsection"/>
      </w:pPr>
      <w:r>
        <w:tab/>
        <w:t>(4)</w:t>
      </w:r>
      <w:r>
        <w:tab/>
        <w:t xml:space="preserve">A subpoena is taken to have been issued on its being sealed or otherwise authenticated in accordance with </w:t>
      </w:r>
      <w:r>
        <w:rPr>
          <w:snapToGrid w:val="0"/>
        </w:rPr>
        <w:t>subrule</w:t>
      </w:r>
      <w:r>
        <w:t xml:space="preserve"> (3).</w:t>
      </w:r>
    </w:p>
    <w:p w:rsidR="00425758" w:rsidRDefault="00425758">
      <w:pPr>
        <w:pStyle w:val="Footnotesection"/>
      </w:pPr>
      <w:r>
        <w:tab/>
        <w:t>[Rule 2 inserted: Gazette 21 Feb 2007 p. 541; amended: Gazette 24 May 2017 p. 2566</w:t>
      </w:r>
      <w:r>
        <w:noBreakHyphen/>
        <w:t>8; 27 Feb 2018 p. 562-3; 31 Dec 2019 p. 4677.]</w:t>
      </w:r>
    </w:p>
    <w:p w:rsidR="00425758" w:rsidRDefault="00425758">
      <w:pPr>
        <w:pStyle w:val="Heading5"/>
      </w:pPr>
      <w:bookmarkStart w:id="493" w:name="_Toc75863159"/>
      <w:r>
        <w:rPr>
          <w:rStyle w:val="CharSectno"/>
        </w:rPr>
        <w:t>3</w:t>
      </w:r>
      <w:r>
        <w:t>.</w:t>
      </w:r>
      <w:r>
        <w:tab/>
        <w:t>Form of subpoena</w:t>
      </w:r>
      <w:bookmarkEnd w:id="493"/>
    </w:p>
    <w:p w:rsidR="00425758" w:rsidRDefault="00425758">
      <w:pPr>
        <w:pStyle w:val="Subsection"/>
      </w:pPr>
      <w:r>
        <w:tab/>
        <w:t>(1)</w:t>
      </w:r>
      <w:r>
        <w:tab/>
        <w:t xml:space="preserve">Subject to subrule (1A) — </w:t>
      </w:r>
    </w:p>
    <w:p w:rsidR="00425758" w:rsidRDefault="00425758">
      <w:pPr>
        <w:pStyle w:val="Indenta"/>
      </w:pPr>
      <w:r>
        <w:tab/>
        <w:t>(a)</w:t>
      </w:r>
      <w:r>
        <w:tab/>
        <w:t>a subpoena to attend to give evidence must be in the form of Form 21;</w:t>
      </w:r>
    </w:p>
    <w:p w:rsidR="00425758" w:rsidRDefault="00425758">
      <w:pPr>
        <w:pStyle w:val="Indenta"/>
      </w:pPr>
      <w:r>
        <w:tab/>
        <w:t>(b)</w:t>
      </w:r>
      <w:r>
        <w:tab/>
        <w:t>a subpoena to produce must be in the form of Form 21A;</w:t>
      </w:r>
    </w:p>
    <w:p w:rsidR="00425758" w:rsidRDefault="00425758">
      <w:pPr>
        <w:pStyle w:val="Indenta"/>
      </w:pPr>
      <w:r>
        <w:tab/>
        <w:t>(c)</w:t>
      </w:r>
      <w:r>
        <w:tab/>
        <w:t>a subpoena both to attend to give evidence and to produce must be in the form of Form 21B.</w:t>
      </w:r>
    </w:p>
    <w:p w:rsidR="00425758" w:rsidRDefault="00425758">
      <w:pPr>
        <w:pStyle w:val="Subsection"/>
      </w:pPr>
      <w:r>
        <w:tab/>
        <w:t>(1A)</w:t>
      </w:r>
      <w:r>
        <w:tab/>
        <w:t xml:space="preserve">Subrule (1) does not apply to a subpoena issued in proceedings under the </w:t>
      </w:r>
      <w:r>
        <w:rPr>
          <w:i/>
        </w:rPr>
        <w:t>Trans-Tasman Proceedings Act 2010</w:t>
      </w:r>
      <w:r>
        <w:t xml:space="preserve"> (Commonwealth).</w:t>
      </w:r>
    </w:p>
    <w:p w:rsidR="00425758" w:rsidRDefault="00425758">
      <w:pPr>
        <w:pStyle w:val="Subsection"/>
      </w:pPr>
      <w:r>
        <w:lastRenderedPageBreak/>
        <w:tab/>
        <w:t>(2)</w:t>
      </w:r>
      <w:r>
        <w:tab/>
        <w:t>A subpoena must not be addressed to more than one person.</w:t>
      </w:r>
    </w:p>
    <w:p w:rsidR="00425758" w:rsidRDefault="00425758">
      <w:pPr>
        <w:pStyle w:val="Subsection"/>
      </w:pPr>
      <w:r>
        <w:tab/>
        <w:t>(3)</w:t>
      </w:r>
      <w:r>
        <w:tab/>
        <w:t>Unless the Court otherwise orders, a subpoena must identify the addressee by name or by description of office or position.</w:t>
      </w:r>
    </w:p>
    <w:p w:rsidR="00425758" w:rsidRDefault="00425758">
      <w:pPr>
        <w:pStyle w:val="Subsection"/>
      </w:pPr>
      <w:r>
        <w:tab/>
        <w:t>(4)</w:t>
      </w:r>
      <w:r>
        <w:tab/>
        <w:t>A subpoena to attend to give evidence must specify the date and time and place at which the addressee is to attend.</w:t>
      </w:r>
    </w:p>
    <w:p w:rsidR="00425758" w:rsidRDefault="00425758">
      <w:pPr>
        <w:pStyle w:val="Subsection"/>
      </w:pPr>
      <w:r>
        <w:tab/>
        <w:t>(5)</w:t>
      </w:r>
      <w:r>
        <w:tab/>
        <w:t>A subpoena to produce must specify —</w:t>
      </w:r>
    </w:p>
    <w:p w:rsidR="00425758" w:rsidRDefault="00425758">
      <w:pPr>
        <w:pStyle w:val="Indenta"/>
      </w:pPr>
      <w:r>
        <w:tab/>
        <w:t>(a)</w:t>
      </w:r>
      <w:r>
        <w:tab/>
        <w:t>the date and time for production which must be —</w:t>
      </w:r>
    </w:p>
    <w:p w:rsidR="00425758" w:rsidRDefault="00425758">
      <w:pPr>
        <w:pStyle w:val="Indenti"/>
      </w:pPr>
      <w:r>
        <w:tab/>
        <w:t>(i)</w:t>
      </w:r>
      <w:r>
        <w:tab/>
        <w:t>if the Court has given leave for the subpoena to be issued, the date and time set by the Court when giving leave; or</w:t>
      </w:r>
    </w:p>
    <w:p w:rsidR="00425758" w:rsidRDefault="00425758">
      <w:pPr>
        <w:pStyle w:val="Indenti"/>
      </w:pPr>
      <w:r>
        <w:tab/>
        <w:t>(ii)</w:t>
      </w:r>
      <w:r>
        <w:tab/>
        <w:t>otherwise, the date and time of the trial which the addressee is to attend, or a date and time permitted by the issuing officer or a registrar;</w:t>
      </w:r>
    </w:p>
    <w:p w:rsidR="00425758" w:rsidRDefault="00425758">
      <w:pPr>
        <w:pStyle w:val="Indenta"/>
      </w:pPr>
      <w:r>
        <w:tab/>
      </w:r>
      <w:r>
        <w:tab/>
        <w:t>and</w:t>
      </w:r>
    </w:p>
    <w:p w:rsidR="00425758" w:rsidRDefault="00425758">
      <w:pPr>
        <w:pStyle w:val="Indenta"/>
      </w:pPr>
      <w:r>
        <w:tab/>
        <w:t>(b)</w:t>
      </w:r>
      <w:r>
        <w:tab/>
        <w:t>the place for production which must be —</w:t>
      </w:r>
    </w:p>
    <w:p w:rsidR="00425758" w:rsidRDefault="00425758">
      <w:pPr>
        <w:pStyle w:val="Indenti"/>
      </w:pPr>
      <w:r>
        <w:tab/>
        <w:t>(i)</w:t>
      </w:r>
      <w:r>
        <w:tab/>
        <w:t>the address of the Court; or</w:t>
      </w:r>
    </w:p>
    <w:p w:rsidR="00425758" w:rsidRDefault="00425758">
      <w:pPr>
        <w:pStyle w:val="Indenti"/>
      </w:pPr>
      <w:r>
        <w:tab/>
        <w:t>(ii)</w:t>
      </w:r>
      <w:r>
        <w:tab/>
        <w:t>the address of a person authorised to take evidence in the proceeding as permitted by the Court.</w:t>
      </w:r>
    </w:p>
    <w:p w:rsidR="00425758" w:rsidRDefault="00425758">
      <w:pPr>
        <w:pStyle w:val="Ednotesubsection"/>
      </w:pPr>
      <w:r>
        <w:tab/>
        <w:t>[(6), (7)</w:t>
      </w:r>
      <w:r>
        <w:tab/>
        <w:t>deleted]</w:t>
      </w:r>
    </w:p>
    <w:p w:rsidR="00425758" w:rsidRDefault="00425758">
      <w:pPr>
        <w:pStyle w:val="Subsection"/>
      </w:pPr>
      <w:r>
        <w:tab/>
        <w:t>(8)</w:t>
      </w:r>
      <w:r>
        <w:tab/>
        <w:t>The last date for service of a subpoena —</w:t>
      </w:r>
    </w:p>
    <w:p w:rsidR="00425758" w:rsidRDefault="00425758">
      <w:pPr>
        <w:pStyle w:val="Indenta"/>
      </w:pPr>
      <w:r>
        <w:tab/>
        <w:t>(a)</w:t>
      </w:r>
      <w:r>
        <w:tab/>
        <w:t>is the date falling 5 days before the earliest date on which the addressee is required to comply with the subpoena or an earlier or later date fixed by the court; and</w:t>
      </w:r>
    </w:p>
    <w:p w:rsidR="00425758" w:rsidRDefault="00425758">
      <w:pPr>
        <w:pStyle w:val="Indenta"/>
      </w:pPr>
      <w:r>
        <w:tab/>
        <w:t>(b)</w:t>
      </w:r>
      <w:r>
        <w:tab/>
        <w:t>must be specified in the subpoena.</w:t>
      </w:r>
    </w:p>
    <w:p w:rsidR="00425758" w:rsidRDefault="00425758">
      <w:pPr>
        <w:pStyle w:val="Subsection"/>
      </w:pPr>
      <w:r>
        <w:tab/>
        <w:t>(9)</w:t>
      </w:r>
      <w:r>
        <w:tab/>
        <w:t>If the addressee is a corporation, the corporation must comply with the subpoena by its appropriate or proper officer.</w:t>
      </w:r>
    </w:p>
    <w:p w:rsidR="00425758" w:rsidRDefault="00425758">
      <w:pPr>
        <w:pStyle w:val="Footnotesection"/>
      </w:pPr>
      <w:r>
        <w:tab/>
        <w:t>[Rule 3 inserted: Gazette 21 Feb 2007 p. 541</w:t>
      </w:r>
      <w:r>
        <w:noBreakHyphen/>
        <w:t>2; amended: Gazette 22 Feb 2008 p. 636</w:t>
      </w:r>
      <w:r>
        <w:noBreakHyphen/>
        <w:t>7; 3 Aug 2012 p. 3749; 24 May 2017 p. 2568</w:t>
      </w:r>
      <w:r>
        <w:noBreakHyphen/>
        <w:t>9.]</w:t>
      </w:r>
    </w:p>
    <w:p w:rsidR="00425758" w:rsidRDefault="00425758">
      <w:pPr>
        <w:pStyle w:val="Ednotesection"/>
      </w:pPr>
      <w:r>
        <w:lastRenderedPageBreak/>
        <w:t>[</w:t>
      </w:r>
      <w:r>
        <w:rPr>
          <w:b/>
        </w:rPr>
        <w:t>3A.</w:t>
      </w:r>
      <w:r>
        <w:tab/>
        <w:t>Deleted: Gazette 24 May 2017 p. 2569.]</w:t>
      </w:r>
    </w:p>
    <w:p w:rsidR="00425758" w:rsidRDefault="00425758">
      <w:pPr>
        <w:pStyle w:val="Heading5"/>
      </w:pPr>
      <w:bookmarkStart w:id="494" w:name="_Toc75863160"/>
      <w:r>
        <w:rPr>
          <w:rStyle w:val="CharSectno"/>
        </w:rPr>
        <w:t>4</w:t>
      </w:r>
      <w:r>
        <w:t>.</w:t>
      </w:r>
      <w:r>
        <w:tab/>
        <w:t>Service of subpoenas</w:t>
      </w:r>
      <w:bookmarkEnd w:id="494"/>
    </w:p>
    <w:p w:rsidR="00425758" w:rsidRDefault="00425758">
      <w:pPr>
        <w:pStyle w:val="Subsection"/>
      </w:pPr>
      <w:r>
        <w:tab/>
        <w:t>(1)</w:t>
      </w:r>
      <w:r>
        <w:tab/>
        <w:t>A subpoena must be served personally on the addressee.</w:t>
      </w:r>
    </w:p>
    <w:p w:rsidR="00425758" w:rsidRDefault="00425758">
      <w:pPr>
        <w:pStyle w:val="Subsection"/>
      </w:pPr>
      <w:r>
        <w:tab/>
        <w:t>(2)</w:t>
      </w:r>
      <w:r>
        <w:tab/>
        <w:t>As soon as practicable after a subpoena is served on the addressee, the issuing party must serve a copy of it on each other party.</w:t>
      </w:r>
    </w:p>
    <w:p w:rsidR="00425758" w:rsidRDefault="00425758">
      <w:pPr>
        <w:pStyle w:val="Footnotesection"/>
      </w:pPr>
      <w:r>
        <w:tab/>
        <w:t>[Rule 4 inserted: Gazette 24 May 2017 p. 2569.]</w:t>
      </w:r>
    </w:p>
    <w:p w:rsidR="00425758" w:rsidRDefault="00425758">
      <w:pPr>
        <w:pStyle w:val="Heading5"/>
      </w:pPr>
      <w:bookmarkStart w:id="495" w:name="_Toc75863161"/>
      <w:r>
        <w:rPr>
          <w:rStyle w:val="CharSectno"/>
        </w:rPr>
        <w:t>5</w:t>
      </w:r>
      <w:r>
        <w:t>.</w:t>
      </w:r>
      <w:r>
        <w:tab/>
        <w:t>Party may request notice that subpoena to produce has been obeyed</w:t>
      </w:r>
      <w:bookmarkEnd w:id="495"/>
    </w:p>
    <w:p w:rsidR="00425758" w:rsidRDefault="00425758">
      <w:pPr>
        <w:pStyle w:val="Subsection"/>
      </w:pPr>
      <w:r>
        <w:tab/>
        <w:t>(1)</w:t>
      </w:r>
      <w:r>
        <w:tab/>
        <w:t>A party may, in writing, request the Court to inform the party whether any document or thing has been produced to the court under a subpoena to produce.</w:t>
      </w:r>
    </w:p>
    <w:p w:rsidR="00425758" w:rsidRDefault="00425758">
      <w:pPr>
        <w:pStyle w:val="Subsection"/>
      </w:pPr>
      <w:r>
        <w:tab/>
        <w:t>(2)</w:t>
      </w:r>
      <w:r>
        <w:tab/>
        <w:t>If a party has made a request under subrule (1), a registrar must inform the party whether any document or thing has been produced and, if so, include a description, in general terms, of the documents and things produced.</w:t>
      </w:r>
    </w:p>
    <w:p w:rsidR="00425758" w:rsidRDefault="00425758">
      <w:pPr>
        <w:pStyle w:val="Footnotesection"/>
      </w:pPr>
      <w:r>
        <w:tab/>
        <w:t>[Rule 5 inserted: Gazette 24 May 2017 p. 2570.]</w:t>
      </w:r>
    </w:p>
    <w:p w:rsidR="00425758" w:rsidRDefault="00425758">
      <w:pPr>
        <w:pStyle w:val="Heading5"/>
      </w:pPr>
      <w:bookmarkStart w:id="496" w:name="_Toc75863162"/>
      <w:r>
        <w:rPr>
          <w:rStyle w:val="CharSectno"/>
        </w:rPr>
        <w:t>5A</w:t>
      </w:r>
      <w:r>
        <w:t>.</w:t>
      </w:r>
      <w:r>
        <w:tab/>
        <w:t>Altering date for attendance or production</w:t>
      </w:r>
      <w:bookmarkEnd w:id="496"/>
    </w:p>
    <w:p w:rsidR="00425758" w:rsidRDefault="00425758">
      <w:pPr>
        <w:pStyle w:val="Subsection"/>
      </w:pPr>
      <w:r>
        <w:tab/>
        <w:t>(1)</w:t>
      </w:r>
      <w:r>
        <w:tab/>
        <w:t>This rule does not apply to a subpoena to produce that has been issued with the leave of the Court under rule 2(2B)(b)(ii) or (c)(ii).</w:t>
      </w:r>
    </w:p>
    <w:p w:rsidR="00425758" w:rsidRDefault="00425758">
      <w:pPr>
        <w:pStyle w:val="Subsection"/>
      </w:pPr>
      <w:r>
        <w:tab/>
        <w:t>(2)</w:t>
      </w:r>
      <w:r>
        <w:tab/>
        <w:t>The issuing party may give the addressee of a subpoena notice of a date or time later than the date or time specified in the subpoena as the date or time for attendance or for production or for both.</w:t>
      </w:r>
    </w:p>
    <w:p w:rsidR="00425758" w:rsidRDefault="00425758">
      <w:pPr>
        <w:pStyle w:val="Subsection"/>
      </w:pPr>
      <w:r>
        <w:tab/>
        <w:t>(3)</w:t>
      </w:r>
      <w:r>
        <w:tab/>
        <w:t>The later date or time specified in a notice given under subrule (2) must be —</w:t>
      </w:r>
    </w:p>
    <w:p w:rsidR="00425758" w:rsidRDefault="00425758">
      <w:pPr>
        <w:pStyle w:val="Indenta"/>
      </w:pPr>
      <w:r>
        <w:tab/>
        <w:t>(a)</w:t>
      </w:r>
      <w:r>
        <w:tab/>
        <w:t>if the subpoena is a subpoena to attend to give evidence, a later date and time of a trial, assessment, examination or proceeding referred to in rule 2(2A);</w:t>
      </w:r>
    </w:p>
    <w:p w:rsidR="00425758" w:rsidRDefault="00425758">
      <w:pPr>
        <w:pStyle w:val="Indenta"/>
      </w:pPr>
      <w:r>
        <w:lastRenderedPageBreak/>
        <w:tab/>
        <w:t>(b)</w:t>
      </w:r>
      <w:r>
        <w:tab/>
        <w:t>if the subpoena is a subpoena to produce in which the date and time for production is the date and time of a trial — a later date and time of a trial;</w:t>
      </w:r>
    </w:p>
    <w:p w:rsidR="00425758" w:rsidRDefault="00425758">
      <w:pPr>
        <w:pStyle w:val="Indenta"/>
      </w:pPr>
      <w:r>
        <w:tab/>
        <w:t>(c)</w:t>
      </w:r>
      <w:r>
        <w:tab/>
        <w:t>if the subpoena is a subpoena to produce in which the date and time for production is not the date and time of a trial — any later date and time.</w:t>
      </w:r>
    </w:p>
    <w:p w:rsidR="00425758" w:rsidRDefault="00425758">
      <w:pPr>
        <w:pStyle w:val="Subsection"/>
        <w:keepNext/>
      </w:pPr>
      <w:r>
        <w:tab/>
        <w:t>(4)</w:t>
      </w:r>
      <w:r>
        <w:tab/>
        <w:t xml:space="preserve">As soon as practicable after giving a notice under subrule (2), the issuing party must — </w:t>
      </w:r>
    </w:p>
    <w:p w:rsidR="00425758" w:rsidRDefault="00425758">
      <w:pPr>
        <w:pStyle w:val="Indenta"/>
      </w:pPr>
      <w:r>
        <w:tab/>
        <w:t>(a)</w:t>
      </w:r>
      <w:r>
        <w:tab/>
        <w:t>file a copy of the notice; and</w:t>
      </w:r>
    </w:p>
    <w:p w:rsidR="00425758" w:rsidRDefault="00425758">
      <w:pPr>
        <w:pStyle w:val="Indenta"/>
      </w:pPr>
      <w:r>
        <w:tab/>
        <w:t>(b)</w:t>
      </w:r>
      <w:r>
        <w:tab/>
        <w:t>serve a copy of the notice on each other party.</w:t>
      </w:r>
    </w:p>
    <w:p w:rsidR="00425758" w:rsidRDefault="00425758">
      <w:pPr>
        <w:pStyle w:val="Subsection"/>
      </w:pPr>
      <w:r>
        <w:tab/>
        <w:t>(5)</w:t>
      </w:r>
      <w:r>
        <w:tab/>
        <w:t>The notice need not be served personally.</w:t>
      </w:r>
    </w:p>
    <w:p w:rsidR="00425758" w:rsidRDefault="00425758">
      <w:pPr>
        <w:pStyle w:val="Subsection"/>
      </w:pPr>
      <w:r>
        <w:tab/>
        <w:t>(6)</w:t>
      </w:r>
      <w:r>
        <w:tab/>
        <w:t>If notice is given under subrule (2), the subpoena has effect as if the date or time notified were specified in the subpoena instead of the date or time originally specified in the subpoena.</w:t>
      </w:r>
    </w:p>
    <w:p w:rsidR="00425758" w:rsidRDefault="00425758">
      <w:pPr>
        <w:pStyle w:val="Footnotesection"/>
      </w:pPr>
      <w:r>
        <w:tab/>
        <w:t>[Rule 5A inserted: Gazette 24 May 2017 p. 2570</w:t>
      </w:r>
      <w:r>
        <w:noBreakHyphen/>
        <w:t>1.]</w:t>
      </w:r>
    </w:p>
    <w:p w:rsidR="00425758" w:rsidRDefault="00425758">
      <w:pPr>
        <w:pStyle w:val="Heading5"/>
      </w:pPr>
      <w:bookmarkStart w:id="497" w:name="_Toc75863163"/>
      <w:r>
        <w:rPr>
          <w:rStyle w:val="CharSectno"/>
        </w:rPr>
        <w:t>6</w:t>
      </w:r>
      <w:r>
        <w:t>.</w:t>
      </w:r>
      <w:r>
        <w:tab/>
        <w:t>Compliance with subpoena</w:t>
      </w:r>
      <w:bookmarkEnd w:id="497"/>
    </w:p>
    <w:p w:rsidR="00425758" w:rsidRDefault="00425758">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rsidR="00425758" w:rsidRDefault="00425758">
      <w:pPr>
        <w:pStyle w:val="Subsection"/>
      </w:pPr>
      <w:r>
        <w:tab/>
        <w:t>(2)</w:t>
      </w:r>
      <w:r>
        <w:tab/>
        <w:t>An addressee need not comply with the requirements of a subpoena unless it is served on or before the date specified in the subpoena as the last date for service of the subpoena.</w:t>
      </w:r>
    </w:p>
    <w:p w:rsidR="00425758" w:rsidRDefault="00425758">
      <w:pPr>
        <w:pStyle w:val="Subsection"/>
      </w:pPr>
      <w:r>
        <w:tab/>
        <w:t>(3)</w:t>
      </w:r>
      <w:r>
        <w:tab/>
        <w:t>Despite rule 4(1), an addressee must comply with the requirements of a subpoena even if it has not been served personally on that addressee if the addressee has, by the last date for service of the subpoena, actual knowledge of the subpoena and of its requirements.</w:t>
      </w:r>
    </w:p>
    <w:p w:rsidR="00425758" w:rsidRDefault="00425758">
      <w:pPr>
        <w:pStyle w:val="Subsection"/>
      </w:pPr>
      <w:r>
        <w:tab/>
        <w:t>(4)</w:t>
      </w:r>
      <w:r>
        <w:tab/>
        <w:t xml:space="preserve">The addressee must comply with a subpoena to produce — </w:t>
      </w:r>
    </w:p>
    <w:p w:rsidR="00425758" w:rsidRDefault="00425758">
      <w:pPr>
        <w:pStyle w:val="Indenta"/>
      </w:pPr>
      <w:r>
        <w:tab/>
        <w:t>(a)</w:t>
      </w:r>
      <w:r>
        <w:tab/>
        <w:t xml:space="preserve">by attending at the date, time and place specified for production or, if the addressee has received notice of a </w:t>
      </w:r>
      <w:r>
        <w:lastRenderedPageBreak/>
        <w:t>later date or time from the issuing party, at that later date or time and producing the subpoena or a copy of it and the document or thing to the Court or to the person authorised to take evidence in the proceeding as permitted by the Court; or</w:t>
      </w:r>
    </w:p>
    <w:p w:rsidR="00425758" w:rsidRDefault="00425758">
      <w:pPr>
        <w:pStyle w:val="Indenta"/>
      </w:pPr>
      <w:r>
        <w:tab/>
        <w:t>(b)</w:t>
      </w:r>
      <w:r>
        <w:tab/>
        <w:t>by delivering or sending the subpoena or a copy of it and the document or thing to the Registry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rsidR="00425758" w:rsidRDefault="00425758">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rsidR="00425758" w:rsidRDefault="00425758">
      <w:pPr>
        <w:pStyle w:val="Subsection"/>
      </w:pPr>
      <w:r>
        <w:tab/>
        <w:t>(5A)</w:t>
      </w:r>
      <w:r>
        <w:tab/>
        <w:t>The addressee cannot comply with the requirement under subrule (4)(b) to deliver or send the subpoena or other document to the Registry by filing it electronically.</w:t>
      </w:r>
    </w:p>
    <w:p w:rsidR="00425758" w:rsidRDefault="00425758">
      <w:pPr>
        <w:pStyle w:val="Subsection"/>
      </w:pPr>
      <w:r>
        <w:tab/>
        <w:t>(6)</w:t>
      </w:r>
      <w:r>
        <w:tab/>
        <w:t>Unless a subpoena specifically requires the production of the original, the addressee may produce a copy of any document required to be produced by the subpoena.</w:t>
      </w:r>
    </w:p>
    <w:p w:rsidR="00425758" w:rsidRDefault="00425758">
      <w:pPr>
        <w:pStyle w:val="Subsection"/>
      </w:pPr>
      <w:r>
        <w:tab/>
        <w:t>(7)</w:t>
      </w:r>
      <w:r>
        <w:tab/>
        <w:t>The copy of a document may be —</w:t>
      </w:r>
    </w:p>
    <w:p w:rsidR="00425758" w:rsidRDefault="00425758">
      <w:pPr>
        <w:pStyle w:val="Indenta"/>
      </w:pPr>
      <w:r>
        <w:tab/>
        <w:t>(a)</w:t>
      </w:r>
      <w:r>
        <w:tab/>
        <w:t>a photocopy; or</w:t>
      </w:r>
    </w:p>
    <w:p w:rsidR="00425758" w:rsidRDefault="00425758">
      <w:pPr>
        <w:pStyle w:val="Indenta"/>
      </w:pPr>
      <w:r>
        <w:tab/>
        <w:t>(b)</w:t>
      </w:r>
      <w:r>
        <w:tab/>
        <w:t>in an electronic format that the subpoena indicates will be acceptable on a CD-ROM, DVD or USB device, unless the Court, on an application made by a party or the addressee, has directed otherwise.</w:t>
      </w:r>
    </w:p>
    <w:p w:rsidR="00425758" w:rsidRDefault="00425758">
      <w:pPr>
        <w:pStyle w:val="Footnotesection"/>
      </w:pPr>
      <w:r>
        <w:tab/>
        <w:t>[Rule 6 inserted: Gazette 21 Feb 2007 p. 542</w:t>
      </w:r>
      <w:r>
        <w:noBreakHyphen/>
        <w:t>3; amended: Gazette 28 Jul 2010 p. 3477-8; 24 May 2017 p. 2571 and 2575</w:t>
      </w:r>
      <w:r>
        <w:noBreakHyphen/>
        <w:t>6; 16 Aug 2017 p. 4415; 27 Feb 2018 p. 563.]</w:t>
      </w:r>
    </w:p>
    <w:p w:rsidR="00425758" w:rsidRDefault="00425758">
      <w:pPr>
        <w:pStyle w:val="Heading5"/>
      </w:pPr>
      <w:bookmarkStart w:id="498" w:name="_Toc75863164"/>
      <w:r>
        <w:rPr>
          <w:rStyle w:val="CharSectno"/>
        </w:rPr>
        <w:lastRenderedPageBreak/>
        <w:t>7</w:t>
      </w:r>
      <w:r>
        <w:t>.</w:t>
      </w:r>
      <w:r>
        <w:tab/>
        <w:t>Production otherwise than at a trial</w:t>
      </w:r>
      <w:bookmarkEnd w:id="498"/>
    </w:p>
    <w:p w:rsidR="00425758" w:rsidRDefault="00425758">
      <w:pPr>
        <w:pStyle w:val="Subsection"/>
      </w:pPr>
      <w:r>
        <w:tab/>
        <w:t>(1)</w:t>
      </w:r>
      <w:r>
        <w:tab/>
        <w:t>This rule applies if, under a subpoena to produce, the addressee produces a document or thing to the Court otherwise than at a trial.</w:t>
      </w:r>
    </w:p>
    <w:p w:rsidR="00425758" w:rsidRDefault="00425758">
      <w:pPr>
        <w:pStyle w:val="Subsection"/>
      </w:pPr>
      <w:r>
        <w:tab/>
        <w:t>(2)</w:t>
      </w:r>
      <w:r>
        <w:tab/>
        <w:t>The Registry must, if requested by the addressee, give a receipt for the document or thing to the addressee.</w:t>
      </w:r>
    </w:p>
    <w:p w:rsidR="00425758" w:rsidRDefault="00425758">
      <w:pPr>
        <w:pStyle w:val="Subsection"/>
      </w:pPr>
      <w:r>
        <w:tab/>
        <w:t>(3)</w:t>
      </w:r>
      <w:r>
        <w:tab/>
        <w:t>If the addressee produces more than 1 document or thing, the addressee must provide a list of them.</w:t>
      </w:r>
    </w:p>
    <w:p w:rsidR="00425758" w:rsidRDefault="00425758">
      <w:pPr>
        <w:pStyle w:val="Subsection"/>
      </w:pPr>
      <w:r>
        <w:tab/>
        <w:t>(4)</w:t>
      </w:r>
      <w:r>
        <w:tab/>
        <w:t>The addressee may, with the consent of the issuing party, produce a copy, instead of the original, of any document required to be produced.</w:t>
      </w:r>
    </w:p>
    <w:p w:rsidR="00425758" w:rsidRDefault="00425758">
      <w:pPr>
        <w:pStyle w:val="Subsection"/>
      </w:pPr>
      <w:r>
        <w:tab/>
        <w:t>(5)</w:t>
      </w:r>
      <w:r>
        <w:tab/>
        <w:t>The addressee may at the time of production inform the Registry in writing that any document or copy of a document produced need not be returned and may be destroyed.</w:t>
      </w:r>
    </w:p>
    <w:p w:rsidR="00425758" w:rsidRDefault="00425758">
      <w:pPr>
        <w:pStyle w:val="Footnotesection"/>
      </w:pPr>
      <w:r>
        <w:tab/>
        <w:t>[Rule 7 inserted: Gazette 21 Feb 2007 p. 543; amended: Gazette 24 May 2017 p. 2571 and 2575</w:t>
      </w:r>
      <w:r>
        <w:noBreakHyphen/>
        <w:t>6.]</w:t>
      </w:r>
    </w:p>
    <w:p w:rsidR="00425758" w:rsidRDefault="00425758">
      <w:pPr>
        <w:pStyle w:val="Heading5"/>
      </w:pPr>
      <w:bookmarkStart w:id="499" w:name="_Toc75863165"/>
      <w:r>
        <w:rPr>
          <w:rStyle w:val="CharSectno"/>
        </w:rPr>
        <w:t>8</w:t>
      </w:r>
      <w:r>
        <w:t>.</w:t>
      </w:r>
      <w:r>
        <w:tab/>
        <w:t>Setting aside subpoena to attend to give evidence</w:t>
      </w:r>
      <w:bookmarkEnd w:id="499"/>
    </w:p>
    <w:p w:rsidR="00425758" w:rsidRDefault="00425758">
      <w:pPr>
        <w:pStyle w:val="Subsection"/>
      </w:pPr>
      <w:r>
        <w:tab/>
        <w:t>(1)</w:t>
      </w:r>
      <w:r>
        <w:tab/>
        <w:t>This rule applies if a subpoena to attend to give evidence has been issued in a proceeding.</w:t>
      </w:r>
    </w:p>
    <w:p w:rsidR="00425758" w:rsidRDefault="00425758">
      <w:pPr>
        <w:pStyle w:val="Subsection"/>
      </w:pPr>
      <w:r>
        <w:tab/>
        <w:t>(2)</w:t>
      </w:r>
      <w:r>
        <w:tab/>
        <w:t>On a request by the addressee, a party or any other person with a sufficient interest, the Court may set aside the subpoena or grant other relief in respect of it.</w:t>
      </w:r>
    </w:p>
    <w:p w:rsidR="00425758" w:rsidRDefault="00425758">
      <w:pPr>
        <w:pStyle w:val="Subsection"/>
      </w:pPr>
      <w:r>
        <w:tab/>
        <w:t>(3)</w:t>
      </w:r>
      <w:r>
        <w:tab/>
        <w:t>A request under this rule may be made before the date and time for attendance specified in the subpoena.</w:t>
      </w:r>
    </w:p>
    <w:p w:rsidR="00425758" w:rsidRDefault="00425758">
      <w:pPr>
        <w:pStyle w:val="Subsection"/>
      </w:pPr>
      <w:r>
        <w:tab/>
        <w:t>(4)</w:t>
      </w:r>
      <w:r>
        <w:tab/>
        <w:t>Subrule (3) does not limit when a request under this rule may be made.</w:t>
      </w:r>
    </w:p>
    <w:p w:rsidR="00425758" w:rsidRDefault="00425758">
      <w:pPr>
        <w:pStyle w:val="Subsection"/>
      </w:pPr>
      <w:r>
        <w:tab/>
        <w:t>(5)</w:t>
      </w:r>
      <w:r>
        <w:tab/>
        <w:t>A request under this rule must be made in accordance with rule 8B.</w:t>
      </w:r>
    </w:p>
    <w:p w:rsidR="00425758" w:rsidRDefault="00425758">
      <w:pPr>
        <w:pStyle w:val="Footnotesection"/>
      </w:pPr>
      <w:r>
        <w:tab/>
        <w:t>[Rule 8 inserted: Gazette 24 May 2017 p. 2572.]</w:t>
      </w:r>
    </w:p>
    <w:p w:rsidR="00425758" w:rsidRDefault="00425758">
      <w:pPr>
        <w:pStyle w:val="Heading5"/>
      </w:pPr>
      <w:bookmarkStart w:id="500" w:name="_Toc75863166"/>
      <w:r>
        <w:rPr>
          <w:rStyle w:val="CharSectno"/>
        </w:rPr>
        <w:lastRenderedPageBreak/>
        <w:t>8A</w:t>
      </w:r>
      <w:r>
        <w:t>.</w:t>
      </w:r>
      <w:r>
        <w:tab/>
        <w:t>Setting aside subpoena to produce and directions as to things to be produced</w:t>
      </w:r>
      <w:bookmarkEnd w:id="500"/>
    </w:p>
    <w:p w:rsidR="00425758" w:rsidRDefault="00425758">
      <w:pPr>
        <w:pStyle w:val="Subsection"/>
      </w:pPr>
      <w:r>
        <w:tab/>
        <w:t>(1)</w:t>
      </w:r>
      <w:r>
        <w:tab/>
        <w:t>This rule applies if a subpoena to produce has been issued in a proceeding.</w:t>
      </w:r>
    </w:p>
    <w:p w:rsidR="00425758" w:rsidRDefault="00425758">
      <w:pPr>
        <w:pStyle w:val="Subsection"/>
      </w:pPr>
      <w:r>
        <w:tab/>
        <w:t>(2)</w:t>
      </w:r>
      <w:r>
        <w:tab/>
        <w:t>On a request by the addressee, a party or any other person with a sufficient interest, the Court may, by order —</w:t>
      </w:r>
    </w:p>
    <w:p w:rsidR="00425758" w:rsidRDefault="00425758">
      <w:pPr>
        <w:pStyle w:val="Indenta"/>
      </w:pPr>
      <w:r>
        <w:tab/>
        <w:t>(a)</w:t>
      </w:r>
      <w:r>
        <w:tab/>
        <w:t>set aside the subpoena or part of it; or</w:t>
      </w:r>
    </w:p>
    <w:p w:rsidR="00425758" w:rsidRDefault="00425758">
      <w:pPr>
        <w:pStyle w:val="Indenta"/>
      </w:pPr>
      <w:r>
        <w:tab/>
        <w:t>(b)</w:t>
      </w:r>
      <w:r>
        <w:tab/>
        <w:t>make or vary directions in relation to removing from and returning to the Court, and the inspection, copying and disposal, of any document or thing that has been or is to be produced under it; or</w:t>
      </w:r>
    </w:p>
    <w:p w:rsidR="00425758" w:rsidRDefault="00425758">
      <w:pPr>
        <w:pStyle w:val="Indenta"/>
      </w:pPr>
      <w:r>
        <w:tab/>
        <w:t>(c)</w:t>
      </w:r>
      <w:r>
        <w:tab/>
        <w:t>grant other relief in respect of it.</w:t>
      </w:r>
    </w:p>
    <w:p w:rsidR="00425758" w:rsidRDefault="00425758">
      <w:pPr>
        <w:pStyle w:val="Subsection"/>
      </w:pPr>
      <w:r>
        <w:tab/>
        <w:t>(3)</w:t>
      </w:r>
      <w:r>
        <w:tab/>
        <w:t>A request under this rule may be made before the date and time for production specified in the subpoena.</w:t>
      </w:r>
    </w:p>
    <w:p w:rsidR="00425758" w:rsidRDefault="00425758">
      <w:pPr>
        <w:pStyle w:val="Subsection"/>
      </w:pPr>
      <w:r>
        <w:tab/>
        <w:t>(4)</w:t>
      </w:r>
      <w:r>
        <w:tab/>
        <w:t>Subrule (3) does not limit when a request under this rule may be made.</w:t>
      </w:r>
    </w:p>
    <w:p w:rsidR="00425758" w:rsidRDefault="00425758">
      <w:pPr>
        <w:pStyle w:val="Subsection"/>
      </w:pPr>
      <w:r>
        <w:tab/>
        <w:t>(5)</w:t>
      </w:r>
      <w:r>
        <w:tab/>
        <w:t>A request under this rule must be made in accordance with rule 8B.</w:t>
      </w:r>
    </w:p>
    <w:p w:rsidR="00425758" w:rsidRDefault="00425758">
      <w:pPr>
        <w:pStyle w:val="Subsection"/>
      </w:pPr>
      <w:r>
        <w:tab/>
        <w:t>(6)</w:t>
      </w:r>
      <w:r>
        <w:tab/>
        <w:t>While a request made under this rule is pending, the Registry must not permit any, or any further inspection, copying, removal or disposal of any document or thing to which the request relates.</w:t>
      </w:r>
    </w:p>
    <w:p w:rsidR="00425758" w:rsidRDefault="00425758">
      <w:pPr>
        <w:pStyle w:val="Footnotesection"/>
      </w:pPr>
      <w:r>
        <w:tab/>
        <w:t>[Rule 8A inserted: Gazette 24 May 2017 p. 2572</w:t>
      </w:r>
      <w:r>
        <w:noBreakHyphen/>
        <w:t>3.]</w:t>
      </w:r>
    </w:p>
    <w:p w:rsidR="00425758" w:rsidRDefault="00425758">
      <w:pPr>
        <w:pStyle w:val="Heading5"/>
      </w:pPr>
      <w:bookmarkStart w:id="501" w:name="_Toc75863167"/>
      <w:r>
        <w:rPr>
          <w:rStyle w:val="CharSectno"/>
        </w:rPr>
        <w:t>8B</w:t>
      </w:r>
      <w:r>
        <w:t>.</w:t>
      </w:r>
      <w:r>
        <w:tab/>
        <w:t>How requests under r. 8 and 8A to be made</w:t>
      </w:r>
      <w:bookmarkEnd w:id="501"/>
    </w:p>
    <w:p w:rsidR="00425758" w:rsidRDefault="00425758">
      <w:pPr>
        <w:pStyle w:val="Subsection"/>
      </w:pPr>
      <w:r>
        <w:tab/>
        <w:t>(1)</w:t>
      </w:r>
      <w:r>
        <w:tab/>
        <w:t>A request under rule 8 or 8A must be made by way of a letter to the Principal Registrar unless —</w:t>
      </w:r>
    </w:p>
    <w:p w:rsidR="00425758" w:rsidRDefault="00425758">
      <w:pPr>
        <w:pStyle w:val="Indenta"/>
      </w:pPr>
      <w:r>
        <w:tab/>
        <w:t>(a)</w:t>
      </w:r>
      <w:r>
        <w:tab/>
        <w:t>the request is made orally during a case management conference held under Order 4A, or during a hearing, by a party to the proceeding in which the subpoena has been issued; or</w:t>
      </w:r>
    </w:p>
    <w:p w:rsidR="00425758" w:rsidRDefault="00425758">
      <w:pPr>
        <w:pStyle w:val="Indenta"/>
      </w:pPr>
      <w:r>
        <w:lastRenderedPageBreak/>
        <w:tab/>
        <w:t>(b)</w:t>
      </w:r>
      <w:r>
        <w:tab/>
        <w:t>a motion or summons is justified by the circumstances of the particular case or the nature of the request, in which case the request may be made by way of motion or summons; or</w:t>
      </w:r>
    </w:p>
    <w:p w:rsidR="00425758" w:rsidRDefault="00425758">
      <w:pPr>
        <w:pStyle w:val="Indenta"/>
      </w:pPr>
      <w:r>
        <w:tab/>
        <w:t>(c)</w:t>
      </w:r>
      <w:r>
        <w:tab/>
        <w:t xml:space="preserve">the </w:t>
      </w:r>
      <w:r>
        <w:rPr>
          <w:i/>
        </w:rPr>
        <w:t>Supreme Court (Corporations) (WA) Rules 2004</w:t>
      </w:r>
      <w:r>
        <w:t xml:space="preserve"> apply to the proceeding in which the subpoena has been issued, in which case the request must be made under those rules.</w:t>
      </w:r>
    </w:p>
    <w:p w:rsidR="00425758" w:rsidRDefault="00425758">
      <w:pPr>
        <w:pStyle w:val="Subsection"/>
      </w:pPr>
      <w:r>
        <w:tab/>
        <w:t>(2)</w:t>
      </w:r>
      <w:r>
        <w:tab/>
        <w:t>A request under rule 8 or 8A made by letter must state —</w:t>
      </w:r>
    </w:p>
    <w:p w:rsidR="00425758" w:rsidRDefault="00425758">
      <w:pPr>
        <w:pStyle w:val="Indenta"/>
      </w:pPr>
      <w:r>
        <w:tab/>
        <w:t>(a)</w:t>
      </w:r>
      <w:r>
        <w:tab/>
        <w:t>the grounds of the request; and</w:t>
      </w:r>
    </w:p>
    <w:p w:rsidR="00425758" w:rsidRDefault="00425758">
      <w:pPr>
        <w:pStyle w:val="Indenta"/>
      </w:pPr>
      <w:r>
        <w:tab/>
        <w:t>(b)</w:t>
      </w:r>
      <w:r>
        <w:tab/>
        <w:t>the order, direction or relief sought.</w:t>
      </w:r>
    </w:p>
    <w:p w:rsidR="00425758" w:rsidRDefault="00425758">
      <w:pPr>
        <w:pStyle w:val="Subsection"/>
      </w:pPr>
      <w:r>
        <w:tab/>
        <w:t>(3)</w:t>
      </w:r>
      <w:r>
        <w:tab/>
        <w:t>The person making a request under rule 8 or 8A by letter must —</w:t>
      </w:r>
    </w:p>
    <w:p w:rsidR="00425758" w:rsidRDefault="00425758">
      <w:pPr>
        <w:pStyle w:val="Indenta"/>
      </w:pPr>
      <w:r>
        <w:tab/>
        <w:t>(a)</w:t>
      </w:r>
      <w:r>
        <w:tab/>
        <w:t>file it; and</w:t>
      </w:r>
    </w:p>
    <w:p w:rsidR="00425758" w:rsidRDefault="00425758">
      <w:pPr>
        <w:pStyle w:val="Indenta"/>
      </w:pPr>
      <w:r>
        <w:tab/>
        <w:t>(b)</w:t>
      </w:r>
      <w:r>
        <w:tab/>
        <w:t>serve a copy of it on the issuing party.</w:t>
      </w:r>
    </w:p>
    <w:p w:rsidR="00425758" w:rsidRDefault="00425758">
      <w:pPr>
        <w:pStyle w:val="Subsection"/>
      </w:pPr>
      <w:r>
        <w:tab/>
        <w:t>(3A)</w:t>
      </w:r>
      <w:r>
        <w:tab/>
        <w:t xml:space="preserve">A request under rule 8 or 8A cannot be filed electronically unless — </w:t>
      </w:r>
    </w:p>
    <w:p w:rsidR="00425758" w:rsidRDefault="00425758">
      <w:pPr>
        <w:pStyle w:val="Indenta"/>
      </w:pPr>
      <w:r>
        <w:tab/>
        <w:t>(a)</w:t>
      </w:r>
      <w:r>
        <w:tab/>
        <w:t>the request is made by a party; or</w:t>
      </w:r>
    </w:p>
    <w:p w:rsidR="00425758" w:rsidRDefault="00425758">
      <w:pPr>
        <w:pStyle w:val="Indenta"/>
      </w:pPr>
      <w:r>
        <w:tab/>
        <w:t>(b)</w:t>
      </w:r>
      <w:r>
        <w:tab/>
        <w:t>the Principal Registrar has given approval for the request to be filed electronically.</w:t>
      </w:r>
    </w:p>
    <w:p w:rsidR="00425758" w:rsidRDefault="00425758">
      <w:pPr>
        <w:pStyle w:val="Subsection"/>
      </w:pPr>
      <w:r>
        <w:tab/>
        <w:t>(4)</w:t>
      </w:r>
      <w:r>
        <w:tab/>
        <w:t>Even if a person has made a request under rule 8 or 8A by letter in accordance with this rule, the Principal Registrar or a case manager (as defined in Order 4A rule 1) may direct the person to make the request in some other manner.</w:t>
      </w:r>
    </w:p>
    <w:p w:rsidR="00425758" w:rsidRDefault="00425758">
      <w:pPr>
        <w:pStyle w:val="Footnotesection"/>
      </w:pPr>
      <w:r>
        <w:tab/>
        <w:t>[Rule 8B inserted: Gazette 24 May 2017 p. 2573</w:t>
      </w:r>
      <w:r>
        <w:noBreakHyphen/>
        <w:t>4; amended: Gazette 27 Feb 2018 p. 563.]</w:t>
      </w:r>
    </w:p>
    <w:p w:rsidR="00425758" w:rsidRDefault="00425758">
      <w:pPr>
        <w:pStyle w:val="Heading5"/>
      </w:pPr>
      <w:bookmarkStart w:id="502" w:name="_Toc75863168"/>
      <w:r>
        <w:rPr>
          <w:rStyle w:val="CharSectno"/>
        </w:rPr>
        <w:t>9</w:t>
      </w:r>
      <w:r>
        <w:t>.</w:t>
      </w:r>
      <w:r>
        <w:tab/>
        <w:t>Inspecting and dealing with documents and things produced otherwise than at a trial</w:t>
      </w:r>
      <w:bookmarkEnd w:id="502"/>
    </w:p>
    <w:p w:rsidR="00425758" w:rsidRDefault="00425758">
      <w:pPr>
        <w:pStyle w:val="Subsection"/>
      </w:pPr>
      <w:r>
        <w:tab/>
        <w:t>(1)</w:t>
      </w:r>
      <w:r>
        <w:tab/>
        <w:t>This rule applies if, under a subpoena to produce, the addressee produces a document or thing to the Court otherwise than at a trial.</w:t>
      </w:r>
    </w:p>
    <w:p w:rsidR="00425758" w:rsidRDefault="00425758">
      <w:pPr>
        <w:pStyle w:val="Subsection"/>
      </w:pPr>
      <w:r>
        <w:lastRenderedPageBreak/>
        <w:tab/>
        <w:t>(2)</w:t>
      </w:r>
      <w:r>
        <w:tab/>
        <w:t>After the date and time for production specified in the subpoena, a registrar, subject to —</w:t>
      </w:r>
    </w:p>
    <w:p w:rsidR="00425758" w:rsidRDefault="00425758">
      <w:pPr>
        <w:pStyle w:val="Indenta"/>
      </w:pPr>
      <w:r>
        <w:tab/>
        <w:t>(a)</w:t>
      </w:r>
      <w:r>
        <w:tab/>
        <w:t>any direction made or relief granted under rule 8A; and</w:t>
      </w:r>
    </w:p>
    <w:p w:rsidR="00425758" w:rsidRDefault="00425758">
      <w:pPr>
        <w:pStyle w:val="Indenta"/>
      </w:pPr>
      <w:r>
        <w:tab/>
        <w:t>(b)</w:t>
      </w:r>
      <w:r>
        <w:tab/>
        <w:t>rule 8A(6) and this rule,</w:t>
      </w:r>
    </w:p>
    <w:p w:rsidR="00425758" w:rsidRDefault="00425758">
      <w:pPr>
        <w:pStyle w:val="Subsection"/>
      </w:pPr>
      <w:r>
        <w:tab/>
      </w:r>
      <w:r>
        <w:tab/>
        <w:t>may permit any party to the proceeding to inspect, copy or remove any document or thing produced under the subpoena.</w:t>
      </w:r>
    </w:p>
    <w:p w:rsidR="00425758" w:rsidRDefault="00425758">
      <w:pPr>
        <w:pStyle w:val="Subsection"/>
      </w:pPr>
      <w:r>
        <w:tab/>
        <w:t>(3)</w:t>
      </w:r>
      <w:r>
        <w:tab/>
        <w:t>A document or thing produced cannot be removed from the Registry except on a written application that is signed by the solicitor for a party and approved by —</w:t>
      </w:r>
    </w:p>
    <w:p w:rsidR="00425758" w:rsidRDefault="00425758">
      <w:pPr>
        <w:pStyle w:val="Indenta"/>
      </w:pPr>
      <w:r>
        <w:tab/>
        <w:t>(a)</w:t>
      </w:r>
      <w:r>
        <w:tab/>
        <w:t>a registrar; or</w:t>
      </w:r>
    </w:p>
    <w:p w:rsidR="00425758" w:rsidRDefault="00425758">
      <w:pPr>
        <w:pStyle w:val="Indenta"/>
      </w:pPr>
      <w:r>
        <w:tab/>
        <w:t>(b)</w:t>
      </w:r>
      <w:r>
        <w:tab/>
        <w:t>a Court officer authorised in writing for the purposes of this subrule by the Chief Justice.</w:t>
      </w:r>
    </w:p>
    <w:p w:rsidR="00425758" w:rsidRDefault="00425758">
      <w:pPr>
        <w:pStyle w:val="Subsection"/>
      </w:pPr>
      <w:r>
        <w:tab/>
        <w:t>(4)</w:t>
      </w:r>
      <w:r>
        <w:tab/>
        <w:t>An application made under subrule (3) may be approved with or without conditions, or refused.</w:t>
      </w:r>
    </w:p>
    <w:p w:rsidR="00425758" w:rsidRDefault="00425758">
      <w:pPr>
        <w:pStyle w:val="Subsection"/>
      </w:pPr>
      <w:r>
        <w:tab/>
        <w:t>(5)</w:t>
      </w:r>
      <w:r>
        <w:tab/>
        <w:t>A solicitor who signs an application under subrule (3) and removes a document or thing from the Registry, undertakes to the Court by force of this rule that —</w:t>
      </w:r>
    </w:p>
    <w:p w:rsidR="00425758" w:rsidRDefault="00425758">
      <w:pPr>
        <w:pStyle w:val="Indenta"/>
      </w:pPr>
      <w:r>
        <w:tab/>
        <w:t>(a)</w:t>
      </w:r>
      <w:r>
        <w:tab/>
        <w:t>the document or thing will be kept in the personal custody of the solicitor or a barrister briefed by the solicitor in the proceeding; and</w:t>
      </w:r>
    </w:p>
    <w:p w:rsidR="00425758" w:rsidRDefault="00425758">
      <w:pPr>
        <w:pStyle w:val="Indenta"/>
      </w:pPr>
      <w:r>
        <w:tab/>
        <w:t>(b)</w:t>
      </w:r>
      <w:r>
        <w:tab/>
        <w:t>the document or thing will be returned to the Registry in the same condition, order and packaging in which it was removed, as and when directed by a registrar.</w:t>
      </w:r>
    </w:p>
    <w:p w:rsidR="00425758" w:rsidRDefault="00425758">
      <w:pPr>
        <w:pStyle w:val="Footnotesection"/>
      </w:pPr>
      <w:r>
        <w:tab/>
        <w:t>[Rule 9 inserted: Gazette 24 May 2017 p. 2574</w:t>
      </w:r>
      <w:r>
        <w:noBreakHyphen/>
        <w:t>5.]</w:t>
      </w:r>
    </w:p>
    <w:p w:rsidR="00425758" w:rsidRDefault="00425758">
      <w:pPr>
        <w:pStyle w:val="Heading5"/>
      </w:pPr>
      <w:bookmarkStart w:id="503" w:name="_Toc75863169"/>
      <w:r>
        <w:rPr>
          <w:rStyle w:val="CharSectno"/>
        </w:rPr>
        <w:t>10</w:t>
      </w:r>
      <w:r>
        <w:t>.</w:t>
      </w:r>
      <w:r>
        <w:tab/>
        <w:t>Disposal of documents and things produced</w:t>
      </w:r>
      <w:bookmarkEnd w:id="503"/>
    </w:p>
    <w:p w:rsidR="00425758" w:rsidRDefault="00425758">
      <w:pPr>
        <w:pStyle w:val="Subsection"/>
      </w:pPr>
      <w:r>
        <w:tab/>
        <w:t>(1)</w:t>
      </w:r>
      <w:r>
        <w:tab/>
        <w:t>Unless the Court otherwise orders, a registrar may, in the registrar’s discretion, return to the addressee any document or thing produced in response to the subpoena.</w:t>
      </w:r>
    </w:p>
    <w:p w:rsidR="00425758" w:rsidRDefault="00425758">
      <w:pPr>
        <w:pStyle w:val="Subsection"/>
      </w:pPr>
      <w:r>
        <w:tab/>
        <w:t>(2)</w:t>
      </w:r>
      <w:r>
        <w:tab/>
        <w:t xml:space="preserve">Unless the Court otherwise orders, a registrar must not return any document or thing under </w:t>
      </w:r>
      <w:r>
        <w:rPr>
          <w:snapToGrid w:val="0"/>
        </w:rPr>
        <w:t>subrule</w:t>
      </w:r>
      <w:r>
        <w:t xml:space="preserve"> (1) unless the registrar has </w:t>
      </w:r>
      <w:r>
        <w:lastRenderedPageBreak/>
        <w:t>given to the issuing party at least 14 days’ notice of the intention to do so and that period has expired.</w:t>
      </w:r>
    </w:p>
    <w:p w:rsidR="00425758" w:rsidRDefault="00425758">
      <w:pPr>
        <w:pStyle w:val="Subsection"/>
      </w:pPr>
      <w:r>
        <w:tab/>
        <w:t>(3)</w:t>
      </w:r>
      <w:r>
        <w:tab/>
        <w:t>The issuing party must attach, to the front of a subpoena to produce to be served on the addressee, a notice and declaration in accordance with Form 22A.</w:t>
      </w:r>
    </w:p>
    <w:p w:rsidR="00425758" w:rsidRDefault="00425758">
      <w:pPr>
        <w:pStyle w:val="Subsection"/>
      </w:pPr>
      <w:r>
        <w:tab/>
        <w:t>(4)</w:t>
      </w:r>
      <w:r>
        <w:tab/>
        <w:t>The addressee must complete the notice and declaration and attach it to the subpoena or copy of the subpoena that accompanies the documents produced to the Court under the subpoena.</w:t>
      </w:r>
    </w:p>
    <w:p w:rsidR="00425758" w:rsidRDefault="00425758">
      <w:pPr>
        <w:pStyle w:val="Subsection"/>
      </w:pPr>
      <w:r>
        <w:tab/>
        <w:t>(5)</w:t>
      </w:r>
      <w:r>
        <w:tab/>
        <w:t xml:space="preserve">Unless the Court orders otherwise, a registrar may, at the registrar’s discretion, cause to be destroyed a document produced in compliance with a subpoena if — </w:t>
      </w:r>
    </w:p>
    <w:p w:rsidR="00425758" w:rsidRDefault="00425758">
      <w:pPr>
        <w:pStyle w:val="Indenta"/>
      </w:pPr>
      <w:r>
        <w:tab/>
        <w:t>(a)</w:t>
      </w:r>
      <w:r>
        <w:tab/>
        <w:t>the document is declared by the addressee to be a copy; and</w:t>
      </w:r>
    </w:p>
    <w:p w:rsidR="00425758" w:rsidRDefault="00425758">
      <w:pPr>
        <w:pStyle w:val="Indenta"/>
      </w:pPr>
      <w:r>
        <w:tab/>
        <w:t>(b)</w:t>
      </w:r>
      <w:r>
        <w:tab/>
        <w:t>the registrar has given the issuing party at least 14 days’ notice of the intention to destroy the document and that period has expired.</w:t>
      </w:r>
    </w:p>
    <w:p w:rsidR="00425758" w:rsidRDefault="00425758">
      <w:pPr>
        <w:pStyle w:val="Subsection"/>
      </w:pPr>
      <w:r>
        <w:tab/>
        <w:t>(6)</w:t>
      </w:r>
      <w:r>
        <w:tab/>
        <w:t>Unless the Court orders otherwise, a registrar must not destroy a document under subrule (5) if the document has become an exhibit in a proceeding and is required in connection with the proceeding, including on any appeal.</w:t>
      </w:r>
    </w:p>
    <w:p w:rsidR="00425758" w:rsidRDefault="00425758">
      <w:pPr>
        <w:pStyle w:val="Footnotesection"/>
      </w:pPr>
      <w:r>
        <w:tab/>
        <w:t>[Rule 10 inserted: Gazette 21 Feb 2007 p. 545; amended: Gazette 28 Jul 2010 p. 3478; 24 May 2017 p. 2575 and 2576; 16 Aug 2017 p. 4415.]</w:t>
      </w:r>
    </w:p>
    <w:p w:rsidR="00425758" w:rsidRDefault="00425758">
      <w:pPr>
        <w:pStyle w:val="Heading5"/>
      </w:pPr>
      <w:bookmarkStart w:id="504" w:name="_Toc75863170"/>
      <w:r>
        <w:rPr>
          <w:rStyle w:val="CharSectno"/>
        </w:rPr>
        <w:t>11</w:t>
      </w:r>
      <w:r>
        <w:t>.</w:t>
      </w:r>
      <w:r>
        <w:tab/>
        <w:t>Costs and expenses of compliance</w:t>
      </w:r>
      <w:bookmarkEnd w:id="504"/>
    </w:p>
    <w:p w:rsidR="00425758" w:rsidRDefault="00425758">
      <w:pPr>
        <w:pStyle w:val="Subsection"/>
      </w:pPr>
      <w:r>
        <w:tab/>
        <w:t>(1)</w:t>
      </w:r>
      <w:r>
        <w:tab/>
        <w:t>The Court may order the issuing party to pay the amount of any reasonable loss or expense incurred in complying with the subpoena.</w:t>
      </w:r>
    </w:p>
    <w:p w:rsidR="00425758" w:rsidRDefault="00425758">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rsidR="00425758" w:rsidRDefault="00425758">
      <w:pPr>
        <w:pStyle w:val="Subsection"/>
      </w:pPr>
      <w:r>
        <w:lastRenderedPageBreak/>
        <w:tab/>
        <w:t>(3)</w:t>
      </w:r>
      <w:r>
        <w:tab/>
        <w:t xml:space="preserve">An amount fixed under this rule is separate from and in addition to — </w:t>
      </w:r>
    </w:p>
    <w:p w:rsidR="00425758" w:rsidRDefault="00425758">
      <w:pPr>
        <w:pStyle w:val="Indenta"/>
      </w:pPr>
      <w:r>
        <w:tab/>
        <w:t>(a)</w:t>
      </w:r>
      <w:r>
        <w:tab/>
        <w:t>any conduct money paid to the addressee; and</w:t>
      </w:r>
    </w:p>
    <w:p w:rsidR="00425758" w:rsidRDefault="00425758">
      <w:pPr>
        <w:pStyle w:val="Indenta"/>
      </w:pPr>
      <w:r>
        <w:tab/>
        <w:t>(b)</w:t>
      </w:r>
      <w:r>
        <w:tab/>
        <w:t>any witness expenses payable to the addressee.</w:t>
      </w:r>
    </w:p>
    <w:p w:rsidR="00425758" w:rsidRDefault="00425758">
      <w:pPr>
        <w:pStyle w:val="Footnotesection"/>
      </w:pPr>
      <w:r>
        <w:tab/>
        <w:t>[Rule 11 inserted: Gazette 21 Feb 2007 p. 545.]</w:t>
      </w:r>
    </w:p>
    <w:p w:rsidR="00425758" w:rsidRDefault="00425758">
      <w:pPr>
        <w:pStyle w:val="Heading5"/>
      </w:pPr>
      <w:bookmarkStart w:id="505" w:name="_Toc75863171"/>
      <w:r>
        <w:rPr>
          <w:rStyle w:val="CharSectno"/>
        </w:rPr>
        <w:t>12</w:t>
      </w:r>
      <w:r>
        <w:t>.</w:t>
      </w:r>
      <w:r>
        <w:tab/>
        <w:t>Failure to comply with subpoena is contempt of court</w:t>
      </w:r>
      <w:bookmarkEnd w:id="505"/>
    </w:p>
    <w:p w:rsidR="00425758" w:rsidRDefault="00425758">
      <w:pPr>
        <w:pStyle w:val="Subsection"/>
      </w:pPr>
      <w:r>
        <w:tab/>
        <w:t>(1)</w:t>
      </w:r>
      <w:r>
        <w:tab/>
        <w:t>Failure to comply with a subpoena without lawful excuse is a contempt of court and the addressee may be dealt with accordingly.</w:t>
      </w:r>
    </w:p>
    <w:p w:rsidR="00425758" w:rsidRDefault="00425758">
      <w:pPr>
        <w:pStyle w:val="Subsection"/>
      </w:pPr>
      <w:r>
        <w:tab/>
        <w:t>(2)</w:t>
      </w:r>
      <w:r>
        <w:tab/>
        <w:t>Despite rule 4(1),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rsidR="00425758" w:rsidRDefault="00425758">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rsidR="00425758" w:rsidRDefault="00425758">
      <w:pPr>
        <w:pStyle w:val="Footnotesection"/>
      </w:pPr>
      <w:r>
        <w:tab/>
        <w:t>[Rule 12 inserted: Gazette 21 Feb 2007 p. 546; amended: Gazette 16 Aug 2017 p. 4415.]</w:t>
      </w:r>
    </w:p>
    <w:p w:rsidR="00425758" w:rsidRDefault="00425758">
      <w:pPr>
        <w:pStyle w:val="Heading5"/>
      </w:pPr>
      <w:bookmarkStart w:id="506" w:name="_Toc75863172"/>
      <w:r>
        <w:rPr>
          <w:rStyle w:val="CharSectno"/>
        </w:rPr>
        <w:t>13</w:t>
      </w:r>
      <w:r>
        <w:t>.</w:t>
      </w:r>
      <w:r>
        <w:tab/>
        <w:t>Documents and things in custody of court</w:t>
      </w:r>
      <w:bookmarkEnd w:id="506"/>
    </w:p>
    <w:p w:rsidR="00425758" w:rsidRDefault="00425758">
      <w:pPr>
        <w:pStyle w:val="Subsection"/>
      </w:pPr>
      <w:r>
        <w:tab/>
        <w:t>(1)</w:t>
      </w:r>
      <w:r>
        <w:tab/>
        <w:t>A party who seeks production of a document or thing in the custody of the Court or of another court may inform a registrar in writing accordingly, identifying the document or thing.</w:t>
      </w:r>
    </w:p>
    <w:p w:rsidR="00425758" w:rsidRDefault="00425758">
      <w:pPr>
        <w:pStyle w:val="Subsection"/>
      </w:pPr>
      <w:r>
        <w:tab/>
        <w:t>(2)</w:t>
      </w:r>
      <w:r>
        <w:tab/>
        <w:t xml:space="preserve">If the document or thing is in the custody of the Court, a registrar must produce the document or thing — </w:t>
      </w:r>
    </w:p>
    <w:p w:rsidR="00425758" w:rsidRDefault="00425758">
      <w:pPr>
        <w:pStyle w:val="Indenta"/>
      </w:pPr>
      <w:r>
        <w:tab/>
        <w:t>(a)</w:t>
      </w:r>
      <w:r>
        <w:tab/>
        <w:t>in Court or to any person authorised to take evidence in the proceeding, as required by the party; or</w:t>
      </w:r>
    </w:p>
    <w:p w:rsidR="00425758" w:rsidRDefault="00425758">
      <w:pPr>
        <w:pStyle w:val="Indenta"/>
      </w:pPr>
      <w:r>
        <w:tab/>
        <w:t>(b)</w:t>
      </w:r>
      <w:r>
        <w:tab/>
        <w:t>as the Court directs.</w:t>
      </w:r>
    </w:p>
    <w:p w:rsidR="00425758" w:rsidRDefault="00425758">
      <w:pPr>
        <w:pStyle w:val="Subsection"/>
      </w:pPr>
      <w:r>
        <w:lastRenderedPageBreak/>
        <w:tab/>
        <w:t>(3)</w:t>
      </w:r>
      <w:r>
        <w:tab/>
        <w:t xml:space="preserve">If the document or thing is in the custody of another court, a registrar must, unless the Court has otherwise ordered — </w:t>
      </w:r>
    </w:p>
    <w:p w:rsidR="00425758" w:rsidRDefault="00425758">
      <w:pPr>
        <w:pStyle w:val="Indenta"/>
      </w:pPr>
      <w:r>
        <w:tab/>
        <w:t>(a)</w:t>
      </w:r>
      <w:r>
        <w:tab/>
        <w:t>request the other court to send the document or thing to the registrar; and</w:t>
      </w:r>
    </w:p>
    <w:p w:rsidR="00425758" w:rsidRDefault="00425758">
      <w:pPr>
        <w:pStyle w:val="Indenta"/>
      </w:pPr>
      <w:r>
        <w:tab/>
        <w:t>(b)</w:t>
      </w:r>
      <w:r>
        <w:tab/>
        <w:t xml:space="preserve">after receiving it, produce the document or thing — </w:t>
      </w:r>
    </w:p>
    <w:p w:rsidR="00425758" w:rsidRDefault="00425758">
      <w:pPr>
        <w:pStyle w:val="Indenti"/>
      </w:pPr>
      <w:r>
        <w:tab/>
        <w:t>(i)</w:t>
      </w:r>
      <w:r>
        <w:tab/>
        <w:t>in Court or to any person authorised to take evidence in the proceeding as required by the party; or</w:t>
      </w:r>
    </w:p>
    <w:p w:rsidR="00425758" w:rsidRDefault="00425758">
      <w:pPr>
        <w:pStyle w:val="Indenti"/>
      </w:pPr>
      <w:r>
        <w:tab/>
        <w:t>(ii)</w:t>
      </w:r>
      <w:r>
        <w:tab/>
        <w:t>as the Court directs.</w:t>
      </w:r>
    </w:p>
    <w:p w:rsidR="00425758" w:rsidRDefault="00425758">
      <w:pPr>
        <w:pStyle w:val="Footnotesection"/>
      </w:pPr>
      <w:r>
        <w:tab/>
        <w:t>[Rule 13 inserted: Gazette 21 Feb 2007 p. 546; amended: Gazette 24 May 2017 p. 2575 and 2576.]</w:t>
      </w:r>
    </w:p>
    <w:p w:rsidR="00425758" w:rsidRDefault="00425758">
      <w:pPr>
        <w:pStyle w:val="Heading2"/>
        <w:rPr>
          <w:b w:val="0"/>
        </w:rPr>
      </w:pPr>
      <w:bookmarkStart w:id="507" w:name="_Toc75512077"/>
      <w:bookmarkStart w:id="508" w:name="_Toc75863173"/>
      <w:r>
        <w:rPr>
          <w:rStyle w:val="CharPartNo"/>
        </w:rPr>
        <w:lastRenderedPageBreak/>
        <w:t>Order 37</w:t>
      </w:r>
      <w:r>
        <w:rPr>
          <w:rStyle w:val="CharDivNo"/>
        </w:rPr>
        <w:t> </w:t>
      </w:r>
      <w:r>
        <w:t>—</w:t>
      </w:r>
      <w:r>
        <w:rPr>
          <w:rStyle w:val="CharDivText"/>
        </w:rPr>
        <w:t> </w:t>
      </w:r>
      <w:r>
        <w:rPr>
          <w:rStyle w:val="CharPartText"/>
        </w:rPr>
        <w:t>Affidavits</w:t>
      </w:r>
      <w:bookmarkEnd w:id="507"/>
      <w:bookmarkEnd w:id="508"/>
    </w:p>
    <w:p w:rsidR="00425758" w:rsidRDefault="00425758">
      <w:pPr>
        <w:pStyle w:val="Heading5"/>
        <w:rPr>
          <w:snapToGrid w:val="0"/>
        </w:rPr>
      </w:pPr>
      <w:bookmarkStart w:id="509" w:name="_Toc75863174"/>
      <w:r>
        <w:rPr>
          <w:rStyle w:val="CharSectno"/>
        </w:rPr>
        <w:t>1</w:t>
      </w:r>
      <w:r>
        <w:rPr>
          <w:snapToGrid w:val="0"/>
        </w:rPr>
        <w:t>.</w:t>
      </w:r>
      <w:r>
        <w:rPr>
          <w:snapToGrid w:val="0"/>
        </w:rPr>
        <w:tab/>
        <w:t>Title of affidavits</w:t>
      </w:r>
      <w:bookmarkEnd w:id="509"/>
    </w:p>
    <w:p w:rsidR="00425758" w:rsidRDefault="00425758">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rsidR="00425758" w:rsidRDefault="00425758">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rsidR="00425758" w:rsidRDefault="00425758">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rsidR="00425758" w:rsidRDefault="00425758">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rsidR="00425758" w:rsidRDefault="00425758">
      <w:pPr>
        <w:pStyle w:val="Footnotesection"/>
      </w:pPr>
      <w:r>
        <w:tab/>
        <w:t>[Rule 1 amended: Gazette 17 Sep 1993 p. 5054; 28 Jun 2011 p. 2552</w:t>
      </w:r>
      <w:r>
        <w:noBreakHyphen/>
        <w:t xml:space="preserve">3.] </w:t>
      </w:r>
    </w:p>
    <w:p w:rsidR="00425758" w:rsidRDefault="00425758">
      <w:pPr>
        <w:pStyle w:val="Heading5"/>
        <w:rPr>
          <w:snapToGrid w:val="0"/>
        </w:rPr>
      </w:pPr>
      <w:bookmarkStart w:id="510" w:name="_Toc75863175"/>
      <w:r>
        <w:rPr>
          <w:rStyle w:val="CharSectno"/>
        </w:rPr>
        <w:t>2</w:t>
      </w:r>
      <w:r>
        <w:rPr>
          <w:snapToGrid w:val="0"/>
        </w:rPr>
        <w:t>.</w:t>
      </w:r>
      <w:r>
        <w:rPr>
          <w:snapToGrid w:val="0"/>
        </w:rPr>
        <w:tab/>
        <w:t>Form of affidavits</w:t>
      </w:r>
      <w:bookmarkEnd w:id="510"/>
    </w:p>
    <w:p w:rsidR="00425758" w:rsidRDefault="00425758">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rsidR="00425758" w:rsidRDefault="00425758">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rsidR="00425758" w:rsidRDefault="00425758">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rsidR="00425758" w:rsidRDefault="00425758">
      <w:pPr>
        <w:pStyle w:val="Subsection"/>
        <w:rPr>
          <w:snapToGrid w:val="0"/>
        </w:rPr>
      </w:pPr>
      <w:r>
        <w:rPr>
          <w:snapToGrid w:val="0"/>
        </w:rPr>
        <w:tab/>
        <w:t>(4)</w:t>
      </w:r>
      <w:r>
        <w:rPr>
          <w:snapToGrid w:val="0"/>
        </w:rPr>
        <w:tab/>
        <w:t>Dates, sums, and other numbers must be expressed in an affidavit in figures and not in words.</w:t>
      </w:r>
    </w:p>
    <w:p w:rsidR="00425758" w:rsidRDefault="00425758">
      <w:pPr>
        <w:pStyle w:val="Ednotesubsection"/>
      </w:pPr>
      <w:r>
        <w:tab/>
        <w:t>[(5)</w:t>
      </w:r>
      <w:r>
        <w:tab/>
        <w:t>deleted]</w:t>
      </w:r>
    </w:p>
    <w:p w:rsidR="00425758" w:rsidRDefault="00425758">
      <w:pPr>
        <w:pStyle w:val="Subsection"/>
        <w:keepNext/>
        <w:rPr>
          <w:snapToGrid w:val="0"/>
        </w:rPr>
      </w:pPr>
      <w:r>
        <w:rPr>
          <w:snapToGrid w:val="0"/>
        </w:rPr>
        <w:lastRenderedPageBreak/>
        <w:tab/>
        <w:t>(6)</w:t>
      </w:r>
      <w:r>
        <w:rPr>
          <w:snapToGrid w:val="0"/>
        </w:rPr>
        <w:tab/>
        <w:t>Where an affidavit — </w:t>
      </w:r>
    </w:p>
    <w:p w:rsidR="00425758" w:rsidRDefault="00425758">
      <w:pPr>
        <w:pStyle w:val="Indenta"/>
        <w:rPr>
          <w:snapToGrid w:val="0"/>
        </w:rPr>
      </w:pPr>
      <w:r>
        <w:rPr>
          <w:snapToGrid w:val="0"/>
        </w:rPr>
        <w:tab/>
        <w:t>(a)</w:t>
      </w:r>
      <w:r>
        <w:rPr>
          <w:snapToGrid w:val="0"/>
        </w:rPr>
        <w:tab/>
        <w:t>consists of more than one page; or</w:t>
      </w:r>
    </w:p>
    <w:p w:rsidR="00425758" w:rsidRDefault="00425758">
      <w:pPr>
        <w:pStyle w:val="Indenta"/>
        <w:rPr>
          <w:snapToGrid w:val="0"/>
        </w:rPr>
      </w:pPr>
      <w:r>
        <w:rPr>
          <w:snapToGrid w:val="0"/>
        </w:rPr>
        <w:tab/>
        <w:t>(b)</w:t>
      </w:r>
      <w:r>
        <w:rPr>
          <w:snapToGrid w:val="0"/>
        </w:rPr>
        <w:tab/>
        <w:t xml:space="preserve">has </w:t>
      </w:r>
      <w:r>
        <w:t>attachments,</w:t>
      </w:r>
    </w:p>
    <w:p w:rsidR="00425758" w:rsidRDefault="00425758">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rsidR="00425758" w:rsidRDefault="00425758">
      <w:pPr>
        <w:pStyle w:val="Subsection"/>
      </w:pPr>
      <w:r>
        <w:tab/>
        <w:t>(7)</w:t>
      </w:r>
      <w:r>
        <w:tab/>
        <w:t>If an affidavit has one or more attachments, an index which refers to the affidavit and lists each attachment, its page numbers and a short description of it, must be bound with the affidavit.</w:t>
      </w:r>
    </w:p>
    <w:p w:rsidR="00425758" w:rsidRDefault="00425758">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rsidR="00425758" w:rsidRDefault="00425758">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rsidR="00425758" w:rsidRDefault="00425758">
      <w:pPr>
        <w:pStyle w:val="Subsection"/>
      </w:pPr>
      <w:r>
        <w:tab/>
        <w:t>(9A)</w:t>
      </w:r>
      <w:r>
        <w:tab/>
        <w:t>If 1 or more volumes of an affidavit and its attachments are filed electronically, subrule (9) does not require them to be bound.</w:t>
      </w:r>
    </w:p>
    <w:p w:rsidR="00425758" w:rsidRDefault="00425758">
      <w:pPr>
        <w:pStyle w:val="Subsection"/>
        <w:rPr>
          <w:snapToGrid w:val="0"/>
        </w:rPr>
      </w:pPr>
      <w:r>
        <w:rPr>
          <w:snapToGrid w:val="0"/>
        </w:rPr>
        <w:tab/>
        <w:t>(10)</w:t>
      </w:r>
      <w:r>
        <w:rPr>
          <w:snapToGrid w:val="0"/>
        </w:rPr>
        <w:tab/>
        <w:t xml:space="preserve">Except in a case where the Court allows otherwise, the thickness of a volume of an affidavit and its </w:t>
      </w:r>
      <w:r>
        <w:t xml:space="preserve">attachments, if not filed electronically, </w:t>
      </w:r>
      <w:r>
        <w:rPr>
          <w:snapToGrid w:val="0"/>
        </w:rPr>
        <w:t>must not exceed 40 mm.</w:t>
      </w:r>
    </w:p>
    <w:p w:rsidR="00425758" w:rsidRDefault="00425758">
      <w:pPr>
        <w:pStyle w:val="Subsection"/>
      </w:pPr>
      <w:r>
        <w:tab/>
        <w:t>(11)</w:t>
      </w:r>
      <w:r>
        <w:tab/>
        <w:t>Except in a case where the Court allows otherwise, a volume of an affidavit and its attachments, if filed electronically, must not exceed 250 pages.</w:t>
      </w:r>
    </w:p>
    <w:p w:rsidR="00425758" w:rsidRDefault="00425758">
      <w:pPr>
        <w:pStyle w:val="Footnotesection"/>
      </w:pPr>
      <w:r>
        <w:tab/>
        <w:t>[Rule 2 amended: Gazette 16 Nov 1990 p. 5698</w:t>
      </w:r>
      <w:r>
        <w:noBreakHyphen/>
        <w:t>9; 23 Jan 2001 p. 562; 21 Feb 2007 p. 550; 27 Feb 2018 p. 563</w:t>
      </w:r>
      <w:r>
        <w:noBreakHyphen/>
        <w:t xml:space="preserve">4.] </w:t>
      </w:r>
    </w:p>
    <w:p w:rsidR="00425758" w:rsidRDefault="00425758">
      <w:pPr>
        <w:pStyle w:val="Heading5"/>
        <w:rPr>
          <w:snapToGrid w:val="0"/>
        </w:rPr>
      </w:pPr>
      <w:bookmarkStart w:id="511" w:name="_Toc75863176"/>
      <w:r>
        <w:rPr>
          <w:rStyle w:val="CharSectno"/>
        </w:rPr>
        <w:t>3</w:t>
      </w:r>
      <w:r>
        <w:rPr>
          <w:snapToGrid w:val="0"/>
        </w:rPr>
        <w:t>.</w:t>
      </w:r>
      <w:r>
        <w:rPr>
          <w:snapToGrid w:val="0"/>
        </w:rPr>
        <w:tab/>
        <w:t>Affidavits by 2 or more deponents</w:t>
      </w:r>
      <w:bookmarkEnd w:id="511"/>
    </w:p>
    <w:p w:rsidR="00425758" w:rsidRDefault="00425758">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rsidR="00425758" w:rsidRDefault="00425758">
      <w:pPr>
        <w:pStyle w:val="Ednotesection"/>
      </w:pPr>
      <w:r>
        <w:lastRenderedPageBreak/>
        <w:t>[</w:t>
      </w:r>
      <w:r>
        <w:rPr>
          <w:b/>
        </w:rPr>
        <w:t>4, 4A.</w:t>
      </w:r>
      <w:r>
        <w:tab/>
        <w:t>Deleted: Gazette 21 Feb 2007 p. 550.]</w:t>
      </w:r>
    </w:p>
    <w:p w:rsidR="00425758" w:rsidRDefault="00425758">
      <w:pPr>
        <w:pStyle w:val="Heading5"/>
        <w:rPr>
          <w:snapToGrid w:val="0"/>
        </w:rPr>
      </w:pPr>
      <w:bookmarkStart w:id="512" w:name="_Toc75863177"/>
      <w:r>
        <w:rPr>
          <w:rStyle w:val="CharSectno"/>
        </w:rPr>
        <w:t>5</w:t>
      </w:r>
      <w:r>
        <w:rPr>
          <w:snapToGrid w:val="0"/>
        </w:rPr>
        <w:t>.</w:t>
      </w:r>
      <w:r>
        <w:rPr>
          <w:snapToGrid w:val="0"/>
        </w:rPr>
        <w:tab/>
        <w:t>Irregularity</w:t>
      </w:r>
      <w:bookmarkEnd w:id="512"/>
    </w:p>
    <w:p w:rsidR="00425758" w:rsidRDefault="00425758">
      <w:pPr>
        <w:pStyle w:val="Subsection"/>
        <w:rPr>
          <w:snapToGrid w:val="0"/>
        </w:rPr>
      </w:pPr>
      <w:r>
        <w:rPr>
          <w:snapToGrid w:val="0"/>
        </w:rPr>
        <w:tab/>
        <w:t>(1)</w:t>
      </w:r>
      <w:r>
        <w:rPr>
          <w:snapToGrid w:val="0"/>
        </w:rPr>
        <w:tab/>
        <w:t>Unless the Court otherwise orders, an affidavit may be filed notwithstanding any irregularity in the form thereof.</w:t>
      </w:r>
    </w:p>
    <w:p w:rsidR="00425758" w:rsidRDefault="00425758">
      <w:pPr>
        <w:pStyle w:val="Subsection"/>
        <w:rPr>
          <w:snapToGrid w:val="0"/>
        </w:rPr>
      </w:pPr>
      <w:r>
        <w:rPr>
          <w:snapToGrid w:val="0"/>
        </w:rPr>
        <w:tab/>
        <w:t>(2)</w:t>
      </w:r>
      <w:r>
        <w:rPr>
          <w:snapToGrid w:val="0"/>
        </w:rPr>
        <w:tab/>
        <w:t>An affidavit may, with the leave of the Court be used in evidence notwithstanding any irregularity in the form thereof.</w:t>
      </w:r>
    </w:p>
    <w:p w:rsidR="00425758" w:rsidRDefault="00425758">
      <w:pPr>
        <w:pStyle w:val="Heading5"/>
        <w:rPr>
          <w:snapToGrid w:val="0"/>
        </w:rPr>
      </w:pPr>
      <w:bookmarkStart w:id="513" w:name="_Toc75863178"/>
      <w:r>
        <w:rPr>
          <w:rStyle w:val="CharSectno"/>
        </w:rPr>
        <w:t>6</w:t>
      </w:r>
      <w:r>
        <w:rPr>
          <w:snapToGrid w:val="0"/>
        </w:rPr>
        <w:t>.</w:t>
      </w:r>
      <w:r>
        <w:rPr>
          <w:snapToGrid w:val="0"/>
        </w:rPr>
        <w:tab/>
        <w:t>Contents of affidavits</w:t>
      </w:r>
      <w:bookmarkEnd w:id="513"/>
    </w:p>
    <w:p w:rsidR="00425758" w:rsidRDefault="00425758">
      <w:pPr>
        <w:pStyle w:val="Subsection"/>
      </w:pPr>
      <w:r>
        <w:tab/>
        <w:t>(1)</w:t>
      </w:r>
      <w:r>
        <w:tab/>
        <w:t>An affidavit must be confined to such facts as the deponent is able of his or her own knowledge to prove.</w:t>
      </w:r>
    </w:p>
    <w:p w:rsidR="00425758" w:rsidRDefault="00425758">
      <w:pPr>
        <w:pStyle w:val="Subsection"/>
      </w:pPr>
      <w:r>
        <w:tab/>
        <w:t>(2)</w:t>
      </w:r>
      <w:r>
        <w:tab/>
        <w:t xml:space="preserve">Despite </w:t>
      </w:r>
      <w:r>
        <w:rPr>
          <w:snapToGrid w:val="0"/>
        </w:rPr>
        <w:t>subrule</w:t>
      </w:r>
      <w:r>
        <w:t xml:space="preserve"> (1), an affidavit may contain statements of information or belief if —</w:t>
      </w:r>
    </w:p>
    <w:p w:rsidR="00425758" w:rsidRDefault="00425758">
      <w:pPr>
        <w:pStyle w:val="Indenta"/>
      </w:pPr>
      <w:r>
        <w:tab/>
        <w:t>(a)</w:t>
      </w:r>
      <w:r>
        <w:tab/>
        <w:t>the affidavit is made under, and for the purposes of proceedings under, a written law that permits it to contain such statements; or</w:t>
      </w:r>
    </w:p>
    <w:p w:rsidR="00425758" w:rsidRDefault="00425758">
      <w:pPr>
        <w:pStyle w:val="Indenta"/>
      </w:pPr>
      <w:r>
        <w:tab/>
        <w:t>(b)</w:t>
      </w:r>
      <w:r>
        <w:tab/>
        <w:t>the affidavit is made under a provision of these rules that permits it to contain such statements; or</w:t>
      </w:r>
    </w:p>
    <w:p w:rsidR="00425758" w:rsidRDefault="00425758">
      <w:pPr>
        <w:pStyle w:val="Indenta"/>
      </w:pPr>
      <w:r>
        <w:tab/>
        <w:t>(c)</w:t>
      </w:r>
      <w:r>
        <w:tab/>
        <w:t>the affidavit is made for the purposes of interlocutory proceedings; or</w:t>
      </w:r>
    </w:p>
    <w:p w:rsidR="00425758" w:rsidRDefault="00425758">
      <w:pPr>
        <w:pStyle w:val="Indenta"/>
      </w:pPr>
      <w:r>
        <w:tab/>
        <w:t>(d)</w:t>
      </w:r>
      <w:r>
        <w:tab/>
        <w:t>the Court has made an order permitting the affidavit to contain such statements.</w:t>
      </w:r>
    </w:p>
    <w:p w:rsidR="00425758" w:rsidRDefault="00425758">
      <w:pPr>
        <w:pStyle w:val="Subsection"/>
      </w:pPr>
      <w:r>
        <w:tab/>
        <w:t>(3A)</w:t>
      </w:r>
      <w:r>
        <w:tab/>
        <w:t>An affidavit containing statements of information or belief must set out the sources or grounds of that information or belief unless —</w:t>
      </w:r>
    </w:p>
    <w:p w:rsidR="00425758" w:rsidRDefault="00425758">
      <w:pPr>
        <w:pStyle w:val="Indenta"/>
      </w:pPr>
      <w:r>
        <w:tab/>
        <w:t>(a)</w:t>
      </w:r>
      <w:r>
        <w:tab/>
        <w:t xml:space="preserve">the affidavit is made under, and for the purposes of proceedings under, a written law that — </w:t>
      </w:r>
    </w:p>
    <w:p w:rsidR="00425758" w:rsidRDefault="00425758">
      <w:pPr>
        <w:pStyle w:val="Indenti"/>
      </w:pPr>
      <w:r>
        <w:tab/>
        <w:t>(i)</w:t>
      </w:r>
      <w:r>
        <w:tab/>
        <w:t>prevents the deponent from disclosing those sources or grounds or information material to them; or</w:t>
      </w:r>
    </w:p>
    <w:p w:rsidR="00425758" w:rsidRDefault="00425758">
      <w:pPr>
        <w:pStyle w:val="Indenti"/>
      </w:pPr>
      <w:r>
        <w:tab/>
        <w:t>(ii)</w:t>
      </w:r>
      <w:r>
        <w:tab/>
        <w:t>does not permit those sources or grounds or information material to them to be made public;</w:t>
      </w:r>
    </w:p>
    <w:p w:rsidR="00425758" w:rsidRDefault="00425758">
      <w:pPr>
        <w:pStyle w:val="Indenta"/>
      </w:pPr>
      <w:r>
        <w:lastRenderedPageBreak/>
        <w:tab/>
      </w:r>
      <w:r>
        <w:tab/>
        <w:t>or</w:t>
      </w:r>
    </w:p>
    <w:p w:rsidR="00425758" w:rsidRDefault="00425758">
      <w:pPr>
        <w:pStyle w:val="Indenta"/>
      </w:pPr>
      <w:r>
        <w:tab/>
        <w:t>(b)</w:t>
      </w:r>
      <w:r>
        <w:tab/>
        <w:t>the Court has made an order permitting the affidavit to omit the sources or grounds.</w:t>
      </w:r>
    </w:p>
    <w:p w:rsidR="00425758" w:rsidRDefault="00425758">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rsidR="00425758" w:rsidRDefault="00425758">
      <w:pPr>
        <w:pStyle w:val="Footnotesection"/>
      </w:pPr>
      <w:r>
        <w:tab/>
        <w:t xml:space="preserve">[Rule 6 amended: Gazette 5 Jun 1992 p. 2281; 26 Aug 1994 p. 4415; 13 Sep 1996 p. 4568; 28 Oct 1996 p. 5698; 16 Jul 1999 p. 3189; 28 Jul 2010 p. 3482-3.] </w:t>
      </w:r>
    </w:p>
    <w:p w:rsidR="00425758" w:rsidRDefault="00425758">
      <w:pPr>
        <w:pStyle w:val="Heading5"/>
        <w:rPr>
          <w:snapToGrid w:val="0"/>
        </w:rPr>
      </w:pPr>
      <w:bookmarkStart w:id="514" w:name="_Toc75863179"/>
      <w:r>
        <w:rPr>
          <w:rStyle w:val="CharSectno"/>
        </w:rPr>
        <w:t>7</w:t>
      </w:r>
      <w:r>
        <w:rPr>
          <w:snapToGrid w:val="0"/>
        </w:rPr>
        <w:t>.</w:t>
      </w:r>
      <w:r>
        <w:rPr>
          <w:snapToGrid w:val="0"/>
        </w:rPr>
        <w:tab/>
        <w:t>Scandalous matter</w:t>
      </w:r>
      <w:bookmarkEnd w:id="514"/>
    </w:p>
    <w:p w:rsidR="00425758" w:rsidRDefault="00425758">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rsidR="00425758" w:rsidRDefault="00425758">
      <w:pPr>
        <w:pStyle w:val="Ednotesection"/>
      </w:pPr>
      <w:r>
        <w:t>[</w:t>
      </w:r>
      <w:r>
        <w:rPr>
          <w:b/>
        </w:rPr>
        <w:t>8.</w:t>
      </w:r>
      <w:r>
        <w:tab/>
        <w:t>Deleted: Gazette 21 Feb 2007 p. 550.]</w:t>
      </w:r>
    </w:p>
    <w:p w:rsidR="00425758" w:rsidRDefault="00425758">
      <w:pPr>
        <w:pStyle w:val="Heading5"/>
        <w:rPr>
          <w:snapToGrid w:val="0"/>
        </w:rPr>
      </w:pPr>
      <w:bookmarkStart w:id="515" w:name="_Toc75863180"/>
      <w:r>
        <w:rPr>
          <w:rStyle w:val="CharSectno"/>
        </w:rPr>
        <w:t>9</w:t>
      </w:r>
      <w:r>
        <w:rPr>
          <w:snapToGrid w:val="0"/>
        </w:rPr>
        <w:t>.</w:t>
      </w:r>
      <w:r>
        <w:rPr>
          <w:snapToGrid w:val="0"/>
        </w:rPr>
        <w:tab/>
        <w:t>Exhibits</w:t>
      </w:r>
      <w:bookmarkEnd w:id="515"/>
    </w:p>
    <w:p w:rsidR="00425758" w:rsidRDefault="00425758">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rsidR="00425758" w:rsidRDefault="00425758">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rsidR="00425758" w:rsidRDefault="00425758">
      <w:pPr>
        <w:pStyle w:val="Subsection"/>
      </w:pPr>
      <w:r>
        <w:tab/>
        <w:t>(3)</w:t>
      </w:r>
      <w:r>
        <w:tab/>
        <w:t>An exhibit to an affidavit cannot be filed electronically.</w:t>
      </w:r>
    </w:p>
    <w:p w:rsidR="00425758" w:rsidRDefault="00425758">
      <w:pPr>
        <w:pStyle w:val="Footnotesection"/>
      </w:pPr>
      <w:r>
        <w:tab/>
        <w:t xml:space="preserve">[Rule 9 amended: Gazette 16 Nov 1990 p. 5699; 21 Feb 2007 p. 551; 27 Feb 2018 p. 564.] </w:t>
      </w:r>
    </w:p>
    <w:p w:rsidR="00425758" w:rsidRDefault="00425758">
      <w:pPr>
        <w:pStyle w:val="Ednotesection"/>
      </w:pPr>
      <w:r>
        <w:t>[</w:t>
      </w:r>
      <w:r>
        <w:rPr>
          <w:b/>
        </w:rPr>
        <w:t>10</w:t>
      </w:r>
      <w:r>
        <w:rPr>
          <w:b/>
        </w:rPr>
        <w:noBreakHyphen/>
        <w:t>12.</w:t>
      </w:r>
      <w:r>
        <w:tab/>
        <w:t>Deleted: Gazette 21 Feb 2007 p. 551.]</w:t>
      </w:r>
    </w:p>
    <w:p w:rsidR="00425758" w:rsidRDefault="00425758">
      <w:pPr>
        <w:pStyle w:val="Heading5"/>
        <w:rPr>
          <w:snapToGrid w:val="0"/>
        </w:rPr>
      </w:pPr>
      <w:bookmarkStart w:id="516" w:name="_Toc75863181"/>
      <w:r>
        <w:rPr>
          <w:rStyle w:val="CharSectno"/>
        </w:rPr>
        <w:lastRenderedPageBreak/>
        <w:t>13</w:t>
      </w:r>
      <w:r>
        <w:rPr>
          <w:snapToGrid w:val="0"/>
        </w:rPr>
        <w:t>.</w:t>
      </w:r>
      <w:r>
        <w:rPr>
          <w:snapToGrid w:val="0"/>
        </w:rPr>
        <w:tab/>
        <w:t>Affidavits to be filed</w:t>
      </w:r>
      <w:bookmarkEnd w:id="516"/>
    </w:p>
    <w:p w:rsidR="00425758" w:rsidRDefault="00425758">
      <w:pPr>
        <w:pStyle w:val="Subsection"/>
        <w:rPr>
          <w:snapToGrid w:val="0"/>
        </w:rPr>
      </w:pPr>
      <w:r>
        <w:rPr>
          <w:snapToGrid w:val="0"/>
        </w:rPr>
        <w:tab/>
        <w:t>(1)</w:t>
      </w:r>
      <w:r>
        <w:rPr>
          <w:snapToGrid w:val="0"/>
        </w:rPr>
        <w:tab/>
        <w:t>Every affidavit must be filed before it is used unless otherwise directed by the Court.</w:t>
      </w:r>
    </w:p>
    <w:p w:rsidR="00425758" w:rsidRDefault="00425758">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rsidR="00425758" w:rsidRDefault="00425758">
      <w:pPr>
        <w:pStyle w:val="Heading5"/>
        <w:keepNext w:val="0"/>
        <w:keepLines w:val="0"/>
        <w:rPr>
          <w:snapToGrid w:val="0"/>
        </w:rPr>
      </w:pPr>
      <w:bookmarkStart w:id="517" w:name="_Toc75863182"/>
      <w:r>
        <w:rPr>
          <w:rStyle w:val="CharSectno"/>
        </w:rPr>
        <w:t>14</w:t>
      </w:r>
      <w:r>
        <w:rPr>
          <w:snapToGrid w:val="0"/>
        </w:rPr>
        <w:t>.</w:t>
      </w:r>
      <w:r>
        <w:rPr>
          <w:snapToGrid w:val="0"/>
        </w:rPr>
        <w:tab/>
        <w:t>Affidavits not to be filed out of time without leave</w:t>
      </w:r>
      <w:bookmarkEnd w:id="517"/>
    </w:p>
    <w:p w:rsidR="00425758" w:rsidRDefault="00425758">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rsidR="00425758" w:rsidRDefault="00425758">
      <w:pPr>
        <w:pStyle w:val="Heading5"/>
        <w:rPr>
          <w:snapToGrid w:val="0"/>
        </w:rPr>
      </w:pPr>
      <w:bookmarkStart w:id="518" w:name="_Toc75863183"/>
      <w:r>
        <w:rPr>
          <w:rStyle w:val="CharSectno"/>
        </w:rPr>
        <w:t>15</w:t>
      </w:r>
      <w:r>
        <w:rPr>
          <w:snapToGrid w:val="0"/>
        </w:rPr>
        <w:t>.</w:t>
      </w:r>
      <w:r>
        <w:rPr>
          <w:snapToGrid w:val="0"/>
        </w:rPr>
        <w:tab/>
        <w:t>Alterations in accounts</w:t>
      </w:r>
      <w:bookmarkEnd w:id="518"/>
    </w:p>
    <w:p w:rsidR="00425758" w:rsidRDefault="00425758">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rsidR="00425758" w:rsidRDefault="00425758">
      <w:pPr>
        <w:pStyle w:val="Footnotesection"/>
      </w:pPr>
      <w:r>
        <w:tab/>
        <w:t xml:space="preserve">[Rule 15 amended: Gazette 21 Feb 2007 p. 551.] </w:t>
      </w:r>
    </w:p>
    <w:p w:rsidR="00425758" w:rsidRDefault="00425758">
      <w:pPr>
        <w:pStyle w:val="Heading5"/>
      </w:pPr>
      <w:bookmarkStart w:id="519" w:name="_Toc75863184"/>
      <w:r>
        <w:rPr>
          <w:rStyle w:val="CharSectno"/>
        </w:rPr>
        <w:t>16</w:t>
      </w:r>
      <w:r>
        <w:t>.</w:t>
      </w:r>
      <w:r>
        <w:tab/>
        <w:t xml:space="preserve">This Order additional to </w:t>
      </w:r>
      <w:r>
        <w:rPr>
          <w:i/>
        </w:rPr>
        <w:t>Oaths, Affidavits and Statutory Declarations Act 2005</w:t>
      </w:r>
      <w:bookmarkEnd w:id="519"/>
    </w:p>
    <w:p w:rsidR="00425758" w:rsidRDefault="00425758">
      <w:pPr>
        <w:pStyle w:val="Subsection"/>
      </w:pPr>
      <w:r>
        <w:tab/>
      </w:r>
      <w:r>
        <w:tab/>
        <w:t xml:space="preserve">This Order is in addition to the </w:t>
      </w:r>
      <w:r>
        <w:rPr>
          <w:i/>
        </w:rPr>
        <w:t>Oaths, Affidavits and Statutory Declarations Act 2005</w:t>
      </w:r>
      <w:r>
        <w:t>.</w:t>
      </w:r>
    </w:p>
    <w:p w:rsidR="00425758" w:rsidRDefault="00425758">
      <w:pPr>
        <w:pStyle w:val="Footnotesection"/>
      </w:pPr>
      <w:r>
        <w:tab/>
        <w:t>[Rule 16 inserted: Gazette 21 Feb 2007 p. 551.]</w:t>
      </w:r>
    </w:p>
    <w:p w:rsidR="00425758" w:rsidRDefault="00425758">
      <w:pPr>
        <w:pStyle w:val="Heading2"/>
        <w:rPr>
          <w:b w:val="0"/>
        </w:rPr>
      </w:pPr>
      <w:bookmarkStart w:id="520" w:name="_Toc75512089"/>
      <w:bookmarkStart w:id="521" w:name="_Toc75863185"/>
      <w:r>
        <w:rPr>
          <w:rStyle w:val="CharPartNo"/>
        </w:rPr>
        <w:lastRenderedPageBreak/>
        <w:t>Order 38</w:t>
      </w:r>
      <w:r>
        <w:rPr>
          <w:rStyle w:val="CharDivNo"/>
        </w:rPr>
        <w:t> </w:t>
      </w:r>
      <w:r>
        <w:t>—</w:t>
      </w:r>
      <w:r>
        <w:rPr>
          <w:rStyle w:val="CharDivText"/>
        </w:rPr>
        <w:t> </w:t>
      </w:r>
      <w:r>
        <w:rPr>
          <w:rStyle w:val="CharPartText"/>
        </w:rPr>
        <w:t>Evidence by deposition</w:t>
      </w:r>
      <w:bookmarkEnd w:id="520"/>
      <w:bookmarkEnd w:id="521"/>
    </w:p>
    <w:p w:rsidR="00425758" w:rsidRDefault="00425758">
      <w:pPr>
        <w:pStyle w:val="Heading5"/>
        <w:rPr>
          <w:snapToGrid w:val="0"/>
        </w:rPr>
      </w:pPr>
      <w:bookmarkStart w:id="522" w:name="_Toc75863186"/>
      <w:r>
        <w:rPr>
          <w:rStyle w:val="CharSectno"/>
        </w:rPr>
        <w:t>1</w:t>
      </w:r>
      <w:r>
        <w:rPr>
          <w:snapToGrid w:val="0"/>
        </w:rPr>
        <w:t>.</w:t>
      </w:r>
      <w:r>
        <w:rPr>
          <w:snapToGrid w:val="0"/>
        </w:rPr>
        <w:tab/>
        <w:t>Power to order depositions to be taken</w:t>
      </w:r>
      <w:bookmarkEnd w:id="522"/>
    </w:p>
    <w:p w:rsidR="00425758" w:rsidRDefault="00425758">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rsidR="00425758" w:rsidRDefault="00425758">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rsidR="00425758" w:rsidRDefault="00425758">
      <w:pPr>
        <w:pStyle w:val="Subsection"/>
        <w:rPr>
          <w:snapToGrid w:val="0"/>
        </w:rPr>
      </w:pPr>
      <w:r>
        <w:rPr>
          <w:snapToGrid w:val="0"/>
        </w:rPr>
        <w:tab/>
        <w:t>(3)</w:t>
      </w:r>
      <w:r>
        <w:rPr>
          <w:snapToGrid w:val="0"/>
        </w:rPr>
        <w:tab/>
        <w:t>The Court may give directions as to the procedure to be followed in and in relation to the examination.</w:t>
      </w:r>
    </w:p>
    <w:p w:rsidR="00425758" w:rsidRDefault="00425758">
      <w:pPr>
        <w:pStyle w:val="Footnotesection"/>
      </w:pPr>
      <w:r>
        <w:tab/>
        <w:t xml:space="preserve">[Rule 1 amended: Gazette 8 Feb 1991 p. 582; 28 Jun 2011 p. 2552.] </w:t>
      </w:r>
    </w:p>
    <w:p w:rsidR="00425758" w:rsidRDefault="00425758">
      <w:pPr>
        <w:pStyle w:val="Ednotesection"/>
      </w:pPr>
      <w:r>
        <w:t>[</w:t>
      </w:r>
      <w:r>
        <w:rPr>
          <w:b/>
        </w:rPr>
        <w:t>2, 3.</w:t>
      </w:r>
      <w:r>
        <w:rPr>
          <w:b/>
        </w:rPr>
        <w:tab/>
      </w:r>
      <w:r>
        <w:t xml:space="preserve">Deleted: Gazette 8 Feb 1991 p. 582.] </w:t>
      </w:r>
    </w:p>
    <w:p w:rsidR="00425758" w:rsidRDefault="00425758">
      <w:pPr>
        <w:pStyle w:val="Heading5"/>
        <w:rPr>
          <w:snapToGrid w:val="0"/>
        </w:rPr>
      </w:pPr>
      <w:bookmarkStart w:id="523" w:name="_Toc75863187"/>
      <w:r>
        <w:rPr>
          <w:rStyle w:val="CharSectno"/>
        </w:rPr>
        <w:t>4</w:t>
      </w:r>
      <w:r>
        <w:rPr>
          <w:snapToGrid w:val="0"/>
        </w:rPr>
        <w:t>.</w:t>
      </w:r>
      <w:r>
        <w:rPr>
          <w:snapToGrid w:val="0"/>
        </w:rPr>
        <w:tab/>
        <w:t>Enforcing attendance of witness</w:t>
      </w:r>
      <w:bookmarkEnd w:id="523"/>
    </w:p>
    <w:p w:rsidR="00425758" w:rsidRDefault="00425758">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rsidR="00425758" w:rsidRDefault="00425758">
      <w:pPr>
        <w:pStyle w:val="Subsection"/>
        <w:rPr>
          <w:snapToGrid w:val="0"/>
        </w:rPr>
      </w:pPr>
      <w:r>
        <w:rPr>
          <w:snapToGrid w:val="0"/>
        </w:rPr>
        <w:tab/>
        <w:t>(2)</w:t>
      </w:r>
      <w:r>
        <w:rPr>
          <w:snapToGrid w:val="0"/>
        </w:rPr>
        <w:tab/>
        <w:t>When an order has been made under rule 1 — </w:t>
      </w:r>
    </w:p>
    <w:p w:rsidR="00425758" w:rsidRDefault="00425758">
      <w:pPr>
        <w:pStyle w:val="Indenta"/>
        <w:rPr>
          <w:snapToGrid w:val="0"/>
        </w:rPr>
      </w:pPr>
      <w:r>
        <w:rPr>
          <w:snapToGrid w:val="0"/>
        </w:rPr>
        <w:tab/>
        <w:t>(a)</w:t>
      </w:r>
      <w:r>
        <w:rPr>
          <w:snapToGrid w:val="0"/>
        </w:rPr>
        <w:tab/>
        <w:t>for the examination of any person before the examiner; or</w:t>
      </w:r>
    </w:p>
    <w:p w:rsidR="00425758" w:rsidRDefault="00425758">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rsidR="00425758" w:rsidRDefault="00425758">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rsidR="00425758" w:rsidRDefault="00425758">
      <w:pPr>
        <w:pStyle w:val="Footnotesection"/>
      </w:pPr>
      <w:r>
        <w:tab/>
        <w:t>[Rule 4 amended: Gazette 21 Feb 2007 p. 551.]</w:t>
      </w:r>
    </w:p>
    <w:p w:rsidR="00425758" w:rsidRDefault="00425758">
      <w:pPr>
        <w:pStyle w:val="Heading5"/>
        <w:rPr>
          <w:snapToGrid w:val="0"/>
        </w:rPr>
      </w:pPr>
      <w:bookmarkStart w:id="524" w:name="_Toc75863188"/>
      <w:r>
        <w:rPr>
          <w:rStyle w:val="CharSectno"/>
        </w:rPr>
        <w:lastRenderedPageBreak/>
        <w:t>5</w:t>
      </w:r>
      <w:r>
        <w:rPr>
          <w:snapToGrid w:val="0"/>
        </w:rPr>
        <w:t>.</w:t>
      </w:r>
      <w:r>
        <w:rPr>
          <w:snapToGrid w:val="0"/>
        </w:rPr>
        <w:tab/>
        <w:t>Refusal of witness to attend or be sworn</w:t>
      </w:r>
      <w:bookmarkEnd w:id="524"/>
    </w:p>
    <w:p w:rsidR="00425758" w:rsidRDefault="00425758">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rsidR="00425758" w:rsidRDefault="00425758">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rsidR="00425758" w:rsidRDefault="00425758">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rsidR="00425758" w:rsidRDefault="00425758">
      <w:pPr>
        <w:pStyle w:val="Footnotesection"/>
      </w:pPr>
      <w:r>
        <w:tab/>
        <w:t>[Rule 5 amended: Gazette 28 Jun 2011 p. 2552.]</w:t>
      </w:r>
    </w:p>
    <w:p w:rsidR="00425758" w:rsidRDefault="00425758">
      <w:pPr>
        <w:pStyle w:val="Heading5"/>
        <w:rPr>
          <w:snapToGrid w:val="0"/>
        </w:rPr>
      </w:pPr>
      <w:bookmarkStart w:id="525" w:name="_Toc75863189"/>
      <w:r>
        <w:rPr>
          <w:rStyle w:val="CharSectno"/>
        </w:rPr>
        <w:t>6</w:t>
      </w:r>
      <w:r>
        <w:rPr>
          <w:snapToGrid w:val="0"/>
        </w:rPr>
        <w:t>.</w:t>
      </w:r>
      <w:r>
        <w:rPr>
          <w:snapToGrid w:val="0"/>
        </w:rPr>
        <w:tab/>
        <w:t>Time and place of examination, notice of</w:t>
      </w:r>
      <w:bookmarkEnd w:id="525"/>
    </w:p>
    <w:p w:rsidR="00425758" w:rsidRDefault="00425758">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rsidR="00425758" w:rsidRDefault="00425758">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rsidR="00425758" w:rsidRDefault="00425758">
      <w:pPr>
        <w:pStyle w:val="Footnotesection"/>
      </w:pPr>
      <w:r>
        <w:tab/>
        <w:t>[Rule 6 amended: Gazette 28 Jun 2011 p. 2552.]</w:t>
      </w:r>
    </w:p>
    <w:p w:rsidR="00425758" w:rsidRDefault="00425758">
      <w:pPr>
        <w:pStyle w:val="Heading5"/>
        <w:rPr>
          <w:snapToGrid w:val="0"/>
        </w:rPr>
      </w:pPr>
      <w:bookmarkStart w:id="526" w:name="_Toc75863190"/>
      <w:r>
        <w:rPr>
          <w:rStyle w:val="CharSectno"/>
        </w:rPr>
        <w:t>7</w:t>
      </w:r>
      <w:r>
        <w:rPr>
          <w:snapToGrid w:val="0"/>
        </w:rPr>
        <w:t>.</w:t>
      </w:r>
      <w:r>
        <w:rPr>
          <w:snapToGrid w:val="0"/>
        </w:rPr>
        <w:tab/>
        <w:t>Documents to be given to examiner</w:t>
      </w:r>
      <w:bookmarkEnd w:id="526"/>
    </w:p>
    <w:p w:rsidR="00425758" w:rsidRDefault="00425758">
      <w:pPr>
        <w:pStyle w:val="Subsection"/>
        <w:rPr>
          <w:snapToGrid w:val="0"/>
        </w:rPr>
      </w:pPr>
      <w:r>
        <w:tab/>
        <w:t>(1)</w:t>
      </w:r>
      <w:r>
        <w:tab/>
        <w:t>The</w:t>
      </w:r>
      <w:r>
        <w:rPr>
          <w:snapToGrid w:val="0"/>
        </w:rPr>
        <w:t xml:space="preserve"> party who obtained the order for examination before an examiner must supply to the examiner copies of all such </w:t>
      </w:r>
      <w:r>
        <w:rPr>
          <w:snapToGrid w:val="0"/>
        </w:rPr>
        <w:lastRenderedPageBreak/>
        <w:t>documents in the cause or matter as are necessary to inform the examiner of the questions at issue between the parties.</w:t>
      </w:r>
    </w:p>
    <w:p w:rsidR="00425758" w:rsidRDefault="00425758">
      <w:pPr>
        <w:pStyle w:val="Subsection"/>
      </w:pPr>
      <w:r>
        <w:tab/>
        <w:t>(2)</w:t>
      </w:r>
      <w:r>
        <w:tab/>
        <w:t>The party must supply the copies in the format, or by the means, required by the examiner.</w:t>
      </w:r>
    </w:p>
    <w:p w:rsidR="00425758" w:rsidRDefault="00425758">
      <w:pPr>
        <w:pStyle w:val="Footnotesection"/>
      </w:pPr>
      <w:r>
        <w:tab/>
        <w:t xml:space="preserve">[Rule 7 amended: Gazette 27 Feb 2018 p. 564.] </w:t>
      </w:r>
    </w:p>
    <w:p w:rsidR="00425758" w:rsidRDefault="00425758">
      <w:pPr>
        <w:pStyle w:val="Heading5"/>
        <w:rPr>
          <w:snapToGrid w:val="0"/>
        </w:rPr>
      </w:pPr>
      <w:bookmarkStart w:id="527" w:name="_Toc75863191"/>
      <w:r>
        <w:rPr>
          <w:rStyle w:val="CharSectno"/>
        </w:rPr>
        <w:t>8</w:t>
      </w:r>
      <w:r>
        <w:rPr>
          <w:snapToGrid w:val="0"/>
        </w:rPr>
        <w:t>.</w:t>
      </w:r>
      <w:r>
        <w:rPr>
          <w:snapToGrid w:val="0"/>
        </w:rPr>
        <w:tab/>
        <w:t>Practice on examination</w:t>
      </w:r>
      <w:bookmarkEnd w:id="527"/>
    </w:p>
    <w:p w:rsidR="00425758" w:rsidRDefault="00425758">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rsidR="00425758" w:rsidRDefault="00425758">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rsidR="00425758" w:rsidRDefault="00425758">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rsidR="00425758" w:rsidRDefault="00425758">
      <w:pPr>
        <w:pStyle w:val="Subsection"/>
        <w:rPr>
          <w:snapToGrid w:val="0"/>
        </w:rPr>
      </w:pPr>
      <w:r>
        <w:rPr>
          <w:snapToGrid w:val="0"/>
        </w:rPr>
        <w:tab/>
        <w:t>(4)</w:t>
      </w:r>
      <w:r>
        <w:rPr>
          <w:snapToGrid w:val="0"/>
        </w:rPr>
        <w:tab/>
        <w:t>The examiner may, if necessary, adjourn the examination from time to time or from place to place.</w:t>
      </w:r>
    </w:p>
    <w:p w:rsidR="00425758" w:rsidRDefault="00425758">
      <w:pPr>
        <w:pStyle w:val="Heading5"/>
        <w:rPr>
          <w:snapToGrid w:val="0"/>
        </w:rPr>
      </w:pPr>
      <w:bookmarkStart w:id="528" w:name="_Toc75863192"/>
      <w:r>
        <w:rPr>
          <w:rStyle w:val="CharSectno"/>
        </w:rPr>
        <w:t>9</w:t>
      </w:r>
      <w:r>
        <w:rPr>
          <w:snapToGrid w:val="0"/>
        </w:rPr>
        <w:t>.</w:t>
      </w:r>
      <w:r>
        <w:rPr>
          <w:snapToGrid w:val="0"/>
        </w:rPr>
        <w:tab/>
        <w:t>Expenses of witnesses</w:t>
      </w:r>
      <w:bookmarkEnd w:id="528"/>
    </w:p>
    <w:p w:rsidR="00425758" w:rsidRDefault="00425758">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rsidR="00425758" w:rsidRDefault="00425758">
      <w:pPr>
        <w:pStyle w:val="Heading5"/>
        <w:rPr>
          <w:snapToGrid w:val="0"/>
        </w:rPr>
      </w:pPr>
      <w:bookmarkStart w:id="529" w:name="_Toc75863193"/>
      <w:r>
        <w:rPr>
          <w:rStyle w:val="CharSectno"/>
        </w:rPr>
        <w:t>10</w:t>
      </w:r>
      <w:r>
        <w:rPr>
          <w:snapToGrid w:val="0"/>
        </w:rPr>
        <w:t>.</w:t>
      </w:r>
      <w:r>
        <w:rPr>
          <w:snapToGrid w:val="0"/>
        </w:rPr>
        <w:tab/>
        <w:t>Additional witnesses may be examined with parties’ consent</w:t>
      </w:r>
      <w:bookmarkEnd w:id="529"/>
    </w:p>
    <w:p w:rsidR="00425758" w:rsidRDefault="00425758">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rsidR="00425758" w:rsidRDefault="00425758">
      <w:pPr>
        <w:pStyle w:val="Heading5"/>
        <w:rPr>
          <w:snapToGrid w:val="0"/>
        </w:rPr>
      </w:pPr>
      <w:bookmarkStart w:id="530" w:name="_Toc75863194"/>
      <w:r>
        <w:rPr>
          <w:rStyle w:val="CharSectno"/>
        </w:rPr>
        <w:lastRenderedPageBreak/>
        <w:t>11</w:t>
      </w:r>
      <w:r>
        <w:rPr>
          <w:snapToGrid w:val="0"/>
        </w:rPr>
        <w:t>.</w:t>
      </w:r>
      <w:r>
        <w:rPr>
          <w:snapToGrid w:val="0"/>
        </w:rPr>
        <w:tab/>
        <w:t>How depositions to be taken</w:t>
      </w:r>
      <w:bookmarkEnd w:id="530"/>
    </w:p>
    <w:p w:rsidR="00425758" w:rsidRDefault="00425758">
      <w:pPr>
        <w:pStyle w:val="Subsection"/>
        <w:keepNext/>
        <w:rPr>
          <w:snapToGrid w:val="0"/>
        </w:rPr>
      </w:pPr>
      <w:r>
        <w:rPr>
          <w:snapToGrid w:val="0"/>
        </w:rPr>
        <w:tab/>
        <w:t>(1)</w:t>
      </w:r>
      <w:r>
        <w:rPr>
          <w:snapToGrid w:val="0"/>
        </w:rPr>
        <w:tab/>
        <w:t>The deposition of any person examined before the examiner must — </w:t>
      </w:r>
    </w:p>
    <w:p w:rsidR="00425758" w:rsidRDefault="00425758">
      <w:pPr>
        <w:pStyle w:val="Indenta"/>
        <w:rPr>
          <w:snapToGrid w:val="0"/>
        </w:rPr>
      </w:pPr>
      <w:r>
        <w:rPr>
          <w:snapToGrid w:val="0"/>
        </w:rPr>
        <w:tab/>
        <w:t>(a)</w:t>
      </w:r>
      <w:r>
        <w:rPr>
          <w:snapToGrid w:val="0"/>
        </w:rPr>
        <w:tab/>
        <w:t>be taken down by the examiner or a shorthand writer or some other person in the presence of the examiner; or</w:t>
      </w:r>
    </w:p>
    <w:p w:rsidR="00425758" w:rsidRDefault="00425758">
      <w:pPr>
        <w:pStyle w:val="Indenta"/>
        <w:rPr>
          <w:snapToGrid w:val="0"/>
        </w:rPr>
      </w:pPr>
      <w:r>
        <w:rPr>
          <w:snapToGrid w:val="0"/>
        </w:rPr>
        <w:tab/>
        <w:t>(b)</w:t>
      </w:r>
      <w:r>
        <w:rPr>
          <w:snapToGrid w:val="0"/>
        </w:rPr>
        <w:tab/>
        <w:t>be recorded in the presence of the examiner on tape or by other mechanical means.</w:t>
      </w:r>
    </w:p>
    <w:p w:rsidR="00425758" w:rsidRDefault="00425758">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rsidR="00425758" w:rsidRDefault="00425758">
      <w:pPr>
        <w:pStyle w:val="Subsection"/>
        <w:rPr>
          <w:snapToGrid w:val="0"/>
        </w:rPr>
      </w:pPr>
      <w:r>
        <w:rPr>
          <w:snapToGrid w:val="0"/>
        </w:rPr>
        <w:tab/>
        <w:t>(3)</w:t>
      </w:r>
      <w:r>
        <w:rPr>
          <w:snapToGrid w:val="0"/>
        </w:rPr>
        <w:tab/>
        <w:t>The examiner may direct that the exact words of any question and answer thereto be set out in the deposition.</w:t>
      </w:r>
    </w:p>
    <w:p w:rsidR="00425758" w:rsidRDefault="00425758">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rsidR="00425758" w:rsidRDefault="00425758">
      <w:pPr>
        <w:pStyle w:val="Subsection"/>
        <w:rPr>
          <w:snapToGrid w:val="0"/>
        </w:rPr>
      </w:pPr>
      <w:r>
        <w:rPr>
          <w:snapToGrid w:val="0"/>
        </w:rPr>
        <w:tab/>
        <w:t>(5)</w:t>
      </w:r>
      <w:r>
        <w:rPr>
          <w:snapToGrid w:val="0"/>
        </w:rPr>
        <w:tab/>
        <w:t>The examiner must authenticate the deposition by his signature.</w:t>
      </w:r>
    </w:p>
    <w:p w:rsidR="00425758" w:rsidRDefault="00425758">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rsidR="00425758" w:rsidRDefault="00425758">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rsidR="00425758" w:rsidRDefault="00425758">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rsidR="00425758" w:rsidRDefault="00425758">
      <w:pPr>
        <w:pStyle w:val="Subsection"/>
        <w:rPr>
          <w:snapToGrid w:val="0"/>
        </w:rPr>
      </w:pPr>
      <w:r>
        <w:rPr>
          <w:snapToGrid w:val="0"/>
        </w:rPr>
        <w:tab/>
        <w:t>(9)</w:t>
      </w:r>
      <w:r>
        <w:rPr>
          <w:snapToGrid w:val="0"/>
        </w:rPr>
        <w:tab/>
        <w:t xml:space="preserve">The deposition authenticated by the examiner shall be </w:t>
      </w:r>
      <w:r>
        <w:t>filed by the examiner.</w:t>
      </w:r>
    </w:p>
    <w:p w:rsidR="00425758" w:rsidRDefault="00425758">
      <w:pPr>
        <w:pStyle w:val="Subsection"/>
        <w:keepNext/>
      </w:pPr>
      <w:r>
        <w:lastRenderedPageBreak/>
        <w:tab/>
        <w:t>(10)</w:t>
      </w:r>
      <w:r>
        <w:tab/>
        <w:t>Unless the Principal Registrar has given approval for it to be filed electronically, the deposition cannot be filed electronically by the examiner.</w:t>
      </w:r>
    </w:p>
    <w:p w:rsidR="00425758" w:rsidRDefault="00425758">
      <w:pPr>
        <w:pStyle w:val="Footnotesection"/>
      </w:pPr>
      <w:r>
        <w:tab/>
        <w:t>[Rule 11 amended: Gazette 28 Jun 2011 p. 2552; 27 Feb 2018 p. 564-5.]</w:t>
      </w:r>
    </w:p>
    <w:p w:rsidR="00425758" w:rsidRDefault="00425758">
      <w:pPr>
        <w:pStyle w:val="Heading5"/>
        <w:rPr>
          <w:snapToGrid w:val="0"/>
        </w:rPr>
      </w:pPr>
      <w:bookmarkStart w:id="531" w:name="_Toc75863195"/>
      <w:r>
        <w:rPr>
          <w:rStyle w:val="CharSectno"/>
        </w:rPr>
        <w:t>12</w:t>
      </w:r>
      <w:r>
        <w:rPr>
          <w:snapToGrid w:val="0"/>
        </w:rPr>
        <w:t>.</w:t>
      </w:r>
      <w:r>
        <w:rPr>
          <w:snapToGrid w:val="0"/>
        </w:rPr>
        <w:tab/>
        <w:t>Objection to questions</w:t>
      </w:r>
      <w:bookmarkEnd w:id="531"/>
    </w:p>
    <w:p w:rsidR="00425758" w:rsidRDefault="00425758">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rsidR="00425758" w:rsidRDefault="00425758">
      <w:pPr>
        <w:pStyle w:val="Subsection"/>
        <w:rPr>
          <w:snapToGrid w:val="0"/>
        </w:rPr>
      </w:pPr>
      <w:r>
        <w:rPr>
          <w:snapToGrid w:val="0"/>
        </w:rPr>
        <w:tab/>
        <w:t>(2)</w:t>
      </w:r>
      <w:r>
        <w:rPr>
          <w:snapToGrid w:val="0"/>
        </w:rPr>
        <w:tab/>
        <w:t>The Court shall decide the validity of the ground for the objection.</w:t>
      </w:r>
    </w:p>
    <w:p w:rsidR="00425758" w:rsidRDefault="00425758">
      <w:pPr>
        <w:pStyle w:val="Subsection"/>
        <w:rPr>
          <w:snapToGrid w:val="0"/>
        </w:rPr>
      </w:pPr>
      <w:r>
        <w:rPr>
          <w:snapToGrid w:val="0"/>
        </w:rPr>
        <w:tab/>
        <w:t>(3)</w:t>
      </w:r>
      <w:r>
        <w:rPr>
          <w:snapToGrid w:val="0"/>
        </w:rPr>
        <w:tab/>
        <w:t>If the Court decides against the objector it may order him to pay the costs occasioned by the objection.</w:t>
      </w:r>
    </w:p>
    <w:p w:rsidR="00425758" w:rsidRDefault="00425758">
      <w:pPr>
        <w:pStyle w:val="Heading5"/>
        <w:rPr>
          <w:snapToGrid w:val="0"/>
        </w:rPr>
      </w:pPr>
      <w:bookmarkStart w:id="532" w:name="_Toc75863196"/>
      <w:r>
        <w:rPr>
          <w:rStyle w:val="CharSectno"/>
        </w:rPr>
        <w:t>13</w:t>
      </w:r>
      <w:r>
        <w:rPr>
          <w:snapToGrid w:val="0"/>
        </w:rPr>
        <w:t>.</w:t>
      </w:r>
      <w:r>
        <w:rPr>
          <w:snapToGrid w:val="0"/>
        </w:rPr>
        <w:tab/>
        <w:t>Examiner may give Court special report</w:t>
      </w:r>
      <w:bookmarkEnd w:id="532"/>
    </w:p>
    <w:p w:rsidR="00425758" w:rsidRDefault="00425758">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rsidR="00425758" w:rsidRDefault="00425758">
      <w:pPr>
        <w:pStyle w:val="Heading5"/>
        <w:spacing w:before="180"/>
        <w:rPr>
          <w:snapToGrid w:val="0"/>
        </w:rPr>
      </w:pPr>
      <w:bookmarkStart w:id="533" w:name="_Toc75863197"/>
      <w:r>
        <w:rPr>
          <w:rStyle w:val="CharSectno"/>
        </w:rPr>
        <w:t>14</w:t>
      </w:r>
      <w:r>
        <w:rPr>
          <w:snapToGrid w:val="0"/>
        </w:rPr>
        <w:t>.</w:t>
      </w:r>
      <w:r>
        <w:rPr>
          <w:snapToGrid w:val="0"/>
        </w:rPr>
        <w:tab/>
        <w:t>Oaths</w:t>
      </w:r>
      <w:bookmarkEnd w:id="533"/>
    </w:p>
    <w:p w:rsidR="00425758" w:rsidRDefault="00425758">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rsidR="00425758" w:rsidRDefault="00425758">
      <w:pPr>
        <w:pStyle w:val="Footnotesection"/>
      </w:pPr>
      <w:r>
        <w:tab/>
        <w:t xml:space="preserve">[Rule 14 amended: Gazette 8 Feb 1991 p. 582.] </w:t>
      </w:r>
    </w:p>
    <w:p w:rsidR="00425758" w:rsidRDefault="00425758">
      <w:pPr>
        <w:pStyle w:val="Heading5"/>
        <w:spacing w:before="180"/>
        <w:rPr>
          <w:snapToGrid w:val="0"/>
        </w:rPr>
      </w:pPr>
      <w:bookmarkStart w:id="534" w:name="_Toc75863198"/>
      <w:r>
        <w:rPr>
          <w:rStyle w:val="CharSectno"/>
        </w:rPr>
        <w:t>15</w:t>
      </w:r>
      <w:r>
        <w:rPr>
          <w:snapToGrid w:val="0"/>
        </w:rPr>
        <w:t>.</w:t>
      </w:r>
      <w:r>
        <w:rPr>
          <w:snapToGrid w:val="0"/>
        </w:rPr>
        <w:tab/>
        <w:t>Perpetuating testimony</w:t>
      </w:r>
      <w:bookmarkEnd w:id="534"/>
    </w:p>
    <w:p w:rsidR="00425758" w:rsidRDefault="00425758">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rsidR="00425758" w:rsidRDefault="00425758">
      <w:pPr>
        <w:pStyle w:val="Subsection"/>
        <w:spacing w:before="120"/>
        <w:rPr>
          <w:snapToGrid w:val="0"/>
        </w:rPr>
      </w:pPr>
      <w:r>
        <w:rPr>
          <w:snapToGrid w:val="0"/>
        </w:rPr>
        <w:lastRenderedPageBreak/>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rsidR="00425758" w:rsidRDefault="00425758">
      <w:pPr>
        <w:pStyle w:val="Subsection"/>
        <w:spacing w:before="120"/>
        <w:rPr>
          <w:snapToGrid w:val="0"/>
        </w:rPr>
      </w:pPr>
      <w:r>
        <w:rPr>
          <w:snapToGrid w:val="0"/>
        </w:rPr>
        <w:tab/>
        <w:t>(3)</w:t>
      </w:r>
      <w:r>
        <w:rPr>
          <w:snapToGrid w:val="0"/>
        </w:rPr>
        <w:tab/>
        <w:t>No action to perpetuate the testimony of witnesses shall be set down for trial.</w:t>
      </w:r>
    </w:p>
    <w:p w:rsidR="00425758" w:rsidRDefault="00425758">
      <w:pPr>
        <w:pStyle w:val="Heading5"/>
        <w:spacing w:before="180"/>
        <w:rPr>
          <w:snapToGrid w:val="0"/>
        </w:rPr>
      </w:pPr>
      <w:bookmarkStart w:id="535" w:name="_Toc75863199"/>
      <w:r>
        <w:rPr>
          <w:rStyle w:val="CharSectno"/>
        </w:rPr>
        <w:t>16</w:t>
      </w:r>
      <w:r>
        <w:rPr>
          <w:snapToGrid w:val="0"/>
        </w:rPr>
        <w:t>.</w:t>
      </w:r>
      <w:r>
        <w:rPr>
          <w:snapToGrid w:val="0"/>
        </w:rPr>
        <w:tab/>
        <w:t>Examiner’s fees</w:t>
      </w:r>
      <w:bookmarkEnd w:id="535"/>
    </w:p>
    <w:p w:rsidR="00425758" w:rsidRDefault="00425758">
      <w:pPr>
        <w:pStyle w:val="Subsection"/>
        <w:keepNext/>
        <w:keepLines/>
        <w:spacing w:before="120"/>
        <w:rPr>
          <w:snapToGrid w:val="0"/>
        </w:rPr>
      </w:pPr>
      <w:r>
        <w:rPr>
          <w:snapToGrid w:val="0"/>
        </w:rPr>
        <w:tab/>
        <w:t>(1)</w:t>
      </w:r>
      <w:r>
        <w:rPr>
          <w:snapToGrid w:val="0"/>
        </w:rPr>
        <w:tab/>
        <w:t>An examiner is entitled to charge the fees set forth in the following table — </w:t>
      </w:r>
    </w:p>
    <w:p w:rsidR="00425758" w:rsidRDefault="00425758">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rsidR="00425758">
        <w:tc>
          <w:tcPr>
            <w:tcW w:w="4634" w:type="dxa"/>
          </w:tcPr>
          <w:p w:rsidR="00425758" w:rsidRDefault="00425758">
            <w:pPr>
              <w:pStyle w:val="TableNAm"/>
            </w:pPr>
          </w:p>
        </w:tc>
        <w:tc>
          <w:tcPr>
            <w:tcW w:w="1559" w:type="dxa"/>
          </w:tcPr>
          <w:p w:rsidR="00425758" w:rsidRDefault="00425758">
            <w:pPr>
              <w:pStyle w:val="TableNAm"/>
              <w:jc w:val="center"/>
              <w:rPr>
                <w:b/>
              </w:rPr>
            </w:pPr>
            <w:r>
              <w:rPr>
                <w:b/>
              </w:rPr>
              <w:t>$</w:t>
            </w:r>
          </w:p>
        </w:tc>
      </w:tr>
      <w:tr w:rsidR="00425758">
        <w:tc>
          <w:tcPr>
            <w:tcW w:w="4634" w:type="dxa"/>
          </w:tcPr>
          <w:p w:rsidR="00425758" w:rsidRDefault="00425758">
            <w:pPr>
              <w:pStyle w:val="TableNAm"/>
              <w:ind w:left="573" w:hanging="573"/>
            </w:pPr>
            <w:r>
              <w:t>(a)</w:t>
            </w:r>
            <w:r>
              <w:tab/>
              <w:t>Upon giving an appointment to take an examination ...................................</w:t>
            </w:r>
          </w:p>
        </w:tc>
        <w:tc>
          <w:tcPr>
            <w:tcW w:w="1559" w:type="dxa"/>
          </w:tcPr>
          <w:p w:rsidR="00425758" w:rsidRDefault="00425758">
            <w:pPr>
              <w:pStyle w:val="TableNAm"/>
              <w:jc w:val="center"/>
            </w:pPr>
            <w:r>
              <w:br/>
              <w:t>21.00</w:t>
            </w:r>
          </w:p>
        </w:tc>
      </w:tr>
      <w:tr w:rsidR="00425758">
        <w:tc>
          <w:tcPr>
            <w:tcW w:w="4634" w:type="dxa"/>
          </w:tcPr>
          <w:p w:rsidR="00425758" w:rsidRDefault="00425758">
            <w:pPr>
              <w:pStyle w:val="TableNAm"/>
            </w:pPr>
            <w:r>
              <w:t>(b)</w:t>
            </w:r>
            <w:r>
              <w:tab/>
              <w:t>for the examination — </w:t>
            </w:r>
          </w:p>
        </w:tc>
        <w:tc>
          <w:tcPr>
            <w:tcW w:w="1559" w:type="dxa"/>
          </w:tcPr>
          <w:p w:rsidR="00425758" w:rsidRDefault="00425758">
            <w:pPr>
              <w:pStyle w:val="TableNAm"/>
              <w:jc w:val="center"/>
            </w:pPr>
          </w:p>
        </w:tc>
      </w:tr>
      <w:tr w:rsidR="00425758">
        <w:tc>
          <w:tcPr>
            <w:tcW w:w="4634" w:type="dxa"/>
          </w:tcPr>
          <w:p w:rsidR="00425758" w:rsidRDefault="00425758">
            <w:pPr>
              <w:pStyle w:val="TableNAm"/>
            </w:pPr>
            <w:r>
              <w:tab/>
              <w:t>for the first hour .................................</w:t>
            </w:r>
          </w:p>
        </w:tc>
        <w:tc>
          <w:tcPr>
            <w:tcW w:w="1559" w:type="dxa"/>
          </w:tcPr>
          <w:p w:rsidR="00425758" w:rsidRDefault="00425758">
            <w:pPr>
              <w:pStyle w:val="TableNAm"/>
              <w:jc w:val="center"/>
            </w:pPr>
            <w:r>
              <w:t>28.00</w:t>
            </w:r>
          </w:p>
        </w:tc>
      </w:tr>
      <w:tr w:rsidR="00425758">
        <w:tc>
          <w:tcPr>
            <w:tcW w:w="4634" w:type="dxa"/>
          </w:tcPr>
          <w:p w:rsidR="00425758" w:rsidRDefault="00425758">
            <w:pPr>
              <w:pStyle w:val="TableNAm"/>
            </w:pPr>
            <w:r>
              <w:tab/>
              <w:t>for every hour after the first ...............</w:t>
            </w:r>
          </w:p>
        </w:tc>
        <w:tc>
          <w:tcPr>
            <w:tcW w:w="1559" w:type="dxa"/>
          </w:tcPr>
          <w:p w:rsidR="00425758" w:rsidRDefault="00425758">
            <w:pPr>
              <w:pStyle w:val="TableNAm"/>
              <w:jc w:val="center"/>
            </w:pPr>
            <w:r>
              <w:t>17.00</w:t>
            </w:r>
          </w:p>
        </w:tc>
      </w:tr>
    </w:tbl>
    <w:p w:rsidR="00425758" w:rsidRDefault="00425758">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rsidR="00425758" w:rsidRDefault="00425758">
      <w:pPr>
        <w:pStyle w:val="Subsection"/>
        <w:rPr>
          <w:snapToGrid w:val="0"/>
        </w:rPr>
      </w:pPr>
      <w:r>
        <w:rPr>
          <w:snapToGrid w:val="0"/>
        </w:rPr>
        <w:tab/>
        <w:t>(3)</w:t>
      </w:r>
      <w:r>
        <w:rPr>
          <w:snapToGrid w:val="0"/>
        </w:rPr>
        <w:tab/>
        <w:t>The fee on appointment may be retained by the examiner whether the examination is taken or not.</w:t>
      </w:r>
    </w:p>
    <w:p w:rsidR="00425758" w:rsidRDefault="00425758">
      <w:pPr>
        <w:pStyle w:val="Subsection"/>
        <w:rPr>
          <w:snapToGrid w:val="0"/>
        </w:rPr>
      </w:pPr>
      <w:r>
        <w:rPr>
          <w:snapToGrid w:val="0"/>
        </w:rPr>
        <w:tab/>
        <w:t>(4)</w:t>
      </w:r>
      <w:r>
        <w:rPr>
          <w:snapToGrid w:val="0"/>
        </w:rPr>
        <w:tab/>
        <w:t>The other fees and the travelling or other expenses shall be paid as soon as the examination has been concluded.</w:t>
      </w:r>
    </w:p>
    <w:p w:rsidR="00425758" w:rsidRDefault="00425758">
      <w:pPr>
        <w:pStyle w:val="Subsection"/>
        <w:rPr>
          <w:snapToGrid w:val="0"/>
        </w:rPr>
      </w:pPr>
      <w:r>
        <w:rPr>
          <w:snapToGrid w:val="0"/>
        </w:rPr>
        <w:lastRenderedPageBreak/>
        <w:tab/>
        <w:t>(5)</w:t>
      </w:r>
      <w:r>
        <w:rPr>
          <w:snapToGrid w:val="0"/>
        </w:rPr>
        <w:tab/>
        <w:t>A judge or a master may authorise the charging of fees at a higher hourly rate than the hourly rate specified in the</w:t>
      </w:r>
      <w:r>
        <w:t xml:space="preserve"> Table to subrule (1).</w:t>
      </w:r>
    </w:p>
    <w:p w:rsidR="00425758" w:rsidRDefault="00425758">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rsidR="00425758" w:rsidRDefault="00425758">
      <w:pPr>
        <w:pStyle w:val="Footnotesection"/>
      </w:pPr>
      <w:r>
        <w:tab/>
        <w:t>[Rule 16 inserted: Gazette 21 Mar 1980 p. 960</w:t>
      </w:r>
      <w:r>
        <w:noBreakHyphen/>
        <w:t>1; amended: Gazette 30 Nov 1984 p. 3951</w:t>
      </w:r>
      <w:r>
        <w:noBreakHyphen/>
        <w:t>3; 28 Jun 2011 p. 2554.]</w:t>
      </w:r>
    </w:p>
    <w:p w:rsidR="00425758" w:rsidRDefault="00425758">
      <w:pPr>
        <w:pStyle w:val="Heading5"/>
        <w:rPr>
          <w:snapToGrid w:val="0"/>
        </w:rPr>
      </w:pPr>
      <w:bookmarkStart w:id="536" w:name="_Toc75863200"/>
      <w:r>
        <w:rPr>
          <w:rStyle w:val="CharSectno"/>
        </w:rPr>
        <w:t>17</w:t>
      </w:r>
      <w:r>
        <w:rPr>
          <w:snapToGrid w:val="0"/>
        </w:rPr>
        <w:t>.</w:t>
      </w:r>
      <w:r>
        <w:rPr>
          <w:snapToGrid w:val="0"/>
        </w:rPr>
        <w:tab/>
        <w:t>Payment of examiner’s fees</w:t>
      </w:r>
      <w:bookmarkEnd w:id="536"/>
    </w:p>
    <w:p w:rsidR="00425758" w:rsidRDefault="00425758">
      <w:pPr>
        <w:pStyle w:val="Subsection"/>
      </w:pPr>
      <w:r>
        <w:tab/>
        <w:t>(1)</w:t>
      </w:r>
      <w:r>
        <w:tab/>
        <w:t>An examiner shall not be required to file any deposition until all fees and expenses due to him in respect of that deposition have been paid.</w:t>
      </w:r>
    </w:p>
    <w:p w:rsidR="00425758" w:rsidRDefault="00425758">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rsidR="00425758" w:rsidRDefault="00425758">
      <w:pPr>
        <w:pStyle w:val="Footnotesection"/>
      </w:pPr>
      <w:r>
        <w:tab/>
        <w:t>[Rule 17 amended: Gazette 27 Feb 2018 p. 565.]</w:t>
      </w:r>
    </w:p>
    <w:p w:rsidR="00425758" w:rsidRDefault="00425758">
      <w:pPr>
        <w:pStyle w:val="Ednotesection"/>
      </w:pPr>
      <w:r>
        <w:t>[</w:t>
      </w:r>
      <w:r>
        <w:rPr>
          <w:b/>
        </w:rPr>
        <w:t>18.</w:t>
      </w:r>
      <w:r>
        <w:tab/>
        <w:t>Deleted: Gazette 21 Feb 2007 p. 551.]</w:t>
      </w:r>
    </w:p>
    <w:p w:rsidR="00425758" w:rsidRDefault="00425758">
      <w:pPr>
        <w:pStyle w:val="Heading2"/>
        <w:rPr>
          <w:b w:val="0"/>
        </w:rPr>
      </w:pPr>
      <w:bookmarkStart w:id="537" w:name="_Toc75512105"/>
      <w:bookmarkStart w:id="538" w:name="_Toc75863201"/>
      <w:r>
        <w:rPr>
          <w:rStyle w:val="CharPartNo"/>
        </w:rPr>
        <w:lastRenderedPageBreak/>
        <w:t>Order 38A</w:t>
      </w:r>
      <w:r>
        <w:rPr>
          <w:rStyle w:val="CharDivNo"/>
        </w:rPr>
        <w:t> </w:t>
      </w:r>
      <w:r>
        <w:t>—</w:t>
      </w:r>
      <w:r>
        <w:rPr>
          <w:rStyle w:val="CharDivText"/>
        </w:rPr>
        <w:t> </w:t>
      </w:r>
      <w:r>
        <w:rPr>
          <w:rStyle w:val="CharPartText"/>
        </w:rPr>
        <w:t>Examination of witnesses outside the State</w:t>
      </w:r>
      <w:bookmarkEnd w:id="537"/>
      <w:bookmarkEnd w:id="538"/>
    </w:p>
    <w:p w:rsidR="00425758" w:rsidRDefault="00425758">
      <w:pPr>
        <w:pStyle w:val="Footnoteheading"/>
        <w:ind w:left="890"/>
      </w:pPr>
      <w:r>
        <w:tab/>
        <w:t>[Heading inserted: Gazette 8 Feb 1991 p. 582; amended: Gazette 22 Feb 2008 p. 637.]</w:t>
      </w:r>
    </w:p>
    <w:p w:rsidR="00425758" w:rsidRDefault="00425758">
      <w:pPr>
        <w:pStyle w:val="Heading5"/>
        <w:spacing w:before="180"/>
        <w:rPr>
          <w:sz w:val="20"/>
        </w:rPr>
      </w:pPr>
      <w:bookmarkStart w:id="539" w:name="_Toc75863202"/>
      <w:r>
        <w:rPr>
          <w:rStyle w:val="CharSectno"/>
        </w:rPr>
        <w:t>1</w:t>
      </w:r>
      <w:r>
        <w:rPr>
          <w:snapToGrid w:val="0"/>
        </w:rPr>
        <w:t>.</w:t>
      </w:r>
      <w:r>
        <w:rPr>
          <w:snapToGrid w:val="0"/>
        </w:rPr>
        <w:tab/>
        <w:t>Terms used</w:t>
      </w:r>
      <w:bookmarkEnd w:id="539"/>
    </w:p>
    <w:p w:rsidR="00425758" w:rsidRDefault="00425758">
      <w:pPr>
        <w:pStyle w:val="Subsection"/>
        <w:spacing w:before="120"/>
      </w:pPr>
      <w:r>
        <w:tab/>
      </w:r>
      <w:r>
        <w:tab/>
        <w:t>In this Order — </w:t>
      </w:r>
    </w:p>
    <w:p w:rsidR="00425758" w:rsidRDefault="00425758">
      <w:pPr>
        <w:pStyle w:val="Indenta"/>
      </w:pPr>
      <w:r>
        <w:tab/>
        <w:t>(a)</w:t>
      </w:r>
      <w:r>
        <w:rPr>
          <w:b/>
        </w:rPr>
        <w:tab/>
      </w:r>
      <w:r>
        <w:t xml:space="preserve">the </w:t>
      </w:r>
      <w:r>
        <w:rPr>
          <w:rStyle w:val="CharDefText"/>
        </w:rPr>
        <w:t>Act</w:t>
      </w:r>
      <w:r>
        <w:t xml:space="preserve"> means the </w:t>
      </w:r>
      <w:r>
        <w:rPr>
          <w:i/>
        </w:rPr>
        <w:t>Evidence Act 1906</w:t>
      </w:r>
      <w:r>
        <w:t>; and</w:t>
      </w:r>
    </w:p>
    <w:p w:rsidR="00425758" w:rsidRDefault="00425758">
      <w:pPr>
        <w:pStyle w:val="Indenta"/>
      </w:pPr>
      <w:r>
        <w:tab/>
        <w:t>(b)</w:t>
      </w:r>
      <w:r>
        <w:tab/>
        <w:t>words and expressions have the same definitions as in section 109 of the Act.</w:t>
      </w:r>
    </w:p>
    <w:p w:rsidR="00425758" w:rsidRDefault="00425758">
      <w:pPr>
        <w:pStyle w:val="Footnotesection"/>
      </w:pPr>
      <w:r>
        <w:tab/>
        <w:t>[Rule 1 inserted: Gazette 8 Feb 1991 p. 582.]</w:t>
      </w:r>
    </w:p>
    <w:p w:rsidR="00425758" w:rsidRDefault="00425758">
      <w:pPr>
        <w:pStyle w:val="Heading5"/>
      </w:pPr>
      <w:bookmarkStart w:id="540" w:name="_Toc75863203"/>
      <w:r>
        <w:rPr>
          <w:rStyle w:val="CharSectno"/>
        </w:rPr>
        <w:t>2</w:t>
      </w:r>
      <w:r>
        <w:t>.</w:t>
      </w:r>
      <w:r>
        <w:tab/>
        <w:t>Order applies to Act s. 110 and 111</w:t>
      </w:r>
      <w:bookmarkEnd w:id="540"/>
    </w:p>
    <w:p w:rsidR="00425758" w:rsidRDefault="00425758">
      <w:pPr>
        <w:pStyle w:val="Subsection"/>
      </w:pPr>
      <w:r>
        <w:tab/>
      </w:r>
      <w:r>
        <w:tab/>
        <w:t>This Order applies to applications made under section 110 or 111 of the Act.</w:t>
      </w:r>
    </w:p>
    <w:p w:rsidR="00425758" w:rsidRDefault="00425758">
      <w:pPr>
        <w:pStyle w:val="Footnotesection"/>
      </w:pPr>
      <w:r>
        <w:tab/>
        <w:t>[Rule 2 inserted: Gazette 21 Feb 2007 p. 551.]</w:t>
      </w:r>
    </w:p>
    <w:p w:rsidR="00425758" w:rsidRDefault="00425758">
      <w:pPr>
        <w:pStyle w:val="Heading5"/>
        <w:rPr>
          <w:snapToGrid w:val="0"/>
        </w:rPr>
      </w:pPr>
      <w:bookmarkStart w:id="541" w:name="_Toc75863204"/>
      <w:r>
        <w:rPr>
          <w:rStyle w:val="CharSectno"/>
        </w:rPr>
        <w:t>3</w:t>
      </w:r>
      <w:r>
        <w:rPr>
          <w:snapToGrid w:val="0"/>
        </w:rPr>
        <w:t>.</w:t>
      </w:r>
      <w:r>
        <w:rPr>
          <w:snapToGrid w:val="0"/>
        </w:rPr>
        <w:tab/>
        <w:t>Applications under Act s. 110 and 111 in civil proceedings</w:t>
      </w:r>
      <w:bookmarkEnd w:id="541"/>
      <w:r>
        <w:rPr>
          <w:snapToGrid w:val="0"/>
        </w:rPr>
        <w:t xml:space="preserve"> </w:t>
      </w:r>
    </w:p>
    <w:p w:rsidR="00425758" w:rsidRDefault="00425758">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rsidR="00425758" w:rsidRDefault="00425758">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rsidR="00425758" w:rsidRDefault="00425758">
      <w:pPr>
        <w:pStyle w:val="Subsection"/>
        <w:rPr>
          <w:snapToGrid w:val="0"/>
        </w:rPr>
      </w:pPr>
      <w:r>
        <w:rPr>
          <w:snapToGrid w:val="0"/>
        </w:rPr>
        <w:tab/>
        <w:t>(3)</w:t>
      </w:r>
      <w:r>
        <w:rPr>
          <w:snapToGrid w:val="0"/>
        </w:rPr>
        <w:tab/>
        <w:t>The affidavit in support of an application must — </w:t>
      </w:r>
    </w:p>
    <w:p w:rsidR="00425758" w:rsidRDefault="00425758">
      <w:pPr>
        <w:pStyle w:val="Indenta"/>
        <w:rPr>
          <w:snapToGrid w:val="0"/>
        </w:rPr>
      </w:pPr>
      <w:r>
        <w:rPr>
          <w:snapToGrid w:val="0"/>
        </w:rPr>
        <w:tab/>
        <w:t>(a)</w:t>
      </w:r>
      <w:r>
        <w:rPr>
          <w:snapToGrid w:val="0"/>
        </w:rPr>
        <w:tab/>
        <w:t>address the matters referred to in section 110(2) of the Act; and</w:t>
      </w:r>
    </w:p>
    <w:p w:rsidR="00425758" w:rsidRDefault="00425758">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rsidR="00425758" w:rsidRDefault="00425758">
      <w:pPr>
        <w:pStyle w:val="Subsection"/>
        <w:keepLines/>
        <w:rPr>
          <w:snapToGrid w:val="0"/>
        </w:rPr>
      </w:pPr>
      <w:r>
        <w:rPr>
          <w:snapToGrid w:val="0"/>
        </w:rPr>
        <w:lastRenderedPageBreak/>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rsidR="00425758" w:rsidRDefault="00425758">
      <w:pPr>
        <w:pStyle w:val="Footnotesection"/>
      </w:pPr>
      <w:r>
        <w:tab/>
        <w:t xml:space="preserve">[Rule 3 inserted: Gazette 8 Feb 1991 p. 583.] </w:t>
      </w:r>
    </w:p>
    <w:p w:rsidR="00425758" w:rsidRDefault="00425758">
      <w:pPr>
        <w:pStyle w:val="Heading5"/>
        <w:rPr>
          <w:snapToGrid w:val="0"/>
        </w:rPr>
      </w:pPr>
      <w:bookmarkStart w:id="542" w:name="_Toc75863205"/>
      <w:r>
        <w:rPr>
          <w:rStyle w:val="CharSectno"/>
        </w:rPr>
        <w:t>4</w:t>
      </w:r>
      <w:r>
        <w:rPr>
          <w:snapToGrid w:val="0"/>
        </w:rPr>
        <w:t>.</w:t>
      </w:r>
      <w:r>
        <w:rPr>
          <w:snapToGrid w:val="0"/>
        </w:rPr>
        <w:tab/>
        <w:t>Application under Act s. 110 and 111 in criminal proceedings</w:t>
      </w:r>
      <w:bookmarkEnd w:id="542"/>
      <w:r>
        <w:rPr>
          <w:snapToGrid w:val="0"/>
        </w:rPr>
        <w:t xml:space="preserve"> </w:t>
      </w:r>
    </w:p>
    <w:p w:rsidR="00425758" w:rsidRDefault="00425758">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rsidR="00425758" w:rsidRDefault="00425758">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rsidR="00425758" w:rsidRDefault="00425758">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rsidR="00425758" w:rsidRDefault="00425758">
      <w:pPr>
        <w:pStyle w:val="Subsection"/>
        <w:rPr>
          <w:snapToGrid w:val="0"/>
        </w:rPr>
      </w:pPr>
      <w:r>
        <w:rPr>
          <w:snapToGrid w:val="0"/>
        </w:rPr>
        <w:tab/>
        <w:t>(4)</w:t>
      </w:r>
      <w:r>
        <w:rPr>
          <w:snapToGrid w:val="0"/>
        </w:rPr>
        <w:tab/>
        <w:t>Rules 3(3) and 3(4) apply to applications under this rule.</w:t>
      </w:r>
    </w:p>
    <w:p w:rsidR="00425758" w:rsidRDefault="00425758">
      <w:pPr>
        <w:pStyle w:val="Footnotesection"/>
      </w:pPr>
      <w:r>
        <w:tab/>
        <w:t xml:space="preserve">[Rule 4 inserted: Gazette 8 Feb 1991 p. 583.] </w:t>
      </w:r>
    </w:p>
    <w:p w:rsidR="00425758" w:rsidRDefault="00425758">
      <w:pPr>
        <w:pStyle w:val="Heading5"/>
        <w:rPr>
          <w:snapToGrid w:val="0"/>
        </w:rPr>
      </w:pPr>
      <w:bookmarkStart w:id="543" w:name="_Toc75863206"/>
      <w:r>
        <w:rPr>
          <w:rStyle w:val="CharSectno"/>
        </w:rPr>
        <w:t>5</w:t>
      </w:r>
      <w:r>
        <w:rPr>
          <w:snapToGrid w:val="0"/>
        </w:rPr>
        <w:t>.</w:t>
      </w:r>
      <w:r>
        <w:rPr>
          <w:snapToGrid w:val="0"/>
        </w:rPr>
        <w:tab/>
        <w:t>Orders under Act s. 110 and 111</w:t>
      </w:r>
      <w:bookmarkEnd w:id="543"/>
      <w:r>
        <w:rPr>
          <w:snapToGrid w:val="0"/>
        </w:rPr>
        <w:t xml:space="preserve"> </w:t>
      </w:r>
    </w:p>
    <w:p w:rsidR="00425758" w:rsidRDefault="00425758">
      <w:pPr>
        <w:pStyle w:val="Subsection"/>
        <w:rPr>
          <w:snapToGrid w:val="0"/>
        </w:rPr>
      </w:pPr>
      <w:r>
        <w:rPr>
          <w:snapToGrid w:val="0"/>
        </w:rPr>
        <w:tab/>
      </w:r>
      <w:r>
        <w:rPr>
          <w:snapToGrid w:val="0"/>
        </w:rPr>
        <w:tab/>
        <w:t>An order under section 110 or 111 of the Act — </w:t>
      </w:r>
    </w:p>
    <w:p w:rsidR="00425758" w:rsidRDefault="00425758">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rsidR="00425758" w:rsidRDefault="00425758">
      <w:pPr>
        <w:pStyle w:val="Indenta"/>
        <w:rPr>
          <w:snapToGrid w:val="0"/>
        </w:rPr>
      </w:pPr>
      <w:r>
        <w:rPr>
          <w:snapToGrid w:val="0"/>
        </w:rPr>
        <w:tab/>
        <w:t>(b)</w:t>
      </w:r>
      <w:r>
        <w:rPr>
          <w:snapToGrid w:val="0"/>
        </w:rPr>
        <w:tab/>
        <w:t>must be in Form No. 26 or in such form as the Court may approve.</w:t>
      </w:r>
    </w:p>
    <w:p w:rsidR="00425758" w:rsidRDefault="00425758">
      <w:pPr>
        <w:pStyle w:val="Footnotesection"/>
      </w:pPr>
      <w:r>
        <w:tab/>
        <w:t xml:space="preserve">[Rule 5 inserted: Gazette 8 Feb 1991 p. 583.] </w:t>
      </w:r>
    </w:p>
    <w:p w:rsidR="00425758" w:rsidRDefault="00425758">
      <w:pPr>
        <w:pStyle w:val="Heading5"/>
        <w:rPr>
          <w:snapToGrid w:val="0"/>
        </w:rPr>
      </w:pPr>
      <w:bookmarkStart w:id="544" w:name="_Toc75863207"/>
      <w:r>
        <w:rPr>
          <w:rStyle w:val="CharSectno"/>
        </w:rPr>
        <w:lastRenderedPageBreak/>
        <w:t>6</w:t>
      </w:r>
      <w:r>
        <w:rPr>
          <w:snapToGrid w:val="0"/>
        </w:rPr>
        <w:t>.</w:t>
      </w:r>
      <w:r>
        <w:rPr>
          <w:snapToGrid w:val="0"/>
        </w:rPr>
        <w:tab/>
        <w:t>Manner of examination</w:t>
      </w:r>
      <w:bookmarkEnd w:id="544"/>
      <w:r>
        <w:rPr>
          <w:snapToGrid w:val="0"/>
        </w:rPr>
        <w:t xml:space="preserve"> </w:t>
      </w:r>
    </w:p>
    <w:p w:rsidR="00425758" w:rsidRDefault="00425758">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rsidR="00425758" w:rsidRDefault="00425758">
      <w:pPr>
        <w:pStyle w:val="Footnotesection"/>
      </w:pPr>
      <w:r>
        <w:tab/>
        <w:t xml:space="preserve">[Rule 6 inserted: Gazette 8 Feb 1991 p. 583.] </w:t>
      </w:r>
    </w:p>
    <w:p w:rsidR="00425758" w:rsidRDefault="00425758">
      <w:pPr>
        <w:pStyle w:val="Heading5"/>
        <w:rPr>
          <w:snapToGrid w:val="0"/>
        </w:rPr>
      </w:pPr>
      <w:bookmarkStart w:id="545" w:name="_Toc75863208"/>
      <w:r>
        <w:rPr>
          <w:rStyle w:val="CharSectno"/>
        </w:rPr>
        <w:t>7</w:t>
      </w:r>
      <w:r>
        <w:rPr>
          <w:snapToGrid w:val="0"/>
        </w:rPr>
        <w:t>.</w:t>
      </w:r>
      <w:r>
        <w:rPr>
          <w:snapToGrid w:val="0"/>
        </w:rPr>
        <w:tab/>
        <w:t>Examiner’s remuneration</w:t>
      </w:r>
      <w:bookmarkEnd w:id="545"/>
      <w:r>
        <w:rPr>
          <w:snapToGrid w:val="0"/>
        </w:rPr>
        <w:t xml:space="preserve"> </w:t>
      </w:r>
    </w:p>
    <w:p w:rsidR="00425758" w:rsidRDefault="00425758">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rsidR="00425758" w:rsidRDefault="00425758">
      <w:pPr>
        <w:pStyle w:val="Footnotesection"/>
      </w:pPr>
      <w:r>
        <w:tab/>
        <w:t xml:space="preserve">[Rule 7 inserted: Gazette 8 Feb 1991 p. 583.] </w:t>
      </w:r>
    </w:p>
    <w:p w:rsidR="00425758" w:rsidRDefault="00425758">
      <w:pPr>
        <w:pStyle w:val="Heading2"/>
        <w:rPr>
          <w:b w:val="0"/>
        </w:rPr>
      </w:pPr>
      <w:bookmarkStart w:id="546" w:name="_Toc75512113"/>
      <w:bookmarkStart w:id="547" w:name="_Toc75863209"/>
      <w:r>
        <w:rPr>
          <w:rStyle w:val="CharPartNo"/>
        </w:rPr>
        <w:lastRenderedPageBreak/>
        <w:t>Order 39</w:t>
      </w:r>
      <w:r>
        <w:rPr>
          <w:rStyle w:val="CharDivNo"/>
        </w:rPr>
        <w:t> </w:t>
      </w:r>
      <w:r>
        <w:t>—</w:t>
      </w:r>
      <w:r>
        <w:rPr>
          <w:rStyle w:val="CharDivText"/>
        </w:rPr>
        <w:t> </w:t>
      </w:r>
      <w:r>
        <w:rPr>
          <w:rStyle w:val="CharPartText"/>
        </w:rPr>
        <w:t>Taking of evidence for foreign and Australian courts</w:t>
      </w:r>
      <w:bookmarkEnd w:id="546"/>
      <w:bookmarkEnd w:id="547"/>
    </w:p>
    <w:p w:rsidR="00425758" w:rsidRDefault="00425758">
      <w:pPr>
        <w:pStyle w:val="Footnoteheading"/>
        <w:ind w:left="890"/>
        <w:rPr>
          <w:snapToGrid w:val="0"/>
        </w:rPr>
      </w:pPr>
      <w:r>
        <w:rPr>
          <w:snapToGrid w:val="0"/>
        </w:rPr>
        <w:tab/>
        <w:t>[Heading inserted: Gazette 8 Feb 1991 p. 586; amended: Gazette 22 Feb 2008 p. 637.]</w:t>
      </w:r>
    </w:p>
    <w:p w:rsidR="00425758" w:rsidRDefault="00425758">
      <w:pPr>
        <w:pStyle w:val="Heading5"/>
        <w:spacing w:before="180"/>
        <w:rPr>
          <w:snapToGrid w:val="0"/>
        </w:rPr>
      </w:pPr>
      <w:bookmarkStart w:id="548" w:name="_Toc75863210"/>
      <w:r>
        <w:rPr>
          <w:rStyle w:val="CharSectno"/>
        </w:rPr>
        <w:t>1</w:t>
      </w:r>
      <w:r>
        <w:rPr>
          <w:snapToGrid w:val="0"/>
        </w:rPr>
        <w:t>.</w:t>
      </w:r>
      <w:r>
        <w:rPr>
          <w:snapToGrid w:val="0"/>
        </w:rPr>
        <w:tab/>
        <w:t>Terms used</w:t>
      </w:r>
      <w:bookmarkEnd w:id="548"/>
    </w:p>
    <w:p w:rsidR="00425758" w:rsidRDefault="00425758">
      <w:pPr>
        <w:pStyle w:val="Subsection"/>
        <w:rPr>
          <w:snapToGrid w:val="0"/>
        </w:rPr>
      </w:pPr>
      <w:r>
        <w:rPr>
          <w:snapToGrid w:val="0"/>
        </w:rPr>
        <w:tab/>
      </w:r>
      <w:r>
        <w:rPr>
          <w:snapToGrid w:val="0"/>
        </w:rPr>
        <w:tab/>
        <w:t>In this Order — </w:t>
      </w:r>
    </w:p>
    <w:p w:rsidR="00425758" w:rsidRDefault="00425758">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rsidR="00425758" w:rsidRDefault="00425758">
      <w:pPr>
        <w:pStyle w:val="Indenta"/>
        <w:rPr>
          <w:snapToGrid w:val="0"/>
        </w:rPr>
      </w:pPr>
      <w:r>
        <w:rPr>
          <w:snapToGrid w:val="0"/>
        </w:rPr>
        <w:tab/>
        <w:t>(b)</w:t>
      </w:r>
      <w:r>
        <w:rPr>
          <w:snapToGrid w:val="0"/>
        </w:rPr>
        <w:tab/>
        <w:t>words and expressions have the same definitions as in section 115 of the Act.</w:t>
      </w:r>
    </w:p>
    <w:p w:rsidR="00425758" w:rsidRDefault="00425758">
      <w:pPr>
        <w:pStyle w:val="Footnotesection"/>
      </w:pPr>
      <w:r>
        <w:tab/>
        <w:t xml:space="preserve">[Rule 1 inserted: Gazette 8 Feb 1991 p. 586.] </w:t>
      </w:r>
    </w:p>
    <w:p w:rsidR="00425758" w:rsidRDefault="00425758">
      <w:pPr>
        <w:pStyle w:val="Heading5"/>
        <w:spacing w:before="180"/>
        <w:rPr>
          <w:snapToGrid w:val="0"/>
        </w:rPr>
      </w:pPr>
      <w:bookmarkStart w:id="549" w:name="_Toc75863211"/>
      <w:r>
        <w:rPr>
          <w:rStyle w:val="CharSectno"/>
        </w:rPr>
        <w:t>2</w:t>
      </w:r>
      <w:r>
        <w:rPr>
          <w:snapToGrid w:val="0"/>
        </w:rPr>
        <w:t>.</w:t>
      </w:r>
      <w:r>
        <w:rPr>
          <w:snapToGrid w:val="0"/>
        </w:rPr>
        <w:tab/>
        <w:t>Applications under Act s. 116</w:t>
      </w:r>
      <w:bookmarkEnd w:id="549"/>
      <w:r>
        <w:rPr>
          <w:snapToGrid w:val="0"/>
        </w:rPr>
        <w:t xml:space="preserve"> </w:t>
      </w:r>
    </w:p>
    <w:p w:rsidR="00425758" w:rsidRDefault="00425758">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rsidR="00425758" w:rsidRDefault="00425758">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rsidR="00425758" w:rsidRDefault="00425758">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rsidR="00425758" w:rsidRDefault="00425758">
      <w:pPr>
        <w:pStyle w:val="Subsection"/>
      </w:pPr>
      <w:r>
        <w:tab/>
        <w:t>(4)</w:t>
      </w:r>
      <w:r>
        <w:tab/>
        <w:t>An application, affidavit or summons referred to in this rule cannot be filed electronically.</w:t>
      </w:r>
    </w:p>
    <w:p w:rsidR="00425758" w:rsidRDefault="00425758">
      <w:pPr>
        <w:pStyle w:val="Footnotesection"/>
      </w:pPr>
      <w:r>
        <w:tab/>
        <w:t xml:space="preserve">[Rule 2 inserted: Gazette 8 Feb 1991 p. 586; amended: Gazette 27 Feb 2018 p. 565.] </w:t>
      </w:r>
    </w:p>
    <w:p w:rsidR="00425758" w:rsidRDefault="00425758">
      <w:pPr>
        <w:pStyle w:val="Heading5"/>
        <w:spacing w:before="180"/>
        <w:rPr>
          <w:snapToGrid w:val="0"/>
        </w:rPr>
      </w:pPr>
      <w:bookmarkStart w:id="550" w:name="_Toc75863212"/>
      <w:r>
        <w:rPr>
          <w:rStyle w:val="CharSectno"/>
        </w:rPr>
        <w:t>3</w:t>
      </w:r>
      <w:r>
        <w:rPr>
          <w:snapToGrid w:val="0"/>
        </w:rPr>
        <w:t>.</w:t>
      </w:r>
      <w:r>
        <w:rPr>
          <w:snapToGrid w:val="0"/>
        </w:rPr>
        <w:tab/>
        <w:t>Orders under Act s. 117</w:t>
      </w:r>
      <w:bookmarkEnd w:id="550"/>
      <w:r>
        <w:rPr>
          <w:snapToGrid w:val="0"/>
        </w:rPr>
        <w:t xml:space="preserve"> </w:t>
      </w:r>
    </w:p>
    <w:p w:rsidR="00425758" w:rsidRDefault="00425758">
      <w:pPr>
        <w:pStyle w:val="Subsection"/>
        <w:rPr>
          <w:snapToGrid w:val="0"/>
        </w:rPr>
      </w:pPr>
      <w:r>
        <w:rPr>
          <w:snapToGrid w:val="0"/>
        </w:rPr>
        <w:tab/>
        <w:t>(1)</w:t>
      </w:r>
      <w:r>
        <w:rPr>
          <w:snapToGrid w:val="0"/>
        </w:rPr>
        <w:tab/>
        <w:t>An order made under section 117 of the Act must be in Form No. 30 or in such form as the Court may approve and —</w:t>
      </w:r>
    </w:p>
    <w:p w:rsidR="00425758" w:rsidRDefault="00425758">
      <w:pPr>
        <w:pStyle w:val="Indenta"/>
        <w:rPr>
          <w:snapToGrid w:val="0"/>
        </w:rPr>
      </w:pPr>
      <w:r>
        <w:rPr>
          <w:snapToGrid w:val="0"/>
        </w:rPr>
        <w:tab/>
        <w:t>(a)</w:t>
      </w:r>
      <w:r>
        <w:rPr>
          <w:snapToGrid w:val="0"/>
        </w:rPr>
        <w:tab/>
        <w:t xml:space="preserve">may order any fit and proper person nominated by the applicant, or any officer of the Court, or such other </w:t>
      </w:r>
      <w:r>
        <w:rPr>
          <w:snapToGrid w:val="0"/>
        </w:rPr>
        <w:lastRenderedPageBreak/>
        <w:t>qualified person as to the Court seems fit, to obtain the evidence;</w:t>
      </w:r>
    </w:p>
    <w:p w:rsidR="00425758" w:rsidRDefault="00425758">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rsidR="00425758" w:rsidRDefault="00425758">
      <w:pPr>
        <w:pStyle w:val="Indenti"/>
        <w:rPr>
          <w:snapToGrid w:val="0"/>
        </w:rPr>
      </w:pPr>
      <w:r>
        <w:rPr>
          <w:snapToGrid w:val="0"/>
        </w:rPr>
        <w:tab/>
        <w:t>(i)</w:t>
      </w:r>
      <w:r>
        <w:rPr>
          <w:snapToGrid w:val="0"/>
        </w:rPr>
        <w:tab/>
        <w:t>in the manner specified in the request; or</w:t>
      </w:r>
    </w:p>
    <w:p w:rsidR="00425758" w:rsidRDefault="00425758">
      <w:pPr>
        <w:pStyle w:val="Indenti"/>
        <w:rPr>
          <w:snapToGrid w:val="0"/>
        </w:rPr>
      </w:pPr>
      <w:r>
        <w:rPr>
          <w:snapToGrid w:val="0"/>
        </w:rPr>
        <w:tab/>
        <w:t>(ii)</w:t>
      </w:r>
      <w:r>
        <w:rPr>
          <w:snapToGrid w:val="0"/>
        </w:rPr>
        <w:tab/>
        <w:t>in accordance with the practice of the requesting court; or</w:t>
      </w:r>
    </w:p>
    <w:p w:rsidR="00425758" w:rsidRDefault="00425758">
      <w:pPr>
        <w:pStyle w:val="Indenti"/>
        <w:rPr>
          <w:snapToGrid w:val="0"/>
        </w:rPr>
      </w:pPr>
      <w:r>
        <w:rPr>
          <w:snapToGrid w:val="0"/>
        </w:rPr>
        <w:tab/>
        <w:t>(iii)</w:t>
      </w:r>
      <w:r>
        <w:rPr>
          <w:snapToGrid w:val="0"/>
        </w:rPr>
        <w:tab/>
        <w:t>in the manner requested by the applicant;</w:t>
      </w:r>
    </w:p>
    <w:p w:rsidR="00425758" w:rsidRDefault="00425758">
      <w:pPr>
        <w:pStyle w:val="Indenta"/>
        <w:rPr>
          <w:snapToGrid w:val="0"/>
        </w:rPr>
      </w:pPr>
      <w:r>
        <w:rPr>
          <w:snapToGrid w:val="0"/>
        </w:rPr>
        <w:tab/>
        <w:t>(c)</w:t>
      </w:r>
      <w:r>
        <w:rPr>
          <w:snapToGrid w:val="0"/>
        </w:rPr>
        <w:tab/>
        <w:t>may give such directions as the Court thinks fit about the transmission of the evidence obtained.</w:t>
      </w:r>
    </w:p>
    <w:p w:rsidR="00425758" w:rsidRDefault="00425758">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rsidR="00425758" w:rsidRDefault="00425758">
      <w:pPr>
        <w:pStyle w:val="Footnotesection"/>
      </w:pPr>
      <w:r>
        <w:tab/>
        <w:t xml:space="preserve">[Rule 3 inserted: Gazette 8 Feb 1991 p. 586.] </w:t>
      </w:r>
    </w:p>
    <w:p w:rsidR="00425758" w:rsidRDefault="00425758">
      <w:pPr>
        <w:pStyle w:val="Heading5"/>
        <w:rPr>
          <w:snapToGrid w:val="0"/>
        </w:rPr>
      </w:pPr>
      <w:bookmarkStart w:id="551" w:name="_Toc75863213"/>
      <w:r>
        <w:rPr>
          <w:rStyle w:val="CharSectno"/>
        </w:rPr>
        <w:t>4</w:t>
      </w:r>
      <w:r>
        <w:rPr>
          <w:snapToGrid w:val="0"/>
        </w:rPr>
        <w:t>.</w:t>
      </w:r>
      <w:r>
        <w:rPr>
          <w:snapToGrid w:val="0"/>
        </w:rPr>
        <w:tab/>
        <w:t>Examiner’s remuneration</w:t>
      </w:r>
      <w:bookmarkEnd w:id="551"/>
      <w:r>
        <w:rPr>
          <w:snapToGrid w:val="0"/>
        </w:rPr>
        <w:t xml:space="preserve"> </w:t>
      </w:r>
    </w:p>
    <w:p w:rsidR="00425758" w:rsidRDefault="00425758">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rsidR="00425758" w:rsidRDefault="00425758">
      <w:pPr>
        <w:pStyle w:val="Footnotesection"/>
      </w:pPr>
      <w:r>
        <w:tab/>
        <w:t xml:space="preserve">[Rule 4 inserted: Gazette 8 Feb 1991 p. 586; amended: Gazette 26 Aug 1994 p. 4415.] </w:t>
      </w:r>
    </w:p>
    <w:p w:rsidR="00425758" w:rsidRDefault="00425758">
      <w:pPr>
        <w:pStyle w:val="Heading5"/>
        <w:rPr>
          <w:snapToGrid w:val="0"/>
        </w:rPr>
      </w:pPr>
      <w:bookmarkStart w:id="552" w:name="_Toc75863214"/>
      <w:r>
        <w:rPr>
          <w:rStyle w:val="CharSectno"/>
        </w:rPr>
        <w:t>4A</w:t>
      </w:r>
      <w:r>
        <w:rPr>
          <w:snapToGrid w:val="0"/>
        </w:rPr>
        <w:t>.</w:t>
      </w:r>
      <w:r>
        <w:rPr>
          <w:snapToGrid w:val="0"/>
        </w:rPr>
        <w:tab/>
        <w:t>Examiner’s power to administer oaths</w:t>
      </w:r>
      <w:bookmarkEnd w:id="552"/>
      <w:r>
        <w:rPr>
          <w:snapToGrid w:val="0"/>
        </w:rPr>
        <w:t xml:space="preserve"> </w:t>
      </w:r>
    </w:p>
    <w:p w:rsidR="00425758" w:rsidRDefault="00425758">
      <w:pPr>
        <w:pStyle w:val="Subsection"/>
        <w:rPr>
          <w:snapToGrid w:val="0"/>
        </w:rPr>
      </w:pPr>
      <w:r>
        <w:rPr>
          <w:snapToGrid w:val="0"/>
        </w:rPr>
        <w:tab/>
      </w:r>
      <w:r>
        <w:rPr>
          <w:snapToGrid w:val="0"/>
        </w:rPr>
        <w:tab/>
        <w:t>A person appointed to obtain evidence may administer oaths.</w:t>
      </w:r>
    </w:p>
    <w:p w:rsidR="00425758" w:rsidRDefault="00425758">
      <w:pPr>
        <w:pStyle w:val="Footnotesection"/>
      </w:pPr>
      <w:r>
        <w:tab/>
        <w:t xml:space="preserve">[Rule 4A inserted: Gazette 8 Feb 1991 p. 586.] </w:t>
      </w:r>
    </w:p>
    <w:p w:rsidR="00425758" w:rsidRDefault="00425758">
      <w:pPr>
        <w:pStyle w:val="Heading5"/>
        <w:rPr>
          <w:snapToGrid w:val="0"/>
        </w:rPr>
      </w:pPr>
      <w:bookmarkStart w:id="553" w:name="_Toc75863215"/>
      <w:r>
        <w:rPr>
          <w:rStyle w:val="CharSectno"/>
        </w:rPr>
        <w:t>5</w:t>
      </w:r>
      <w:r>
        <w:rPr>
          <w:snapToGrid w:val="0"/>
        </w:rPr>
        <w:t>.</w:t>
      </w:r>
      <w:r>
        <w:rPr>
          <w:snapToGrid w:val="0"/>
        </w:rPr>
        <w:tab/>
        <w:t>Transmission of depositions</w:t>
      </w:r>
      <w:bookmarkEnd w:id="553"/>
    </w:p>
    <w:p w:rsidR="00425758" w:rsidRDefault="00425758">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rsidR="00425758" w:rsidRDefault="00425758">
      <w:pPr>
        <w:pStyle w:val="Subsection"/>
      </w:pPr>
      <w:r>
        <w:lastRenderedPageBreak/>
        <w:tab/>
        <w:t>(1A)</w:t>
      </w:r>
      <w:r>
        <w:tab/>
        <w:t>The deposition cannot be filed electronically by the examiner.</w:t>
      </w:r>
    </w:p>
    <w:p w:rsidR="00425758" w:rsidRDefault="00425758">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rsidR="00425758" w:rsidRDefault="00425758">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rsidR="00425758" w:rsidRDefault="00425758">
      <w:pPr>
        <w:pStyle w:val="Footnotesection"/>
      </w:pPr>
      <w:r>
        <w:tab/>
        <w:t>[Rule 5 amended: Gazette 14 Dec 1979 p. 3870; 8 Feb 1991 p. 586</w:t>
      </w:r>
      <w:r>
        <w:noBreakHyphen/>
        <w:t xml:space="preserve">7; 28 Jun 2011 p. 2552; 27 Feb 2018 p. 565.] </w:t>
      </w:r>
    </w:p>
    <w:p w:rsidR="00425758" w:rsidRDefault="00425758">
      <w:pPr>
        <w:pStyle w:val="Heading5"/>
        <w:rPr>
          <w:snapToGrid w:val="0"/>
        </w:rPr>
      </w:pPr>
      <w:bookmarkStart w:id="554" w:name="_Toc75863216"/>
      <w:r>
        <w:rPr>
          <w:rStyle w:val="CharSectno"/>
        </w:rPr>
        <w:t>6</w:t>
      </w:r>
      <w:r>
        <w:rPr>
          <w:snapToGrid w:val="0"/>
        </w:rPr>
        <w:t>.</w:t>
      </w:r>
      <w:r>
        <w:rPr>
          <w:snapToGrid w:val="0"/>
        </w:rPr>
        <w:tab/>
        <w:t>Procedure where witness claims privilege</w:t>
      </w:r>
      <w:bookmarkEnd w:id="554"/>
      <w:r>
        <w:rPr>
          <w:snapToGrid w:val="0"/>
        </w:rPr>
        <w:t xml:space="preserve"> </w:t>
      </w:r>
    </w:p>
    <w:p w:rsidR="00425758" w:rsidRDefault="00425758">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rsidR="00425758" w:rsidRDefault="00425758">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rsidR="00425758" w:rsidRDefault="00425758">
      <w:pPr>
        <w:pStyle w:val="Subsection"/>
        <w:rPr>
          <w:snapToGrid w:val="0"/>
        </w:rPr>
      </w:pPr>
      <w:r>
        <w:rPr>
          <w:snapToGrid w:val="0"/>
        </w:rPr>
        <w:tab/>
        <w:t>(3)</w:t>
      </w:r>
      <w:r>
        <w:rPr>
          <w:snapToGrid w:val="0"/>
        </w:rPr>
        <w:tab/>
        <w:t>If the evidence is taken — </w:t>
      </w:r>
    </w:p>
    <w:p w:rsidR="00425758" w:rsidRDefault="00425758">
      <w:pPr>
        <w:pStyle w:val="Indenta"/>
        <w:rPr>
          <w:snapToGrid w:val="0"/>
        </w:rPr>
      </w:pPr>
      <w:r>
        <w:rPr>
          <w:snapToGrid w:val="0"/>
        </w:rPr>
        <w:tab/>
        <w:t>(a)</w:t>
      </w:r>
      <w:r>
        <w:rPr>
          <w:snapToGrid w:val="0"/>
        </w:rPr>
        <w:tab/>
        <w:t>it must be contained in a document separate from the remainder of the deposition of the person;</w:t>
      </w:r>
    </w:p>
    <w:p w:rsidR="00425758" w:rsidRDefault="00425758">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rsidR="00425758" w:rsidRDefault="00425758">
      <w:pPr>
        <w:pStyle w:val="Indenta"/>
        <w:keepLines/>
        <w:rPr>
          <w:snapToGrid w:val="0"/>
        </w:rPr>
      </w:pPr>
      <w:r>
        <w:rPr>
          <w:snapToGrid w:val="0"/>
        </w:rPr>
        <w:lastRenderedPageBreak/>
        <w:tab/>
        <w:t>(c)</w:t>
      </w:r>
      <w:r>
        <w:rPr>
          <w:snapToGrid w:val="0"/>
        </w:rPr>
        <w:tab/>
        <w:t>the Principal Registrar shall not send the document to the requesting court but shall send the items mentioned in rule 5, the statement and a request that it determine the claim;</w:t>
      </w:r>
    </w:p>
    <w:p w:rsidR="00425758" w:rsidRDefault="00425758">
      <w:pPr>
        <w:pStyle w:val="Indenta"/>
        <w:keepNext/>
        <w:keepLines/>
        <w:rPr>
          <w:snapToGrid w:val="0"/>
        </w:rPr>
      </w:pPr>
      <w:r>
        <w:rPr>
          <w:snapToGrid w:val="0"/>
        </w:rPr>
        <w:tab/>
        <w:t>(d)</w:t>
      </w:r>
      <w:r>
        <w:rPr>
          <w:snapToGrid w:val="0"/>
        </w:rPr>
        <w:tab/>
        <w:t>the Principal Registrar shall — </w:t>
      </w:r>
    </w:p>
    <w:p w:rsidR="00425758" w:rsidRDefault="00425758">
      <w:pPr>
        <w:pStyle w:val="Indenti"/>
        <w:keepLines/>
        <w:rPr>
          <w:snapToGrid w:val="0"/>
        </w:rPr>
      </w:pPr>
      <w:r>
        <w:rPr>
          <w:snapToGrid w:val="0"/>
        </w:rPr>
        <w:tab/>
        <w:t>(i)</w:t>
      </w:r>
      <w:r>
        <w:rPr>
          <w:snapToGrid w:val="0"/>
        </w:rPr>
        <w:tab/>
        <w:t>if the requesting court dismisses the claim, send it the document; or</w:t>
      </w:r>
    </w:p>
    <w:p w:rsidR="00425758" w:rsidRDefault="00425758">
      <w:pPr>
        <w:pStyle w:val="Indenti"/>
        <w:rPr>
          <w:snapToGrid w:val="0"/>
        </w:rPr>
      </w:pPr>
      <w:r>
        <w:rPr>
          <w:snapToGrid w:val="0"/>
        </w:rPr>
        <w:tab/>
        <w:t>(ii)</w:t>
      </w:r>
      <w:r>
        <w:rPr>
          <w:snapToGrid w:val="0"/>
        </w:rPr>
        <w:tab/>
        <w:t>if the requesting court upholds the claim, send the document to the person,</w:t>
      </w:r>
    </w:p>
    <w:p w:rsidR="00425758" w:rsidRDefault="00425758">
      <w:pPr>
        <w:pStyle w:val="Indenta"/>
        <w:rPr>
          <w:snapToGrid w:val="0"/>
        </w:rPr>
      </w:pPr>
      <w:r>
        <w:rPr>
          <w:snapToGrid w:val="0"/>
        </w:rPr>
        <w:tab/>
      </w:r>
      <w:r>
        <w:rPr>
          <w:snapToGrid w:val="0"/>
        </w:rPr>
        <w:tab/>
        <w:t>and notify the person of the requesting court’s determination.</w:t>
      </w:r>
    </w:p>
    <w:p w:rsidR="00425758" w:rsidRDefault="00425758">
      <w:pPr>
        <w:pStyle w:val="Subsection"/>
      </w:pPr>
      <w:r>
        <w:tab/>
        <w:t>(4)</w:t>
      </w:r>
      <w:r>
        <w:tab/>
        <w:t>The deposition and document referred to in subrule (3)(b) cannot be filed electronically by the examiner.</w:t>
      </w:r>
    </w:p>
    <w:p w:rsidR="00425758" w:rsidRDefault="00425758">
      <w:pPr>
        <w:pStyle w:val="Footnotesection"/>
      </w:pPr>
      <w:r>
        <w:tab/>
        <w:t>[Rule 6 inserted: Gazette 8 Feb 1991 p. 587; amended: Gazette 27 Feb 2018 p. 565.]</w:t>
      </w:r>
    </w:p>
    <w:p w:rsidR="00425758" w:rsidRDefault="00425758">
      <w:pPr>
        <w:pStyle w:val="Heading2"/>
      </w:pPr>
      <w:bookmarkStart w:id="555" w:name="_Toc75512121"/>
      <w:bookmarkStart w:id="556" w:name="_Toc75863217"/>
      <w:r>
        <w:rPr>
          <w:rStyle w:val="CharPartNo"/>
        </w:rPr>
        <w:lastRenderedPageBreak/>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555"/>
      <w:bookmarkEnd w:id="556"/>
    </w:p>
    <w:p w:rsidR="00425758" w:rsidRDefault="00425758">
      <w:pPr>
        <w:pStyle w:val="Footnoteheading"/>
      </w:pPr>
      <w:r>
        <w:rPr>
          <w:snapToGrid w:val="0"/>
        </w:rPr>
        <w:tab/>
        <w:t>[Heading inserted: Gazette 3 Aug 2012 p. 3749.]</w:t>
      </w:r>
    </w:p>
    <w:p w:rsidR="00425758" w:rsidRDefault="00425758">
      <w:pPr>
        <w:pStyle w:val="Heading3"/>
        <w:spacing w:before="200"/>
      </w:pPr>
      <w:bookmarkStart w:id="557" w:name="_Toc75512122"/>
      <w:bookmarkStart w:id="558" w:name="_Toc75863218"/>
      <w:r>
        <w:rPr>
          <w:rStyle w:val="CharDivNo"/>
        </w:rPr>
        <w:t>Division 1</w:t>
      </w:r>
      <w:r>
        <w:t> — </w:t>
      </w:r>
      <w:r>
        <w:rPr>
          <w:rStyle w:val="CharDivText"/>
        </w:rPr>
        <w:t>General</w:t>
      </w:r>
      <w:bookmarkEnd w:id="557"/>
      <w:bookmarkEnd w:id="558"/>
    </w:p>
    <w:p w:rsidR="00425758" w:rsidRDefault="00425758">
      <w:pPr>
        <w:pStyle w:val="Footnoteheading"/>
      </w:pPr>
      <w:r>
        <w:rPr>
          <w:snapToGrid w:val="0"/>
        </w:rPr>
        <w:tab/>
        <w:t>[Heading inserted: Gazette 3 Aug 2012 p. 3749.]</w:t>
      </w:r>
    </w:p>
    <w:p w:rsidR="00425758" w:rsidRDefault="00425758">
      <w:pPr>
        <w:pStyle w:val="Heading5"/>
        <w:spacing w:before="180"/>
      </w:pPr>
      <w:bookmarkStart w:id="559" w:name="_Toc75863219"/>
      <w:r>
        <w:rPr>
          <w:rStyle w:val="CharSectno"/>
        </w:rPr>
        <w:t>1</w:t>
      </w:r>
      <w:r>
        <w:t>.</w:t>
      </w:r>
      <w:r>
        <w:tab/>
        <w:t>Term used: Act</w:t>
      </w:r>
      <w:bookmarkEnd w:id="559"/>
    </w:p>
    <w:p w:rsidR="00425758" w:rsidRDefault="00425758">
      <w:pPr>
        <w:pStyle w:val="Subsection"/>
        <w:spacing w:before="120"/>
      </w:pPr>
      <w:r>
        <w:tab/>
        <w:t>(1)</w:t>
      </w:r>
      <w:r>
        <w:tab/>
        <w:t xml:space="preserve">In this Order, unless the contrary intention appears — </w:t>
      </w:r>
    </w:p>
    <w:p w:rsidR="00425758" w:rsidRDefault="00425758">
      <w:pPr>
        <w:pStyle w:val="Defstart"/>
      </w:pPr>
      <w:r>
        <w:tab/>
      </w:r>
      <w:r>
        <w:rPr>
          <w:rStyle w:val="CharDefText"/>
        </w:rPr>
        <w:t>Act</w:t>
      </w:r>
      <w:r>
        <w:t xml:space="preserve"> means the </w:t>
      </w:r>
      <w:r>
        <w:rPr>
          <w:i/>
        </w:rPr>
        <w:t>Trans</w:t>
      </w:r>
      <w:r>
        <w:rPr>
          <w:i/>
        </w:rPr>
        <w:noBreakHyphen/>
        <w:t>Tasman Proceedings Act 2010</w:t>
      </w:r>
      <w:r>
        <w:t xml:space="preserve"> (Commonwealth).</w:t>
      </w:r>
    </w:p>
    <w:p w:rsidR="00425758" w:rsidRDefault="00425758">
      <w:pPr>
        <w:pStyle w:val="Subsection"/>
        <w:spacing w:before="120"/>
      </w:pPr>
      <w:r>
        <w:tab/>
        <w:t>(2)</w:t>
      </w:r>
      <w:r>
        <w:tab/>
        <w:t>Unless the contrary intention appears, an expression used in this Order and in the Act has the same meaning as in the Act.</w:t>
      </w:r>
    </w:p>
    <w:p w:rsidR="00425758" w:rsidRDefault="00425758">
      <w:pPr>
        <w:pStyle w:val="Footnotesection"/>
      </w:pPr>
      <w:r>
        <w:tab/>
        <w:t>[Rule 1 inserted: Gazette 16 Jul 1999 p. 3189; amended: Gazette 3 Aug 2012 p. 3749.]</w:t>
      </w:r>
    </w:p>
    <w:p w:rsidR="00425758" w:rsidRDefault="00425758">
      <w:pPr>
        <w:pStyle w:val="Heading5"/>
        <w:spacing w:before="180"/>
      </w:pPr>
      <w:bookmarkStart w:id="560" w:name="_Toc75863220"/>
      <w:r>
        <w:rPr>
          <w:rStyle w:val="CharSectno"/>
        </w:rPr>
        <w:t>2</w:t>
      </w:r>
      <w:r>
        <w:t>.</w:t>
      </w:r>
      <w:r>
        <w:tab/>
        <w:t>Application of this Order</w:t>
      </w:r>
      <w:bookmarkEnd w:id="560"/>
    </w:p>
    <w:p w:rsidR="00425758" w:rsidRDefault="00425758">
      <w:pPr>
        <w:pStyle w:val="Subsection"/>
      </w:pPr>
      <w:r>
        <w:tab/>
        <w:t>(1)</w:t>
      </w:r>
      <w:r>
        <w:tab/>
        <w:t>This Order applies to proceedings and NZ judgments to which the Act applies.</w:t>
      </w:r>
    </w:p>
    <w:p w:rsidR="00425758" w:rsidRDefault="00425758">
      <w:pPr>
        <w:pStyle w:val="Subsection"/>
      </w:pPr>
      <w:r>
        <w:tab/>
        <w:t>(2)</w:t>
      </w:r>
      <w:r>
        <w:tab/>
        <w:t>Subject to this Order, unless the contrary intention appears, these rules apply to proceedings and NZ judgments referred to in this Order.</w:t>
      </w:r>
    </w:p>
    <w:p w:rsidR="00425758" w:rsidRDefault="00425758">
      <w:pPr>
        <w:pStyle w:val="Footnotesection"/>
      </w:pPr>
      <w:r>
        <w:tab/>
        <w:t>[Rule 2 inserted: Gazette 16 Jul 1999 p. 3190; amended: Gazette 3 Aug 2012 p. 3749.]</w:t>
      </w:r>
    </w:p>
    <w:p w:rsidR="00425758" w:rsidRDefault="00425758">
      <w:pPr>
        <w:pStyle w:val="Heading3"/>
        <w:spacing w:before="200"/>
      </w:pPr>
      <w:bookmarkStart w:id="561" w:name="_Toc75512125"/>
      <w:bookmarkStart w:id="562" w:name="_Toc75863221"/>
      <w:r>
        <w:rPr>
          <w:rStyle w:val="CharDivNo"/>
        </w:rPr>
        <w:t>Division 2</w:t>
      </w:r>
      <w:r>
        <w:t> — </w:t>
      </w:r>
      <w:r>
        <w:rPr>
          <w:rStyle w:val="CharDivText"/>
        </w:rPr>
        <w:t>Subpoenas to be served in New Zealand</w:t>
      </w:r>
      <w:bookmarkEnd w:id="561"/>
      <w:bookmarkEnd w:id="562"/>
    </w:p>
    <w:p w:rsidR="00425758" w:rsidRDefault="00425758">
      <w:pPr>
        <w:pStyle w:val="Footnoteheading"/>
        <w:keepNext/>
      </w:pPr>
      <w:r>
        <w:rPr>
          <w:snapToGrid w:val="0"/>
        </w:rPr>
        <w:tab/>
        <w:t>[Heading inserted: Gazette 3 Aug 2012 p. 3750.]</w:t>
      </w:r>
    </w:p>
    <w:p w:rsidR="00425758" w:rsidRDefault="00425758">
      <w:pPr>
        <w:pStyle w:val="Heading5"/>
      </w:pPr>
      <w:bookmarkStart w:id="563" w:name="_Toc75863222"/>
      <w:r>
        <w:rPr>
          <w:rStyle w:val="CharSectno"/>
        </w:rPr>
        <w:t>2A</w:t>
      </w:r>
      <w:r>
        <w:t>.</w:t>
      </w:r>
      <w:r>
        <w:tab/>
        <w:t>Form of subpoenas</w:t>
      </w:r>
      <w:bookmarkEnd w:id="563"/>
    </w:p>
    <w:p w:rsidR="00425758" w:rsidRDefault="00425758">
      <w:pPr>
        <w:pStyle w:val="Subsection"/>
      </w:pPr>
      <w:r>
        <w:tab/>
      </w:r>
      <w:r>
        <w:tab/>
        <w:t xml:space="preserve">If it is to be served in New Zealand — </w:t>
      </w:r>
    </w:p>
    <w:p w:rsidR="00425758" w:rsidRDefault="00425758">
      <w:pPr>
        <w:pStyle w:val="Indenta"/>
      </w:pPr>
      <w:r>
        <w:tab/>
        <w:t>(a)</w:t>
      </w:r>
      <w:r>
        <w:tab/>
        <w:t>a subpoena to attend to give evidence must be in the form of Form 23;</w:t>
      </w:r>
    </w:p>
    <w:p w:rsidR="00425758" w:rsidRDefault="00425758">
      <w:pPr>
        <w:pStyle w:val="Indenta"/>
      </w:pPr>
      <w:r>
        <w:lastRenderedPageBreak/>
        <w:tab/>
        <w:t>(b)</w:t>
      </w:r>
      <w:r>
        <w:tab/>
        <w:t>a subpoena to produce the subpoena and a document or thing must be in the form of Form 23A;</w:t>
      </w:r>
    </w:p>
    <w:p w:rsidR="00425758" w:rsidRDefault="00425758">
      <w:pPr>
        <w:pStyle w:val="Indenta"/>
      </w:pPr>
      <w:r>
        <w:tab/>
        <w:t>(c)</w:t>
      </w:r>
      <w:r>
        <w:tab/>
        <w:t>a subpoena both to attend to give evidence and to produce the subpoena and a document or thing must be in the form of Form 23B.</w:t>
      </w:r>
    </w:p>
    <w:p w:rsidR="00425758" w:rsidRDefault="00425758">
      <w:pPr>
        <w:pStyle w:val="Footnotesection"/>
      </w:pPr>
      <w:r>
        <w:tab/>
        <w:t>[Rule 2A inserted: Gazette 24 May 2017 p. 2576.]</w:t>
      </w:r>
    </w:p>
    <w:p w:rsidR="00425758" w:rsidRDefault="00425758">
      <w:pPr>
        <w:pStyle w:val="Heading5"/>
        <w:spacing w:before="180"/>
      </w:pPr>
      <w:bookmarkStart w:id="564" w:name="_Toc75863223"/>
      <w:r>
        <w:rPr>
          <w:rStyle w:val="CharSectno"/>
        </w:rPr>
        <w:t>3</w:t>
      </w:r>
      <w:r>
        <w:t>.</w:t>
      </w:r>
      <w:r>
        <w:tab/>
        <w:t>Leave to serve subpoena (Act s. 31)</w:t>
      </w:r>
      <w:bookmarkEnd w:id="564"/>
    </w:p>
    <w:p w:rsidR="00425758" w:rsidRDefault="00425758">
      <w:pPr>
        <w:pStyle w:val="Subsection"/>
      </w:pPr>
      <w:r>
        <w:tab/>
        <w:t>(1)</w:t>
      </w:r>
      <w:r>
        <w:tab/>
        <w:t xml:space="preserve">For the purposes of section 31 of the Act, leave to serve a subpoena in New Zealand must be sought by filing — </w:t>
      </w:r>
    </w:p>
    <w:p w:rsidR="00425758" w:rsidRDefault="00425758">
      <w:pPr>
        <w:pStyle w:val="Indenta"/>
      </w:pPr>
      <w:r>
        <w:tab/>
        <w:t>(a)</w:t>
      </w:r>
      <w:r>
        <w:tab/>
        <w:t>if the subpoena was issued by the Court, a motion in that proceeding; or</w:t>
      </w:r>
    </w:p>
    <w:p w:rsidR="00425758" w:rsidRDefault="00425758">
      <w:pPr>
        <w:pStyle w:val="Indenta"/>
      </w:pPr>
      <w:r>
        <w:tab/>
        <w:t>(b)</w:t>
      </w:r>
      <w:r>
        <w:tab/>
        <w:t xml:space="preserve">if the subpoena was issued by an inferior court, an originating motion to be heard </w:t>
      </w:r>
      <w:r>
        <w:rPr>
          <w:i/>
        </w:rPr>
        <w:t>ex parte</w:t>
      </w:r>
      <w:r>
        <w:t>.</w:t>
      </w:r>
    </w:p>
    <w:p w:rsidR="00425758" w:rsidRDefault="00425758">
      <w:pPr>
        <w:pStyle w:val="Subsection"/>
      </w:pPr>
      <w:r>
        <w:tab/>
        <w:t>(2)</w:t>
      </w:r>
      <w:r>
        <w:tab/>
        <w:t xml:space="preserve">The motion must be supported by an affidavit annexing a copy of the subpoena and setting out — </w:t>
      </w:r>
    </w:p>
    <w:p w:rsidR="00425758" w:rsidRDefault="00425758">
      <w:pPr>
        <w:pStyle w:val="Indenta"/>
      </w:pPr>
      <w:r>
        <w:tab/>
        <w:t>(a)</w:t>
      </w:r>
      <w:r>
        <w:tab/>
        <w:t>the name, designation or occupation, and address of the person named and whether that person is over 18 years of age; and</w:t>
      </w:r>
    </w:p>
    <w:p w:rsidR="00425758" w:rsidRDefault="00425758">
      <w:pPr>
        <w:pStyle w:val="Indenta"/>
      </w:pPr>
      <w:r>
        <w:tab/>
        <w:t>(b)</w:t>
      </w:r>
      <w:r>
        <w:tab/>
        <w:t>the nature and significance of the evidence required from the person named, or of the document or thing required to be produced by the person; and</w:t>
      </w:r>
    </w:p>
    <w:p w:rsidR="00425758" w:rsidRDefault="00425758">
      <w:pPr>
        <w:pStyle w:val="Indenta"/>
      </w:pPr>
      <w:r>
        <w:tab/>
        <w:t>(c)</w:t>
      </w:r>
      <w:r>
        <w:tab/>
        <w:t>details of the steps taken to ascertain whether the evidence, document or thing could be obtained by other means without significantly greater expense, and with less inconvenience, to the person named; and</w:t>
      </w:r>
    </w:p>
    <w:p w:rsidR="00425758" w:rsidRDefault="00425758">
      <w:pPr>
        <w:pStyle w:val="Indenta"/>
      </w:pPr>
      <w:r>
        <w:tab/>
        <w:t>(d)</w:t>
      </w:r>
      <w:r>
        <w:tab/>
        <w:t>the date by which it is intended to serve the subpoena; and</w:t>
      </w:r>
    </w:p>
    <w:p w:rsidR="00425758" w:rsidRDefault="00425758">
      <w:pPr>
        <w:pStyle w:val="Indenta"/>
      </w:pPr>
      <w:r>
        <w:tab/>
        <w:t>(e)</w:t>
      </w:r>
      <w:r>
        <w:tab/>
        <w:t xml:space="preserve">details of — </w:t>
      </w:r>
    </w:p>
    <w:p w:rsidR="00425758" w:rsidRDefault="00425758">
      <w:pPr>
        <w:pStyle w:val="Indenti"/>
      </w:pPr>
      <w:r>
        <w:tab/>
        <w:t>(i)</w:t>
      </w:r>
      <w:r>
        <w:tab/>
        <w:t>the calculation of the sum sufficient to meet reasonable expenses in complying with the subpoena; and</w:t>
      </w:r>
    </w:p>
    <w:p w:rsidR="00425758" w:rsidRDefault="00425758">
      <w:pPr>
        <w:pStyle w:val="Indenti"/>
      </w:pPr>
      <w:r>
        <w:lastRenderedPageBreak/>
        <w:tab/>
        <w:t>(ii)</w:t>
      </w:r>
      <w:r>
        <w:tab/>
        <w:t>how those expenses are to be paid, or tendered, to the person named, in money or in vouchers;</w:t>
      </w:r>
    </w:p>
    <w:p w:rsidR="00425758" w:rsidRDefault="00425758">
      <w:pPr>
        <w:pStyle w:val="Indenta"/>
      </w:pPr>
      <w:r>
        <w:tab/>
      </w:r>
      <w:r>
        <w:tab/>
        <w:t>and</w:t>
      </w:r>
    </w:p>
    <w:p w:rsidR="00425758" w:rsidRDefault="00425758">
      <w:pPr>
        <w:pStyle w:val="Indenta"/>
      </w:pPr>
      <w:r>
        <w:tab/>
        <w:t>(f)</w:t>
      </w:r>
      <w:r>
        <w:tab/>
        <w:t>where the subpoena requires the person named to give evidence, an estimate of the time that the person will be required to attend to give evidence; and</w:t>
      </w:r>
    </w:p>
    <w:p w:rsidR="00425758" w:rsidRDefault="00425758">
      <w:pPr>
        <w:pStyle w:val="Indenta"/>
      </w:pPr>
      <w:r>
        <w:tab/>
        <w:t>(g)</w:t>
      </w:r>
      <w:r>
        <w:tab/>
        <w:t>details of any facts or matters known to the deponent which may provide cause for the subpoena to be set aside under section 36 of the Act.</w:t>
      </w:r>
    </w:p>
    <w:p w:rsidR="00425758" w:rsidRDefault="00425758">
      <w:pPr>
        <w:pStyle w:val="Ednotesubsection"/>
      </w:pPr>
      <w:r>
        <w:tab/>
        <w:t>[(3)</w:t>
      </w:r>
      <w:r>
        <w:tab/>
        <w:t>deleted]</w:t>
      </w:r>
    </w:p>
    <w:p w:rsidR="00425758" w:rsidRDefault="00425758">
      <w:pPr>
        <w:pStyle w:val="Subsection"/>
        <w:keepNext/>
      </w:pPr>
      <w:r>
        <w:tab/>
        <w:t>(4)</w:t>
      </w:r>
      <w:r>
        <w:tab/>
        <w:t>No document relating to an application under this rule is to be searched, inspected or copied without leave of a judge.</w:t>
      </w:r>
    </w:p>
    <w:p w:rsidR="00425758" w:rsidRDefault="00425758">
      <w:pPr>
        <w:pStyle w:val="Footnotesection"/>
      </w:pPr>
      <w:r>
        <w:tab/>
        <w:t>[Rule 3 inserted: Gazette 16 Jul 1999 p. 3190</w:t>
      </w:r>
      <w:r>
        <w:noBreakHyphen/>
        <w:t>1; amended: Gazette 3 Aug 2012 p. 3750.]</w:t>
      </w:r>
    </w:p>
    <w:p w:rsidR="00425758" w:rsidRDefault="00425758">
      <w:pPr>
        <w:pStyle w:val="Heading5"/>
      </w:pPr>
      <w:bookmarkStart w:id="565" w:name="_Toc75863224"/>
      <w:r>
        <w:rPr>
          <w:rStyle w:val="CharSectno"/>
        </w:rPr>
        <w:t>4</w:t>
      </w:r>
      <w:r>
        <w:t>.</w:t>
      </w:r>
      <w:r>
        <w:tab/>
        <w:t>Setting aside subpoena (Act s. 35 and 36)</w:t>
      </w:r>
      <w:bookmarkEnd w:id="565"/>
    </w:p>
    <w:p w:rsidR="00425758" w:rsidRDefault="00425758">
      <w:pPr>
        <w:pStyle w:val="Subsection"/>
      </w:pPr>
      <w:r>
        <w:tab/>
        <w:t>(1)</w:t>
      </w:r>
      <w:r>
        <w:tab/>
        <w:t>An application to the Court under section 35(1) of the Act must be made by filing an application in the form of Form No. 31A.</w:t>
      </w:r>
    </w:p>
    <w:p w:rsidR="00425758" w:rsidRDefault="00425758">
      <w:pPr>
        <w:pStyle w:val="Subsection"/>
        <w:keepNext/>
      </w:pPr>
      <w:r>
        <w:tab/>
        <w:t>(2)</w:t>
      </w:r>
      <w:r>
        <w:tab/>
        <w:t>The application must be supported by an affidavit setting out the facts and grounds on which the application is based.</w:t>
      </w:r>
    </w:p>
    <w:p w:rsidR="00425758" w:rsidRDefault="00425758">
      <w:pPr>
        <w:pStyle w:val="Subsection"/>
      </w:pPr>
      <w:r>
        <w:tab/>
        <w:t>(3)</w:t>
      </w:r>
      <w:r>
        <w:tab/>
        <w:t>The filed application must be headed with the heading on the order of the Court granting leave to serve the subpoena.</w:t>
      </w:r>
    </w:p>
    <w:p w:rsidR="00425758" w:rsidRDefault="00425758">
      <w:pPr>
        <w:pStyle w:val="Subsection"/>
      </w:pPr>
      <w:r>
        <w:tab/>
        <w:t>(4)</w:t>
      </w:r>
      <w:r>
        <w:tab/>
        <w:t>In addition to the requirements of section 35(3) of the Act, the application must contain the applicant’s telephone number.</w:t>
      </w:r>
    </w:p>
    <w:p w:rsidR="00425758" w:rsidRDefault="00425758">
      <w:pPr>
        <w:pStyle w:val="Ednotesubsection"/>
      </w:pPr>
      <w:r>
        <w:tab/>
        <w:t>[(5)</w:t>
      </w:r>
      <w:r>
        <w:tab/>
        <w:t>deleted]</w:t>
      </w:r>
    </w:p>
    <w:p w:rsidR="00425758" w:rsidRDefault="00425758">
      <w:pPr>
        <w:pStyle w:val="Subsection"/>
      </w:pPr>
      <w:r>
        <w:tab/>
        <w:t>(6)</w:t>
      </w:r>
      <w:r>
        <w:tab/>
        <w:t>For the purposes of section 35(4) of the Act, the Principal Registrar must serve the copy of the application, and any accompanying affidavit, in accordance with Order 72 rule 6.</w:t>
      </w:r>
    </w:p>
    <w:p w:rsidR="00425758" w:rsidRDefault="00425758">
      <w:pPr>
        <w:pStyle w:val="Subsection"/>
      </w:pPr>
      <w:r>
        <w:tab/>
        <w:t>(7)</w:t>
      </w:r>
      <w:r>
        <w:tab/>
        <w:t>An application made under this rule is to be determined at a date, time and place and in a manner directed by the Court.</w:t>
      </w:r>
    </w:p>
    <w:p w:rsidR="00425758" w:rsidRDefault="00425758">
      <w:pPr>
        <w:pStyle w:val="Subsection"/>
      </w:pPr>
      <w:r>
        <w:lastRenderedPageBreak/>
        <w:tab/>
        <w:t>(8)</w:t>
      </w:r>
      <w:r>
        <w:tab/>
        <w:t xml:space="preserve">A request made under section 36(5) of the Act must be made by filing a notice in the form of Form No. 31B not later than 7 days after — </w:t>
      </w:r>
    </w:p>
    <w:p w:rsidR="00425758" w:rsidRDefault="00425758">
      <w:pPr>
        <w:pStyle w:val="Indenta"/>
      </w:pPr>
      <w:r>
        <w:tab/>
        <w:t>(a)</w:t>
      </w:r>
      <w:r>
        <w:tab/>
        <w:t>if the request is made by the person named in the subpoena, the date on which the application was filed; or</w:t>
      </w:r>
    </w:p>
    <w:p w:rsidR="00425758" w:rsidRDefault="00425758">
      <w:pPr>
        <w:pStyle w:val="Indenta"/>
      </w:pPr>
      <w:r>
        <w:tab/>
        <w:t>(b)</w:t>
      </w:r>
      <w:r>
        <w:tab/>
        <w:t>otherwise, the date on which the application is served on the party who obtained leave to serve the subpoena.</w:t>
      </w:r>
    </w:p>
    <w:p w:rsidR="00425758" w:rsidRDefault="00425758">
      <w:pPr>
        <w:pStyle w:val="Subsection"/>
      </w:pPr>
      <w:r>
        <w:tab/>
        <w:t>(9)</w:t>
      </w:r>
      <w:r>
        <w:tab/>
        <w:t>A request made under section 36(6)(b) of the Act that is not made in the application must be made by filing a request in the form of Form No. 31C.</w:t>
      </w:r>
    </w:p>
    <w:p w:rsidR="00425758" w:rsidRDefault="00425758">
      <w:pPr>
        <w:pStyle w:val="Footnotesection"/>
      </w:pPr>
      <w:r>
        <w:tab/>
        <w:t>[Rule 4 inserted: Gazette 16 Jul 1999 p. 3191</w:t>
      </w:r>
      <w:r>
        <w:noBreakHyphen/>
        <w:t>2; amended: Gazette 3 Aug 2012 p. 3750</w:t>
      </w:r>
      <w:r>
        <w:noBreakHyphen/>
        <w:t>1; 27 Feb 2018 p. 566.]</w:t>
      </w:r>
    </w:p>
    <w:p w:rsidR="00425758" w:rsidRDefault="00425758">
      <w:pPr>
        <w:pStyle w:val="Heading5"/>
      </w:pPr>
      <w:bookmarkStart w:id="566" w:name="_Toc75863225"/>
      <w:r>
        <w:rPr>
          <w:rStyle w:val="CharSectno"/>
        </w:rPr>
        <w:t>5</w:t>
      </w:r>
      <w:r>
        <w:t>.</w:t>
      </w:r>
      <w:r>
        <w:tab/>
        <w:t>Failure to comply with subpoena (Act s. 38)</w:t>
      </w:r>
      <w:bookmarkEnd w:id="566"/>
    </w:p>
    <w:p w:rsidR="00425758" w:rsidRDefault="00425758">
      <w:pPr>
        <w:pStyle w:val="Subsection"/>
      </w:pPr>
      <w:r>
        <w:tab/>
        <w:t>(1A)</w:t>
      </w:r>
      <w:r>
        <w:tab/>
        <w:t xml:space="preserve">In this rule — </w:t>
      </w:r>
    </w:p>
    <w:p w:rsidR="00425758" w:rsidRDefault="00425758">
      <w:pPr>
        <w:pStyle w:val="Defstart"/>
      </w:pPr>
      <w:r>
        <w:tab/>
      </w:r>
      <w:r>
        <w:rPr>
          <w:rStyle w:val="CharDefText"/>
        </w:rPr>
        <w:t>certificate</w:t>
      </w:r>
      <w:r>
        <w:t xml:space="preserve"> means a certificate referred to in section 38 of the Act.</w:t>
      </w:r>
    </w:p>
    <w:p w:rsidR="00425758" w:rsidRDefault="00425758">
      <w:pPr>
        <w:pStyle w:val="Subsection"/>
      </w:pPr>
      <w:r>
        <w:tab/>
        <w:t>(1)</w:t>
      </w:r>
      <w:r>
        <w:tab/>
        <w:t>A certificate may be issued on the motion of the court out of which the subpoena was issued or on the application of a party.</w:t>
      </w:r>
    </w:p>
    <w:p w:rsidR="00425758" w:rsidRDefault="00425758">
      <w:pPr>
        <w:pStyle w:val="Subsection"/>
        <w:keepNext/>
      </w:pPr>
      <w:r>
        <w:tab/>
        <w:t>(2)</w:t>
      </w:r>
      <w:r>
        <w:tab/>
        <w:t>Application for the issue of a certificate may be made —</w:t>
      </w:r>
    </w:p>
    <w:p w:rsidR="00425758" w:rsidRDefault="00425758">
      <w:pPr>
        <w:pStyle w:val="Indenta"/>
      </w:pPr>
      <w:r>
        <w:tab/>
        <w:t>(a)</w:t>
      </w:r>
      <w:r>
        <w:tab/>
        <w:t>if the proceeding in which the certificate is brought is then before the court, orally, accompanied by a draft certificate in the form of Form No. 31D; or</w:t>
      </w:r>
    </w:p>
    <w:p w:rsidR="00425758" w:rsidRDefault="00425758">
      <w:pPr>
        <w:pStyle w:val="Indenta"/>
      </w:pPr>
      <w:r>
        <w:tab/>
        <w:t>(b)</w:t>
      </w:r>
      <w:r>
        <w:tab/>
        <w:t>by motion.</w:t>
      </w:r>
    </w:p>
    <w:p w:rsidR="00425758" w:rsidRDefault="00425758">
      <w:pPr>
        <w:pStyle w:val="Subsection"/>
      </w:pPr>
      <w:r>
        <w:tab/>
        <w:t>(3)</w:t>
      </w:r>
      <w:r>
        <w:tab/>
        <w:t xml:space="preserve">An application made by motion for the issue of a certificate must be supported by — </w:t>
      </w:r>
    </w:p>
    <w:p w:rsidR="00425758" w:rsidRDefault="00425758">
      <w:pPr>
        <w:pStyle w:val="Indenta"/>
      </w:pPr>
      <w:r>
        <w:tab/>
        <w:t>(a)</w:t>
      </w:r>
      <w:r>
        <w:tab/>
        <w:t xml:space="preserve">an affidavit of service of — </w:t>
      </w:r>
    </w:p>
    <w:p w:rsidR="00425758" w:rsidRDefault="00425758">
      <w:pPr>
        <w:pStyle w:val="Indenti"/>
      </w:pPr>
      <w:r>
        <w:tab/>
        <w:t>(i)</w:t>
      </w:r>
      <w:r>
        <w:tab/>
        <w:t>the subpoena; and</w:t>
      </w:r>
    </w:p>
    <w:p w:rsidR="00425758" w:rsidRDefault="00425758">
      <w:pPr>
        <w:pStyle w:val="Indenti"/>
      </w:pPr>
      <w:r>
        <w:tab/>
        <w:t>(ii)</w:t>
      </w:r>
      <w:r>
        <w:tab/>
        <w:t>the order giving leave for the subpoena to be served in New Zealand; and</w:t>
      </w:r>
    </w:p>
    <w:p w:rsidR="00425758" w:rsidRDefault="00425758">
      <w:pPr>
        <w:pStyle w:val="Indenti"/>
        <w:keepNext/>
      </w:pPr>
      <w:r>
        <w:lastRenderedPageBreak/>
        <w:tab/>
        <w:t>(iii)</w:t>
      </w:r>
      <w:r>
        <w:tab/>
        <w:t>the notice referred to in section 32(2) of the Act;</w:t>
      </w:r>
    </w:p>
    <w:p w:rsidR="00425758" w:rsidRDefault="00425758">
      <w:pPr>
        <w:pStyle w:val="Indenta"/>
      </w:pPr>
      <w:r>
        <w:tab/>
      </w:r>
      <w:r>
        <w:tab/>
        <w:t>and</w:t>
      </w:r>
    </w:p>
    <w:p w:rsidR="00425758" w:rsidRDefault="00425758">
      <w:pPr>
        <w:pStyle w:val="Indenta"/>
      </w:pPr>
      <w:r>
        <w:tab/>
        <w:t>(b)</w:t>
      </w:r>
      <w:r>
        <w:tab/>
        <w:t xml:space="preserve">an affidavit stating — </w:t>
      </w:r>
    </w:p>
    <w:p w:rsidR="00425758" w:rsidRDefault="00425758">
      <w:pPr>
        <w:pStyle w:val="Ednotepensubpara"/>
      </w:pPr>
      <w:r>
        <w:tab/>
        <w:t>[(i)</w:t>
      </w:r>
      <w:r>
        <w:tab/>
        <w:t>deleted]</w:t>
      </w:r>
    </w:p>
    <w:p w:rsidR="00425758" w:rsidRDefault="00425758">
      <w:pPr>
        <w:pStyle w:val="Indenti"/>
      </w:pPr>
      <w:r>
        <w:tab/>
        <w:t>(ii)</w:t>
      </w:r>
      <w:r>
        <w:tab/>
        <w:t>whether application was made to set aside the subpoena and, if so, particulars of the application and any orders made; and</w:t>
      </w:r>
    </w:p>
    <w:p w:rsidR="00425758" w:rsidRDefault="00425758">
      <w:pPr>
        <w:pStyle w:val="Indenti"/>
      </w:pPr>
      <w:r>
        <w:tab/>
        <w:t>(iii)</w:t>
      </w:r>
      <w:r>
        <w:tab/>
        <w:t>that the subpoena was not complied with.</w:t>
      </w:r>
    </w:p>
    <w:p w:rsidR="00425758" w:rsidRDefault="00425758">
      <w:pPr>
        <w:pStyle w:val="Subsection"/>
      </w:pPr>
      <w:r>
        <w:tab/>
        <w:t>(4)</w:t>
      </w:r>
      <w:r>
        <w:tab/>
        <w:t>It is not necessary to attach the documents referred to in subrule (3)(a) to the affidavit of service.</w:t>
      </w:r>
    </w:p>
    <w:p w:rsidR="00425758" w:rsidRDefault="00425758">
      <w:pPr>
        <w:pStyle w:val="Subsection"/>
      </w:pPr>
      <w:r>
        <w:tab/>
        <w:t>(5)</w:t>
      </w:r>
      <w:r>
        <w:tab/>
        <w:t>A certificate must be in the form of Form No. 31D.</w:t>
      </w:r>
    </w:p>
    <w:p w:rsidR="00425758" w:rsidRDefault="00425758">
      <w:pPr>
        <w:pStyle w:val="Footnotesection"/>
      </w:pPr>
      <w:r>
        <w:tab/>
        <w:t>[Rule 5 inserted: Gazette 16 Jul 1999 p. 3192; amended: Gazette 3 Aug 2012 p. 3751.]</w:t>
      </w:r>
    </w:p>
    <w:p w:rsidR="00425758" w:rsidRDefault="00425758">
      <w:pPr>
        <w:pStyle w:val="Heading3"/>
      </w:pPr>
      <w:bookmarkStart w:id="567" w:name="_Toc75512130"/>
      <w:bookmarkStart w:id="568" w:name="_Toc75863226"/>
      <w:r>
        <w:rPr>
          <w:rStyle w:val="CharDivNo"/>
        </w:rPr>
        <w:t>Division 3</w:t>
      </w:r>
      <w:r>
        <w:t> — </w:t>
      </w:r>
      <w:r>
        <w:rPr>
          <w:rStyle w:val="CharDivText"/>
        </w:rPr>
        <w:t>Remote appearances from New Zealand</w:t>
      </w:r>
      <w:bookmarkEnd w:id="567"/>
      <w:bookmarkEnd w:id="568"/>
    </w:p>
    <w:p w:rsidR="00425758" w:rsidRDefault="00425758">
      <w:pPr>
        <w:pStyle w:val="Footnoteheading"/>
        <w:keepNext/>
      </w:pPr>
      <w:r>
        <w:rPr>
          <w:snapToGrid w:val="0"/>
        </w:rPr>
        <w:tab/>
        <w:t>[Heading inserted: Gazette 3 Aug 2012 p. 3752.]</w:t>
      </w:r>
    </w:p>
    <w:p w:rsidR="00425758" w:rsidRDefault="00425758">
      <w:pPr>
        <w:pStyle w:val="Heading5"/>
      </w:pPr>
      <w:bookmarkStart w:id="569" w:name="_Toc75863227"/>
      <w:r>
        <w:rPr>
          <w:rStyle w:val="CharSectno"/>
        </w:rPr>
        <w:t>6A</w:t>
      </w:r>
      <w:r>
        <w:t>.</w:t>
      </w:r>
      <w:r>
        <w:tab/>
        <w:t>Appearances by audio link or audiovisual link (Act s. 48)</w:t>
      </w:r>
      <w:bookmarkEnd w:id="569"/>
    </w:p>
    <w:p w:rsidR="00425758" w:rsidRDefault="00425758">
      <w:pPr>
        <w:pStyle w:val="Subsection"/>
      </w:pPr>
      <w:r>
        <w:tab/>
        <w:t>(1)</w:t>
      </w:r>
      <w:r>
        <w:tab/>
        <w:t>An application for leave under section 48(1) of the Act may be made orally or by summons.</w:t>
      </w:r>
    </w:p>
    <w:p w:rsidR="00425758" w:rsidRDefault="00425758">
      <w:pPr>
        <w:pStyle w:val="Subsection"/>
      </w:pPr>
      <w:r>
        <w:tab/>
        <w:t>(2)</w:t>
      </w:r>
      <w:r>
        <w:tab/>
        <w:t xml:space="preserve">The application must be supported by an affidavit stating the following — </w:t>
      </w:r>
    </w:p>
    <w:p w:rsidR="00425758" w:rsidRDefault="00425758">
      <w:pPr>
        <w:pStyle w:val="Indenta"/>
      </w:pPr>
      <w:r>
        <w:tab/>
        <w:t>(a)</w:t>
      </w:r>
      <w:r>
        <w:tab/>
        <w:t xml:space="preserve">the reasons why the applicant or the applicant’s lawyer can more conveniently participate in the hearing from New Zealand; </w:t>
      </w:r>
    </w:p>
    <w:p w:rsidR="00425758" w:rsidRDefault="00425758">
      <w:pPr>
        <w:pStyle w:val="Indenta"/>
      </w:pPr>
      <w:r>
        <w:tab/>
        <w:t>(b)</w:t>
      </w:r>
      <w:r>
        <w:tab/>
        <w:t xml:space="preserve">which audio link or audiovisual link facilities are available for the hearing or can reasonably be made available; </w:t>
      </w:r>
    </w:p>
    <w:p w:rsidR="00425758" w:rsidRDefault="00425758">
      <w:pPr>
        <w:pStyle w:val="Indenta"/>
      </w:pPr>
      <w:r>
        <w:tab/>
        <w:t>(c)</w:t>
      </w:r>
      <w:r>
        <w:tab/>
        <w:t xml:space="preserve">that the requirements of section 51 or 52, as the case requires, of the Act can be met; </w:t>
      </w:r>
    </w:p>
    <w:p w:rsidR="00425758" w:rsidRDefault="00425758">
      <w:pPr>
        <w:pStyle w:val="Indenta"/>
      </w:pPr>
      <w:r>
        <w:lastRenderedPageBreak/>
        <w:tab/>
        <w:t>(d)</w:t>
      </w:r>
      <w:r>
        <w:tab/>
        <w:t xml:space="preserve">if leave is sought for the applicant’s lawyer to appear before the Court, and the lawyer is not entitled to appear before the Court — </w:t>
      </w:r>
    </w:p>
    <w:p w:rsidR="00425758" w:rsidRDefault="00425758">
      <w:pPr>
        <w:pStyle w:val="Indenti"/>
      </w:pPr>
      <w:r>
        <w:tab/>
        <w:t>(i)</w:t>
      </w:r>
      <w:r>
        <w:tab/>
        <w:t>that the lawyer is a qualified NZ lawyer; and</w:t>
      </w:r>
    </w:p>
    <w:p w:rsidR="00425758" w:rsidRDefault="00425758">
      <w:pPr>
        <w:pStyle w:val="Indenti"/>
      </w:pPr>
      <w:r>
        <w:tab/>
        <w:t>(ii)</w:t>
      </w:r>
      <w:r>
        <w:tab/>
        <w:t>the applicant ordinarily resides or, if the applicant is not an individual, has its principal place of business, in New Zealand.</w:t>
      </w:r>
    </w:p>
    <w:p w:rsidR="00425758" w:rsidRDefault="00425758">
      <w:pPr>
        <w:pStyle w:val="Footnotesection"/>
        <w:spacing w:before="100"/>
        <w:ind w:left="890" w:hanging="890"/>
      </w:pPr>
      <w:r>
        <w:tab/>
        <w:t>[Rule 6A inserted: Gazette 3 Aug 2012 p. 3752.]</w:t>
      </w:r>
    </w:p>
    <w:p w:rsidR="00425758" w:rsidRDefault="00425758">
      <w:pPr>
        <w:pStyle w:val="Heading5"/>
      </w:pPr>
      <w:bookmarkStart w:id="570" w:name="_Toc75863228"/>
      <w:r>
        <w:rPr>
          <w:rStyle w:val="CharSectno"/>
        </w:rPr>
        <w:t>6</w:t>
      </w:r>
      <w:r>
        <w:t>.</w:t>
      </w:r>
      <w:r>
        <w:tab/>
        <w:t>Evidence by audio link or audiovisual link (Act s. 50)</w:t>
      </w:r>
      <w:bookmarkEnd w:id="570"/>
    </w:p>
    <w:p w:rsidR="00425758" w:rsidRDefault="00425758">
      <w:pPr>
        <w:pStyle w:val="Subsection"/>
      </w:pPr>
      <w:r>
        <w:tab/>
        <w:t>(1)</w:t>
      </w:r>
      <w:r>
        <w:tab/>
        <w:t>An application for leave under section 50(1) of the Act may be made orally or by summons.</w:t>
      </w:r>
    </w:p>
    <w:p w:rsidR="00425758" w:rsidRDefault="00425758">
      <w:pPr>
        <w:pStyle w:val="Subsection"/>
        <w:keepNext/>
        <w:keepLines/>
      </w:pPr>
      <w:r>
        <w:tab/>
        <w:t>(2)</w:t>
      </w:r>
      <w:r>
        <w:tab/>
        <w:t xml:space="preserve">The application must be supported by an affidavit stating — </w:t>
      </w:r>
    </w:p>
    <w:p w:rsidR="00425758" w:rsidRDefault="00425758">
      <w:pPr>
        <w:pStyle w:val="Indenta"/>
      </w:pPr>
      <w:r>
        <w:tab/>
        <w:t>(a)</w:t>
      </w:r>
      <w:r>
        <w:tab/>
        <w:t>the reasons why such a procedure is desirable; and</w:t>
      </w:r>
    </w:p>
    <w:p w:rsidR="00425758" w:rsidRDefault="00425758">
      <w:pPr>
        <w:pStyle w:val="Indenta"/>
      </w:pPr>
      <w:r>
        <w:tab/>
        <w:t>(b)</w:t>
      </w:r>
      <w:r>
        <w:tab/>
        <w:t>the nature of the evidence to be taken; and</w:t>
      </w:r>
    </w:p>
    <w:p w:rsidR="00425758" w:rsidRDefault="00425758">
      <w:pPr>
        <w:pStyle w:val="Indenta"/>
      </w:pPr>
      <w:r>
        <w:tab/>
        <w:t>(c)</w:t>
      </w:r>
      <w:r>
        <w:tab/>
        <w:t>the number of witnesses to be examined; and</w:t>
      </w:r>
    </w:p>
    <w:p w:rsidR="00425758" w:rsidRDefault="00425758">
      <w:pPr>
        <w:pStyle w:val="Indenta"/>
      </w:pPr>
      <w:r>
        <w:tab/>
        <w:t>(d)</w:t>
      </w:r>
      <w:r>
        <w:tab/>
        <w:t>the expected duration of the evidence; and</w:t>
      </w:r>
    </w:p>
    <w:p w:rsidR="00425758" w:rsidRDefault="00425758">
      <w:pPr>
        <w:pStyle w:val="Indenta"/>
      </w:pPr>
      <w:r>
        <w:tab/>
        <w:t>(e)</w:t>
      </w:r>
      <w:r>
        <w:tab/>
        <w:t>whether issues of character are likely to be raised; and</w:t>
      </w:r>
    </w:p>
    <w:p w:rsidR="00425758" w:rsidRDefault="00425758">
      <w:pPr>
        <w:pStyle w:val="Indenta"/>
      </w:pPr>
      <w:r>
        <w:tab/>
        <w:t>(f)</w:t>
      </w:r>
      <w:r>
        <w:tab/>
        <w:t>in the case of submissions, the expected duration of the submissions; and</w:t>
      </w:r>
    </w:p>
    <w:p w:rsidR="00425758" w:rsidRDefault="00425758">
      <w:pPr>
        <w:pStyle w:val="Indenta"/>
      </w:pPr>
      <w:r>
        <w:tab/>
        <w:t>(g)</w:t>
      </w:r>
      <w:r>
        <w:tab/>
        <w:t>the audio link or audiovisual link facilities available for such a procedure or that can reasonably be made available; and</w:t>
      </w:r>
    </w:p>
    <w:p w:rsidR="00425758" w:rsidRDefault="00425758">
      <w:pPr>
        <w:pStyle w:val="Indenta"/>
      </w:pPr>
      <w:r>
        <w:tab/>
        <w:t>(h)</w:t>
      </w:r>
      <w:r>
        <w:tab/>
        <w:t>that the requirements of section 51 or 52, as the case requires, of the Act can be met.</w:t>
      </w:r>
    </w:p>
    <w:p w:rsidR="00425758" w:rsidRDefault="00425758">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rsidR="00425758" w:rsidRDefault="00425758">
      <w:pPr>
        <w:pStyle w:val="Subsection"/>
      </w:pPr>
      <w:r>
        <w:tab/>
        <w:t>(4)</w:t>
      </w:r>
      <w:r>
        <w:tab/>
        <w:t xml:space="preserve">If the Court determines that it is appropriate to hear evidence or receive submissions by audio link or audiovisual link, the Court </w:t>
      </w:r>
      <w:r>
        <w:lastRenderedPageBreak/>
        <w:t>may direct the Principal Registrar to arrange and coordinate the appropriate facilities in Australia and New Zealand.</w:t>
      </w:r>
    </w:p>
    <w:p w:rsidR="00425758" w:rsidRDefault="00425758">
      <w:pPr>
        <w:pStyle w:val="Subsection"/>
      </w:pPr>
      <w:r>
        <w:tab/>
        <w:t>(5)</w:t>
      </w:r>
      <w:r>
        <w:tab/>
        <w:t xml:space="preserve">Without limiting the generality of subrule (4), the Court may direct that — </w:t>
      </w:r>
    </w:p>
    <w:p w:rsidR="00425758" w:rsidRDefault="00425758">
      <w:pPr>
        <w:pStyle w:val="Indenta"/>
      </w:pPr>
      <w:r>
        <w:tab/>
        <w:t>(a)</w:t>
      </w:r>
      <w:r>
        <w:tab/>
        <w:t>the Principal Registrar arrange for the evidence to be given, or the submissions to be made, at the High Court of New Zealand or at another place approved by the High Court of New Zealand; or</w:t>
      </w:r>
    </w:p>
    <w:p w:rsidR="00425758" w:rsidRDefault="00425758">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rsidR="00425758" w:rsidRDefault="00425758">
      <w:pPr>
        <w:pStyle w:val="Indenti"/>
      </w:pPr>
      <w:r>
        <w:tab/>
        <w:t>(i)</w:t>
      </w:r>
      <w:r>
        <w:tab/>
        <w:t>introduce witnesses to be called and legal representatives; and</w:t>
      </w:r>
    </w:p>
    <w:p w:rsidR="00425758" w:rsidRDefault="00425758">
      <w:pPr>
        <w:pStyle w:val="Indenti"/>
      </w:pPr>
      <w:r>
        <w:tab/>
        <w:t>(ii)</w:t>
      </w:r>
      <w:r>
        <w:tab/>
        <w:t>assist with the administration of oaths, if necessary; and</w:t>
      </w:r>
    </w:p>
    <w:p w:rsidR="00425758" w:rsidRDefault="00425758">
      <w:pPr>
        <w:pStyle w:val="Indenti"/>
      </w:pPr>
      <w:r>
        <w:tab/>
        <w:t>(iii)</w:t>
      </w:r>
      <w:r>
        <w:tab/>
        <w:t>assist with the implementation of any directions or requests given or made by the judge or other person presiding in the proceeding.</w:t>
      </w:r>
    </w:p>
    <w:p w:rsidR="00425758" w:rsidRDefault="00425758">
      <w:pPr>
        <w:pStyle w:val="Footnotesection"/>
      </w:pPr>
      <w:r>
        <w:tab/>
        <w:t>[Rule 6 inserted: Gazette 16 Jul 1999 p. 3192</w:t>
      </w:r>
      <w:r>
        <w:noBreakHyphen/>
        <w:t>3; amended: Gazette 3 Aug 2012 p. 3752</w:t>
      </w:r>
      <w:r>
        <w:noBreakHyphen/>
        <w:t>3.]</w:t>
      </w:r>
    </w:p>
    <w:p w:rsidR="00425758" w:rsidRDefault="00425758">
      <w:pPr>
        <w:pStyle w:val="Heading3"/>
      </w:pPr>
      <w:bookmarkStart w:id="571" w:name="_Toc75512133"/>
      <w:bookmarkStart w:id="572" w:name="_Toc75863229"/>
      <w:r>
        <w:rPr>
          <w:rStyle w:val="CharDivNo"/>
        </w:rPr>
        <w:t>Division 4</w:t>
      </w:r>
      <w:r>
        <w:t> — </w:t>
      </w:r>
      <w:r>
        <w:rPr>
          <w:rStyle w:val="CharDivText"/>
        </w:rPr>
        <w:t>Registration and enforcement of NZ judgments</w:t>
      </w:r>
      <w:bookmarkEnd w:id="571"/>
      <w:bookmarkEnd w:id="572"/>
    </w:p>
    <w:p w:rsidR="00425758" w:rsidRDefault="00425758">
      <w:pPr>
        <w:pStyle w:val="Footnoteheading"/>
        <w:keepNext/>
      </w:pPr>
      <w:r>
        <w:rPr>
          <w:snapToGrid w:val="0"/>
        </w:rPr>
        <w:tab/>
        <w:t>[Heading inserted: Gazette 3 Aug 2012 p. 3753.]</w:t>
      </w:r>
    </w:p>
    <w:p w:rsidR="00425758" w:rsidRDefault="00425758">
      <w:pPr>
        <w:pStyle w:val="Heading5"/>
      </w:pPr>
      <w:bookmarkStart w:id="573" w:name="_Toc75863230"/>
      <w:r>
        <w:rPr>
          <w:rStyle w:val="CharSectno"/>
        </w:rPr>
        <w:t>7</w:t>
      </w:r>
      <w:r>
        <w:t>.</w:t>
      </w:r>
      <w:r>
        <w:tab/>
        <w:t>Setting aside registration of NZ judgment (Act s. 72)</w:t>
      </w:r>
      <w:bookmarkEnd w:id="573"/>
    </w:p>
    <w:p w:rsidR="00425758" w:rsidRDefault="00425758">
      <w:pPr>
        <w:pStyle w:val="Subsection"/>
      </w:pPr>
      <w:r>
        <w:tab/>
        <w:t>(1)</w:t>
      </w:r>
      <w:r>
        <w:tab/>
        <w:t>An application under section 72(2) of the Act must be made by filing a notice of originating motion in the form of Form No. 64.</w:t>
      </w:r>
    </w:p>
    <w:p w:rsidR="00425758" w:rsidRDefault="00425758">
      <w:pPr>
        <w:pStyle w:val="Subsection"/>
      </w:pPr>
      <w:r>
        <w:tab/>
        <w:t>(2)</w:t>
      </w:r>
      <w:r>
        <w:tab/>
        <w:t>The application must be supported by an affidavit setting out the facts and grounds on which the application is made.</w:t>
      </w:r>
    </w:p>
    <w:p w:rsidR="00425758" w:rsidRDefault="00425758">
      <w:pPr>
        <w:pStyle w:val="Subsection"/>
      </w:pPr>
      <w:r>
        <w:tab/>
        <w:t>(3)</w:t>
      </w:r>
      <w:r>
        <w:tab/>
        <w:t xml:space="preserve">The notice of originating motion and the accompanying affidavit must be served on the entitled person not less than </w:t>
      </w:r>
      <w:r>
        <w:lastRenderedPageBreak/>
        <w:t>7 clear days before the day named in the notice for hearing the motion.</w:t>
      </w:r>
    </w:p>
    <w:p w:rsidR="00425758" w:rsidRDefault="00425758">
      <w:pPr>
        <w:pStyle w:val="Footnotesection"/>
        <w:spacing w:before="100"/>
        <w:ind w:left="890" w:hanging="890"/>
      </w:pPr>
      <w:r>
        <w:tab/>
        <w:t>[Rule 7 inserted: Gazette 3 Aug 2012 p. 3753.]</w:t>
      </w:r>
    </w:p>
    <w:p w:rsidR="00425758" w:rsidRDefault="00425758">
      <w:pPr>
        <w:pStyle w:val="Heading5"/>
      </w:pPr>
      <w:bookmarkStart w:id="574" w:name="_Toc75863231"/>
      <w:r>
        <w:rPr>
          <w:rStyle w:val="CharSectno"/>
        </w:rPr>
        <w:t>8</w:t>
      </w:r>
      <w:r>
        <w:t>.</w:t>
      </w:r>
      <w:r>
        <w:tab/>
        <w:t>Stay of enforcement of registered NZ judgment (Act s. 76)</w:t>
      </w:r>
      <w:bookmarkEnd w:id="574"/>
    </w:p>
    <w:p w:rsidR="00425758" w:rsidRDefault="00425758">
      <w:pPr>
        <w:pStyle w:val="Subsection"/>
      </w:pPr>
      <w:r>
        <w:tab/>
        <w:t>(1)</w:t>
      </w:r>
      <w:r>
        <w:tab/>
        <w:t>An application under section 76(3) of the Act must be made by filing a notice of originating motion in the form of Form No. 64.</w:t>
      </w:r>
    </w:p>
    <w:p w:rsidR="00425758" w:rsidRDefault="00425758">
      <w:pPr>
        <w:pStyle w:val="Subsection"/>
      </w:pPr>
      <w:r>
        <w:tab/>
        <w:t>(2)</w:t>
      </w:r>
      <w:r>
        <w:tab/>
        <w:t>The application must be supported by an affidavit setting out the facts and grounds on which the application is made.</w:t>
      </w:r>
    </w:p>
    <w:p w:rsidR="00425758" w:rsidRDefault="00425758">
      <w:pPr>
        <w:pStyle w:val="Subsection"/>
      </w:pPr>
      <w:r>
        <w:tab/>
        <w:t>(3)</w:t>
      </w:r>
      <w:r>
        <w:tab/>
        <w:t>The notice of originating motion and the accompanying affidavit must be served on the entitled person not less than 7 clear days before the day named in the notice for hearing the motion.</w:t>
      </w:r>
    </w:p>
    <w:p w:rsidR="00425758" w:rsidRDefault="00425758">
      <w:pPr>
        <w:pStyle w:val="Footnotesection"/>
        <w:spacing w:before="100"/>
        <w:ind w:left="890" w:hanging="890"/>
      </w:pPr>
      <w:r>
        <w:tab/>
        <w:t>[Rule 8 inserted: Gazette 3 Aug 2012 p. 3753.]</w:t>
      </w:r>
    </w:p>
    <w:p w:rsidR="00425758" w:rsidRDefault="00425758">
      <w:pPr>
        <w:pStyle w:val="Heading2"/>
        <w:rPr>
          <w:b w:val="0"/>
        </w:rPr>
      </w:pPr>
      <w:bookmarkStart w:id="575" w:name="_Toc75512136"/>
      <w:bookmarkStart w:id="576" w:name="_Toc75863232"/>
      <w:r>
        <w:rPr>
          <w:rStyle w:val="CharPartNo"/>
        </w:rPr>
        <w:lastRenderedPageBreak/>
        <w:t>Order 40</w:t>
      </w:r>
      <w:r>
        <w:rPr>
          <w:rStyle w:val="CharDivNo"/>
        </w:rPr>
        <w:t> </w:t>
      </w:r>
      <w:r>
        <w:t>—</w:t>
      </w:r>
      <w:r>
        <w:rPr>
          <w:rStyle w:val="CharDivText"/>
        </w:rPr>
        <w:t> </w:t>
      </w:r>
      <w:r>
        <w:rPr>
          <w:rStyle w:val="CharPartText"/>
        </w:rPr>
        <w:t>Court experts</w:t>
      </w:r>
      <w:bookmarkEnd w:id="575"/>
      <w:bookmarkEnd w:id="576"/>
    </w:p>
    <w:p w:rsidR="00425758" w:rsidRDefault="00425758">
      <w:pPr>
        <w:pStyle w:val="Heading5"/>
        <w:rPr>
          <w:snapToGrid w:val="0"/>
        </w:rPr>
      </w:pPr>
      <w:bookmarkStart w:id="577" w:name="_Toc75863233"/>
      <w:r>
        <w:rPr>
          <w:rStyle w:val="CharSectno"/>
        </w:rPr>
        <w:t>1</w:t>
      </w:r>
      <w:r>
        <w:rPr>
          <w:snapToGrid w:val="0"/>
        </w:rPr>
        <w:t>.</w:t>
      </w:r>
      <w:r>
        <w:rPr>
          <w:snapToGrid w:val="0"/>
        </w:rPr>
        <w:tab/>
        <w:t>Terms used</w:t>
      </w:r>
      <w:bookmarkEnd w:id="577"/>
    </w:p>
    <w:p w:rsidR="00425758" w:rsidRDefault="00425758">
      <w:pPr>
        <w:pStyle w:val="Subsection"/>
        <w:rPr>
          <w:snapToGrid w:val="0"/>
        </w:rPr>
      </w:pPr>
      <w:r>
        <w:rPr>
          <w:snapToGrid w:val="0"/>
        </w:rPr>
        <w:tab/>
      </w:r>
      <w:r>
        <w:rPr>
          <w:snapToGrid w:val="0"/>
        </w:rPr>
        <w:tab/>
        <w:t>In this Order unless the contrary intention appears — </w:t>
      </w:r>
    </w:p>
    <w:p w:rsidR="00425758" w:rsidRDefault="00425758">
      <w:pPr>
        <w:pStyle w:val="Defstart"/>
      </w:pPr>
      <w:r>
        <w:rPr>
          <w:b/>
        </w:rPr>
        <w:tab/>
      </w:r>
      <w:r>
        <w:rPr>
          <w:rStyle w:val="CharDefText"/>
        </w:rPr>
        <w:t>Court expert</w:t>
      </w:r>
      <w:r>
        <w:t xml:space="preserve"> means an independent expert appointed under rule 2 to inquire into and report upon a question of fact or opinion;</w:t>
      </w:r>
    </w:p>
    <w:p w:rsidR="00425758" w:rsidRDefault="00425758">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rsidR="00425758" w:rsidRDefault="00425758">
      <w:pPr>
        <w:pStyle w:val="Heading5"/>
        <w:rPr>
          <w:snapToGrid w:val="0"/>
        </w:rPr>
      </w:pPr>
      <w:bookmarkStart w:id="578" w:name="_Toc75863234"/>
      <w:r>
        <w:rPr>
          <w:rStyle w:val="CharSectno"/>
        </w:rPr>
        <w:t>2</w:t>
      </w:r>
      <w:r>
        <w:rPr>
          <w:snapToGrid w:val="0"/>
        </w:rPr>
        <w:t>.</w:t>
      </w:r>
      <w:r>
        <w:rPr>
          <w:snapToGrid w:val="0"/>
        </w:rPr>
        <w:tab/>
        <w:t>Court expert, appointment of etc.</w:t>
      </w:r>
      <w:bookmarkEnd w:id="578"/>
    </w:p>
    <w:p w:rsidR="00425758" w:rsidRDefault="00425758">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rsidR="00425758" w:rsidRDefault="00425758">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rsidR="00425758" w:rsidRDefault="00425758">
      <w:pPr>
        <w:pStyle w:val="Indenta"/>
        <w:rPr>
          <w:snapToGrid w:val="0"/>
        </w:rPr>
      </w:pPr>
      <w:r>
        <w:rPr>
          <w:snapToGrid w:val="0"/>
        </w:rPr>
        <w:tab/>
        <w:t>(b)</w:t>
      </w:r>
      <w:r>
        <w:rPr>
          <w:snapToGrid w:val="0"/>
        </w:rPr>
        <w:tab/>
        <w:t>direct a Court expert to make a further or supplemental report or inquiry and report; and</w:t>
      </w:r>
    </w:p>
    <w:p w:rsidR="00425758" w:rsidRDefault="00425758">
      <w:pPr>
        <w:pStyle w:val="Indenta"/>
        <w:rPr>
          <w:snapToGrid w:val="0"/>
        </w:rPr>
      </w:pPr>
      <w:r>
        <w:rPr>
          <w:snapToGrid w:val="0"/>
        </w:rPr>
        <w:tab/>
        <w:t>(c)</w:t>
      </w:r>
      <w:r>
        <w:rPr>
          <w:snapToGrid w:val="0"/>
        </w:rPr>
        <w:tab/>
        <w:t>give such instructions in relation to the inquiry and report of a Court expert as the Court thinks fit.</w:t>
      </w:r>
    </w:p>
    <w:p w:rsidR="00425758" w:rsidRDefault="00425758">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rsidR="00425758" w:rsidRDefault="00425758">
      <w:pPr>
        <w:pStyle w:val="Footnotesection"/>
      </w:pPr>
      <w:r>
        <w:tab/>
        <w:t>[Rule 2 amended: Gazette 28 Jun 2011 p. 2552.]</w:t>
      </w:r>
    </w:p>
    <w:p w:rsidR="00425758" w:rsidRDefault="00425758">
      <w:pPr>
        <w:pStyle w:val="Heading5"/>
        <w:rPr>
          <w:snapToGrid w:val="0"/>
        </w:rPr>
      </w:pPr>
      <w:bookmarkStart w:id="579" w:name="_Toc75863235"/>
      <w:r>
        <w:rPr>
          <w:rStyle w:val="CharSectno"/>
        </w:rPr>
        <w:lastRenderedPageBreak/>
        <w:t>3</w:t>
      </w:r>
      <w:r>
        <w:rPr>
          <w:snapToGrid w:val="0"/>
        </w:rPr>
        <w:t>.</w:t>
      </w:r>
      <w:r>
        <w:rPr>
          <w:snapToGrid w:val="0"/>
        </w:rPr>
        <w:tab/>
        <w:t>Report of Court expert</w:t>
      </w:r>
      <w:bookmarkEnd w:id="579"/>
    </w:p>
    <w:p w:rsidR="00425758" w:rsidRDefault="00425758">
      <w:pPr>
        <w:pStyle w:val="Subsection"/>
        <w:rPr>
          <w:snapToGrid w:val="0"/>
        </w:rPr>
      </w:pPr>
      <w:r>
        <w:rPr>
          <w:snapToGrid w:val="0"/>
        </w:rPr>
        <w:tab/>
        <w:t>(1)</w:t>
      </w:r>
      <w:r>
        <w:rPr>
          <w:snapToGrid w:val="0"/>
        </w:rPr>
        <w:tab/>
        <w:t xml:space="preserve">The Court expert must </w:t>
      </w:r>
      <w:r>
        <w:t>file the expert’s report</w:t>
      </w:r>
      <w:r>
        <w:rPr>
          <w:snapToGrid w:val="0"/>
        </w:rPr>
        <w:t xml:space="preserve"> with such copies thereof as the Court requires and the proper officer must send a copy of the report to each party or his solicitor.</w:t>
      </w:r>
    </w:p>
    <w:p w:rsidR="00425758" w:rsidRDefault="00425758">
      <w:pPr>
        <w:pStyle w:val="Subsection"/>
      </w:pPr>
      <w:r>
        <w:tab/>
        <w:t>(1A)</w:t>
      </w:r>
      <w:r>
        <w:tab/>
        <w:t>Unless the Principal Registrar has given approval for it to be filed electronically, the Court expert’s report cannot be filed electronically.</w:t>
      </w:r>
    </w:p>
    <w:p w:rsidR="00425758" w:rsidRDefault="00425758">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rsidR="00425758" w:rsidRDefault="00425758">
      <w:pPr>
        <w:pStyle w:val="Footnotesection"/>
      </w:pPr>
      <w:r>
        <w:tab/>
        <w:t>[Rule 3 amended: Gazette 27 Feb 2018 p. 566.]</w:t>
      </w:r>
    </w:p>
    <w:p w:rsidR="00425758" w:rsidRDefault="00425758">
      <w:pPr>
        <w:pStyle w:val="Heading5"/>
        <w:rPr>
          <w:snapToGrid w:val="0"/>
        </w:rPr>
      </w:pPr>
      <w:bookmarkStart w:id="580" w:name="_Toc75863236"/>
      <w:r>
        <w:rPr>
          <w:rStyle w:val="CharSectno"/>
        </w:rPr>
        <w:t>4</w:t>
      </w:r>
      <w:r>
        <w:rPr>
          <w:snapToGrid w:val="0"/>
        </w:rPr>
        <w:t>.</w:t>
      </w:r>
      <w:r>
        <w:rPr>
          <w:snapToGrid w:val="0"/>
        </w:rPr>
        <w:tab/>
        <w:t>Cross</w:t>
      </w:r>
      <w:r>
        <w:rPr>
          <w:snapToGrid w:val="0"/>
        </w:rPr>
        <w:noBreakHyphen/>
        <w:t>examination of Court expert</w:t>
      </w:r>
      <w:bookmarkEnd w:id="580"/>
    </w:p>
    <w:p w:rsidR="00425758" w:rsidRDefault="00425758">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rsidR="00425758" w:rsidRDefault="00425758">
      <w:pPr>
        <w:pStyle w:val="Indenta"/>
        <w:rPr>
          <w:snapToGrid w:val="0"/>
        </w:rPr>
      </w:pPr>
      <w:r>
        <w:rPr>
          <w:snapToGrid w:val="0"/>
        </w:rPr>
        <w:tab/>
        <w:t>(a)</w:t>
      </w:r>
      <w:r>
        <w:rPr>
          <w:snapToGrid w:val="0"/>
        </w:rPr>
        <w:tab/>
        <w:t>before the Court at the trial or at some other time; or</w:t>
      </w:r>
    </w:p>
    <w:p w:rsidR="00425758" w:rsidRDefault="00425758">
      <w:pPr>
        <w:pStyle w:val="Indenta"/>
        <w:rPr>
          <w:snapToGrid w:val="0"/>
        </w:rPr>
      </w:pPr>
      <w:r>
        <w:rPr>
          <w:snapToGrid w:val="0"/>
        </w:rPr>
        <w:tab/>
        <w:t>(b)</w:t>
      </w:r>
      <w:r>
        <w:rPr>
          <w:snapToGrid w:val="0"/>
        </w:rPr>
        <w:tab/>
        <w:t>before an examiner at such time and place as the Court directs.</w:t>
      </w:r>
    </w:p>
    <w:p w:rsidR="00425758" w:rsidRDefault="00425758">
      <w:pPr>
        <w:pStyle w:val="Heading5"/>
        <w:rPr>
          <w:snapToGrid w:val="0"/>
        </w:rPr>
      </w:pPr>
      <w:bookmarkStart w:id="581" w:name="_Toc75863237"/>
      <w:r>
        <w:rPr>
          <w:rStyle w:val="CharSectno"/>
        </w:rPr>
        <w:t>5</w:t>
      </w:r>
      <w:r>
        <w:rPr>
          <w:snapToGrid w:val="0"/>
        </w:rPr>
        <w:t>.</w:t>
      </w:r>
      <w:r>
        <w:rPr>
          <w:snapToGrid w:val="0"/>
        </w:rPr>
        <w:tab/>
        <w:t>Remuneration of Court expert</w:t>
      </w:r>
      <w:bookmarkEnd w:id="581"/>
    </w:p>
    <w:p w:rsidR="00425758" w:rsidRDefault="00425758">
      <w:pPr>
        <w:pStyle w:val="Subsection"/>
        <w:rPr>
          <w:snapToGrid w:val="0"/>
        </w:rPr>
      </w:pPr>
      <w:r>
        <w:rPr>
          <w:snapToGrid w:val="0"/>
        </w:rPr>
        <w:tab/>
        <w:t>(1)</w:t>
      </w:r>
      <w:r>
        <w:rPr>
          <w:snapToGrid w:val="0"/>
        </w:rPr>
        <w:tab/>
        <w:t>The remuneration of the Court expert shall be fixed by the Court and shall include — </w:t>
      </w:r>
    </w:p>
    <w:p w:rsidR="00425758" w:rsidRDefault="00425758">
      <w:pPr>
        <w:pStyle w:val="Indenta"/>
        <w:rPr>
          <w:snapToGrid w:val="0"/>
        </w:rPr>
      </w:pPr>
      <w:r>
        <w:rPr>
          <w:snapToGrid w:val="0"/>
        </w:rPr>
        <w:tab/>
        <w:t>(a)</w:t>
      </w:r>
      <w:r>
        <w:rPr>
          <w:snapToGrid w:val="0"/>
        </w:rPr>
        <w:tab/>
        <w:t>a fee for making the report and a fee for making any supplementary report; and</w:t>
      </w:r>
    </w:p>
    <w:p w:rsidR="00425758" w:rsidRDefault="00425758">
      <w:pPr>
        <w:pStyle w:val="Indenta"/>
        <w:rPr>
          <w:snapToGrid w:val="0"/>
        </w:rPr>
      </w:pPr>
      <w:r>
        <w:rPr>
          <w:snapToGrid w:val="0"/>
        </w:rPr>
        <w:tab/>
        <w:t>(b)</w:t>
      </w:r>
      <w:r>
        <w:rPr>
          <w:snapToGrid w:val="0"/>
        </w:rPr>
        <w:tab/>
        <w:t>a proper sum for each day during which his presence is required either in Court or before an examiner.</w:t>
      </w:r>
    </w:p>
    <w:p w:rsidR="00425758" w:rsidRDefault="00425758">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rsidR="00425758" w:rsidRDefault="00425758">
      <w:pPr>
        <w:pStyle w:val="Subsection"/>
        <w:rPr>
          <w:snapToGrid w:val="0"/>
        </w:rPr>
      </w:pPr>
      <w:r>
        <w:rPr>
          <w:snapToGrid w:val="0"/>
        </w:rPr>
        <w:lastRenderedPageBreak/>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rsidR="00425758" w:rsidRDefault="00425758">
      <w:pPr>
        <w:pStyle w:val="Heading5"/>
        <w:rPr>
          <w:snapToGrid w:val="0"/>
        </w:rPr>
      </w:pPr>
      <w:bookmarkStart w:id="582" w:name="_Toc75863238"/>
      <w:r>
        <w:rPr>
          <w:rStyle w:val="CharSectno"/>
        </w:rPr>
        <w:t>6</w:t>
      </w:r>
      <w:r>
        <w:rPr>
          <w:snapToGrid w:val="0"/>
        </w:rPr>
        <w:t>.</w:t>
      </w:r>
      <w:r>
        <w:rPr>
          <w:snapToGrid w:val="0"/>
        </w:rPr>
        <w:tab/>
        <w:t>Further expert witnesses</w:t>
      </w:r>
      <w:bookmarkEnd w:id="582"/>
    </w:p>
    <w:p w:rsidR="00425758" w:rsidRDefault="00425758">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rsidR="00425758" w:rsidRDefault="00425758">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rsidR="00425758" w:rsidRDefault="00425758">
      <w:pPr>
        <w:pStyle w:val="Footnotesection"/>
      </w:pPr>
      <w:r>
        <w:tab/>
        <w:t>[Rule 6 amended: Gazette 28 Jun 2011 p. 2552.]</w:t>
      </w:r>
    </w:p>
    <w:p w:rsidR="00425758" w:rsidRDefault="00425758">
      <w:pPr>
        <w:pStyle w:val="Heading2"/>
        <w:rPr>
          <w:b w:val="0"/>
        </w:rPr>
      </w:pPr>
      <w:bookmarkStart w:id="583" w:name="_Toc75512143"/>
      <w:bookmarkStart w:id="584" w:name="_Toc75863239"/>
      <w:r>
        <w:rPr>
          <w:rStyle w:val="CharPartNo"/>
        </w:rPr>
        <w:lastRenderedPageBreak/>
        <w:t>Order 41</w:t>
      </w:r>
      <w:r>
        <w:rPr>
          <w:rStyle w:val="CharDivNo"/>
        </w:rPr>
        <w:t> </w:t>
      </w:r>
      <w:r>
        <w:t>—</w:t>
      </w:r>
      <w:r>
        <w:rPr>
          <w:rStyle w:val="CharDivText"/>
        </w:rPr>
        <w:t> </w:t>
      </w:r>
      <w:r>
        <w:rPr>
          <w:rStyle w:val="CharPartText"/>
        </w:rPr>
        <w:t>Motion for judgment</w:t>
      </w:r>
      <w:bookmarkEnd w:id="583"/>
      <w:bookmarkEnd w:id="584"/>
    </w:p>
    <w:p w:rsidR="00425758" w:rsidRDefault="00425758">
      <w:pPr>
        <w:pStyle w:val="Heading5"/>
        <w:rPr>
          <w:snapToGrid w:val="0"/>
        </w:rPr>
      </w:pPr>
      <w:bookmarkStart w:id="585" w:name="_Toc75863240"/>
      <w:r>
        <w:rPr>
          <w:rStyle w:val="CharSectno"/>
        </w:rPr>
        <w:t>1</w:t>
      </w:r>
      <w:r>
        <w:rPr>
          <w:snapToGrid w:val="0"/>
        </w:rPr>
        <w:t>.</w:t>
      </w:r>
      <w:r>
        <w:rPr>
          <w:snapToGrid w:val="0"/>
        </w:rPr>
        <w:tab/>
        <w:t>Judgment to be on motion</w:t>
      </w:r>
      <w:bookmarkEnd w:id="585"/>
    </w:p>
    <w:p w:rsidR="00425758" w:rsidRDefault="00425758">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rsidR="00425758" w:rsidRDefault="00425758">
      <w:pPr>
        <w:pStyle w:val="Heading5"/>
        <w:rPr>
          <w:snapToGrid w:val="0"/>
        </w:rPr>
      </w:pPr>
      <w:bookmarkStart w:id="586" w:name="_Toc75863241"/>
      <w:r>
        <w:rPr>
          <w:rStyle w:val="CharSectno"/>
        </w:rPr>
        <w:t>2</w:t>
      </w:r>
      <w:r>
        <w:rPr>
          <w:snapToGrid w:val="0"/>
        </w:rPr>
        <w:t>.</w:t>
      </w:r>
      <w:r>
        <w:rPr>
          <w:snapToGrid w:val="0"/>
        </w:rPr>
        <w:tab/>
        <w:t>When motion for judgment may be set down after trial etc.</w:t>
      </w:r>
      <w:bookmarkEnd w:id="586"/>
    </w:p>
    <w:p w:rsidR="00425758" w:rsidRDefault="00425758">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rsidR="00425758" w:rsidRDefault="00425758">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rsidR="00425758" w:rsidRDefault="00425758">
      <w:pPr>
        <w:pStyle w:val="Heading5"/>
        <w:rPr>
          <w:snapToGrid w:val="0"/>
        </w:rPr>
      </w:pPr>
      <w:bookmarkStart w:id="587" w:name="_Toc75863242"/>
      <w:r>
        <w:rPr>
          <w:rStyle w:val="CharSectno"/>
        </w:rPr>
        <w:t>3</w:t>
      </w:r>
      <w:r>
        <w:rPr>
          <w:snapToGrid w:val="0"/>
        </w:rPr>
        <w:t>.</w:t>
      </w:r>
      <w:r>
        <w:rPr>
          <w:snapToGrid w:val="0"/>
        </w:rPr>
        <w:tab/>
        <w:t>Motion for judgment before trial etc. of all issues</w:t>
      </w:r>
      <w:bookmarkEnd w:id="587"/>
    </w:p>
    <w:p w:rsidR="00425758" w:rsidRDefault="00425758">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rsidR="00425758" w:rsidRDefault="00425758">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rsidR="00425758" w:rsidRDefault="00425758">
      <w:pPr>
        <w:pStyle w:val="Heading5"/>
        <w:rPr>
          <w:snapToGrid w:val="0"/>
        </w:rPr>
      </w:pPr>
      <w:bookmarkStart w:id="588" w:name="_Toc75863243"/>
      <w:r>
        <w:rPr>
          <w:rStyle w:val="CharSectno"/>
        </w:rPr>
        <w:lastRenderedPageBreak/>
        <w:t>4</w:t>
      </w:r>
      <w:r>
        <w:rPr>
          <w:snapToGrid w:val="0"/>
        </w:rPr>
        <w:t>.</w:t>
      </w:r>
      <w:r>
        <w:rPr>
          <w:snapToGrid w:val="0"/>
        </w:rPr>
        <w:tab/>
        <w:t>Motion for judgment to be set down within one year</w:t>
      </w:r>
      <w:bookmarkEnd w:id="588"/>
    </w:p>
    <w:p w:rsidR="00425758" w:rsidRDefault="00425758">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rsidR="00425758" w:rsidRDefault="00425758">
      <w:pPr>
        <w:pStyle w:val="Heading5"/>
        <w:rPr>
          <w:snapToGrid w:val="0"/>
        </w:rPr>
      </w:pPr>
      <w:bookmarkStart w:id="589" w:name="_Toc75863244"/>
      <w:r>
        <w:rPr>
          <w:rStyle w:val="CharSectno"/>
        </w:rPr>
        <w:t>5</w:t>
      </w:r>
      <w:r>
        <w:rPr>
          <w:snapToGrid w:val="0"/>
        </w:rPr>
        <w:t>.</w:t>
      </w:r>
      <w:r>
        <w:rPr>
          <w:snapToGrid w:val="0"/>
        </w:rPr>
        <w:tab/>
        <w:t>Court may draw inferences and determine questions</w:t>
      </w:r>
      <w:bookmarkEnd w:id="589"/>
    </w:p>
    <w:p w:rsidR="00425758" w:rsidRDefault="00425758">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rsidR="00425758" w:rsidRDefault="00425758">
      <w:pPr>
        <w:pStyle w:val="Heading2"/>
        <w:rPr>
          <w:b w:val="0"/>
        </w:rPr>
      </w:pPr>
      <w:bookmarkStart w:id="590" w:name="_Toc75512149"/>
      <w:bookmarkStart w:id="591" w:name="_Toc75863245"/>
      <w:r>
        <w:rPr>
          <w:rStyle w:val="CharPartNo"/>
        </w:rPr>
        <w:lastRenderedPageBreak/>
        <w:t>Order 42</w:t>
      </w:r>
      <w:r>
        <w:rPr>
          <w:rStyle w:val="CharDivNo"/>
        </w:rPr>
        <w:t> </w:t>
      </w:r>
      <w:r>
        <w:t>—</w:t>
      </w:r>
      <w:r>
        <w:rPr>
          <w:rStyle w:val="CharDivText"/>
        </w:rPr>
        <w:t> </w:t>
      </w:r>
      <w:r>
        <w:rPr>
          <w:rStyle w:val="CharPartText"/>
        </w:rPr>
        <w:t>Entry of judgment</w:t>
      </w:r>
      <w:bookmarkEnd w:id="590"/>
      <w:bookmarkEnd w:id="591"/>
    </w:p>
    <w:p w:rsidR="00425758" w:rsidRDefault="00425758">
      <w:pPr>
        <w:pStyle w:val="Heading5"/>
        <w:rPr>
          <w:snapToGrid w:val="0"/>
        </w:rPr>
      </w:pPr>
      <w:bookmarkStart w:id="592" w:name="_Toc75863246"/>
      <w:r>
        <w:rPr>
          <w:rStyle w:val="CharSectno"/>
        </w:rPr>
        <w:t>1</w:t>
      </w:r>
      <w:r>
        <w:rPr>
          <w:snapToGrid w:val="0"/>
        </w:rPr>
        <w:t>.</w:t>
      </w:r>
      <w:r>
        <w:rPr>
          <w:snapToGrid w:val="0"/>
        </w:rPr>
        <w:tab/>
        <w:t>Mode and form of entry</w:t>
      </w:r>
      <w:bookmarkEnd w:id="592"/>
    </w:p>
    <w:p w:rsidR="00425758" w:rsidRDefault="00425758">
      <w:pPr>
        <w:pStyle w:val="Subsection"/>
        <w:rPr>
          <w:snapToGrid w:val="0"/>
        </w:rPr>
      </w:pPr>
      <w:r>
        <w:rPr>
          <w:snapToGrid w:val="0"/>
        </w:rPr>
        <w:tab/>
        <w:t>(1)</w:t>
      </w:r>
      <w:r>
        <w:rPr>
          <w:snapToGrid w:val="0"/>
        </w:rPr>
        <w:tab/>
        <w:t>Every judgment shall be entered by the Principal Registrar in the book to be kept for that purpose in the Central Office.</w:t>
      </w:r>
    </w:p>
    <w:p w:rsidR="00425758" w:rsidRDefault="00425758">
      <w:pPr>
        <w:pStyle w:val="Subsection"/>
      </w:pPr>
      <w:r>
        <w:tab/>
        <w:t>(1A)</w:t>
      </w:r>
      <w:r>
        <w:tab/>
        <w:t>The book must be kept in the manner directed by the Chief Justice from time to time.</w:t>
      </w:r>
    </w:p>
    <w:p w:rsidR="00425758" w:rsidRDefault="00425758">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rsidR="00425758" w:rsidRDefault="00425758">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rsidR="00425758" w:rsidRDefault="00425758">
      <w:pPr>
        <w:pStyle w:val="Footnotesection"/>
      </w:pPr>
      <w:r>
        <w:tab/>
        <w:t xml:space="preserve">[Rule 1 amended: Gazette 14 Dec 1979 p. 3870; 28 Jun 2011 p. 2554; 27 Feb 2018 p. 566.] </w:t>
      </w:r>
    </w:p>
    <w:p w:rsidR="00425758" w:rsidRDefault="00425758">
      <w:pPr>
        <w:pStyle w:val="Heading5"/>
        <w:rPr>
          <w:snapToGrid w:val="0"/>
        </w:rPr>
      </w:pPr>
      <w:bookmarkStart w:id="593" w:name="_Toc75863247"/>
      <w:r>
        <w:rPr>
          <w:rStyle w:val="CharSectno"/>
        </w:rPr>
        <w:t>2</w:t>
      </w:r>
      <w:r>
        <w:rPr>
          <w:snapToGrid w:val="0"/>
        </w:rPr>
        <w:t>.</w:t>
      </w:r>
      <w:r>
        <w:rPr>
          <w:snapToGrid w:val="0"/>
        </w:rPr>
        <w:tab/>
        <w:t>Date from which judgment or order takes effect</w:t>
      </w:r>
      <w:bookmarkEnd w:id="593"/>
    </w:p>
    <w:p w:rsidR="00425758" w:rsidRDefault="00425758">
      <w:pPr>
        <w:pStyle w:val="Subsection"/>
        <w:rPr>
          <w:snapToGrid w:val="0"/>
        </w:rPr>
      </w:pPr>
      <w:r>
        <w:rPr>
          <w:snapToGrid w:val="0"/>
        </w:rPr>
        <w:tab/>
        <w:t>(1)</w:t>
      </w:r>
      <w:r>
        <w:rPr>
          <w:snapToGrid w:val="0"/>
        </w:rPr>
        <w:tab/>
        <w:t>A judgment or order of the Court takes effect from the day of its date.</w:t>
      </w:r>
    </w:p>
    <w:p w:rsidR="00425758" w:rsidRDefault="00425758">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rsidR="00425758" w:rsidRDefault="00425758">
      <w:pPr>
        <w:pStyle w:val="Heading5"/>
        <w:rPr>
          <w:snapToGrid w:val="0"/>
        </w:rPr>
      </w:pPr>
      <w:bookmarkStart w:id="594" w:name="_Toc75863248"/>
      <w:r>
        <w:rPr>
          <w:rStyle w:val="CharSectno"/>
        </w:rPr>
        <w:t>3</w:t>
      </w:r>
      <w:r>
        <w:rPr>
          <w:snapToGrid w:val="0"/>
        </w:rPr>
        <w:t>.</w:t>
      </w:r>
      <w:r>
        <w:rPr>
          <w:snapToGrid w:val="0"/>
        </w:rPr>
        <w:tab/>
        <w:t>Orders to do an act, time for obeying to be specified</w:t>
      </w:r>
      <w:bookmarkEnd w:id="594"/>
    </w:p>
    <w:p w:rsidR="00425758" w:rsidRDefault="00425758">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rsidR="00425758" w:rsidRDefault="00425758">
      <w:pPr>
        <w:pStyle w:val="Heading5"/>
        <w:rPr>
          <w:snapToGrid w:val="0"/>
        </w:rPr>
      </w:pPr>
      <w:bookmarkStart w:id="595" w:name="_Toc75863249"/>
      <w:r>
        <w:rPr>
          <w:rStyle w:val="CharSectno"/>
        </w:rPr>
        <w:t>4</w:t>
      </w:r>
      <w:r>
        <w:rPr>
          <w:snapToGrid w:val="0"/>
        </w:rPr>
        <w:t>.</w:t>
      </w:r>
      <w:r>
        <w:rPr>
          <w:snapToGrid w:val="0"/>
        </w:rPr>
        <w:tab/>
        <w:t>Entering judgment on filing of affidavit etc.</w:t>
      </w:r>
      <w:bookmarkEnd w:id="595"/>
    </w:p>
    <w:p w:rsidR="00425758" w:rsidRDefault="00425758">
      <w:pPr>
        <w:pStyle w:val="Subsection"/>
        <w:rPr>
          <w:snapToGrid w:val="0"/>
        </w:rPr>
      </w:pPr>
      <w:r>
        <w:rPr>
          <w:snapToGrid w:val="0"/>
        </w:rPr>
        <w:tab/>
      </w:r>
      <w:r>
        <w:rPr>
          <w:snapToGrid w:val="0"/>
        </w:rPr>
        <w:tab/>
        <w:t xml:space="preserve">Where under the Act or these rules, or otherwise, it is provided that any judgment may be entered upon the filing of any </w:t>
      </w:r>
      <w:r>
        <w:rPr>
          <w:snapToGrid w:val="0"/>
        </w:rPr>
        <w:lastRenderedPageBreak/>
        <w:t>affidavit or production of any document, the proper officer shall examine the affidavit or document produced, and if the same be regular and contain all that is by law required, he shall enter judgment accordingly.</w:t>
      </w:r>
    </w:p>
    <w:p w:rsidR="00425758" w:rsidRDefault="00425758">
      <w:pPr>
        <w:pStyle w:val="Heading5"/>
        <w:rPr>
          <w:snapToGrid w:val="0"/>
        </w:rPr>
      </w:pPr>
      <w:bookmarkStart w:id="596" w:name="_Toc75863250"/>
      <w:r>
        <w:rPr>
          <w:rStyle w:val="CharSectno"/>
        </w:rPr>
        <w:t>5</w:t>
      </w:r>
      <w:r>
        <w:rPr>
          <w:snapToGrid w:val="0"/>
        </w:rPr>
        <w:t>.</w:t>
      </w:r>
      <w:r>
        <w:rPr>
          <w:snapToGrid w:val="0"/>
        </w:rPr>
        <w:tab/>
        <w:t>Entering judgment pursuant to order etc.</w:t>
      </w:r>
      <w:bookmarkEnd w:id="596"/>
    </w:p>
    <w:p w:rsidR="00425758" w:rsidRDefault="00425758">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rsidR="00425758" w:rsidRDefault="00425758">
      <w:pPr>
        <w:pStyle w:val="Heading5"/>
        <w:rPr>
          <w:snapToGrid w:val="0"/>
        </w:rPr>
      </w:pPr>
      <w:bookmarkStart w:id="597" w:name="_Toc75863251"/>
      <w:r>
        <w:rPr>
          <w:rStyle w:val="CharSectno"/>
        </w:rPr>
        <w:t>6</w:t>
      </w:r>
      <w:r>
        <w:rPr>
          <w:snapToGrid w:val="0"/>
        </w:rPr>
        <w:t>.</w:t>
      </w:r>
      <w:r>
        <w:rPr>
          <w:snapToGrid w:val="0"/>
        </w:rPr>
        <w:tab/>
        <w:t>Entering judgment on certificate of master or registrar</w:t>
      </w:r>
      <w:bookmarkEnd w:id="597"/>
      <w:r>
        <w:rPr>
          <w:snapToGrid w:val="0"/>
        </w:rPr>
        <w:t xml:space="preserve"> </w:t>
      </w:r>
    </w:p>
    <w:p w:rsidR="00425758" w:rsidRDefault="00425758">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when judgment is entered.</w:t>
      </w:r>
    </w:p>
    <w:p w:rsidR="00425758" w:rsidRDefault="00425758">
      <w:pPr>
        <w:pStyle w:val="Footnotesection"/>
      </w:pPr>
      <w:r>
        <w:tab/>
        <w:t xml:space="preserve">[Rule 6 amended: Gazette 14 Dec 1979 p. 3870; 30 Nov 1984 p. 3951; 27 Feb 2018 p. 566.] </w:t>
      </w:r>
    </w:p>
    <w:p w:rsidR="00425758" w:rsidRDefault="00425758">
      <w:pPr>
        <w:pStyle w:val="Heading5"/>
        <w:rPr>
          <w:snapToGrid w:val="0"/>
        </w:rPr>
      </w:pPr>
      <w:bookmarkStart w:id="598" w:name="_Toc75863252"/>
      <w:r>
        <w:rPr>
          <w:rStyle w:val="CharSectno"/>
        </w:rPr>
        <w:t>7</w:t>
      </w:r>
      <w:r>
        <w:rPr>
          <w:snapToGrid w:val="0"/>
        </w:rPr>
        <w:t>.</w:t>
      </w:r>
      <w:r>
        <w:rPr>
          <w:snapToGrid w:val="0"/>
        </w:rPr>
        <w:tab/>
        <w:t>Entering judgment by consent when party appears by solicitor</w:t>
      </w:r>
      <w:bookmarkEnd w:id="598"/>
    </w:p>
    <w:p w:rsidR="00425758" w:rsidRDefault="00425758">
      <w:pPr>
        <w:pStyle w:val="Subsection"/>
        <w:rPr>
          <w:snapToGrid w:val="0"/>
        </w:rPr>
      </w:pPr>
      <w:r>
        <w:rPr>
          <w:snapToGrid w:val="0"/>
        </w:rPr>
        <w:tab/>
      </w:r>
      <w:r>
        <w:rPr>
          <w:snapToGrid w:val="0"/>
        </w:rPr>
        <w:tab/>
        <w:t xml:space="preserve">In any cause or matter where the defendant has appeared by a solicitor, no order for entering judgment shall be made by consent unless the consent of the defendant is given by </w:t>
      </w:r>
      <w:r>
        <w:t>the defendant’s solicitor.</w:t>
      </w:r>
    </w:p>
    <w:p w:rsidR="00425758" w:rsidRDefault="00425758">
      <w:pPr>
        <w:pStyle w:val="Footnotesection"/>
      </w:pPr>
      <w:r>
        <w:tab/>
        <w:t xml:space="preserve">[Rule 7 amended: Gazette 27 Feb 2018 p. 567.] </w:t>
      </w:r>
    </w:p>
    <w:p w:rsidR="00425758" w:rsidRDefault="00425758">
      <w:pPr>
        <w:pStyle w:val="Heading5"/>
        <w:rPr>
          <w:snapToGrid w:val="0"/>
        </w:rPr>
      </w:pPr>
      <w:bookmarkStart w:id="599" w:name="_Toc75863253"/>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599"/>
    </w:p>
    <w:p w:rsidR="00425758" w:rsidRDefault="00425758">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rsidR="00425758" w:rsidRDefault="00425758">
      <w:pPr>
        <w:pStyle w:val="Heading5"/>
        <w:rPr>
          <w:snapToGrid w:val="0"/>
        </w:rPr>
      </w:pPr>
      <w:bookmarkStart w:id="600" w:name="_Toc75863254"/>
      <w:r>
        <w:rPr>
          <w:rStyle w:val="CharSectno"/>
        </w:rPr>
        <w:lastRenderedPageBreak/>
        <w:t>9</w:t>
      </w:r>
      <w:r>
        <w:rPr>
          <w:snapToGrid w:val="0"/>
        </w:rPr>
        <w:t>.</w:t>
      </w:r>
      <w:r>
        <w:rPr>
          <w:snapToGrid w:val="0"/>
        </w:rPr>
        <w:tab/>
        <w:t>Satisfaction of judgments</w:t>
      </w:r>
      <w:bookmarkEnd w:id="600"/>
    </w:p>
    <w:p w:rsidR="00425758" w:rsidRDefault="00425758">
      <w:pPr>
        <w:pStyle w:val="Subsection"/>
        <w:rPr>
          <w:snapToGrid w:val="0"/>
        </w:rPr>
      </w:pPr>
      <w:r>
        <w:rPr>
          <w:snapToGrid w:val="0"/>
        </w:rPr>
        <w:tab/>
        <w:t>(1)</w:t>
      </w:r>
      <w:r>
        <w:rPr>
          <w:snapToGrid w:val="0"/>
        </w:rPr>
        <w:tab/>
        <w:t xml:space="preserve">A memorandum of satisfaction of a judgment may be entered upon a consent to the entry being </w:t>
      </w:r>
      <w:r>
        <w:t>filed.</w:t>
      </w:r>
    </w:p>
    <w:p w:rsidR="00425758" w:rsidRDefault="00425758">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rsidR="00425758" w:rsidRDefault="00425758">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rsidR="00425758" w:rsidRDefault="00425758">
      <w:pPr>
        <w:pStyle w:val="Footnotesection"/>
      </w:pPr>
      <w:r>
        <w:tab/>
        <w:t xml:space="preserve">[Rule 9 amended: Gazette 30 Nov 1984 p. 3951; 27 Feb 2018 p. 567.] </w:t>
      </w:r>
    </w:p>
    <w:p w:rsidR="00425758" w:rsidRDefault="00425758">
      <w:pPr>
        <w:pStyle w:val="Heading2"/>
        <w:rPr>
          <w:b w:val="0"/>
        </w:rPr>
      </w:pPr>
      <w:bookmarkStart w:id="601" w:name="_Toc75512159"/>
      <w:bookmarkStart w:id="602" w:name="_Toc75863255"/>
      <w:r>
        <w:rPr>
          <w:rStyle w:val="CharPartNo"/>
        </w:rPr>
        <w:lastRenderedPageBreak/>
        <w:t>Order 43</w:t>
      </w:r>
      <w:r>
        <w:rPr>
          <w:rStyle w:val="CharDivNo"/>
        </w:rPr>
        <w:t> </w:t>
      </w:r>
      <w:r>
        <w:t>—</w:t>
      </w:r>
      <w:r>
        <w:rPr>
          <w:rStyle w:val="CharDivText"/>
        </w:rPr>
        <w:t> </w:t>
      </w:r>
      <w:r>
        <w:rPr>
          <w:rStyle w:val="CharPartText"/>
        </w:rPr>
        <w:t>Drawing up judgments and orders</w:t>
      </w:r>
      <w:bookmarkEnd w:id="601"/>
      <w:bookmarkEnd w:id="602"/>
    </w:p>
    <w:p w:rsidR="00425758" w:rsidRDefault="00425758">
      <w:pPr>
        <w:pStyle w:val="Heading5"/>
        <w:rPr>
          <w:snapToGrid w:val="0"/>
        </w:rPr>
      </w:pPr>
      <w:bookmarkStart w:id="603" w:name="_Toc75863256"/>
      <w:r>
        <w:rPr>
          <w:rStyle w:val="CharSectno"/>
        </w:rPr>
        <w:t>1</w:t>
      </w:r>
      <w:r>
        <w:rPr>
          <w:snapToGrid w:val="0"/>
        </w:rPr>
        <w:t>.</w:t>
      </w:r>
      <w:r>
        <w:rPr>
          <w:snapToGrid w:val="0"/>
        </w:rPr>
        <w:tab/>
        <w:t>Drawing up etc. judgments etc.</w:t>
      </w:r>
      <w:bookmarkEnd w:id="603"/>
    </w:p>
    <w:p w:rsidR="00425758" w:rsidRDefault="00425758">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rsidR="00425758" w:rsidRDefault="00425758">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rsidR="00425758" w:rsidRDefault="00425758">
      <w:pPr>
        <w:pStyle w:val="Footnotesection"/>
      </w:pPr>
      <w:r>
        <w:tab/>
        <w:t xml:space="preserve">[Rule 1 amended: Gazette 14 Dec 1979 p. 3870.] </w:t>
      </w:r>
    </w:p>
    <w:p w:rsidR="00425758" w:rsidRDefault="00425758">
      <w:pPr>
        <w:pStyle w:val="Heading5"/>
        <w:rPr>
          <w:snapToGrid w:val="0"/>
        </w:rPr>
      </w:pPr>
      <w:bookmarkStart w:id="604" w:name="_Toc75863257"/>
      <w:r>
        <w:rPr>
          <w:rStyle w:val="CharSectno"/>
        </w:rPr>
        <w:t>2</w:t>
      </w:r>
      <w:r>
        <w:rPr>
          <w:snapToGrid w:val="0"/>
        </w:rPr>
        <w:t>.</w:t>
      </w:r>
      <w:r>
        <w:rPr>
          <w:snapToGrid w:val="0"/>
        </w:rPr>
        <w:tab/>
        <w:t>When order need not be drawn up</w:t>
      </w:r>
      <w:bookmarkEnd w:id="604"/>
    </w:p>
    <w:p w:rsidR="00425758" w:rsidRDefault="00425758">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rsidR="00425758" w:rsidRDefault="00425758">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rsidR="00425758" w:rsidRDefault="00425758">
      <w:pPr>
        <w:pStyle w:val="Indenta"/>
        <w:rPr>
          <w:snapToGrid w:val="0"/>
        </w:rPr>
      </w:pPr>
      <w:r>
        <w:rPr>
          <w:snapToGrid w:val="0"/>
        </w:rPr>
        <w:tab/>
        <w:t>(b)</w:t>
      </w:r>
      <w:r>
        <w:rPr>
          <w:snapToGrid w:val="0"/>
        </w:rPr>
        <w:tab/>
        <w:t xml:space="preserve">gives leave to do any of the acts mentioned in </w:t>
      </w:r>
      <w:r>
        <w:t>subrule</w:t>
      </w:r>
      <w:r>
        <w:rPr>
          <w:snapToGrid w:val="0"/>
        </w:rPr>
        <w:t> (2),</w:t>
      </w:r>
    </w:p>
    <w:p w:rsidR="00425758" w:rsidRDefault="00425758">
      <w:pPr>
        <w:pStyle w:val="Subsection"/>
        <w:rPr>
          <w:snapToGrid w:val="0"/>
        </w:rPr>
      </w:pPr>
      <w:r>
        <w:rPr>
          <w:snapToGrid w:val="0"/>
        </w:rPr>
        <w:tab/>
      </w:r>
      <w:r>
        <w:rPr>
          <w:snapToGrid w:val="0"/>
        </w:rPr>
        <w:tab/>
        <w:t>need not be drawn up unless the Court otherwise directs.</w:t>
      </w:r>
    </w:p>
    <w:p w:rsidR="00425758" w:rsidRDefault="00425758">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rsidR="00425758" w:rsidRDefault="00425758">
      <w:pPr>
        <w:pStyle w:val="Indenta"/>
        <w:rPr>
          <w:snapToGrid w:val="0"/>
        </w:rPr>
      </w:pPr>
      <w:r>
        <w:rPr>
          <w:snapToGrid w:val="0"/>
        </w:rPr>
        <w:tab/>
        <w:t>(a)</w:t>
      </w:r>
      <w:r>
        <w:rPr>
          <w:snapToGrid w:val="0"/>
        </w:rPr>
        <w:tab/>
        <w:t xml:space="preserve">the issue of any writ, other than a writ of summons for service out of </w:t>
      </w:r>
      <w:r>
        <w:t xml:space="preserve">Australia, </w:t>
      </w:r>
      <w:r>
        <w:rPr>
          <w:snapToGrid w:val="0"/>
        </w:rPr>
        <w:t>or a writ of attachment;</w:t>
      </w:r>
    </w:p>
    <w:p w:rsidR="00425758" w:rsidRDefault="00425758">
      <w:pPr>
        <w:pStyle w:val="Indenta"/>
        <w:rPr>
          <w:snapToGrid w:val="0"/>
        </w:rPr>
      </w:pPr>
      <w:r>
        <w:rPr>
          <w:snapToGrid w:val="0"/>
        </w:rPr>
        <w:tab/>
        <w:t>(b)</w:t>
      </w:r>
      <w:r>
        <w:rPr>
          <w:snapToGrid w:val="0"/>
        </w:rPr>
        <w:tab/>
        <w:t>the amendment of a writ of summons or other originating process or pleading;</w:t>
      </w:r>
    </w:p>
    <w:p w:rsidR="00425758" w:rsidRDefault="00425758">
      <w:pPr>
        <w:pStyle w:val="Indenta"/>
        <w:rPr>
          <w:snapToGrid w:val="0"/>
        </w:rPr>
      </w:pPr>
      <w:r>
        <w:rPr>
          <w:snapToGrid w:val="0"/>
        </w:rPr>
        <w:lastRenderedPageBreak/>
        <w:tab/>
        <w:t>(c)</w:t>
      </w:r>
      <w:r>
        <w:rPr>
          <w:snapToGrid w:val="0"/>
        </w:rPr>
        <w:tab/>
        <w:t>the filing of a document or the taking of a document off the file;</w:t>
      </w:r>
    </w:p>
    <w:p w:rsidR="00425758" w:rsidRDefault="00425758">
      <w:pPr>
        <w:pStyle w:val="Indenta"/>
        <w:rPr>
          <w:snapToGrid w:val="0"/>
        </w:rPr>
      </w:pPr>
      <w:r>
        <w:rPr>
          <w:snapToGrid w:val="0"/>
        </w:rPr>
        <w:tab/>
        <w:t>(d)</w:t>
      </w:r>
      <w:r>
        <w:rPr>
          <w:snapToGrid w:val="0"/>
        </w:rPr>
        <w:tab/>
        <w:t>any act to be done by an officer of the Court other than a solicitor;</w:t>
      </w:r>
    </w:p>
    <w:p w:rsidR="00425758" w:rsidRDefault="00425758">
      <w:pPr>
        <w:pStyle w:val="Indenta"/>
        <w:rPr>
          <w:snapToGrid w:val="0"/>
        </w:rPr>
      </w:pPr>
      <w:r>
        <w:rPr>
          <w:snapToGrid w:val="0"/>
        </w:rPr>
        <w:tab/>
        <w:t>(e)</w:t>
      </w:r>
      <w:r>
        <w:rPr>
          <w:snapToGrid w:val="0"/>
        </w:rPr>
        <w:tab/>
        <w:t>the correction of a clerical mistake or error appearing in a judgment or order.</w:t>
      </w:r>
    </w:p>
    <w:p w:rsidR="00425758" w:rsidRDefault="00425758">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rsidR="00425758" w:rsidRDefault="00425758">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rsidR="00425758" w:rsidRDefault="00425758">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rsidR="00425758" w:rsidRDefault="00425758">
      <w:pPr>
        <w:pStyle w:val="Footnotesection"/>
      </w:pPr>
      <w:r>
        <w:tab/>
        <w:t xml:space="preserve">[Rule 2 amended: Gazette 30 Nov 1984 p. 3951; 28 Jun 2011 p. 2552; 12 Jun 2012 p. 2451.] </w:t>
      </w:r>
    </w:p>
    <w:p w:rsidR="00425758" w:rsidRDefault="00425758">
      <w:pPr>
        <w:pStyle w:val="Heading5"/>
        <w:rPr>
          <w:snapToGrid w:val="0"/>
        </w:rPr>
      </w:pPr>
      <w:bookmarkStart w:id="605" w:name="_Toc75863258"/>
      <w:r>
        <w:rPr>
          <w:rStyle w:val="CharSectno"/>
        </w:rPr>
        <w:t>3</w:t>
      </w:r>
      <w:r>
        <w:rPr>
          <w:snapToGrid w:val="0"/>
        </w:rPr>
        <w:t>.</w:t>
      </w:r>
      <w:r>
        <w:rPr>
          <w:snapToGrid w:val="0"/>
        </w:rPr>
        <w:tab/>
        <w:t>Authentication of judgments and orders</w:t>
      </w:r>
      <w:bookmarkEnd w:id="605"/>
    </w:p>
    <w:p w:rsidR="00425758" w:rsidRDefault="00425758">
      <w:pPr>
        <w:pStyle w:val="Subsection"/>
        <w:rPr>
          <w:snapToGrid w:val="0"/>
        </w:rPr>
      </w:pPr>
      <w:r>
        <w:rPr>
          <w:snapToGrid w:val="0"/>
        </w:rPr>
        <w:tab/>
        <w:t>(1)</w:t>
      </w:r>
      <w:r>
        <w:rPr>
          <w:snapToGrid w:val="0"/>
        </w:rPr>
        <w:tab/>
        <w:t>Every judgment or order shall be marked to show by whom it was made.</w:t>
      </w:r>
    </w:p>
    <w:p w:rsidR="00425758" w:rsidRDefault="00425758">
      <w:pPr>
        <w:pStyle w:val="Subsection"/>
        <w:rPr>
          <w:snapToGrid w:val="0"/>
        </w:rPr>
      </w:pPr>
      <w:r>
        <w:rPr>
          <w:snapToGrid w:val="0"/>
        </w:rPr>
        <w:tab/>
        <w:t>(2)</w:t>
      </w:r>
      <w:r>
        <w:rPr>
          <w:snapToGrid w:val="0"/>
        </w:rPr>
        <w:tab/>
        <w:t>An order is sufficiently authenticated if signed by the registrar and sealed with a seal of the Court.</w:t>
      </w:r>
    </w:p>
    <w:p w:rsidR="00425758" w:rsidRDefault="00425758">
      <w:pPr>
        <w:pStyle w:val="Heading5"/>
        <w:rPr>
          <w:snapToGrid w:val="0"/>
        </w:rPr>
      </w:pPr>
      <w:bookmarkStart w:id="606" w:name="_Toc75863259"/>
      <w:r>
        <w:rPr>
          <w:rStyle w:val="CharSectno"/>
        </w:rPr>
        <w:t>4</w:t>
      </w:r>
      <w:r>
        <w:rPr>
          <w:snapToGrid w:val="0"/>
        </w:rPr>
        <w:t>.</w:t>
      </w:r>
      <w:r>
        <w:rPr>
          <w:snapToGrid w:val="0"/>
        </w:rPr>
        <w:tab/>
        <w:t>Judgments and orders to be court record; issue and use of duplicates</w:t>
      </w:r>
      <w:bookmarkEnd w:id="606"/>
    </w:p>
    <w:p w:rsidR="00425758" w:rsidRDefault="00425758">
      <w:pPr>
        <w:pStyle w:val="Subsection"/>
        <w:rPr>
          <w:snapToGrid w:val="0"/>
        </w:rPr>
      </w:pPr>
      <w:r>
        <w:rPr>
          <w:snapToGrid w:val="0"/>
        </w:rPr>
        <w:tab/>
        <w:t>(1)</w:t>
      </w:r>
      <w:r>
        <w:rPr>
          <w:snapToGrid w:val="0"/>
        </w:rPr>
        <w:tab/>
        <w:t xml:space="preserve">Every judgment and order shall be kept </w:t>
      </w:r>
      <w:r>
        <w:t>by the Court as a record in the manner directed by the Chief Justice from time to time.</w:t>
      </w:r>
    </w:p>
    <w:p w:rsidR="00425758" w:rsidRDefault="00425758">
      <w:pPr>
        <w:pStyle w:val="Subsection"/>
        <w:rPr>
          <w:snapToGrid w:val="0"/>
        </w:rPr>
      </w:pPr>
      <w:r>
        <w:rPr>
          <w:snapToGrid w:val="0"/>
        </w:rPr>
        <w:tab/>
        <w:t>(2)</w:t>
      </w:r>
      <w:r>
        <w:rPr>
          <w:snapToGrid w:val="0"/>
        </w:rPr>
        <w:tab/>
        <w:t>A duplicate of an order shall, on the day it has been entered, be sealed without fee and delivered to the party extracting the order.</w:t>
      </w:r>
    </w:p>
    <w:p w:rsidR="00425758" w:rsidRDefault="00425758">
      <w:pPr>
        <w:pStyle w:val="Subsection"/>
        <w:rPr>
          <w:snapToGrid w:val="0"/>
        </w:rPr>
      </w:pPr>
      <w:r>
        <w:rPr>
          <w:snapToGrid w:val="0"/>
        </w:rPr>
        <w:lastRenderedPageBreak/>
        <w:tab/>
        <w:t>(3)</w:t>
      </w:r>
      <w:r>
        <w:rPr>
          <w:snapToGrid w:val="0"/>
        </w:rPr>
        <w:tab/>
        <w:t>When a rule or Order or the practice of the Court requires the production of an order, it is sufficient to produce the duplicate.</w:t>
      </w:r>
    </w:p>
    <w:p w:rsidR="00425758" w:rsidRDefault="00425758">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rsidR="00425758" w:rsidRDefault="00425758">
      <w:pPr>
        <w:pStyle w:val="Subsection"/>
      </w:pPr>
      <w:r>
        <w:tab/>
        <w:t>(5)</w:t>
      </w:r>
      <w:r>
        <w:tab/>
        <w:t xml:space="preserve">If an order is issued by means of the ECMS — </w:t>
      </w:r>
    </w:p>
    <w:p w:rsidR="00425758" w:rsidRDefault="00425758">
      <w:pPr>
        <w:pStyle w:val="Indenta"/>
      </w:pPr>
      <w:r>
        <w:tab/>
        <w:t>(a)</w:t>
      </w:r>
      <w:r>
        <w:tab/>
        <w:t>an authorised user may print from the ECMS 1 or more copies of the order; and</w:t>
      </w:r>
    </w:p>
    <w:p w:rsidR="00425758" w:rsidRDefault="00425758">
      <w:pPr>
        <w:pStyle w:val="Indenta"/>
      </w:pPr>
      <w:r>
        <w:tab/>
        <w:t>(b)</w:t>
      </w:r>
      <w:r>
        <w:tab/>
        <w:t>a printed copy may be treated as a duplicate of the order for the purposes of this rule.</w:t>
      </w:r>
    </w:p>
    <w:p w:rsidR="00425758" w:rsidRDefault="00425758">
      <w:pPr>
        <w:pStyle w:val="Footnotesection"/>
      </w:pPr>
      <w:r>
        <w:tab/>
        <w:t xml:space="preserve">[Rule 4 amended: Gazette 1 Aug 1980 p. 2558; 27 Feb 2018 p. 567; 31 Dec 2019 p. 4677.] </w:t>
      </w:r>
    </w:p>
    <w:p w:rsidR="00425758" w:rsidRDefault="00425758">
      <w:pPr>
        <w:pStyle w:val="Heading5"/>
        <w:rPr>
          <w:snapToGrid w:val="0"/>
        </w:rPr>
      </w:pPr>
      <w:bookmarkStart w:id="607" w:name="_Toc75863260"/>
      <w:r>
        <w:rPr>
          <w:rStyle w:val="CharSectno"/>
        </w:rPr>
        <w:t>5</w:t>
      </w:r>
      <w:r>
        <w:rPr>
          <w:snapToGrid w:val="0"/>
        </w:rPr>
        <w:t>.</w:t>
      </w:r>
      <w:r>
        <w:rPr>
          <w:snapToGrid w:val="0"/>
        </w:rPr>
        <w:tab/>
        <w:t>Amending orders</w:t>
      </w:r>
      <w:bookmarkEnd w:id="607"/>
    </w:p>
    <w:p w:rsidR="00425758" w:rsidRDefault="00425758">
      <w:pPr>
        <w:pStyle w:val="Subsection"/>
        <w:rPr>
          <w:snapToGrid w:val="0"/>
        </w:rPr>
      </w:pPr>
      <w:r>
        <w:tab/>
        <w:t>(1)</w:t>
      </w:r>
      <w:r>
        <w:tab/>
        <w:t>An</w:t>
      </w:r>
      <w:r>
        <w:rPr>
          <w:snapToGrid w:val="0"/>
        </w:rPr>
        <w:t xml:space="preserve">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rsidR="00425758" w:rsidRDefault="00425758">
      <w:pPr>
        <w:pStyle w:val="Subsection"/>
      </w:pPr>
      <w:r>
        <w:tab/>
        <w:t>(2)</w:t>
      </w:r>
      <w:r>
        <w:tab/>
        <w:t>The registrar may dispense with the requirement under subrule (1) to produce the duplicate or the duplicate last issued, subject to any conditions the registrar considers appropriate.</w:t>
      </w:r>
    </w:p>
    <w:p w:rsidR="00425758" w:rsidRDefault="00425758">
      <w:pPr>
        <w:pStyle w:val="Footnotesection"/>
      </w:pPr>
      <w:r>
        <w:tab/>
        <w:t xml:space="preserve">[Rule 5 amended: Gazette 27 Feb 2018 p. 567-8.] </w:t>
      </w:r>
    </w:p>
    <w:p w:rsidR="00425758" w:rsidRDefault="00425758">
      <w:pPr>
        <w:pStyle w:val="Heading5"/>
        <w:rPr>
          <w:snapToGrid w:val="0"/>
        </w:rPr>
      </w:pPr>
      <w:bookmarkStart w:id="608" w:name="_Toc75863261"/>
      <w:r>
        <w:rPr>
          <w:rStyle w:val="CharSectno"/>
        </w:rPr>
        <w:t>6</w:t>
      </w:r>
      <w:r>
        <w:rPr>
          <w:snapToGrid w:val="0"/>
        </w:rPr>
        <w:t>.</w:t>
      </w:r>
      <w:r>
        <w:rPr>
          <w:snapToGrid w:val="0"/>
        </w:rPr>
        <w:tab/>
        <w:t>Draft judgment or order to be filed</w:t>
      </w:r>
      <w:bookmarkEnd w:id="608"/>
    </w:p>
    <w:p w:rsidR="00425758" w:rsidRDefault="00425758">
      <w:pPr>
        <w:pStyle w:val="Subsection"/>
        <w:rPr>
          <w:snapToGrid w:val="0"/>
        </w:rPr>
      </w:pPr>
      <w:r>
        <w:rPr>
          <w:snapToGrid w:val="0"/>
        </w:rPr>
        <w:tab/>
        <w:t>(1)</w:t>
      </w:r>
      <w:r>
        <w:rPr>
          <w:snapToGrid w:val="0"/>
        </w:rPr>
        <w:tab/>
        <w:t xml:space="preserve">The party bespeaking a judgment or order shall </w:t>
      </w:r>
      <w:r>
        <w:t>file a draft of the judgment or order</w:t>
      </w:r>
      <w:r>
        <w:rPr>
          <w:snapToGrid w:val="0"/>
        </w:rPr>
        <w:t xml:space="preserve"> unless the registrar dispenses with the draft and permits </w:t>
      </w:r>
      <w:r>
        <w:t>filing</w:t>
      </w:r>
      <w:r>
        <w:rPr>
          <w:snapToGrid w:val="0"/>
        </w:rPr>
        <w:t xml:space="preserve"> of the engrossment in the first instance, and, if so required by the registrar, the party shall leave with the registrar his counsel’s brief and any other documents which the </w:t>
      </w:r>
      <w:r>
        <w:rPr>
          <w:snapToGrid w:val="0"/>
        </w:rPr>
        <w:lastRenderedPageBreak/>
        <w:t>registrar may require for the purpose of drawing up, or settling such judgment or order.</w:t>
      </w:r>
    </w:p>
    <w:p w:rsidR="00425758" w:rsidRDefault="00425758">
      <w:pPr>
        <w:pStyle w:val="Subsection"/>
        <w:rPr>
          <w:snapToGrid w:val="0"/>
        </w:rPr>
      </w:pPr>
      <w:r>
        <w:rPr>
          <w:snapToGrid w:val="0"/>
        </w:rPr>
        <w:tab/>
        <w:t>(2)</w:t>
      </w:r>
      <w:r>
        <w:rPr>
          <w:snapToGrid w:val="0"/>
        </w:rPr>
        <w:tab/>
        <w:t xml:space="preserve">If the judgment or order is not bespoken and the draft and any documents required by the registrar </w:t>
      </w:r>
      <w:r>
        <w:t>filed</w:t>
      </w:r>
      <w:r>
        <w:rPr>
          <w:snapToGrid w:val="0"/>
        </w:rPr>
        <w:t xml:space="preserve"> within 7 days after the judgment or order is finally pronounced or disposed of by the Court, the registrar may decline to settle or pass the judgment or order without the leave of the Court.</w:t>
      </w:r>
    </w:p>
    <w:p w:rsidR="00425758" w:rsidRDefault="00425758">
      <w:pPr>
        <w:pStyle w:val="Footnotesection"/>
      </w:pPr>
      <w:r>
        <w:tab/>
        <w:t xml:space="preserve">[Rule 6 amended: Gazette 14 Dec 1979 p. 3870; 27 Feb 2018 p. 568.] </w:t>
      </w:r>
    </w:p>
    <w:p w:rsidR="00425758" w:rsidRDefault="00425758">
      <w:pPr>
        <w:pStyle w:val="Heading5"/>
        <w:rPr>
          <w:snapToGrid w:val="0"/>
        </w:rPr>
      </w:pPr>
      <w:bookmarkStart w:id="609" w:name="_Toc75863262"/>
      <w:r>
        <w:rPr>
          <w:rStyle w:val="CharSectno"/>
        </w:rPr>
        <w:t>7</w:t>
      </w:r>
      <w:r>
        <w:rPr>
          <w:snapToGrid w:val="0"/>
        </w:rPr>
        <w:t>.</w:t>
      </w:r>
      <w:r>
        <w:rPr>
          <w:snapToGrid w:val="0"/>
        </w:rPr>
        <w:tab/>
        <w:t>Appointment to settle draft</w:t>
      </w:r>
      <w:bookmarkEnd w:id="609"/>
    </w:p>
    <w:p w:rsidR="00425758" w:rsidRDefault="00425758">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rsidR="00425758" w:rsidRDefault="00425758">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rsidR="00425758" w:rsidRDefault="00425758">
      <w:pPr>
        <w:pStyle w:val="Footnotesection"/>
      </w:pPr>
      <w:r>
        <w:tab/>
        <w:t xml:space="preserve">[Rule 7 amended: Gazette 14 Dec 1979 p. 3870.] </w:t>
      </w:r>
    </w:p>
    <w:p w:rsidR="00425758" w:rsidRDefault="00425758">
      <w:pPr>
        <w:pStyle w:val="Heading5"/>
        <w:rPr>
          <w:snapToGrid w:val="0"/>
        </w:rPr>
      </w:pPr>
      <w:bookmarkStart w:id="610" w:name="_Toc75863263"/>
      <w:r>
        <w:rPr>
          <w:rStyle w:val="CharSectno"/>
        </w:rPr>
        <w:t>8</w:t>
      </w:r>
      <w:r>
        <w:rPr>
          <w:snapToGrid w:val="0"/>
        </w:rPr>
        <w:t>.</w:t>
      </w:r>
      <w:r>
        <w:rPr>
          <w:snapToGrid w:val="0"/>
        </w:rPr>
        <w:tab/>
        <w:t>Attendance on settling draft</w:t>
      </w:r>
      <w:bookmarkEnd w:id="610"/>
    </w:p>
    <w:p w:rsidR="00425758" w:rsidRDefault="00425758">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rsidR="00425758" w:rsidRDefault="00425758">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rsidR="00425758" w:rsidRDefault="00425758">
      <w:pPr>
        <w:pStyle w:val="Subsection"/>
        <w:rPr>
          <w:snapToGrid w:val="0"/>
        </w:rPr>
      </w:pPr>
      <w:r>
        <w:rPr>
          <w:snapToGrid w:val="0"/>
        </w:rPr>
        <w:lastRenderedPageBreak/>
        <w:tab/>
        <w:t>(3)</w:t>
      </w:r>
      <w:r>
        <w:rPr>
          <w:snapToGrid w:val="0"/>
        </w:rPr>
        <w:tab/>
        <w:t>The registrar may adjourn any such appointment as he may think fit, and the parties shall attend such adjournment without further notice.</w:t>
      </w:r>
    </w:p>
    <w:p w:rsidR="00425758" w:rsidRDefault="00425758">
      <w:pPr>
        <w:pStyle w:val="Footnotesection"/>
      </w:pPr>
      <w:r>
        <w:tab/>
        <w:t xml:space="preserve">[Rule 8 amended: Gazette 14 Dec 1979 p. 3870; 28 Jun 2011 p. 2554.] </w:t>
      </w:r>
    </w:p>
    <w:p w:rsidR="00425758" w:rsidRDefault="00425758">
      <w:pPr>
        <w:pStyle w:val="Heading5"/>
        <w:rPr>
          <w:snapToGrid w:val="0"/>
        </w:rPr>
      </w:pPr>
      <w:bookmarkStart w:id="611" w:name="_Toc75863264"/>
      <w:r>
        <w:rPr>
          <w:rStyle w:val="CharSectno"/>
        </w:rPr>
        <w:t>9</w:t>
      </w:r>
      <w:r>
        <w:rPr>
          <w:snapToGrid w:val="0"/>
        </w:rPr>
        <w:t>.</w:t>
      </w:r>
      <w:r>
        <w:rPr>
          <w:snapToGrid w:val="0"/>
        </w:rPr>
        <w:tab/>
        <w:t>Default of attendance on settling draft</w:t>
      </w:r>
      <w:bookmarkEnd w:id="611"/>
    </w:p>
    <w:p w:rsidR="00425758" w:rsidRDefault="00425758">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rsidR="00425758" w:rsidRDefault="00425758">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rsidR="00425758" w:rsidRDefault="00425758">
      <w:pPr>
        <w:pStyle w:val="Footnotesection"/>
      </w:pPr>
      <w:r>
        <w:tab/>
        <w:t xml:space="preserve">[Rule 9 amended: Gazette 14 Dec 1979 p. 3870; 28 Jun 2011 p. 2554.] </w:t>
      </w:r>
    </w:p>
    <w:p w:rsidR="00425758" w:rsidRDefault="00425758">
      <w:pPr>
        <w:pStyle w:val="Heading5"/>
        <w:rPr>
          <w:snapToGrid w:val="0"/>
        </w:rPr>
      </w:pPr>
      <w:bookmarkStart w:id="612" w:name="_Toc75863265"/>
      <w:r>
        <w:rPr>
          <w:rStyle w:val="CharSectno"/>
        </w:rPr>
        <w:t>10</w:t>
      </w:r>
      <w:r>
        <w:rPr>
          <w:snapToGrid w:val="0"/>
        </w:rPr>
        <w:t>.</w:t>
      </w:r>
      <w:r>
        <w:rPr>
          <w:snapToGrid w:val="0"/>
        </w:rPr>
        <w:tab/>
        <w:t>Dispensing with appointment</w:t>
      </w:r>
      <w:bookmarkEnd w:id="612"/>
    </w:p>
    <w:p w:rsidR="00425758" w:rsidRDefault="00425758">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rsidR="00425758" w:rsidRDefault="00425758">
      <w:pPr>
        <w:pStyle w:val="Footnotesection"/>
      </w:pPr>
      <w:r>
        <w:tab/>
        <w:t xml:space="preserve">[Rule 10 amended: Gazette 14 Dec 1979 p. 3870; 28 Jun 2011 p. 2554.] </w:t>
      </w:r>
    </w:p>
    <w:p w:rsidR="00425758" w:rsidRDefault="00425758">
      <w:pPr>
        <w:pStyle w:val="Heading5"/>
        <w:rPr>
          <w:snapToGrid w:val="0"/>
        </w:rPr>
      </w:pPr>
      <w:bookmarkStart w:id="613" w:name="_Toc75863266"/>
      <w:r>
        <w:rPr>
          <w:rStyle w:val="CharSectno"/>
        </w:rPr>
        <w:t>11</w:t>
      </w:r>
      <w:r>
        <w:rPr>
          <w:snapToGrid w:val="0"/>
        </w:rPr>
        <w:t>.</w:t>
      </w:r>
      <w:r>
        <w:rPr>
          <w:snapToGrid w:val="0"/>
        </w:rPr>
        <w:tab/>
        <w:t>Registrar’s and Court’s powers to settle judgments etc.</w:t>
      </w:r>
      <w:bookmarkEnd w:id="613"/>
    </w:p>
    <w:p w:rsidR="00425758" w:rsidRDefault="00425758">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rsidR="00425758" w:rsidRDefault="00425758">
      <w:pPr>
        <w:pStyle w:val="Subsection"/>
        <w:rPr>
          <w:snapToGrid w:val="0"/>
        </w:rPr>
      </w:pPr>
      <w:r>
        <w:rPr>
          <w:snapToGrid w:val="0"/>
        </w:rPr>
        <w:tab/>
        <w:t>(2)</w:t>
      </w:r>
      <w:r>
        <w:rPr>
          <w:snapToGrid w:val="0"/>
        </w:rPr>
        <w:tab/>
        <w:t xml:space="preserve">In case of dispute or doubt, the registrar shall at the request of a party refer the matter to the Court giving the judgment or </w:t>
      </w:r>
      <w:r>
        <w:rPr>
          <w:snapToGrid w:val="0"/>
        </w:rPr>
        <w:lastRenderedPageBreak/>
        <w:t>making the order, and the Court may settle the whole of the terms of the judgment or order or such part thereof as may call for special direction.</w:t>
      </w:r>
    </w:p>
    <w:p w:rsidR="00425758" w:rsidRDefault="00425758">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rsidR="00425758" w:rsidRDefault="00425758">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rsidR="00425758" w:rsidRDefault="00425758">
      <w:pPr>
        <w:pStyle w:val="Footnotesection"/>
        <w:spacing w:before="80"/>
        <w:ind w:left="890" w:hanging="890"/>
      </w:pPr>
      <w:r>
        <w:tab/>
        <w:t xml:space="preserve">[Rule 11 amended: Gazette 14 Dec 1979 p. 3870.] </w:t>
      </w:r>
    </w:p>
    <w:p w:rsidR="00425758" w:rsidRDefault="00425758">
      <w:pPr>
        <w:pStyle w:val="Heading5"/>
        <w:spacing w:before="180"/>
        <w:rPr>
          <w:snapToGrid w:val="0"/>
        </w:rPr>
      </w:pPr>
      <w:bookmarkStart w:id="614" w:name="_Toc75863267"/>
      <w:r>
        <w:rPr>
          <w:rStyle w:val="CharSectno"/>
        </w:rPr>
        <w:t>12</w:t>
      </w:r>
      <w:r>
        <w:rPr>
          <w:snapToGrid w:val="0"/>
        </w:rPr>
        <w:t>.</w:t>
      </w:r>
      <w:r>
        <w:rPr>
          <w:snapToGrid w:val="0"/>
        </w:rPr>
        <w:tab/>
        <w:t>Party to engross settled judgment or order</w:t>
      </w:r>
      <w:bookmarkEnd w:id="614"/>
    </w:p>
    <w:p w:rsidR="00425758" w:rsidRDefault="00425758">
      <w:pPr>
        <w:pStyle w:val="Subsection"/>
        <w:keepNext/>
        <w:keepLines/>
        <w:rPr>
          <w:snapToGrid w:val="0"/>
        </w:rPr>
      </w:pPr>
      <w:r>
        <w:rPr>
          <w:snapToGrid w:val="0"/>
        </w:rPr>
        <w:tab/>
      </w:r>
      <w:r>
        <w:rPr>
          <w:snapToGrid w:val="0"/>
        </w:rPr>
        <w:tab/>
        <w:t>A judgment or order when settled and passed shall be engrossed by the party entering or extracting it.</w:t>
      </w:r>
    </w:p>
    <w:p w:rsidR="00425758" w:rsidRDefault="00425758">
      <w:pPr>
        <w:pStyle w:val="Heading5"/>
        <w:rPr>
          <w:snapToGrid w:val="0"/>
        </w:rPr>
      </w:pPr>
      <w:bookmarkStart w:id="615" w:name="_Toc75863268"/>
      <w:r>
        <w:rPr>
          <w:rStyle w:val="CharSectno"/>
        </w:rPr>
        <w:t>13</w:t>
      </w:r>
      <w:r>
        <w:rPr>
          <w:snapToGrid w:val="0"/>
        </w:rPr>
        <w:t>.</w:t>
      </w:r>
      <w:r>
        <w:rPr>
          <w:snapToGrid w:val="0"/>
        </w:rPr>
        <w:tab/>
        <w:t>Certificate for special allowance on taxation of costs</w:t>
      </w:r>
      <w:bookmarkEnd w:id="615"/>
    </w:p>
    <w:p w:rsidR="00425758" w:rsidRDefault="00425758">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rsidR="00425758" w:rsidRDefault="00425758">
      <w:pPr>
        <w:pStyle w:val="Footnotesection"/>
      </w:pPr>
      <w:r>
        <w:tab/>
        <w:t xml:space="preserve">[Rule 13 amended: Gazette 14 Dec 1979 p. 3870.] </w:t>
      </w:r>
    </w:p>
    <w:p w:rsidR="00425758" w:rsidRDefault="00425758">
      <w:pPr>
        <w:pStyle w:val="Heading5"/>
        <w:rPr>
          <w:snapToGrid w:val="0"/>
        </w:rPr>
      </w:pPr>
      <w:bookmarkStart w:id="616" w:name="_Toc75863269"/>
      <w:r>
        <w:rPr>
          <w:rStyle w:val="CharSectno"/>
        </w:rPr>
        <w:lastRenderedPageBreak/>
        <w:t>14</w:t>
      </w:r>
      <w:r>
        <w:rPr>
          <w:snapToGrid w:val="0"/>
        </w:rPr>
        <w:t>.</w:t>
      </w:r>
      <w:r>
        <w:rPr>
          <w:snapToGrid w:val="0"/>
        </w:rPr>
        <w:tab/>
        <w:t>Entry of judgments and orders</w:t>
      </w:r>
      <w:bookmarkEnd w:id="616"/>
    </w:p>
    <w:p w:rsidR="00425758" w:rsidRDefault="00425758">
      <w:pPr>
        <w:pStyle w:val="Subsection"/>
        <w:keepNext/>
      </w:pPr>
      <w:r>
        <w:tab/>
        <w:t>(1)</w:t>
      </w:r>
      <w:r>
        <w:tab/>
        <w:t>A judgment or order, when settled and passed, is to be filed by the party entering or extracting it.</w:t>
      </w:r>
    </w:p>
    <w:p w:rsidR="00425758" w:rsidRDefault="00425758">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rsidR="00425758" w:rsidRDefault="00425758">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rsidR="00425758" w:rsidRDefault="00425758">
      <w:pPr>
        <w:pStyle w:val="Footnotesection"/>
      </w:pPr>
      <w:r>
        <w:tab/>
        <w:t>[Rule 14 amended: Gazette 27 Feb 2018 p. 568.]</w:t>
      </w:r>
    </w:p>
    <w:p w:rsidR="00425758" w:rsidRDefault="00425758">
      <w:pPr>
        <w:pStyle w:val="Heading5"/>
        <w:rPr>
          <w:snapToGrid w:val="0"/>
        </w:rPr>
      </w:pPr>
      <w:bookmarkStart w:id="617" w:name="_Toc75863270"/>
      <w:r>
        <w:rPr>
          <w:rStyle w:val="CharSectno"/>
        </w:rPr>
        <w:t>15</w:t>
      </w:r>
      <w:r>
        <w:rPr>
          <w:snapToGrid w:val="0"/>
        </w:rPr>
        <w:t>.</w:t>
      </w:r>
      <w:r>
        <w:rPr>
          <w:snapToGrid w:val="0"/>
        </w:rPr>
        <w:tab/>
        <w:t>Application to vary</w:t>
      </w:r>
      <w:bookmarkEnd w:id="617"/>
    </w:p>
    <w:p w:rsidR="00425758" w:rsidRDefault="00425758">
      <w:pPr>
        <w:pStyle w:val="Subsection"/>
        <w:rPr>
          <w:snapToGrid w:val="0"/>
        </w:rPr>
      </w:pPr>
      <w:r>
        <w:rPr>
          <w:snapToGrid w:val="0"/>
        </w:rPr>
        <w:tab/>
      </w:r>
      <w:r>
        <w:rPr>
          <w:snapToGrid w:val="0"/>
        </w:rPr>
        <w:tab/>
        <w:t xml:space="preserve">A party may, within 7 days after a draft judgment or order has been </w:t>
      </w:r>
      <w:r>
        <w:t xml:space="preserve">settled, </w:t>
      </w:r>
      <w:r>
        <w:rPr>
          <w:snapToGrid w:val="0"/>
        </w:rPr>
        <w:t>apply to the Court to add to or alter it for the purpose of making it correspond with the judgment or order as pronounced.</w:t>
      </w:r>
    </w:p>
    <w:p w:rsidR="00425758" w:rsidRDefault="00425758">
      <w:pPr>
        <w:pStyle w:val="Footnotesection"/>
        <w:keepLines w:val="0"/>
      </w:pPr>
      <w:r>
        <w:tab/>
        <w:t xml:space="preserve">[Rule 15 amended: Gazette 14 Dec 1979 p. 3870; 27 Feb 2018 p. 569.] </w:t>
      </w:r>
    </w:p>
    <w:p w:rsidR="00425758" w:rsidRDefault="00425758">
      <w:pPr>
        <w:pStyle w:val="Heading5"/>
        <w:rPr>
          <w:snapToGrid w:val="0"/>
        </w:rPr>
      </w:pPr>
      <w:bookmarkStart w:id="618" w:name="_Toc75863271"/>
      <w:r>
        <w:rPr>
          <w:rStyle w:val="CharSectno"/>
        </w:rPr>
        <w:t>16</w:t>
      </w:r>
      <w:r>
        <w:rPr>
          <w:snapToGrid w:val="0"/>
        </w:rPr>
        <w:t>.</w:t>
      </w:r>
      <w:r>
        <w:rPr>
          <w:snapToGrid w:val="0"/>
        </w:rPr>
        <w:tab/>
        <w:t>Consent orders</w:t>
      </w:r>
      <w:bookmarkEnd w:id="618"/>
    </w:p>
    <w:p w:rsidR="00425758" w:rsidRDefault="00425758">
      <w:pPr>
        <w:pStyle w:val="Subsection"/>
      </w:pPr>
      <w:r>
        <w:tab/>
        <w:t>(1)</w:t>
      </w:r>
      <w:r>
        <w:tab/>
        <w:t>The parties to proceedings or their practitioners may file a written consent to the making of an order in those proceedings.</w:t>
      </w:r>
    </w:p>
    <w:p w:rsidR="00425758" w:rsidRDefault="00425758">
      <w:pPr>
        <w:pStyle w:val="Subsection"/>
        <w:rPr>
          <w:snapToGrid w:val="0"/>
        </w:rPr>
      </w:pPr>
      <w:r>
        <w:rPr>
          <w:snapToGrid w:val="0"/>
        </w:rPr>
        <w:tab/>
        <w:t>(2)</w:t>
      </w:r>
      <w:r>
        <w:rPr>
          <w:snapToGrid w:val="0"/>
        </w:rPr>
        <w:tab/>
        <w:t xml:space="preserve">Upon the written consent being filed, the </w:t>
      </w:r>
      <w:r>
        <w:t>registrar, a master or a judge may</w:t>
      </w:r>
      <w:r>
        <w:rPr>
          <w:snapToGrid w:val="0"/>
        </w:rPr>
        <w:t xml:space="preserve"> settle, sign and seal the order without any other application being made in any case in </w:t>
      </w:r>
      <w:r>
        <w:t xml:space="preserve">which, in the opinion of the registrar, master or judge, </w:t>
      </w:r>
      <w:r>
        <w:rPr>
          <w:snapToGrid w:val="0"/>
        </w:rPr>
        <w:t>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rsidR="00425758" w:rsidRDefault="00425758">
      <w:pPr>
        <w:pStyle w:val="Subsection"/>
        <w:keepNext/>
        <w:rPr>
          <w:snapToGrid w:val="0"/>
        </w:rPr>
      </w:pPr>
      <w:r>
        <w:rPr>
          <w:snapToGrid w:val="0"/>
        </w:rPr>
        <w:lastRenderedPageBreak/>
        <w:tab/>
        <w:t>(3)</w:t>
      </w:r>
      <w:r>
        <w:rPr>
          <w:snapToGrid w:val="0"/>
        </w:rPr>
        <w:tab/>
        <w:t>The order shall state that it is made by consent and shall be of the same force and validity as if it had been made after a hearing by the Court.</w:t>
      </w:r>
    </w:p>
    <w:p w:rsidR="00425758" w:rsidRDefault="00425758">
      <w:pPr>
        <w:pStyle w:val="Footnotesection"/>
      </w:pPr>
      <w:r>
        <w:tab/>
        <w:t xml:space="preserve">[Rule 16 inserted: Gazette 3 Oct 1975 p. 3769; amended: Gazette 26 Mar 1993 p. 1845; 28 Oct 1996 p. 5699; 28 Jul 2010 p. 3466-7; 16 Aug 2017 p. 4416; 27 Feb 2018 p. 569.] </w:t>
      </w:r>
    </w:p>
    <w:p w:rsidR="00425758" w:rsidRDefault="00425758">
      <w:pPr>
        <w:pStyle w:val="Ednotepart"/>
      </w:pPr>
      <w:r>
        <w:t>[Order 44 deleted: Gazette 21 Feb 2007 p. 551.]</w:t>
      </w:r>
    </w:p>
    <w:p w:rsidR="00425758" w:rsidRDefault="00425758">
      <w:pPr>
        <w:pStyle w:val="Heading2"/>
      </w:pPr>
      <w:bookmarkStart w:id="619" w:name="_Toc75512176"/>
      <w:bookmarkStart w:id="620" w:name="_Toc75863272"/>
      <w:r>
        <w:rPr>
          <w:rStyle w:val="CharPartNo"/>
        </w:rPr>
        <w:lastRenderedPageBreak/>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619"/>
      <w:bookmarkEnd w:id="620"/>
    </w:p>
    <w:p w:rsidR="00425758" w:rsidRDefault="00425758">
      <w:pPr>
        <w:pStyle w:val="Footnoteheading"/>
      </w:pPr>
      <w:r>
        <w:tab/>
        <w:t>[Heading inserted: Gazette 22 Feb 2008 p. 637.]</w:t>
      </w:r>
    </w:p>
    <w:p w:rsidR="00425758" w:rsidRDefault="00425758">
      <w:pPr>
        <w:pStyle w:val="Heading5"/>
        <w:rPr>
          <w:snapToGrid w:val="0"/>
        </w:rPr>
      </w:pPr>
      <w:bookmarkStart w:id="621" w:name="_Toc75863273"/>
      <w:r>
        <w:rPr>
          <w:rStyle w:val="CharSectno"/>
        </w:rPr>
        <w:t>1</w:t>
      </w:r>
      <w:r>
        <w:rPr>
          <w:snapToGrid w:val="0"/>
        </w:rPr>
        <w:t>.</w:t>
      </w:r>
      <w:r>
        <w:rPr>
          <w:snapToGrid w:val="0"/>
        </w:rPr>
        <w:tab/>
        <w:t>Terms used</w:t>
      </w:r>
      <w:bookmarkEnd w:id="621"/>
    </w:p>
    <w:p w:rsidR="00425758" w:rsidRDefault="00425758">
      <w:pPr>
        <w:pStyle w:val="Subsection"/>
        <w:rPr>
          <w:snapToGrid w:val="0"/>
        </w:rPr>
      </w:pPr>
      <w:r>
        <w:rPr>
          <w:snapToGrid w:val="0"/>
        </w:rPr>
        <w:tab/>
      </w:r>
      <w:r>
        <w:rPr>
          <w:snapToGrid w:val="0"/>
        </w:rPr>
        <w:tab/>
        <w:t>In this Order unless the contrary intention appears — </w:t>
      </w:r>
    </w:p>
    <w:p w:rsidR="00425758" w:rsidRDefault="00425758">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rsidR="00425758" w:rsidRDefault="00425758">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rsidR="00425758" w:rsidRDefault="00425758">
      <w:pPr>
        <w:pStyle w:val="Footnotesection"/>
        <w:spacing w:before="100"/>
        <w:ind w:left="890" w:hanging="890"/>
      </w:pPr>
      <w:r>
        <w:tab/>
        <w:t xml:space="preserve">[Rule 1 inserted: Gazette 26 Aug 1994 p. 4414.] </w:t>
      </w:r>
    </w:p>
    <w:p w:rsidR="00425758" w:rsidRDefault="00425758">
      <w:pPr>
        <w:pStyle w:val="Heading5"/>
        <w:rPr>
          <w:snapToGrid w:val="0"/>
        </w:rPr>
      </w:pPr>
      <w:bookmarkStart w:id="622" w:name="_Toc75863274"/>
      <w:r>
        <w:rPr>
          <w:rStyle w:val="CharSectno"/>
        </w:rPr>
        <w:t>2</w:t>
      </w:r>
      <w:r>
        <w:rPr>
          <w:snapToGrid w:val="0"/>
        </w:rPr>
        <w:t>.</w:t>
      </w:r>
      <w:r>
        <w:rPr>
          <w:snapToGrid w:val="0"/>
        </w:rPr>
        <w:tab/>
        <w:t>Application of this Order</w:t>
      </w:r>
      <w:bookmarkEnd w:id="622"/>
    </w:p>
    <w:p w:rsidR="00425758" w:rsidRDefault="00425758">
      <w:pPr>
        <w:pStyle w:val="Subsection"/>
        <w:rPr>
          <w:snapToGrid w:val="0"/>
        </w:rPr>
      </w:pPr>
      <w:r>
        <w:rPr>
          <w:snapToGrid w:val="0"/>
        </w:rPr>
        <w:tab/>
      </w:r>
      <w:r>
        <w:rPr>
          <w:snapToGrid w:val="0"/>
        </w:rPr>
        <w:tab/>
        <w:t>This Order applies to the registration and enforcement of judgments to which Part 2 of the Act applies.</w:t>
      </w:r>
    </w:p>
    <w:p w:rsidR="00425758" w:rsidRDefault="00425758">
      <w:pPr>
        <w:pStyle w:val="Footnotesection"/>
      </w:pPr>
      <w:r>
        <w:tab/>
        <w:t xml:space="preserve">[Rule 2 inserted: Gazette 26 Jan 1993 p. 824.] </w:t>
      </w:r>
    </w:p>
    <w:p w:rsidR="00425758" w:rsidRDefault="00425758">
      <w:pPr>
        <w:pStyle w:val="Heading5"/>
        <w:rPr>
          <w:snapToGrid w:val="0"/>
        </w:rPr>
      </w:pPr>
      <w:bookmarkStart w:id="623" w:name="_Toc75863275"/>
      <w:r>
        <w:rPr>
          <w:rStyle w:val="CharSectno"/>
        </w:rPr>
        <w:t>3</w:t>
      </w:r>
      <w:r>
        <w:rPr>
          <w:snapToGrid w:val="0"/>
        </w:rPr>
        <w:t>.</w:t>
      </w:r>
      <w:r>
        <w:rPr>
          <w:snapToGrid w:val="0"/>
        </w:rPr>
        <w:tab/>
        <w:t>Application for registration (Act s. 6)</w:t>
      </w:r>
      <w:bookmarkEnd w:id="623"/>
    </w:p>
    <w:p w:rsidR="00425758" w:rsidRDefault="00425758">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rsidR="00425758" w:rsidRDefault="00425758">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rsidR="00425758" w:rsidRDefault="00425758">
      <w:pPr>
        <w:pStyle w:val="Subsection"/>
        <w:rPr>
          <w:snapToGrid w:val="0"/>
        </w:rPr>
      </w:pPr>
      <w:r>
        <w:rPr>
          <w:snapToGrid w:val="0"/>
        </w:rPr>
        <w:tab/>
        <w:t>(3)</w:t>
      </w:r>
      <w:r>
        <w:rPr>
          <w:snapToGrid w:val="0"/>
        </w:rPr>
        <w:tab/>
        <w:t xml:space="preserve">Where the judgment is in respect of different matters, and some, but not all of the provisions of the judgment are such that if those provisions had been contained in separate judgments, those judgments could properly have been registered, the </w:t>
      </w:r>
      <w:r>
        <w:rPr>
          <w:snapToGrid w:val="0"/>
        </w:rPr>
        <w:lastRenderedPageBreak/>
        <w:t>motion paper shall state the provisions in respect of which it is sought to register the judgment.</w:t>
      </w:r>
    </w:p>
    <w:p w:rsidR="00425758" w:rsidRDefault="00425758">
      <w:pPr>
        <w:pStyle w:val="Footnotesection"/>
      </w:pPr>
      <w:r>
        <w:tab/>
        <w:t xml:space="preserve">[Rule 3 inserted: Gazette 26 Jan 1993 p. 824.] </w:t>
      </w:r>
    </w:p>
    <w:p w:rsidR="00425758" w:rsidRDefault="00425758">
      <w:pPr>
        <w:pStyle w:val="Heading5"/>
        <w:rPr>
          <w:snapToGrid w:val="0"/>
        </w:rPr>
      </w:pPr>
      <w:bookmarkStart w:id="624" w:name="_Toc75863276"/>
      <w:r>
        <w:rPr>
          <w:rStyle w:val="CharSectno"/>
        </w:rPr>
        <w:t>4</w:t>
      </w:r>
      <w:r>
        <w:rPr>
          <w:snapToGrid w:val="0"/>
        </w:rPr>
        <w:t>.</w:t>
      </w:r>
      <w:r>
        <w:rPr>
          <w:snapToGrid w:val="0"/>
        </w:rPr>
        <w:tab/>
        <w:t>Evidence in support of application</w:t>
      </w:r>
      <w:bookmarkEnd w:id="624"/>
      <w:r>
        <w:rPr>
          <w:snapToGrid w:val="0"/>
        </w:rPr>
        <w:t xml:space="preserve"> </w:t>
      </w:r>
    </w:p>
    <w:p w:rsidR="00425758" w:rsidRDefault="00425758">
      <w:pPr>
        <w:pStyle w:val="Subsection"/>
        <w:spacing w:before="120"/>
        <w:rPr>
          <w:snapToGrid w:val="0"/>
        </w:rPr>
      </w:pPr>
      <w:r>
        <w:rPr>
          <w:snapToGrid w:val="0"/>
        </w:rPr>
        <w:tab/>
        <w:t>(1)</w:t>
      </w:r>
      <w:r>
        <w:rPr>
          <w:snapToGrid w:val="0"/>
        </w:rPr>
        <w:tab/>
        <w:t>An application for registration shall be supported by an affidavit of the facts — </w:t>
      </w:r>
    </w:p>
    <w:p w:rsidR="00425758" w:rsidRDefault="00425758">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rsidR="00425758" w:rsidRDefault="00425758">
      <w:pPr>
        <w:pStyle w:val="Indenta"/>
        <w:rPr>
          <w:snapToGrid w:val="0"/>
        </w:rPr>
      </w:pPr>
      <w:r>
        <w:rPr>
          <w:snapToGrid w:val="0"/>
        </w:rPr>
        <w:tab/>
        <w:t>(b)</w:t>
      </w:r>
      <w:r>
        <w:rPr>
          <w:snapToGrid w:val="0"/>
        </w:rPr>
        <w:tab/>
        <w:t>stating to the best of the information and belief of the deponent — </w:t>
      </w:r>
    </w:p>
    <w:p w:rsidR="00425758" w:rsidRDefault="00425758">
      <w:pPr>
        <w:pStyle w:val="Indenti"/>
        <w:rPr>
          <w:snapToGrid w:val="0"/>
        </w:rPr>
      </w:pPr>
      <w:r>
        <w:rPr>
          <w:snapToGrid w:val="0"/>
        </w:rPr>
        <w:tab/>
        <w:t>(i)</w:t>
      </w:r>
      <w:r>
        <w:rPr>
          <w:snapToGrid w:val="0"/>
        </w:rPr>
        <w:tab/>
        <w:t>that the applicant is entitled to enforce the judgment; and</w:t>
      </w:r>
    </w:p>
    <w:p w:rsidR="00425758" w:rsidRDefault="00425758">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rsidR="00425758" w:rsidRDefault="00425758">
      <w:pPr>
        <w:pStyle w:val="Indenti"/>
        <w:rPr>
          <w:snapToGrid w:val="0"/>
        </w:rPr>
      </w:pPr>
      <w:r>
        <w:rPr>
          <w:snapToGrid w:val="0"/>
        </w:rPr>
        <w:tab/>
        <w:t>(iii)</w:t>
      </w:r>
      <w:r>
        <w:rPr>
          <w:snapToGrid w:val="0"/>
        </w:rPr>
        <w:tab/>
        <w:t>that at the date of the application the judgment is capable of enforcement in the country of the original court; and</w:t>
      </w:r>
    </w:p>
    <w:p w:rsidR="00425758" w:rsidRDefault="00425758">
      <w:pPr>
        <w:pStyle w:val="Indenti"/>
        <w:rPr>
          <w:snapToGrid w:val="0"/>
        </w:rPr>
      </w:pPr>
      <w:r>
        <w:rPr>
          <w:snapToGrid w:val="0"/>
        </w:rPr>
        <w:tab/>
        <w:t>(iv)</w:t>
      </w:r>
      <w:r>
        <w:rPr>
          <w:snapToGrid w:val="0"/>
        </w:rPr>
        <w:tab/>
        <w:t>that if the judgment were registered, the registration would not be, or be liable to be, set aside under section 7 of the Act;</w:t>
      </w:r>
    </w:p>
    <w:p w:rsidR="00425758" w:rsidRDefault="00425758">
      <w:pPr>
        <w:pStyle w:val="Indenta"/>
        <w:rPr>
          <w:snapToGrid w:val="0"/>
        </w:rPr>
      </w:pPr>
      <w:r>
        <w:rPr>
          <w:snapToGrid w:val="0"/>
        </w:rPr>
        <w:tab/>
      </w:r>
      <w:r>
        <w:rPr>
          <w:snapToGrid w:val="0"/>
        </w:rPr>
        <w:tab/>
        <w:t>and</w:t>
      </w:r>
    </w:p>
    <w:p w:rsidR="00425758" w:rsidRDefault="00425758">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rsidR="00425758" w:rsidRDefault="00425758">
      <w:pPr>
        <w:pStyle w:val="Subsection"/>
        <w:spacing w:before="100"/>
        <w:rPr>
          <w:snapToGrid w:val="0"/>
        </w:rPr>
      </w:pPr>
      <w:r>
        <w:rPr>
          <w:snapToGrid w:val="0"/>
        </w:rPr>
        <w:tab/>
      </w:r>
      <w:r>
        <w:rPr>
          <w:snapToGrid w:val="0"/>
        </w:rPr>
        <w:tab/>
        <w:t xml:space="preserve">and shall be accompanied by such other evidence with respect to the enforceability of the judgment in the country of the original </w:t>
      </w:r>
      <w:r>
        <w:rPr>
          <w:snapToGrid w:val="0"/>
        </w:rPr>
        <w:lastRenderedPageBreak/>
        <w:t>court, and of the law of that country under which any interest has become due under the judgment, as may be required having regard to the provisions of the regulations extending the Act to the country of the original court.</w:t>
      </w:r>
    </w:p>
    <w:p w:rsidR="00425758" w:rsidRDefault="00425758">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rsidR="00425758" w:rsidRDefault="00425758">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rsidR="00425758" w:rsidRDefault="00425758">
      <w:pPr>
        <w:pStyle w:val="Footnotesection"/>
      </w:pPr>
      <w:r>
        <w:tab/>
        <w:t xml:space="preserve">[Rule 4 inserted: Gazette 26 Jan 1993 p. 825; amended: Gazette 12 Jun 2012 p. 2453.] </w:t>
      </w:r>
    </w:p>
    <w:p w:rsidR="00425758" w:rsidRDefault="00425758">
      <w:pPr>
        <w:pStyle w:val="Heading5"/>
        <w:rPr>
          <w:snapToGrid w:val="0"/>
        </w:rPr>
      </w:pPr>
      <w:bookmarkStart w:id="625" w:name="_Toc75863277"/>
      <w:r>
        <w:rPr>
          <w:rStyle w:val="CharSectno"/>
        </w:rPr>
        <w:t>5</w:t>
      </w:r>
      <w:r>
        <w:rPr>
          <w:snapToGrid w:val="0"/>
        </w:rPr>
        <w:t>.</w:t>
      </w:r>
      <w:r>
        <w:rPr>
          <w:snapToGrid w:val="0"/>
        </w:rPr>
        <w:tab/>
        <w:t>Security for costs</w:t>
      </w:r>
      <w:bookmarkEnd w:id="625"/>
      <w:r>
        <w:rPr>
          <w:snapToGrid w:val="0"/>
        </w:rPr>
        <w:t xml:space="preserve"> </w:t>
      </w:r>
    </w:p>
    <w:p w:rsidR="00425758" w:rsidRDefault="00425758">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rsidR="00425758" w:rsidRDefault="00425758">
      <w:pPr>
        <w:pStyle w:val="Footnotesection"/>
      </w:pPr>
      <w:r>
        <w:tab/>
        <w:t xml:space="preserve">[Rule 5 inserted: Gazette 26 Jan 1993 p. 825.] </w:t>
      </w:r>
    </w:p>
    <w:p w:rsidR="00425758" w:rsidRDefault="00425758">
      <w:pPr>
        <w:pStyle w:val="Heading5"/>
        <w:rPr>
          <w:snapToGrid w:val="0"/>
        </w:rPr>
      </w:pPr>
      <w:bookmarkStart w:id="626" w:name="_Toc75863278"/>
      <w:r>
        <w:rPr>
          <w:rStyle w:val="CharSectno"/>
        </w:rPr>
        <w:t>6</w:t>
      </w:r>
      <w:r>
        <w:rPr>
          <w:snapToGrid w:val="0"/>
        </w:rPr>
        <w:t>.</w:t>
      </w:r>
      <w:r>
        <w:rPr>
          <w:snapToGrid w:val="0"/>
        </w:rPr>
        <w:tab/>
        <w:t>Order for registration</w:t>
      </w:r>
      <w:bookmarkEnd w:id="626"/>
      <w:r>
        <w:rPr>
          <w:snapToGrid w:val="0"/>
        </w:rPr>
        <w:t xml:space="preserve"> </w:t>
      </w:r>
    </w:p>
    <w:p w:rsidR="00425758" w:rsidRDefault="00425758">
      <w:pPr>
        <w:pStyle w:val="Subsection"/>
        <w:rPr>
          <w:snapToGrid w:val="0"/>
        </w:rPr>
      </w:pPr>
      <w:r>
        <w:rPr>
          <w:snapToGrid w:val="0"/>
        </w:rPr>
        <w:tab/>
        <w:t>(1)</w:t>
      </w:r>
      <w:r>
        <w:rPr>
          <w:snapToGrid w:val="0"/>
        </w:rPr>
        <w:tab/>
        <w:t>An order for registration of a judgment shall be drawn up by, or on behalf of, the judgment creditor.</w:t>
      </w:r>
    </w:p>
    <w:p w:rsidR="00425758" w:rsidRDefault="00425758">
      <w:pPr>
        <w:pStyle w:val="Subsection"/>
        <w:rPr>
          <w:snapToGrid w:val="0"/>
        </w:rPr>
      </w:pPr>
      <w:r>
        <w:rPr>
          <w:snapToGrid w:val="0"/>
        </w:rPr>
        <w:tab/>
        <w:t>(2)</w:t>
      </w:r>
      <w:r>
        <w:rPr>
          <w:snapToGrid w:val="0"/>
        </w:rPr>
        <w:tab/>
        <w:t>The order need not be served on the judgment debtor.</w:t>
      </w:r>
    </w:p>
    <w:p w:rsidR="00425758" w:rsidRDefault="00425758">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rsidR="00425758" w:rsidRDefault="00425758">
      <w:pPr>
        <w:pStyle w:val="Subsection"/>
        <w:rPr>
          <w:snapToGrid w:val="0"/>
        </w:rPr>
      </w:pPr>
      <w:r>
        <w:rPr>
          <w:snapToGrid w:val="0"/>
        </w:rPr>
        <w:tab/>
        <w:t>(4)</w:t>
      </w:r>
      <w:r>
        <w:rPr>
          <w:snapToGrid w:val="0"/>
        </w:rPr>
        <w:tab/>
        <w:t xml:space="preserve">The Court may, on an application made at any time while it remains competent for any party to apply to have the registration set aside, grant an extension of the period (either as </w:t>
      </w:r>
      <w:r>
        <w:rPr>
          <w:snapToGrid w:val="0"/>
        </w:rPr>
        <w:lastRenderedPageBreak/>
        <w:t>originally fixed or as subsequently extended) during which an application to have the judgment set aside may be made.</w:t>
      </w:r>
    </w:p>
    <w:p w:rsidR="00425758" w:rsidRDefault="00425758">
      <w:pPr>
        <w:pStyle w:val="Footnotesection"/>
      </w:pPr>
      <w:r>
        <w:tab/>
        <w:t xml:space="preserve">[Rule 6 inserted: Gazette 26 Jan 1993 p. 825.] </w:t>
      </w:r>
    </w:p>
    <w:p w:rsidR="00425758" w:rsidRDefault="00425758">
      <w:pPr>
        <w:pStyle w:val="Heading5"/>
      </w:pPr>
      <w:bookmarkStart w:id="627" w:name="_Toc75863279"/>
      <w:r>
        <w:rPr>
          <w:rStyle w:val="CharSectno"/>
        </w:rPr>
        <w:t>7</w:t>
      </w:r>
      <w:r>
        <w:t>.</w:t>
      </w:r>
      <w:r>
        <w:tab/>
        <w:t>Record to be kept of registered judgments</w:t>
      </w:r>
      <w:bookmarkEnd w:id="627"/>
    </w:p>
    <w:p w:rsidR="00425758" w:rsidRDefault="00425758">
      <w:pPr>
        <w:pStyle w:val="Subsection"/>
      </w:pPr>
      <w:r>
        <w:tab/>
      </w:r>
      <w:r>
        <w:tab/>
        <w:t>A record must be kept at the Supreme Court, in the manner directed by the Chief Justice from time to time, of the judgments ordered to be registered under the Act.</w:t>
      </w:r>
    </w:p>
    <w:p w:rsidR="00425758" w:rsidRDefault="00425758">
      <w:pPr>
        <w:pStyle w:val="Footnotesection"/>
      </w:pPr>
      <w:r>
        <w:tab/>
        <w:t xml:space="preserve">[Rule 7 inserted: Gazette 27 Feb 2018 p. 569.] </w:t>
      </w:r>
    </w:p>
    <w:p w:rsidR="00425758" w:rsidRDefault="00425758">
      <w:pPr>
        <w:pStyle w:val="Heading5"/>
        <w:spacing w:before="180"/>
        <w:rPr>
          <w:snapToGrid w:val="0"/>
        </w:rPr>
      </w:pPr>
      <w:bookmarkStart w:id="628" w:name="_Toc75863280"/>
      <w:r>
        <w:rPr>
          <w:rStyle w:val="CharSectno"/>
        </w:rPr>
        <w:t>8</w:t>
      </w:r>
      <w:r>
        <w:rPr>
          <w:snapToGrid w:val="0"/>
        </w:rPr>
        <w:t>.</w:t>
      </w:r>
      <w:r>
        <w:rPr>
          <w:snapToGrid w:val="0"/>
        </w:rPr>
        <w:tab/>
        <w:t>Notice of registration</w:t>
      </w:r>
      <w:bookmarkEnd w:id="628"/>
      <w:r>
        <w:rPr>
          <w:snapToGrid w:val="0"/>
        </w:rPr>
        <w:t xml:space="preserve"> </w:t>
      </w:r>
    </w:p>
    <w:p w:rsidR="00425758" w:rsidRDefault="00425758">
      <w:pPr>
        <w:pStyle w:val="Subsection"/>
        <w:rPr>
          <w:snapToGrid w:val="0"/>
        </w:rPr>
      </w:pPr>
      <w:r>
        <w:rPr>
          <w:snapToGrid w:val="0"/>
        </w:rPr>
        <w:tab/>
        <w:t>(1)</w:t>
      </w:r>
      <w:r>
        <w:rPr>
          <w:snapToGrid w:val="0"/>
        </w:rPr>
        <w:tab/>
        <w:t>Notice in writing of the registration of a judgment shall be served on the judgment debtor in the following manner — </w:t>
      </w:r>
    </w:p>
    <w:p w:rsidR="00425758" w:rsidRDefault="00425758">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rsidR="00425758" w:rsidRDefault="00425758">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rsidR="00425758" w:rsidRDefault="00425758">
      <w:pPr>
        <w:pStyle w:val="Subsection"/>
        <w:rPr>
          <w:snapToGrid w:val="0"/>
        </w:rPr>
      </w:pPr>
      <w:r>
        <w:rPr>
          <w:snapToGrid w:val="0"/>
        </w:rPr>
        <w:tab/>
        <w:t>(2)</w:t>
      </w:r>
      <w:r>
        <w:rPr>
          <w:snapToGrid w:val="0"/>
        </w:rPr>
        <w:tab/>
        <w:t>The notice of registration shall state — </w:t>
      </w:r>
    </w:p>
    <w:p w:rsidR="00425758" w:rsidRDefault="00425758">
      <w:pPr>
        <w:pStyle w:val="Indenta"/>
        <w:rPr>
          <w:snapToGrid w:val="0"/>
        </w:rPr>
      </w:pPr>
      <w:r>
        <w:rPr>
          <w:snapToGrid w:val="0"/>
        </w:rPr>
        <w:tab/>
        <w:t>(a)</w:t>
      </w:r>
      <w:r>
        <w:rPr>
          <w:snapToGrid w:val="0"/>
        </w:rPr>
        <w:tab/>
        <w:t>full particulars of the judgment registered and the order for registration; and</w:t>
      </w:r>
    </w:p>
    <w:p w:rsidR="00425758" w:rsidRDefault="00425758">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rsidR="00425758" w:rsidRDefault="00425758">
      <w:pPr>
        <w:pStyle w:val="Indenta"/>
        <w:rPr>
          <w:snapToGrid w:val="0"/>
        </w:rPr>
      </w:pPr>
      <w:r>
        <w:rPr>
          <w:snapToGrid w:val="0"/>
        </w:rPr>
        <w:tab/>
        <w:t>(c)</w:t>
      </w:r>
      <w:r>
        <w:rPr>
          <w:snapToGrid w:val="0"/>
        </w:rPr>
        <w:tab/>
        <w:t>the right of the judgment debtor to apply on the grounds provided in the Act to have the registration set aside; and</w:t>
      </w:r>
    </w:p>
    <w:p w:rsidR="00425758" w:rsidRDefault="00425758">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rsidR="00425758" w:rsidRDefault="00425758">
      <w:pPr>
        <w:pStyle w:val="Indenta"/>
        <w:keepNext/>
        <w:rPr>
          <w:snapToGrid w:val="0"/>
        </w:rPr>
      </w:pPr>
      <w:r>
        <w:rPr>
          <w:snapToGrid w:val="0"/>
        </w:rPr>
        <w:lastRenderedPageBreak/>
        <w:tab/>
        <w:t>(e)</w:t>
      </w:r>
      <w:r>
        <w:rPr>
          <w:snapToGrid w:val="0"/>
        </w:rPr>
        <w:tab/>
        <w:t>that no step for the enforcement of the judgment shall be taken until after the expiration of that period.</w:t>
      </w:r>
    </w:p>
    <w:p w:rsidR="00425758" w:rsidRDefault="00425758">
      <w:pPr>
        <w:pStyle w:val="Footnotesection"/>
        <w:spacing w:before="80"/>
        <w:ind w:left="890" w:hanging="890"/>
      </w:pPr>
      <w:r>
        <w:tab/>
        <w:t xml:space="preserve">[Rule 8 inserted: Gazette 26 Jan 1993 p. 826; amended: Gazette 1 Mar 1994 p. 787.] </w:t>
      </w:r>
    </w:p>
    <w:p w:rsidR="00425758" w:rsidRDefault="00425758">
      <w:pPr>
        <w:pStyle w:val="Heading5"/>
        <w:rPr>
          <w:snapToGrid w:val="0"/>
        </w:rPr>
      </w:pPr>
      <w:bookmarkStart w:id="629" w:name="_Toc75863281"/>
      <w:r>
        <w:rPr>
          <w:rStyle w:val="CharSectno"/>
        </w:rPr>
        <w:t>9</w:t>
      </w:r>
      <w:r>
        <w:rPr>
          <w:snapToGrid w:val="0"/>
        </w:rPr>
        <w:t>.</w:t>
      </w:r>
      <w:r>
        <w:rPr>
          <w:snapToGrid w:val="0"/>
        </w:rPr>
        <w:tab/>
        <w:t>Indorsement of service</w:t>
      </w:r>
      <w:bookmarkEnd w:id="629"/>
      <w:r>
        <w:rPr>
          <w:snapToGrid w:val="0"/>
        </w:rPr>
        <w:t xml:space="preserve"> </w:t>
      </w:r>
    </w:p>
    <w:p w:rsidR="00425758" w:rsidRDefault="00425758">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rsidR="00425758" w:rsidRDefault="00425758">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rsidR="00425758" w:rsidRDefault="00425758">
      <w:pPr>
        <w:pStyle w:val="Footnotesection"/>
      </w:pPr>
      <w:r>
        <w:tab/>
        <w:t xml:space="preserve">[Rule 9 inserted: Gazette 26 Jan 1993 p. 826.] </w:t>
      </w:r>
    </w:p>
    <w:p w:rsidR="00425758" w:rsidRDefault="00425758">
      <w:pPr>
        <w:pStyle w:val="Heading5"/>
        <w:rPr>
          <w:snapToGrid w:val="0"/>
        </w:rPr>
      </w:pPr>
      <w:bookmarkStart w:id="630" w:name="_Toc75863282"/>
      <w:r>
        <w:rPr>
          <w:rStyle w:val="CharSectno"/>
        </w:rPr>
        <w:t>10</w:t>
      </w:r>
      <w:r>
        <w:rPr>
          <w:snapToGrid w:val="0"/>
        </w:rPr>
        <w:t>.</w:t>
      </w:r>
      <w:r>
        <w:rPr>
          <w:snapToGrid w:val="0"/>
        </w:rPr>
        <w:tab/>
        <w:t>Application to set aside registration</w:t>
      </w:r>
      <w:bookmarkEnd w:id="630"/>
      <w:r>
        <w:rPr>
          <w:snapToGrid w:val="0"/>
        </w:rPr>
        <w:t xml:space="preserve"> </w:t>
      </w:r>
    </w:p>
    <w:p w:rsidR="00425758" w:rsidRDefault="00425758">
      <w:pPr>
        <w:pStyle w:val="Subsection"/>
        <w:rPr>
          <w:snapToGrid w:val="0"/>
        </w:rPr>
      </w:pPr>
      <w:r>
        <w:rPr>
          <w:snapToGrid w:val="0"/>
        </w:rPr>
        <w:tab/>
        <w:t>(1)</w:t>
      </w:r>
      <w:r>
        <w:rPr>
          <w:snapToGrid w:val="0"/>
        </w:rPr>
        <w:tab/>
        <w:t>An application to set aside the registration of a judgment shall be made by summons supported by affidavit.</w:t>
      </w:r>
    </w:p>
    <w:p w:rsidR="00425758" w:rsidRDefault="00425758">
      <w:pPr>
        <w:pStyle w:val="Subsection"/>
        <w:rPr>
          <w:snapToGrid w:val="0"/>
        </w:rPr>
      </w:pPr>
      <w:r>
        <w:rPr>
          <w:snapToGrid w:val="0"/>
        </w:rPr>
        <w:tab/>
        <w:t>(2)</w:t>
      </w:r>
      <w:r>
        <w:rPr>
          <w:snapToGrid w:val="0"/>
        </w:rPr>
        <w:tab/>
        <w:t>A summons shall be served not less than 7 clear days before the return day.</w:t>
      </w:r>
    </w:p>
    <w:p w:rsidR="00425758" w:rsidRDefault="00425758">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rsidR="00425758" w:rsidRDefault="00425758">
      <w:pPr>
        <w:pStyle w:val="Footnotesection"/>
      </w:pPr>
      <w:r>
        <w:tab/>
        <w:t xml:space="preserve">[Rule 10 inserted: Gazette 26 Jan 1993 p. 826.] </w:t>
      </w:r>
    </w:p>
    <w:p w:rsidR="00425758" w:rsidRDefault="00425758">
      <w:pPr>
        <w:pStyle w:val="Heading5"/>
        <w:rPr>
          <w:snapToGrid w:val="0"/>
        </w:rPr>
      </w:pPr>
      <w:bookmarkStart w:id="631" w:name="_Toc75863283"/>
      <w:r>
        <w:rPr>
          <w:rStyle w:val="CharSectno"/>
        </w:rPr>
        <w:t>11</w:t>
      </w:r>
      <w:r>
        <w:rPr>
          <w:snapToGrid w:val="0"/>
        </w:rPr>
        <w:t>.</w:t>
      </w:r>
      <w:r>
        <w:rPr>
          <w:snapToGrid w:val="0"/>
        </w:rPr>
        <w:tab/>
        <w:t>Enforcing registered judgment</w:t>
      </w:r>
      <w:bookmarkEnd w:id="631"/>
    </w:p>
    <w:p w:rsidR="00425758" w:rsidRDefault="00425758">
      <w:pPr>
        <w:pStyle w:val="Subsection"/>
        <w:rPr>
          <w:snapToGrid w:val="0"/>
        </w:rPr>
      </w:pPr>
      <w:r>
        <w:rPr>
          <w:snapToGrid w:val="0"/>
        </w:rPr>
        <w:tab/>
        <w:t>(1)</w:t>
      </w:r>
      <w:r>
        <w:rPr>
          <w:snapToGrid w:val="0"/>
        </w:rPr>
        <w:tab/>
        <w:t xml:space="preserve">No step shall be taken to enforce a registered judgment until after the expiration of the period which, in accordance with the provisions of rule 6(3), is specified in the order giving leave to </w:t>
      </w:r>
      <w:r>
        <w:rPr>
          <w:snapToGrid w:val="0"/>
        </w:rPr>
        <w:lastRenderedPageBreak/>
        <w:t>register as the period within which an application may be made to set aside the registration, or, if an order is made extending the period so specified, until after the expiration of the extended period.</w:t>
      </w:r>
    </w:p>
    <w:p w:rsidR="00425758" w:rsidRDefault="00425758">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rsidR="00425758" w:rsidRDefault="00425758">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rsidR="00425758" w:rsidRDefault="00425758">
      <w:pPr>
        <w:pStyle w:val="Footnotesection"/>
      </w:pPr>
      <w:r>
        <w:tab/>
        <w:t xml:space="preserve">[Rule 11 inserted: Gazette 26 Jan 1993 p. 827.] </w:t>
      </w:r>
    </w:p>
    <w:p w:rsidR="00425758" w:rsidRDefault="00425758">
      <w:pPr>
        <w:pStyle w:val="Heading5"/>
        <w:rPr>
          <w:snapToGrid w:val="0"/>
        </w:rPr>
      </w:pPr>
      <w:bookmarkStart w:id="632" w:name="_Toc75863284"/>
      <w:r>
        <w:rPr>
          <w:rStyle w:val="CharSectno"/>
        </w:rPr>
        <w:t>12</w:t>
      </w:r>
      <w:r>
        <w:rPr>
          <w:snapToGrid w:val="0"/>
        </w:rPr>
        <w:t>.</w:t>
      </w:r>
      <w:r>
        <w:rPr>
          <w:snapToGrid w:val="0"/>
        </w:rPr>
        <w:tab/>
        <w:t>Determination of certain questions</w:t>
      </w:r>
      <w:bookmarkEnd w:id="632"/>
      <w:r>
        <w:rPr>
          <w:snapToGrid w:val="0"/>
        </w:rPr>
        <w:t xml:space="preserve"> </w:t>
      </w:r>
    </w:p>
    <w:p w:rsidR="00425758" w:rsidRDefault="00425758">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rsidR="00425758" w:rsidRDefault="00425758">
      <w:pPr>
        <w:pStyle w:val="Footnotesection"/>
      </w:pPr>
      <w:r>
        <w:tab/>
        <w:t xml:space="preserve">[Rule 12 inserted: Gazette 26 Jan 1993 p. 827.] </w:t>
      </w:r>
    </w:p>
    <w:p w:rsidR="00425758" w:rsidRDefault="00425758">
      <w:pPr>
        <w:pStyle w:val="Heading5"/>
        <w:rPr>
          <w:snapToGrid w:val="0"/>
        </w:rPr>
      </w:pPr>
      <w:bookmarkStart w:id="633" w:name="_Toc75863285"/>
      <w:r>
        <w:rPr>
          <w:rStyle w:val="CharSectno"/>
        </w:rPr>
        <w:t>13</w:t>
      </w:r>
      <w:r>
        <w:rPr>
          <w:snapToGrid w:val="0"/>
        </w:rPr>
        <w:t>.</w:t>
      </w:r>
      <w:r>
        <w:rPr>
          <w:snapToGrid w:val="0"/>
        </w:rPr>
        <w:tab/>
        <w:t>Certified copy of judgment obtained in this State</w:t>
      </w:r>
      <w:bookmarkEnd w:id="633"/>
      <w:r>
        <w:rPr>
          <w:snapToGrid w:val="0"/>
        </w:rPr>
        <w:t xml:space="preserve"> </w:t>
      </w:r>
    </w:p>
    <w:p w:rsidR="00425758" w:rsidRDefault="00425758">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rsidR="00425758" w:rsidRDefault="00425758">
      <w:pPr>
        <w:pStyle w:val="Subsection"/>
        <w:keepNext/>
        <w:keepLines/>
        <w:rPr>
          <w:snapToGrid w:val="0"/>
        </w:rPr>
      </w:pPr>
      <w:r>
        <w:rPr>
          <w:snapToGrid w:val="0"/>
        </w:rPr>
        <w:tab/>
        <w:t>(2)</w:t>
      </w:r>
      <w:r>
        <w:rPr>
          <w:snapToGrid w:val="0"/>
        </w:rPr>
        <w:tab/>
        <w:t>An affidavit for the purposes of this rule shall — </w:t>
      </w:r>
    </w:p>
    <w:p w:rsidR="00425758" w:rsidRDefault="00425758">
      <w:pPr>
        <w:pStyle w:val="Indenta"/>
        <w:rPr>
          <w:snapToGrid w:val="0"/>
        </w:rPr>
      </w:pPr>
      <w:r>
        <w:rPr>
          <w:snapToGrid w:val="0"/>
        </w:rPr>
        <w:tab/>
        <w:t>(a)</w:t>
      </w:r>
      <w:r>
        <w:rPr>
          <w:snapToGrid w:val="0"/>
        </w:rPr>
        <w:tab/>
        <w:t>give particulars of the proceedings in which the judgment was obtained; and</w:t>
      </w:r>
    </w:p>
    <w:p w:rsidR="00425758" w:rsidRDefault="00425758">
      <w:pPr>
        <w:pStyle w:val="Indenta"/>
        <w:rPr>
          <w:snapToGrid w:val="0"/>
        </w:rPr>
      </w:pPr>
      <w:r>
        <w:rPr>
          <w:snapToGrid w:val="0"/>
        </w:rPr>
        <w:tab/>
        <w:t>(b)</w:t>
      </w:r>
      <w:r>
        <w:rPr>
          <w:snapToGrid w:val="0"/>
        </w:rPr>
        <w:tab/>
        <w:t>contain a statement of the grounds on which the judgment was based; and</w:t>
      </w:r>
    </w:p>
    <w:p w:rsidR="00425758" w:rsidRDefault="00425758">
      <w:pPr>
        <w:pStyle w:val="Indenta"/>
        <w:rPr>
          <w:snapToGrid w:val="0"/>
        </w:rPr>
      </w:pPr>
      <w:r>
        <w:rPr>
          <w:snapToGrid w:val="0"/>
        </w:rPr>
        <w:lastRenderedPageBreak/>
        <w:tab/>
        <w:t>(c)</w:t>
      </w:r>
      <w:r>
        <w:rPr>
          <w:snapToGrid w:val="0"/>
        </w:rPr>
        <w:tab/>
        <w:t>state whether the defendant did or did not object to the jurisdiction, and, if so, the grounds of such objection; and</w:t>
      </w:r>
    </w:p>
    <w:p w:rsidR="00425758" w:rsidRDefault="00425758">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rsidR="00425758" w:rsidRDefault="00425758">
      <w:pPr>
        <w:pStyle w:val="Indenta"/>
        <w:rPr>
          <w:snapToGrid w:val="0"/>
        </w:rPr>
      </w:pPr>
      <w:r>
        <w:rPr>
          <w:snapToGrid w:val="0"/>
        </w:rPr>
        <w:tab/>
        <w:t>(e)</w:t>
      </w:r>
      <w:r>
        <w:rPr>
          <w:snapToGrid w:val="0"/>
        </w:rPr>
        <w:tab/>
        <w:t>state the rate at which the judgment carries interest.</w:t>
      </w:r>
    </w:p>
    <w:p w:rsidR="00425758" w:rsidRDefault="00425758">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rsidR="00425758" w:rsidRDefault="00425758">
      <w:pPr>
        <w:pStyle w:val="MiscOpen"/>
        <w:rPr>
          <w:snapToGrid w:val="0"/>
        </w:rPr>
      </w:pPr>
      <w:r>
        <w:rPr>
          <w:snapToGrid w:val="0"/>
        </w:rPr>
        <w:tab/>
        <w:t>“</w:t>
      </w:r>
    </w:p>
    <w:p w:rsidR="00425758" w:rsidRDefault="00425758">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rsidR="00425758" w:rsidRDefault="00425758">
      <w:pPr>
        <w:pStyle w:val="MiscellaneousBody"/>
        <w:tabs>
          <w:tab w:val="left" w:pos="4536"/>
        </w:tabs>
        <w:ind w:left="1134"/>
        <w:rPr>
          <w:snapToGrid w:val="0"/>
        </w:rPr>
      </w:pPr>
      <w:r>
        <w:rPr>
          <w:snapToGrid w:val="0"/>
        </w:rPr>
        <w:tab/>
        <w:t>(Signed)</w:t>
      </w:r>
    </w:p>
    <w:p w:rsidR="00425758" w:rsidRDefault="00425758">
      <w:pPr>
        <w:pStyle w:val="MiscellaneousBody"/>
        <w:tabs>
          <w:tab w:val="left" w:pos="2268"/>
        </w:tabs>
        <w:ind w:left="2268" w:hanging="1134"/>
        <w:rPr>
          <w:snapToGrid w:val="0"/>
        </w:rPr>
      </w:pPr>
      <w:r>
        <w:rPr>
          <w:snapToGrid w:val="0"/>
        </w:rPr>
        <w:tab/>
        <w:t>Principal Registrar of the Supreme Court of Western Australia.</w:t>
      </w:r>
    </w:p>
    <w:p w:rsidR="00425758" w:rsidRDefault="00425758">
      <w:pPr>
        <w:pStyle w:val="MiscClose"/>
        <w:rPr>
          <w:snapToGrid w:val="0"/>
        </w:rPr>
      </w:pPr>
      <w:r>
        <w:rPr>
          <w:snapToGrid w:val="0"/>
        </w:rPr>
        <w:t>”.</w:t>
      </w:r>
    </w:p>
    <w:p w:rsidR="00425758" w:rsidRDefault="00425758">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rsidR="00425758" w:rsidRDefault="00425758">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rsidR="00425758" w:rsidRDefault="00425758">
      <w:pPr>
        <w:pStyle w:val="Indenta"/>
        <w:rPr>
          <w:snapToGrid w:val="0"/>
        </w:rPr>
      </w:pPr>
      <w:r>
        <w:rPr>
          <w:snapToGrid w:val="0"/>
        </w:rPr>
        <w:tab/>
        <w:t>(b)</w:t>
      </w:r>
      <w:r>
        <w:rPr>
          <w:snapToGrid w:val="0"/>
        </w:rPr>
        <w:tab/>
        <w:t>the manner in which the writ or summons was served or that the defendant appeared thereto;</w:t>
      </w:r>
    </w:p>
    <w:p w:rsidR="00425758" w:rsidRDefault="00425758">
      <w:pPr>
        <w:pStyle w:val="Indenta"/>
        <w:rPr>
          <w:snapToGrid w:val="0"/>
        </w:rPr>
      </w:pPr>
      <w:r>
        <w:rPr>
          <w:snapToGrid w:val="0"/>
        </w:rPr>
        <w:tab/>
        <w:t>(c)</w:t>
      </w:r>
      <w:r>
        <w:rPr>
          <w:snapToGrid w:val="0"/>
        </w:rPr>
        <w:tab/>
        <w:t>the objections made to the jurisdiction, if any;</w:t>
      </w:r>
    </w:p>
    <w:p w:rsidR="00425758" w:rsidRDefault="00425758">
      <w:pPr>
        <w:pStyle w:val="Indenta"/>
        <w:rPr>
          <w:snapToGrid w:val="0"/>
        </w:rPr>
      </w:pPr>
      <w:r>
        <w:rPr>
          <w:snapToGrid w:val="0"/>
        </w:rPr>
        <w:tab/>
        <w:t>(d)</w:t>
      </w:r>
      <w:r>
        <w:rPr>
          <w:snapToGrid w:val="0"/>
        </w:rPr>
        <w:tab/>
        <w:t>the pleadings, if any, in the proceedings;</w:t>
      </w:r>
    </w:p>
    <w:p w:rsidR="00425758" w:rsidRDefault="00425758">
      <w:pPr>
        <w:pStyle w:val="Indenta"/>
        <w:rPr>
          <w:snapToGrid w:val="0"/>
        </w:rPr>
      </w:pPr>
      <w:r>
        <w:rPr>
          <w:snapToGrid w:val="0"/>
        </w:rPr>
        <w:lastRenderedPageBreak/>
        <w:tab/>
        <w:t>(e)</w:t>
      </w:r>
      <w:r>
        <w:rPr>
          <w:snapToGrid w:val="0"/>
        </w:rPr>
        <w:tab/>
        <w:t>the causes of action upon which the judgment was based;</w:t>
      </w:r>
    </w:p>
    <w:p w:rsidR="00425758" w:rsidRDefault="00425758">
      <w:pPr>
        <w:pStyle w:val="Indenta"/>
        <w:rPr>
          <w:snapToGrid w:val="0"/>
        </w:rPr>
      </w:pPr>
      <w:r>
        <w:rPr>
          <w:snapToGrid w:val="0"/>
        </w:rPr>
        <w:tab/>
        <w:t>(f)</w:t>
      </w:r>
      <w:r>
        <w:rPr>
          <w:snapToGrid w:val="0"/>
        </w:rPr>
        <w:tab/>
        <w:t>the rate at which the judgment carried interest;</w:t>
      </w:r>
    </w:p>
    <w:p w:rsidR="00425758" w:rsidRDefault="00425758">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rsidR="00425758" w:rsidRDefault="00425758">
      <w:pPr>
        <w:pStyle w:val="Footnotesection"/>
      </w:pPr>
      <w:r>
        <w:tab/>
        <w:t>[Rule 13 inserted: Gazette 26 Jan 1993 p. 827</w:t>
      </w:r>
      <w:r>
        <w:noBreakHyphen/>
        <w:t xml:space="preserve">8.] </w:t>
      </w:r>
    </w:p>
    <w:p w:rsidR="00425758" w:rsidRDefault="00425758">
      <w:pPr>
        <w:pStyle w:val="Heading2"/>
        <w:rPr>
          <w:b w:val="0"/>
        </w:rPr>
      </w:pPr>
      <w:bookmarkStart w:id="634" w:name="_Toc75512190"/>
      <w:bookmarkStart w:id="635" w:name="_Toc75863286"/>
      <w:r>
        <w:rPr>
          <w:rStyle w:val="CharPartNo"/>
        </w:rPr>
        <w:lastRenderedPageBreak/>
        <w:t>Order 45</w:t>
      </w:r>
      <w:r>
        <w:rPr>
          <w:rStyle w:val="CharDivNo"/>
        </w:rPr>
        <w:t> </w:t>
      </w:r>
      <w:r>
        <w:t>—</w:t>
      </w:r>
      <w:r>
        <w:rPr>
          <w:rStyle w:val="CharDivText"/>
        </w:rPr>
        <w:t> </w:t>
      </w:r>
      <w:r>
        <w:rPr>
          <w:rStyle w:val="CharPartText"/>
        </w:rPr>
        <w:t>Accounts and inquiries</w:t>
      </w:r>
      <w:bookmarkEnd w:id="634"/>
      <w:bookmarkEnd w:id="635"/>
    </w:p>
    <w:p w:rsidR="00425758" w:rsidRDefault="00425758">
      <w:pPr>
        <w:pStyle w:val="Heading5"/>
        <w:rPr>
          <w:snapToGrid w:val="0"/>
        </w:rPr>
      </w:pPr>
      <w:bookmarkStart w:id="636" w:name="_Toc75863287"/>
      <w:r>
        <w:rPr>
          <w:rStyle w:val="CharSectno"/>
        </w:rPr>
        <w:t>1</w:t>
      </w:r>
      <w:r>
        <w:rPr>
          <w:snapToGrid w:val="0"/>
        </w:rPr>
        <w:t>.</w:t>
      </w:r>
      <w:r>
        <w:rPr>
          <w:snapToGrid w:val="0"/>
        </w:rPr>
        <w:tab/>
        <w:t>Summary order for account to be taken</w:t>
      </w:r>
      <w:bookmarkEnd w:id="636"/>
    </w:p>
    <w:p w:rsidR="00425758" w:rsidRDefault="00425758">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rsidR="00425758" w:rsidRDefault="00425758">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rsidR="00425758" w:rsidRDefault="00425758">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rsidR="00425758" w:rsidRDefault="00425758">
      <w:pPr>
        <w:pStyle w:val="Heading5"/>
        <w:rPr>
          <w:snapToGrid w:val="0"/>
        </w:rPr>
      </w:pPr>
      <w:bookmarkStart w:id="637" w:name="_Toc75863288"/>
      <w:r>
        <w:rPr>
          <w:rStyle w:val="CharSectno"/>
        </w:rPr>
        <w:t>2</w:t>
      </w:r>
      <w:r>
        <w:rPr>
          <w:snapToGrid w:val="0"/>
        </w:rPr>
        <w:t>.</w:t>
      </w:r>
      <w:r>
        <w:rPr>
          <w:snapToGrid w:val="0"/>
        </w:rPr>
        <w:tab/>
        <w:t>Direction for accounts etc. may be made at any stage</w:t>
      </w:r>
      <w:bookmarkEnd w:id="637"/>
    </w:p>
    <w:p w:rsidR="00425758" w:rsidRDefault="00425758">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rsidR="00425758" w:rsidRDefault="00425758">
      <w:pPr>
        <w:pStyle w:val="Heading5"/>
        <w:rPr>
          <w:snapToGrid w:val="0"/>
        </w:rPr>
      </w:pPr>
      <w:bookmarkStart w:id="638" w:name="_Toc75863289"/>
      <w:r>
        <w:rPr>
          <w:rStyle w:val="CharSectno"/>
        </w:rPr>
        <w:t>3</w:t>
      </w:r>
      <w:r>
        <w:rPr>
          <w:snapToGrid w:val="0"/>
        </w:rPr>
        <w:t>.</w:t>
      </w:r>
      <w:r>
        <w:rPr>
          <w:snapToGrid w:val="0"/>
        </w:rPr>
        <w:tab/>
        <w:t>Directions to be numbered</w:t>
      </w:r>
      <w:bookmarkEnd w:id="638"/>
    </w:p>
    <w:p w:rsidR="00425758" w:rsidRDefault="00425758">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rsidR="00425758" w:rsidRDefault="00425758">
      <w:pPr>
        <w:pStyle w:val="Heading5"/>
        <w:rPr>
          <w:snapToGrid w:val="0"/>
        </w:rPr>
      </w:pPr>
      <w:bookmarkStart w:id="639" w:name="_Toc75863290"/>
      <w:r>
        <w:rPr>
          <w:rStyle w:val="CharSectno"/>
        </w:rPr>
        <w:t>4</w:t>
      </w:r>
      <w:r>
        <w:rPr>
          <w:snapToGrid w:val="0"/>
        </w:rPr>
        <w:t>.</w:t>
      </w:r>
      <w:r>
        <w:rPr>
          <w:snapToGrid w:val="0"/>
        </w:rPr>
        <w:tab/>
        <w:t>Directions as to mode of taking account</w:t>
      </w:r>
      <w:bookmarkEnd w:id="639"/>
    </w:p>
    <w:p w:rsidR="00425758" w:rsidRDefault="00425758">
      <w:pPr>
        <w:pStyle w:val="Subsection"/>
        <w:rPr>
          <w:snapToGrid w:val="0"/>
        </w:rPr>
      </w:pPr>
      <w:r>
        <w:rPr>
          <w:snapToGrid w:val="0"/>
        </w:rPr>
        <w:tab/>
      </w:r>
      <w:r>
        <w:rPr>
          <w:snapToGrid w:val="0"/>
        </w:rPr>
        <w:tab/>
        <w:t xml:space="preserve">The Court may, either by the judgment or order directing an account to be taken or by any subsequent order, give special directions with regard to the mode in which the account is to be taken or vouched, and in particular may direct that in taking the </w:t>
      </w:r>
      <w:r>
        <w:rPr>
          <w:snapToGrid w:val="0"/>
        </w:rPr>
        <w:lastRenderedPageBreak/>
        <w:t>account, the books of account in which the accounts in question have been kept shall be taken as prima facie evidence of the truth of the matters therein contained, with liberty to the parties interested to take such objections thereto as they may be advised.</w:t>
      </w:r>
    </w:p>
    <w:p w:rsidR="00425758" w:rsidRDefault="00425758">
      <w:pPr>
        <w:pStyle w:val="Heading5"/>
        <w:rPr>
          <w:snapToGrid w:val="0"/>
        </w:rPr>
      </w:pPr>
      <w:bookmarkStart w:id="640" w:name="_Toc75863291"/>
      <w:r>
        <w:rPr>
          <w:rStyle w:val="CharSectno"/>
        </w:rPr>
        <w:t>5</w:t>
      </w:r>
      <w:r>
        <w:rPr>
          <w:snapToGrid w:val="0"/>
        </w:rPr>
        <w:t>.</w:t>
      </w:r>
      <w:r>
        <w:rPr>
          <w:snapToGrid w:val="0"/>
        </w:rPr>
        <w:tab/>
        <w:t>Account to be verified</w:t>
      </w:r>
      <w:bookmarkEnd w:id="640"/>
    </w:p>
    <w:p w:rsidR="00425758" w:rsidRDefault="00425758">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rsidR="00425758" w:rsidRDefault="00425758">
      <w:pPr>
        <w:pStyle w:val="Subsection"/>
        <w:rPr>
          <w:snapToGrid w:val="0"/>
        </w:rPr>
      </w:pPr>
      <w:r>
        <w:rPr>
          <w:snapToGrid w:val="0"/>
        </w:rPr>
        <w:tab/>
        <w:t>(2)</w:t>
      </w:r>
      <w:r>
        <w:rPr>
          <w:snapToGrid w:val="0"/>
        </w:rPr>
        <w:tab/>
        <w:t>The items on each side of the account must be numbered consecutively.</w:t>
      </w:r>
    </w:p>
    <w:p w:rsidR="00425758" w:rsidRDefault="00425758">
      <w:pPr>
        <w:pStyle w:val="Subsection"/>
        <w:rPr>
          <w:snapToGrid w:val="0"/>
        </w:rPr>
      </w:pPr>
      <w:r>
        <w:rPr>
          <w:snapToGrid w:val="0"/>
        </w:rPr>
        <w:tab/>
        <w:t>(3)</w:t>
      </w:r>
      <w:r>
        <w:rPr>
          <w:snapToGrid w:val="0"/>
        </w:rPr>
        <w:tab/>
        <w:t xml:space="preserve">Unless the order for the taking of the account otherwise directs, the accounting party must </w:t>
      </w:r>
      <w:r>
        <w:t xml:space="preserve">file the account, </w:t>
      </w:r>
      <w:r>
        <w:rPr>
          <w:snapToGrid w:val="0"/>
        </w:rPr>
        <w:t xml:space="preserve">and must notify the other parties forthwith that he has so </w:t>
      </w:r>
      <w:r>
        <w:t>filed</w:t>
      </w:r>
      <w:r>
        <w:rPr>
          <w:snapToGrid w:val="0"/>
        </w:rPr>
        <w:t xml:space="preserve"> the account, and of the filing of the affidavit verifying the account, and any supporting affidavit.</w:t>
      </w:r>
    </w:p>
    <w:p w:rsidR="00425758" w:rsidRDefault="00425758">
      <w:pPr>
        <w:pStyle w:val="Footnotesection"/>
      </w:pPr>
      <w:r>
        <w:tab/>
        <w:t xml:space="preserve">[Rule 5 amended: Gazette 27 Feb 2018 p. 569-70.] </w:t>
      </w:r>
    </w:p>
    <w:p w:rsidR="00425758" w:rsidRDefault="00425758">
      <w:pPr>
        <w:pStyle w:val="Heading5"/>
        <w:rPr>
          <w:snapToGrid w:val="0"/>
        </w:rPr>
      </w:pPr>
      <w:bookmarkStart w:id="641" w:name="_Toc75863292"/>
      <w:r>
        <w:rPr>
          <w:rStyle w:val="CharSectno"/>
        </w:rPr>
        <w:t>6</w:t>
      </w:r>
      <w:r>
        <w:rPr>
          <w:snapToGrid w:val="0"/>
        </w:rPr>
        <w:t>.</w:t>
      </w:r>
      <w:r>
        <w:rPr>
          <w:snapToGrid w:val="0"/>
        </w:rPr>
        <w:tab/>
        <w:t>Vouchers and contested etc. items, directions as to</w:t>
      </w:r>
      <w:bookmarkEnd w:id="641"/>
    </w:p>
    <w:p w:rsidR="00425758" w:rsidRDefault="00425758">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rsidR="00425758" w:rsidRDefault="00425758">
      <w:pPr>
        <w:pStyle w:val="Heading5"/>
        <w:rPr>
          <w:snapToGrid w:val="0"/>
        </w:rPr>
      </w:pPr>
      <w:bookmarkStart w:id="642" w:name="_Toc75863293"/>
      <w:r>
        <w:rPr>
          <w:rStyle w:val="CharSectno"/>
        </w:rPr>
        <w:t>7</w:t>
      </w:r>
      <w:r>
        <w:rPr>
          <w:snapToGrid w:val="0"/>
        </w:rPr>
        <w:t>.</w:t>
      </w:r>
      <w:r>
        <w:rPr>
          <w:snapToGrid w:val="0"/>
        </w:rPr>
        <w:tab/>
        <w:t>Surcharge or error, notice of</w:t>
      </w:r>
      <w:bookmarkEnd w:id="642"/>
    </w:p>
    <w:p w:rsidR="00425758" w:rsidRDefault="00425758">
      <w:pPr>
        <w:pStyle w:val="Subsection"/>
        <w:rPr>
          <w:snapToGrid w:val="0"/>
        </w:rPr>
      </w:pPr>
      <w:r>
        <w:rPr>
          <w:snapToGrid w:val="0"/>
        </w:rPr>
        <w:tab/>
      </w:r>
      <w:r>
        <w:rPr>
          <w:snapToGrid w:val="0"/>
        </w:rPr>
        <w:tab/>
        <w:t xml:space="preserve">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w:t>
      </w:r>
      <w:r>
        <w:rPr>
          <w:snapToGrid w:val="0"/>
        </w:rPr>
        <w:lastRenderedPageBreak/>
        <w:t>sought to be charged with brief particulars thereof, or as the case may be, the grounds for alleging that the item is erroneous.</w:t>
      </w:r>
    </w:p>
    <w:p w:rsidR="00425758" w:rsidRDefault="00425758">
      <w:pPr>
        <w:pStyle w:val="Heading5"/>
        <w:rPr>
          <w:snapToGrid w:val="0"/>
        </w:rPr>
      </w:pPr>
      <w:bookmarkStart w:id="643" w:name="_Toc75863294"/>
      <w:r>
        <w:rPr>
          <w:rStyle w:val="CharSectno"/>
        </w:rPr>
        <w:t>8</w:t>
      </w:r>
      <w:r>
        <w:rPr>
          <w:snapToGrid w:val="0"/>
        </w:rPr>
        <w:t>.</w:t>
      </w:r>
      <w:r>
        <w:rPr>
          <w:snapToGrid w:val="0"/>
        </w:rPr>
        <w:tab/>
        <w:t>Allowances that can be made without direction</w:t>
      </w:r>
      <w:bookmarkEnd w:id="643"/>
    </w:p>
    <w:p w:rsidR="00425758" w:rsidRDefault="00425758">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rsidR="00425758" w:rsidRDefault="00425758">
      <w:pPr>
        <w:pStyle w:val="Heading5"/>
        <w:rPr>
          <w:snapToGrid w:val="0"/>
        </w:rPr>
      </w:pPr>
      <w:bookmarkStart w:id="644" w:name="_Toc75863295"/>
      <w:r>
        <w:rPr>
          <w:rStyle w:val="CharSectno"/>
        </w:rPr>
        <w:t>9</w:t>
      </w:r>
      <w:r>
        <w:rPr>
          <w:snapToGrid w:val="0"/>
        </w:rPr>
        <w:t>.</w:t>
      </w:r>
      <w:r>
        <w:rPr>
          <w:snapToGrid w:val="0"/>
        </w:rPr>
        <w:tab/>
        <w:t>Expediting proceedings</w:t>
      </w:r>
      <w:bookmarkEnd w:id="644"/>
    </w:p>
    <w:p w:rsidR="00425758" w:rsidRDefault="00425758">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rsidR="00425758" w:rsidRDefault="00425758">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rsidR="00425758" w:rsidRDefault="00425758">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rsidR="00425758" w:rsidRDefault="00425758">
      <w:pPr>
        <w:pStyle w:val="Footnotesection"/>
      </w:pPr>
      <w:r>
        <w:tab/>
        <w:t xml:space="preserve">[Rule 9 amended: Gazette 2 Jul 1982 p. 2316.] </w:t>
      </w:r>
    </w:p>
    <w:p w:rsidR="00425758" w:rsidRDefault="00425758">
      <w:pPr>
        <w:pStyle w:val="Heading5"/>
        <w:rPr>
          <w:snapToGrid w:val="0"/>
        </w:rPr>
      </w:pPr>
      <w:bookmarkStart w:id="645" w:name="_Toc75863296"/>
      <w:r>
        <w:rPr>
          <w:rStyle w:val="CharSectno"/>
        </w:rPr>
        <w:t>10</w:t>
      </w:r>
      <w:r>
        <w:rPr>
          <w:snapToGrid w:val="0"/>
        </w:rPr>
        <w:t>.</w:t>
      </w:r>
      <w:r>
        <w:rPr>
          <w:snapToGrid w:val="0"/>
        </w:rPr>
        <w:tab/>
        <w:t>Distributing fund before all persons entitled are ascertained</w:t>
      </w:r>
      <w:bookmarkEnd w:id="645"/>
    </w:p>
    <w:p w:rsidR="00425758" w:rsidRDefault="00425758">
      <w:pPr>
        <w:pStyle w:val="Subsection"/>
        <w:spacing w:before="100"/>
        <w:rPr>
          <w:snapToGrid w:val="0"/>
        </w:rPr>
      </w:pPr>
      <w:r>
        <w:rPr>
          <w:snapToGrid w:val="0"/>
        </w:rPr>
        <w:tab/>
      </w:r>
      <w:r>
        <w:rPr>
          <w:snapToGrid w:val="0"/>
        </w:rPr>
        <w:tab/>
        <w:t xml:space="preserve">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w:t>
      </w:r>
      <w:r>
        <w:rPr>
          <w:snapToGrid w:val="0"/>
        </w:rPr>
        <w:lastRenderedPageBreak/>
        <w:t>the costs subsequently to be incurred in ascertaining the remaining persons entitled.</w:t>
      </w:r>
    </w:p>
    <w:p w:rsidR="00425758" w:rsidRDefault="00425758">
      <w:pPr>
        <w:pStyle w:val="Heading5"/>
      </w:pPr>
      <w:bookmarkStart w:id="646" w:name="_Toc75863297"/>
      <w:r>
        <w:rPr>
          <w:rStyle w:val="CharSectno"/>
        </w:rPr>
        <w:t>11</w:t>
      </w:r>
      <w:r>
        <w:t>.</w:t>
      </w:r>
      <w:r>
        <w:tab/>
        <w:t>Master etc. may be ordered to take accounts or make inquiries</w:t>
      </w:r>
      <w:bookmarkEnd w:id="646"/>
    </w:p>
    <w:p w:rsidR="00425758" w:rsidRDefault="00425758">
      <w:pPr>
        <w:pStyle w:val="Subsection"/>
      </w:pPr>
      <w:r>
        <w:tab/>
        <w:t>(1)</w:t>
      </w:r>
      <w:r>
        <w:tab/>
        <w:t>If under this Order the Court orders that an account be taken or that an inquiry be made, the Court may order that it be taken or made by a master, or by a registrar or other proper officer.</w:t>
      </w:r>
    </w:p>
    <w:p w:rsidR="00425758" w:rsidRDefault="00425758">
      <w:pPr>
        <w:pStyle w:val="Subsection"/>
      </w:pPr>
      <w:r>
        <w:tab/>
        <w:t>(2)</w:t>
      </w:r>
      <w:r>
        <w:tab/>
        <w:t>The Court may, in respect of any order made under subrule (1), make any ancillary orders and give any directions that may be necessary.</w:t>
      </w:r>
    </w:p>
    <w:p w:rsidR="00425758" w:rsidRDefault="00425758">
      <w:pPr>
        <w:pStyle w:val="Footnotesection"/>
      </w:pPr>
      <w:r>
        <w:tab/>
        <w:t>[Rule 11 inserted: Gazette 21 Feb 2007 p. 551</w:t>
      </w:r>
      <w:r>
        <w:noBreakHyphen/>
        <w:t>2.]</w:t>
      </w:r>
    </w:p>
    <w:p w:rsidR="00425758" w:rsidRDefault="00425758">
      <w:pPr>
        <w:pStyle w:val="Heading5"/>
      </w:pPr>
      <w:bookmarkStart w:id="647" w:name="_Toc75863298"/>
      <w:r>
        <w:rPr>
          <w:rStyle w:val="CharSectno"/>
        </w:rPr>
        <w:t>12</w:t>
      </w:r>
      <w:r>
        <w:t>.</w:t>
      </w:r>
      <w:r>
        <w:tab/>
        <w:t>Right to adjournment from registrar etc.</w:t>
      </w:r>
      <w:bookmarkEnd w:id="647"/>
    </w:p>
    <w:p w:rsidR="00425758" w:rsidRDefault="00425758">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rsidR="00425758" w:rsidRDefault="00425758">
      <w:pPr>
        <w:pStyle w:val="Footnotesection"/>
      </w:pPr>
      <w:r>
        <w:tab/>
        <w:t>[Rule 12 inserted: Gazette 21 Feb 2007 p. 552.]</w:t>
      </w:r>
    </w:p>
    <w:p w:rsidR="00425758" w:rsidRDefault="00425758">
      <w:pPr>
        <w:pStyle w:val="Heading2"/>
      </w:pPr>
      <w:bookmarkStart w:id="648" w:name="_Toc75512203"/>
      <w:bookmarkStart w:id="649" w:name="_Toc75863299"/>
      <w:r>
        <w:rPr>
          <w:rStyle w:val="CharPartNo"/>
        </w:rPr>
        <w:lastRenderedPageBreak/>
        <w:t>Order 46</w:t>
      </w:r>
      <w:r>
        <w:rPr>
          <w:b w:val="0"/>
        </w:rPr>
        <w:t> </w:t>
      </w:r>
      <w:r>
        <w:t>—</w:t>
      </w:r>
      <w:r>
        <w:rPr>
          <w:b w:val="0"/>
        </w:rPr>
        <w:t> </w:t>
      </w:r>
      <w:r>
        <w:rPr>
          <w:rStyle w:val="CharPartText"/>
          <w:i/>
          <w:iCs/>
        </w:rPr>
        <w:t>Civil Judgments Enforcement Act 2004</w:t>
      </w:r>
      <w:r>
        <w:rPr>
          <w:rStyle w:val="CharPartText"/>
        </w:rPr>
        <w:t xml:space="preserve"> rules</w:t>
      </w:r>
      <w:bookmarkEnd w:id="648"/>
      <w:bookmarkEnd w:id="649"/>
    </w:p>
    <w:p w:rsidR="00425758" w:rsidRDefault="00425758">
      <w:pPr>
        <w:pStyle w:val="Footnoteheading"/>
      </w:pPr>
      <w:r>
        <w:tab/>
        <w:t>[Heading inserted: Gazette 21 Feb 2007 p. 552.]</w:t>
      </w:r>
    </w:p>
    <w:p w:rsidR="00425758" w:rsidRDefault="00425758">
      <w:pPr>
        <w:pStyle w:val="Heading5"/>
      </w:pPr>
      <w:bookmarkStart w:id="650" w:name="_Toc75863300"/>
      <w:r>
        <w:rPr>
          <w:rStyle w:val="CharSectno"/>
        </w:rPr>
        <w:t>1</w:t>
      </w:r>
      <w:r>
        <w:t>.</w:t>
      </w:r>
      <w:r>
        <w:tab/>
        <w:t>Terms used</w:t>
      </w:r>
      <w:bookmarkEnd w:id="650"/>
    </w:p>
    <w:p w:rsidR="00425758" w:rsidRDefault="00425758">
      <w:pPr>
        <w:pStyle w:val="Subsection"/>
      </w:pPr>
      <w:r>
        <w:tab/>
      </w:r>
      <w:r>
        <w:tab/>
        <w:t>In this Order, unless the contrary intention appears —</w:t>
      </w:r>
    </w:p>
    <w:p w:rsidR="00425758" w:rsidRDefault="00425758">
      <w:pPr>
        <w:pStyle w:val="Defstart"/>
      </w:pPr>
      <w:r>
        <w:rPr>
          <w:b/>
        </w:rPr>
        <w:tab/>
      </w:r>
      <w:r>
        <w:rPr>
          <w:rStyle w:val="CharDefText"/>
        </w:rPr>
        <w:t>Act</w:t>
      </w:r>
      <w:r>
        <w:t xml:space="preserve"> means the </w:t>
      </w:r>
      <w:r>
        <w:rPr>
          <w:i/>
        </w:rPr>
        <w:t>Civil Judgments Enforcement Act 2004</w:t>
      </w:r>
      <w:r>
        <w:t>;</w:t>
      </w:r>
    </w:p>
    <w:p w:rsidR="00425758" w:rsidRDefault="00425758">
      <w:pPr>
        <w:pStyle w:val="Defstart"/>
      </w:pPr>
      <w:r>
        <w:rPr>
          <w:b/>
        </w:rPr>
        <w:tab/>
      </w:r>
      <w:r>
        <w:rPr>
          <w:rStyle w:val="CharDefText"/>
        </w:rPr>
        <w:t>section</w:t>
      </w:r>
      <w:r>
        <w:t xml:space="preserve"> means a section of the Act.</w:t>
      </w:r>
    </w:p>
    <w:p w:rsidR="00425758" w:rsidRDefault="00425758">
      <w:pPr>
        <w:pStyle w:val="Footnotesection"/>
      </w:pPr>
      <w:r>
        <w:tab/>
        <w:t>[Rule 1 inserted: Gazette 21 Feb 2007 p. 552.]</w:t>
      </w:r>
    </w:p>
    <w:p w:rsidR="00425758" w:rsidRDefault="00425758">
      <w:pPr>
        <w:pStyle w:val="Heading5"/>
      </w:pPr>
      <w:bookmarkStart w:id="651" w:name="_Toc75863301"/>
      <w:r>
        <w:rPr>
          <w:rStyle w:val="CharSectno"/>
        </w:rPr>
        <w:t>2</w:t>
      </w:r>
      <w:r>
        <w:t>.</w:t>
      </w:r>
      <w:r>
        <w:tab/>
        <w:t>Applications that may be dealt with by registrar</w:t>
      </w:r>
      <w:bookmarkEnd w:id="651"/>
    </w:p>
    <w:p w:rsidR="00425758" w:rsidRDefault="00425758">
      <w:pPr>
        <w:pStyle w:val="Subsection"/>
      </w:pPr>
      <w:r>
        <w:tab/>
        <w:t>(1)</w:t>
      </w:r>
      <w:r>
        <w:tab/>
        <w:t xml:space="preserve">Each of the following applications, if made to the Court, may be dealt with by a registrar — </w:t>
      </w:r>
    </w:p>
    <w:p w:rsidR="00425758" w:rsidRDefault="00425758">
      <w:pPr>
        <w:pStyle w:val="Indenta"/>
      </w:pPr>
      <w:r>
        <w:tab/>
        <w:t>(a)</w:t>
      </w:r>
      <w:r>
        <w:tab/>
        <w:t>an application made under a section listed in the Table to this subrule;</w:t>
      </w:r>
    </w:p>
    <w:p w:rsidR="00425758" w:rsidRDefault="00425758">
      <w:pPr>
        <w:pStyle w:val="Indenta"/>
      </w:pPr>
      <w:r>
        <w:tab/>
        <w:t>(b)</w:t>
      </w:r>
      <w:r>
        <w:tab/>
        <w:t>an application for an order under section 10, 15(5)(a) or 20(3);</w:t>
      </w:r>
    </w:p>
    <w:p w:rsidR="00425758" w:rsidRDefault="00425758">
      <w:pPr>
        <w:pStyle w:val="Indenta"/>
      </w:pPr>
      <w:r>
        <w:tab/>
        <w:t>(c)</w:t>
      </w:r>
      <w:r>
        <w:tab/>
        <w:t>an application for leave under section 13(1)(a).</w:t>
      </w:r>
    </w:p>
    <w:p w:rsidR="00425758" w:rsidRDefault="00425758">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rsidR="00425758">
        <w:tc>
          <w:tcPr>
            <w:tcW w:w="1843" w:type="dxa"/>
          </w:tcPr>
          <w:p w:rsidR="00425758" w:rsidRDefault="00425758">
            <w:pPr>
              <w:pStyle w:val="TableNAm"/>
            </w:pPr>
            <w:r>
              <w:t>s. 15(1)</w:t>
            </w:r>
          </w:p>
        </w:tc>
        <w:tc>
          <w:tcPr>
            <w:tcW w:w="1984" w:type="dxa"/>
          </w:tcPr>
          <w:p w:rsidR="00425758" w:rsidRDefault="00425758">
            <w:pPr>
              <w:pStyle w:val="TableNAm"/>
            </w:pPr>
            <w:r>
              <w:t>s. 41(2)</w:t>
            </w:r>
          </w:p>
        </w:tc>
        <w:tc>
          <w:tcPr>
            <w:tcW w:w="1418" w:type="dxa"/>
          </w:tcPr>
          <w:p w:rsidR="00425758" w:rsidRDefault="00425758">
            <w:pPr>
              <w:pStyle w:val="TableNAm"/>
            </w:pPr>
            <w:r>
              <w:t>s. 59(1)</w:t>
            </w:r>
          </w:p>
        </w:tc>
      </w:tr>
      <w:tr w:rsidR="00425758">
        <w:tc>
          <w:tcPr>
            <w:tcW w:w="1843" w:type="dxa"/>
          </w:tcPr>
          <w:p w:rsidR="00425758" w:rsidRDefault="00425758">
            <w:pPr>
              <w:pStyle w:val="TableNAm"/>
            </w:pPr>
            <w:r>
              <w:t>s. 27</w:t>
            </w:r>
          </w:p>
        </w:tc>
        <w:tc>
          <w:tcPr>
            <w:tcW w:w="1984" w:type="dxa"/>
          </w:tcPr>
          <w:p w:rsidR="00425758" w:rsidRDefault="00425758">
            <w:pPr>
              <w:pStyle w:val="TableNAm"/>
            </w:pPr>
            <w:r>
              <w:t>s. 42(1)</w:t>
            </w:r>
          </w:p>
        </w:tc>
        <w:tc>
          <w:tcPr>
            <w:tcW w:w="1418" w:type="dxa"/>
          </w:tcPr>
          <w:p w:rsidR="00425758" w:rsidRDefault="00425758">
            <w:pPr>
              <w:pStyle w:val="TableNAm"/>
            </w:pPr>
            <w:r>
              <w:t>s. 95(1)</w:t>
            </w:r>
          </w:p>
        </w:tc>
      </w:tr>
      <w:tr w:rsidR="00425758">
        <w:tc>
          <w:tcPr>
            <w:tcW w:w="1843" w:type="dxa"/>
          </w:tcPr>
          <w:p w:rsidR="00425758" w:rsidRDefault="00425758">
            <w:pPr>
              <w:pStyle w:val="TableNAm"/>
            </w:pPr>
            <w:r>
              <w:t>s. 28</w:t>
            </w:r>
          </w:p>
        </w:tc>
        <w:tc>
          <w:tcPr>
            <w:tcW w:w="1984" w:type="dxa"/>
          </w:tcPr>
          <w:p w:rsidR="00425758" w:rsidRDefault="00425758">
            <w:pPr>
              <w:pStyle w:val="TableNAm"/>
            </w:pPr>
            <w:r>
              <w:t>s. 49(1)</w:t>
            </w:r>
          </w:p>
        </w:tc>
        <w:tc>
          <w:tcPr>
            <w:tcW w:w="1418" w:type="dxa"/>
          </w:tcPr>
          <w:p w:rsidR="00425758" w:rsidRDefault="00425758">
            <w:pPr>
              <w:pStyle w:val="TableNAm"/>
            </w:pPr>
            <w:r>
              <w:t>s. 101(1)</w:t>
            </w:r>
          </w:p>
        </w:tc>
      </w:tr>
      <w:tr w:rsidR="00425758">
        <w:tc>
          <w:tcPr>
            <w:tcW w:w="1843" w:type="dxa"/>
          </w:tcPr>
          <w:p w:rsidR="00425758" w:rsidRDefault="00425758">
            <w:pPr>
              <w:pStyle w:val="TableNAm"/>
            </w:pPr>
            <w:r>
              <w:t>s. 32</w:t>
            </w:r>
          </w:p>
        </w:tc>
        <w:tc>
          <w:tcPr>
            <w:tcW w:w="1984" w:type="dxa"/>
          </w:tcPr>
          <w:p w:rsidR="00425758" w:rsidRDefault="00425758">
            <w:pPr>
              <w:pStyle w:val="TableNAm"/>
            </w:pPr>
            <w:r>
              <w:t>s. 55(2)</w:t>
            </w:r>
          </w:p>
        </w:tc>
        <w:tc>
          <w:tcPr>
            <w:tcW w:w="1418" w:type="dxa"/>
          </w:tcPr>
          <w:p w:rsidR="00425758" w:rsidRDefault="00425758">
            <w:pPr>
              <w:pStyle w:val="TableNAm"/>
            </w:pPr>
            <w:r>
              <w:t>s. 102(2)</w:t>
            </w:r>
          </w:p>
        </w:tc>
      </w:tr>
      <w:tr w:rsidR="00425758">
        <w:tc>
          <w:tcPr>
            <w:tcW w:w="1843" w:type="dxa"/>
          </w:tcPr>
          <w:p w:rsidR="00425758" w:rsidRDefault="00425758">
            <w:pPr>
              <w:pStyle w:val="TableNAm"/>
            </w:pPr>
            <w:r>
              <w:t>s. 33</w:t>
            </w:r>
          </w:p>
        </w:tc>
        <w:tc>
          <w:tcPr>
            <w:tcW w:w="1984" w:type="dxa"/>
          </w:tcPr>
          <w:p w:rsidR="00425758" w:rsidRDefault="00425758">
            <w:pPr>
              <w:pStyle w:val="TableNAm"/>
            </w:pPr>
            <w:r>
              <w:t>s. 56(1)</w:t>
            </w:r>
          </w:p>
        </w:tc>
        <w:tc>
          <w:tcPr>
            <w:tcW w:w="1418" w:type="dxa"/>
          </w:tcPr>
          <w:p w:rsidR="00425758" w:rsidRDefault="00425758">
            <w:pPr>
              <w:pStyle w:val="TableNAm"/>
            </w:pPr>
            <w:r>
              <w:t>s. 103(2)</w:t>
            </w:r>
          </w:p>
        </w:tc>
      </w:tr>
      <w:tr w:rsidR="00425758">
        <w:tc>
          <w:tcPr>
            <w:tcW w:w="1843" w:type="dxa"/>
          </w:tcPr>
          <w:p w:rsidR="00425758" w:rsidRDefault="00425758">
            <w:pPr>
              <w:pStyle w:val="TableNAm"/>
            </w:pPr>
            <w:r>
              <w:t>s. 35(1)</w:t>
            </w:r>
          </w:p>
        </w:tc>
        <w:tc>
          <w:tcPr>
            <w:tcW w:w="1984" w:type="dxa"/>
          </w:tcPr>
          <w:p w:rsidR="00425758" w:rsidRDefault="00425758">
            <w:pPr>
              <w:pStyle w:val="TableNAm"/>
            </w:pPr>
            <w:r>
              <w:t>s. 58(1)</w:t>
            </w:r>
          </w:p>
        </w:tc>
        <w:tc>
          <w:tcPr>
            <w:tcW w:w="1418" w:type="dxa"/>
          </w:tcPr>
          <w:p w:rsidR="00425758" w:rsidRDefault="00425758">
            <w:pPr>
              <w:pStyle w:val="TableNAm"/>
            </w:pPr>
          </w:p>
        </w:tc>
      </w:tr>
    </w:tbl>
    <w:p w:rsidR="00425758" w:rsidRDefault="00425758">
      <w:pPr>
        <w:pStyle w:val="Subsection"/>
        <w:spacing w:before="240"/>
      </w:pPr>
      <w:r>
        <w:tab/>
        <w:t>(2)</w:t>
      </w:r>
      <w:r>
        <w:tab/>
        <w:t>A registrar who is dealing with an application or request may exercise any power conferred by the Act on the Court in respect of the application.</w:t>
      </w:r>
    </w:p>
    <w:p w:rsidR="00425758" w:rsidRDefault="00425758">
      <w:pPr>
        <w:pStyle w:val="Subsection"/>
      </w:pPr>
      <w:r>
        <w:lastRenderedPageBreak/>
        <w:tab/>
        <w:t>(3)</w:t>
      </w:r>
      <w:r>
        <w:tab/>
        <w:t>A registrar may conduct a means inquiry under section 30 and for that purpose exercise any power in section 30 or 31.</w:t>
      </w:r>
    </w:p>
    <w:p w:rsidR="00425758" w:rsidRDefault="00425758">
      <w:pPr>
        <w:pStyle w:val="Footnotesection"/>
      </w:pPr>
      <w:r>
        <w:tab/>
        <w:t>[Rule 2 inserted: Gazette 21 Feb 2007 p. 552.]</w:t>
      </w:r>
    </w:p>
    <w:p w:rsidR="00425758" w:rsidRDefault="00425758">
      <w:pPr>
        <w:pStyle w:val="Heading5"/>
      </w:pPr>
      <w:bookmarkStart w:id="652" w:name="_Toc75863302"/>
      <w:r>
        <w:rPr>
          <w:rStyle w:val="CharSectno"/>
        </w:rPr>
        <w:t>3</w:t>
      </w:r>
      <w:r>
        <w:t>.</w:t>
      </w:r>
      <w:r>
        <w:tab/>
        <w:t>Enforcing judgment in action between partners</w:t>
      </w:r>
      <w:bookmarkEnd w:id="652"/>
    </w:p>
    <w:p w:rsidR="00425758" w:rsidRDefault="00425758">
      <w:pPr>
        <w:pStyle w:val="Subsection"/>
      </w:pPr>
      <w:r>
        <w:tab/>
        <w:t>(1)</w:t>
      </w:r>
      <w:r>
        <w:tab/>
        <w:t>Proceedings under the Act to enforce a judgment in an action described in Order 71 rule 9 cannot be commenced without the leave of the Court.</w:t>
      </w:r>
    </w:p>
    <w:p w:rsidR="00425758" w:rsidRDefault="00425758">
      <w:pPr>
        <w:pStyle w:val="Subsection"/>
      </w:pPr>
      <w:r>
        <w:tab/>
        <w:t>(2)</w:t>
      </w:r>
      <w:r>
        <w:tab/>
        <w:t>On an application for such leave such accounts and inquiries may be directed to be taken and made, and such directions given, as may be just.</w:t>
      </w:r>
    </w:p>
    <w:p w:rsidR="00425758" w:rsidRDefault="00425758">
      <w:pPr>
        <w:pStyle w:val="Footnotesection"/>
      </w:pPr>
      <w:r>
        <w:tab/>
        <w:t>[Rule 3 inserted: Gazette 22 Feb 2008 p. 637.]</w:t>
      </w:r>
    </w:p>
    <w:p w:rsidR="00425758" w:rsidRDefault="00425758">
      <w:pPr>
        <w:pStyle w:val="Ednotepart"/>
        <w:tabs>
          <w:tab w:val="left" w:pos="1260"/>
        </w:tabs>
        <w:ind w:left="1260" w:hanging="1260"/>
      </w:pPr>
      <w:r>
        <w:t>[Order 47.</w:t>
      </w:r>
      <w:r>
        <w:tab/>
        <w:t>Rules 1</w:t>
      </w:r>
      <w:r>
        <w:noBreakHyphen/>
        <w:t>8 and 10</w:t>
      </w:r>
      <w:r>
        <w:noBreakHyphen/>
        <w:t>15 deleted: Gazette 21 Feb 2007 p. 553;</w:t>
      </w:r>
      <w:r>
        <w:br/>
        <w:t>Rule 9 deleted: Gazette 15 Jun 1973 p. 2248.]</w:t>
      </w:r>
    </w:p>
    <w:p w:rsidR="00425758" w:rsidRDefault="00425758">
      <w:pPr>
        <w:pStyle w:val="Ednotepart"/>
      </w:pPr>
      <w:r>
        <w:t>[Orders 48-50 deleted: Gazette 21 Feb 2007 p. 553.]</w:t>
      </w:r>
    </w:p>
    <w:p w:rsidR="00425758" w:rsidRDefault="00425758">
      <w:pPr>
        <w:pStyle w:val="Heading2"/>
        <w:rPr>
          <w:b w:val="0"/>
        </w:rPr>
      </w:pPr>
      <w:bookmarkStart w:id="653" w:name="_Toc75512207"/>
      <w:bookmarkStart w:id="654" w:name="_Toc75863303"/>
      <w:r>
        <w:rPr>
          <w:rStyle w:val="CharPartNo"/>
        </w:rPr>
        <w:lastRenderedPageBreak/>
        <w:t>Order 51</w:t>
      </w:r>
      <w:r>
        <w:rPr>
          <w:rStyle w:val="CharDivNo"/>
        </w:rPr>
        <w:t> </w:t>
      </w:r>
      <w:r>
        <w:t>—</w:t>
      </w:r>
      <w:r>
        <w:rPr>
          <w:rStyle w:val="CharDivText"/>
        </w:rPr>
        <w:t> </w:t>
      </w:r>
      <w:r>
        <w:rPr>
          <w:rStyle w:val="CharPartText"/>
        </w:rPr>
        <w:t>Receivers</w:t>
      </w:r>
      <w:bookmarkEnd w:id="653"/>
      <w:bookmarkEnd w:id="654"/>
    </w:p>
    <w:p w:rsidR="00425758" w:rsidRDefault="00425758">
      <w:pPr>
        <w:pStyle w:val="Heading5"/>
        <w:rPr>
          <w:snapToGrid w:val="0"/>
        </w:rPr>
      </w:pPr>
      <w:bookmarkStart w:id="655" w:name="_Toc75863304"/>
      <w:r>
        <w:rPr>
          <w:rStyle w:val="CharSectno"/>
        </w:rPr>
        <w:t>1</w:t>
      </w:r>
      <w:r>
        <w:rPr>
          <w:snapToGrid w:val="0"/>
        </w:rPr>
        <w:t>.</w:t>
      </w:r>
      <w:r>
        <w:rPr>
          <w:snapToGrid w:val="0"/>
        </w:rPr>
        <w:tab/>
        <w:t>Application for receiver and injunction</w:t>
      </w:r>
      <w:bookmarkEnd w:id="655"/>
    </w:p>
    <w:p w:rsidR="00425758" w:rsidRDefault="00425758">
      <w:pPr>
        <w:pStyle w:val="Subsection"/>
        <w:rPr>
          <w:snapToGrid w:val="0"/>
        </w:rPr>
      </w:pPr>
      <w:r>
        <w:rPr>
          <w:snapToGrid w:val="0"/>
        </w:rPr>
        <w:tab/>
        <w:t>(1)</w:t>
      </w:r>
      <w:r>
        <w:rPr>
          <w:snapToGrid w:val="0"/>
        </w:rPr>
        <w:tab/>
        <w:t>An application for the appointment of a receiver may be made by summons (Form No. 60) or motion.</w:t>
      </w:r>
    </w:p>
    <w:p w:rsidR="00425758" w:rsidRDefault="00425758">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rsidR="00425758" w:rsidRDefault="00425758">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rsidR="00425758" w:rsidRDefault="00425758">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rsidR="00425758" w:rsidRDefault="00425758">
      <w:pPr>
        <w:pStyle w:val="Footnotesection"/>
      </w:pPr>
      <w:r>
        <w:tab/>
        <w:t>[Rule 1 amended: Gazette 28 Jun 2011 p. 2552.]</w:t>
      </w:r>
    </w:p>
    <w:p w:rsidR="00425758" w:rsidRDefault="00425758">
      <w:pPr>
        <w:pStyle w:val="Ednotesection"/>
      </w:pPr>
      <w:r>
        <w:t>[</w:t>
      </w:r>
      <w:r>
        <w:rPr>
          <w:b/>
        </w:rPr>
        <w:t>2.</w:t>
      </w:r>
      <w:r>
        <w:tab/>
        <w:t>Deleted: Gazette 21 Feb 2007 p. 553.]</w:t>
      </w:r>
    </w:p>
    <w:p w:rsidR="00425758" w:rsidRDefault="00425758">
      <w:pPr>
        <w:pStyle w:val="Heading5"/>
        <w:rPr>
          <w:snapToGrid w:val="0"/>
        </w:rPr>
      </w:pPr>
      <w:bookmarkStart w:id="656" w:name="_Toc75863305"/>
      <w:r>
        <w:rPr>
          <w:rStyle w:val="CharSectno"/>
        </w:rPr>
        <w:t>3</w:t>
      </w:r>
      <w:r>
        <w:rPr>
          <w:snapToGrid w:val="0"/>
        </w:rPr>
        <w:t>.</w:t>
      </w:r>
      <w:r>
        <w:rPr>
          <w:snapToGrid w:val="0"/>
        </w:rPr>
        <w:tab/>
        <w:t>Security to be given by receiver</w:t>
      </w:r>
      <w:bookmarkEnd w:id="656"/>
    </w:p>
    <w:p w:rsidR="00425758" w:rsidRDefault="00425758">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rsidR="00425758" w:rsidRDefault="00425758">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rsidR="00425758" w:rsidRDefault="00425758">
      <w:pPr>
        <w:pStyle w:val="Ednotesubsection"/>
      </w:pPr>
      <w:r>
        <w:tab/>
        <w:t>[(3)</w:t>
      </w:r>
      <w:r>
        <w:tab/>
        <w:t>deleted]</w:t>
      </w:r>
    </w:p>
    <w:p w:rsidR="00425758" w:rsidRDefault="00425758">
      <w:pPr>
        <w:pStyle w:val="Subsection"/>
        <w:rPr>
          <w:snapToGrid w:val="0"/>
        </w:rPr>
      </w:pPr>
      <w:r>
        <w:rPr>
          <w:snapToGrid w:val="0"/>
        </w:rPr>
        <w:lastRenderedPageBreak/>
        <w:tab/>
        <w:t>(4)</w:t>
      </w:r>
      <w:r>
        <w:rPr>
          <w:snapToGrid w:val="0"/>
        </w:rPr>
        <w:tab/>
        <w:t xml:space="preserve">The </w:t>
      </w:r>
      <w:r>
        <w:t xml:space="preserve">security referred to in subrule (2) </w:t>
      </w:r>
      <w:r>
        <w:rPr>
          <w:snapToGrid w:val="0"/>
        </w:rPr>
        <w:t xml:space="preserve">must be </w:t>
      </w:r>
      <w:r>
        <w:t>filed</w:t>
      </w:r>
      <w:r>
        <w:rPr>
          <w:snapToGrid w:val="0"/>
        </w:rPr>
        <w:t xml:space="preserve"> and shall be kept as of record until duly vacated.</w:t>
      </w:r>
    </w:p>
    <w:p w:rsidR="00425758" w:rsidRDefault="00425758">
      <w:pPr>
        <w:pStyle w:val="Footnotesection"/>
      </w:pPr>
      <w:r>
        <w:tab/>
        <w:t xml:space="preserve">[Rule 3 amended: Gazette 30 Nov 1984 p. 3953; 28 Jun 2011 p. 2552; 16 Aug 2017 p. 4416; 27 Feb 2018 p. 570.] </w:t>
      </w:r>
    </w:p>
    <w:p w:rsidR="00425758" w:rsidRDefault="00425758">
      <w:pPr>
        <w:pStyle w:val="Heading5"/>
        <w:rPr>
          <w:snapToGrid w:val="0"/>
        </w:rPr>
      </w:pPr>
      <w:bookmarkStart w:id="657" w:name="_Toc75863306"/>
      <w:r>
        <w:rPr>
          <w:rStyle w:val="CharSectno"/>
        </w:rPr>
        <w:t>4</w:t>
      </w:r>
      <w:r>
        <w:rPr>
          <w:snapToGrid w:val="0"/>
        </w:rPr>
        <w:t>.</w:t>
      </w:r>
      <w:r>
        <w:rPr>
          <w:snapToGrid w:val="0"/>
        </w:rPr>
        <w:tab/>
        <w:t>Remuneration of receiver</w:t>
      </w:r>
      <w:bookmarkEnd w:id="657"/>
    </w:p>
    <w:p w:rsidR="00425758" w:rsidRDefault="00425758">
      <w:pPr>
        <w:pStyle w:val="Subsection"/>
        <w:rPr>
          <w:snapToGrid w:val="0"/>
        </w:rPr>
      </w:pPr>
      <w:r>
        <w:rPr>
          <w:snapToGrid w:val="0"/>
        </w:rPr>
        <w:tab/>
      </w:r>
      <w:r>
        <w:rPr>
          <w:snapToGrid w:val="0"/>
        </w:rPr>
        <w:tab/>
        <w:t>A person appointed receiver shall be allowed such remuneration, if any, as may be fixed by the Court.</w:t>
      </w:r>
    </w:p>
    <w:p w:rsidR="00425758" w:rsidRDefault="00425758">
      <w:pPr>
        <w:pStyle w:val="Heading5"/>
        <w:rPr>
          <w:snapToGrid w:val="0"/>
        </w:rPr>
      </w:pPr>
      <w:bookmarkStart w:id="658" w:name="_Toc75863307"/>
      <w:r>
        <w:rPr>
          <w:rStyle w:val="CharSectno"/>
        </w:rPr>
        <w:t>5</w:t>
      </w:r>
      <w:r>
        <w:rPr>
          <w:snapToGrid w:val="0"/>
        </w:rPr>
        <w:t>.</w:t>
      </w:r>
      <w:r>
        <w:rPr>
          <w:snapToGrid w:val="0"/>
        </w:rPr>
        <w:tab/>
        <w:t>Accounts by receiver</w:t>
      </w:r>
      <w:bookmarkEnd w:id="658"/>
    </w:p>
    <w:p w:rsidR="00425758" w:rsidRDefault="00425758">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rsidR="00425758" w:rsidRDefault="00425758">
      <w:pPr>
        <w:pStyle w:val="Subsection"/>
      </w:pPr>
      <w:r>
        <w:tab/>
        <w:t>(1A)</w:t>
      </w:r>
      <w:r>
        <w:tab/>
        <w:t>Unless the Principal Registrar has given approval for them to be filed electronically, the accounts (including the final accounts referred to in rule 8) cannot be filed electronically by a receiver.</w:t>
      </w:r>
    </w:p>
    <w:p w:rsidR="00425758" w:rsidRDefault="00425758">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rsidR="00425758" w:rsidRDefault="00425758">
      <w:pPr>
        <w:pStyle w:val="Subsection"/>
        <w:rPr>
          <w:snapToGrid w:val="0"/>
        </w:rPr>
      </w:pPr>
      <w:r>
        <w:rPr>
          <w:snapToGrid w:val="0"/>
        </w:rPr>
        <w:tab/>
        <w:t>(3)</w:t>
      </w:r>
      <w:r>
        <w:rPr>
          <w:snapToGrid w:val="0"/>
        </w:rPr>
        <w:tab/>
        <w:t>A certificate of the registrar stating the result of a receiver’s account shall from time to time be taken.</w:t>
      </w:r>
    </w:p>
    <w:p w:rsidR="00425758" w:rsidRDefault="00425758">
      <w:pPr>
        <w:pStyle w:val="Footnotesection"/>
      </w:pPr>
      <w:r>
        <w:tab/>
        <w:t xml:space="preserve">[Rule 5 amended: Gazette 2 Jul 1982 p. 2316; 27 Feb 2018 p. 570.] </w:t>
      </w:r>
    </w:p>
    <w:p w:rsidR="00425758" w:rsidRDefault="00425758">
      <w:pPr>
        <w:pStyle w:val="Heading5"/>
        <w:rPr>
          <w:snapToGrid w:val="0"/>
        </w:rPr>
      </w:pPr>
      <w:bookmarkStart w:id="659" w:name="_Toc75863308"/>
      <w:r>
        <w:rPr>
          <w:rStyle w:val="CharSectno"/>
        </w:rPr>
        <w:t>6</w:t>
      </w:r>
      <w:r>
        <w:rPr>
          <w:snapToGrid w:val="0"/>
        </w:rPr>
        <w:t>.</w:t>
      </w:r>
      <w:r>
        <w:rPr>
          <w:snapToGrid w:val="0"/>
        </w:rPr>
        <w:tab/>
        <w:t>Payment of balances by receiver</w:t>
      </w:r>
      <w:bookmarkEnd w:id="659"/>
    </w:p>
    <w:p w:rsidR="00425758" w:rsidRDefault="00425758">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rsidR="00425758" w:rsidRDefault="00425758">
      <w:pPr>
        <w:pStyle w:val="Heading5"/>
        <w:rPr>
          <w:snapToGrid w:val="0"/>
        </w:rPr>
      </w:pPr>
      <w:bookmarkStart w:id="660" w:name="_Toc75863309"/>
      <w:r>
        <w:rPr>
          <w:rStyle w:val="CharSectno"/>
        </w:rPr>
        <w:lastRenderedPageBreak/>
        <w:t>7</w:t>
      </w:r>
      <w:r>
        <w:rPr>
          <w:snapToGrid w:val="0"/>
        </w:rPr>
        <w:t>.</w:t>
      </w:r>
      <w:r>
        <w:rPr>
          <w:snapToGrid w:val="0"/>
        </w:rPr>
        <w:tab/>
        <w:t>Default by receiver</w:t>
      </w:r>
      <w:bookmarkEnd w:id="660"/>
    </w:p>
    <w:p w:rsidR="00425758" w:rsidRDefault="00425758">
      <w:pPr>
        <w:pStyle w:val="Subsection"/>
        <w:rPr>
          <w:snapToGrid w:val="0"/>
        </w:rPr>
      </w:pPr>
      <w:r>
        <w:rPr>
          <w:snapToGrid w:val="0"/>
        </w:rPr>
        <w:tab/>
        <w:t>(1)</w:t>
      </w:r>
      <w:r>
        <w:rPr>
          <w:snapToGrid w:val="0"/>
        </w:rPr>
        <w:tab/>
        <w:t>Where a receiver fails — </w:t>
      </w:r>
    </w:p>
    <w:p w:rsidR="00425758" w:rsidRDefault="00425758">
      <w:pPr>
        <w:pStyle w:val="Indenta"/>
        <w:rPr>
          <w:snapToGrid w:val="0"/>
        </w:rPr>
      </w:pPr>
      <w:r>
        <w:rPr>
          <w:snapToGrid w:val="0"/>
        </w:rPr>
        <w:tab/>
        <w:t>(a)</w:t>
      </w:r>
      <w:r>
        <w:rPr>
          <w:snapToGrid w:val="0"/>
        </w:rPr>
        <w:tab/>
        <w:t>to file an account or affidavit; or</w:t>
      </w:r>
    </w:p>
    <w:p w:rsidR="00425758" w:rsidRDefault="00425758">
      <w:pPr>
        <w:pStyle w:val="Indenta"/>
        <w:rPr>
          <w:snapToGrid w:val="0"/>
        </w:rPr>
      </w:pPr>
      <w:r>
        <w:rPr>
          <w:snapToGrid w:val="0"/>
        </w:rPr>
        <w:tab/>
        <w:t>(b)</w:t>
      </w:r>
      <w:r>
        <w:rPr>
          <w:snapToGrid w:val="0"/>
        </w:rPr>
        <w:tab/>
        <w:t>to attend for the passing of any account of his; or</w:t>
      </w:r>
    </w:p>
    <w:p w:rsidR="00425758" w:rsidRDefault="00425758">
      <w:pPr>
        <w:pStyle w:val="Indenta"/>
        <w:rPr>
          <w:snapToGrid w:val="0"/>
        </w:rPr>
      </w:pPr>
      <w:r>
        <w:rPr>
          <w:snapToGrid w:val="0"/>
        </w:rPr>
        <w:tab/>
        <w:t>(c)</w:t>
      </w:r>
      <w:r>
        <w:rPr>
          <w:snapToGrid w:val="0"/>
        </w:rPr>
        <w:tab/>
        <w:t>to make any payment; or</w:t>
      </w:r>
    </w:p>
    <w:p w:rsidR="00425758" w:rsidRDefault="00425758">
      <w:pPr>
        <w:pStyle w:val="Indenta"/>
        <w:rPr>
          <w:snapToGrid w:val="0"/>
        </w:rPr>
      </w:pPr>
      <w:r>
        <w:rPr>
          <w:snapToGrid w:val="0"/>
        </w:rPr>
        <w:tab/>
        <w:t>(d)</w:t>
      </w:r>
      <w:r>
        <w:rPr>
          <w:snapToGrid w:val="0"/>
        </w:rPr>
        <w:tab/>
        <w:t>to perform any duty,</w:t>
      </w:r>
    </w:p>
    <w:p w:rsidR="00425758" w:rsidRDefault="00425758">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rsidR="00425758" w:rsidRDefault="00425758">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rsidR="00425758" w:rsidRDefault="00425758">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rsidR="00425758" w:rsidRDefault="00425758">
      <w:pPr>
        <w:pStyle w:val="Footnotesection"/>
      </w:pPr>
      <w:r>
        <w:tab/>
        <w:t>[Rule 7 amended: Gazette 2 Jul 1982 p. 2316; 21 Feb 2007 p. 553; 28 Jun 2011 p. 2552.]</w:t>
      </w:r>
    </w:p>
    <w:p w:rsidR="00425758" w:rsidRDefault="00425758">
      <w:pPr>
        <w:pStyle w:val="Heading5"/>
      </w:pPr>
      <w:bookmarkStart w:id="661" w:name="_Toc75863310"/>
      <w:r>
        <w:rPr>
          <w:rStyle w:val="CharSectno"/>
        </w:rPr>
        <w:t>8</w:t>
      </w:r>
      <w:r>
        <w:t>.</w:t>
      </w:r>
      <w:r>
        <w:tab/>
        <w:t>Final accounts to be filed</w:t>
      </w:r>
      <w:bookmarkEnd w:id="661"/>
    </w:p>
    <w:p w:rsidR="00425758" w:rsidRDefault="00425758">
      <w:pPr>
        <w:pStyle w:val="Subsection"/>
      </w:pPr>
      <w:r>
        <w:tab/>
      </w:r>
      <w:r>
        <w:tab/>
        <w:t>When a receivership has been completed, the receiver must file the receiver’s final accounts.</w:t>
      </w:r>
    </w:p>
    <w:p w:rsidR="00425758" w:rsidRDefault="00425758">
      <w:pPr>
        <w:pStyle w:val="Footnotesection"/>
      </w:pPr>
      <w:r>
        <w:tab/>
        <w:t xml:space="preserve">[Rule 8 inserted: Gazette 27 Feb 2018 p. 570.] </w:t>
      </w:r>
    </w:p>
    <w:p w:rsidR="00425758" w:rsidRDefault="00425758">
      <w:pPr>
        <w:pStyle w:val="Heading5"/>
        <w:rPr>
          <w:snapToGrid w:val="0"/>
        </w:rPr>
      </w:pPr>
      <w:bookmarkStart w:id="662" w:name="_Toc75863311"/>
      <w:r>
        <w:rPr>
          <w:rStyle w:val="CharSectno"/>
        </w:rPr>
        <w:lastRenderedPageBreak/>
        <w:t>9</w:t>
      </w:r>
      <w:r>
        <w:rPr>
          <w:snapToGrid w:val="0"/>
        </w:rPr>
        <w:t>.</w:t>
      </w:r>
      <w:r>
        <w:rPr>
          <w:snapToGrid w:val="0"/>
        </w:rPr>
        <w:tab/>
        <w:t>Compensation to party restrained</w:t>
      </w:r>
      <w:bookmarkEnd w:id="662"/>
      <w:r>
        <w:rPr>
          <w:snapToGrid w:val="0"/>
        </w:rPr>
        <w:t xml:space="preserve"> </w:t>
      </w:r>
    </w:p>
    <w:p w:rsidR="00425758" w:rsidRDefault="00425758">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rsidR="00425758" w:rsidRDefault="00425758">
      <w:pPr>
        <w:pStyle w:val="Footnotesection"/>
      </w:pPr>
      <w:r>
        <w:tab/>
        <w:t xml:space="preserve">[Rule 9 inserted: Gazette 5 Jun 1992 p. 2282.] </w:t>
      </w:r>
    </w:p>
    <w:p w:rsidR="00425758" w:rsidRDefault="00425758">
      <w:pPr>
        <w:pStyle w:val="Heading5"/>
        <w:rPr>
          <w:snapToGrid w:val="0"/>
        </w:rPr>
      </w:pPr>
      <w:bookmarkStart w:id="663" w:name="_Toc75863312"/>
      <w:r>
        <w:rPr>
          <w:rStyle w:val="CharSectno"/>
        </w:rPr>
        <w:t>10</w:t>
      </w:r>
      <w:r>
        <w:rPr>
          <w:snapToGrid w:val="0"/>
        </w:rPr>
        <w:t>.</w:t>
      </w:r>
      <w:r>
        <w:rPr>
          <w:snapToGrid w:val="0"/>
        </w:rPr>
        <w:tab/>
        <w:t>Compensation by applicant to party restrained</w:t>
      </w:r>
      <w:bookmarkEnd w:id="663"/>
      <w:r>
        <w:rPr>
          <w:snapToGrid w:val="0"/>
        </w:rPr>
        <w:t xml:space="preserve"> </w:t>
      </w:r>
    </w:p>
    <w:p w:rsidR="00425758" w:rsidRDefault="00425758">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rsidR="00425758" w:rsidRDefault="00425758">
      <w:pPr>
        <w:pStyle w:val="Footnotesection"/>
      </w:pPr>
      <w:r>
        <w:tab/>
        <w:t xml:space="preserve">[Rule 10 inserted: Gazette 5 Jun 1992 p. 2282.] </w:t>
      </w:r>
    </w:p>
    <w:p w:rsidR="00425758" w:rsidRDefault="00425758">
      <w:pPr>
        <w:pStyle w:val="Heading5"/>
      </w:pPr>
      <w:bookmarkStart w:id="664" w:name="_Toc75863313"/>
      <w:r>
        <w:rPr>
          <w:rStyle w:val="CharSectno"/>
        </w:rPr>
        <w:t>11</w:t>
      </w:r>
      <w:r>
        <w:t>.</w:t>
      </w:r>
      <w:r>
        <w:tab/>
        <w:t xml:space="preserve">Application to </w:t>
      </w:r>
      <w:r>
        <w:rPr>
          <w:i/>
        </w:rPr>
        <w:t>Civil Judgments Enforcement Act 2004</w:t>
      </w:r>
      <w:bookmarkEnd w:id="664"/>
    </w:p>
    <w:p w:rsidR="00425758" w:rsidRDefault="00425758">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rsidR="00425758" w:rsidRDefault="00425758">
      <w:pPr>
        <w:pStyle w:val="Footnotesection"/>
      </w:pPr>
      <w:r>
        <w:tab/>
        <w:t>[Rule 11 inserted: Gazette 21 Feb 2007 p. 553.]</w:t>
      </w:r>
    </w:p>
    <w:p w:rsidR="00425758" w:rsidRDefault="00425758">
      <w:pPr>
        <w:pStyle w:val="Heading2"/>
        <w:rPr>
          <w:b w:val="0"/>
        </w:rPr>
      </w:pPr>
      <w:bookmarkStart w:id="665" w:name="_Toc75512218"/>
      <w:bookmarkStart w:id="666" w:name="_Toc75863314"/>
      <w:r>
        <w:rPr>
          <w:rStyle w:val="CharPartNo"/>
        </w:rPr>
        <w:lastRenderedPageBreak/>
        <w:t>Order 52</w:t>
      </w:r>
      <w:r>
        <w:rPr>
          <w:rStyle w:val="CharDivNo"/>
        </w:rPr>
        <w:t> </w:t>
      </w:r>
      <w:r>
        <w:t>—</w:t>
      </w:r>
      <w:r>
        <w:rPr>
          <w:rStyle w:val="CharDivText"/>
        </w:rPr>
        <w:t> </w:t>
      </w:r>
      <w:r>
        <w:rPr>
          <w:rStyle w:val="CharPartText"/>
        </w:rPr>
        <w:t>Interlocutory injunctions, interim preservation of property</w:t>
      </w:r>
      <w:bookmarkEnd w:id="665"/>
      <w:bookmarkEnd w:id="666"/>
    </w:p>
    <w:p w:rsidR="00425758" w:rsidRDefault="00425758">
      <w:pPr>
        <w:pStyle w:val="Heading5"/>
        <w:rPr>
          <w:snapToGrid w:val="0"/>
        </w:rPr>
      </w:pPr>
      <w:bookmarkStart w:id="667" w:name="_Toc75863315"/>
      <w:r>
        <w:rPr>
          <w:rStyle w:val="CharSectno"/>
        </w:rPr>
        <w:t>1</w:t>
      </w:r>
      <w:r>
        <w:rPr>
          <w:snapToGrid w:val="0"/>
        </w:rPr>
        <w:t>.</w:t>
      </w:r>
      <w:r>
        <w:rPr>
          <w:snapToGrid w:val="0"/>
        </w:rPr>
        <w:tab/>
        <w:t>Application for injunction</w:t>
      </w:r>
      <w:bookmarkEnd w:id="667"/>
    </w:p>
    <w:p w:rsidR="00425758" w:rsidRDefault="00425758">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rsidR="00425758" w:rsidRDefault="00425758">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rsidR="00425758" w:rsidRDefault="00425758">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rsidR="00425758" w:rsidRDefault="00425758">
      <w:pPr>
        <w:pStyle w:val="Heading5"/>
        <w:rPr>
          <w:snapToGrid w:val="0"/>
        </w:rPr>
      </w:pPr>
      <w:bookmarkStart w:id="668" w:name="_Toc75863316"/>
      <w:r>
        <w:rPr>
          <w:rStyle w:val="CharSectno"/>
        </w:rPr>
        <w:t>2</w:t>
      </w:r>
      <w:r>
        <w:rPr>
          <w:snapToGrid w:val="0"/>
        </w:rPr>
        <w:t>.</w:t>
      </w:r>
      <w:r>
        <w:rPr>
          <w:snapToGrid w:val="0"/>
        </w:rPr>
        <w:tab/>
        <w:t>Detention etc. of property; securing funds in dispute</w:t>
      </w:r>
      <w:bookmarkEnd w:id="668"/>
    </w:p>
    <w:p w:rsidR="00425758" w:rsidRDefault="00425758">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rsidR="00425758" w:rsidRDefault="00425758">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rsidR="00425758" w:rsidRDefault="00425758">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rsidR="00425758" w:rsidRDefault="00425758">
      <w:pPr>
        <w:pStyle w:val="Subsection"/>
        <w:keepNext/>
        <w:rPr>
          <w:snapToGrid w:val="0"/>
        </w:rPr>
      </w:pPr>
      <w:r>
        <w:rPr>
          <w:snapToGrid w:val="0"/>
        </w:rPr>
        <w:lastRenderedPageBreak/>
        <w:tab/>
        <w:t>(4)</w:t>
      </w:r>
      <w:r>
        <w:rPr>
          <w:snapToGrid w:val="0"/>
        </w:rPr>
        <w:tab/>
        <w:t>An order under this rule shall be subject to such terms, if any, as the Court thinks just.</w:t>
      </w:r>
    </w:p>
    <w:p w:rsidR="00425758" w:rsidRDefault="00425758">
      <w:pPr>
        <w:pStyle w:val="Footnotesection"/>
      </w:pPr>
      <w:r>
        <w:tab/>
        <w:t xml:space="preserve">[Rule 2 amended: Gazette 26 Aug 1994 p. 4415; 28 Oct 1996 p. 5699; 28 Jun 2011 p. 2552.] </w:t>
      </w:r>
    </w:p>
    <w:p w:rsidR="00425758" w:rsidRDefault="00425758">
      <w:pPr>
        <w:pStyle w:val="Heading5"/>
        <w:spacing w:before="240"/>
        <w:rPr>
          <w:snapToGrid w:val="0"/>
        </w:rPr>
      </w:pPr>
      <w:bookmarkStart w:id="669" w:name="_Toc75863317"/>
      <w:r>
        <w:rPr>
          <w:rStyle w:val="CharSectno"/>
        </w:rPr>
        <w:t>3</w:t>
      </w:r>
      <w:r>
        <w:rPr>
          <w:snapToGrid w:val="0"/>
        </w:rPr>
        <w:t>.</w:t>
      </w:r>
      <w:r>
        <w:rPr>
          <w:snapToGrid w:val="0"/>
        </w:rPr>
        <w:tab/>
        <w:t>Power to order taking of samples etc.</w:t>
      </w:r>
      <w:bookmarkEnd w:id="669"/>
    </w:p>
    <w:p w:rsidR="00425758" w:rsidRDefault="00425758">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rsidR="00425758" w:rsidRDefault="00425758">
      <w:pPr>
        <w:pStyle w:val="Indenta"/>
        <w:rPr>
          <w:snapToGrid w:val="0"/>
        </w:rPr>
      </w:pPr>
      <w:r>
        <w:rPr>
          <w:snapToGrid w:val="0"/>
        </w:rPr>
        <w:tab/>
        <w:t>(a)</w:t>
      </w:r>
      <w:r>
        <w:rPr>
          <w:snapToGrid w:val="0"/>
        </w:rPr>
        <w:tab/>
        <w:t>the taking of samples of any property; or</w:t>
      </w:r>
    </w:p>
    <w:p w:rsidR="00425758" w:rsidRDefault="00425758">
      <w:pPr>
        <w:pStyle w:val="Indenta"/>
        <w:rPr>
          <w:snapToGrid w:val="0"/>
        </w:rPr>
      </w:pPr>
      <w:r>
        <w:rPr>
          <w:snapToGrid w:val="0"/>
        </w:rPr>
        <w:tab/>
        <w:t>(b)</w:t>
      </w:r>
      <w:r>
        <w:rPr>
          <w:snapToGrid w:val="0"/>
        </w:rPr>
        <w:tab/>
        <w:t>the making of any observation of any property; or</w:t>
      </w:r>
    </w:p>
    <w:p w:rsidR="00425758" w:rsidRDefault="00425758">
      <w:pPr>
        <w:pStyle w:val="Indenta"/>
        <w:rPr>
          <w:snapToGrid w:val="0"/>
        </w:rPr>
      </w:pPr>
      <w:r>
        <w:rPr>
          <w:snapToGrid w:val="0"/>
        </w:rPr>
        <w:tab/>
        <w:t>(c)</w:t>
      </w:r>
      <w:r>
        <w:rPr>
          <w:snapToGrid w:val="0"/>
        </w:rPr>
        <w:tab/>
        <w:t>the trying of any experiment on or with any property; or</w:t>
      </w:r>
    </w:p>
    <w:p w:rsidR="00425758" w:rsidRDefault="00425758">
      <w:pPr>
        <w:pStyle w:val="Indenta"/>
        <w:rPr>
          <w:snapToGrid w:val="0"/>
        </w:rPr>
      </w:pPr>
      <w:r>
        <w:rPr>
          <w:snapToGrid w:val="0"/>
        </w:rPr>
        <w:tab/>
        <w:t>(d)</w:t>
      </w:r>
      <w:r>
        <w:rPr>
          <w:snapToGrid w:val="0"/>
        </w:rPr>
        <w:tab/>
        <w:t>the observation of any process.</w:t>
      </w:r>
    </w:p>
    <w:p w:rsidR="00425758" w:rsidRDefault="00425758">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rsidR="00425758" w:rsidRDefault="00425758">
      <w:pPr>
        <w:pStyle w:val="Footnotesection"/>
      </w:pPr>
      <w:r>
        <w:tab/>
        <w:t xml:space="preserve">[Rule 3 amended: Gazette 28 Oct 1996 p. 5699; 28 Jun 2011 p. 2552.] </w:t>
      </w:r>
    </w:p>
    <w:p w:rsidR="00425758" w:rsidRDefault="00425758">
      <w:pPr>
        <w:pStyle w:val="Heading5"/>
        <w:spacing w:before="240"/>
        <w:rPr>
          <w:snapToGrid w:val="0"/>
        </w:rPr>
      </w:pPr>
      <w:bookmarkStart w:id="670" w:name="_Toc75863318"/>
      <w:r>
        <w:rPr>
          <w:rStyle w:val="CharSectno"/>
        </w:rPr>
        <w:t>4</w:t>
      </w:r>
      <w:r>
        <w:rPr>
          <w:snapToGrid w:val="0"/>
        </w:rPr>
        <w:t>.</w:t>
      </w:r>
      <w:r>
        <w:rPr>
          <w:snapToGrid w:val="0"/>
        </w:rPr>
        <w:tab/>
        <w:t>Disposal of perishable property etc.</w:t>
      </w:r>
      <w:bookmarkEnd w:id="670"/>
    </w:p>
    <w:p w:rsidR="00425758" w:rsidRDefault="00425758">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rsidR="00425758" w:rsidRDefault="00425758">
      <w:pPr>
        <w:pStyle w:val="Indenta"/>
        <w:rPr>
          <w:snapToGrid w:val="0"/>
        </w:rPr>
      </w:pPr>
      <w:r>
        <w:rPr>
          <w:snapToGrid w:val="0"/>
        </w:rPr>
        <w:tab/>
        <w:t>(a)</w:t>
      </w:r>
      <w:r>
        <w:rPr>
          <w:snapToGrid w:val="0"/>
        </w:rPr>
        <w:tab/>
        <w:t>any property of a perishable nature; or</w:t>
      </w:r>
    </w:p>
    <w:p w:rsidR="00425758" w:rsidRDefault="00425758">
      <w:pPr>
        <w:pStyle w:val="Indenta"/>
        <w:rPr>
          <w:snapToGrid w:val="0"/>
        </w:rPr>
      </w:pPr>
      <w:r>
        <w:rPr>
          <w:snapToGrid w:val="0"/>
        </w:rPr>
        <w:tab/>
        <w:t>(b)</w:t>
      </w:r>
      <w:r>
        <w:rPr>
          <w:snapToGrid w:val="0"/>
        </w:rPr>
        <w:tab/>
        <w:t>any shares or securities which appear likely to depreciate in value; or</w:t>
      </w:r>
    </w:p>
    <w:p w:rsidR="00425758" w:rsidRDefault="00425758">
      <w:pPr>
        <w:pStyle w:val="Indenta"/>
        <w:rPr>
          <w:snapToGrid w:val="0"/>
        </w:rPr>
      </w:pPr>
      <w:r>
        <w:rPr>
          <w:snapToGrid w:val="0"/>
        </w:rPr>
        <w:tab/>
        <w:t>(c)</w:t>
      </w:r>
      <w:r>
        <w:rPr>
          <w:snapToGrid w:val="0"/>
        </w:rPr>
        <w:tab/>
        <w:t>any personal property whatever which for any just and sufficient reason it is desirable to sell at once.</w:t>
      </w:r>
    </w:p>
    <w:p w:rsidR="00425758" w:rsidRDefault="00425758">
      <w:pPr>
        <w:pStyle w:val="Subsection"/>
        <w:keepNext/>
        <w:spacing w:before="180"/>
        <w:rPr>
          <w:snapToGrid w:val="0"/>
        </w:rPr>
      </w:pPr>
      <w:r>
        <w:rPr>
          <w:snapToGrid w:val="0"/>
        </w:rPr>
        <w:tab/>
        <w:t>(2)</w:t>
      </w:r>
      <w:r>
        <w:rPr>
          <w:snapToGrid w:val="0"/>
        </w:rPr>
        <w:tab/>
        <w:t xml:space="preserve">This rule applies to goods, wares, merchandise, shares, securities, and personal property which are the subject of a </w:t>
      </w:r>
      <w:r>
        <w:rPr>
          <w:snapToGrid w:val="0"/>
        </w:rPr>
        <w:lastRenderedPageBreak/>
        <w:t>cause or matter or as to which a question arises in a cause or matter.</w:t>
      </w:r>
    </w:p>
    <w:p w:rsidR="00425758" w:rsidRDefault="00425758">
      <w:pPr>
        <w:pStyle w:val="Footnotesection"/>
      </w:pPr>
      <w:r>
        <w:tab/>
        <w:t xml:space="preserve">[Rule 4 amended: Gazette 26 Aug 1994 p. 4415; 28 Oct 1996 p. 5699.] </w:t>
      </w:r>
    </w:p>
    <w:p w:rsidR="00425758" w:rsidRDefault="00425758">
      <w:pPr>
        <w:pStyle w:val="Heading5"/>
        <w:rPr>
          <w:snapToGrid w:val="0"/>
        </w:rPr>
      </w:pPr>
      <w:bookmarkStart w:id="671" w:name="_Toc75863319"/>
      <w:r>
        <w:rPr>
          <w:rStyle w:val="CharSectno"/>
        </w:rPr>
        <w:t>5</w:t>
      </w:r>
      <w:r>
        <w:rPr>
          <w:snapToGrid w:val="0"/>
        </w:rPr>
        <w:t>.</w:t>
      </w:r>
      <w:r>
        <w:rPr>
          <w:snapToGrid w:val="0"/>
        </w:rPr>
        <w:tab/>
        <w:t>Order for early trial on application for receiver, injunction etc.</w:t>
      </w:r>
      <w:bookmarkEnd w:id="671"/>
    </w:p>
    <w:p w:rsidR="00425758" w:rsidRDefault="00425758">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rsidR="00425758" w:rsidRDefault="00425758">
      <w:pPr>
        <w:pStyle w:val="Heading5"/>
        <w:rPr>
          <w:snapToGrid w:val="0"/>
        </w:rPr>
      </w:pPr>
      <w:bookmarkStart w:id="672" w:name="_Toc75863320"/>
      <w:r>
        <w:rPr>
          <w:rStyle w:val="CharSectno"/>
        </w:rPr>
        <w:t>6</w:t>
      </w:r>
      <w:r>
        <w:rPr>
          <w:snapToGrid w:val="0"/>
        </w:rPr>
        <w:t>.</w:t>
      </w:r>
      <w:r>
        <w:rPr>
          <w:snapToGrid w:val="0"/>
        </w:rPr>
        <w:tab/>
        <w:t>Recovering personal property subject to lien</w:t>
      </w:r>
      <w:bookmarkEnd w:id="672"/>
    </w:p>
    <w:p w:rsidR="00425758" w:rsidRDefault="00425758">
      <w:pPr>
        <w:pStyle w:val="Subsection"/>
        <w:spacing w:before="120"/>
        <w:rPr>
          <w:snapToGrid w:val="0"/>
        </w:rPr>
      </w:pPr>
      <w:r>
        <w:rPr>
          <w:snapToGrid w:val="0"/>
        </w:rPr>
        <w:tab/>
      </w:r>
      <w:r>
        <w:rPr>
          <w:snapToGrid w:val="0"/>
        </w:rPr>
        <w:tab/>
        <w:t>Where — </w:t>
      </w:r>
    </w:p>
    <w:p w:rsidR="00425758" w:rsidRDefault="00425758">
      <w:pPr>
        <w:pStyle w:val="Indenta"/>
        <w:rPr>
          <w:snapToGrid w:val="0"/>
        </w:rPr>
      </w:pPr>
      <w:r>
        <w:rPr>
          <w:snapToGrid w:val="0"/>
        </w:rPr>
        <w:tab/>
        <w:t>(a)</w:t>
      </w:r>
      <w:r>
        <w:rPr>
          <w:snapToGrid w:val="0"/>
        </w:rPr>
        <w:tab/>
        <w:t>the plaintiff, or the defendant by way of counterclaim, seeks to recover specific property other than land; and</w:t>
      </w:r>
    </w:p>
    <w:p w:rsidR="00425758" w:rsidRDefault="00425758">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rsidR="00425758" w:rsidRDefault="00425758">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rsidR="00425758" w:rsidRDefault="00425758">
      <w:pPr>
        <w:pStyle w:val="Heading5"/>
        <w:rPr>
          <w:snapToGrid w:val="0"/>
        </w:rPr>
      </w:pPr>
      <w:bookmarkStart w:id="673" w:name="_Toc75863321"/>
      <w:r>
        <w:rPr>
          <w:rStyle w:val="CharSectno"/>
        </w:rPr>
        <w:lastRenderedPageBreak/>
        <w:t>7</w:t>
      </w:r>
      <w:r>
        <w:rPr>
          <w:snapToGrid w:val="0"/>
        </w:rPr>
        <w:t>.</w:t>
      </w:r>
      <w:r>
        <w:rPr>
          <w:snapToGrid w:val="0"/>
        </w:rPr>
        <w:tab/>
        <w:t>Directions</w:t>
      </w:r>
      <w:bookmarkEnd w:id="673"/>
    </w:p>
    <w:p w:rsidR="00425758" w:rsidRDefault="00425758">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rsidR="00425758" w:rsidRDefault="00425758">
      <w:pPr>
        <w:pStyle w:val="Ednotesubsection"/>
      </w:pPr>
      <w:r>
        <w:tab/>
        <w:t>[(2)</w:t>
      </w:r>
      <w:r>
        <w:tab/>
        <w:t>deleted]</w:t>
      </w:r>
    </w:p>
    <w:p w:rsidR="00425758" w:rsidRDefault="00425758">
      <w:pPr>
        <w:pStyle w:val="Footnotesection"/>
      </w:pPr>
      <w:r>
        <w:tab/>
        <w:t>[Rule 7 amended: Gazette 28 Jun 2011 p. 2554; 16 Aug 2017 p. 4416.]</w:t>
      </w:r>
    </w:p>
    <w:p w:rsidR="00425758" w:rsidRDefault="00425758">
      <w:pPr>
        <w:pStyle w:val="Heading5"/>
        <w:spacing w:before="240"/>
        <w:rPr>
          <w:snapToGrid w:val="0"/>
        </w:rPr>
      </w:pPr>
      <w:bookmarkStart w:id="674" w:name="_Toc75863322"/>
      <w:r>
        <w:rPr>
          <w:rStyle w:val="CharSectno"/>
        </w:rPr>
        <w:t>8</w:t>
      </w:r>
      <w:r>
        <w:rPr>
          <w:snapToGrid w:val="0"/>
        </w:rPr>
        <w:t>.</w:t>
      </w:r>
      <w:r>
        <w:rPr>
          <w:snapToGrid w:val="0"/>
        </w:rPr>
        <w:tab/>
        <w:t>Allowance of income or transfer of property during case</w:t>
      </w:r>
      <w:bookmarkEnd w:id="674"/>
    </w:p>
    <w:p w:rsidR="00425758" w:rsidRDefault="00425758">
      <w:pPr>
        <w:pStyle w:val="Subsection"/>
        <w:spacing w:before="120"/>
        <w:rPr>
          <w:snapToGrid w:val="0"/>
        </w:rPr>
      </w:pPr>
      <w:r>
        <w:rPr>
          <w:snapToGrid w:val="0"/>
        </w:rPr>
        <w:tab/>
      </w:r>
      <w:r>
        <w:rPr>
          <w:snapToGrid w:val="0"/>
        </w:rPr>
        <w:tab/>
        <w:t>Where — </w:t>
      </w:r>
    </w:p>
    <w:p w:rsidR="00425758" w:rsidRDefault="00425758">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rsidR="00425758" w:rsidRDefault="00425758">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rsidR="00425758" w:rsidRDefault="00425758">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rsidR="00425758" w:rsidRDefault="00425758">
      <w:pPr>
        <w:pStyle w:val="Heading5"/>
        <w:keepLines w:val="0"/>
        <w:spacing w:before="240"/>
        <w:rPr>
          <w:snapToGrid w:val="0"/>
        </w:rPr>
      </w:pPr>
      <w:bookmarkStart w:id="675" w:name="_Toc75863323"/>
      <w:r>
        <w:rPr>
          <w:rStyle w:val="CharSectno"/>
        </w:rPr>
        <w:t>9</w:t>
      </w:r>
      <w:r>
        <w:rPr>
          <w:snapToGrid w:val="0"/>
        </w:rPr>
        <w:t>.</w:t>
      </w:r>
      <w:r>
        <w:rPr>
          <w:snapToGrid w:val="0"/>
        </w:rPr>
        <w:tab/>
        <w:t>Injunction to include undertaking as to compensation to party restrained</w:t>
      </w:r>
      <w:bookmarkEnd w:id="675"/>
      <w:r>
        <w:rPr>
          <w:snapToGrid w:val="0"/>
        </w:rPr>
        <w:t xml:space="preserve"> </w:t>
      </w:r>
    </w:p>
    <w:p w:rsidR="00425758" w:rsidRDefault="00425758">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rsidR="00425758" w:rsidRDefault="00425758">
      <w:pPr>
        <w:pStyle w:val="Indenta"/>
        <w:keepLines/>
        <w:rPr>
          <w:snapToGrid w:val="0"/>
        </w:rPr>
      </w:pPr>
      <w:r>
        <w:rPr>
          <w:snapToGrid w:val="0"/>
        </w:rPr>
        <w:tab/>
        <w:t>(a)</w:t>
      </w:r>
      <w:r>
        <w:rPr>
          <w:snapToGrid w:val="0"/>
        </w:rPr>
        <w:tab/>
        <w:t>assessed — </w:t>
      </w:r>
    </w:p>
    <w:p w:rsidR="00425758" w:rsidRDefault="00425758">
      <w:pPr>
        <w:pStyle w:val="Indenti"/>
        <w:keepLines/>
        <w:spacing w:before="60"/>
        <w:rPr>
          <w:snapToGrid w:val="0"/>
        </w:rPr>
      </w:pPr>
      <w:r>
        <w:rPr>
          <w:snapToGrid w:val="0"/>
        </w:rPr>
        <w:tab/>
        <w:t>(i)</w:t>
      </w:r>
      <w:r>
        <w:rPr>
          <w:snapToGrid w:val="0"/>
        </w:rPr>
        <w:tab/>
        <w:t>by the Court; or</w:t>
      </w:r>
    </w:p>
    <w:p w:rsidR="00425758" w:rsidRDefault="00425758">
      <w:pPr>
        <w:pStyle w:val="Indenti"/>
        <w:rPr>
          <w:snapToGrid w:val="0"/>
        </w:rPr>
      </w:pPr>
      <w:r>
        <w:rPr>
          <w:snapToGrid w:val="0"/>
        </w:rPr>
        <w:lastRenderedPageBreak/>
        <w:tab/>
        <w:t>(ii)</w:t>
      </w:r>
      <w:r>
        <w:rPr>
          <w:snapToGrid w:val="0"/>
        </w:rPr>
        <w:tab/>
        <w:t>in accordance with such directions as the Court may make;</w:t>
      </w:r>
    </w:p>
    <w:p w:rsidR="00425758" w:rsidRDefault="00425758">
      <w:pPr>
        <w:pStyle w:val="Indenta"/>
        <w:rPr>
          <w:snapToGrid w:val="0"/>
        </w:rPr>
      </w:pPr>
      <w:r>
        <w:rPr>
          <w:snapToGrid w:val="0"/>
        </w:rPr>
        <w:tab/>
      </w:r>
      <w:r>
        <w:rPr>
          <w:snapToGrid w:val="0"/>
        </w:rPr>
        <w:tab/>
        <w:t>and</w:t>
      </w:r>
    </w:p>
    <w:p w:rsidR="00425758" w:rsidRDefault="00425758">
      <w:pPr>
        <w:pStyle w:val="Indenta"/>
        <w:rPr>
          <w:snapToGrid w:val="0"/>
        </w:rPr>
      </w:pPr>
      <w:r>
        <w:rPr>
          <w:snapToGrid w:val="0"/>
        </w:rPr>
        <w:tab/>
        <w:t>(b)</w:t>
      </w:r>
      <w:r>
        <w:rPr>
          <w:snapToGrid w:val="0"/>
        </w:rPr>
        <w:tab/>
        <w:t>paid in such manner as the Court may direct.</w:t>
      </w:r>
    </w:p>
    <w:p w:rsidR="00425758" w:rsidRDefault="00425758">
      <w:pPr>
        <w:pStyle w:val="Footnotesection"/>
      </w:pPr>
      <w:r>
        <w:tab/>
        <w:t>[Rule 9 inserted: Gazette 28 Feb 1992 p. 996</w:t>
      </w:r>
      <w:r>
        <w:noBreakHyphen/>
        <w:t xml:space="preserve">7.] </w:t>
      </w:r>
    </w:p>
    <w:p w:rsidR="00425758" w:rsidRDefault="00425758">
      <w:pPr>
        <w:pStyle w:val="Heading5"/>
        <w:rPr>
          <w:snapToGrid w:val="0"/>
        </w:rPr>
      </w:pPr>
      <w:bookmarkStart w:id="676" w:name="_Toc75863324"/>
      <w:r>
        <w:rPr>
          <w:rStyle w:val="CharSectno"/>
        </w:rPr>
        <w:t>10</w:t>
      </w:r>
      <w:r>
        <w:rPr>
          <w:snapToGrid w:val="0"/>
        </w:rPr>
        <w:t>.</w:t>
      </w:r>
      <w:r>
        <w:rPr>
          <w:snapToGrid w:val="0"/>
        </w:rPr>
        <w:tab/>
        <w:t>Compensation to party restrained by undertaking</w:t>
      </w:r>
      <w:bookmarkEnd w:id="676"/>
      <w:r>
        <w:rPr>
          <w:snapToGrid w:val="0"/>
        </w:rPr>
        <w:t xml:space="preserve"> </w:t>
      </w:r>
    </w:p>
    <w:p w:rsidR="00425758" w:rsidRDefault="00425758">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rsidR="00425758" w:rsidRDefault="00425758">
      <w:pPr>
        <w:pStyle w:val="Indenta"/>
        <w:rPr>
          <w:snapToGrid w:val="0"/>
        </w:rPr>
      </w:pPr>
      <w:r>
        <w:rPr>
          <w:snapToGrid w:val="0"/>
        </w:rPr>
        <w:tab/>
        <w:t>(a)</w:t>
      </w:r>
      <w:r>
        <w:rPr>
          <w:snapToGrid w:val="0"/>
        </w:rPr>
        <w:tab/>
        <w:t>assessed — </w:t>
      </w:r>
    </w:p>
    <w:p w:rsidR="00425758" w:rsidRDefault="00425758">
      <w:pPr>
        <w:pStyle w:val="Indenti"/>
        <w:rPr>
          <w:snapToGrid w:val="0"/>
        </w:rPr>
      </w:pPr>
      <w:r>
        <w:rPr>
          <w:snapToGrid w:val="0"/>
        </w:rPr>
        <w:tab/>
        <w:t>(i)</w:t>
      </w:r>
      <w:r>
        <w:rPr>
          <w:snapToGrid w:val="0"/>
        </w:rPr>
        <w:tab/>
        <w:t>by the Court; or</w:t>
      </w:r>
    </w:p>
    <w:p w:rsidR="00425758" w:rsidRDefault="00425758">
      <w:pPr>
        <w:pStyle w:val="Indenti"/>
        <w:rPr>
          <w:snapToGrid w:val="0"/>
        </w:rPr>
      </w:pPr>
      <w:r>
        <w:rPr>
          <w:snapToGrid w:val="0"/>
        </w:rPr>
        <w:tab/>
        <w:t>(ii)</w:t>
      </w:r>
      <w:r>
        <w:rPr>
          <w:snapToGrid w:val="0"/>
        </w:rPr>
        <w:tab/>
        <w:t>in accordance with such directions as the Court may make;</w:t>
      </w:r>
    </w:p>
    <w:p w:rsidR="00425758" w:rsidRDefault="00425758">
      <w:pPr>
        <w:pStyle w:val="Indenta"/>
        <w:rPr>
          <w:snapToGrid w:val="0"/>
        </w:rPr>
      </w:pPr>
      <w:r>
        <w:rPr>
          <w:snapToGrid w:val="0"/>
        </w:rPr>
        <w:tab/>
      </w:r>
      <w:r>
        <w:rPr>
          <w:snapToGrid w:val="0"/>
        </w:rPr>
        <w:tab/>
        <w:t>and</w:t>
      </w:r>
    </w:p>
    <w:p w:rsidR="00425758" w:rsidRDefault="00425758">
      <w:pPr>
        <w:pStyle w:val="Indenta"/>
        <w:rPr>
          <w:snapToGrid w:val="0"/>
        </w:rPr>
      </w:pPr>
      <w:r>
        <w:rPr>
          <w:snapToGrid w:val="0"/>
        </w:rPr>
        <w:tab/>
        <w:t>(b)</w:t>
      </w:r>
      <w:r>
        <w:rPr>
          <w:snapToGrid w:val="0"/>
        </w:rPr>
        <w:tab/>
        <w:t>paid in such manner as the Court may direct.</w:t>
      </w:r>
    </w:p>
    <w:p w:rsidR="00425758" w:rsidRDefault="00425758">
      <w:pPr>
        <w:pStyle w:val="Footnotesection"/>
        <w:ind w:left="890" w:hanging="890"/>
      </w:pPr>
      <w:r>
        <w:tab/>
        <w:t xml:space="preserve">[Rule 10 inserted: Gazette 28 Feb 1992 p. 997.] </w:t>
      </w:r>
    </w:p>
    <w:p w:rsidR="00425758" w:rsidRDefault="00425758">
      <w:pPr>
        <w:pStyle w:val="Heading2"/>
      </w:pPr>
      <w:bookmarkStart w:id="677" w:name="_Toc75512229"/>
      <w:bookmarkStart w:id="678" w:name="_Toc75863325"/>
      <w:r>
        <w:rPr>
          <w:rStyle w:val="CharPartNo"/>
        </w:rPr>
        <w:lastRenderedPageBreak/>
        <w:t>Order 52A</w:t>
      </w:r>
      <w:r>
        <w:rPr>
          <w:b w:val="0"/>
        </w:rPr>
        <w:t> </w:t>
      </w:r>
      <w:r>
        <w:t>—</w:t>
      </w:r>
      <w:r>
        <w:rPr>
          <w:b w:val="0"/>
        </w:rPr>
        <w:t> </w:t>
      </w:r>
      <w:r>
        <w:rPr>
          <w:rStyle w:val="CharPartText"/>
        </w:rPr>
        <w:t>Freezing orders</w:t>
      </w:r>
      <w:bookmarkEnd w:id="677"/>
      <w:bookmarkEnd w:id="678"/>
    </w:p>
    <w:p w:rsidR="00425758" w:rsidRDefault="00425758">
      <w:pPr>
        <w:pStyle w:val="Footnoteheading"/>
      </w:pPr>
      <w:r>
        <w:tab/>
        <w:t>[Heading inserted: Gazette 21 Feb 2007 p. 554.]</w:t>
      </w:r>
    </w:p>
    <w:p w:rsidR="00425758" w:rsidRDefault="00425758">
      <w:pPr>
        <w:pStyle w:val="Heading5"/>
      </w:pPr>
      <w:bookmarkStart w:id="679" w:name="_Toc75863326"/>
      <w:r>
        <w:rPr>
          <w:rStyle w:val="CharSectno"/>
        </w:rPr>
        <w:t>1</w:t>
      </w:r>
      <w:r>
        <w:t>.</w:t>
      </w:r>
      <w:r>
        <w:tab/>
        <w:t>Terms used</w:t>
      </w:r>
      <w:bookmarkEnd w:id="679"/>
    </w:p>
    <w:p w:rsidR="00425758" w:rsidRDefault="00425758">
      <w:pPr>
        <w:pStyle w:val="Subsection"/>
      </w:pPr>
      <w:r>
        <w:tab/>
      </w:r>
      <w:r>
        <w:tab/>
        <w:t xml:space="preserve">In this Order, unless the contrary intention appears — </w:t>
      </w:r>
    </w:p>
    <w:p w:rsidR="00425758" w:rsidRDefault="00425758">
      <w:pPr>
        <w:pStyle w:val="Defstart"/>
      </w:pPr>
      <w:r>
        <w:rPr>
          <w:b/>
        </w:rPr>
        <w:tab/>
      </w:r>
      <w:r>
        <w:rPr>
          <w:rStyle w:val="CharDefText"/>
        </w:rPr>
        <w:t>ancillary order</w:t>
      </w:r>
      <w:r>
        <w:t xml:space="preserve"> has the meaning given by rule 3;</w:t>
      </w:r>
    </w:p>
    <w:p w:rsidR="00425758" w:rsidRDefault="00425758">
      <w:pPr>
        <w:pStyle w:val="Defstart"/>
      </w:pPr>
      <w:r>
        <w:rPr>
          <w:b/>
        </w:rPr>
        <w:tab/>
      </w:r>
      <w:r>
        <w:rPr>
          <w:rStyle w:val="CharDefText"/>
        </w:rPr>
        <w:t>another court</w:t>
      </w:r>
      <w:r>
        <w:t xml:space="preserve"> means a court outside Australia, or a court in Australia other than the Supreme Court of Western Australia;</w:t>
      </w:r>
    </w:p>
    <w:p w:rsidR="00425758" w:rsidRDefault="00425758">
      <w:pPr>
        <w:pStyle w:val="Defstart"/>
      </w:pPr>
      <w:r>
        <w:rPr>
          <w:b/>
        </w:rPr>
        <w:tab/>
      </w:r>
      <w:r>
        <w:rPr>
          <w:rStyle w:val="CharDefText"/>
        </w:rPr>
        <w:t>applicant</w:t>
      </w:r>
      <w:r>
        <w:t xml:space="preserve"> means a person who applies for a freezing order or an ancillary order;</w:t>
      </w:r>
    </w:p>
    <w:p w:rsidR="00425758" w:rsidRDefault="00425758">
      <w:pPr>
        <w:pStyle w:val="Defstart"/>
      </w:pPr>
      <w:r>
        <w:rPr>
          <w:b/>
        </w:rPr>
        <w:tab/>
      </w:r>
      <w:r>
        <w:rPr>
          <w:rStyle w:val="CharDefText"/>
        </w:rPr>
        <w:t>freezing order</w:t>
      </w:r>
      <w:r>
        <w:t xml:space="preserve"> has the meaning given by rule 2;</w:t>
      </w:r>
    </w:p>
    <w:p w:rsidR="00425758" w:rsidRDefault="00425758">
      <w:pPr>
        <w:pStyle w:val="Defstart"/>
      </w:pPr>
      <w:r>
        <w:rPr>
          <w:b/>
        </w:rPr>
        <w:tab/>
      </w:r>
      <w:r>
        <w:rPr>
          <w:rStyle w:val="CharDefText"/>
        </w:rPr>
        <w:t>judgment</w:t>
      </w:r>
      <w:r>
        <w:t xml:space="preserve"> includes an order;</w:t>
      </w:r>
    </w:p>
    <w:p w:rsidR="00425758" w:rsidRDefault="00425758">
      <w:pPr>
        <w:pStyle w:val="Defstart"/>
      </w:pPr>
      <w:r>
        <w:rPr>
          <w:b/>
        </w:rPr>
        <w:tab/>
      </w:r>
      <w:r>
        <w:rPr>
          <w:rStyle w:val="CharDefText"/>
        </w:rPr>
        <w:t>respondent</w:t>
      </w:r>
      <w:r>
        <w:t xml:space="preserve"> means a person against whom a freezing order or ancillary order is sought or made.</w:t>
      </w:r>
    </w:p>
    <w:p w:rsidR="00425758" w:rsidRDefault="00425758">
      <w:pPr>
        <w:pStyle w:val="Footnotesection"/>
      </w:pPr>
      <w:r>
        <w:tab/>
        <w:t xml:space="preserve">[Rule 1 inserted: Gazette 21 Feb 2007 p. 554.] </w:t>
      </w:r>
    </w:p>
    <w:p w:rsidR="00425758" w:rsidRDefault="00425758">
      <w:pPr>
        <w:pStyle w:val="Heading5"/>
      </w:pPr>
      <w:bookmarkStart w:id="680" w:name="_Toc75863327"/>
      <w:r>
        <w:rPr>
          <w:rStyle w:val="CharSectno"/>
        </w:rPr>
        <w:t>2</w:t>
      </w:r>
      <w:r>
        <w:t>.</w:t>
      </w:r>
      <w:r>
        <w:tab/>
        <w:t>Freezing order</w:t>
      </w:r>
      <w:bookmarkEnd w:id="680"/>
    </w:p>
    <w:p w:rsidR="00425758" w:rsidRDefault="00425758">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rsidR="00425758" w:rsidRDefault="00425758">
      <w:pPr>
        <w:pStyle w:val="Subsection"/>
      </w:pPr>
      <w:r>
        <w:tab/>
        <w:t>(2)</w:t>
      </w:r>
      <w:r>
        <w:tab/>
        <w:t>A freezing order may be an order restraining a respondent from removing any assets located in or outside Australia or from disposing of, dealing with, or diminishing the value of, those assets.</w:t>
      </w:r>
    </w:p>
    <w:p w:rsidR="00425758" w:rsidRDefault="00425758">
      <w:pPr>
        <w:pStyle w:val="Footnotesection"/>
      </w:pPr>
      <w:r>
        <w:tab/>
        <w:t xml:space="preserve">[Rule 2 inserted: Gazette 21 Feb 2007 p. 554.] </w:t>
      </w:r>
    </w:p>
    <w:p w:rsidR="00425758" w:rsidRDefault="00425758">
      <w:pPr>
        <w:pStyle w:val="Heading5"/>
      </w:pPr>
      <w:bookmarkStart w:id="681" w:name="_Toc75863328"/>
      <w:r>
        <w:rPr>
          <w:rStyle w:val="CharSectno"/>
        </w:rPr>
        <w:t>3</w:t>
      </w:r>
      <w:r>
        <w:t>.</w:t>
      </w:r>
      <w:r>
        <w:tab/>
        <w:t>Ancillary order</w:t>
      </w:r>
      <w:bookmarkEnd w:id="681"/>
    </w:p>
    <w:p w:rsidR="00425758" w:rsidRDefault="00425758">
      <w:pPr>
        <w:pStyle w:val="Subsection"/>
      </w:pPr>
      <w:r>
        <w:tab/>
        <w:t>(1)</w:t>
      </w:r>
      <w:r>
        <w:tab/>
        <w:t>The Court may make an order (an ancillary order) ancillary to a freezing order or prospective freezing order as the Court considers appropriate.</w:t>
      </w:r>
    </w:p>
    <w:p w:rsidR="00425758" w:rsidRDefault="00425758">
      <w:pPr>
        <w:pStyle w:val="Subsection"/>
      </w:pPr>
      <w:r>
        <w:lastRenderedPageBreak/>
        <w:tab/>
        <w:t>(2)</w:t>
      </w:r>
      <w:r>
        <w:tab/>
        <w:t xml:space="preserve">Without limiting the generality of subrule (1), an ancillary order may be made for either or both of the following purposes — </w:t>
      </w:r>
    </w:p>
    <w:p w:rsidR="00425758" w:rsidRDefault="00425758">
      <w:pPr>
        <w:pStyle w:val="Indenta"/>
      </w:pPr>
      <w:r>
        <w:tab/>
        <w:t>(a)</w:t>
      </w:r>
      <w:r>
        <w:tab/>
        <w:t>eliciting information relating to assets relevant to the freezing order or prospective freezing order;</w:t>
      </w:r>
    </w:p>
    <w:p w:rsidR="00425758" w:rsidRDefault="00425758">
      <w:pPr>
        <w:pStyle w:val="Indenta"/>
      </w:pPr>
      <w:r>
        <w:tab/>
        <w:t>(b)</w:t>
      </w:r>
      <w:r>
        <w:tab/>
        <w:t>determining whether the freezing order should be made.</w:t>
      </w:r>
    </w:p>
    <w:p w:rsidR="00425758" w:rsidRDefault="00425758">
      <w:pPr>
        <w:pStyle w:val="Footnotesection"/>
        <w:ind w:left="890" w:hanging="890"/>
      </w:pPr>
      <w:r>
        <w:tab/>
        <w:t>[Rule 3 inserted: Gazette 21 Feb 2007 p. 554</w:t>
      </w:r>
      <w:r>
        <w:noBreakHyphen/>
        <w:t xml:space="preserve">5.] </w:t>
      </w:r>
    </w:p>
    <w:p w:rsidR="00425758" w:rsidRDefault="00425758">
      <w:pPr>
        <w:pStyle w:val="Heading5"/>
      </w:pPr>
      <w:bookmarkStart w:id="682" w:name="_Toc75863329"/>
      <w:r>
        <w:rPr>
          <w:rStyle w:val="CharSectno"/>
        </w:rPr>
        <w:t>4</w:t>
      </w:r>
      <w:r>
        <w:t>.</w:t>
      </w:r>
      <w:r>
        <w:tab/>
        <w:t>Respondent need not be party to proceeding</w:t>
      </w:r>
      <w:bookmarkEnd w:id="682"/>
    </w:p>
    <w:p w:rsidR="00425758" w:rsidRDefault="00425758">
      <w:pPr>
        <w:pStyle w:val="Subsection"/>
      </w:pPr>
      <w:r>
        <w:tab/>
      </w:r>
      <w:r>
        <w:tab/>
        <w:t>The Court may make a freezing order or an ancillary order against a respondent even if the respondent is not a party to a proceeding in which substantive relief is sought against the respondent.</w:t>
      </w:r>
    </w:p>
    <w:p w:rsidR="00425758" w:rsidRDefault="00425758">
      <w:pPr>
        <w:pStyle w:val="Footnotesection"/>
      </w:pPr>
      <w:r>
        <w:tab/>
        <w:t xml:space="preserve">[Rule 4 inserted: Gazette 21 Feb 2007 p. 555.] </w:t>
      </w:r>
    </w:p>
    <w:p w:rsidR="00425758" w:rsidRDefault="00425758">
      <w:pPr>
        <w:pStyle w:val="Heading5"/>
      </w:pPr>
      <w:bookmarkStart w:id="683" w:name="_Toc75863330"/>
      <w:r>
        <w:rPr>
          <w:rStyle w:val="CharSectno"/>
        </w:rPr>
        <w:t>5</w:t>
      </w:r>
      <w:r>
        <w:t>.</w:t>
      </w:r>
      <w:r>
        <w:tab/>
        <w:t>Order against judgment debtor, prospective judgment debtor or third party</w:t>
      </w:r>
      <w:bookmarkEnd w:id="683"/>
    </w:p>
    <w:p w:rsidR="00425758" w:rsidRDefault="00425758">
      <w:pPr>
        <w:pStyle w:val="Subsection"/>
      </w:pPr>
      <w:r>
        <w:tab/>
        <w:t>(1)</w:t>
      </w:r>
      <w:r>
        <w:tab/>
        <w:t>This rule applies if —</w:t>
      </w:r>
    </w:p>
    <w:p w:rsidR="00425758" w:rsidRDefault="00425758">
      <w:pPr>
        <w:pStyle w:val="Indenta"/>
      </w:pPr>
      <w:r>
        <w:tab/>
        <w:t>(a)</w:t>
      </w:r>
      <w:r>
        <w:tab/>
        <w:t xml:space="preserve">judgment has been given in favour of an applicant by — </w:t>
      </w:r>
    </w:p>
    <w:p w:rsidR="00425758" w:rsidRDefault="00425758">
      <w:pPr>
        <w:pStyle w:val="Indenti"/>
      </w:pPr>
      <w:r>
        <w:tab/>
        <w:t>(i)</w:t>
      </w:r>
      <w:r>
        <w:tab/>
        <w:t>the Court; or</w:t>
      </w:r>
    </w:p>
    <w:p w:rsidR="00425758" w:rsidRDefault="00425758">
      <w:pPr>
        <w:pStyle w:val="Indenti"/>
      </w:pPr>
      <w:r>
        <w:tab/>
        <w:t>(ii)</w:t>
      </w:r>
      <w:r>
        <w:tab/>
        <w:t>in the case of a judgment to which subrule (2) applies — another court;</w:t>
      </w:r>
    </w:p>
    <w:p w:rsidR="00425758" w:rsidRDefault="00425758">
      <w:pPr>
        <w:pStyle w:val="Indenta"/>
      </w:pPr>
      <w:r>
        <w:tab/>
      </w:r>
      <w:r>
        <w:tab/>
        <w:t>or</w:t>
      </w:r>
    </w:p>
    <w:p w:rsidR="00425758" w:rsidRDefault="00425758">
      <w:pPr>
        <w:pStyle w:val="Indenta"/>
      </w:pPr>
      <w:r>
        <w:tab/>
        <w:t>(b)</w:t>
      </w:r>
      <w:r>
        <w:tab/>
        <w:t>an applicant has a good arguable case on an accrued or prospective cause of action that is justiciable in —</w:t>
      </w:r>
    </w:p>
    <w:p w:rsidR="00425758" w:rsidRDefault="00425758">
      <w:pPr>
        <w:pStyle w:val="Indenti"/>
      </w:pPr>
      <w:r>
        <w:tab/>
        <w:t>(i)</w:t>
      </w:r>
      <w:r>
        <w:tab/>
        <w:t>the Court; or</w:t>
      </w:r>
    </w:p>
    <w:p w:rsidR="00425758" w:rsidRDefault="00425758">
      <w:pPr>
        <w:pStyle w:val="Indenti"/>
      </w:pPr>
      <w:r>
        <w:tab/>
        <w:t>(ii)</w:t>
      </w:r>
      <w:r>
        <w:tab/>
        <w:t>in the case of a cause of action to which subrule (3) applies — another court.</w:t>
      </w:r>
    </w:p>
    <w:p w:rsidR="00425758" w:rsidRDefault="00425758">
      <w:pPr>
        <w:pStyle w:val="Subsection"/>
      </w:pPr>
      <w:r>
        <w:tab/>
        <w:t>(2)</w:t>
      </w:r>
      <w:r>
        <w:tab/>
        <w:t>This subrule applies to a judgment if there is a sufficient prospect that the judgment will be registered in or enforced by the Court.</w:t>
      </w:r>
    </w:p>
    <w:p w:rsidR="00425758" w:rsidRDefault="00425758">
      <w:pPr>
        <w:pStyle w:val="Subsection"/>
        <w:keepNext/>
      </w:pPr>
      <w:r>
        <w:lastRenderedPageBreak/>
        <w:tab/>
        <w:t>(3)</w:t>
      </w:r>
      <w:r>
        <w:tab/>
        <w:t>This subrule applies to a cause of action if —</w:t>
      </w:r>
    </w:p>
    <w:p w:rsidR="00425758" w:rsidRDefault="00425758">
      <w:pPr>
        <w:pStyle w:val="Indenta"/>
        <w:spacing w:before="60"/>
      </w:pPr>
      <w:r>
        <w:tab/>
        <w:t>(a)</w:t>
      </w:r>
      <w:r>
        <w:tab/>
        <w:t>there is a sufficient prospect that the other court will give judgment in favour of the applicant; and</w:t>
      </w:r>
    </w:p>
    <w:p w:rsidR="00425758" w:rsidRDefault="00425758">
      <w:pPr>
        <w:pStyle w:val="Indenta"/>
        <w:spacing w:before="60"/>
      </w:pPr>
      <w:r>
        <w:tab/>
        <w:t>(b)</w:t>
      </w:r>
      <w:r>
        <w:tab/>
        <w:t>there is a sufficient prospect that the judgment will be registered in or enforced by the Court.</w:t>
      </w:r>
    </w:p>
    <w:p w:rsidR="00425758" w:rsidRDefault="00425758">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rsidR="00425758" w:rsidRDefault="00425758">
      <w:pPr>
        <w:pStyle w:val="Indenta"/>
        <w:spacing w:before="60"/>
      </w:pPr>
      <w:r>
        <w:tab/>
        <w:t>(a)</w:t>
      </w:r>
      <w:r>
        <w:tab/>
        <w:t>the judgment debtor, prospective judgment debtor or another person absconds; or</w:t>
      </w:r>
    </w:p>
    <w:p w:rsidR="00425758" w:rsidRDefault="00425758">
      <w:pPr>
        <w:pStyle w:val="Indenta"/>
        <w:spacing w:before="60"/>
      </w:pPr>
      <w:r>
        <w:tab/>
        <w:t>(b)</w:t>
      </w:r>
      <w:r>
        <w:tab/>
        <w:t xml:space="preserve">the assets of the judgment debtor, prospective judgment debtor or another person are — </w:t>
      </w:r>
    </w:p>
    <w:p w:rsidR="00425758" w:rsidRDefault="00425758">
      <w:pPr>
        <w:pStyle w:val="Indenti"/>
        <w:spacing w:before="60"/>
      </w:pPr>
      <w:r>
        <w:tab/>
        <w:t>(i)</w:t>
      </w:r>
      <w:r>
        <w:tab/>
        <w:t>removed from Australia or from a place inside or outside Australia; or</w:t>
      </w:r>
    </w:p>
    <w:p w:rsidR="00425758" w:rsidRDefault="00425758">
      <w:pPr>
        <w:pStyle w:val="Indenti"/>
        <w:spacing w:before="60"/>
      </w:pPr>
      <w:r>
        <w:tab/>
        <w:t>(ii)</w:t>
      </w:r>
      <w:r>
        <w:tab/>
        <w:t>disposed of, dealt with or diminished in value.</w:t>
      </w:r>
    </w:p>
    <w:p w:rsidR="00425758" w:rsidRDefault="00425758">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rsidR="00425758" w:rsidRDefault="00425758">
      <w:pPr>
        <w:pStyle w:val="Indenta"/>
        <w:spacing w:before="60"/>
      </w:pPr>
      <w:r>
        <w:tab/>
        <w:t>(a)</w:t>
      </w:r>
      <w:r>
        <w:tab/>
        <w:t xml:space="preserve">there is a danger that a judgment or prospective judgment will be wholly or partly unsatisfied because — </w:t>
      </w:r>
    </w:p>
    <w:p w:rsidR="00425758" w:rsidRDefault="00425758">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rsidR="00425758" w:rsidRDefault="00425758">
      <w:pPr>
        <w:pStyle w:val="Indenti"/>
        <w:spacing w:before="60"/>
      </w:pPr>
      <w:r>
        <w:tab/>
        <w:t>(ii)</w:t>
      </w:r>
      <w:r>
        <w:tab/>
        <w:t>the third party is in possession of, or in a position of control or influence concerning, assets (including claims and expectancies) of the judgment debtor or prospective judgment debtor;</w:t>
      </w:r>
    </w:p>
    <w:p w:rsidR="00425758" w:rsidRDefault="00425758">
      <w:pPr>
        <w:pStyle w:val="Indenta"/>
        <w:spacing w:before="60"/>
      </w:pPr>
      <w:r>
        <w:tab/>
      </w:r>
      <w:r>
        <w:tab/>
        <w:t>or</w:t>
      </w:r>
    </w:p>
    <w:p w:rsidR="00425758" w:rsidRDefault="00425758">
      <w:pPr>
        <w:pStyle w:val="Indenta"/>
      </w:pPr>
      <w:r>
        <w:lastRenderedPageBreak/>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rsidR="00425758" w:rsidRDefault="00425758">
      <w:pPr>
        <w:pStyle w:val="Subsection"/>
      </w:pPr>
      <w:r>
        <w:tab/>
        <w:t>(6)</w:t>
      </w:r>
      <w:r>
        <w:tab/>
        <w:t>Nothing in this rule affects the power of the Court to make a freezing order or ancillary order if the Court considers it is in the interests of justice to do so.</w:t>
      </w:r>
    </w:p>
    <w:p w:rsidR="00425758" w:rsidRDefault="00425758">
      <w:pPr>
        <w:pStyle w:val="Footnotesection"/>
      </w:pPr>
      <w:r>
        <w:tab/>
        <w:t>[Rule 5 inserted: Gazette 21 Feb 2007 p. 555</w:t>
      </w:r>
      <w:r>
        <w:noBreakHyphen/>
        <w:t xml:space="preserve">6.] </w:t>
      </w:r>
    </w:p>
    <w:p w:rsidR="00425758" w:rsidRDefault="00425758">
      <w:pPr>
        <w:pStyle w:val="Heading5"/>
      </w:pPr>
      <w:bookmarkStart w:id="684" w:name="_Toc75863331"/>
      <w:r>
        <w:rPr>
          <w:rStyle w:val="CharSectno"/>
        </w:rPr>
        <w:t>6</w:t>
      </w:r>
      <w:r>
        <w:t>.</w:t>
      </w:r>
      <w:r>
        <w:tab/>
        <w:t>Court’s other jurisdiction not affected</w:t>
      </w:r>
      <w:bookmarkEnd w:id="684"/>
    </w:p>
    <w:p w:rsidR="00425758" w:rsidRDefault="00425758">
      <w:pPr>
        <w:pStyle w:val="Subsection"/>
      </w:pPr>
      <w:r>
        <w:tab/>
      </w:r>
      <w:r>
        <w:tab/>
        <w:t>Nothing in this Order diminishes the inherent, implied or statutory jurisdiction of the Court to make a freezing order or ancillary order.</w:t>
      </w:r>
    </w:p>
    <w:p w:rsidR="00425758" w:rsidRDefault="00425758">
      <w:pPr>
        <w:pStyle w:val="Footnotesection"/>
      </w:pPr>
      <w:r>
        <w:tab/>
        <w:t xml:space="preserve">[Rule 6 inserted: Gazette 21 Feb 2007 p. 556.] </w:t>
      </w:r>
    </w:p>
    <w:p w:rsidR="00425758" w:rsidRDefault="00425758">
      <w:pPr>
        <w:pStyle w:val="Heading5"/>
      </w:pPr>
      <w:bookmarkStart w:id="685" w:name="_Toc75863332"/>
      <w:r>
        <w:rPr>
          <w:rStyle w:val="CharSectno"/>
        </w:rPr>
        <w:t>7</w:t>
      </w:r>
      <w:r>
        <w:t>.</w:t>
      </w:r>
      <w:r>
        <w:tab/>
        <w:t>Service outside Australia of application for order</w:t>
      </w:r>
      <w:bookmarkEnd w:id="685"/>
    </w:p>
    <w:p w:rsidR="00425758" w:rsidRDefault="00425758">
      <w:pPr>
        <w:pStyle w:val="Subsection"/>
      </w:pPr>
      <w:r>
        <w:tab/>
      </w:r>
      <w:r>
        <w:tab/>
        <w:t>An application for a freezing order or an ancillary order may be served on a person who is outside Australia (whether or not the person is domiciled or resident in Australia) if any of the assets to which the order relates are within the jurisdiction of the Court.</w:t>
      </w:r>
    </w:p>
    <w:p w:rsidR="00425758" w:rsidRDefault="00425758">
      <w:pPr>
        <w:pStyle w:val="Footnotesection"/>
      </w:pPr>
      <w:r>
        <w:tab/>
        <w:t xml:space="preserve">[Rule 7 inserted: Gazette 21 Feb 2007 p. 556.] </w:t>
      </w:r>
    </w:p>
    <w:p w:rsidR="00425758" w:rsidRDefault="00425758">
      <w:pPr>
        <w:pStyle w:val="Heading5"/>
      </w:pPr>
      <w:bookmarkStart w:id="686" w:name="_Toc75863333"/>
      <w:r>
        <w:rPr>
          <w:rStyle w:val="CharSectno"/>
        </w:rPr>
        <w:t>8</w:t>
      </w:r>
      <w:r>
        <w:t>.</w:t>
      </w:r>
      <w:r>
        <w:tab/>
        <w:t>Costs</w:t>
      </w:r>
      <w:bookmarkEnd w:id="686"/>
    </w:p>
    <w:p w:rsidR="00425758" w:rsidRDefault="00425758">
      <w:pPr>
        <w:pStyle w:val="Subsection"/>
      </w:pPr>
      <w:r>
        <w:tab/>
        <w:t>(1)</w:t>
      </w:r>
      <w:r>
        <w:tab/>
        <w:t>The Court may make any order as to costs as it considers appropriate in relation to an order made under this Order.</w:t>
      </w:r>
    </w:p>
    <w:p w:rsidR="00425758" w:rsidRDefault="00425758">
      <w:pPr>
        <w:pStyle w:val="Subsection"/>
      </w:pPr>
      <w:r>
        <w:tab/>
        <w:t>(2)</w:t>
      </w:r>
      <w:r>
        <w:tab/>
        <w:t>Without limiting the generality of subrule (1), an order as to costs includes an order as to the costs of any person affected by a freezing order or ancillary order.</w:t>
      </w:r>
    </w:p>
    <w:p w:rsidR="00425758" w:rsidRDefault="00425758">
      <w:pPr>
        <w:pStyle w:val="Footnotesection"/>
      </w:pPr>
      <w:r>
        <w:tab/>
        <w:t>[Rule 8 inserted: Gazette 21 Feb 2007 p. 556</w:t>
      </w:r>
      <w:r>
        <w:noBreakHyphen/>
        <w:t xml:space="preserve">7.] </w:t>
      </w:r>
    </w:p>
    <w:p w:rsidR="00425758" w:rsidRDefault="00425758">
      <w:pPr>
        <w:pStyle w:val="Heading2"/>
      </w:pPr>
      <w:bookmarkStart w:id="687" w:name="_Toc75512238"/>
      <w:bookmarkStart w:id="688" w:name="_Toc75863334"/>
      <w:r>
        <w:rPr>
          <w:rStyle w:val="CharPartNo"/>
        </w:rPr>
        <w:lastRenderedPageBreak/>
        <w:t>Order 52B</w:t>
      </w:r>
      <w:r>
        <w:rPr>
          <w:b w:val="0"/>
        </w:rPr>
        <w:t> </w:t>
      </w:r>
      <w:r>
        <w:t>—</w:t>
      </w:r>
      <w:r>
        <w:rPr>
          <w:b w:val="0"/>
        </w:rPr>
        <w:t> </w:t>
      </w:r>
      <w:r>
        <w:rPr>
          <w:rStyle w:val="CharPartText"/>
        </w:rPr>
        <w:t>Search orders</w:t>
      </w:r>
      <w:bookmarkEnd w:id="687"/>
      <w:bookmarkEnd w:id="688"/>
    </w:p>
    <w:p w:rsidR="00425758" w:rsidRDefault="00425758">
      <w:pPr>
        <w:pStyle w:val="Footnoteheading"/>
      </w:pPr>
      <w:r>
        <w:tab/>
        <w:t>[Heading inserted: Gazette 21 Feb 2007 p. 557.]</w:t>
      </w:r>
    </w:p>
    <w:p w:rsidR="00425758" w:rsidRDefault="00425758">
      <w:pPr>
        <w:pStyle w:val="Heading5"/>
      </w:pPr>
      <w:bookmarkStart w:id="689" w:name="_Toc75863335"/>
      <w:r>
        <w:rPr>
          <w:rStyle w:val="CharSectno"/>
        </w:rPr>
        <w:t>1</w:t>
      </w:r>
      <w:r>
        <w:t>.</w:t>
      </w:r>
      <w:r>
        <w:tab/>
        <w:t>Terms used</w:t>
      </w:r>
      <w:bookmarkEnd w:id="689"/>
    </w:p>
    <w:p w:rsidR="00425758" w:rsidRDefault="00425758">
      <w:pPr>
        <w:pStyle w:val="Subsection"/>
      </w:pPr>
      <w:r>
        <w:tab/>
      </w:r>
      <w:r>
        <w:tab/>
        <w:t xml:space="preserve">In this Order, unless the contrary intention appears — </w:t>
      </w:r>
    </w:p>
    <w:p w:rsidR="00425758" w:rsidRDefault="00425758">
      <w:pPr>
        <w:pStyle w:val="Defstart"/>
      </w:pPr>
      <w:r>
        <w:rPr>
          <w:b/>
        </w:rPr>
        <w:tab/>
      </w:r>
      <w:r>
        <w:rPr>
          <w:rStyle w:val="CharDefText"/>
        </w:rPr>
        <w:t>applicant</w:t>
      </w:r>
      <w:r>
        <w:t xml:space="preserve"> means an applicant for a search order;</w:t>
      </w:r>
    </w:p>
    <w:p w:rsidR="00425758" w:rsidRDefault="00425758">
      <w:pPr>
        <w:pStyle w:val="Defstart"/>
      </w:pPr>
      <w:r>
        <w:rPr>
          <w:b/>
        </w:rPr>
        <w:tab/>
      </w:r>
      <w:r>
        <w:rPr>
          <w:rStyle w:val="CharDefText"/>
        </w:rPr>
        <w:t>described</w:t>
      </w:r>
      <w:r>
        <w:t xml:space="preserve"> includes described generally whether by reference to a class or otherwise;</w:t>
      </w:r>
    </w:p>
    <w:p w:rsidR="00425758" w:rsidRDefault="00425758">
      <w:pPr>
        <w:pStyle w:val="Defstart"/>
      </w:pPr>
      <w:r>
        <w:rPr>
          <w:b/>
        </w:rPr>
        <w:tab/>
      </w:r>
      <w:r>
        <w:rPr>
          <w:rStyle w:val="CharDefText"/>
        </w:rPr>
        <w:t>premises</w:t>
      </w:r>
      <w:r>
        <w:t xml:space="preserve"> includes a vehicle or vessel of any kind;</w:t>
      </w:r>
    </w:p>
    <w:p w:rsidR="00425758" w:rsidRDefault="00425758">
      <w:pPr>
        <w:pStyle w:val="Defstart"/>
      </w:pPr>
      <w:r>
        <w:rPr>
          <w:b/>
        </w:rPr>
        <w:tab/>
      </w:r>
      <w:r>
        <w:rPr>
          <w:rStyle w:val="CharDefText"/>
        </w:rPr>
        <w:t>respondent</w:t>
      </w:r>
      <w:r>
        <w:t xml:space="preserve"> means a person against whom a search order is sought or made;</w:t>
      </w:r>
    </w:p>
    <w:p w:rsidR="00425758" w:rsidRDefault="00425758">
      <w:pPr>
        <w:pStyle w:val="Defstart"/>
      </w:pPr>
      <w:r>
        <w:rPr>
          <w:b/>
        </w:rPr>
        <w:tab/>
      </w:r>
      <w:r>
        <w:rPr>
          <w:rStyle w:val="CharDefText"/>
        </w:rPr>
        <w:t>search order</w:t>
      </w:r>
      <w:r>
        <w:t xml:space="preserve"> has the meaning given by rule 2.</w:t>
      </w:r>
    </w:p>
    <w:p w:rsidR="00425758" w:rsidRDefault="00425758">
      <w:pPr>
        <w:pStyle w:val="Footnotesection"/>
      </w:pPr>
      <w:r>
        <w:tab/>
        <w:t xml:space="preserve">[Rule 1 inserted: Gazette 21 Feb 2007 p. 557.] </w:t>
      </w:r>
    </w:p>
    <w:p w:rsidR="00425758" w:rsidRDefault="00425758">
      <w:pPr>
        <w:pStyle w:val="Heading5"/>
      </w:pPr>
      <w:bookmarkStart w:id="690" w:name="_Toc75863336"/>
      <w:r>
        <w:rPr>
          <w:rStyle w:val="CharSectno"/>
        </w:rPr>
        <w:t>2</w:t>
      </w:r>
      <w:r>
        <w:t>.</w:t>
      </w:r>
      <w:r>
        <w:tab/>
        <w:t>Search order</w:t>
      </w:r>
      <w:bookmarkEnd w:id="690"/>
    </w:p>
    <w:p w:rsidR="00425758" w:rsidRDefault="00425758">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rsidR="00425758" w:rsidRDefault="00425758">
      <w:pPr>
        <w:pStyle w:val="Footnotesection"/>
      </w:pPr>
      <w:r>
        <w:tab/>
        <w:t xml:space="preserve">[Rule 2 inserted: Gazette 21 Feb 2007 p. 557.] </w:t>
      </w:r>
    </w:p>
    <w:p w:rsidR="00425758" w:rsidRDefault="00425758">
      <w:pPr>
        <w:pStyle w:val="Heading5"/>
      </w:pPr>
      <w:bookmarkStart w:id="691" w:name="_Toc75863337"/>
      <w:r>
        <w:rPr>
          <w:rStyle w:val="CharSectno"/>
        </w:rPr>
        <w:t>3</w:t>
      </w:r>
      <w:r>
        <w:t>.</w:t>
      </w:r>
      <w:r>
        <w:tab/>
        <w:t>Requirements for making of search order</w:t>
      </w:r>
      <w:bookmarkEnd w:id="691"/>
    </w:p>
    <w:p w:rsidR="00425758" w:rsidRDefault="00425758">
      <w:pPr>
        <w:pStyle w:val="Subsection"/>
      </w:pPr>
      <w:r>
        <w:tab/>
      </w:r>
      <w:r>
        <w:tab/>
        <w:t>The Court may make a search order if it is satisfied that —</w:t>
      </w:r>
    </w:p>
    <w:p w:rsidR="00425758" w:rsidRDefault="00425758">
      <w:pPr>
        <w:pStyle w:val="Indenta"/>
      </w:pPr>
      <w:r>
        <w:tab/>
        <w:t>(a)</w:t>
      </w:r>
      <w:r>
        <w:tab/>
        <w:t>an applicant seeking the order has a strong prima facie case on an accrued cause of action; and</w:t>
      </w:r>
    </w:p>
    <w:p w:rsidR="00425758" w:rsidRDefault="00425758">
      <w:pPr>
        <w:pStyle w:val="Indenta"/>
      </w:pPr>
      <w:r>
        <w:tab/>
        <w:t>(b)</w:t>
      </w:r>
      <w:r>
        <w:tab/>
        <w:t>the potential or actual loss or damage to the applicant will be serious if the search order is not made; and</w:t>
      </w:r>
    </w:p>
    <w:p w:rsidR="00425758" w:rsidRDefault="00425758">
      <w:pPr>
        <w:pStyle w:val="Indenta"/>
        <w:keepNext/>
      </w:pPr>
      <w:r>
        <w:lastRenderedPageBreak/>
        <w:tab/>
        <w:t>(c)</w:t>
      </w:r>
      <w:r>
        <w:tab/>
        <w:t xml:space="preserve">there is sufficient evidence in relation to a respondent that — </w:t>
      </w:r>
    </w:p>
    <w:p w:rsidR="00425758" w:rsidRDefault="00425758">
      <w:pPr>
        <w:pStyle w:val="Indenti"/>
      </w:pPr>
      <w:r>
        <w:tab/>
        <w:t>(i)</w:t>
      </w:r>
      <w:r>
        <w:tab/>
        <w:t>the respondent possesses important evidentiary material; and</w:t>
      </w:r>
    </w:p>
    <w:p w:rsidR="00425758" w:rsidRDefault="00425758">
      <w:pPr>
        <w:pStyle w:val="Indenti"/>
      </w:pPr>
      <w:r>
        <w:tab/>
        <w:t>(ii)</w:t>
      </w:r>
      <w:r>
        <w:tab/>
        <w:t>there is a real possibility that the respondent might destroy such material or cause it to be unavailable for use in evidence in a proceeding or anticipated proceeding before the Court.</w:t>
      </w:r>
    </w:p>
    <w:p w:rsidR="00425758" w:rsidRDefault="00425758">
      <w:pPr>
        <w:pStyle w:val="Footnotesection"/>
      </w:pPr>
      <w:r>
        <w:tab/>
        <w:t xml:space="preserve">[Rule 3 inserted: Gazette 21 Feb 2007 p. 557.] </w:t>
      </w:r>
    </w:p>
    <w:p w:rsidR="00425758" w:rsidRDefault="00425758">
      <w:pPr>
        <w:pStyle w:val="Heading5"/>
      </w:pPr>
      <w:bookmarkStart w:id="692" w:name="_Toc75863338"/>
      <w:r>
        <w:rPr>
          <w:rStyle w:val="CharSectno"/>
        </w:rPr>
        <w:t>4</w:t>
      </w:r>
      <w:r>
        <w:t>.</w:t>
      </w:r>
      <w:r>
        <w:tab/>
        <w:t>Court’s other jurisdiction not affected</w:t>
      </w:r>
      <w:bookmarkEnd w:id="692"/>
    </w:p>
    <w:p w:rsidR="00425758" w:rsidRDefault="00425758">
      <w:pPr>
        <w:pStyle w:val="Subsection"/>
      </w:pPr>
      <w:r>
        <w:tab/>
      </w:r>
      <w:r>
        <w:tab/>
        <w:t>Nothing in this Order diminishes the inherent, implied or statutory jurisdiction of the Court to make a search order.</w:t>
      </w:r>
    </w:p>
    <w:p w:rsidR="00425758" w:rsidRDefault="00425758">
      <w:pPr>
        <w:pStyle w:val="Footnotesection"/>
      </w:pPr>
      <w:r>
        <w:tab/>
        <w:t xml:space="preserve">[Rule 4 inserted: Gazette 21 Feb 2007 p. 558.] </w:t>
      </w:r>
    </w:p>
    <w:p w:rsidR="00425758" w:rsidRDefault="00425758">
      <w:pPr>
        <w:pStyle w:val="Heading5"/>
      </w:pPr>
      <w:bookmarkStart w:id="693" w:name="_Toc75863339"/>
      <w:r>
        <w:rPr>
          <w:rStyle w:val="CharSectno"/>
        </w:rPr>
        <w:t>5</w:t>
      </w:r>
      <w:r>
        <w:t>.</w:t>
      </w:r>
      <w:r>
        <w:tab/>
        <w:t>Terms of search order</w:t>
      </w:r>
      <w:bookmarkEnd w:id="693"/>
    </w:p>
    <w:p w:rsidR="00425758" w:rsidRDefault="00425758">
      <w:pPr>
        <w:pStyle w:val="Subsection"/>
      </w:pPr>
      <w:r>
        <w:tab/>
        <w:t>(1)</w:t>
      </w:r>
      <w:r>
        <w:tab/>
        <w:t xml:space="preserve">In this rule — </w:t>
      </w:r>
    </w:p>
    <w:p w:rsidR="00425758" w:rsidRDefault="00425758">
      <w:pPr>
        <w:pStyle w:val="Defstart"/>
      </w:pPr>
      <w:r>
        <w:rPr>
          <w:b/>
        </w:rPr>
        <w:tab/>
      </w:r>
      <w:r>
        <w:rPr>
          <w:rStyle w:val="CharDefText"/>
        </w:rPr>
        <w:t>record</w:t>
      </w:r>
      <w:r>
        <w:t xml:space="preserve"> includes a copy, photograph, film or sample.</w:t>
      </w:r>
    </w:p>
    <w:p w:rsidR="00425758" w:rsidRDefault="00425758">
      <w:pPr>
        <w:pStyle w:val="Subsection"/>
      </w:pPr>
      <w:r>
        <w:tab/>
        <w:t>(2)</w:t>
      </w:r>
      <w:r>
        <w:tab/>
        <w:t xml:space="preserve">A search order may direct each person who is named or described in the order — </w:t>
      </w:r>
    </w:p>
    <w:p w:rsidR="00425758" w:rsidRDefault="00425758">
      <w:pPr>
        <w:pStyle w:val="Indenta"/>
      </w:pPr>
      <w:r>
        <w:tab/>
        <w:t>(a)</w:t>
      </w:r>
      <w:r>
        <w:tab/>
        <w:t>to permit, or arrange to permit, such other persons as are named or described in the order —</w:t>
      </w:r>
    </w:p>
    <w:p w:rsidR="00425758" w:rsidRDefault="00425758">
      <w:pPr>
        <w:pStyle w:val="Indenti"/>
      </w:pPr>
      <w:r>
        <w:tab/>
        <w:t>(i)</w:t>
      </w:r>
      <w:r>
        <w:tab/>
        <w:t>to enter premises specified in the order; and</w:t>
      </w:r>
    </w:p>
    <w:p w:rsidR="00425758" w:rsidRDefault="00425758">
      <w:pPr>
        <w:pStyle w:val="Indenti"/>
      </w:pPr>
      <w:r>
        <w:tab/>
        <w:t>(ii)</w:t>
      </w:r>
      <w:r>
        <w:tab/>
        <w:t>to take any steps that are in accordance with the terms of the order;</w:t>
      </w:r>
    </w:p>
    <w:p w:rsidR="00425758" w:rsidRDefault="00425758">
      <w:pPr>
        <w:pStyle w:val="Indenta"/>
      </w:pPr>
      <w:r>
        <w:tab/>
      </w:r>
      <w:r>
        <w:tab/>
        <w:t>and</w:t>
      </w:r>
    </w:p>
    <w:p w:rsidR="00425758" w:rsidRDefault="00425758">
      <w:pPr>
        <w:pStyle w:val="Indenta"/>
      </w:pPr>
      <w:r>
        <w:tab/>
        <w:t>(b)</w:t>
      </w:r>
      <w:r>
        <w:tab/>
        <w:t>to provide, or arrange to provide, such other persons named or described in the order with any information, thing or service described in the order; and</w:t>
      </w:r>
    </w:p>
    <w:p w:rsidR="00425758" w:rsidRDefault="00425758">
      <w:pPr>
        <w:pStyle w:val="Indenta"/>
      </w:pPr>
      <w:r>
        <w:tab/>
        <w:t>(c)</w:t>
      </w:r>
      <w:r>
        <w:tab/>
        <w:t>to allow such other persons named or described in the order to take and retain in their custody any thing described in the order; and</w:t>
      </w:r>
    </w:p>
    <w:p w:rsidR="00425758" w:rsidRDefault="00425758">
      <w:pPr>
        <w:pStyle w:val="Indenta"/>
      </w:pPr>
      <w:r>
        <w:lastRenderedPageBreak/>
        <w:tab/>
        <w:t>(d)</w:t>
      </w:r>
      <w:r>
        <w:tab/>
        <w:t>not to disclose any information about the order, for up to 3 days after the date on which the order was served, except for the purposes of obtaining legal advice or legal representation; and</w:t>
      </w:r>
    </w:p>
    <w:p w:rsidR="00425758" w:rsidRDefault="00425758">
      <w:pPr>
        <w:pStyle w:val="Indenta"/>
      </w:pPr>
      <w:r>
        <w:tab/>
        <w:t>(e)</w:t>
      </w:r>
      <w:r>
        <w:tab/>
        <w:t>to do or refrain from doing any act as the Court considers appropriate.</w:t>
      </w:r>
    </w:p>
    <w:p w:rsidR="00425758" w:rsidRDefault="00425758">
      <w:pPr>
        <w:pStyle w:val="Subsection"/>
      </w:pPr>
      <w:r>
        <w:tab/>
        <w:t>(3)</w:t>
      </w:r>
      <w:r>
        <w:tab/>
        <w:t xml:space="preserve">Without limiting the generality of subrule (2)(a)(ii), the steps that may be taken in relation to a thing specified in a search order include — </w:t>
      </w:r>
    </w:p>
    <w:p w:rsidR="00425758" w:rsidRDefault="00425758">
      <w:pPr>
        <w:pStyle w:val="Indenta"/>
      </w:pPr>
      <w:r>
        <w:tab/>
        <w:t>(a)</w:t>
      </w:r>
      <w:r>
        <w:tab/>
        <w:t>searching for, inspecting or removing the thing; and</w:t>
      </w:r>
    </w:p>
    <w:p w:rsidR="00425758" w:rsidRDefault="00425758">
      <w:pPr>
        <w:pStyle w:val="Indenta"/>
      </w:pPr>
      <w:r>
        <w:tab/>
        <w:t>(b)</w:t>
      </w:r>
      <w:r>
        <w:tab/>
        <w:t>making or obtaining a record of the thing or any information it may contain.</w:t>
      </w:r>
    </w:p>
    <w:p w:rsidR="00425758" w:rsidRDefault="00425758">
      <w:pPr>
        <w:pStyle w:val="Subsection"/>
      </w:pPr>
      <w:r>
        <w:tab/>
        <w:t>(4)</w:t>
      </w:r>
      <w:r>
        <w:tab/>
        <w:t>A search order may contain such other provisions as the Court considers appropriate.</w:t>
      </w:r>
    </w:p>
    <w:p w:rsidR="00425758" w:rsidRDefault="00425758">
      <w:pPr>
        <w:pStyle w:val="Footnotesection"/>
      </w:pPr>
      <w:r>
        <w:tab/>
        <w:t xml:space="preserve">[Rule 5 inserted: Gazette 21 Feb 2007 p. 558.] </w:t>
      </w:r>
    </w:p>
    <w:p w:rsidR="00425758" w:rsidRDefault="00425758">
      <w:pPr>
        <w:pStyle w:val="Heading5"/>
      </w:pPr>
      <w:bookmarkStart w:id="694" w:name="_Toc75863340"/>
      <w:r>
        <w:rPr>
          <w:rStyle w:val="CharSectno"/>
        </w:rPr>
        <w:t>6</w:t>
      </w:r>
      <w:r>
        <w:t>.</w:t>
      </w:r>
      <w:r>
        <w:tab/>
        <w:t>Independent solicitors, appointment of etc.</w:t>
      </w:r>
      <w:bookmarkEnd w:id="694"/>
    </w:p>
    <w:p w:rsidR="00425758" w:rsidRDefault="00425758">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rsidR="00425758" w:rsidRDefault="00425758">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rsidR="00425758" w:rsidRDefault="00425758">
      <w:pPr>
        <w:pStyle w:val="Footnotesection"/>
      </w:pPr>
      <w:r>
        <w:tab/>
        <w:t>[Rule 6 inserted: Gazette 21 Feb 2007 p. 558</w:t>
      </w:r>
      <w:r>
        <w:noBreakHyphen/>
        <w:t xml:space="preserve">9.] </w:t>
      </w:r>
    </w:p>
    <w:p w:rsidR="00425758" w:rsidRDefault="00425758">
      <w:pPr>
        <w:pStyle w:val="Heading5"/>
      </w:pPr>
      <w:bookmarkStart w:id="695" w:name="_Toc75863341"/>
      <w:r>
        <w:rPr>
          <w:rStyle w:val="CharSectno"/>
        </w:rPr>
        <w:t>7</w:t>
      </w:r>
      <w:r>
        <w:t>.</w:t>
      </w:r>
      <w:r>
        <w:tab/>
        <w:t>Costs</w:t>
      </w:r>
      <w:bookmarkEnd w:id="695"/>
    </w:p>
    <w:p w:rsidR="00425758" w:rsidRDefault="00425758">
      <w:pPr>
        <w:pStyle w:val="Subsection"/>
      </w:pPr>
      <w:r>
        <w:tab/>
        <w:t>(1)</w:t>
      </w:r>
      <w:r>
        <w:tab/>
        <w:t>The Court may make any order as to costs that it considers appropriate in relation to an order made under this Order.</w:t>
      </w:r>
    </w:p>
    <w:p w:rsidR="00425758" w:rsidRDefault="00425758">
      <w:pPr>
        <w:pStyle w:val="Subsection"/>
      </w:pPr>
      <w:r>
        <w:lastRenderedPageBreak/>
        <w:tab/>
        <w:t>(2)</w:t>
      </w:r>
      <w:r>
        <w:tab/>
        <w:t>Without limiting the generality of subrule (1), an order as to costs includes an order as to the costs of any person affected by a search order.</w:t>
      </w:r>
    </w:p>
    <w:p w:rsidR="00425758" w:rsidRDefault="00425758">
      <w:pPr>
        <w:pStyle w:val="Footnotesection"/>
      </w:pPr>
      <w:r>
        <w:tab/>
        <w:t xml:space="preserve">[Rule 7 inserted: Gazette 21 Feb 2007 p. 559.] </w:t>
      </w:r>
    </w:p>
    <w:p w:rsidR="00425758" w:rsidRDefault="00425758">
      <w:pPr>
        <w:pStyle w:val="Heading2"/>
        <w:rPr>
          <w:b w:val="0"/>
        </w:rPr>
      </w:pPr>
      <w:bookmarkStart w:id="696" w:name="_Toc75512246"/>
      <w:bookmarkStart w:id="697" w:name="_Toc75863342"/>
      <w:r>
        <w:rPr>
          <w:rStyle w:val="CharPartNo"/>
        </w:rPr>
        <w:lastRenderedPageBreak/>
        <w:t>Order 53</w:t>
      </w:r>
      <w:r>
        <w:rPr>
          <w:rStyle w:val="CharDivNo"/>
        </w:rPr>
        <w:t> </w:t>
      </w:r>
      <w:r>
        <w:t>—</w:t>
      </w:r>
      <w:r>
        <w:rPr>
          <w:rStyle w:val="CharDivText"/>
        </w:rPr>
        <w:t> </w:t>
      </w:r>
      <w:r>
        <w:rPr>
          <w:rStyle w:val="CharPartText"/>
        </w:rPr>
        <w:t>Sales of land by the Court</w:t>
      </w:r>
      <w:bookmarkEnd w:id="696"/>
      <w:bookmarkEnd w:id="697"/>
    </w:p>
    <w:p w:rsidR="00425758" w:rsidRDefault="00425758">
      <w:pPr>
        <w:pStyle w:val="Heading5"/>
        <w:rPr>
          <w:snapToGrid w:val="0"/>
        </w:rPr>
      </w:pPr>
      <w:bookmarkStart w:id="698" w:name="_Toc75863343"/>
      <w:r>
        <w:rPr>
          <w:rStyle w:val="CharSectno"/>
        </w:rPr>
        <w:t>1</w:t>
      </w:r>
      <w:r>
        <w:rPr>
          <w:snapToGrid w:val="0"/>
        </w:rPr>
        <w:t>.</w:t>
      </w:r>
      <w:r>
        <w:rPr>
          <w:snapToGrid w:val="0"/>
        </w:rPr>
        <w:tab/>
        <w:t>Term used: land</w:t>
      </w:r>
      <w:bookmarkEnd w:id="698"/>
    </w:p>
    <w:p w:rsidR="00425758" w:rsidRDefault="00425758">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rsidR="00425758" w:rsidRDefault="00425758">
      <w:pPr>
        <w:pStyle w:val="Heading5"/>
        <w:rPr>
          <w:snapToGrid w:val="0"/>
        </w:rPr>
      </w:pPr>
      <w:bookmarkStart w:id="699" w:name="_Toc75863344"/>
      <w:r>
        <w:rPr>
          <w:rStyle w:val="CharSectno"/>
        </w:rPr>
        <w:t>2</w:t>
      </w:r>
      <w:r>
        <w:rPr>
          <w:snapToGrid w:val="0"/>
        </w:rPr>
        <w:t>.</w:t>
      </w:r>
      <w:r>
        <w:rPr>
          <w:snapToGrid w:val="0"/>
        </w:rPr>
        <w:tab/>
        <w:t>Power to order sale of land</w:t>
      </w:r>
      <w:bookmarkEnd w:id="699"/>
    </w:p>
    <w:p w:rsidR="00425758" w:rsidRDefault="00425758">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rsidR="00425758" w:rsidRDefault="00425758">
      <w:pPr>
        <w:pStyle w:val="Heading5"/>
        <w:rPr>
          <w:snapToGrid w:val="0"/>
        </w:rPr>
      </w:pPr>
      <w:bookmarkStart w:id="700" w:name="_Toc75863345"/>
      <w:r>
        <w:rPr>
          <w:rStyle w:val="CharSectno"/>
        </w:rPr>
        <w:t>3</w:t>
      </w:r>
      <w:r>
        <w:rPr>
          <w:snapToGrid w:val="0"/>
        </w:rPr>
        <w:t>.</w:t>
      </w:r>
      <w:r>
        <w:rPr>
          <w:snapToGrid w:val="0"/>
        </w:rPr>
        <w:tab/>
        <w:t>Manner of sale</w:t>
      </w:r>
      <w:bookmarkEnd w:id="700"/>
    </w:p>
    <w:p w:rsidR="00425758" w:rsidRDefault="00425758">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rsidR="00425758" w:rsidRDefault="00425758">
      <w:pPr>
        <w:pStyle w:val="Subsection"/>
        <w:rPr>
          <w:snapToGrid w:val="0"/>
        </w:rPr>
      </w:pPr>
      <w:r>
        <w:rPr>
          <w:snapToGrid w:val="0"/>
        </w:rPr>
        <w:tab/>
        <w:t>(2)</w:t>
      </w:r>
      <w:r>
        <w:rPr>
          <w:snapToGrid w:val="0"/>
        </w:rPr>
        <w:tab/>
        <w:t>The Court may direct any party to join in the sale and conveyance or transfer, or in any other matter relating to the sale.</w:t>
      </w:r>
    </w:p>
    <w:p w:rsidR="00425758" w:rsidRDefault="00425758">
      <w:pPr>
        <w:pStyle w:val="Heading5"/>
        <w:rPr>
          <w:snapToGrid w:val="0"/>
        </w:rPr>
      </w:pPr>
      <w:bookmarkStart w:id="701" w:name="_Toc75863346"/>
      <w:r>
        <w:rPr>
          <w:rStyle w:val="CharSectno"/>
        </w:rPr>
        <w:t>4</w:t>
      </w:r>
      <w:r>
        <w:rPr>
          <w:snapToGrid w:val="0"/>
        </w:rPr>
        <w:t>.</w:t>
      </w:r>
      <w:r>
        <w:rPr>
          <w:snapToGrid w:val="0"/>
        </w:rPr>
        <w:tab/>
        <w:t>Directions</w:t>
      </w:r>
      <w:bookmarkEnd w:id="701"/>
    </w:p>
    <w:p w:rsidR="00425758" w:rsidRDefault="00425758">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rsidR="00425758" w:rsidRDefault="00425758">
      <w:pPr>
        <w:pStyle w:val="Indenta"/>
        <w:rPr>
          <w:snapToGrid w:val="0"/>
        </w:rPr>
      </w:pPr>
      <w:r>
        <w:rPr>
          <w:snapToGrid w:val="0"/>
        </w:rPr>
        <w:tab/>
        <w:t>(a)</w:t>
      </w:r>
      <w:r>
        <w:rPr>
          <w:snapToGrid w:val="0"/>
        </w:rPr>
        <w:tab/>
        <w:t>appointing the party or person who is to have the conduct of the sale;</w:t>
      </w:r>
    </w:p>
    <w:p w:rsidR="00425758" w:rsidRDefault="00425758">
      <w:pPr>
        <w:pStyle w:val="Indenta"/>
        <w:rPr>
          <w:snapToGrid w:val="0"/>
        </w:rPr>
      </w:pPr>
      <w:r>
        <w:rPr>
          <w:snapToGrid w:val="0"/>
        </w:rPr>
        <w:tab/>
        <w:t>(b)</w:t>
      </w:r>
      <w:r>
        <w:rPr>
          <w:snapToGrid w:val="0"/>
        </w:rPr>
        <w:tab/>
        <w:t xml:space="preserve">fixing the manner of sale, that is to say, whether the sale is to be by contract conditional on the approval of the </w:t>
      </w:r>
      <w:r>
        <w:rPr>
          <w:snapToGrid w:val="0"/>
        </w:rPr>
        <w:lastRenderedPageBreak/>
        <w:t>Court, by private treaty, by public auction, by tender, or by some other manner;</w:t>
      </w:r>
    </w:p>
    <w:p w:rsidR="00425758" w:rsidRDefault="00425758">
      <w:pPr>
        <w:pStyle w:val="Indenta"/>
        <w:rPr>
          <w:snapToGrid w:val="0"/>
        </w:rPr>
      </w:pPr>
      <w:r>
        <w:rPr>
          <w:snapToGrid w:val="0"/>
        </w:rPr>
        <w:tab/>
        <w:t>(c)</w:t>
      </w:r>
      <w:r>
        <w:rPr>
          <w:snapToGrid w:val="0"/>
        </w:rPr>
        <w:tab/>
        <w:t>fixing a reserve or minimum price;</w:t>
      </w:r>
    </w:p>
    <w:p w:rsidR="00425758" w:rsidRDefault="00425758">
      <w:pPr>
        <w:pStyle w:val="Indenta"/>
        <w:rPr>
          <w:snapToGrid w:val="0"/>
        </w:rPr>
      </w:pPr>
      <w:r>
        <w:rPr>
          <w:snapToGrid w:val="0"/>
        </w:rPr>
        <w:tab/>
        <w:t>(d)</w:t>
      </w:r>
      <w:r>
        <w:rPr>
          <w:snapToGrid w:val="0"/>
        </w:rPr>
        <w:tab/>
        <w:t>requiring payment of the purchase money into court or to trustees or other persons;</w:t>
      </w:r>
    </w:p>
    <w:p w:rsidR="00425758" w:rsidRDefault="00425758">
      <w:pPr>
        <w:pStyle w:val="Indenta"/>
        <w:rPr>
          <w:snapToGrid w:val="0"/>
        </w:rPr>
      </w:pPr>
      <w:r>
        <w:rPr>
          <w:snapToGrid w:val="0"/>
        </w:rPr>
        <w:tab/>
        <w:t>(e)</w:t>
      </w:r>
      <w:r>
        <w:rPr>
          <w:snapToGrid w:val="0"/>
        </w:rPr>
        <w:tab/>
        <w:t>for settling the particulars and conditions of sale;</w:t>
      </w:r>
    </w:p>
    <w:p w:rsidR="00425758" w:rsidRDefault="00425758">
      <w:pPr>
        <w:pStyle w:val="Indenta"/>
        <w:rPr>
          <w:snapToGrid w:val="0"/>
        </w:rPr>
      </w:pPr>
      <w:r>
        <w:rPr>
          <w:snapToGrid w:val="0"/>
        </w:rPr>
        <w:tab/>
        <w:t>(f)</w:t>
      </w:r>
      <w:r>
        <w:rPr>
          <w:snapToGrid w:val="0"/>
        </w:rPr>
        <w:tab/>
        <w:t>for obtaining evidence of value;</w:t>
      </w:r>
    </w:p>
    <w:p w:rsidR="00425758" w:rsidRDefault="00425758">
      <w:pPr>
        <w:pStyle w:val="Indenta"/>
        <w:rPr>
          <w:snapToGrid w:val="0"/>
        </w:rPr>
      </w:pPr>
      <w:r>
        <w:rPr>
          <w:snapToGrid w:val="0"/>
        </w:rPr>
        <w:tab/>
        <w:t>(g)</w:t>
      </w:r>
      <w:r>
        <w:rPr>
          <w:snapToGrid w:val="0"/>
        </w:rPr>
        <w:tab/>
        <w:t>fixing the remuneration to be allowed to any auctioneer, real estate agent, or other person.</w:t>
      </w:r>
    </w:p>
    <w:p w:rsidR="00425758" w:rsidRDefault="00425758">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rsidR="00425758" w:rsidRDefault="00425758">
      <w:pPr>
        <w:pStyle w:val="Footnotesection"/>
      </w:pPr>
      <w:r>
        <w:tab/>
        <w:t>[Rule 4 amended: Gazette 28 Jun 2011 p. 2552.]</w:t>
      </w:r>
    </w:p>
    <w:p w:rsidR="00425758" w:rsidRDefault="00425758">
      <w:pPr>
        <w:pStyle w:val="Heading5"/>
        <w:rPr>
          <w:snapToGrid w:val="0"/>
        </w:rPr>
      </w:pPr>
      <w:bookmarkStart w:id="702" w:name="_Toc75863347"/>
      <w:r>
        <w:rPr>
          <w:rStyle w:val="CharSectno"/>
        </w:rPr>
        <w:t>5</w:t>
      </w:r>
      <w:r>
        <w:rPr>
          <w:snapToGrid w:val="0"/>
        </w:rPr>
        <w:t>.</w:t>
      </w:r>
      <w:r>
        <w:rPr>
          <w:snapToGrid w:val="0"/>
        </w:rPr>
        <w:tab/>
        <w:t>Certificate of sale</w:t>
      </w:r>
      <w:bookmarkEnd w:id="702"/>
    </w:p>
    <w:p w:rsidR="00425758" w:rsidRDefault="00425758">
      <w:pPr>
        <w:pStyle w:val="Subsection"/>
        <w:rPr>
          <w:snapToGrid w:val="0"/>
        </w:rPr>
      </w:pPr>
      <w:r>
        <w:rPr>
          <w:snapToGrid w:val="0"/>
        </w:rPr>
        <w:tab/>
        <w:t>(1)</w:t>
      </w:r>
      <w:r>
        <w:rPr>
          <w:snapToGrid w:val="0"/>
        </w:rPr>
        <w:tab/>
        <w:t>Where land is sold pursuant to this Order the result of the sale must be certified — </w:t>
      </w:r>
    </w:p>
    <w:p w:rsidR="00425758" w:rsidRDefault="00425758">
      <w:pPr>
        <w:pStyle w:val="Indenta"/>
        <w:rPr>
          <w:snapToGrid w:val="0"/>
        </w:rPr>
      </w:pPr>
      <w:r>
        <w:rPr>
          <w:snapToGrid w:val="0"/>
        </w:rPr>
        <w:tab/>
        <w:t>(a)</w:t>
      </w:r>
      <w:r>
        <w:rPr>
          <w:snapToGrid w:val="0"/>
        </w:rPr>
        <w:tab/>
        <w:t>in the case of a sale by public auction, by the auctioneer who conducted the sale; and</w:t>
      </w:r>
    </w:p>
    <w:p w:rsidR="00425758" w:rsidRDefault="00425758">
      <w:pPr>
        <w:pStyle w:val="Indenta"/>
        <w:rPr>
          <w:snapToGrid w:val="0"/>
        </w:rPr>
      </w:pPr>
      <w:r>
        <w:rPr>
          <w:snapToGrid w:val="0"/>
        </w:rPr>
        <w:tab/>
        <w:t>(b)</w:t>
      </w:r>
      <w:r>
        <w:rPr>
          <w:snapToGrid w:val="0"/>
        </w:rPr>
        <w:tab/>
        <w:t>in any other case, by the solicitor of the party or person having the conduct of the sale,</w:t>
      </w:r>
    </w:p>
    <w:p w:rsidR="00425758" w:rsidRDefault="00425758">
      <w:pPr>
        <w:pStyle w:val="Subsection"/>
        <w:rPr>
          <w:snapToGrid w:val="0"/>
        </w:rPr>
      </w:pPr>
      <w:r>
        <w:rPr>
          <w:snapToGrid w:val="0"/>
        </w:rPr>
        <w:tab/>
      </w:r>
      <w:r>
        <w:rPr>
          <w:snapToGrid w:val="0"/>
        </w:rPr>
        <w:tab/>
        <w:t>unless in either case the Court otherwise orders.</w:t>
      </w:r>
    </w:p>
    <w:p w:rsidR="00425758" w:rsidRDefault="00425758">
      <w:pPr>
        <w:pStyle w:val="Subsection"/>
        <w:rPr>
          <w:snapToGrid w:val="0"/>
        </w:rPr>
      </w:pPr>
      <w:r>
        <w:rPr>
          <w:snapToGrid w:val="0"/>
        </w:rPr>
        <w:tab/>
        <w:t>(2)</w:t>
      </w:r>
      <w:r>
        <w:rPr>
          <w:snapToGrid w:val="0"/>
        </w:rPr>
        <w:tab/>
        <w:t>The Court may require that the certificate be verified by the affidavit of the auctioneer or solicitor, as the case may be.</w:t>
      </w:r>
    </w:p>
    <w:p w:rsidR="00425758" w:rsidRDefault="00425758">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rsidR="00425758" w:rsidRDefault="00425758">
      <w:pPr>
        <w:pStyle w:val="Heading5"/>
        <w:rPr>
          <w:snapToGrid w:val="0"/>
        </w:rPr>
      </w:pPr>
      <w:bookmarkStart w:id="703" w:name="_Toc75863348"/>
      <w:r>
        <w:rPr>
          <w:rStyle w:val="CharSectno"/>
        </w:rPr>
        <w:t>6</w:t>
      </w:r>
      <w:r>
        <w:rPr>
          <w:snapToGrid w:val="0"/>
        </w:rPr>
        <w:t>.</w:t>
      </w:r>
      <w:r>
        <w:rPr>
          <w:snapToGrid w:val="0"/>
        </w:rPr>
        <w:tab/>
        <w:t>Mortgage, exchange or partition</w:t>
      </w:r>
      <w:bookmarkEnd w:id="703"/>
    </w:p>
    <w:p w:rsidR="00425758" w:rsidRDefault="00425758">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rsidR="00425758" w:rsidRDefault="00425758">
      <w:pPr>
        <w:pStyle w:val="Heading5"/>
        <w:rPr>
          <w:snapToGrid w:val="0"/>
        </w:rPr>
      </w:pPr>
      <w:bookmarkStart w:id="704" w:name="_Toc75863349"/>
      <w:r>
        <w:rPr>
          <w:rStyle w:val="CharSectno"/>
        </w:rPr>
        <w:lastRenderedPageBreak/>
        <w:t>7</w:t>
      </w:r>
      <w:r>
        <w:rPr>
          <w:snapToGrid w:val="0"/>
        </w:rPr>
        <w:t>.</w:t>
      </w:r>
      <w:r>
        <w:rPr>
          <w:snapToGrid w:val="0"/>
        </w:rPr>
        <w:tab/>
        <w:t>Reference of matters to counsel</w:t>
      </w:r>
      <w:bookmarkEnd w:id="704"/>
    </w:p>
    <w:p w:rsidR="00425758" w:rsidRDefault="00425758">
      <w:pPr>
        <w:pStyle w:val="Subsection"/>
        <w:rPr>
          <w:snapToGrid w:val="0"/>
        </w:rPr>
      </w:pPr>
      <w:r>
        <w:tab/>
        <w:t>(1)</w:t>
      </w:r>
      <w:r>
        <w:tab/>
        <w:t>The</w:t>
      </w:r>
      <w:r>
        <w:rPr>
          <w:snapToGrid w:val="0"/>
        </w:rPr>
        <w:t xml:space="preserve"> Court may refer to counsel — </w:t>
      </w:r>
    </w:p>
    <w:p w:rsidR="00425758" w:rsidRDefault="00425758">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rsidR="00425758" w:rsidRDefault="00425758">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rsidR="00425758" w:rsidRDefault="00425758">
      <w:pPr>
        <w:pStyle w:val="Indenta"/>
        <w:rPr>
          <w:snapToGrid w:val="0"/>
        </w:rPr>
      </w:pPr>
      <w:r>
        <w:rPr>
          <w:snapToGrid w:val="0"/>
        </w:rPr>
        <w:tab/>
        <w:t>(c)</w:t>
      </w:r>
      <w:r>
        <w:rPr>
          <w:snapToGrid w:val="0"/>
        </w:rPr>
        <w:tab/>
        <w:t>any other matter the Court thinks fit,</w:t>
      </w:r>
    </w:p>
    <w:p w:rsidR="00425758" w:rsidRDefault="00425758">
      <w:pPr>
        <w:pStyle w:val="Subsection"/>
        <w:rPr>
          <w:snapToGrid w:val="0"/>
        </w:rPr>
      </w:pPr>
      <w:r>
        <w:rPr>
          <w:snapToGrid w:val="0"/>
        </w:rPr>
        <w:tab/>
      </w:r>
      <w:r>
        <w:rPr>
          <w:snapToGrid w:val="0"/>
        </w:rPr>
        <w:tab/>
        <w:t>and may act upon the opinion given by counsel in the matter referred.</w:t>
      </w:r>
    </w:p>
    <w:p w:rsidR="00425758" w:rsidRDefault="00425758">
      <w:pPr>
        <w:pStyle w:val="Subsection"/>
      </w:pPr>
      <w:r>
        <w:tab/>
        <w:t>(2)</w:t>
      </w:r>
      <w:r>
        <w:tab/>
        <w:t>Unless the Principal Registrar has given approval for it to be filed electronically, the opinion given by counsel cannot be filed electronically.</w:t>
      </w:r>
    </w:p>
    <w:p w:rsidR="00425758" w:rsidRDefault="00425758">
      <w:pPr>
        <w:pStyle w:val="Footnotesection"/>
      </w:pPr>
      <w:r>
        <w:tab/>
        <w:t xml:space="preserve">[Rule 7 amended: Gazette 27 Feb 2018 p. 570-1.] </w:t>
      </w:r>
    </w:p>
    <w:p w:rsidR="00425758" w:rsidRDefault="00425758">
      <w:pPr>
        <w:pStyle w:val="Heading5"/>
        <w:rPr>
          <w:snapToGrid w:val="0"/>
        </w:rPr>
      </w:pPr>
      <w:bookmarkStart w:id="705" w:name="_Toc75863350"/>
      <w:r>
        <w:rPr>
          <w:rStyle w:val="CharSectno"/>
        </w:rPr>
        <w:t>8</w:t>
      </w:r>
      <w:r>
        <w:rPr>
          <w:snapToGrid w:val="0"/>
        </w:rPr>
        <w:t>.</w:t>
      </w:r>
      <w:r>
        <w:rPr>
          <w:snapToGrid w:val="0"/>
        </w:rPr>
        <w:tab/>
        <w:t>Objection to counsel’s opinion</w:t>
      </w:r>
      <w:bookmarkEnd w:id="705"/>
    </w:p>
    <w:p w:rsidR="00425758" w:rsidRDefault="00425758">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rsidR="00425758" w:rsidRDefault="00425758">
      <w:pPr>
        <w:pStyle w:val="Heading2"/>
        <w:rPr>
          <w:b w:val="0"/>
        </w:rPr>
      </w:pPr>
      <w:bookmarkStart w:id="706" w:name="_Toc75512255"/>
      <w:bookmarkStart w:id="707" w:name="_Toc75863351"/>
      <w:r>
        <w:rPr>
          <w:rStyle w:val="CharPartNo"/>
        </w:rPr>
        <w:lastRenderedPageBreak/>
        <w:t>Order 54</w:t>
      </w:r>
      <w:r>
        <w:rPr>
          <w:rStyle w:val="CharDivNo"/>
        </w:rPr>
        <w:t> </w:t>
      </w:r>
      <w:r>
        <w:t>—</w:t>
      </w:r>
      <w:r>
        <w:rPr>
          <w:rStyle w:val="CharDivText"/>
        </w:rPr>
        <w:t> </w:t>
      </w:r>
      <w:r>
        <w:rPr>
          <w:rStyle w:val="CharPartText"/>
        </w:rPr>
        <w:t>Originating and other motions</w:t>
      </w:r>
      <w:bookmarkEnd w:id="706"/>
      <w:bookmarkEnd w:id="707"/>
    </w:p>
    <w:p w:rsidR="00425758" w:rsidRDefault="00425758">
      <w:pPr>
        <w:pStyle w:val="Heading5"/>
        <w:rPr>
          <w:snapToGrid w:val="0"/>
        </w:rPr>
      </w:pPr>
      <w:bookmarkStart w:id="708" w:name="_Toc75863352"/>
      <w:r>
        <w:rPr>
          <w:rStyle w:val="CharSectno"/>
        </w:rPr>
        <w:t>1</w:t>
      </w:r>
      <w:r>
        <w:rPr>
          <w:snapToGrid w:val="0"/>
        </w:rPr>
        <w:t>.</w:t>
      </w:r>
      <w:r>
        <w:rPr>
          <w:snapToGrid w:val="0"/>
        </w:rPr>
        <w:tab/>
        <w:t>Application of this Order</w:t>
      </w:r>
      <w:bookmarkEnd w:id="708"/>
    </w:p>
    <w:p w:rsidR="00425758" w:rsidRDefault="00425758">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rsidR="00425758" w:rsidRDefault="00425758">
      <w:pPr>
        <w:pStyle w:val="Heading5"/>
        <w:rPr>
          <w:snapToGrid w:val="0"/>
        </w:rPr>
      </w:pPr>
      <w:bookmarkStart w:id="709" w:name="_Toc75863353"/>
      <w:r>
        <w:rPr>
          <w:rStyle w:val="CharSectno"/>
        </w:rPr>
        <w:t>2</w:t>
      </w:r>
      <w:r>
        <w:rPr>
          <w:snapToGrid w:val="0"/>
        </w:rPr>
        <w:t>.</w:t>
      </w:r>
      <w:r>
        <w:rPr>
          <w:snapToGrid w:val="0"/>
        </w:rPr>
        <w:tab/>
        <w:t>Which applications to be made by motion</w:t>
      </w:r>
      <w:bookmarkEnd w:id="709"/>
    </w:p>
    <w:p w:rsidR="00425758" w:rsidRDefault="00425758">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rsidR="00425758" w:rsidRDefault="00425758">
      <w:pPr>
        <w:pStyle w:val="Heading5"/>
        <w:rPr>
          <w:snapToGrid w:val="0"/>
        </w:rPr>
      </w:pPr>
      <w:bookmarkStart w:id="710" w:name="_Toc75863354"/>
      <w:r>
        <w:rPr>
          <w:rStyle w:val="CharSectno"/>
        </w:rPr>
        <w:t>3</w:t>
      </w:r>
      <w:r>
        <w:rPr>
          <w:snapToGrid w:val="0"/>
        </w:rPr>
        <w:t>.</w:t>
      </w:r>
      <w:r>
        <w:rPr>
          <w:snapToGrid w:val="0"/>
        </w:rPr>
        <w:tab/>
        <w:t>Notice of motion</w:t>
      </w:r>
      <w:bookmarkEnd w:id="710"/>
    </w:p>
    <w:p w:rsidR="00425758" w:rsidRDefault="00425758">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rsidR="00425758" w:rsidRDefault="00425758">
      <w:pPr>
        <w:pStyle w:val="Subsection"/>
        <w:rPr>
          <w:snapToGrid w:val="0"/>
        </w:rPr>
      </w:pPr>
      <w:r>
        <w:rPr>
          <w:snapToGrid w:val="0"/>
        </w:rPr>
        <w:tab/>
        <w:t>(2)</w:t>
      </w:r>
      <w:r>
        <w:rPr>
          <w:snapToGrid w:val="0"/>
        </w:rPr>
        <w:tab/>
        <w:t>Any party affected by such an order may apply to the Court to set it aside.</w:t>
      </w:r>
    </w:p>
    <w:p w:rsidR="00425758" w:rsidRDefault="00425758">
      <w:pPr>
        <w:pStyle w:val="Heading5"/>
        <w:rPr>
          <w:snapToGrid w:val="0"/>
        </w:rPr>
      </w:pPr>
      <w:bookmarkStart w:id="711" w:name="_Toc75863355"/>
      <w:r>
        <w:rPr>
          <w:rStyle w:val="CharSectno"/>
        </w:rPr>
        <w:t>4</w:t>
      </w:r>
      <w:r>
        <w:rPr>
          <w:snapToGrid w:val="0"/>
        </w:rPr>
        <w:t>.</w:t>
      </w:r>
      <w:r>
        <w:rPr>
          <w:snapToGrid w:val="0"/>
        </w:rPr>
        <w:tab/>
        <w:t>Time of notice of motion</w:t>
      </w:r>
      <w:bookmarkEnd w:id="711"/>
    </w:p>
    <w:p w:rsidR="00425758" w:rsidRDefault="00425758">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rsidR="00425758" w:rsidRDefault="00425758">
      <w:pPr>
        <w:pStyle w:val="Heading5"/>
        <w:rPr>
          <w:snapToGrid w:val="0"/>
        </w:rPr>
      </w:pPr>
      <w:bookmarkStart w:id="712" w:name="_Toc75863356"/>
      <w:r>
        <w:rPr>
          <w:rStyle w:val="CharSectno"/>
        </w:rPr>
        <w:t>5</w:t>
      </w:r>
      <w:r>
        <w:rPr>
          <w:snapToGrid w:val="0"/>
        </w:rPr>
        <w:t>.</w:t>
      </w:r>
      <w:r>
        <w:rPr>
          <w:snapToGrid w:val="0"/>
        </w:rPr>
        <w:tab/>
        <w:t>Form of notice of motion</w:t>
      </w:r>
      <w:bookmarkEnd w:id="712"/>
      <w:r>
        <w:rPr>
          <w:snapToGrid w:val="0"/>
        </w:rPr>
        <w:t xml:space="preserve"> </w:t>
      </w:r>
    </w:p>
    <w:p w:rsidR="00425758" w:rsidRDefault="00425758">
      <w:pPr>
        <w:pStyle w:val="Subsection"/>
        <w:rPr>
          <w:snapToGrid w:val="0"/>
        </w:rPr>
      </w:pPr>
      <w:r>
        <w:rPr>
          <w:snapToGrid w:val="0"/>
        </w:rPr>
        <w:tab/>
        <w:t>(1)</w:t>
      </w:r>
      <w:r>
        <w:rPr>
          <w:snapToGrid w:val="0"/>
        </w:rPr>
        <w:tab/>
        <w:t>The form of the notice of an originating motion must be in Form No. 64 and the notice of any other motion in Form No. 65.</w:t>
      </w:r>
    </w:p>
    <w:p w:rsidR="00425758" w:rsidRDefault="00425758">
      <w:pPr>
        <w:pStyle w:val="Subsection"/>
        <w:rPr>
          <w:snapToGrid w:val="0"/>
        </w:rPr>
      </w:pPr>
      <w:r>
        <w:rPr>
          <w:snapToGrid w:val="0"/>
        </w:rPr>
        <w:tab/>
        <w:t>(2)</w:t>
      </w:r>
      <w:r>
        <w:rPr>
          <w:snapToGrid w:val="0"/>
        </w:rPr>
        <w:tab/>
        <w:t>Where leave has been given under rule 4 to serve short notice of motion, that fact must be stated in the notice.</w:t>
      </w:r>
    </w:p>
    <w:p w:rsidR="00425758" w:rsidRDefault="00425758">
      <w:pPr>
        <w:pStyle w:val="Subsection"/>
        <w:rPr>
          <w:snapToGrid w:val="0"/>
        </w:rPr>
      </w:pPr>
      <w:r>
        <w:rPr>
          <w:snapToGrid w:val="0"/>
        </w:rPr>
        <w:lastRenderedPageBreak/>
        <w:tab/>
        <w:t>(3)</w:t>
      </w:r>
      <w:r>
        <w:rPr>
          <w:snapToGrid w:val="0"/>
        </w:rPr>
        <w:tab/>
        <w:t>The notice of a motion must contain a concise statement of the nature of the claim made or the relief or remedy sought.</w:t>
      </w:r>
    </w:p>
    <w:p w:rsidR="00425758" w:rsidRDefault="00425758">
      <w:pPr>
        <w:pStyle w:val="Heading5"/>
        <w:rPr>
          <w:snapToGrid w:val="0"/>
        </w:rPr>
      </w:pPr>
      <w:bookmarkStart w:id="713" w:name="_Toc75863357"/>
      <w:r>
        <w:rPr>
          <w:rStyle w:val="CharSectno"/>
        </w:rPr>
        <w:t>6</w:t>
      </w:r>
      <w:r>
        <w:rPr>
          <w:snapToGrid w:val="0"/>
        </w:rPr>
        <w:t>.</w:t>
      </w:r>
      <w:r>
        <w:rPr>
          <w:snapToGrid w:val="0"/>
        </w:rPr>
        <w:tab/>
        <w:t>Issue of notice of motion</w:t>
      </w:r>
      <w:bookmarkEnd w:id="713"/>
      <w:r>
        <w:rPr>
          <w:snapToGrid w:val="0"/>
        </w:rPr>
        <w:t xml:space="preserve"> </w:t>
      </w:r>
    </w:p>
    <w:p w:rsidR="00425758" w:rsidRDefault="00425758">
      <w:pPr>
        <w:pStyle w:val="Subsection"/>
        <w:rPr>
          <w:snapToGrid w:val="0"/>
        </w:rPr>
      </w:pPr>
      <w:r>
        <w:rPr>
          <w:snapToGrid w:val="0"/>
        </w:rPr>
        <w:tab/>
        <w:t>(1)</w:t>
      </w:r>
      <w:r>
        <w:rPr>
          <w:snapToGrid w:val="0"/>
        </w:rPr>
        <w:tab/>
        <w:t>The notice of motion by which proceedings are begun must be issued out of the Central Office.</w:t>
      </w:r>
    </w:p>
    <w:p w:rsidR="00425758" w:rsidRDefault="00425758">
      <w:pPr>
        <w:pStyle w:val="Subsection"/>
        <w:rPr>
          <w:snapToGrid w:val="0"/>
        </w:rPr>
      </w:pPr>
      <w:r>
        <w:rPr>
          <w:snapToGrid w:val="0"/>
        </w:rPr>
        <w:tab/>
        <w:t>(2)</w:t>
      </w:r>
      <w:r>
        <w:rPr>
          <w:snapToGrid w:val="0"/>
        </w:rPr>
        <w:tab/>
        <w:t>The notice is issued upon its being sealed by the proper officer.</w:t>
      </w:r>
    </w:p>
    <w:p w:rsidR="00425758" w:rsidRDefault="00425758">
      <w:pPr>
        <w:pStyle w:val="Subsection"/>
        <w:rPr>
          <w:snapToGrid w:val="0"/>
        </w:rPr>
      </w:pPr>
      <w:r>
        <w:rPr>
          <w:snapToGrid w:val="0"/>
        </w:rPr>
        <w:tab/>
        <w:t>(3)</w:t>
      </w:r>
      <w:r>
        <w:rPr>
          <w:snapToGrid w:val="0"/>
        </w:rPr>
        <w:tab/>
        <w:t>Every other notice must be filed before service.</w:t>
      </w:r>
    </w:p>
    <w:p w:rsidR="00425758" w:rsidRDefault="00425758">
      <w:pPr>
        <w:pStyle w:val="Heading5"/>
        <w:rPr>
          <w:snapToGrid w:val="0"/>
        </w:rPr>
      </w:pPr>
      <w:bookmarkStart w:id="714" w:name="_Toc75863358"/>
      <w:r>
        <w:rPr>
          <w:rStyle w:val="CharSectno"/>
        </w:rPr>
        <w:t>7</w:t>
      </w:r>
      <w:r>
        <w:rPr>
          <w:snapToGrid w:val="0"/>
        </w:rPr>
        <w:t>.</w:t>
      </w:r>
      <w:r>
        <w:rPr>
          <w:snapToGrid w:val="0"/>
        </w:rPr>
        <w:tab/>
        <w:t>Service of notice of motion with writ etc.</w:t>
      </w:r>
      <w:bookmarkEnd w:id="714"/>
    </w:p>
    <w:p w:rsidR="00425758" w:rsidRDefault="00425758">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rsidR="00425758" w:rsidRDefault="00425758">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rsidR="00425758" w:rsidRDefault="00425758">
      <w:pPr>
        <w:pStyle w:val="Heading5"/>
        <w:rPr>
          <w:snapToGrid w:val="0"/>
        </w:rPr>
      </w:pPr>
      <w:bookmarkStart w:id="715" w:name="_Toc75863359"/>
      <w:r>
        <w:rPr>
          <w:rStyle w:val="CharSectno"/>
        </w:rPr>
        <w:t>8</w:t>
      </w:r>
      <w:r>
        <w:rPr>
          <w:snapToGrid w:val="0"/>
        </w:rPr>
        <w:t>.</w:t>
      </w:r>
      <w:r>
        <w:rPr>
          <w:snapToGrid w:val="0"/>
        </w:rPr>
        <w:tab/>
        <w:t>Adjournment etc.</w:t>
      </w:r>
      <w:bookmarkEnd w:id="715"/>
    </w:p>
    <w:p w:rsidR="00425758" w:rsidRDefault="00425758">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rsidR="00425758" w:rsidRDefault="00425758">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rsidR="00425758" w:rsidRDefault="00425758">
      <w:pPr>
        <w:pStyle w:val="Footnotesection"/>
      </w:pPr>
      <w:r>
        <w:tab/>
        <w:t xml:space="preserve">[Rule 8 amended: Gazette 9 Nov 1973 p. 4164.] </w:t>
      </w:r>
    </w:p>
    <w:p w:rsidR="00425758" w:rsidRDefault="00425758">
      <w:pPr>
        <w:pStyle w:val="Heading2"/>
        <w:rPr>
          <w:b w:val="0"/>
        </w:rPr>
      </w:pPr>
      <w:bookmarkStart w:id="716" w:name="_Toc75512264"/>
      <w:bookmarkStart w:id="717" w:name="_Toc75863360"/>
      <w:r>
        <w:rPr>
          <w:rStyle w:val="CharPartNo"/>
        </w:rPr>
        <w:lastRenderedPageBreak/>
        <w:t>Order 55</w:t>
      </w:r>
      <w:r>
        <w:rPr>
          <w:rStyle w:val="CharDivNo"/>
        </w:rPr>
        <w:t> </w:t>
      </w:r>
      <w:r>
        <w:t>—</w:t>
      </w:r>
      <w:r>
        <w:rPr>
          <w:rStyle w:val="CharDivText"/>
        </w:rPr>
        <w:t> </w:t>
      </w:r>
      <w:r>
        <w:rPr>
          <w:rStyle w:val="CharPartText"/>
        </w:rPr>
        <w:t>Committal and attachment</w:t>
      </w:r>
      <w:bookmarkEnd w:id="716"/>
      <w:bookmarkEnd w:id="717"/>
    </w:p>
    <w:p w:rsidR="00425758" w:rsidRDefault="00425758">
      <w:pPr>
        <w:pStyle w:val="Heading5"/>
        <w:rPr>
          <w:snapToGrid w:val="0"/>
        </w:rPr>
      </w:pPr>
      <w:bookmarkStart w:id="718" w:name="_Toc75863361"/>
      <w:r>
        <w:rPr>
          <w:rStyle w:val="CharSectno"/>
        </w:rPr>
        <w:t>1</w:t>
      </w:r>
      <w:r>
        <w:rPr>
          <w:snapToGrid w:val="0"/>
        </w:rPr>
        <w:t>.</w:t>
      </w:r>
      <w:r>
        <w:rPr>
          <w:snapToGrid w:val="0"/>
        </w:rPr>
        <w:tab/>
        <w:t>Term used: contemnor</w:t>
      </w:r>
      <w:bookmarkEnd w:id="718"/>
    </w:p>
    <w:p w:rsidR="00425758" w:rsidRDefault="00425758">
      <w:pPr>
        <w:pStyle w:val="Subsection"/>
        <w:rPr>
          <w:snapToGrid w:val="0"/>
        </w:rPr>
      </w:pPr>
      <w:r>
        <w:rPr>
          <w:snapToGrid w:val="0"/>
        </w:rPr>
        <w:tab/>
      </w:r>
      <w:r>
        <w:rPr>
          <w:snapToGrid w:val="0"/>
        </w:rPr>
        <w:tab/>
        <w:t>In this Order — </w:t>
      </w:r>
    </w:p>
    <w:p w:rsidR="00425758" w:rsidRDefault="00425758">
      <w:pPr>
        <w:pStyle w:val="Defstart"/>
      </w:pPr>
      <w:r>
        <w:rPr>
          <w:b/>
        </w:rPr>
        <w:tab/>
      </w:r>
      <w:r>
        <w:rPr>
          <w:rStyle w:val="CharDefText"/>
        </w:rPr>
        <w:t>contemnor</w:t>
      </w:r>
      <w:r>
        <w:t xml:space="preserve"> means a person guilty or alleged to be guilty of contempt of court.</w:t>
      </w:r>
    </w:p>
    <w:p w:rsidR="00425758" w:rsidRDefault="00425758">
      <w:pPr>
        <w:pStyle w:val="Heading5"/>
      </w:pPr>
      <w:bookmarkStart w:id="719" w:name="_Toc75863362"/>
      <w:r>
        <w:rPr>
          <w:rStyle w:val="CharSectno"/>
        </w:rPr>
        <w:t>2</w:t>
      </w:r>
      <w:r>
        <w:t>.</w:t>
      </w:r>
      <w:r>
        <w:tab/>
        <w:t>Committal for contempt of court</w:t>
      </w:r>
      <w:bookmarkEnd w:id="719"/>
    </w:p>
    <w:p w:rsidR="00425758" w:rsidRDefault="00425758">
      <w:pPr>
        <w:pStyle w:val="Subsection"/>
      </w:pPr>
      <w:r>
        <w:tab/>
      </w:r>
      <w:r>
        <w:tab/>
        <w:t>Subject to the Act, the power of the Court to punish for contempt of court may be exercised by an order of committal made by a judge, or judge of appeal, sitting alone.</w:t>
      </w:r>
    </w:p>
    <w:p w:rsidR="00425758" w:rsidRDefault="00425758">
      <w:pPr>
        <w:pStyle w:val="Footnotesection"/>
      </w:pPr>
      <w:r>
        <w:tab/>
        <w:t>[Rule 2 inserted: Gazette 29 Apr 2005 p. 1792.]</w:t>
      </w:r>
    </w:p>
    <w:p w:rsidR="00425758" w:rsidRDefault="00425758">
      <w:pPr>
        <w:pStyle w:val="Heading5"/>
        <w:rPr>
          <w:snapToGrid w:val="0"/>
        </w:rPr>
      </w:pPr>
      <w:bookmarkStart w:id="720" w:name="_Toc75863363"/>
      <w:r>
        <w:rPr>
          <w:rStyle w:val="CharSectno"/>
        </w:rPr>
        <w:t>3</w:t>
      </w:r>
      <w:r>
        <w:rPr>
          <w:snapToGrid w:val="0"/>
        </w:rPr>
        <w:t>.</w:t>
      </w:r>
      <w:r>
        <w:rPr>
          <w:snapToGrid w:val="0"/>
        </w:rPr>
        <w:tab/>
        <w:t>Contempt in face of Court</w:t>
      </w:r>
      <w:bookmarkEnd w:id="720"/>
    </w:p>
    <w:p w:rsidR="00425758" w:rsidRDefault="00425758">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rsidR="00425758" w:rsidRDefault="00425758">
      <w:pPr>
        <w:pStyle w:val="Subsection"/>
        <w:keepNext/>
        <w:rPr>
          <w:snapToGrid w:val="0"/>
        </w:rPr>
      </w:pPr>
      <w:r>
        <w:rPr>
          <w:snapToGrid w:val="0"/>
        </w:rPr>
        <w:tab/>
        <w:t>(2)</w:t>
      </w:r>
      <w:r>
        <w:rPr>
          <w:snapToGrid w:val="0"/>
        </w:rPr>
        <w:tab/>
        <w:t>When the contemnor is brought before the Court, the Court shall — </w:t>
      </w:r>
    </w:p>
    <w:p w:rsidR="00425758" w:rsidRDefault="00425758">
      <w:pPr>
        <w:pStyle w:val="Indenta"/>
        <w:rPr>
          <w:snapToGrid w:val="0"/>
        </w:rPr>
      </w:pPr>
      <w:r>
        <w:rPr>
          <w:snapToGrid w:val="0"/>
        </w:rPr>
        <w:tab/>
        <w:t>(a)</w:t>
      </w:r>
      <w:r>
        <w:rPr>
          <w:snapToGrid w:val="0"/>
        </w:rPr>
        <w:tab/>
        <w:t>cause him to be informed orally of the contempt with which he is charged; and</w:t>
      </w:r>
    </w:p>
    <w:p w:rsidR="00425758" w:rsidRDefault="00425758">
      <w:pPr>
        <w:pStyle w:val="Indenta"/>
        <w:rPr>
          <w:snapToGrid w:val="0"/>
        </w:rPr>
      </w:pPr>
      <w:r>
        <w:rPr>
          <w:snapToGrid w:val="0"/>
        </w:rPr>
        <w:tab/>
        <w:t>(b)</w:t>
      </w:r>
      <w:r>
        <w:rPr>
          <w:snapToGrid w:val="0"/>
        </w:rPr>
        <w:tab/>
        <w:t>require him to make his defence to the charge; and</w:t>
      </w:r>
    </w:p>
    <w:p w:rsidR="00425758" w:rsidRDefault="00425758">
      <w:pPr>
        <w:pStyle w:val="Indenta"/>
        <w:rPr>
          <w:snapToGrid w:val="0"/>
        </w:rPr>
      </w:pPr>
      <w:r>
        <w:rPr>
          <w:snapToGrid w:val="0"/>
        </w:rPr>
        <w:tab/>
        <w:t>(c)</w:t>
      </w:r>
      <w:r>
        <w:rPr>
          <w:snapToGrid w:val="0"/>
        </w:rPr>
        <w:tab/>
        <w:t>after hearing him proceed, either forthwith or after adjournment, to determine the matter of the charge; and</w:t>
      </w:r>
    </w:p>
    <w:p w:rsidR="00425758" w:rsidRDefault="00425758">
      <w:pPr>
        <w:pStyle w:val="Indenta"/>
        <w:rPr>
          <w:snapToGrid w:val="0"/>
        </w:rPr>
      </w:pPr>
      <w:r>
        <w:rPr>
          <w:snapToGrid w:val="0"/>
        </w:rPr>
        <w:tab/>
        <w:t>(d)</w:t>
      </w:r>
      <w:r>
        <w:rPr>
          <w:snapToGrid w:val="0"/>
        </w:rPr>
        <w:tab/>
        <w:t>make an order for the punishment or discharge of the contemnor.</w:t>
      </w:r>
    </w:p>
    <w:p w:rsidR="00425758" w:rsidRDefault="00425758">
      <w:pPr>
        <w:pStyle w:val="Subsection"/>
        <w:keepNext/>
        <w:rPr>
          <w:snapToGrid w:val="0"/>
        </w:rPr>
      </w:pPr>
      <w:r>
        <w:rPr>
          <w:snapToGrid w:val="0"/>
        </w:rPr>
        <w:tab/>
        <w:t>(3)</w:t>
      </w:r>
      <w:r>
        <w:rPr>
          <w:snapToGrid w:val="0"/>
        </w:rPr>
        <w:tab/>
        <w:t>The Court may, pending disposal of the charge — </w:t>
      </w:r>
    </w:p>
    <w:p w:rsidR="00425758" w:rsidRDefault="00425758">
      <w:pPr>
        <w:pStyle w:val="Indenta"/>
        <w:rPr>
          <w:snapToGrid w:val="0"/>
        </w:rPr>
      </w:pPr>
      <w:r>
        <w:rPr>
          <w:snapToGrid w:val="0"/>
        </w:rPr>
        <w:tab/>
        <w:t>(a)</w:t>
      </w:r>
      <w:r>
        <w:rPr>
          <w:snapToGrid w:val="0"/>
        </w:rPr>
        <w:tab/>
        <w:t>direct that the contemnor be detained in such custody as the Court directs; or</w:t>
      </w:r>
    </w:p>
    <w:p w:rsidR="00425758" w:rsidRDefault="00425758">
      <w:pPr>
        <w:pStyle w:val="Indenta"/>
        <w:rPr>
          <w:snapToGrid w:val="0"/>
        </w:rPr>
      </w:pPr>
      <w:r>
        <w:rPr>
          <w:snapToGrid w:val="0"/>
        </w:rPr>
        <w:lastRenderedPageBreak/>
        <w:tab/>
        <w:t>(b)</w:t>
      </w:r>
      <w:r>
        <w:rPr>
          <w:snapToGrid w:val="0"/>
        </w:rPr>
        <w:tab/>
        <w:t>direct that the contemnor be released on bail.</w:t>
      </w:r>
    </w:p>
    <w:p w:rsidR="00425758" w:rsidRDefault="00425758">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rsidR="00425758" w:rsidRDefault="00425758">
      <w:pPr>
        <w:pStyle w:val="Heading5"/>
        <w:rPr>
          <w:snapToGrid w:val="0"/>
        </w:rPr>
      </w:pPr>
      <w:bookmarkStart w:id="721" w:name="_Toc75863364"/>
      <w:r>
        <w:rPr>
          <w:rStyle w:val="CharSectno"/>
        </w:rPr>
        <w:t>4</w:t>
      </w:r>
      <w:r>
        <w:rPr>
          <w:snapToGrid w:val="0"/>
        </w:rPr>
        <w:t>.</w:t>
      </w:r>
      <w:r>
        <w:rPr>
          <w:snapToGrid w:val="0"/>
        </w:rPr>
        <w:tab/>
        <w:t>Other cases of contempt</w:t>
      </w:r>
      <w:bookmarkEnd w:id="721"/>
    </w:p>
    <w:p w:rsidR="00425758" w:rsidRDefault="00425758">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rsidR="00425758" w:rsidRDefault="00425758">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rsidR="00425758" w:rsidRDefault="00425758">
      <w:pPr>
        <w:pStyle w:val="Footnotesection"/>
      </w:pPr>
      <w:r>
        <w:tab/>
        <w:t>[Rule 4 amended: Gazette 28 Jun 2011 p. 2552 and 2554.]</w:t>
      </w:r>
    </w:p>
    <w:p w:rsidR="00425758" w:rsidRDefault="00425758">
      <w:pPr>
        <w:pStyle w:val="Heading5"/>
        <w:rPr>
          <w:snapToGrid w:val="0"/>
        </w:rPr>
      </w:pPr>
      <w:bookmarkStart w:id="722" w:name="_Toc75863365"/>
      <w:r>
        <w:rPr>
          <w:rStyle w:val="CharSectno"/>
        </w:rPr>
        <w:t>5</w:t>
      </w:r>
      <w:r>
        <w:rPr>
          <w:snapToGrid w:val="0"/>
        </w:rPr>
        <w:t>.</w:t>
      </w:r>
      <w:r>
        <w:rPr>
          <w:snapToGrid w:val="0"/>
        </w:rPr>
        <w:tab/>
        <w:t>Form and service of notice or summons</w:t>
      </w:r>
      <w:bookmarkEnd w:id="722"/>
    </w:p>
    <w:p w:rsidR="00425758" w:rsidRDefault="00425758">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rsidR="00425758" w:rsidRDefault="00425758">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rsidR="00425758" w:rsidRDefault="00425758">
      <w:pPr>
        <w:pStyle w:val="Footnotesection"/>
      </w:pPr>
      <w:r>
        <w:tab/>
        <w:t xml:space="preserve">[Rule 5 amended: Gazette 19 Apr 2005 p. 1299.] </w:t>
      </w:r>
    </w:p>
    <w:p w:rsidR="00425758" w:rsidRDefault="00425758">
      <w:pPr>
        <w:pStyle w:val="Heading5"/>
        <w:rPr>
          <w:snapToGrid w:val="0"/>
        </w:rPr>
      </w:pPr>
      <w:bookmarkStart w:id="723" w:name="_Toc75863366"/>
      <w:r>
        <w:rPr>
          <w:rStyle w:val="CharSectno"/>
        </w:rPr>
        <w:lastRenderedPageBreak/>
        <w:t>6</w:t>
      </w:r>
      <w:r>
        <w:rPr>
          <w:snapToGrid w:val="0"/>
        </w:rPr>
        <w:t>.</w:t>
      </w:r>
      <w:r>
        <w:rPr>
          <w:snapToGrid w:val="0"/>
        </w:rPr>
        <w:tab/>
        <w:t>Arresting contemnors</w:t>
      </w:r>
      <w:bookmarkEnd w:id="723"/>
    </w:p>
    <w:p w:rsidR="00425758" w:rsidRDefault="00425758">
      <w:pPr>
        <w:pStyle w:val="Subsection"/>
        <w:keepNext/>
        <w:keepLines/>
        <w:rPr>
          <w:snapToGrid w:val="0"/>
        </w:rPr>
      </w:pPr>
      <w:r>
        <w:rPr>
          <w:snapToGrid w:val="0"/>
        </w:rPr>
        <w:tab/>
      </w:r>
      <w:r>
        <w:rPr>
          <w:snapToGrid w:val="0"/>
        </w:rPr>
        <w:tab/>
        <w:t>Where — </w:t>
      </w:r>
    </w:p>
    <w:p w:rsidR="00425758" w:rsidRDefault="00425758">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rsidR="00425758" w:rsidRDefault="00425758">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rsidR="00425758" w:rsidRDefault="00425758">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rsidR="00425758" w:rsidRDefault="00425758">
      <w:pPr>
        <w:pStyle w:val="Heading5"/>
        <w:rPr>
          <w:snapToGrid w:val="0"/>
        </w:rPr>
      </w:pPr>
      <w:bookmarkStart w:id="724" w:name="_Toc75863367"/>
      <w:r>
        <w:rPr>
          <w:rStyle w:val="CharSectno"/>
        </w:rPr>
        <w:t>7</w:t>
      </w:r>
      <w:r>
        <w:rPr>
          <w:snapToGrid w:val="0"/>
        </w:rPr>
        <w:t>.</w:t>
      </w:r>
      <w:r>
        <w:rPr>
          <w:snapToGrid w:val="0"/>
        </w:rPr>
        <w:tab/>
        <w:t>Punishing contemnors</w:t>
      </w:r>
      <w:bookmarkEnd w:id="724"/>
    </w:p>
    <w:p w:rsidR="00425758" w:rsidRDefault="00425758">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rsidR="00425758" w:rsidRDefault="00425758">
      <w:pPr>
        <w:pStyle w:val="Subsection"/>
        <w:rPr>
          <w:snapToGrid w:val="0"/>
        </w:rPr>
      </w:pPr>
      <w:r>
        <w:rPr>
          <w:snapToGrid w:val="0"/>
        </w:rPr>
        <w:tab/>
        <w:t>(2)</w:t>
      </w:r>
      <w:r>
        <w:rPr>
          <w:snapToGrid w:val="0"/>
        </w:rPr>
        <w:tab/>
        <w:t>When the Court imposes a fine, it may order that the contemnor be imprisoned, or further imprisoned, until the fine is paid.</w:t>
      </w:r>
    </w:p>
    <w:p w:rsidR="00425758" w:rsidRDefault="00425758">
      <w:pPr>
        <w:pStyle w:val="Subsection"/>
        <w:rPr>
          <w:snapToGrid w:val="0"/>
        </w:rPr>
      </w:pPr>
      <w:r>
        <w:rPr>
          <w:snapToGrid w:val="0"/>
        </w:rPr>
        <w:tab/>
        <w:t>(3)</w:t>
      </w:r>
      <w:r>
        <w:rPr>
          <w:snapToGrid w:val="0"/>
        </w:rPr>
        <w:tab/>
        <w:t>Where the contemnor is a corporation the Court may punish contempt of court by sequestration, or fine or both.</w:t>
      </w:r>
    </w:p>
    <w:p w:rsidR="00425758" w:rsidRDefault="00425758">
      <w:pPr>
        <w:pStyle w:val="Subsection"/>
        <w:rPr>
          <w:snapToGrid w:val="0"/>
        </w:rPr>
      </w:pPr>
      <w:r>
        <w:rPr>
          <w:snapToGrid w:val="0"/>
        </w:rPr>
        <w:tab/>
        <w:t>(4)</w:t>
      </w:r>
      <w:r>
        <w:rPr>
          <w:snapToGrid w:val="0"/>
        </w:rPr>
        <w:tab/>
        <w:t>An order of committal may be in Form No. 66.</w:t>
      </w:r>
    </w:p>
    <w:p w:rsidR="00425758" w:rsidRDefault="00425758">
      <w:pPr>
        <w:pStyle w:val="Heading5"/>
        <w:rPr>
          <w:snapToGrid w:val="0"/>
        </w:rPr>
      </w:pPr>
      <w:bookmarkStart w:id="725" w:name="_Toc75863368"/>
      <w:r>
        <w:rPr>
          <w:rStyle w:val="CharSectno"/>
        </w:rPr>
        <w:t>8</w:t>
      </w:r>
      <w:r>
        <w:rPr>
          <w:snapToGrid w:val="0"/>
        </w:rPr>
        <w:t>.</w:t>
      </w:r>
      <w:r>
        <w:rPr>
          <w:snapToGrid w:val="0"/>
        </w:rPr>
        <w:tab/>
        <w:t>Execution of committal order may be suspended</w:t>
      </w:r>
      <w:bookmarkEnd w:id="725"/>
    </w:p>
    <w:p w:rsidR="00425758" w:rsidRDefault="00425758">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rsidR="00425758" w:rsidRDefault="00425758">
      <w:pPr>
        <w:pStyle w:val="Heading5"/>
        <w:rPr>
          <w:snapToGrid w:val="0"/>
        </w:rPr>
      </w:pPr>
      <w:bookmarkStart w:id="726" w:name="_Toc75863369"/>
      <w:r>
        <w:rPr>
          <w:rStyle w:val="CharSectno"/>
        </w:rPr>
        <w:lastRenderedPageBreak/>
        <w:t>9</w:t>
      </w:r>
      <w:r>
        <w:rPr>
          <w:snapToGrid w:val="0"/>
        </w:rPr>
        <w:t>.</w:t>
      </w:r>
      <w:r>
        <w:rPr>
          <w:snapToGrid w:val="0"/>
        </w:rPr>
        <w:tab/>
        <w:t>Discharge from committal</w:t>
      </w:r>
      <w:bookmarkEnd w:id="726"/>
    </w:p>
    <w:p w:rsidR="00425758" w:rsidRDefault="00425758">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rsidR="00425758" w:rsidRDefault="00425758">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rsidR="00425758" w:rsidRDefault="00425758">
      <w:pPr>
        <w:pStyle w:val="Footnotesection"/>
      </w:pPr>
      <w:r>
        <w:tab/>
        <w:t xml:space="preserve">[Rule 9 amended: Gazette 14 Dec 1979 p. 3870.] </w:t>
      </w:r>
    </w:p>
    <w:p w:rsidR="00425758" w:rsidRDefault="00425758">
      <w:pPr>
        <w:pStyle w:val="Heading5"/>
        <w:rPr>
          <w:snapToGrid w:val="0"/>
        </w:rPr>
      </w:pPr>
      <w:bookmarkStart w:id="727" w:name="_Toc75863370"/>
      <w:r>
        <w:rPr>
          <w:rStyle w:val="CharSectno"/>
        </w:rPr>
        <w:t>10</w:t>
      </w:r>
      <w:r>
        <w:rPr>
          <w:snapToGrid w:val="0"/>
        </w:rPr>
        <w:t>.</w:t>
      </w:r>
      <w:r>
        <w:rPr>
          <w:snapToGrid w:val="0"/>
        </w:rPr>
        <w:tab/>
        <w:t>Saving for other powers</w:t>
      </w:r>
      <w:bookmarkEnd w:id="727"/>
    </w:p>
    <w:p w:rsidR="00425758" w:rsidRDefault="00425758">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rsidR="00425758" w:rsidRDefault="00425758">
      <w:pPr>
        <w:pStyle w:val="Indenta"/>
        <w:rPr>
          <w:snapToGrid w:val="0"/>
        </w:rPr>
      </w:pPr>
      <w:r>
        <w:rPr>
          <w:snapToGrid w:val="0"/>
        </w:rPr>
        <w:tab/>
        <w:t>(a)</w:t>
      </w:r>
      <w:r>
        <w:rPr>
          <w:snapToGrid w:val="0"/>
        </w:rPr>
        <w:tab/>
        <w:t>on an application for an order that a contemnor be required to pay a fine or give security, to make such an order; or</w:t>
      </w:r>
    </w:p>
    <w:p w:rsidR="00425758" w:rsidRDefault="00425758">
      <w:pPr>
        <w:pStyle w:val="Indenta"/>
        <w:rPr>
          <w:snapToGrid w:val="0"/>
        </w:rPr>
      </w:pPr>
      <w:r>
        <w:rPr>
          <w:snapToGrid w:val="0"/>
        </w:rPr>
        <w:tab/>
        <w:t>(b)</w:t>
      </w:r>
      <w:r>
        <w:rPr>
          <w:snapToGrid w:val="0"/>
        </w:rPr>
        <w:tab/>
        <w:t>to enforce orders and judgments by writ of attachment in the cases provided for in the Act.</w:t>
      </w:r>
    </w:p>
    <w:p w:rsidR="00425758" w:rsidRDefault="00425758">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rsidR="00425758" w:rsidRDefault="00425758">
      <w:pPr>
        <w:pStyle w:val="Footnotesection"/>
      </w:pPr>
      <w:r>
        <w:tab/>
        <w:t>[Rule 10 amended: Gazette 28 Jun 2011 p. 2554.]</w:t>
      </w:r>
    </w:p>
    <w:p w:rsidR="00425758" w:rsidRDefault="00425758">
      <w:pPr>
        <w:pStyle w:val="Heading5"/>
        <w:rPr>
          <w:snapToGrid w:val="0"/>
        </w:rPr>
      </w:pPr>
      <w:bookmarkStart w:id="728" w:name="_Toc75863371"/>
      <w:r>
        <w:rPr>
          <w:rStyle w:val="CharSectno"/>
        </w:rPr>
        <w:t>11</w:t>
      </w:r>
      <w:r>
        <w:rPr>
          <w:snapToGrid w:val="0"/>
        </w:rPr>
        <w:t>.</w:t>
      </w:r>
      <w:r>
        <w:rPr>
          <w:snapToGrid w:val="0"/>
        </w:rPr>
        <w:tab/>
        <w:t>Court may make peremptory order in first instance</w:t>
      </w:r>
      <w:bookmarkEnd w:id="728"/>
    </w:p>
    <w:p w:rsidR="00425758" w:rsidRDefault="00425758">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rsidR="00425758" w:rsidRDefault="00425758">
      <w:pPr>
        <w:pStyle w:val="Footnotesection"/>
      </w:pPr>
      <w:r>
        <w:rPr>
          <w:i w:val="0"/>
        </w:rPr>
        <w:tab/>
      </w:r>
      <w:r>
        <w:t xml:space="preserve">[Rule 11 amended: Gazette 9 Nov 1973 p. 4164.] </w:t>
      </w:r>
    </w:p>
    <w:p w:rsidR="00425758" w:rsidRDefault="00425758">
      <w:pPr>
        <w:pStyle w:val="Heading5"/>
        <w:rPr>
          <w:snapToGrid w:val="0"/>
        </w:rPr>
      </w:pPr>
      <w:bookmarkStart w:id="729" w:name="_Toc75863372"/>
      <w:r>
        <w:rPr>
          <w:rStyle w:val="CharSectno"/>
        </w:rPr>
        <w:lastRenderedPageBreak/>
        <w:t>12</w:t>
      </w:r>
      <w:r>
        <w:rPr>
          <w:snapToGrid w:val="0"/>
        </w:rPr>
        <w:t>.</w:t>
      </w:r>
      <w:r>
        <w:rPr>
          <w:snapToGrid w:val="0"/>
        </w:rPr>
        <w:tab/>
        <w:t>Application of r. 6 to 9 to attachment etc.</w:t>
      </w:r>
      <w:bookmarkEnd w:id="729"/>
    </w:p>
    <w:p w:rsidR="00425758" w:rsidRDefault="00425758">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rsidR="00425758" w:rsidRDefault="00425758">
      <w:pPr>
        <w:pStyle w:val="Heading2"/>
      </w:pPr>
      <w:bookmarkStart w:id="730" w:name="_Toc75512277"/>
      <w:bookmarkStart w:id="731" w:name="_Toc75863373"/>
      <w:r>
        <w:rPr>
          <w:rStyle w:val="CharPartNo"/>
        </w:rPr>
        <w:lastRenderedPageBreak/>
        <w:t>Order 56</w:t>
      </w:r>
      <w:r>
        <w:rPr>
          <w:b w:val="0"/>
        </w:rPr>
        <w:t> </w:t>
      </w:r>
      <w:r>
        <w:t>—</w:t>
      </w:r>
      <w:r>
        <w:rPr>
          <w:b w:val="0"/>
        </w:rPr>
        <w:t> </w:t>
      </w:r>
      <w:r>
        <w:rPr>
          <w:rStyle w:val="CharPartText"/>
        </w:rPr>
        <w:t>Judicial review</w:t>
      </w:r>
      <w:bookmarkEnd w:id="730"/>
      <w:bookmarkEnd w:id="731"/>
    </w:p>
    <w:p w:rsidR="00425758" w:rsidRDefault="00425758">
      <w:pPr>
        <w:pStyle w:val="Footnoteheading"/>
      </w:pPr>
      <w:r>
        <w:tab/>
        <w:t>[Heading inserted: Gazette 17 Dec 2013 p. 6231.]</w:t>
      </w:r>
    </w:p>
    <w:p w:rsidR="00425758" w:rsidRDefault="00425758">
      <w:pPr>
        <w:pStyle w:val="Heading3"/>
      </w:pPr>
      <w:bookmarkStart w:id="732" w:name="_Toc75512278"/>
      <w:bookmarkStart w:id="733" w:name="_Toc75863374"/>
      <w:r>
        <w:rPr>
          <w:rStyle w:val="CharDivNo"/>
        </w:rPr>
        <w:t>Division 1</w:t>
      </w:r>
      <w:r>
        <w:t> — </w:t>
      </w:r>
      <w:r>
        <w:rPr>
          <w:rStyle w:val="CharDivText"/>
        </w:rPr>
        <w:t>General</w:t>
      </w:r>
      <w:bookmarkEnd w:id="732"/>
      <w:bookmarkEnd w:id="733"/>
    </w:p>
    <w:p w:rsidR="00425758" w:rsidRDefault="00425758">
      <w:pPr>
        <w:pStyle w:val="Footnoteheading"/>
      </w:pPr>
      <w:r>
        <w:tab/>
        <w:t>[Heading inserted: Gazette 21 Feb 2007 p. 559.]</w:t>
      </w:r>
    </w:p>
    <w:p w:rsidR="00425758" w:rsidRDefault="00425758">
      <w:pPr>
        <w:pStyle w:val="Heading5"/>
      </w:pPr>
      <w:bookmarkStart w:id="734" w:name="_Toc75863375"/>
      <w:r>
        <w:rPr>
          <w:rStyle w:val="CharSectno"/>
        </w:rPr>
        <w:t>1</w:t>
      </w:r>
      <w:r>
        <w:t>.</w:t>
      </w:r>
      <w:r>
        <w:tab/>
        <w:t>Terms used</w:t>
      </w:r>
      <w:bookmarkEnd w:id="734"/>
    </w:p>
    <w:p w:rsidR="00425758" w:rsidRDefault="00425758">
      <w:pPr>
        <w:pStyle w:val="Subsection"/>
      </w:pPr>
      <w:r>
        <w:tab/>
        <w:t>(1)</w:t>
      </w:r>
      <w:r>
        <w:tab/>
        <w:t>In this Order, unless the contrary intention appears —</w:t>
      </w:r>
    </w:p>
    <w:p w:rsidR="00425758" w:rsidRDefault="00425758">
      <w:pPr>
        <w:pStyle w:val="Defstart"/>
      </w:pPr>
      <w:r>
        <w:tab/>
      </w:r>
      <w:r>
        <w:rPr>
          <w:rStyle w:val="CharDefText"/>
        </w:rPr>
        <w:t>application</w:t>
      </w:r>
      <w:r>
        <w:t xml:space="preserve"> means an application for judicial review of a reviewable decision or of reviewable conduct;</w:t>
      </w:r>
    </w:p>
    <w:p w:rsidR="00425758" w:rsidRDefault="00425758">
      <w:pPr>
        <w:pStyle w:val="Defstart"/>
      </w:pPr>
      <w:r>
        <w:tab/>
      </w:r>
      <w:r>
        <w:rPr>
          <w:rStyle w:val="CharDefText"/>
        </w:rPr>
        <w:t xml:space="preserve">challenged conduct </w:t>
      </w:r>
      <w:r>
        <w:t>means reviewable conduct in respect of which an application is made;</w:t>
      </w:r>
    </w:p>
    <w:p w:rsidR="00425758" w:rsidRDefault="00425758">
      <w:pPr>
        <w:pStyle w:val="Defstart"/>
      </w:pPr>
      <w:r>
        <w:tab/>
      </w:r>
      <w:r>
        <w:rPr>
          <w:rStyle w:val="CharDefText"/>
        </w:rPr>
        <w:t>challenged decision</w:t>
      </w:r>
      <w:r>
        <w:t xml:space="preserve"> means a reviewable decision in respect of which an application is made;</w:t>
      </w:r>
    </w:p>
    <w:p w:rsidR="00425758" w:rsidRDefault="00425758">
      <w:pPr>
        <w:pStyle w:val="Defstart"/>
      </w:pPr>
      <w:r>
        <w:tab/>
      </w:r>
      <w:r>
        <w:rPr>
          <w:rStyle w:val="CharDefText"/>
        </w:rPr>
        <w:t>conduct</w:t>
      </w:r>
      <w:r>
        <w:t xml:space="preserve"> includes any act and any omission;</w:t>
      </w:r>
    </w:p>
    <w:p w:rsidR="00425758" w:rsidRDefault="00425758">
      <w:pPr>
        <w:pStyle w:val="Defstart"/>
      </w:pPr>
      <w:r>
        <w:tab/>
      </w:r>
      <w:r>
        <w:rPr>
          <w:rStyle w:val="CharDefText"/>
        </w:rPr>
        <w:t>limitation period</w:t>
      </w:r>
      <w:r>
        <w:t xml:space="preserve"> — </w:t>
      </w:r>
    </w:p>
    <w:p w:rsidR="00425758" w:rsidRDefault="00425758">
      <w:pPr>
        <w:pStyle w:val="Defpara"/>
      </w:pPr>
      <w:r>
        <w:tab/>
        <w:t>(a)</w:t>
      </w:r>
      <w:r>
        <w:tab/>
        <w:t>for an application for judicial review of a reviewable decision, means 6 months after the later of —</w:t>
      </w:r>
    </w:p>
    <w:p w:rsidR="00425758" w:rsidRDefault="00425758">
      <w:pPr>
        <w:pStyle w:val="Defsubpara"/>
      </w:pPr>
      <w:r>
        <w:tab/>
        <w:t>(i)</w:t>
      </w:r>
      <w:r>
        <w:tab/>
        <w:t>the date on which the decision is made; or</w:t>
      </w:r>
    </w:p>
    <w:p w:rsidR="00425758" w:rsidRDefault="00425758">
      <w:pPr>
        <w:pStyle w:val="Defsubpara"/>
      </w:pPr>
      <w:r>
        <w:tab/>
        <w:t>(ii)</w:t>
      </w:r>
      <w:r>
        <w:tab/>
        <w:t>the date on which the applicant became aware of it;</w:t>
      </w:r>
    </w:p>
    <w:p w:rsidR="00425758" w:rsidRDefault="00425758">
      <w:pPr>
        <w:pStyle w:val="Defpara"/>
      </w:pPr>
      <w:r>
        <w:tab/>
        <w:t>(b)</w:t>
      </w:r>
      <w:r>
        <w:tab/>
        <w:t>for an application for judicial review of reviewable conduct, other than a failure to make a decision, means 6 months after the later of —</w:t>
      </w:r>
    </w:p>
    <w:p w:rsidR="00425758" w:rsidRDefault="00425758">
      <w:pPr>
        <w:pStyle w:val="Defsubpara"/>
      </w:pPr>
      <w:r>
        <w:tab/>
        <w:t>(i)</w:t>
      </w:r>
      <w:r>
        <w:tab/>
        <w:t>the date on which the conduct occurred; or</w:t>
      </w:r>
    </w:p>
    <w:p w:rsidR="00425758" w:rsidRDefault="00425758">
      <w:pPr>
        <w:pStyle w:val="Defsubpara"/>
      </w:pPr>
      <w:r>
        <w:tab/>
        <w:t>(ii)</w:t>
      </w:r>
      <w:r>
        <w:tab/>
        <w:t>the date on which an applicant became aware of it,</w:t>
      </w:r>
    </w:p>
    <w:p w:rsidR="00425758" w:rsidRDefault="00425758">
      <w:pPr>
        <w:pStyle w:val="Defstart"/>
      </w:pPr>
      <w:r>
        <w:tab/>
        <w:t>unless a written law sets a different period, in which case it means that period;</w:t>
      </w:r>
    </w:p>
    <w:p w:rsidR="00425758" w:rsidRDefault="00425758">
      <w:pPr>
        <w:pStyle w:val="Defstart"/>
      </w:pPr>
      <w:r>
        <w:tab/>
      </w:r>
      <w:r>
        <w:rPr>
          <w:rStyle w:val="CharDefText"/>
        </w:rPr>
        <w:t>remedy</w:t>
      </w:r>
      <w:r>
        <w:t xml:space="preserve"> includes relief;</w:t>
      </w:r>
    </w:p>
    <w:p w:rsidR="00425758" w:rsidRDefault="00425758">
      <w:pPr>
        <w:pStyle w:val="Defstart"/>
      </w:pPr>
      <w:r>
        <w:tab/>
      </w:r>
      <w:r>
        <w:rPr>
          <w:rStyle w:val="CharDefText"/>
        </w:rPr>
        <w:t>reviewable conduct</w:t>
      </w:r>
      <w:r>
        <w:t xml:space="preserve"> means any conduct, including conduct for the purpose of making a decision and a failure to make a </w:t>
      </w:r>
      <w:r>
        <w:lastRenderedPageBreak/>
        <w:t>decision, that the Court, under the common law or in equity, has jurisdiction to review and to grant relief in respect of by way of a writ, a declaration or an injunction;</w:t>
      </w:r>
    </w:p>
    <w:p w:rsidR="00425758" w:rsidRDefault="00425758">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rsidR="00425758" w:rsidRDefault="00425758">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rsidR="00425758" w:rsidRDefault="00425758">
      <w:pPr>
        <w:pStyle w:val="Subsection"/>
      </w:pPr>
      <w:r>
        <w:tab/>
        <w:t>(2)</w:t>
      </w:r>
      <w:r>
        <w:tab/>
        <w:t xml:space="preserve">For the purposes of paragraph (a) of the definition of </w:t>
      </w:r>
      <w:r>
        <w:rPr>
          <w:b/>
          <w:i/>
        </w:rPr>
        <w:t>limitation period</w:t>
      </w:r>
      <w:r>
        <w:t xml:space="preserve"> in subrule (1), it does not matter if on the relevant date the reviewable decision is not or had not been extracted or given in writing.</w:t>
      </w:r>
    </w:p>
    <w:p w:rsidR="00425758" w:rsidRDefault="00425758">
      <w:pPr>
        <w:pStyle w:val="Footnotesection"/>
      </w:pPr>
      <w:r>
        <w:tab/>
        <w:t>[Rule 1 inserted: Gazette 17 Dec 2013 p. 6232</w:t>
      </w:r>
      <w:r>
        <w:noBreakHyphen/>
        <w:t>3.]</w:t>
      </w:r>
    </w:p>
    <w:p w:rsidR="00425758" w:rsidRDefault="00425758">
      <w:pPr>
        <w:pStyle w:val="Heading5"/>
      </w:pPr>
      <w:bookmarkStart w:id="735" w:name="_Toc75863376"/>
      <w:r>
        <w:rPr>
          <w:rStyle w:val="CharSectno"/>
        </w:rPr>
        <w:t>2</w:t>
      </w:r>
      <w:r>
        <w:t>.</w:t>
      </w:r>
      <w:r>
        <w:tab/>
        <w:t>Making an application</w:t>
      </w:r>
      <w:bookmarkEnd w:id="735"/>
    </w:p>
    <w:p w:rsidR="00425758" w:rsidRDefault="00425758">
      <w:pPr>
        <w:pStyle w:val="Subsection"/>
      </w:pPr>
      <w:r>
        <w:tab/>
        <w:t>(1)</w:t>
      </w:r>
      <w:r>
        <w:tab/>
        <w:t>To make an application, a person must file an application in Form No. 67A.</w:t>
      </w:r>
    </w:p>
    <w:p w:rsidR="00425758" w:rsidRDefault="00425758">
      <w:pPr>
        <w:pStyle w:val="Subsection"/>
      </w:pPr>
      <w:r>
        <w:tab/>
        <w:t>(2)</w:t>
      </w:r>
      <w:r>
        <w:tab/>
        <w:t>In one application a person may apply for any or a combination of these remedies —</w:t>
      </w:r>
    </w:p>
    <w:p w:rsidR="00425758" w:rsidRDefault="00425758">
      <w:pPr>
        <w:pStyle w:val="Indenta"/>
      </w:pPr>
      <w:r>
        <w:tab/>
        <w:t>(a)</w:t>
      </w:r>
      <w:r>
        <w:tab/>
        <w:t>one or more writs;</w:t>
      </w:r>
    </w:p>
    <w:p w:rsidR="00425758" w:rsidRDefault="00425758">
      <w:pPr>
        <w:pStyle w:val="Indenta"/>
      </w:pPr>
      <w:r>
        <w:tab/>
        <w:t>(b)</w:t>
      </w:r>
      <w:r>
        <w:tab/>
        <w:t>either a declaration or an injunction or both;</w:t>
      </w:r>
    </w:p>
    <w:p w:rsidR="00425758" w:rsidRDefault="00425758">
      <w:pPr>
        <w:pStyle w:val="Indenta"/>
      </w:pPr>
      <w:r>
        <w:tab/>
        <w:t>(c)</w:t>
      </w:r>
      <w:r>
        <w:tab/>
        <w:t>an order having the same effect as a remedy that could be provided by means of a writ.</w:t>
      </w:r>
    </w:p>
    <w:p w:rsidR="00425758" w:rsidRDefault="00425758">
      <w:pPr>
        <w:pStyle w:val="Subsection"/>
      </w:pPr>
      <w:r>
        <w:tab/>
        <w:t>(3A)</w:t>
      </w:r>
      <w:r>
        <w:tab/>
        <w:t xml:space="preserve">An application must, in accordance with Order 71A, state — </w:t>
      </w:r>
    </w:p>
    <w:p w:rsidR="00425758" w:rsidRDefault="00425758">
      <w:pPr>
        <w:pStyle w:val="Indenta"/>
      </w:pPr>
      <w:r>
        <w:tab/>
        <w:t>(a)</w:t>
      </w:r>
      <w:r>
        <w:tab/>
        <w:t>the applicant’s geographical address; and</w:t>
      </w:r>
    </w:p>
    <w:p w:rsidR="00425758" w:rsidRDefault="00425758">
      <w:pPr>
        <w:pStyle w:val="Indenta"/>
      </w:pPr>
      <w:r>
        <w:tab/>
        <w:t>(b)</w:t>
      </w:r>
      <w:r>
        <w:tab/>
        <w:t>the applicant’s service details.</w:t>
      </w:r>
    </w:p>
    <w:p w:rsidR="00425758" w:rsidRDefault="00425758">
      <w:pPr>
        <w:pStyle w:val="Subsection"/>
      </w:pPr>
      <w:r>
        <w:tab/>
        <w:t>(3)</w:t>
      </w:r>
      <w:r>
        <w:tab/>
        <w:t>An application must state the grounds on which it is made.</w:t>
      </w:r>
    </w:p>
    <w:p w:rsidR="00425758" w:rsidRDefault="00425758">
      <w:pPr>
        <w:pStyle w:val="Subsection"/>
        <w:keepNext/>
      </w:pPr>
      <w:r>
        <w:lastRenderedPageBreak/>
        <w:tab/>
        <w:t>(4)</w:t>
      </w:r>
      <w:r>
        <w:tab/>
        <w:t>If an application is made outside the limitation period for the application —</w:t>
      </w:r>
    </w:p>
    <w:p w:rsidR="00425758" w:rsidRDefault="00425758">
      <w:pPr>
        <w:pStyle w:val="Indenta"/>
      </w:pPr>
      <w:r>
        <w:tab/>
        <w:t>(a)</w:t>
      </w:r>
      <w:r>
        <w:tab/>
        <w:t>the application must include an application for leave to proceed with the application; and</w:t>
      </w:r>
    </w:p>
    <w:p w:rsidR="00425758" w:rsidRDefault="00425758">
      <w:pPr>
        <w:pStyle w:val="Indenta"/>
      </w:pPr>
      <w:r>
        <w:tab/>
        <w:t>(b)</w:t>
      </w:r>
      <w:r>
        <w:tab/>
        <w:t>the applicant must file an affidavit explaining why the application was not made within the limitation period.</w:t>
      </w:r>
    </w:p>
    <w:p w:rsidR="00425758" w:rsidRDefault="00425758">
      <w:pPr>
        <w:pStyle w:val="Footnotesection"/>
      </w:pPr>
      <w:r>
        <w:tab/>
        <w:t>[Rule 2 inserted: Gazette 17 Dec 2013 p. 6233; amended: Gazette 13 Nov 2015 p. 4645.]</w:t>
      </w:r>
    </w:p>
    <w:p w:rsidR="00425758" w:rsidRDefault="00425758">
      <w:pPr>
        <w:pStyle w:val="Heading5"/>
      </w:pPr>
      <w:bookmarkStart w:id="736" w:name="_Toc75863377"/>
      <w:r>
        <w:rPr>
          <w:rStyle w:val="CharSectno"/>
        </w:rPr>
        <w:t>3</w:t>
      </w:r>
      <w:r>
        <w:t>.</w:t>
      </w:r>
      <w:r>
        <w:tab/>
        <w:t>Serving an application</w:t>
      </w:r>
      <w:bookmarkEnd w:id="736"/>
    </w:p>
    <w:p w:rsidR="00425758" w:rsidRDefault="00425758">
      <w:pPr>
        <w:pStyle w:val="Subsection"/>
      </w:pPr>
      <w:r>
        <w:tab/>
      </w:r>
      <w:r>
        <w:tab/>
        <w:t>After making an application, the applicant must serve it, by personal service, on —</w:t>
      </w:r>
    </w:p>
    <w:p w:rsidR="00425758" w:rsidRDefault="00425758">
      <w:pPr>
        <w:pStyle w:val="Indenta"/>
      </w:pPr>
      <w:r>
        <w:tab/>
        <w:t>(a)</w:t>
      </w:r>
      <w:r>
        <w:tab/>
        <w:t>the person who made the challenged decision or engaged in the challenged conduct; and</w:t>
      </w:r>
    </w:p>
    <w:p w:rsidR="00425758" w:rsidRDefault="00425758">
      <w:pPr>
        <w:pStyle w:val="Indenta"/>
      </w:pPr>
      <w:r>
        <w:tab/>
        <w:t>(b)</w:t>
      </w:r>
      <w:r>
        <w:tab/>
        <w:t>any person who was a party to the proceedings in which the challenged decision was made or the challenged conduct occurred.</w:t>
      </w:r>
    </w:p>
    <w:p w:rsidR="00425758" w:rsidRDefault="00425758">
      <w:pPr>
        <w:pStyle w:val="Footnotesection"/>
      </w:pPr>
      <w:r>
        <w:tab/>
        <w:t>[Rule 3 inserted: Gazette 17 Dec 2013 p. 6233.]</w:t>
      </w:r>
    </w:p>
    <w:p w:rsidR="00425758" w:rsidRDefault="00425758">
      <w:pPr>
        <w:pStyle w:val="Heading5"/>
      </w:pPr>
      <w:bookmarkStart w:id="737" w:name="_Toc75863378"/>
      <w:r>
        <w:rPr>
          <w:rStyle w:val="CharSectno"/>
        </w:rPr>
        <w:t>4</w:t>
      </w:r>
      <w:r>
        <w:t>.</w:t>
      </w:r>
      <w:r>
        <w:tab/>
        <w:t>Options of person served with application</w:t>
      </w:r>
      <w:bookmarkEnd w:id="737"/>
    </w:p>
    <w:p w:rsidR="00425758" w:rsidRDefault="00425758">
      <w:pPr>
        <w:pStyle w:val="Subsection"/>
      </w:pPr>
      <w:r>
        <w:tab/>
      </w:r>
      <w:r>
        <w:tab/>
        <w:t>A person served with an application may —</w:t>
      </w:r>
    </w:p>
    <w:p w:rsidR="00425758" w:rsidRDefault="00425758">
      <w:pPr>
        <w:pStyle w:val="Indenta"/>
      </w:pPr>
      <w:r>
        <w:tab/>
        <w:t>(a)</w:t>
      </w:r>
      <w:r>
        <w:tab/>
        <w:t>enter an appearance under Order 12, which applies with any necessary changes; or</w:t>
      </w:r>
    </w:p>
    <w:p w:rsidR="00425758" w:rsidRDefault="00425758">
      <w:pPr>
        <w:pStyle w:val="Indenta"/>
      </w:pPr>
      <w:r>
        <w:tab/>
        <w:t>(b)</w:t>
      </w:r>
      <w:r>
        <w:tab/>
        <w:t>file, and serve on the applicant, a notice stating the person does not intend to take part in the proceedings and will accept any order made by the Court on the application other than as to costs.</w:t>
      </w:r>
    </w:p>
    <w:p w:rsidR="00425758" w:rsidRDefault="00425758">
      <w:pPr>
        <w:pStyle w:val="Footnotesection"/>
      </w:pPr>
      <w:r>
        <w:tab/>
        <w:t>[Rule 4 inserted: Gazette 17 Dec 2013 p. 6233.]</w:t>
      </w:r>
    </w:p>
    <w:p w:rsidR="00425758" w:rsidRDefault="00425758">
      <w:pPr>
        <w:pStyle w:val="Heading5"/>
      </w:pPr>
      <w:bookmarkStart w:id="738" w:name="_Toc75863379"/>
      <w:r>
        <w:rPr>
          <w:rStyle w:val="CharSectno"/>
        </w:rPr>
        <w:lastRenderedPageBreak/>
        <w:t>5</w:t>
      </w:r>
      <w:r>
        <w:t>.</w:t>
      </w:r>
      <w:r>
        <w:tab/>
        <w:t>Procedure on application</w:t>
      </w:r>
      <w:bookmarkEnd w:id="738"/>
    </w:p>
    <w:p w:rsidR="00425758" w:rsidRDefault="00425758">
      <w:pPr>
        <w:pStyle w:val="Subsection"/>
        <w:keepNext/>
      </w:pPr>
      <w:r>
        <w:tab/>
        <w:t>(1)</w:t>
      </w:r>
      <w:r>
        <w:tab/>
        <w:t>The applicant and any person served with an application are entitled to be heard on it.</w:t>
      </w:r>
    </w:p>
    <w:p w:rsidR="00425758" w:rsidRDefault="00425758">
      <w:pPr>
        <w:pStyle w:val="Subsection"/>
      </w:pPr>
      <w:r>
        <w:tab/>
        <w:t>(2)</w:t>
      </w:r>
      <w:r>
        <w:tab/>
        <w:t>On an application, the Court may do one or more of the following —</w:t>
      </w:r>
    </w:p>
    <w:p w:rsidR="00425758" w:rsidRDefault="00425758">
      <w:pPr>
        <w:pStyle w:val="Indenta"/>
      </w:pPr>
      <w:r>
        <w:tab/>
        <w:t>(a)</w:t>
      </w:r>
      <w:r>
        <w:tab/>
        <w:t>if the application is made outside the limitation period for the application, give or refuse the applicant leave to proceed with the application;</w:t>
      </w:r>
    </w:p>
    <w:p w:rsidR="00425758" w:rsidRDefault="00425758">
      <w:pPr>
        <w:pStyle w:val="Indenta"/>
      </w:pPr>
      <w:r>
        <w:tab/>
        <w:t>(b)</w:t>
      </w:r>
      <w:r>
        <w:tab/>
        <w:t>order the applicant to serve the application on a person whom the Court considers might have an interest in the challenged decision, the challenged conduct or the outcome of the application;</w:t>
      </w:r>
    </w:p>
    <w:p w:rsidR="00425758" w:rsidRDefault="00425758">
      <w:pPr>
        <w:pStyle w:val="Indenta"/>
      </w:pPr>
      <w:r>
        <w:tab/>
        <w:t>(c)</w:t>
      </w:r>
      <w:r>
        <w:tab/>
        <w:t>order the applicant or any other person to file an affidavit as to any facts material to the application, the challenged decision or the challenged conduct;</w:t>
      </w:r>
    </w:p>
    <w:p w:rsidR="00425758" w:rsidRDefault="00425758">
      <w:pPr>
        <w:pStyle w:val="Indenta"/>
      </w:pPr>
      <w:r>
        <w:tab/>
        <w:t>(d)</w:t>
      </w:r>
      <w:r>
        <w:tab/>
        <w:t>give the applicant leave to file and rely on an affidavit (whether or not made by the applicant);</w:t>
      </w:r>
    </w:p>
    <w:p w:rsidR="00425758" w:rsidRDefault="00425758">
      <w:pPr>
        <w:pStyle w:val="Indenta"/>
      </w:pPr>
      <w:r>
        <w:tab/>
        <w:t>(e)</w:t>
      </w:r>
      <w:r>
        <w:tab/>
        <w:t>allow a person not served with the application to be heard on it;</w:t>
      </w:r>
    </w:p>
    <w:p w:rsidR="00425758" w:rsidRDefault="00425758">
      <w:pPr>
        <w:pStyle w:val="Indenta"/>
      </w:pPr>
      <w:r>
        <w:tab/>
        <w:t>(f)</w:t>
      </w:r>
      <w:r>
        <w:tab/>
        <w:t>give the applicant leave to require a person served with the application to give discovery under Order 26;</w:t>
      </w:r>
    </w:p>
    <w:p w:rsidR="00425758" w:rsidRDefault="00425758">
      <w:pPr>
        <w:pStyle w:val="Indenta"/>
      </w:pPr>
      <w:r>
        <w:tab/>
        <w:t>(g)</w:t>
      </w:r>
      <w:r>
        <w:tab/>
        <w:t>give the applicant leave to require a person served with the application to answer interrogatories under Order 27;</w:t>
      </w:r>
    </w:p>
    <w:p w:rsidR="00425758" w:rsidRDefault="00425758">
      <w:pPr>
        <w:pStyle w:val="Indenta"/>
      </w:pPr>
      <w:r>
        <w:tab/>
        <w:t>(h)</w:t>
      </w:r>
      <w:r>
        <w:tab/>
        <w:t>allow the applicant to amend the application;</w:t>
      </w:r>
    </w:p>
    <w:p w:rsidR="00425758" w:rsidRDefault="00425758">
      <w:pPr>
        <w:pStyle w:val="Indenta"/>
      </w:pPr>
      <w:r>
        <w:tab/>
        <w:t>(i)</w:t>
      </w:r>
      <w:r>
        <w:tab/>
        <w:t>adjourn the hearing of the application;</w:t>
      </w:r>
    </w:p>
    <w:p w:rsidR="00425758" w:rsidRDefault="00425758">
      <w:pPr>
        <w:pStyle w:val="Indenta"/>
      </w:pPr>
      <w:r>
        <w:tab/>
        <w:t>(j)</w:t>
      </w:r>
      <w:r>
        <w:tab/>
        <w:t>refuse the whole or a part of the application if it has no reasonable prospect of succeeding;</w:t>
      </w:r>
    </w:p>
    <w:p w:rsidR="00425758" w:rsidRDefault="00425758">
      <w:pPr>
        <w:pStyle w:val="Indenta"/>
      </w:pPr>
      <w:r>
        <w:tab/>
        <w:t>(k)</w:t>
      </w:r>
      <w:r>
        <w:tab/>
        <w:t>grant or refuse the application;</w:t>
      </w:r>
    </w:p>
    <w:p w:rsidR="00425758" w:rsidRDefault="00425758">
      <w:pPr>
        <w:pStyle w:val="Indenta"/>
      </w:pPr>
      <w:r>
        <w:tab/>
        <w:t>(l)</w:t>
      </w:r>
      <w:r>
        <w:tab/>
        <w:t>if it considers the remedy applied for would be inadequate, grant any other remedy.</w:t>
      </w:r>
    </w:p>
    <w:p w:rsidR="00425758" w:rsidRDefault="00425758">
      <w:pPr>
        <w:pStyle w:val="Subsection"/>
      </w:pPr>
      <w:r>
        <w:tab/>
        <w:t>(3)</w:t>
      </w:r>
      <w:r>
        <w:tab/>
        <w:t>Subrule (2) does not limit the operation of Order 4A or the powers of the Court when dealing with an application.</w:t>
      </w:r>
    </w:p>
    <w:p w:rsidR="00425758" w:rsidRDefault="00425758">
      <w:pPr>
        <w:pStyle w:val="Subsection"/>
      </w:pPr>
      <w:r>
        <w:lastRenderedPageBreak/>
        <w:tab/>
        <w:t>(4)</w:t>
      </w:r>
      <w:r>
        <w:tab/>
        <w:t>A single judge dealing with an application may, without deciding it, order it be heard by the Court of Appeal.</w:t>
      </w:r>
    </w:p>
    <w:p w:rsidR="00425758" w:rsidRDefault="00425758">
      <w:pPr>
        <w:pStyle w:val="Footnotesection"/>
      </w:pPr>
      <w:r>
        <w:tab/>
        <w:t>[Rule 5 inserted: Gazette 17 Dec 2013 p. 6233</w:t>
      </w:r>
      <w:r>
        <w:noBreakHyphen/>
        <w:t>4.]</w:t>
      </w:r>
    </w:p>
    <w:p w:rsidR="00425758" w:rsidRDefault="00425758">
      <w:pPr>
        <w:pStyle w:val="Heading5"/>
      </w:pPr>
      <w:bookmarkStart w:id="739" w:name="_Toc75863380"/>
      <w:r>
        <w:rPr>
          <w:rStyle w:val="CharSectno"/>
        </w:rPr>
        <w:t>6</w:t>
      </w:r>
      <w:r>
        <w:t>.</w:t>
      </w:r>
      <w:r>
        <w:tab/>
        <w:t>Discovery and interrogatories</w:t>
      </w:r>
      <w:bookmarkEnd w:id="739"/>
    </w:p>
    <w:p w:rsidR="00425758" w:rsidRDefault="00425758">
      <w:pPr>
        <w:pStyle w:val="Subsection"/>
      </w:pPr>
      <w:r>
        <w:tab/>
      </w:r>
      <w:r>
        <w:tab/>
        <w:t>Orders 26 and 27 do not apply in proceedings on an application unless and to the extent the Court, under rule 5(2) or Order 4A, gives leave and orders otherwise.</w:t>
      </w:r>
    </w:p>
    <w:p w:rsidR="00425758" w:rsidRDefault="00425758">
      <w:pPr>
        <w:pStyle w:val="Footnotesection"/>
      </w:pPr>
      <w:r>
        <w:tab/>
        <w:t>[Rule 6 inserted: Gazette 17 Dec 2013 p. 6234.]</w:t>
      </w:r>
    </w:p>
    <w:p w:rsidR="00425758" w:rsidRDefault="00425758">
      <w:pPr>
        <w:pStyle w:val="Heading5"/>
      </w:pPr>
      <w:bookmarkStart w:id="740" w:name="_Toc75863381"/>
      <w:r>
        <w:rPr>
          <w:rStyle w:val="CharSectno"/>
        </w:rPr>
        <w:t>7</w:t>
      </w:r>
      <w:r>
        <w:t>.</w:t>
      </w:r>
      <w:r>
        <w:tab/>
        <w:t>Costs</w:t>
      </w:r>
      <w:bookmarkEnd w:id="740"/>
    </w:p>
    <w:p w:rsidR="00425758" w:rsidRDefault="00425758">
      <w:pPr>
        <w:pStyle w:val="Subsection"/>
      </w:pPr>
      <w:r>
        <w:tab/>
        <w:t>(1)</w:t>
      </w:r>
      <w:r>
        <w:tab/>
        <w:t>The Court may make an order for the payment of the costs of the proceedings on an application against one or more of these persons —</w:t>
      </w:r>
    </w:p>
    <w:p w:rsidR="00425758" w:rsidRDefault="00425758">
      <w:pPr>
        <w:pStyle w:val="Indenta"/>
      </w:pPr>
      <w:r>
        <w:tab/>
        <w:t>(a)</w:t>
      </w:r>
      <w:r>
        <w:tab/>
        <w:t>the applicant;</w:t>
      </w:r>
    </w:p>
    <w:p w:rsidR="00425758" w:rsidRDefault="00425758">
      <w:pPr>
        <w:pStyle w:val="Indenta"/>
      </w:pPr>
      <w:r>
        <w:tab/>
        <w:t>(b)</w:t>
      </w:r>
      <w:r>
        <w:tab/>
        <w:t>the person who made the challenged decision or engaged in the challenged conduct;</w:t>
      </w:r>
    </w:p>
    <w:p w:rsidR="00425758" w:rsidRDefault="00425758">
      <w:pPr>
        <w:pStyle w:val="Indenta"/>
      </w:pPr>
      <w:r>
        <w:tab/>
        <w:t>(c)</w:t>
      </w:r>
      <w:r>
        <w:tab/>
        <w:t>a person served with the application;</w:t>
      </w:r>
    </w:p>
    <w:p w:rsidR="00425758" w:rsidRDefault="00425758">
      <w:pPr>
        <w:pStyle w:val="Indenta"/>
      </w:pPr>
      <w:r>
        <w:tab/>
        <w:t>(d)</w:t>
      </w:r>
      <w:r>
        <w:tab/>
        <w:t>a person not served with the application whom the Court allowed to be heard on it.</w:t>
      </w:r>
    </w:p>
    <w:p w:rsidR="00425758" w:rsidRDefault="00425758">
      <w:pPr>
        <w:pStyle w:val="Subsection"/>
      </w:pPr>
      <w:r>
        <w:tab/>
        <w:t>(2)</w:t>
      </w:r>
      <w:r>
        <w:tab/>
        <w:t>Subject to rule 24, the Court may make such an order before, when or after deciding the application.</w:t>
      </w:r>
    </w:p>
    <w:p w:rsidR="00425758" w:rsidRDefault="00425758">
      <w:pPr>
        <w:pStyle w:val="Footnotesection"/>
      </w:pPr>
      <w:r>
        <w:tab/>
        <w:t>[Rule 7 inserted: Gazette 17 Dec 2013 p. 6235.]</w:t>
      </w:r>
    </w:p>
    <w:p w:rsidR="00425758" w:rsidRDefault="00425758">
      <w:pPr>
        <w:pStyle w:val="Ednotesection"/>
        <w:spacing w:before="180"/>
      </w:pPr>
      <w:r>
        <w:t>[</w:t>
      </w:r>
      <w:r>
        <w:rPr>
          <w:b/>
        </w:rPr>
        <w:t>8, 9.</w:t>
      </w:r>
      <w:r>
        <w:tab/>
        <w:t>Deleted: Gazette 17 Dec 2013 p. 6232.]</w:t>
      </w:r>
    </w:p>
    <w:p w:rsidR="00425758" w:rsidRDefault="00425758">
      <w:pPr>
        <w:pStyle w:val="Heading5"/>
        <w:spacing w:before="180"/>
        <w:rPr>
          <w:snapToGrid w:val="0"/>
        </w:rPr>
      </w:pPr>
      <w:bookmarkStart w:id="741" w:name="_Toc75863382"/>
      <w:r>
        <w:rPr>
          <w:rStyle w:val="CharSectno"/>
        </w:rPr>
        <w:t>10</w:t>
      </w:r>
      <w:r>
        <w:rPr>
          <w:snapToGrid w:val="0"/>
        </w:rPr>
        <w:t>.</w:t>
      </w:r>
      <w:r>
        <w:rPr>
          <w:snapToGrid w:val="0"/>
        </w:rPr>
        <w:tab/>
        <w:t>Issue and filing of writs</w:t>
      </w:r>
      <w:bookmarkEnd w:id="741"/>
    </w:p>
    <w:p w:rsidR="00425758" w:rsidRDefault="00425758">
      <w:pPr>
        <w:pStyle w:val="Subsection"/>
      </w:pPr>
      <w:r>
        <w:tab/>
        <w:t>(1)</w:t>
      </w:r>
      <w:r>
        <w:tab/>
        <w:t>A writ issued on an application must —</w:t>
      </w:r>
    </w:p>
    <w:p w:rsidR="00425758" w:rsidRDefault="00425758">
      <w:pPr>
        <w:pStyle w:val="Indenta"/>
      </w:pPr>
      <w:r>
        <w:tab/>
        <w:t>(a)</w:t>
      </w:r>
      <w:r>
        <w:tab/>
        <w:t>be prepared by the applicant; and</w:t>
      </w:r>
    </w:p>
    <w:p w:rsidR="00425758" w:rsidRDefault="00425758">
      <w:pPr>
        <w:pStyle w:val="Indenta"/>
      </w:pPr>
      <w:r>
        <w:tab/>
        <w:t>(b)</w:t>
      </w:r>
      <w:r>
        <w:tab/>
        <w:t xml:space="preserve">in accordance with Order 71A, state — </w:t>
      </w:r>
    </w:p>
    <w:p w:rsidR="00425758" w:rsidRDefault="00425758">
      <w:pPr>
        <w:pStyle w:val="Indenti"/>
      </w:pPr>
      <w:r>
        <w:tab/>
        <w:t>(i)</w:t>
      </w:r>
      <w:r>
        <w:tab/>
        <w:t>the party’s geographical address; and</w:t>
      </w:r>
    </w:p>
    <w:p w:rsidR="00425758" w:rsidRDefault="00425758">
      <w:pPr>
        <w:pStyle w:val="Indenti"/>
        <w:keepNext/>
      </w:pPr>
      <w:r>
        <w:lastRenderedPageBreak/>
        <w:tab/>
        <w:t>(ii)</w:t>
      </w:r>
      <w:r>
        <w:tab/>
        <w:t>the party’s service details;</w:t>
      </w:r>
    </w:p>
    <w:p w:rsidR="00425758" w:rsidRDefault="00425758">
      <w:pPr>
        <w:pStyle w:val="Indenta"/>
      </w:pPr>
      <w:r>
        <w:tab/>
      </w:r>
      <w:r>
        <w:tab/>
        <w:t>and</w:t>
      </w:r>
    </w:p>
    <w:p w:rsidR="00425758" w:rsidRDefault="00425758">
      <w:pPr>
        <w:pStyle w:val="Indenta"/>
      </w:pPr>
      <w:r>
        <w:tab/>
        <w:t>(c)</w:t>
      </w:r>
      <w:r>
        <w:tab/>
        <w:t>be issued out of the Central Office.</w:t>
      </w:r>
    </w:p>
    <w:p w:rsidR="00425758" w:rsidRDefault="00425758">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rsidR="00425758" w:rsidRDefault="00425758">
      <w:pPr>
        <w:pStyle w:val="Subsection"/>
        <w:spacing w:before="120"/>
        <w:rPr>
          <w:snapToGrid w:val="0"/>
        </w:rPr>
      </w:pPr>
      <w:r>
        <w:rPr>
          <w:snapToGrid w:val="0"/>
        </w:rPr>
        <w:tab/>
        <w:t>(3)</w:t>
      </w:r>
      <w:r>
        <w:rPr>
          <w:snapToGrid w:val="0"/>
        </w:rPr>
        <w:tab/>
        <w:t>Every such writ must be filed together with the return thereto and a copy of any order made thereon.</w:t>
      </w:r>
    </w:p>
    <w:p w:rsidR="00425758" w:rsidRDefault="00425758">
      <w:pPr>
        <w:pStyle w:val="Footnotesection"/>
        <w:spacing w:before="80"/>
        <w:ind w:left="890" w:hanging="890"/>
      </w:pPr>
      <w:r>
        <w:tab/>
        <w:t>[Rule 10 amended: Gazette 21 Feb 2007 p. 560</w:t>
      </w:r>
      <w:r>
        <w:noBreakHyphen/>
        <w:t>1; 23 Apr 2013 p. 1595 (disallowed: Gazette 1 Nov 2013 p. 4910); 17 Dec 2013 p. 6235; 27 Feb 2018 p. 571.]</w:t>
      </w:r>
    </w:p>
    <w:p w:rsidR="00425758" w:rsidRDefault="00425758">
      <w:pPr>
        <w:pStyle w:val="Heading3"/>
      </w:pPr>
      <w:bookmarkStart w:id="742" w:name="_Toc75512287"/>
      <w:bookmarkStart w:id="743" w:name="_Toc75863383"/>
      <w:r>
        <w:rPr>
          <w:rStyle w:val="CharDivNo"/>
        </w:rPr>
        <w:t>Division 2</w:t>
      </w:r>
      <w:r>
        <w:t> — </w:t>
      </w:r>
      <w:r>
        <w:rPr>
          <w:rStyle w:val="CharDivText"/>
        </w:rPr>
        <w:t>Certiorari</w:t>
      </w:r>
      <w:bookmarkEnd w:id="742"/>
      <w:bookmarkEnd w:id="743"/>
    </w:p>
    <w:p w:rsidR="00425758" w:rsidRDefault="00425758">
      <w:pPr>
        <w:pStyle w:val="Footnoteheading"/>
      </w:pPr>
      <w:r>
        <w:tab/>
        <w:t>[Heading inserted: Gazette 21 Feb 2007 p. 560.]</w:t>
      </w:r>
    </w:p>
    <w:p w:rsidR="00425758" w:rsidRDefault="00425758">
      <w:pPr>
        <w:pStyle w:val="Ednotesection"/>
      </w:pPr>
      <w:r>
        <w:t>[</w:t>
      </w:r>
      <w:r>
        <w:rPr>
          <w:b/>
        </w:rPr>
        <w:t>11-13.</w:t>
      </w:r>
      <w:r>
        <w:tab/>
        <w:t>Deleted: Gazette 17 Dec 2013 p. 6235.]</w:t>
      </w:r>
    </w:p>
    <w:p w:rsidR="00425758" w:rsidRDefault="00425758">
      <w:pPr>
        <w:pStyle w:val="Heading5"/>
        <w:rPr>
          <w:snapToGrid w:val="0"/>
        </w:rPr>
      </w:pPr>
      <w:bookmarkStart w:id="744" w:name="_Toc75863384"/>
      <w:r>
        <w:rPr>
          <w:rStyle w:val="CharSectno"/>
        </w:rPr>
        <w:t>14</w:t>
      </w:r>
      <w:r>
        <w:rPr>
          <w:snapToGrid w:val="0"/>
        </w:rPr>
        <w:t>.</w:t>
      </w:r>
      <w:r>
        <w:rPr>
          <w:snapToGrid w:val="0"/>
        </w:rPr>
        <w:tab/>
        <w:t>Forms</w:t>
      </w:r>
      <w:bookmarkEnd w:id="744"/>
      <w:r>
        <w:rPr>
          <w:snapToGrid w:val="0"/>
        </w:rPr>
        <w:t xml:space="preserve"> </w:t>
      </w:r>
    </w:p>
    <w:p w:rsidR="00425758" w:rsidRDefault="00425758">
      <w:pPr>
        <w:pStyle w:val="Subsection"/>
        <w:rPr>
          <w:snapToGrid w:val="0"/>
        </w:rPr>
      </w:pPr>
      <w:r>
        <w:rPr>
          <w:snapToGrid w:val="0"/>
        </w:rPr>
        <w:tab/>
      </w:r>
      <w:r>
        <w:rPr>
          <w:snapToGrid w:val="0"/>
        </w:rPr>
        <w:tab/>
        <w:t>A writ of certiorari must be in Form No. 67 with such variations as the circumstances may require.</w:t>
      </w:r>
    </w:p>
    <w:p w:rsidR="00425758" w:rsidRDefault="00425758">
      <w:pPr>
        <w:pStyle w:val="Footnotesection"/>
      </w:pPr>
      <w:r>
        <w:tab/>
        <w:t>[Rule 14 amended: Gazette 28 Jul 2010 p. 3483.]</w:t>
      </w:r>
    </w:p>
    <w:p w:rsidR="00425758" w:rsidRDefault="00425758">
      <w:pPr>
        <w:pStyle w:val="Heading3"/>
      </w:pPr>
      <w:bookmarkStart w:id="745" w:name="_Toc75512289"/>
      <w:bookmarkStart w:id="746" w:name="_Toc75863385"/>
      <w:r>
        <w:rPr>
          <w:rStyle w:val="CharDivNo"/>
        </w:rPr>
        <w:t>Division 3</w:t>
      </w:r>
      <w:r>
        <w:t> — </w:t>
      </w:r>
      <w:r>
        <w:rPr>
          <w:rStyle w:val="CharDivText"/>
        </w:rPr>
        <w:t>Mandamus</w:t>
      </w:r>
      <w:bookmarkEnd w:id="745"/>
      <w:bookmarkEnd w:id="746"/>
    </w:p>
    <w:p w:rsidR="00425758" w:rsidRDefault="00425758">
      <w:pPr>
        <w:pStyle w:val="Footnoteheading"/>
      </w:pPr>
      <w:r>
        <w:tab/>
        <w:t>[Heading inserted: Gazette 21 Feb 2007 p. 560.]</w:t>
      </w:r>
    </w:p>
    <w:p w:rsidR="00425758" w:rsidRDefault="00425758">
      <w:pPr>
        <w:pStyle w:val="Heading5"/>
        <w:rPr>
          <w:snapToGrid w:val="0"/>
        </w:rPr>
      </w:pPr>
      <w:bookmarkStart w:id="747" w:name="_Toc75863386"/>
      <w:r>
        <w:rPr>
          <w:rStyle w:val="CharSectno"/>
        </w:rPr>
        <w:t>15</w:t>
      </w:r>
      <w:r>
        <w:rPr>
          <w:snapToGrid w:val="0"/>
        </w:rPr>
        <w:t>.</w:t>
      </w:r>
      <w:r>
        <w:rPr>
          <w:snapToGrid w:val="0"/>
        </w:rPr>
        <w:tab/>
        <w:t>Applicant to show interest etc.</w:t>
      </w:r>
      <w:bookmarkEnd w:id="747"/>
    </w:p>
    <w:p w:rsidR="00425758" w:rsidRDefault="00425758">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rsidR="00425758" w:rsidRDefault="00425758">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rsidR="00425758" w:rsidRDefault="00425758">
      <w:pPr>
        <w:pStyle w:val="Subsection"/>
        <w:keepNext/>
        <w:rPr>
          <w:snapToGrid w:val="0"/>
        </w:rPr>
      </w:pPr>
      <w:r>
        <w:rPr>
          <w:snapToGrid w:val="0"/>
        </w:rPr>
        <w:lastRenderedPageBreak/>
        <w:tab/>
        <w:t>(3)</w:t>
      </w:r>
      <w:r>
        <w:rPr>
          <w:snapToGrid w:val="0"/>
        </w:rPr>
        <w:tab/>
        <w:t>When the applicant is a corporation an officer or agent of the corporation must state by affidavit that the application is to be made by the corporation as applicant.</w:t>
      </w:r>
    </w:p>
    <w:p w:rsidR="00425758" w:rsidRDefault="00425758">
      <w:pPr>
        <w:pStyle w:val="Footnotesection"/>
      </w:pPr>
      <w:r>
        <w:tab/>
        <w:t>[Rule 15 amended: Gazette 28 Jun 2011 p. 2552; 23 Apr 2013 p. 1595 (disallowed: Gazette 1 Nov 2013 p. 4910); 17 Dec 2013 p. 6235.]</w:t>
      </w:r>
    </w:p>
    <w:p w:rsidR="00425758" w:rsidRDefault="00425758">
      <w:pPr>
        <w:pStyle w:val="Heading5"/>
        <w:rPr>
          <w:snapToGrid w:val="0"/>
        </w:rPr>
      </w:pPr>
      <w:bookmarkStart w:id="748" w:name="_Toc75863387"/>
      <w:r>
        <w:rPr>
          <w:rStyle w:val="CharSectno"/>
        </w:rPr>
        <w:t>16</w:t>
      </w:r>
      <w:r>
        <w:rPr>
          <w:snapToGrid w:val="0"/>
        </w:rPr>
        <w:t>.</w:t>
      </w:r>
      <w:r>
        <w:rPr>
          <w:snapToGrid w:val="0"/>
        </w:rPr>
        <w:tab/>
        <w:t>Form of writ</w:t>
      </w:r>
      <w:bookmarkEnd w:id="748"/>
    </w:p>
    <w:p w:rsidR="00425758" w:rsidRDefault="00425758">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rsidR="00425758" w:rsidRDefault="00425758">
      <w:pPr>
        <w:pStyle w:val="Subsection"/>
        <w:rPr>
          <w:snapToGrid w:val="0"/>
        </w:rPr>
      </w:pPr>
      <w:r>
        <w:rPr>
          <w:snapToGrid w:val="0"/>
        </w:rPr>
        <w:tab/>
        <w:t>(2)</w:t>
      </w:r>
      <w:r>
        <w:rPr>
          <w:snapToGrid w:val="0"/>
        </w:rPr>
        <w:tab/>
        <w:t>The Court may direct that the command shall be peremptory in the first instance.</w:t>
      </w:r>
    </w:p>
    <w:p w:rsidR="00425758" w:rsidRDefault="00425758">
      <w:pPr>
        <w:pStyle w:val="Subsection"/>
        <w:keepNext/>
        <w:rPr>
          <w:snapToGrid w:val="0"/>
        </w:rPr>
      </w:pPr>
      <w:r>
        <w:rPr>
          <w:snapToGrid w:val="0"/>
        </w:rPr>
        <w:tab/>
        <w:t>(3)</w:t>
      </w:r>
      <w:r>
        <w:rPr>
          <w:snapToGrid w:val="0"/>
        </w:rPr>
        <w:tab/>
        <w:t>A writ of mandamus must be in Form No. 69 with such variations as the circumstances may require.</w:t>
      </w:r>
    </w:p>
    <w:p w:rsidR="00425758" w:rsidRDefault="00425758">
      <w:pPr>
        <w:pStyle w:val="Footnotesection"/>
      </w:pPr>
      <w:r>
        <w:tab/>
        <w:t xml:space="preserve">[Rule 16 amended: Gazette 9 Nov 1973 p. 4165.] </w:t>
      </w:r>
    </w:p>
    <w:p w:rsidR="00425758" w:rsidRDefault="00425758">
      <w:pPr>
        <w:pStyle w:val="Heading5"/>
        <w:rPr>
          <w:snapToGrid w:val="0"/>
        </w:rPr>
      </w:pPr>
      <w:bookmarkStart w:id="749" w:name="_Toc75863388"/>
      <w:r>
        <w:rPr>
          <w:rStyle w:val="CharSectno"/>
        </w:rPr>
        <w:t>17</w:t>
      </w:r>
      <w:r>
        <w:rPr>
          <w:snapToGrid w:val="0"/>
        </w:rPr>
        <w:t>.</w:t>
      </w:r>
      <w:r>
        <w:rPr>
          <w:snapToGrid w:val="0"/>
        </w:rPr>
        <w:tab/>
        <w:t>Time for return of writ</w:t>
      </w:r>
      <w:bookmarkEnd w:id="749"/>
    </w:p>
    <w:p w:rsidR="00425758" w:rsidRDefault="00425758">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rsidR="00425758" w:rsidRDefault="00425758">
      <w:pPr>
        <w:pStyle w:val="Footnotesection"/>
      </w:pPr>
      <w:r>
        <w:tab/>
        <w:t xml:space="preserve">[Rule 17 amended: Gazette 9 Nov 1973 p. 4165.] </w:t>
      </w:r>
    </w:p>
    <w:p w:rsidR="00425758" w:rsidRDefault="00425758">
      <w:pPr>
        <w:pStyle w:val="Heading5"/>
        <w:rPr>
          <w:snapToGrid w:val="0"/>
        </w:rPr>
      </w:pPr>
      <w:bookmarkStart w:id="750" w:name="_Toc75863389"/>
      <w:r>
        <w:rPr>
          <w:rStyle w:val="CharSectno"/>
        </w:rPr>
        <w:t>18</w:t>
      </w:r>
      <w:r>
        <w:rPr>
          <w:snapToGrid w:val="0"/>
        </w:rPr>
        <w:t>.</w:t>
      </w:r>
      <w:r>
        <w:rPr>
          <w:snapToGrid w:val="0"/>
        </w:rPr>
        <w:tab/>
        <w:t>Service</w:t>
      </w:r>
      <w:bookmarkEnd w:id="750"/>
    </w:p>
    <w:p w:rsidR="00425758" w:rsidRDefault="00425758">
      <w:pPr>
        <w:pStyle w:val="Subsection"/>
        <w:rPr>
          <w:snapToGrid w:val="0"/>
        </w:rPr>
      </w:pPr>
      <w:r>
        <w:tab/>
        <w:t>(1)</w:t>
      </w:r>
      <w:r>
        <w:tab/>
        <w:t>Unless</w:t>
      </w:r>
      <w:r>
        <w:rPr>
          <w:snapToGrid w:val="0"/>
        </w:rPr>
        <w:t xml:space="preserve"> the Court otherwise directs — </w:t>
      </w:r>
    </w:p>
    <w:p w:rsidR="00425758" w:rsidRDefault="00425758">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rsidR="00425758" w:rsidRDefault="00425758">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rsidR="00425758" w:rsidRDefault="00425758">
      <w:pPr>
        <w:pStyle w:val="Subsection"/>
      </w:pPr>
      <w:r>
        <w:lastRenderedPageBreak/>
        <w:tab/>
        <w:t>(2)</w:t>
      </w:r>
      <w:r>
        <w:tab/>
        <w:t xml:space="preserve">If the writ is issued by means of the ECMS — </w:t>
      </w:r>
    </w:p>
    <w:p w:rsidR="00425758" w:rsidRDefault="00425758">
      <w:pPr>
        <w:pStyle w:val="Indenta"/>
      </w:pPr>
      <w:r>
        <w:tab/>
        <w:t>(a)</w:t>
      </w:r>
      <w:r>
        <w:tab/>
        <w:t>the applicant may print from the ECMS 1 or more copies of the writ; and</w:t>
      </w:r>
    </w:p>
    <w:p w:rsidR="00425758" w:rsidRDefault="00425758">
      <w:pPr>
        <w:pStyle w:val="Indenta"/>
      </w:pPr>
      <w:r>
        <w:tab/>
        <w:t>(b)</w:t>
      </w:r>
      <w:r>
        <w:tab/>
        <w:t>a printed copy may be treated as the original writ for the purposes of subrule (1).</w:t>
      </w:r>
    </w:p>
    <w:p w:rsidR="00425758" w:rsidRDefault="00425758">
      <w:pPr>
        <w:pStyle w:val="Footnotesection"/>
      </w:pPr>
      <w:r>
        <w:tab/>
        <w:t xml:space="preserve">[Rule 18 amended: Gazette 9 Nov 1973 p. 4165; 27 Feb 2018 p. 571; 31 Dec 2019 p. 4677.] </w:t>
      </w:r>
    </w:p>
    <w:p w:rsidR="00425758" w:rsidRDefault="00425758">
      <w:pPr>
        <w:pStyle w:val="Heading5"/>
        <w:rPr>
          <w:snapToGrid w:val="0"/>
        </w:rPr>
      </w:pPr>
      <w:bookmarkStart w:id="751" w:name="_Toc75863390"/>
      <w:r>
        <w:rPr>
          <w:rStyle w:val="CharSectno"/>
        </w:rPr>
        <w:t>19</w:t>
      </w:r>
      <w:r>
        <w:rPr>
          <w:snapToGrid w:val="0"/>
        </w:rPr>
        <w:t>.</w:t>
      </w:r>
      <w:r>
        <w:rPr>
          <w:snapToGrid w:val="0"/>
        </w:rPr>
        <w:tab/>
        <w:t>Service on corporate body, or justices</w:t>
      </w:r>
      <w:bookmarkEnd w:id="751"/>
    </w:p>
    <w:p w:rsidR="00425758" w:rsidRDefault="00425758">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rsidR="00425758" w:rsidRDefault="00425758">
      <w:pPr>
        <w:pStyle w:val="Footnotesection"/>
      </w:pPr>
      <w:r>
        <w:tab/>
        <w:t xml:space="preserve">[Rule 19 amended: Gazette 9 Nov 1973 p. 4165.] </w:t>
      </w:r>
    </w:p>
    <w:p w:rsidR="00425758" w:rsidRDefault="00425758">
      <w:pPr>
        <w:pStyle w:val="Heading5"/>
        <w:rPr>
          <w:snapToGrid w:val="0"/>
        </w:rPr>
      </w:pPr>
      <w:bookmarkStart w:id="752" w:name="_Toc75863391"/>
      <w:r>
        <w:rPr>
          <w:rStyle w:val="CharSectno"/>
        </w:rPr>
        <w:t>20</w:t>
      </w:r>
      <w:r>
        <w:rPr>
          <w:snapToGrid w:val="0"/>
        </w:rPr>
        <w:t>.</w:t>
      </w:r>
      <w:r>
        <w:rPr>
          <w:snapToGrid w:val="0"/>
        </w:rPr>
        <w:tab/>
        <w:t>Return, content etc. of</w:t>
      </w:r>
      <w:bookmarkEnd w:id="752"/>
    </w:p>
    <w:p w:rsidR="00425758" w:rsidRDefault="00425758">
      <w:pPr>
        <w:pStyle w:val="Subsection"/>
        <w:rPr>
          <w:snapToGrid w:val="0"/>
        </w:rPr>
      </w:pPr>
      <w:r>
        <w:rPr>
          <w:snapToGrid w:val="0"/>
        </w:rPr>
        <w:tab/>
        <w:t>(1)</w:t>
      </w:r>
      <w:r>
        <w:rPr>
          <w:snapToGrid w:val="0"/>
        </w:rPr>
        <w:tab/>
        <w:t xml:space="preserve">The persons to whom a writ of mandamus is directed shall, within the time allowed by the writ, file the writ or a copy of the </w:t>
      </w:r>
      <w:r>
        <w:t xml:space="preserve">writ, </w:t>
      </w:r>
      <w:r>
        <w:rPr>
          <w:snapToGrid w:val="0"/>
        </w:rPr>
        <w:t>together with a certificate indorsed thereon or annexed thereto and signed by them, stating that they have done the act commanded by the writ, or stating the reason why they have not done so.</w:t>
      </w:r>
    </w:p>
    <w:p w:rsidR="00425758" w:rsidRDefault="00425758">
      <w:pPr>
        <w:pStyle w:val="Subsection"/>
        <w:rPr>
          <w:snapToGrid w:val="0"/>
        </w:rPr>
      </w:pPr>
      <w:r>
        <w:rPr>
          <w:snapToGrid w:val="0"/>
        </w:rPr>
        <w:tab/>
        <w:t>(2)</w:t>
      </w:r>
      <w:r>
        <w:rPr>
          <w:snapToGrid w:val="0"/>
        </w:rPr>
        <w:tab/>
        <w:t>A copy of the return must be served on the applicant on the day on which it is filed.</w:t>
      </w:r>
    </w:p>
    <w:p w:rsidR="00425758" w:rsidRDefault="00425758">
      <w:pPr>
        <w:pStyle w:val="Footnotesection"/>
      </w:pPr>
      <w:r>
        <w:tab/>
        <w:t xml:space="preserve">[Rule 20 amended: Gazette 27 Feb 2018 p. 571.] </w:t>
      </w:r>
    </w:p>
    <w:p w:rsidR="00425758" w:rsidRDefault="00425758">
      <w:pPr>
        <w:pStyle w:val="Heading5"/>
        <w:rPr>
          <w:snapToGrid w:val="0"/>
        </w:rPr>
      </w:pPr>
      <w:bookmarkStart w:id="753" w:name="_Toc75863392"/>
      <w:r>
        <w:rPr>
          <w:rStyle w:val="CharSectno"/>
        </w:rPr>
        <w:t>21</w:t>
      </w:r>
      <w:r>
        <w:rPr>
          <w:snapToGrid w:val="0"/>
        </w:rPr>
        <w:t>.</w:t>
      </w:r>
      <w:r>
        <w:rPr>
          <w:snapToGrid w:val="0"/>
        </w:rPr>
        <w:tab/>
        <w:t>Pleading to return</w:t>
      </w:r>
      <w:bookmarkEnd w:id="753"/>
    </w:p>
    <w:p w:rsidR="00425758" w:rsidRDefault="00425758">
      <w:pPr>
        <w:pStyle w:val="Subsection"/>
        <w:rPr>
          <w:snapToGrid w:val="0"/>
        </w:rPr>
      </w:pPr>
      <w:r>
        <w:rPr>
          <w:snapToGrid w:val="0"/>
        </w:rPr>
        <w:tab/>
      </w:r>
      <w:r>
        <w:rPr>
          <w:snapToGrid w:val="0"/>
        </w:rPr>
        <w:tab/>
        <w:t xml:space="preserve">If the return does not certify that the act commanded has been done, the same proceedings shall be had and taken, and within the same time as if the return were a defence in an action in which the applicant was the plaintiff, and the persons to whom </w:t>
      </w:r>
      <w:r>
        <w:rPr>
          <w:snapToGrid w:val="0"/>
        </w:rPr>
        <w:lastRenderedPageBreak/>
        <w:t>the writ is directed were the defendants and had pleaded the return as their defence.</w:t>
      </w:r>
    </w:p>
    <w:p w:rsidR="00425758" w:rsidRDefault="00425758">
      <w:pPr>
        <w:pStyle w:val="Heading5"/>
        <w:rPr>
          <w:snapToGrid w:val="0"/>
        </w:rPr>
      </w:pPr>
      <w:bookmarkStart w:id="754" w:name="_Toc75863393"/>
      <w:r>
        <w:rPr>
          <w:rStyle w:val="CharSectno"/>
        </w:rPr>
        <w:t>22</w:t>
      </w:r>
      <w:r>
        <w:rPr>
          <w:snapToGrid w:val="0"/>
        </w:rPr>
        <w:t>.</w:t>
      </w:r>
      <w:r>
        <w:rPr>
          <w:snapToGrid w:val="0"/>
        </w:rPr>
        <w:tab/>
        <w:t>No motion for judgment needed in some cases</w:t>
      </w:r>
      <w:bookmarkEnd w:id="754"/>
    </w:p>
    <w:p w:rsidR="00425758" w:rsidRDefault="00425758">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rsidR="00425758" w:rsidRDefault="00425758">
      <w:pPr>
        <w:pStyle w:val="Heading5"/>
        <w:rPr>
          <w:snapToGrid w:val="0"/>
        </w:rPr>
      </w:pPr>
      <w:bookmarkStart w:id="755" w:name="_Toc75863394"/>
      <w:r>
        <w:rPr>
          <w:rStyle w:val="CharSectno"/>
        </w:rPr>
        <w:t>23</w:t>
      </w:r>
      <w:r>
        <w:rPr>
          <w:snapToGrid w:val="0"/>
        </w:rPr>
        <w:t>.</w:t>
      </w:r>
      <w:r>
        <w:rPr>
          <w:snapToGrid w:val="0"/>
        </w:rPr>
        <w:tab/>
        <w:t>Peremptory writ</w:t>
      </w:r>
      <w:bookmarkEnd w:id="755"/>
    </w:p>
    <w:p w:rsidR="00425758" w:rsidRDefault="00425758">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rsidR="00425758" w:rsidRDefault="00425758">
      <w:pPr>
        <w:pStyle w:val="Heading5"/>
        <w:rPr>
          <w:snapToGrid w:val="0"/>
        </w:rPr>
      </w:pPr>
      <w:bookmarkStart w:id="756" w:name="_Toc75863395"/>
      <w:r>
        <w:rPr>
          <w:rStyle w:val="CharSectno"/>
        </w:rPr>
        <w:t>24</w:t>
      </w:r>
      <w:r>
        <w:rPr>
          <w:snapToGrid w:val="0"/>
        </w:rPr>
        <w:t>.</w:t>
      </w:r>
      <w:r>
        <w:rPr>
          <w:snapToGrid w:val="0"/>
        </w:rPr>
        <w:tab/>
        <w:t>Costs</w:t>
      </w:r>
      <w:bookmarkEnd w:id="756"/>
    </w:p>
    <w:p w:rsidR="00425758" w:rsidRDefault="00425758">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rsidR="00425758" w:rsidRDefault="00425758">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rsidR="00425758" w:rsidRDefault="00425758">
      <w:pPr>
        <w:pStyle w:val="Subsection"/>
        <w:rPr>
          <w:snapToGrid w:val="0"/>
        </w:rPr>
      </w:pPr>
      <w:r>
        <w:rPr>
          <w:snapToGrid w:val="0"/>
        </w:rPr>
        <w:tab/>
        <w:t>(3)</w:t>
      </w:r>
      <w:r>
        <w:rPr>
          <w:snapToGrid w:val="0"/>
        </w:rPr>
        <w:tab/>
        <w:t>The application shall be made to the Court and, if it is reasonably possible, to the judge by whom the writ was awarded.</w:t>
      </w:r>
    </w:p>
    <w:p w:rsidR="00425758" w:rsidRDefault="00425758">
      <w:pPr>
        <w:pStyle w:val="Footnotesection"/>
      </w:pPr>
      <w:r>
        <w:tab/>
        <w:t xml:space="preserve">[Rule 24 amended: Gazette 9 Nov 1973 p. 4165.] </w:t>
      </w:r>
    </w:p>
    <w:p w:rsidR="00425758" w:rsidRDefault="00425758">
      <w:pPr>
        <w:pStyle w:val="Heading5"/>
        <w:rPr>
          <w:snapToGrid w:val="0"/>
        </w:rPr>
      </w:pPr>
      <w:bookmarkStart w:id="757" w:name="_Toc75863396"/>
      <w:r>
        <w:rPr>
          <w:rStyle w:val="CharSectno"/>
        </w:rPr>
        <w:lastRenderedPageBreak/>
        <w:t>25</w:t>
      </w:r>
      <w:r>
        <w:rPr>
          <w:snapToGrid w:val="0"/>
        </w:rPr>
        <w:t>.</w:t>
      </w:r>
      <w:r>
        <w:rPr>
          <w:snapToGrid w:val="0"/>
        </w:rPr>
        <w:tab/>
        <w:t>Proceedings in nature of interpleader</w:t>
      </w:r>
      <w:bookmarkEnd w:id="757"/>
    </w:p>
    <w:p w:rsidR="00425758" w:rsidRDefault="00425758">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rsidR="00425758" w:rsidRDefault="00425758">
      <w:pPr>
        <w:pStyle w:val="Footnotesection"/>
      </w:pPr>
      <w:r>
        <w:tab/>
        <w:t xml:space="preserve">[Rule 25 amended: Gazette 9 Nov 1973 p. 4165; 23 Apr 2013 p. 1595 (disallowed: Gazette 1 Nov 2013 p. 4910); 17 Dec 2013 p. 6235.] </w:t>
      </w:r>
    </w:p>
    <w:p w:rsidR="00425758" w:rsidRDefault="00425758">
      <w:pPr>
        <w:pStyle w:val="Heading5"/>
        <w:rPr>
          <w:snapToGrid w:val="0"/>
        </w:rPr>
      </w:pPr>
      <w:bookmarkStart w:id="758" w:name="_Toc75863397"/>
      <w:r>
        <w:rPr>
          <w:rStyle w:val="CharSectno"/>
        </w:rPr>
        <w:t>26</w:t>
      </w:r>
      <w:r>
        <w:rPr>
          <w:snapToGrid w:val="0"/>
        </w:rPr>
        <w:t>.</w:t>
      </w:r>
      <w:r>
        <w:rPr>
          <w:snapToGrid w:val="0"/>
        </w:rPr>
        <w:tab/>
        <w:t>Proceedings not to abate due to death etc.</w:t>
      </w:r>
      <w:bookmarkEnd w:id="758"/>
    </w:p>
    <w:p w:rsidR="00425758" w:rsidRDefault="00425758">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rsidR="00425758" w:rsidRDefault="00425758">
      <w:pPr>
        <w:pStyle w:val="Footnotesection"/>
      </w:pPr>
      <w:r>
        <w:tab/>
        <w:t xml:space="preserve">[Rule 26 amended: Gazette 23 Apr 2013 p. 1595 (disallowed: Gazette 1 Nov 2013 p. 4910); 17 Dec 2013 p. 6235.] </w:t>
      </w:r>
    </w:p>
    <w:p w:rsidR="00425758" w:rsidRDefault="00425758">
      <w:pPr>
        <w:pStyle w:val="Ednotesection"/>
      </w:pPr>
      <w:r>
        <w:t>[</w:t>
      </w:r>
      <w:r>
        <w:rPr>
          <w:b/>
        </w:rPr>
        <w:t>27.</w:t>
      </w:r>
      <w:r>
        <w:tab/>
        <w:t>Deleted: Gazette 17 Dec 2013 p. 6235.]</w:t>
      </w:r>
    </w:p>
    <w:p w:rsidR="00425758" w:rsidRDefault="00425758">
      <w:pPr>
        <w:pStyle w:val="Heading5"/>
        <w:rPr>
          <w:snapToGrid w:val="0"/>
        </w:rPr>
      </w:pPr>
      <w:bookmarkStart w:id="759" w:name="_Toc75863398"/>
      <w:r>
        <w:rPr>
          <w:rStyle w:val="CharSectno"/>
        </w:rPr>
        <w:t>28</w:t>
      </w:r>
      <w:r>
        <w:rPr>
          <w:snapToGrid w:val="0"/>
        </w:rPr>
        <w:t>.</w:t>
      </w:r>
      <w:r>
        <w:rPr>
          <w:snapToGrid w:val="0"/>
        </w:rPr>
        <w:tab/>
        <w:t>Mandamus by order</w:t>
      </w:r>
      <w:bookmarkEnd w:id="759"/>
    </w:p>
    <w:p w:rsidR="00425758" w:rsidRDefault="00425758">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rsidR="00425758" w:rsidRDefault="00425758">
      <w:pPr>
        <w:pStyle w:val="Heading5"/>
        <w:rPr>
          <w:snapToGrid w:val="0"/>
        </w:rPr>
      </w:pPr>
      <w:bookmarkStart w:id="760" w:name="_Toc75863399"/>
      <w:r>
        <w:rPr>
          <w:rStyle w:val="CharSectno"/>
        </w:rPr>
        <w:lastRenderedPageBreak/>
        <w:t>29</w:t>
      </w:r>
      <w:r>
        <w:rPr>
          <w:snapToGrid w:val="0"/>
        </w:rPr>
        <w:t>.</w:t>
      </w:r>
      <w:r>
        <w:rPr>
          <w:snapToGrid w:val="0"/>
        </w:rPr>
        <w:tab/>
        <w:t>No action against party obeying writ or order</w:t>
      </w:r>
      <w:bookmarkEnd w:id="760"/>
    </w:p>
    <w:p w:rsidR="00425758" w:rsidRDefault="00425758">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rsidR="00425758" w:rsidRDefault="00425758">
      <w:pPr>
        <w:pStyle w:val="Footnotesection"/>
      </w:pPr>
      <w:r>
        <w:tab/>
        <w:t xml:space="preserve">[Rule 29 amended: Gazette 9 Nov 1973 p. 4165.] </w:t>
      </w:r>
    </w:p>
    <w:p w:rsidR="00425758" w:rsidRDefault="00425758">
      <w:pPr>
        <w:pStyle w:val="Heading3"/>
      </w:pPr>
      <w:bookmarkStart w:id="761" w:name="_Toc75512304"/>
      <w:bookmarkStart w:id="762" w:name="_Toc75863400"/>
      <w:r>
        <w:rPr>
          <w:rStyle w:val="CharDivNo"/>
        </w:rPr>
        <w:t>Division 4</w:t>
      </w:r>
      <w:r>
        <w:t> — </w:t>
      </w:r>
      <w:r>
        <w:rPr>
          <w:rStyle w:val="CharDivText"/>
        </w:rPr>
        <w:t xml:space="preserve">Prohibition and </w:t>
      </w:r>
      <w:r>
        <w:rPr>
          <w:rStyle w:val="CharDivText"/>
          <w:i/>
        </w:rPr>
        <w:t>procedendo</w:t>
      </w:r>
      <w:bookmarkEnd w:id="761"/>
      <w:bookmarkEnd w:id="762"/>
    </w:p>
    <w:p w:rsidR="00425758" w:rsidRDefault="00425758">
      <w:pPr>
        <w:pStyle w:val="Footnoteheading"/>
      </w:pPr>
      <w:r>
        <w:tab/>
        <w:t>[Heading inserted: Gazette 17 Dec 2013 p. 6235.]</w:t>
      </w:r>
    </w:p>
    <w:p w:rsidR="00425758" w:rsidRDefault="00425758">
      <w:pPr>
        <w:pStyle w:val="Heading5"/>
        <w:rPr>
          <w:snapToGrid w:val="0"/>
        </w:rPr>
      </w:pPr>
      <w:bookmarkStart w:id="763" w:name="_Toc75863401"/>
      <w:r>
        <w:rPr>
          <w:rStyle w:val="CharSectno"/>
        </w:rPr>
        <w:t>30</w:t>
      </w:r>
      <w:r>
        <w:rPr>
          <w:snapToGrid w:val="0"/>
        </w:rPr>
        <w:t>.</w:t>
      </w:r>
      <w:r>
        <w:rPr>
          <w:snapToGrid w:val="0"/>
        </w:rPr>
        <w:tab/>
        <w:t>Court may direct service of statement of claim instead of issuing prohibition</w:t>
      </w:r>
      <w:bookmarkEnd w:id="763"/>
    </w:p>
    <w:p w:rsidR="00425758" w:rsidRDefault="00425758">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rsidR="00425758" w:rsidRDefault="00425758">
      <w:pPr>
        <w:pStyle w:val="Footnotesection"/>
      </w:pPr>
      <w:r>
        <w:tab/>
        <w:t xml:space="preserve">[Rule 30 amended: Gazette 9 Nov 1973 p. 4165.] </w:t>
      </w:r>
    </w:p>
    <w:p w:rsidR="00425758" w:rsidRDefault="00425758">
      <w:pPr>
        <w:pStyle w:val="Heading5"/>
        <w:rPr>
          <w:snapToGrid w:val="0"/>
        </w:rPr>
      </w:pPr>
      <w:bookmarkStart w:id="764" w:name="_Toc75863402"/>
      <w:r>
        <w:rPr>
          <w:rStyle w:val="CharSectno"/>
        </w:rPr>
        <w:t>31</w:t>
      </w:r>
      <w:r>
        <w:rPr>
          <w:snapToGrid w:val="0"/>
        </w:rPr>
        <w:t>.</w:t>
      </w:r>
      <w:r>
        <w:rPr>
          <w:snapToGrid w:val="0"/>
        </w:rPr>
        <w:tab/>
        <w:t>Proceedings on judgment</w:t>
      </w:r>
      <w:bookmarkEnd w:id="764"/>
    </w:p>
    <w:p w:rsidR="00425758" w:rsidRDefault="00425758">
      <w:pPr>
        <w:pStyle w:val="Subsection"/>
        <w:rPr>
          <w:snapToGrid w:val="0"/>
        </w:rPr>
      </w:pPr>
      <w:r>
        <w:rPr>
          <w:snapToGrid w:val="0"/>
        </w:rPr>
        <w:tab/>
      </w:r>
      <w:r>
        <w:rPr>
          <w:snapToGrid w:val="0"/>
        </w:rPr>
        <w:tab/>
        <w:t>If judgment is given for the applicant, the judgment shall include a direction that a writ of prohibition shall issue.</w:t>
      </w:r>
    </w:p>
    <w:p w:rsidR="00425758" w:rsidRDefault="00425758">
      <w:pPr>
        <w:pStyle w:val="Heading5"/>
        <w:rPr>
          <w:snapToGrid w:val="0"/>
        </w:rPr>
      </w:pPr>
      <w:bookmarkStart w:id="765" w:name="_Toc75863403"/>
      <w:r>
        <w:rPr>
          <w:rStyle w:val="CharSectno"/>
        </w:rPr>
        <w:t>32</w:t>
      </w:r>
      <w:r>
        <w:rPr>
          <w:snapToGrid w:val="0"/>
        </w:rPr>
        <w:t>.</w:t>
      </w:r>
      <w:r>
        <w:rPr>
          <w:snapToGrid w:val="0"/>
        </w:rPr>
        <w:tab/>
        <w:t xml:space="preserve">Writ of </w:t>
      </w:r>
      <w:r>
        <w:rPr>
          <w:i/>
          <w:snapToGrid w:val="0"/>
        </w:rPr>
        <w:t>procedendo</w:t>
      </w:r>
      <w:bookmarkEnd w:id="765"/>
      <w:r>
        <w:rPr>
          <w:snapToGrid w:val="0"/>
        </w:rPr>
        <w:t xml:space="preserve"> </w:t>
      </w:r>
    </w:p>
    <w:p w:rsidR="00425758" w:rsidRDefault="00425758">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rsidR="00425758" w:rsidRDefault="00425758">
      <w:pPr>
        <w:pStyle w:val="Subsection"/>
        <w:rPr>
          <w:snapToGrid w:val="0"/>
        </w:rPr>
      </w:pPr>
      <w:r>
        <w:rPr>
          <w:snapToGrid w:val="0"/>
        </w:rPr>
        <w:lastRenderedPageBreak/>
        <w:tab/>
        <w:t>(2)</w:t>
      </w:r>
      <w:r>
        <w:rPr>
          <w:snapToGrid w:val="0"/>
        </w:rPr>
        <w:tab/>
        <w:t xml:space="preserve">A writ of </w:t>
      </w:r>
      <w:r>
        <w:rPr>
          <w:i/>
          <w:snapToGrid w:val="0"/>
        </w:rPr>
        <w:t>procedendo</w:t>
      </w:r>
      <w:r>
        <w:rPr>
          <w:snapToGrid w:val="0"/>
        </w:rPr>
        <w:t xml:space="preserve"> shall be in Form No. 70.</w:t>
      </w:r>
    </w:p>
    <w:p w:rsidR="00425758" w:rsidRDefault="00425758">
      <w:pPr>
        <w:pStyle w:val="Footnotesection"/>
      </w:pPr>
      <w:r>
        <w:tab/>
        <w:t xml:space="preserve">[Rule 32 amended: Gazette 9 Nov 1973 p. 4165.] </w:t>
      </w:r>
    </w:p>
    <w:p w:rsidR="00425758" w:rsidRDefault="00425758">
      <w:pPr>
        <w:pStyle w:val="Heading5"/>
        <w:rPr>
          <w:snapToGrid w:val="0"/>
        </w:rPr>
      </w:pPr>
      <w:bookmarkStart w:id="766" w:name="_Toc75863404"/>
      <w:r>
        <w:rPr>
          <w:rStyle w:val="CharSectno"/>
        </w:rPr>
        <w:t>33</w:t>
      </w:r>
      <w:r>
        <w:rPr>
          <w:snapToGrid w:val="0"/>
        </w:rPr>
        <w:t>.</w:t>
      </w:r>
      <w:r>
        <w:rPr>
          <w:snapToGrid w:val="0"/>
        </w:rPr>
        <w:tab/>
        <w:t>Prohibition by order</w:t>
      </w:r>
      <w:bookmarkEnd w:id="766"/>
    </w:p>
    <w:p w:rsidR="00425758" w:rsidRDefault="00425758">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rsidR="00425758" w:rsidRDefault="00425758">
      <w:pPr>
        <w:pStyle w:val="Subsection"/>
        <w:rPr>
          <w:snapToGrid w:val="0"/>
        </w:rPr>
      </w:pPr>
      <w:r>
        <w:rPr>
          <w:snapToGrid w:val="0"/>
        </w:rPr>
        <w:tab/>
        <w:t>(2)</w:t>
      </w:r>
      <w:r>
        <w:rPr>
          <w:snapToGrid w:val="0"/>
        </w:rPr>
        <w:tab/>
        <w:t>A writ of prohibition shall be in Form No. 71.</w:t>
      </w:r>
    </w:p>
    <w:p w:rsidR="00425758" w:rsidRDefault="00425758">
      <w:pPr>
        <w:pStyle w:val="Heading3"/>
      </w:pPr>
      <w:bookmarkStart w:id="767" w:name="_Toc75512309"/>
      <w:bookmarkStart w:id="768" w:name="_Toc75863405"/>
      <w:r>
        <w:rPr>
          <w:rStyle w:val="CharDivNo"/>
        </w:rPr>
        <w:t>Division 5</w:t>
      </w:r>
      <w:r>
        <w:t> — </w:t>
      </w:r>
      <w:r>
        <w:rPr>
          <w:rStyle w:val="CharDivText"/>
          <w:i/>
          <w:iCs/>
        </w:rPr>
        <w:t>Quo warranto</w:t>
      </w:r>
      <w:bookmarkEnd w:id="767"/>
      <w:bookmarkEnd w:id="768"/>
    </w:p>
    <w:p w:rsidR="00425758" w:rsidRDefault="00425758">
      <w:pPr>
        <w:pStyle w:val="Footnoteheading"/>
      </w:pPr>
      <w:r>
        <w:tab/>
        <w:t>[Heading inserted: Gazette 21 Feb 2007 p. 560.]</w:t>
      </w:r>
    </w:p>
    <w:p w:rsidR="00425758" w:rsidRDefault="00425758">
      <w:pPr>
        <w:pStyle w:val="Heading5"/>
      </w:pPr>
      <w:bookmarkStart w:id="769" w:name="_Toc75863406"/>
      <w:r>
        <w:rPr>
          <w:rStyle w:val="CharSectno"/>
        </w:rPr>
        <w:t>34A</w:t>
      </w:r>
      <w:r>
        <w:t>.</w:t>
      </w:r>
      <w:r>
        <w:tab/>
        <w:t xml:space="preserve">Application for information of </w:t>
      </w:r>
      <w:r>
        <w:rPr>
          <w:i/>
        </w:rPr>
        <w:t>quo warranto</w:t>
      </w:r>
      <w:bookmarkEnd w:id="769"/>
    </w:p>
    <w:p w:rsidR="00425758" w:rsidRDefault="00425758">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rsidR="00425758" w:rsidRDefault="00425758">
      <w:pPr>
        <w:pStyle w:val="Footnotesection"/>
      </w:pPr>
      <w:r>
        <w:tab/>
        <w:t>[Rule 34A inserted: Gazette 17 Dec 2013 p. 6236.]</w:t>
      </w:r>
    </w:p>
    <w:p w:rsidR="00425758" w:rsidRDefault="00425758">
      <w:pPr>
        <w:pStyle w:val="Heading5"/>
        <w:rPr>
          <w:snapToGrid w:val="0"/>
        </w:rPr>
      </w:pPr>
      <w:bookmarkStart w:id="770" w:name="_Toc75863407"/>
      <w:r>
        <w:rPr>
          <w:rStyle w:val="CharSectno"/>
        </w:rPr>
        <w:t>34</w:t>
      </w:r>
      <w:r>
        <w:rPr>
          <w:snapToGrid w:val="0"/>
        </w:rPr>
        <w:t>.</w:t>
      </w:r>
      <w:r>
        <w:rPr>
          <w:snapToGrid w:val="0"/>
        </w:rPr>
        <w:tab/>
        <w:t>Rules of court applicable</w:t>
      </w:r>
      <w:bookmarkEnd w:id="770"/>
    </w:p>
    <w:p w:rsidR="00425758" w:rsidRDefault="00425758">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rsidR="00425758" w:rsidRDefault="00425758">
      <w:pPr>
        <w:pStyle w:val="Footnotesection"/>
      </w:pPr>
      <w:r>
        <w:tab/>
        <w:t xml:space="preserve">[Rule 34 amended: Gazette 9 Nov 1973 p. 4165.] </w:t>
      </w:r>
    </w:p>
    <w:p w:rsidR="00425758" w:rsidRDefault="00425758">
      <w:pPr>
        <w:pStyle w:val="Heading5"/>
        <w:rPr>
          <w:snapToGrid w:val="0"/>
        </w:rPr>
      </w:pPr>
      <w:bookmarkStart w:id="771" w:name="_Toc75863408"/>
      <w:r>
        <w:rPr>
          <w:rStyle w:val="CharSectno"/>
        </w:rPr>
        <w:t>35</w:t>
      </w:r>
      <w:r>
        <w:rPr>
          <w:snapToGrid w:val="0"/>
        </w:rPr>
        <w:t>.</w:t>
      </w:r>
      <w:r>
        <w:rPr>
          <w:snapToGrid w:val="0"/>
        </w:rPr>
        <w:tab/>
        <w:t>Signature and service of information</w:t>
      </w:r>
      <w:bookmarkEnd w:id="771"/>
    </w:p>
    <w:p w:rsidR="00425758" w:rsidRDefault="00425758">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rsidR="00425758" w:rsidRDefault="00425758">
      <w:pPr>
        <w:pStyle w:val="Subsection"/>
        <w:keepNext/>
      </w:pPr>
      <w:r>
        <w:lastRenderedPageBreak/>
        <w:tab/>
        <w:t>(2)</w:t>
      </w:r>
      <w:r>
        <w:tab/>
        <w:t>A copy of the information must be served on the respondent or, if he or she appeared by a lawyer, on the lawyer.</w:t>
      </w:r>
    </w:p>
    <w:p w:rsidR="00425758" w:rsidRDefault="00425758">
      <w:pPr>
        <w:pStyle w:val="Footnotesection"/>
      </w:pPr>
      <w:r>
        <w:tab/>
        <w:t xml:space="preserve">[Rule 35 amended: Gazette 19 Apr 2005 p. 1299; 23 Apr 2013 p. 1596 (disallowed: Gazette 1 Nov 2013 p. 4910); 17 Dec 2013 p. 6236.] </w:t>
      </w:r>
    </w:p>
    <w:p w:rsidR="00425758" w:rsidRDefault="00425758">
      <w:pPr>
        <w:pStyle w:val="Heading2"/>
      </w:pPr>
      <w:bookmarkStart w:id="772" w:name="_Toc75512313"/>
      <w:bookmarkStart w:id="773" w:name="_Toc75863409"/>
      <w:r>
        <w:rPr>
          <w:rStyle w:val="CharPartNo"/>
        </w:rPr>
        <w:lastRenderedPageBreak/>
        <w:t>Order 56A</w:t>
      </w:r>
      <w:r>
        <w:rPr>
          <w:rStyle w:val="CharDivNo"/>
        </w:rPr>
        <w:t> </w:t>
      </w:r>
      <w:r>
        <w:t>—</w:t>
      </w:r>
      <w:r>
        <w:rPr>
          <w:rStyle w:val="CharDivText"/>
        </w:rPr>
        <w:t> </w:t>
      </w:r>
      <w:r>
        <w:rPr>
          <w:rStyle w:val="CharPartText"/>
        </w:rPr>
        <w:t xml:space="preserve">Review orders under the </w:t>
      </w:r>
      <w:r>
        <w:rPr>
          <w:rStyle w:val="CharPartText"/>
          <w:i/>
        </w:rPr>
        <w:t>Magistrates Court Act 2004</w:t>
      </w:r>
      <w:bookmarkEnd w:id="772"/>
      <w:bookmarkEnd w:id="773"/>
    </w:p>
    <w:p w:rsidR="00425758" w:rsidRDefault="00425758">
      <w:pPr>
        <w:pStyle w:val="Footnotesection"/>
      </w:pPr>
      <w:r>
        <w:tab/>
        <w:t xml:space="preserve">[Heading inserted: Gazette 29 Apr 2005 p. 1797.] </w:t>
      </w:r>
    </w:p>
    <w:p w:rsidR="00425758" w:rsidRDefault="00425758">
      <w:pPr>
        <w:pStyle w:val="Heading5"/>
      </w:pPr>
      <w:bookmarkStart w:id="774" w:name="_Toc75863410"/>
      <w:r>
        <w:rPr>
          <w:rStyle w:val="CharSectno"/>
        </w:rPr>
        <w:t>1</w:t>
      </w:r>
      <w:r>
        <w:t>.</w:t>
      </w:r>
      <w:r>
        <w:tab/>
        <w:t>Terms used</w:t>
      </w:r>
      <w:bookmarkEnd w:id="774"/>
    </w:p>
    <w:p w:rsidR="00425758" w:rsidRDefault="00425758">
      <w:pPr>
        <w:pStyle w:val="Subsection"/>
      </w:pPr>
      <w:r>
        <w:tab/>
        <w:t>(1)</w:t>
      </w:r>
      <w:r>
        <w:tab/>
        <w:t>In this Order —</w:t>
      </w:r>
    </w:p>
    <w:p w:rsidR="00425758" w:rsidRDefault="00425758">
      <w:pPr>
        <w:pStyle w:val="Defstart"/>
      </w:pPr>
      <w:r>
        <w:rPr>
          <w:b/>
        </w:rPr>
        <w:tab/>
      </w:r>
      <w:r>
        <w:rPr>
          <w:rStyle w:val="CharDefText"/>
        </w:rPr>
        <w:t>review order</w:t>
      </w:r>
      <w:r>
        <w:t xml:space="preserve"> means an order that may be made under section 36;</w:t>
      </w:r>
    </w:p>
    <w:p w:rsidR="00425758" w:rsidRDefault="00425758">
      <w:pPr>
        <w:pStyle w:val="Defstart"/>
      </w:pPr>
      <w:r>
        <w:rPr>
          <w:b/>
        </w:rPr>
        <w:tab/>
      </w:r>
      <w:r>
        <w:rPr>
          <w:rStyle w:val="CharDefText"/>
        </w:rPr>
        <w:t>section</w:t>
      </w:r>
      <w:r>
        <w:t xml:space="preserve"> means a section of the </w:t>
      </w:r>
      <w:r>
        <w:rPr>
          <w:i/>
        </w:rPr>
        <w:t>Magistrates Court Act 2004</w:t>
      </w:r>
      <w:r>
        <w:t>.</w:t>
      </w:r>
    </w:p>
    <w:p w:rsidR="00425758" w:rsidRDefault="00425758">
      <w:pPr>
        <w:pStyle w:val="Subsection"/>
      </w:pPr>
      <w:r>
        <w:tab/>
        <w:t>(2)</w:t>
      </w:r>
      <w:r>
        <w:tab/>
        <w:t xml:space="preserve">A term defined in the </w:t>
      </w:r>
      <w:r>
        <w:rPr>
          <w:i/>
        </w:rPr>
        <w:t>Magistrates Court Act 2004</w:t>
      </w:r>
      <w:r>
        <w:t xml:space="preserve"> has the same meaning in this Order as it has in that Act, unless the contrary intention appears.</w:t>
      </w:r>
    </w:p>
    <w:p w:rsidR="00425758" w:rsidRDefault="00425758">
      <w:pPr>
        <w:pStyle w:val="Footnotesection"/>
      </w:pPr>
      <w:r>
        <w:tab/>
        <w:t>[Rule 1 inserted: Gazette 29 Apr 2005 p. 1797.]</w:t>
      </w:r>
    </w:p>
    <w:p w:rsidR="00425758" w:rsidRDefault="00425758">
      <w:pPr>
        <w:pStyle w:val="Heading5"/>
      </w:pPr>
      <w:bookmarkStart w:id="775" w:name="_Toc75863411"/>
      <w:r>
        <w:rPr>
          <w:rStyle w:val="CharSectno"/>
        </w:rPr>
        <w:t>2</w:t>
      </w:r>
      <w:r>
        <w:t>.</w:t>
      </w:r>
      <w:r>
        <w:tab/>
        <w:t>Application for review order, making</w:t>
      </w:r>
      <w:bookmarkEnd w:id="775"/>
    </w:p>
    <w:p w:rsidR="00425758" w:rsidRDefault="00425758">
      <w:pPr>
        <w:pStyle w:val="Subsection"/>
      </w:pPr>
      <w:r>
        <w:tab/>
        <w:t>(1)</w:t>
      </w:r>
      <w:r>
        <w:tab/>
        <w:t xml:space="preserve">An application to the Court for a review order — </w:t>
      </w:r>
    </w:p>
    <w:p w:rsidR="00425758" w:rsidRDefault="00425758">
      <w:pPr>
        <w:pStyle w:val="Indenta"/>
      </w:pPr>
      <w:r>
        <w:tab/>
        <w:t>(a)</w:t>
      </w:r>
      <w:r>
        <w:tab/>
        <w:t xml:space="preserve">must be made </w:t>
      </w:r>
      <w:r>
        <w:rPr>
          <w:i/>
        </w:rPr>
        <w:t>ex parte</w:t>
      </w:r>
      <w:r>
        <w:t>; and</w:t>
      </w:r>
    </w:p>
    <w:p w:rsidR="00425758" w:rsidRDefault="00425758">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rsidR="00425758" w:rsidRDefault="00425758">
      <w:pPr>
        <w:pStyle w:val="Indenta"/>
      </w:pPr>
      <w:r>
        <w:tab/>
        <w:t>(c)</w:t>
      </w:r>
      <w:r>
        <w:tab/>
        <w:t>must be supported by an affidavit.</w:t>
      </w:r>
    </w:p>
    <w:p w:rsidR="00425758" w:rsidRDefault="00425758">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rsidR="00425758" w:rsidRDefault="00425758">
      <w:pPr>
        <w:pStyle w:val="Footnotesection"/>
      </w:pPr>
      <w:r>
        <w:tab/>
        <w:t>[Rule 2 inserted: Gazette 29 Apr 2005 p. 1798.]</w:t>
      </w:r>
    </w:p>
    <w:p w:rsidR="00425758" w:rsidRDefault="00425758">
      <w:pPr>
        <w:pStyle w:val="Heading5"/>
      </w:pPr>
      <w:bookmarkStart w:id="776" w:name="_Toc75863412"/>
      <w:r>
        <w:rPr>
          <w:rStyle w:val="CharSectno"/>
        </w:rPr>
        <w:lastRenderedPageBreak/>
        <w:t>3</w:t>
      </w:r>
      <w:r>
        <w:t>.</w:t>
      </w:r>
      <w:r>
        <w:tab/>
        <w:t>Application for review order, procedure on</w:t>
      </w:r>
      <w:bookmarkEnd w:id="776"/>
    </w:p>
    <w:p w:rsidR="00425758" w:rsidRDefault="00425758">
      <w:pPr>
        <w:pStyle w:val="Subsection"/>
      </w:pPr>
      <w:r>
        <w:tab/>
        <w:t>(1)</w:t>
      </w:r>
      <w:r>
        <w:tab/>
        <w:t>An application for a review order shall be first listed before a judge in chambers.</w:t>
      </w:r>
    </w:p>
    <w:p w:rsidR="00425758" w:rsidRDefault="00425758">
      <w:pPr>
        <w:pStyle w:val="Subsection"/>
      </w:pPr>
      <w:r>
        <w:tab/>
        <w:t>(2)</w:t>
      </w:r>
      <w:r>
        <w:tab/>
        <w:t xml:space="preserve">The judge may — </w:t>
      </w:r>
    </w:p>
    <w:p w:rsidR="00425758" w:rsidRDefault="00425758">
      <w:pPr>
        <w:pStyle w:val="Indenta"/>
      </w:pPr>
      <w:r>
        <w:tab/>
        <w:t>(a)</w:t>
      </w:r>
      <w:r>
        <w:tab/>
        <w:t>refuse the application; or</w:t>
      </w:r>
    </w:p>
    <w:p w:rsidR="00425758" w:rsidRDefault="00425758">
      <w:pPr>
        <w:pStyle w:val="Indenta"/>
      </w:pPr>
      <w:r>
        <w:tab/>
        <w:t>(b)</w:t>
      </w:r>
      <w:r>
        <w:tab/>
        <w:t>make a review order and order that it shall be heard by —</w:t>
      </w:r>
    </w:p>
    <w:p w:rsidR="00425758" w:rsidRDefault="00425758">
      <w:pPr>
        <w:pStyle w:val="Indenti"/>
      </w:pPr>
      <w:r>
        <w:tab/>
        <w:t>(i)</w:t>
      </w:r>
      <w:r>
        <w:tab/>
        <w:t>a judge in chambers or in court; or</w:t>
      </w:r>
    </w:p>
    <w:p w:rsidR="00425758" w:rsidRDefault="00425758">
      <w:pPr>
        <w:pStyle w:val="Indenti"/>
      </w:pPr>
      <w:r>
        <w:tab/>
        <w:t>(ii)</w:t>
      </w:r>
      <w:r>
        <w:tab/>
        <w:t>the Court of Appeal;</w:t>
      </w:r>
    </w:p>
    <w:p w:rsidR="00425758" w:rsidRDefault="00425758">
      <w:pPr>
        <w:pStyle w:val="Indenta"/>
      </w:pPr>
      <w:r>
        <w:tab/>
      </w:r>
      <w:r>
        <w:tab/>
        <w:t>or</w:t>
      </w:r>
    </w:p>
    <w:p w:rsidR="00425758" w:rsidRDefault="00425758">
      <w:pPr>
        <w:pStyle w:val="Indenta"/>
      </w:pPr>
      <w:r>
        <w:tab/>
        <w:t>(c)</w:t>
      </w:r>
      <w:r>
        <w:tab/>
        <w:t>make an order under section 36(5),</w:t>
      </w:r>
    </w:p>
    <w:p w:rsidR="00425758" w:rsidRDefault="00425758">
      <w:pPr>
        <w:pStyle w:val="Subsection"/>
      </w:pPr>
      <w:r>
        <w:tab/>
      </w:r>
      <w:r>
        <w:tab/>
        <w:t>and, unless the judge acts under paragraph (b) or (c), may do any or all of the following —</w:t>
      </w:r>
    </w:p>
    <w:p w:rsidR="00425758" w:rsidRDefault="00425758">
      <w:pPr>
        <w:pStyle w:val="Indenta"/>
      </w:pPr>
      <w:r>
        <w:tab/>
        <w:t>(d)</w:t>
      </w:r>
      <w:r>
        <w:tab/>
        <w:t>direct that the application be decided by a judge sitting in court;</w:t>
      </w:r>
    </w:p>
    <w:p w:rsidR="00425758" w:rsidRDefault="00425758">
      <w:pPr>
        <w:pStyle w:val="Indenta"/>
      </w:pPr>
      <w:r>
        <w:tab/>
        <w:t>(e)</w:t>
      </w:r>
      <w:r>
        <w:tab/>
        <w:t>direct that notice of the application be served on such persons as the judge directs;</w:t>
      </w:r>
    </w:p>
    <w:p w:rsidR="00425758" w:rsidRDefault="00425758">
      <w:pPr>
        <w:pStyle w:val="Indenta"/>
      </w:pPr>
      <w:r>
        <w:tab/>
        <w:t>(f)</w:t>
      </w:r>
      <w:r>
        <w:tab/>
        <w:t>adjourn the hearing of the application.</w:t>
      </w:r>
    </w:p>
    <w:p w:rsidR="00425758" w:rsidRDefault="00425758">
      <w:pPr>
        <w:pStyle w:val="Subsection"/>
      </w:pPr>
      <w:r>
        <w:tab/>
        <w:t>(3)</w:t>
      </w:r>
      <w:r>
        <w:tab/>
        <w:t>If a judge makes a review order, whether under section 36(6) or on an application made under rule 2 —</w:t>
      </w:r>
    </w:p>
    <w:p w:rsidR="00425758" w:rsidRDefault="00425758">
      <w:pPr>
        <w:pStyle w:val="Indenta"/>
      </w:pPr>
      <w:r>
        <w:tab/>
        <w:t>(a)</w:t>
      </w:r>
      <w:r>
        <w:tab/>
        <w:t>it may include an order as to who, apart from the Court officer named in the application, must be served with the review order;</w:t>
      </w:r>
    </w:p>
    <w:p w:rsidR="00425758" w:rsidRDefault="00425758">
      <w:pPr>
        <w:pStyle w:val="Indenta"/>
      </w:pPr>
      <w:r>
        <w:tab/>
        <w:t>(b)</w:t>
      </w:r>
      <w:r>
        <w:tab/>
        <w:t>it must include an order as to how the review order must be served;</w:t>
      </w:r>
    </w:p>
    <w:p w:rsidR="00425758" w:rsidRDefault="00425758">
      <w:pPr>
        <w:pStyle w:val="Indenta"/>
      </w:pPr>
      <w:r>
        <w:tab/>
        <w:t>(c)</w:t>
      </w:r>
      <w:r>
        <w:tab/>
        <w:t>it may include an order as to costs, and as to giving security for costs, or otherwise;</w:t>
      </w:r>
    </w:p>
    <w:p w:rsidR="00425758" w:rsidRDefault="00425758">
      <w:pPr>
        <w:pStyle w:val="Indenta"/>
      </w:pPr>
      <w:r>
        <w:tab/>
        <w:t>(d)</w:t>
      </w:r>
      <w:r>
        <w:tab/>
        <w:t>it may include an order that the review order operates as a stay of the proceedings in question until such time as the Court specifies in the order or orders otherwise.</w:t>
      </w:r>
    </w:p>
    <w:p w:rsidR="00425758" w:rsidRDefault="00425758">
      <w:pPr>
        <w:pStyle w:val="Subsection"/>
      </w:pPr>
      <w:r>
        <w:lastRenderedPageBreak/>
        <w:tab/>
        <w:t>(4)</w:t>
      </w:r>
      <w:r>
        <w:tab/>
        <w:t xml:space="preserve">If a review order is made that is to be heard by the Court of Appeal, the </w:t>
      </w:r>
      <w:r>
        <w:rPr>
          <w:i/>
        </w:rPr>
        <w:t>Supreme Court (Court of Appeal) Rules 2005</w:t>
      </w:r>
      <w:r>
        <w:t xml:space="preserve"> apply in addition to this Order.</w:t>
      </w:r>
    </w:p>
    <w:p w:rsidR="00425758" w:rsidRDefault="00425758">
      <w:pPr>
        <w:pStyle w:val="Footnotesection"/>
      </w:pPr>
      <w:r>
        <w:tab/>
        <w:t>[Rule 3 inserted: Gazette 29 Apr 2005 p. 1798</w:t>
      </w:r>
      <w:r>
        <w:noBreakHyphen/>
        <w:t>9.]</w:t>
      </w:r>
    </w:p>
    <w:p w:rsidR="00425758" w:rsidRDefault="00425758">
      <w:pPr>
        <w:pStyle w:val="Heading5"/>
      </w:pPr>
      <w:bookmarkStart w:id="777" w:name="_Toc75863413"/>
      <w:r>
        <w:rPr>
          <w:rStyle w:val="CharSectno"/>
        </w:rPr>
        <w:t>4</w:t>
      </w:r>
      <w:r>
        <w:t>.</w:t>
      </w:r>
      <w:r>
        <w:tab/>
        <w:t>Review order, service of</w:t>
      </w:r>
      <w:bookmarkEnd w:id="777"/>
    </w:p>
    <w:p w:rsidR="00425758" w:rsidRDefault="00425758">
      <w:pPr>
        <w:pStyle w:val="Subsection"/>
      </w:pPr>
      <w:r>
        <w:tab/>
      </w:r>
      <w:r>
        <w:tab/>
        <w:t>If a review order is made, it must be served in the manner specified in the order on —</w:t>
      </w:r>
    </w:p>
    <w:p w:rsidR="00425758" w:rsidRDefault="00425758">
      <w:pPr>
        <w:pStyle w:val="Indenta"/>
      </w:pPr>
      <w:r>
        <w:tab/>
        <w:t>(a)</w:t>
      </w:r>
      <w:r>
        <w:tab/>
        <w:t>the registrar of the court at the place where the Court officer concerned was at the relevant time; and</w:t>
      </w:r>
    </w:p>
    <w:p w:rsidR="00425758" w:rsidRDefault="00425758">
      <w:pPr>
        <w:pStyle w:val="Indenta"/>
      </w:pPr>
      <w:r>
        <w:tab/>
        <w:t>(b)</w:t>
      </w:r>
      <w:r>
        <w:tab/>
        <w:t>any other person who the review order requires to be served,</w:t>
      </w:r>
    </w:p>
    <w:p w:rsidR="00425758" w:rsidRDefault="00425758">
      <w:pPr>
        <w:pStyle w:val="Subsection"/>
      </w:pPr>
      <w:r>
        <w:tab/>
      </w:r>
      <w:r>
        <w:tab/>
        <w:t>at least 7 clear days before the hearing date set for the review order.</w:t>
      </w:r>
    </w:p>
    <w:p w:rsidR="00425758" w:rsidRDefault="00425758">
      <w:pPr>
        <w:pStyle w:val="Footnotesection"/>
      </w:pPr>
      <w:r>
        <w:tab/>
        <w:t>[Rule 4 inserted as rule 3: Gazette 29 Apr 2005 p. 1799; renumbered as rule 4: Gazette 21 Feb 2007 p. 561.]</w:t>
      </w:r>
    </w:p>
    <w:p w:rsidR="00425758" w:rsidRDefault="00425758">
      <w:pPr>
        <w:pStyle w:val="Heading5"/>
      </w:pPr>
      <w:bookmarkStart w:id="778" w:name="_Toc75863414"/>
      <w:r>
        <w:rPr>
          <w:rStyle w:val="CharSectno"/>
        </w:rPr>
        <w:t>5</w:t>
      </w:r>
      <w:r>
        <w:t>.</w:t>
      </w:r>
      <w:r>
        <w:tab/>
        <w:t>Review order, hearing of</w:t>
      </w:r>
      <w:bookmarkEnd w:id="778"/>
    </w:p>
    <w:p w:rsidR="00425758" w:rsidRDefault="00425758">
      <w:pPr>
        <w:pStyle w:val="Subsection"/>
      </w:pPr>
      <w:r>
        <w:tab/>
        <w:t>(1)</w:t>
      </w:r>
      <w:r>
        <w:tab/>
        <w:t>At the hearing of a review order any person who wants to oppose the making of an order under section 36(4) or (5) is entitled to be heard, even if he or she has not been served with the review order.</w:t>
      </w:r>
    </w:p>
    <w:p w:rsidR="00425758" w:rsidRDefault="00425758">
      <w:pPr>
        <w:pStyle w:val="Subsection"/>
      </w:pPr>
      <w:r>
        <w:tab/>
        <w:t>(2)</w:t>
      </w:r>
      <w:r>
        <w:tab/>
        <w:t>The Court may order any person who is served with a review order, or who is heard at the hearing of a review order, to pay costs.</w:t>
      </w:r>
    </w:p>
    <w:p w:rsidR="00425758" w:rsidRDefault="00425758">
      <w:pPr>
        <w:pStyle w:val="Subsection"/>
      </w:pPr>
      <w:r>
        <w:tab/>
        <w:t>(3)</w:t>
      </w:r>
      <w:r>
        <w:tab/>
        <w:t>A person who wants to adduce affidavit evidence at the hearing of a review order must give reasonable notice of the fact to each other party.</w:t>
      </w:r>
    </w:p>
    <w:p w:rsidR="00425758" w:rsidRDefault="00425758">
      <w:pPr>
        <w:pStyle w:val="Footnotesection"/>
      </w:pPr>
      <w:r>
        <w:tab/>
        <w:t>[Rule 5 inserted as rule 4: Gazette 29 Apr 2005 p. 1799; renumbered as rule 5: Gazette 21 Feb 2007 p. 561.]</w:t>
      </w:r>
    </w:p>
    <w:p w:rsidR="00425758" w:rsidRDefault="00425758">
      <w:pPr>
        <w:pStyle w:val="Heading5"/>
      </w:pPr>
      <w:bookmarkStart w:id="779" w:name="_Toc75863415"/>
      <w:r>
        <w:rPr>
          <w:rStyle w:val="CharSectno"/>
        </w:rPr>
        <w:lastRenderedPageBreak/>
        <w:t>6</w:t>
      </w:r>
      <w:r>
        <w:t>.</w:t>
      </w:r>
      <w:r>
        <w:tab/>
        <w:t>Final order, making and service of</w:t>
      </w:r>
      <w:bookmarkEnd w:id="779"/>
    </w:p>
    <w:p w:rsidR="00425758" w:rsidRDefault="00425758">
      <w:pPr>
        <w:pStyle w:val="Subsection"/>
      </w:pPr>
      <w:r>
        <w:tab/>
        <w:t>(1)</w:t>
      </w:r>
      <w:r>
        <w:tab/>
        <w:t>If the Court makes an order under section 36(4), the Court may include an order as to costs or may adjourn the question.</w:t>
      </w:r>
    </w:p>
    <w:p w:rsidR="00425758" w:rsidRDefault="00425758">
      <w:pPr>
        <w:pStyle w:val="Subsection"/>
      </w:pPr>
      <w:r>
        <w:tab/>
        <w:t>(2)</w:t>
      </w:r>
      <w:r>
        <w:tab/>
        <w:t>If the Court makes an order under section 36(4), the order must be served on —</w:t>
      </w:r>
    </w:p>
    <w:p w:rsidR="00425758" w:rsidRDefault="00425758">
      <w:pPr>
        <w:pStyle w:val="Indenta"/>
      </w:pPr>
      <w:r>
        <w:tab/>
        <w:t>(a)</w:t>
      </w:r>
      <w:r>
        <w:tab/>
        <w:t>the Court officer concerned; and</w:t>
      </w:r>
    </w:p>
    <w:p w:rsidR="00425758" w:rsidRDefault="00425758">
      <w:pPr>
        <w:pStyle w:val="Indenta"/>
      </w:pPr>
      <w:r>
        <w:tab/>
        <w:t>(b)</w:t>
      </w:r>
      <w:r>
        <w:tab/>
        <w:t>any other person who the Court orders to be served.</w:t>
      </w:r>
    </w:p>
    <w:p w:rsidR="00425758" w:rsidRDefault="00425758">
      <w:pPr>
        <w:pStyle w:val="Footnotesection"/>
      </w:pPr>
      <w:r>
        <w:tab/>
        <w:t>[Rule 6 inserted as rule 5: Gazette 29 Apr 2005 p. 1799; renumbered as rule 6: Gazette 21 Feb 2007 p. 561.]</w:t>
      </w:r>
    </w:p>
    <w:p w:rsidR="00425758" w:rsidRDefault="00425758">
      <w:pPr>
        <w:pStyle w:val="Heading2"/>
        <w:rPr>
          <w:b w:val="0"/>
        </w:rPr>
      </w:pPr>
      <w:bookmarkStart w:id="780" w:name="_Toc75512320"/>
      <w:bookmarkStart w:id="781" w:name="_Toc75863416"/>
      <w:r>
        <w:rPr>
          <w:rStyle w:val="CharPartNo"/>
        </w:rPr>
        <w:lastRenderedPageBreak/>
        <w:t>Order 57</w:t>
      </w:r>
      <w:r>
        <w:rPr>
          <w:rStyle w:val="CharDivNo"/>
        </w:rPr>
        <w:t> </w:t>
      </w:r>
      <w:r>
        <w:t>—</w:t>
      </w:r>
      <w:r>
        <w:rPr>
          <w:rStyle w:val="CharDivText"/>
        </w:rPr>
        <w:t> </w:t>
      </w:r>
      <w:r>
        <w:rPr>
          <w:rStyle w:val="CharPartText"/>
        </w:rPr>
        <w:t>Habeas corpus</w:t>
      </w:r>
      <w:bookmarkEnd w:id="780"/>
      <w:bookmarkEnd w:id="781"/>
    </w:p>
    <w:p w:rsidR="00425758" w:rsidRDefault="00425758">
      <w:pPr>
        <w:pStyle w:val="Heading5"/>
        <w:spacing w:before="180"/>
        <w:rPr>
          <w:snapToGrid w:val="0"/>
        </w:rPr>
      </w:pPr>
      <w:bookmarkStart w:id="782" w:name="_Toc75863417"/>
      <w:r>
        <w:rPr>
          <w:rStyle w:val="CharSectno"/>
        </w:rPr>
        <w:t>1</w:t>
      </w:r>
      <w:r>
        <w:rPr>
          <w:snapToGrid w:val="0"/>
        </w:rPr>
        <w:t>.</w:t>
      </w:r>
      <w:r>
        <w:rPr>
          <w:snapToGrid w:val="0"/>
        </w:rPr>
        <w:tab/>
        <w:t>Application for writ</w:t>
      </w:r>
      <w:bookmarkEnd w:id="782"/>
    </w:p>
    <w:p w:rsidR="00425758" w:rsidRDefault="00425758">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rsidR="00425758" w:rsidRDefault="00425758">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rsidR="00425758" w:rsidRDefault="00425758">
      <w:pPr>
        <w:pStyle w:val="Subsection"/>
        <w:spacing w:before="120"/>
        <w:rPr>
          <w:snapToGrid w:val="0"/>
        </w:rPr>
      </w:pPr>
      <w:r>
        <w:rPr>
          <w:snapToGrid w:val="0"/>
        </w:rPr>
        <w:tab/>
        <w:t>(3)</w:t>
      </w:r>
      <w:r>
        <w:rPr>
          <w:snapToGrid w:val="0"/>
        </w:rPr>
        <w:tab/>
        <w:t>The requirement that an application be supported by an affidavit does not apply — </w:t>
      </w:r>
    </w:p>
    <w:p w:rsidR="00425758" w:rsidRDefault="00425758">
      <w:pPr>
        <w:pStyle w:val="Indenta"/>
        <w:rPr>
          <w:snapToGrid w:val="0"/>
        </w:rPr>
      </w:pPr>
      <w:r>
        <w:rPr>
          <w:snapToGrid w:val="0"/>
        </w:rPr>
        <w:tab/>
        <w:t>(a)</w:t>
      </w:r>
      <w:r>
        <w:rPr>
          <w:snapToGrid w:val="0"/>
        </w:rPr>
        <w:tab/>
        <w:t>to an application made on behalf of an infant; or</w:t>
      </w:r>
    </w:p>
    <w:p w:rsidR="00425758" w:rsidRDefault="00425758">
      <w:pPr>
        <w:pStyle w:val="Indenta"/>
        <w:rPr>
          <w:snapToGrid w:val="0"/>
        </w:rPr>
      </w:pPr>
      <w:r>
        <w:rPr>
          <w:snapToGrid w:val="0"/>
        </w:rPr>
        <w:tab/>
        <w:t>(b)</w:t>
      </w:r>
      <w:r>
        <w:rPr>
          <w:snapToGrid w:val="0"/>
        </w:rPr>
        <w:tab/>
        <w:t>when the person restrained is unable to make the affidavit.</w:t>
      </w:r>
    </w:p>
    <w:p w:rsidR="00425758" w:rsidRDefault="00425758">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rsidR="00425758" w:rsidRDefault="00425758">
      <w:pPr>
        <w:pStyle w:val="Footnotesection"/>
      </w:pPr>
      <w:r>
        <w:tab/>
        <w:t xml:space="preserve">[Rule 1 amended: Gazette 9 Nov 1990 p. 5526; 29 Apr 2005 p. 1795; 21 Feb 2007 p. 561; 28 Jun 2011 p. 2552.] </w:t>
      </w:r>
    </w:p>
    <w:p w:rsidR="00425758" w:rsidRDefault="00425758">
      <w:pPr>
        <w:pStyle w:val="Heading5"/>
        <w:spacing w:before="180"/>
        <w:rPr>
          <w:snapToGrid w:val="0"/>
        </w:rPr>
      </w:pPr>
      <w:bookmarkStart w:id="783" w:name="_Toc75863418"/>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783"/>
    </w:p>
    <w:p w:rsidR="00425758" w:rsidRDefault="00425758">
      <w:pPr>
        <w:pStyle w:val="Subsection"/>
        <w:spacing w:before="120"/>
      </w:pPr>
      <w:r>
        <w:tab/>
        <w:t>(1)</w:t>
      </w:r>
      <w:r>
        <w:tab/>
        <w:t xml:space="preserve">The judge to whom an application is made under rule 1 </w:t>
      </w:r>
      <w:r>
        <w:rPr>
          <w:i/>
        </w:rPr>
        <w:t>ex parte</w:t>
      </w:r>
      <w:r>
        <w:t xml:space="preserve"> may —</w:t>
      </w:r>
    </w:p>
    <w:p w:rsidR="00425758" w:rsidRDefault="00425758">
      <w:pPr>
        <w:pStyle w:val="Indenta"/>
      </w:pPr>
      <w:r>
        <w:tab/>
        <w:t>(a)</w:t>
      </w:r>
      <w:r>
        <w:tab/>
        <w:t>refuse the application; or</w:t>
      </w:r>
    </w:p>
    <w:p w:rsidR="00425758" w:rsidRDefault="00425758">
      <w:pPr>
        <w:pStyle w:val="Indenta"/>
      </w:pPr>
      <w:r>
        <w:tab/>
        <w:t>(b)</w:t>
      </w:r>
      <w:r>
        <w:tab/>
        <w:t>order that the writ be issued immediately,</w:t>
      </w:r>
    </w:p>
    <w:p w:rsidR="00425758" w:rsidRDefault="00425758">
      <w:pPr>
        <w:pStyle w:val="Subsection"/>
        <w:spacing w:before="120"/>
      </w:pPr>
      <w:r>
        <w:tab/>
      </w:r>
      <w:r>
        <w:tab/>
        <w:t>and, unless an order is made for the writ to issue immediately, may do any or all of the following —</w:t>
      </w:r>
    </w:p>
    <w:p w:rsidR="00425758" w:rsidRDefault="00425758">
      <w:pPr>
        <w:pStyle w:val="Indenta"/>
        <w:spacing w:before="60"/>
      </w:pPr>
      <w:r>
        <w:tab/>
        <w:t>(c)</w:t>
      </w:r>
      <w:r>
        <w:tab/>
        <w:t>if the judge is not sitting in court, direct that the application be decided by a judge sitting in court;</w:t>
      </w:r>
    </w:p>
    <w:p w:rsidR="00425758" w:rsidRDefault="00425758">
      <w:pPr>
        <w:pStyle w:val="Indenta"/>
      </w:pPr>
      <w:r>
        <w:lastRenderedPageBreak/>
        <w:tab/>
        <w:t>(d)</w:t>
      </w:r>
      <w:r>
        <w:tab/>
        <w:t>direct that notice of the application be served on the person against whom the issue of the writ is sought;</w:t>
      </w:r>
    </w:p>
    <w:p w:rsidR="00425758" w:rsidRDefault="00425758">
      <w:pPr>
        <w:pStyle w:val="Indenta"/>
      </w:pPr>
      <w:r>
        <w:tab/>
        <w:t>(e)</w:t>
      </w:r>
      <w:r>
        <w:tab/>
        <w:t>adjourn the hearing of the application.</w:t>
      </w:r>
    </w:p>
    <w:p w:rsidR="00425758" w:rsidRDefault="00425758">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rsidR="00425758" w:rsidRDefault="00425758">
      <w:pPr>
        <w:pStyle w:val="Footnotesection"/>
      </w:pPr>
      <w:r>
        <w:tab/>
        <w:t xml:space="preserve">[Rule 2 amended: Gazette 9 Nov 1990 p. 5526; 29 Apr 2005 p. 1795; 21 Feb 2007 p. 561.] </w:t>
      </w:r>
    </w:p>
    <w:p w:rsidR="00425758" w:rsidRDefault="00425758">
      <w:pPr>
        <w:pStyle w:val="Heading5"/>
        <w:rPr>
          <w:snapToGrid w:val="0"/>
        </w:rPr>
      </w:pPr>
      <w:bookmarkStart w:id="784" w:name="_Toc75863419"/>
      <w:r>
        <w:rPr>
          <w:rStyle w:val="CharSectno"/>
        </w:rPr>
        <w:t>3</w:t>
      </w:r>
      <w:r>
        <w:rPr>
          <w:snapToGrid w:val="0"/>
        </w:rPr>
        <w:t>.</w:t>
      </w:r>
      <w:r>
        <w:rPr>
          <w:snapToGrid w:val="0"/>
        </w:rPr>
        <w:tab/>
        <w:t>Copies of affidavits to be supplied</w:t>
      </w:r>
      <w:bookmarkEnd w:id="784"/>
    </w:p>
    <w:p w:rsidR="00425758" w:rsidRDefault="00425758">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rsidR="00425758" w:rsidRDefault="00425758">
      <w:pPr>
        <w:pStyle w:val="Heading5"/>
        <w:rPr>
          <w:snapToGrid w:val="0"/>
        </w:rPr>
      </w:pPr>
      <w:bookmarkStart w:id="785" w:name="_Toc75863420"/>
      <w:r>
        <w:rPr>
          <w:rStyle w:val="CharSectno"/>
        </w:rPr>
        <w:t>4</w:t>
      </w:r>
      <w:r>
        <w:rPr>
          <w:snapToGrid w:val="0"/>
        </w:rPr>
        <w:t>.</w:t>
      </w:r>
      <w:r>
        <w:rPr>
          <w:snapToGrid w:val="0"/>
        </w:rPr>
        <w:tab/>
        <w:t>Court may order release of person restrained</w:t>
      </w:r>
      <w:bookmarkEnd w:id="785"/>
    </w:p>
    <w:p w:rsidR="00425758" w:rsidRDefault="00425758">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rsidR="00425758" w:rsidRDefault="00425758">
      <w:pPr>
        <w:pStyle w:val="Footnotesection"/>
      </w:pPr>
      <w:r>
        <w:tab/>
        <w:t xml:space="preserve">[Rule 4 amended: Gazette 9 Nov 1990 p. 5526.] </w:t>
      </w:r>
    </w:p>
    <w:p w:rsidR="00425758" w:rsidRDefault="00425758">
      <w:pPr>
        <w:pStyle w:val="Heading5"/>
        <w:rPr>
          <w:snapToGrid w:val="0"/>
        </w:rPr>
      </w:pPr>
      <w:bookmarkStart w:id="786" w:name="_Toc75863421"/>
      <w:r>
        <w:rPr>
          <w:rStyle w:val="CharSectno"/>
        </w:rPr>
        <w:t>5</w:t>
      </w:r>
      <w:r>
        <w:rPr>
          <w:snapToGrid w:val="0"/>
        </w:rPr>
        <w:t>.</w:t>
      </w:r>
      <w:r>
        <w:rPr>
          <w:snapToGrid w:val="0"/>
        </w:rPr>
        <w:tab/>
        <w:t>Signed copy of writ to be filed</w:t>
      </w:r>
      <w:bookmarkEnd w:id="786"/>
    </w:p>
    <w:p w:rsidR="00425758" w:rsidRDefault="00425758">
      <w:pPr>
        <w:pStyle w:val="Subsection"/>
        <w:rPr>
          <w:snapToGrid w:val="0"/>
        </w:rPr>
      </w:pPr>
      <w:r>
        <w:tab/>
        <w:t>(1)</w:t>
      </w:r>
      <w:r>
        <w:tab/>
        <w:t>When</w:t>
      </w:r>
      <w:r>
        <w:rPr>
          <w:snapToGrid w:val="0"/>
        </w:rPr>
        <w:t xml:space="preserve"> a writ of habeas corpus is presented for sealing, the person presenting it must at the same time file a copy of the writ signed by or on behalf of the solicitor for the party issuing it, or by the party himself if he is proceeding in person.</w:t>
      </w:r>
    </w:p>
    <w:p w:rsidR="00425758" w:rsidRDefault="00425758">
      <w:pPr>
        <w:pStyle w:val="Subsection"/>
        <w:keepNext/>
      </w:pPr>
      <w:r>
        <w:lastRenderedPageBreak/>
        <w:tab/>
        <w:t>(2)</w:t>
      </w:r>
      <w:r>
        <w:tab/>
        <w:t>The writ, or a copy of it, cannot be filed electronically.</w:t>
      </w:r>
    </w:p>
    <w:p w:rsidR="00425758" w:rsidRDefault="00425758">
      <w:pPr>
        <w:pStyle w:val="Footnotesection"/>
      </w:pPr>
      <w:r>
        <w:tab/>
        <w:t xml:space="preserve">[Rule 5 amended: Gazette 27 Feb 2018 p. 572.] </w:t>
      </w:r>
    </w:p>
    <w:p w:rsidR="00425758" w:rsidRDefault="00425758">
      <w:pPr>
        <w:pStyle w:val="Heading5"/>
      </w:pPr>
      <w:bookmarkStart w:id="787" w:name="_Toc75863422"/>
      <w:r>
        <w:rPr>
          <w:rStyle w:val="CharSectno"/>
        </w:rPr>
        <w:t>6</w:t>
      </w:r>
      <w:r>
        <w:t>.</w:t>
      </w:r>
      <w:r>
        <w:tab/>
        <w:t>Order for issue of writ, contents of</w:t>
      </w:r>
      <w:bookmarkEnd w:id="787"/>
    </w:p>
    <w:p w:rsidR="00425758" w:rsidRDefault="00425758">
      <w:pPr>
        <w:pStyle w:val="Subsection"/>
      </w:pPr>
      <w:r>
        <w:tab/>
        <w:t>(1)</w:t>
      </w:r>
      <w:r>
        <w:tab/>
        <w:t xml:space="preserve">If a judge orders that a writ of habeas corpus be issued, the order must state — </w:t>
      </w:r>
    </w:p>
    <w:p w:rsidR="00425758" w:rsidRDefault="00425758">
      <w:pPr>
        <w:pStyle w:val="Indenta"/>
      </w:pPr>
      <w:r>
        <w:tab/>
        <w:t>(a)</w:t>
      </w:r>
      <w:r>
        <w:tab/>
        <w:t>the date on which the writ is returnable; and</w:t>
      </w:r>
    </w:p>
    <w:p w:rsidR="00425758" w:rsidRDefault="00425758">
      <w:pPr>
        <w:pStyle w:val="Indenta"/>
      </w:pPr>
      <w:r>
        <w:tab/>
        <w:t>(b)</w:t>
      </w:r>
      <w:r>
        <w:tab/>
        <w:t>whether the writ is returnable before a judge or the Court of Appeal.</w:t>
      </w:r>
    </w:p>
    <w:p w:rsidR="00425758" w:rsidRDefault="00425758">
      <w:pPr>
        <w:pStyle w:val="Subsection"/>
      </w:pPr>
      <w:r>
        <w:tab/>
        <w:t>(2)</w:t>
      </w:r>
      <w:r>
        <w:tab/>
        <w:t xml:space="preserve">If a writ is made returnable before the Court of Appeal, the </w:t>
      </w:r>
      <w:r>
        <w:rPr>
          <w:i/>
        </w:rPr>
        <w:t>Supreme Court (Court of Appeal) Rules 2005</w:t>
      </w:r>
      <w:r>
        <w:t xml:space="preserve"> apply in addition to this Order.</w:t>
      </w:r>
    </w:p>
    <w:p w:rsidR="00425758" w:rsidRDefault="00425758">
      <w:pPr>
        <w:pStyle w:val="Footnotesection"/>
      </w:pPr>
      <w:r>
        <w:tab/>
        <w:t>[Rule 6 inserted: Gazette 21 Feb 2007 p. 561.]</w:t>
      </w:r>
    </w:p>
    <w:p w:rsidR="00425758" w:rsidRDefault="00425758">
      <w:pPr>
        <w:pStyle w:val="Heading5"/>
        <w:rPr>
          <w:snapToGrid w:val="0"/>
        </w:rPr>
      </w:pPr>
      <w:bookmarkStart w:id="788" w:name="_Toc75863423"/>
      <w:r>
        <w:rPr>
          <w:rStyle w:val="CharSectno"/>
        </w:rPr>
        <w:t>7</w:t>
      </w:r>
      <w:r>
        <w:rPr>
          <w:snapToGrid w:val="0"/>
        </w:rPr>
        <w:t>.</w:t>
      </w:r>
      <w:r>
        <w:rPr>
          <w:snapToGrid w:val="0"/>
        </w:rPr>
        <w:tab/>
        <w:t>Service of writ and notice</w:t>
      </w:r>
      <w:bookmarkEnd w:id="788"/>
    </w:p>
    <w:p w:rsidR="00425758" w:rsidRDefault="00425758">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rsidR="00425758" w:rsidRDefault="00425758">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rsidR="00425758" w:rsidRDefault="00425758">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rsidR="00425758" w:rsidRDefault="00425758">
      <w:pPr>
        <w:pStyle w:val="Subsection"/>
      </w:pPr>
      <w:r>
        <w:tab/>
        <w:t>(4)</w:t>
      </w:r>
      <w:r>
        <w:tab/>
        <w:t xml:space="preserve">If the writ is issued by means of the ECMS — </w:t>
      </w:r>
    </w:p>
    <w:p w:rsidR="00425758" w:rsidRDefault="00425758">
      <w:pPr>
        <w:pStyle w:val="Indenta"/>
      </w:pPr>
      <w:r>
        <w:tab/>
        <w:t>(a)</w:t>
      </w:r>
      <w:r>
        <w:tab/>
        <w:t>the applicant may print from the ECMS 1 or more copies of the writ; and</w:t>
      </w:r>
    </w:p>
    <w:p w:rsidR="00425758" w:rsidRDefault="00425758">
      <w:pPr>
        <w:pStyle w:val="Indenta"/>
      </w:pPr>
      <w:r>
        <w:lastRenderedPageBreak/>
        <w:tab/>
        <w:t>(b)</w:t>
      </w:r>
      <w:r>
        <w:tab/>
        <w:t>a printed copy may be treated as the writ for the purposes of this rule.</w:t>
      </w:r>
    </w:p>
    <w:p w:rsidR="00425758" w:rsidRDefault="00425758">
      <w:pPr>
        <w:pStyle w:val="Footnotesection"/>
      </w:pPr>
      <w:r>
        <w:tab/>
        <w:t>[Rule 7 amended: Gazette 28 Jul 2010 p. 3484; 28 Jun 2011 p. 2552</w:t>
      </w:r>
      <w:r>
        <w:noBreakHyphen/>
        <w:t>3; 27 Feb 2018 p. 572; 31 Dec 2019 p. 4677.]</w:t>
      </w:r>
    </w:p>
    <w:p w:rsidR="00425758" w:rsidRDefault="00425758">
      <w:pPr>
        <w:pStyle w:val="Heading5"/>
        <w:rPr>
          <w:snapToGrid w:val="0"/>
        </w:rPr>
      </w:pPr>
      <w:bookmarkStart w:id="789" w:name="_Toc75863424"/>
      <w:r>
        <w:rPr>
          <w:rStyle w:val="CharSectno"/>
        </w:rPr>
        <w:t>8</w:t>
      </w:r>
      <w:r>
        <w:rPr>
          <w:snapToGrid w:val="0"/>
        </w:rPr>
        <w:t>.</w:t>
      </w:r>
      <w:r>
        <w:rPr>
          <w:snapToGrid w:val="0"/>
        </w:rPr>
        <w:tab/>
        <w:t>Return to writ of habeas corpus</w:t>
      </w:r>
      <w:bookmarkEnd w:id="789"/>
      <w:r>
        <w:rPr>
          <w:snapToGrid w:val="0"/>
        </w:rPr>
        <w:t xml:space="preserve"> </w:t>
      </w:r>
    </w:p>
    <w:p w:rsidR="00425758" w:rsidRDefault="00425758">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rsidR="00425758" w:rsidRDefault="00425758">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rsidR="00425758" w:rsidRDefault="00425758">
      <w:pPr>
        <w:pStyle w:val="Subsection"/>
        <w:rPr>
          <w:snapToGrid w:val="0"/>
        </w:rPr>
      </w:pPr>
      <w:r>
        <w:rPr>
          <w:snapToGrid w:val="0"/>
        </w:rPr>
        <w:tab/>
        <w:t>(3)</w:t>
      </w:r>
      <w:r>
        <w:rPr>
          <w:snapToGrid w:val="0"/>
        </w:rPr>
        <w:tab/>
        <w:t>The return must be filed.</w:t>
      </w:r>
    </w:p>
    <w:p w:rsidR="00425758" w:rsidRDefault="00425758">
      <w:pPr>
        <w:pStyle w:val="Subsection"/>
        <w:rPr>
          <w:snapToGrid w:val="0"/>
        </w:rPr>
      </w:pPr>
      <w:r>
        <w:rPr>
          <w:snapToGrid w:val="0"/>
        </w:rPr>
        <w:tab/>
        <w:t>(4)</w:t>
      </w:r>
      <w:r>
        <w:rPr>
          <w:snapToGrid w:val="0"/>
        </w:rPr>
        <w:tab/>
        <w:t>The return may be amended, or another return substituted for it, by leave of the Court or a judge.</w:t>
      </w:r>
    </w:p>
    <w:p w:rsidR="00425758" w:rsidRDefault="00425758">
      <w:pPr>
        <w:pStyle w:val="Heading5"/>
        <w:rPr>
          <w:snapToGrid w:val="0"/>
        </w:rPr>
      </w:pPr>
      <w:bookmarkStart w:id="790" w:name="_Toc75863425"/>
      <w:r>
        <w:rPr>
          <w:rStyle w:val="CharSectno"/>
        </w:rPr>
        <w:t>9</w:t>
      </w:r>
      <w:r>
        <w:rPr>
          <w:snapToGrid w:val="0"/>
        </w:rPr>
        <w:t>.</w:t>
      </w:r>
      <w:r>
        <w:rPr>
          <w:snapToGrid w:val="0"/>
        </w:rPr>
        <w:tab/>
        <w:t>Procedure on hearing</w:t>
      </w:r>
      <w:bookmarkEnd w:id="790"/>
    </w:p>
    <w:p w:rsidR="00425758" w:rsidRDefault="00425758">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rsidR="00425758" w:rsidRDefault="00425758">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rsidR="00425758" w:rsidRDefault="00425758">
      <w:pPr>
        <w:pStyle w:val="Heading5"/>
        <w:rPr>
          <w:snapToGrid w:val="0"/>
        </w:rPr>
      </w:pPr>
      <w:bookmarkStart w:id="791" w:name="_Toc75863426"/>
      <w:r>
        <w:rPr>
          <w:rStyle w:val="CharSectno"/>
        </w:rPr>
        <w:t>10</w:t>
      </w:r>
      <w:r>
        <w:rPr>
          <w:snapToGrid w:val="0"/>
        </w:rPr>
        <w:t>.</w:t>
      </w:r>
      <w:r>
        <w:rPr>
          <w:snapToGrid w:val="0"/>
        </w:rPr>
        <w:tab/>
        <w:t>Form of writ</w:t>
      </w:r>
      <w:bookmarkEnd w:id="791"/>
      <w:r>
        <w:rPr>
          <w:snapToGrid w:val="0"/>
        </w:rPr>
        <w:t xml:space="preserve"> </w:t>
      </w:r>
    </w:p>
    <w:p w:rsidR="00425758" w:rsidRDefault="00425758">
      <w:pPr>
        <w:pStyle w:val="Subsection"/>
        <w:rPr>
          <w:snapToGrid w:val="0"/>
        </w:rPr>
      </w:pPr>
      <w:r>
        <w:rPr>
          <w:snapToGrid w:val="0"/>
        </w:rPr>
        <w:tab/>
      </w:r>
      <w:r>
        <w:rPr>
          <w:snapToGrid w:val="0"/>
        </w:rPr>
        <w:tab/>
        <w:t>A writ of habeas corpus must be in Form No. 73.</w:t>
      </w:r>
    </w:p>
    <w:p w:rsidR="00425758" w:rsidRDefault="00425758">
      <w:pPr>
        <w:pStyle w:val="Heading2"/>
        <w:rPr>
          <w:b w:val="0"/>
        </w:rPr>
      </w:pPr>
      <w:bookmarkStart w:id="792" w:name="_Toc75512331"/>
      <w:bookmarkStart w:id="793" w:name="_Toc75863427"/>
      <w:r>
        <w:rPr>
          <w:rStyle w:val="CharPartNo"/>
        </w:rPr>
        <w:lastRenderedPageBreak/>
        <w:t>Order 58</w:t>
      </w:r>
      <w:r>
        <w:t> — </w:t>
      </w:r>
      <w:r>
        <w:rPr>
          <w:rStyle w:val="CharPartText"/>
        </w:rPr>
        <w:t>Proceedings by originating summons</w:t>
      </w:r>
      <w:bookmarkEnd w:id="792"/>
      <w:bookmarkEnd w:id="793"/>
    </w:p>
    <w:p w:rsidR="00425758" w:rsidRDefault="00425758">
      <w:pPr>
        <w:pStyle w:val="Heading3"/>
      </w:pPr>
      <w:bookmarkStart w:id="794" w:name="_Toc75512332"/>
      <w:bookmarkStart w:id="795" w:name="_Toc75863428"/>
      <w:r>
        <w:rPr>
          <w:rStyle w:val="CharDivNo"/>
        </w:rPr>
        <w:t>Division 1</w:t>
      </w:r>
      <w:r>
        <w:t> — </w:t>
      </w:r>
      <w:r>
        <w:rPr>
          <w:rStyle w:val="CharDivText"/>
        </w:rPr>
        <w:t>Introductory</w:t>
      </w:r>
      <w:bookmarkEnd w:id="794"/>
      <w:bookmarkEnd w:id="795"/>
    </w:p>
    <w:p w:rsidR="00425758" w:rsidRDefault="00425758">
      <w:pPr>
        <w:pStyle w:val="Footnoteheading"/>
      </w:pPr>
      <w:r>
        <w:tab/>
        <w:t xml:space="preserve">[Heading inserted: Gazette 22 Feb 2008 p. 638.] </w:t>
      </w:r>
    </w:p>
    <w:p w:rsidR="00425758" w:rsidRDefault="00425758">
      <w:pPr>
        <w:pStyle w:val="Heading5"/>
        <w:rPr>
          <w:snapToGrid w:val="0"/>
        </w:rPr>
      </w:pPr>
      <w:bookmarkStart w:id="796" w:name="_Toc75863429"/>
      <w:r>
        <w:rPr>
          <w:rStyle w:val="CharSectno"/>
        </w:rPr>
        <w:t>1</w:t>
      </w:r>
      <w:r>
        <w:rPr>
          <w:snapToGrid w:val="0"/>
        </w:rPr>
        <w:t>.</w:t>
      </w:r>
      <w:r>
        <w:rPr>
          <w:snapToGrid w:val="0"/>
        </w:rPr>
        <w:tab/>
        <w:t>Which proceedings to be commenced by originating summons</w:t>
      </w:r>
      <w:bookmarkEnd w:id="796"/>
      <w:r>
        <w:rPr>
          <w:snapToGrid w:val="0"/>
        </w:rPr>
        <w:t xml:space="preserve"> </w:t>
      </w:r>
    </w:p>
    <w:p w:rsidR="00425758" w:rsidRDefault="00425758">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rsidR="00425758" w:rsidRDefault="00425758">
      <w:pPr>
        <w:pStyle w:val="Heading3"/>
      </w:pPr>
      <w:bookmarkStart w:id="797" w:name="_Toc75512334"/>
      <w:bookmarkStart w:id="798" w:name="_Toc75863430"/>
      <w:r>
        <w:rPr>
          <w:rStyle w:val="CharDivNo"/>
        </w:rPr>
        <w:t>Division 2</w:t>
      </w:r>
      <w:r>
        <w:t> — </w:t>
      </w:r>
      <w:r>
        <w:rPr>
          <w:rStyle w:val="CharDivText"/>
        </w:rPr>
        <w:t>Administration and trusts</w:t>
      </w:r>
      <w:bookmarkEnd w:id="797"/>
      <w:bookmarkEnd w:id="798"/>
    </w:p>
    <w:p w:rsidR="00425758" w:rsidRDefault="00425758">
      <w:pPr>
        <w:pStyle w:val="Footnoteheading"/>
      </w:pPr>
      <w:r>
        <w:tab/>
        <w:t xml:space="preserve">[Heading inserted: Gazette 22 Feb 2008 p. 638.] </w:t>
      </w:r>
    </w:p>
    <w:p w:rsidR="00425758" w:rsidRDefault="00425758">
      <w:pPr>
        <w:pStyle w:val="Heading5"/>
        <w:rPr>
          <w:snapToGrid w:val="0"/>
        </w:rPr>
      </w:pPr>
      <w:bookmarkStart w:id="799" w:name="_Toc75863431"/>
      <w:r>
        <w:rPr>
          <w:rStyle w:val="CharSectno"/>
        </w:rPr>
        <w:t>2</w:t>
      </w:r>
      <w:r>
        <w:rPr>
          <w:snapToGrid w:val="0"/>
        </w:rPr>
        <w:t>.</w:t>
      </w:r>
      <w:r>
        <w:rPr>
          <w:snapToGrid w:val="0"/>
        </w:rPr>
        <w:tab/>
        <w:t>Executors etc. seeking certain relief without administration</w:t>
      </w:r>
      <w:bookmarkEnd w:id="799"/>
    </w:p>
    <w:p w:rsidR="00425758" w:rsidRDefault="00425758">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rsidR="00425758" w:rsidRDefault="00425758">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rsidR="00425758" w:rsidRDefault="00425758">
      <w:pPr>
        <w:pStyle w:val="Indenta"/>
        <w:rPr>
          <w:snapToGrid w:val="0"/>
        </w:rPr>
      </w:pPr>
      <w:r>
        <w:rPr>
          <w:snapToGrid w:val="0"/>
        </w:rPr>
        <w:tab/>
        <w:t>(b)</w:t>
      </w:r>
      <w:r>
        <w:rPr>
          <w:snapToGrid w:val="0"/>
        </w:rPr>
        <w:tab/>
        <w:t>the ascertainment of any class of creditors, legatees, devisees, next of kin, or others;</w:t>
      </w:r>
    </w:p>
    <w:p w:rsidR="00425758" w:rsidRDefault="00425758">
      <w:pPr>
        <w:pStyle w:val="Indenta"/>
        <w:rPr>
          <w:snapToGrid w:val="0"/>
        </w:rPr>
      </w:pPr>
      <w:r>
        <w:rPr>
          <w:snapToGrid w:val="0"/>
        </w:rPr>
        <w:lastRenderedPageBreak/>
        <w:tab/>
        <w:t>(c)</w:t>
      </w:r>
      <w:r>
        <w:rPr>
          <w:snapToGrid w:val="0"/>
        </w:rPr>
        <w:tab/>
        <w:t>the furnishing of any particular accounts by the executors or administrators or trustees, and the vouching (when necessary) of such accounts;</w:t>
      </w:r>
    </w:p>
    <w:p w:rsidR="00425758" w:rsidRDefault="00425758">
      <w:pPr>
        <w:pStyle w:val="Indenta"/>
        <w:rPr>
          <w:snapToGrid w:val="0"/>
        </w:rPr>
      </w:pPr>
      <w:r>
        <w:rPr>
          <w:snapToGrid w:val="0"/>
        </w:rPr>
        <w:tab/>
        <w:t>(d)</w:t>
      </w:r>
      <w:r>
        <w:rPr>
          <w:snapToGrid w:val="0"/>
        </w:rPr>
        <w:tab/>
        <w:t>the payment into court of any money in the hands of the executors or administrators or trustees;</w:t>
      </w:r>
    </w:p>
    <w:p w:rsidR="00425758" w:rsidRDefault="00425758">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rsidR="00425758" w:rsidRDefault="00425758">
      <w:pPr>
        <w:pStyle w:val="Indenta"/>
        <w:rPr>
          <w:snapToGrid w:val="0"/>
        </w:rPr>
      </w:pPr>
      <w:r>
        <w:rPr>
          <w:snapToGrid w:val="0"/>
        </w:rPr>
        <w:tab/>
        <w:t>(f)</w:t>
      </w:r>
      <w:r>
        <w:rPr>
          <w:snapToGrid w:val="0"/>
        </w:rPr>
        <w:tab/>
        <w:t>the approval of any sale, purchase, compromise, or other transaction;</w:t>
      </w:r>
    </w:p>
    <w:p w:rsidR="00425758" w:rsidRDefault="00425758">
      <w:pPr>
        <w:pStyle w:val="Indenta"/>
        <w:rPr>
          <w:snapToGrid w:val="0"/>
        </w:rPr>
      </w:pPr>
      <w:r>
        <w:rPr>
          <w:snapToGrid w:val="0"/>
        </w:rPr>
        <w:tab/>
        <w:t>(g)</w:t>
      </w:r>
      <w:r>
        <w:rPr>
          <w:snapToGrid w:val="0"/>
        </w:rPr>
        <w:tab/>
        <w:t>the determination of any question arising in the administration of the estate or trust.</w:t>
      </w:r>
    </w:p>
    <w:p w:rsidR="00425758" w:rsidRDefault="00425758">
      <w:pPr>
        <w:pStyle w:val="Heading5"/>
        <w:rPr>
          <w:snapToGrid w:val="0"/>
        </w:rPr>
      </w:pPr>
      <w:bookmarkStart w:id="800" w:name="_Toc75863432"/>
      <w:r>
        <w:rPr>
          <w:rStyle w:val="CharSectno"/>
        </w:rPr>
        <w:t>3</w:t>
      </w:r>
      <w:r>
        <w:rPr>
          <w:snapToGrid w:val="0"/>
        </w:rPr>
        <w:t>.</w:t>
      </w:r>
      <w:r>
        <w:rPr>
          <w:snapToGrid w:val="0"/>
        </w:rPr>
        <w:tab/>
        <w:t>Executors etc. applying for administration</w:t>
      </w:r>
      <w:bookmarkEnd w:id="800"/>
    </w:p>
    <w:p w:rsidR="00425758" w:rsidRDefault="00425758">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rsidR="00425758" w:rsidRDefault="00425758">
      <w:pPr>
        <w:pStyle w:val="Indenta"/>
        <w:rPr>
          <w:snapToGrid w:val="0"/>
        </w:rPr>
      </w:pPr>
      <w:r>
        <w:rPr>
          <w:snapToGrid w:val="0"/>
        </w:rPr>
        <w:tab/>
        <w:t>(a)</w:t>
      </w:r>
      <w:r>
        <w:rPr>
          <w:snapToGrid w:val="0"/>
        </w:rPr>
        <w:tab/>
        <w:t>the administration of the estate of the deceased;</w:t>
      </w:r>
    </w:p>
    <w:p w:rsidR="00425758" w:rsidRDefault="00425758">
      <w:pPr>
        <w:pStyle w:val="Indenta"/>
        <w:rPr>
          <w:snapToGrid w:val="0"/>
        </w:rPr>
      </w:pPr>
      <w:r>
        <w:rPr>
          <w:snapToGrid w:val="0"/>
        </w:rPr>
        <w:tab/>
        <w:t>(b)</w:t>
      </w:r>
      <w:r>
        <w:rPr>
          <w:snapToGrid w:val="0"/>
        </w:rPr>
        <w:tab/>
        <w:t>the administration of the trust.</w:t>
      </w:r>
    </w:p>
    <w:p w:rsidR="00425758" w:rsidRDefault="00425758">
      <w:pPr>
        <w:pStyle w:val="Footnotesection"/>
      </w:pPr>
      <w:r>
        <w:tab/>
        <w:t>[Rule 3 amended: Gazette 28 Jun 2011 p. 2554.]</w:t>
      </w:r>
    </w:p>
    <w:p w:rsidR="00425758" w:rsidRDefault="00425758">
      <w:pPr>
        <w:pStyle w:val="Heading5"/>
        <w:rPr>
          <w:snapToGrid w:val="0"/>
        </w:rPr>
      </w:pPr>
      <w:bookmarkStart w:id="801" w:name="_Toc75863433"/>
      <w:r>
        <w:rPr>
          <w:rStyle w:val="CharSectno"/>
        </w:rPr>
        <w:t>4</w:t>
      </w:r>
      <w:r>
        <w:rPr>
          <w:snapToGrid w:val="0"/>
        </w:rPr>
        <w:t>.</w:t>
      </w:r>
      <w:r>
        <w:rPr>
          <w:snapToGrid w:val="0"/>
        </w:rPr>
        <w:tab/>
        <w:t>Service of summons issued under r. 2 or 3</w:t>
      </w:r>
      <w:bookmarkEnd w:id="801"/>
    </w:p>
    <w:p w:rsidR="00425758" w:rsidRDefault="00425758">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rsidR="00425758" w:rsidRDefault="00425758">
      <w:pPr>
        <w:pStyle w:val="Indenta"/>
        <w:rPr>
          <w:snapToGrid w:val="0"/>
        </w:rPr>
      </w:pPr>
      <w:r>
        <w:rPr>
          <w:snapToGrid w:val="0"/>
        </w:rPr>
        <w:tab/>
        <w:t>(a)</w:t>
      </w:r>
      <w:r>
        <w:rPr>
          <w:snapToGrid w:val="0"/>
        </w:rPr>
        <w:tab/>
        <w:t>where the summons is taken out by an executor or administrator or trustee — </w:t>
      </w:r>
    </w:p>
    <w:p w:rsidR="00425758" w:rsidRDefault="00425758">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rsidR="00425758" w:rsidRDefault="00425758">
      <w:pPr>
        <w:pStyle w:val="Indenti"/>
        <w:rPr>
          <w:snapToGrid w:val="0"/>
        </w:rPr>
      </w:pPr>
      <w:r>
        <w:rPr>
          <w:snapToGrid w:val="0"/>
        </w:rPr>
        <w:tab/>
        <w:t>(ii)</w:t>
      </w:r>
      <w:r>
        <w:rPr>
          <w:snapToGrid w:val="0"/>
        </w:rPr>
        <w:tab/>
        <w:t>for the determination of any question, under rule 2(b), any member or alleged member of the class;</w:t>
      </w:r>
    </w:p>
    <w:p w:rsidR="00425758" w:rsidRDefault="00425758">
      <w:pPr>
        <w:pStyle w:val="Indenti"/>
        <w:rPr>
          <w:snapToGrid w:val="0"/>
        </w:rPr>
      </w:pPr>
      <w:r>
        <w:rPr>
          <w:snapToGrid w:val="0"/>
        </w:rPr>
        <w:lastRenderedPageBreak/>
        <w:tab/>
        <w:t>(iii)</w:t>
      </w:r>
      <w:r>
        <w:rPr>
          <w:snapToGrid w:val="0"/>
        </w:rPr>
        <w:tab/>
        <w:t>for the determination of any question, under rule 2(c), any person interested in taking such accounts;</w:t>
      </w:r>
    </w:p>
    <w:p w:rsidR="00425758" w:rsidRDefault="00425758">
      <w:pPr>
        <w:pStyle w:val="Indenti"/>
        <w:rPr>
          <w:snapToGrid w:val="0"/>
        </w:rPr>
      </w:pPr>
      <w:r>
        <w:rPr>
          <w:snapToGrid w:val="0"/>
        </w:rPr>
        <w:tab/>
        <w:t>(iv)</w:t>
      </w:r>
      <w:r>
        <w:rPr>
          <w:snapToGrid w:val="0"/>
        </w:rPr>
        <w:tab/>
        <w:t>for the determination of any question, under rule 2(d), any person interested in such money;</w:t>
      </w:r>
    </w:p>
    <w:p w:rsidR="00425758" w:rsidRDefault="00425758">
      <w:pPr>
        <w:pStyle w:val="Indenti"/>
        <w:rPr>
          <w:snapToGrid w:val="0"/>
        </w:rPr>
      </w:pPr>
      <w:r>
        <w:rPr>
          <w:snapToGrid w:val="0"/>
        </w:rPr>
        <w:tab/>
        <w:t>(v)</w:t>
      </w:r>
      <w:r>
        <w:rPr>
          <w:snapToGrid w:val="0"/>
        </w:rPr>
        <w:tab/>
        <w:t>for relief under rule 3(a), the residuary beneficiaries, or next of kin, or some of them;</w:t>
      </w:r>
    </w:p>
    <w:p w:rsidR="00425758" w:rsidRDefault="00425758">
      <w:pPr>
        <w:pStyle w:val="Indenti"/>
        <w:rPr>
          <w:snapToGrid w:val="0"/>
        </w:rPr>
      </w:pPr>
      <w:r>
        <w:rPr>
          <w:snapToGrid w:val="0"/>
        </w:rPr>
        <w:tab/>
        <w:t>(vi)</w:t>
      </w:r>
      <w:r>
        <w:rPr>
          <w:snapToGrid w:val="0"/>
        </w:rPr>
        <w:tab/>
        <w:t>for relief under rule 3(b), the cestuis que trustent, or some of them;</w:t>
      </w:r>
    </w:p>
    <w:p w:rsidR="00425758" w:rsidRDefault="00425758">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rsidR="00425758" w:rsidRDefault="00425758">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rsidR="00425758" w:rsidRDefault="00425758">
      <w:pPr>
        <w:pStyle w:val="Footnotesection"/>
      </w:pPr>
      <w:r>
        <w:tab/>
        <w:t>[Rule 4 amended: Gazette 28 Jun 2011 p. 2554.]</w:t>
      </w:r>
    </w:p>
    <w:p w:rsidR="00425758" w:rsidRDefault="00425758">
      <w:pPr>
        <w:pStyle w:val="Heading5"/>
        <w:rPr>
          <w:snapToGrid w:val="0"/>
        </w:rPr>
      </w:pPr>
      <w:bookmarkStart w:id="802" w:name="_Toc75863434"/>
      <w:r>
        <w:rPr>
          <w:rStyle w:val="CharSectno"/>
        </w:rPr>
        <w:t>5</w:t>
      </w:r>
      <w:r>
        <w:rPr>
          <w:snapToGrid w:val="0"/>
        </w:rPr>
        <w:t>.</w:t>
      </w:r>
      <w:r>
        <w:rPr>
          <w:snapToGrid w:val="0"/>
        </w:rPr>
        <w:tab/>
        <w:t>Decision without judgment for administration</w:t>
      </w:r>
      <w:bookmarkEnd w:id="802"/>
    </w:p>
    <w:p w:rsidR="00425758" w:rsidRDefault="00425758">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rsidR="00425758" w:rsidRDefault="00425758">
      <w:pPr>
        <w:pStyle w:val="Heading5"/>
        <w:rPr>
          <w:snapToGrid w:val="0"/>
        </w:rPr>
      </w:pPr>
      <w:bookmarkStart w:id="803" w:name="_Toc75863435"/>
      <w:r>
        <w:rPr>
          <w:rStyle w:val="CharSectno"/>
        </w:rPr>
        <w:t>6</w:t>
      </w:r>
      <w:r>
        <w:rPr>
          <w:snapToGrid w:val="0"/>
        </w:rPr>
        <w:t>.</w:t>
      </w:r>
      <w:r>
        <w:rPr>
          <w:snapToGrid w:val="0"/>
        </w:rPr>
        <w:tab/>
        <w:t>Orders which may be made on application for administration etc. of trusts</w:t>
      </w:r>
      <w:bookmarkEnd w:id="803"/>
    </w:p>
    <w:p w:rsidR="00425758" w:rsidRDefault="00425758">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rsidR="00425758" w:rsidRDefault="00425758">
      <w:pPr>
        <w:pStyle w:val="Indenta"/>
        <w:rPr>
          <w:snapToGrid w:val="0"/>
        </w:rPr>
      </w:pPr>
      <w:r>
        <w:rPr>
          <w:snapToGrid w:val="0"/>
        </w:rPr>
        <w:tab/>
        <w:t>(a)</w:t>
      </w:r>
      <w:r>
        <w:rPr>
          <w:snapToGrid w:val="0"/>
        </w:rPr>
        <w:tab/>
        <w:t xml:space="preserve">order that the application shall stand over for a certain time and that the executors, administrators, or trustees in the meantime shall render to the applicant a proper </w:t>
      </w:r>
      <w:r>
        <w:rPr>
          <w:snapToGrid w:val="0"/>
        </w:rPr>
        <w:lastRenderedPageBreak/>
        <w:t>statement of their accounts, with an intimation that if this is not done they may be made to pay the costs of the proceedings;</w:t>
      </w:r>
    </w:p>
    <w:p w:rsidR="00425758" w:rsidRDefault="00425758">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rsidR="00425758" w:rsidRDefault="00425758">
      <w:pPr>
        <w:pStyle w:val="Heading5"/>
        <w:spacing w:before="200"/>
        <w:rPr>
          <w:snapToGrid w:val="0"/>
        </w:rPr>
      </w:pPr>
      <w:bookmarkStart w:id="804" w:name="_Toc75863436"/>
      <w:r>
        <w:rPr>
          <w:rStyle w:val="CharSectno"/>
        </w:rPr>
        <w:t>7</w:t>
      </w:r>
      <w:r>
        <w:rPr>
          <w:snapToGrid w:val="0"/>
        </w:rPr>
        <w:t>.</w:t>
      </w:r>
      <w:r>
        <w:rPr>
          <w:snapToGrid w:val="0"/>
        </w:rPr>
        <w:tab/>
        <w:t>Interference with discretion of trustee etc.</w:t>
      </w:r>
      <w:bookmarkEnd w:id="804"/>
    </w:p>
    <w:p w:rsidR="00425758" w:rsidRDefault="00425758">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rsidR="00425758" w:rsidRDefault="00425758">
      <w:pPr>
        <w:pStyle w:val="Heading5"/>
        <w:spacing w:before="200"/>
        <w:rPr>
          <w:snapToGrid w:val="0"/>
        </w:rPr>
      </w:pPr>
      <w:bookmarkStart w:id="805" w:name="_Toc75863437"/>
      <w:r>
        <w:rPr>
          <w:rStyle w:val="CharSectno"/>
        </w:rPr>
        <w:t>8</w:t>
      </w:r>
      <w:r>
        <w:rPr>
          <w:snapToGrid w:val="0"/>
        </w:rPr>
        <w:t>.</w:t>
      </w:r>
      <w:r>
        <w:rPr>
          <w:snapToGrid w:val="0"/>
        </w:rPr>
        <w:tab/>
        <w:t>Conduct of sale of trust property</w:t>
      </w:r>
      <w:bookmarkEnd w:id="805"/>
    </w:p>
    <w:p w:rsidR="00425758" w:rsidRDefault="00425758">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rsidR="00425758" w:rsidRDefault="00425758">
      <w:pPr>
        <w:pStyle w:val="Footnoteheading"/>
        <w:spacing w:before="200"/>
      </w:pPr>
      <w:r>
        <w:tab/>
        <w:t>[Heading deleted: Gazette 10 Jan 1975 p. 51.]</w:t>
      </w:r>
    </w:p>
    <w:p w:rsidR="00425758" w:rsidRDefault="00425758">
      <w:pPr>
        <w:pStyle w:val="Ednotesection"/>
        <w:spacing w:before="200"/>
      </w:pPr>
      <w:r>
        <w:t>[</w:t>
      </w:r>
      <w:r>
        <w:rPr>
          <w:b/>
        </w:rPr>
        <w:t>9.</w:t>
      </w:r>
      <w:r>
        <w:rPr>
          <w:b/>
        </w:rPr>
        <w:tab/>
      </w:r>
      <w:r>
        <w:t xml:space="preserve">Deleted: Gazette 10 Jan 1975 p. 51.] </w:t>
      </w:r>
    </w:p>
    <w:p w:rsidR="00425758" w:rsidRDefault="00425758">
      <w:pPr>
        <w:pStyle w:val="Heading3"/>
      </w:pPr>
      <w:bookmarkStart w:id="806" w:name="_Toc75512342"/>
      <w:bookmarkStart w:id="807" w:name="_Toc75863438"/>
      <w:r>
        <w:rPr>
          <w:rStyle w:val="CharDivNo"/>
        </w:rPr>
        <w:t>Division 4</w:t>
      </w:r>
      <w:r>
        <w:t> — </w:t>
      </w:r>
      <w:r>
        <w:rPr>
          <w:rStyle w:val="CharDivText"/>
        </w:rPr>
        <w:t>Declaration on originating summons</w:t>
      </w:r>
      <w:bookmarkEnd w:id="806"/>
      <w:bookmarkEnd w:id="807"/>
    </w:p>
    <w:p w:rsidR="00425758" w:rsidRDefault="00425758">
      <w:pPr>
        <w:pStyle w:val="Footnoteheading"/>
        <w:spacing w:before="100"/>
      </w:pPr>
      <w:r>
        <w:tab/>
        <w:t xml:space="preserve">[Heading inserted: Gazette 22 Feb 2008 p. 638.] </w:t>
      </w:r>
    </w:p>
    <w:p w:rsidR="00425758" w:rsidRDefault="00425758">
      <w:pPr>
        <w:pStyle w:val="Heading5"/>
        <w:spacing w:before="200"/>
        <w:rPr>
          <w:snapToGrid w:val="0"/>
        </w:rPr>
      </w:pPr>
      <w:bookmarkStart w:id="808" w:name="_Toc75863439"/>
      <w:r>
        <w:rPr>
          <w:rStyle w:val="CharSectno"/>
        </w:rPr>
        <w:t>10</w:t>
      </w:r>
      <w:r>
        <w:rPr>
          <w:snapToGrid w:val="0"/>
        </w:rPr>
        <w:t>.</w:t>
      </w:r>
      <w:r>
        <w:rPr>
          <w:snapToGrid w:val="0"/>
        </w:rPr>
        <w:tab/>
        <w:t>Construction of written instruments</w:t>
      </w:r>
      <w:bookmarkEnd w:id="808"/>
    </w:p>
    <w:p w:rsidR="00425758" w:rsidRDefault="00425758">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rsidR="00425758" w:rsidRDefault="00425758">
      <w:pPr>
        <w:pStyle w:val="Heading5"/>
        <w:rPr>
          <w:snapToGrid w:val="0"/>
        </w:rPr>
      </w:pPr>
      <w:bookmarkStart w:id="809" w:name="_Toc75863440"/>
      <w:r>
        <w:rPr>
          <w:rStyle w:val="CharSectno"/>
        </w:rPr>
        <w:lastRenderedPageBreak/>
        <w:t>11</w:t>
      </w:r>
      <w:r>
        <w:rPr>
          <w:snapToGrid w:val="0"/>
        </w:rPr>
        <w:t>.</w:t>
      </w:r>
      <w:r>
        <w:rPr>
          <w:snapToGrid w:val="0"/>
        </w:rPr>
        <w:tab/>
        <w:t>Construction or validity of legislation</w:t>
      </w:r>
      <w:bookmarkEnd w:id="809"/>
    </w:p>
    <w:p w:rsidR="00425758" w:rsidRDefault="00425758">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rsidR="00425758" w:rsidRDefault="00425758">
      <w:pPr>
        <w:pStyle w:val="Subsection"/>
        <w:spacing w:before="150"/>
        <w:rPr>
          <w:snapToGrid w:val="0"/>
        </w:rPr>
      </w:pPr>
      <w:r>
        <w:rPr>
          <w:snapToGrid w:val="0"/>
        </w:rPr>
        <w:tab/>
        <w:t>(2)</w:t>
      </w:r>
      <w:r>
        <w:rPr>
          <w:snapToGrid w:val="0"/>
        </w:rPr>
        <w:tab/>
        <w:t>This rule is subject to any special statutory provision for the determination of any such matters.</w:t>
      </w:r>
    </w:p>
    <w:p w:rsidR="00425758" w:rsidRDefault="00425758">
      <w:pPr>
        <w:pStyle w:val="Heading5"/>
        <w:rPr>
          <w:snapToGrid w:val="0"/>
        </w:rPr>
      </w:pPr>
      <w:bookmarkStart w:id="810" w:name="_Toc75863441"/>
      <w:r>
        <w:rPr>
          <w:rStyle w:val="CharSectno"/>
        </w:rPr>
        <w:t>12</w:t>
      </w:r>
      <w:r>
        <w:rPr>
          <w:snapToGrid w:val="0"/>
        </w:rPr>
        <w:t>.</w:t>
      </w:r>
      <w:r>
        <w:rPr>
          <w:snapToGrid w:val="0"/>
        </w:rPr>
        <w:tab/>
        <w:t>Court may refuse to determine summons in some cases</w:t>
      </w:r>
      <w:bookmarkEnd w:id="810"/>
    </w:p>
    <w:p w:rsidR="00425758" w:rsidRDefault="00425758">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rsidR="00425758" w:rsidRDefault="00425758">
      <w:pPr>
        <w:pStyle w:val="Heading5"/>
        <w:rPr>
          <w:snapToGrid w:val="0"/>
        </w:rPr>
      </w:pPr>
      <w:bookmarkStart w:id="811" w:name="_Toc75863442"/>
      <w:r>
        <w:rPr>
          <w:rStyle w:val="CharSectno"/>
        </w:rPr>
        <w:t>13</w:t>
      </w:r>
      <w:r>
        <w:rPr>
          <w:snapToGrid w:val="0"/>
        </w:rPr>
        <w:t>.</w:t>
      </w:r>
      <w:r>
        <w:rPr>
          <w:snapToGrid w:val="0"/>
        </w:rPr>
        <w:tab/>
        <w:t>Effect of contracts for sale etc. of land</w:t>
      </w:r>
      <w:bookmarkEnd w:id="811"/>
    </w:p>
    <w:p w:rsidR="00425758" w:rsidRDefault="00425758">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rsidR="00425758" w:rsidRDefault="00425758">
      <w:pPr>
        <w:pStyle w:val="Heading3"/>
      </w:pPr>
      <w:bookmarkStart w:id="812" w:name="_Toc75512347"/>
      <w:bookmarkStart w:id="813" w:name="_Toc75863443"/>
      <w:r>
        <w:rPr>
          <w:rStyle w:val="CharDivNo"/>
        </w:rPr>
        <w:t>Division 5</w:t>
      </w:r>
      <w:r>
        <w:t> — </w:t>
      </w:r>
      <w:r>
        <w:rPr>
          <w:rStyle w:val="CharDivText"/>
        </w:rPr>
        <w:t>General</w:t>
      </w:r>
      <w:bookmarkEnd w:id="812"/>
      <w:bookmarkEnd w:id="813"/>
    </w:p>
    <w:p w:rsidR="00425758" w:rsidRDefault="00425758">
      <w:pPr>
        <w:pStyle w:val="Footnoteheading"/>
        <w:keepNext/>
      </w:pPr>
      <w:r>
        <w:tab/>
        <w:t xml:space="preserve">[Heading inserted: Gazette 22 Feb 2008 p. 638.] </w:t>
      </w:r>
    </w:p>
    <w:p w:rsidR="00425758" w:rsidRDefault="00425758">
      <w:pPr>
        <w:pStyle w:val="Heading5"/>
        <w:rPr>
          <w:snapToGrid w:val="0"/>
        </w:rPr>
      </w:pPr>
      <w:bookmarkStart w:id="814" w:name="_Toc75863444"/>
      <w:r>
        <w:rPr>
          <w:rStyle w:val="CharSectno"/>
        </w:rPr>
        <w:t>14</w:t>
      </w:r>
      <w:r>
        <w:rPr>
          <w:snapToGrid w:val="0"/>
        </w:rPr>
        <w:t>.</w:t>
      </w:r>
      <w:r>
        <w:rPr>
          <w:snapToGrid w:val="0"/>
        </w:rPr>
        <w:tab/>
        <w:t>Form and issue of originating summons</w:t>
      </w:r>
      <w:bookmarkEnd w:id="814"/>
    </w:p>
    <w:p w:rsidR="00425758" w:rsidRDefault="00425758">
      <w:pPr>
        <w:pStyle w:val="Subsection"/>
        <w:rPr>
          <w:snapToGrid w:val="0"/>
        </w:rPr>
      </w:pPr>
      <w:r>
        <w:rPr>
          <w:snapToGrid w:val="0"/>
        </w:rPr>
        <w:tab/>
        <w:t>(1)</w:t>
      </w:r>
      <w:r>
        <w:rPr>
          <w:snapToGrid w:val="0"/>
        </w:rPr>
        <w:tab/>
        <w:t xml:space="preserve">An originating summons must be in Form No. 74 or 75 as the case may require and must be prepared by the applicant or </w:t>
      </w:r>
      <w:r>
        <w:t>the applicant’s</w:t>
      </w:r>
      <w:r>
        <w:rPr>
          <w:snapToGrid w:val="0"/>
        </w:rPr>
        <w:t xml:space="preserve"> solicitor.</w:t>
      </w:r>
    </w:p>
    <w:p w:rsidR="00425758" w:rsidRDefault="00425758">
      <w:pPr>
        <w:pStyle w:val="Subsection"/>
        <w:rPr>
          <w:snapToGrid w:val="0"/>
        </w:rPr>
      </w:pPr>
      <w:r>
        <w:rPr>
          <w:snapToGrid w:val="0"/>
        </w:rPr>
        <w:lastRenderedPageBreak/>
        <w:tab/>
        <w:t>(2)</w:t>
      </w:r>
      <w:r>
        <w:rPr>
          <w:snapToGrid w:val="0"/>
        </w:rPr>
        <w:tab/>
        <w:t xml:space="preserve">The party taking out an originating summons </w:t>
      </w:r>
      <w:r>
        <w:t>must</w:t>
      </w:r>
      <w:r>
        <w:rPr>
          <w:snapToGrid w:val="0"/>
        </w:rPr>
        <w:t xml:space="preserve"> be described as a plaintiff, and the other parties </w:t>
      </w:r>
      <w:r>
        <w:t>must</w:t>
      </w:r>
      <w:r>
        <w:rPr>
          <w:snapToGrid w:val="0"/>
        </w:rPr>
        <w:t xml:space="preserve"> be described as defendants.</w:t>
      </w:r>
    </w:p>
    <w:p w:rsidR="00425758" w:rsidRDefault="00425758">
      <w:pPr>
        <w:pStyle w:val="Subsection"/>
        <w:rPr>
          <w:snapToGrid w:val="0"/>
        </w:rPr>
      </w:pPr>
      <w:r>
        <w:rPr>
          <w:snapToGrid w:val="0"/>
        </w:rPr>
        <w:tab/>
        <w:t>(3)</w:t>
      </w:r>
      <w:r>
        <w:rPr>
          <w:snapToGrid w:val="0"/>
        </w:rPr>
        <w:tab/>
        <w:t xml:space="preserve">Issue of an originating summons takes place upon its being sealed </w:t>
      </w:r>
      <w:r>
        <w:t>with the seal of the Court.</w:t>
      </w:r>
    </w:p>
    <w:p w:rsidR="00425758" w:rsidRDefault="00425758">
      <w:pPr>
        <w:pStyle w:val="Ednotesubsection"/>
      </w:pPr>
      <w:r>
        <w:tab/>
        <w:t>[(4)</w:t>
      </w:r>
      <w:r>
        <w:tab/>
        <w:t>deleted]</w:t>
      </w:r>
    </w:p>
    <w:p w:rsidR="00425758" w:rsidRDefault="00425758">
      <w:pPr>
        <w:pStyle w:val="Subsection"/>
        <w:rPr>
          <w:snapToGrid w:val="0"/>
        </w:rPr>
      </w:pPr>
      <w:r>
        <w:rPr>
          <w:snapToGrid w:val="0"/>
        </w:rPr>
        <w:tab/>
        <w:t>(5)</w:t>
      </w:r>
      <w:r>
        <w:rPr>
          <w:snapToGrid w:val="0"/>
        </w:rPr>
        <w:tab/>
        <w:t xml:space="preserve">An originating summons </w:t>
      </w:r>
      <w:r>
        <w:t>must</w:t>
      </w:r>
      <w:r>
        <w:rPr>
          <w:snapToGrid w:val="0"/>
        </w:rPr>
        <w:t xml:space="preserve"> be entitled in the matter of the Act (if any) and the section </w:t>
      </w:r>
      <w:r>
        <w:t xml:space="preserve">of the Act (if any), </w:t>
      </w:r>
      <w:r>
        <w:rPr>
          <w:snapToGrid w:val="0"/>
        </w:rPr>
        <w:t>under which the application is made and of the estate or trust, or of the property, person or matters, to which or to whom it relates.</w:t>
      </w:r>
    </w:p>
    <w:p w:rsidR="00425758" w:rsidRDefault="00425758">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rsidR="00425758" w:rsidRDefault="00425758">
      <w:pPr>
        <w:pStyle w:val="Footnotesection"/>
      </w:pPr>
      <w:r>
        <w:tab/>
        <w:t>[Rule 14 amended: SL 2020/242 r. 5(1)-(5).]</w:t>
      </w:r>
    </w:p>
    <w:p w:rsidR="00425758" w:rsidRDefault="00425758">
      <w:pPr>
        <w:pStyle w:val="Heading5"/>
        <w:rPr>
          <w:snapToGrid w:val="0"/>
        </w:rPr>
      </w:pPr>
      <w:bookmarkStart w:id="815" w:name="_Toc75863445"/>
      <w:r>
        <w:rPr>
          <w:rStyle w:val="CharSectno"/>
        </w:rPr>
        <w:t>15</w:t>
      </w:r>
      <w:r>
        <w:rPr>
          <w:snapToGrid w:val="0"/>
        </w:rPr>
        <w:t>.</w:t>
      </w:r>
      <w:r>
        <w:rPr>
          <w:snapToGrid w:val="0"/>
        </w:rPr>
        <w:tab/>
        <w:t>Order 7 applies to originating summons</w:t>
      </w:r>
      <w:bookmarkEnd w:id="815"/>
    </w:p>
    <w:p w:rsidR="00425758" w:rsidRDefault="00425758">
      <w:pPr>
        <w:pStyle w:val="Subsection"/>
        <w:rPr>
          <w:snapToGrid w:val="0"/>
        </w:rPr>
      </w:pPr>
      <w:r>
        <w:rPr>
          <w:snapToGrid w:val="0"/>
        </w:rPr>
        <w:tab/>
      </w:r>
      <w:r>
        <w:rPr>
          <w:snapToGrid w:val="0"/>
        </w:rPr>
        <w:tab/>
        <w:t>Order 7 applies in relation to an originating summons as it applies in relation to a writ.</w:t>
      </w:r>
    </w:p>
    <w:p w:rsidR="00425758" w:rsidRDefault="00425758">
      <w:pPr>
        <w:pStyle w:val="Heading5"/>
        <w:rPr>
          <w:snapToGrid w:val="0"/>
        </w:rPr>
      </w:pPr>
      <w:bookmarkStart w:id="816" w:name="_Toc75863446"/>
      <w:r>
        <w:rPr>
          <w:rStyle w:val="CharSectno"/>
        </w:rPr>
        <w:t>16</w:t>
      </w:r>
      <w:r>
        <w:rPr>
          <w:snapToGrid w:val="0"/>
        </w:rPr>
        <w:t>.</w:t>
      </w:r>
      <w:r>
        <w:rPr>
          <w:snapToGrid w:val="0"/>
        </w:rPr>
        <w:tab/>
        <w:t>Time for appearance</w:t>
      </w:r>
      <w:bookmarkEnd w:id="816"/>
    </w:p>
    <w:p w:rsidR="00425758" w:rsidRDefault="00425758">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rsidR="00425758" w:rsidRDefault="00425758">
      <w:pPr>
        <w:pStyle w:val="Footnotesection"/>
      </w:pPr>
      <w:r>
        <w:tab/>
        <w:t xml:space="preserve">[Rule 16 inserted: Gazette 3 Oct 1975 p. 3769.] </w:t>
      </w:r>
    </w:p>
    <w:p w:rsidR="00425758" w:rsidRDefault="00425758">
      <w:pPr>
        <w:pStyle w:val="Heading5"/>
        <w:rPr>
          <w:snapToGrid w:val="0"/>
        </w:rPr>
      </w:pPr>
      <w:bookmarkStart w:id="817" w:name="_Toc75863447"/>
      <w:r>
        <w:rPr>
          <w:rStyle w:val="CharSectno"/>
        </w:rPr>
        <w:t>17</w:t>
      </w:r>
      <w:r>
        <w:rPr>
          <w:snapToGrid w:val="0"/>
        </w:rPr>
        <w:t>.</w:t>
      </w:r>
      <w:r>
        <w:rPr>
          <w:snapToGrid w:val="0"/>
        </w:rPr>
        <w:tab/>
        <w:t>Entry of appearance</w:t>
      </w:r>
      <w:bookmarkEnd w:id="817"/>
    </w:p>
    <w:p w:rsidR="00425758" w:rsidRDefault="00425758">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rsidR="00425758" w:rsidRDefault="00425758">
      <w:pPr>
        <w:pStyle w:val="Subsection"/>
        <w:keepNext/>
        <w:rPr>
          <w:snapToGrid w:val="0"/>
        </w:rPr>
      </w:pPr>
      <w:r>
        <w:rPr>
          <w:snapToGrid w:val="0"/>
        </w:rPr>
        <w:lastRenderedPageBreak/>
        <w:tab/>
        <w:t>(2)</w:t>
      </w:r>
      <w:r>
        <w:rPr>
          <w:snapToGrid w:val="0"/>
        </w:rPr>
        <w:tab/>
        <w:t>A party served with an originating summons may appear at any time before the hearing of the summons.</w:t>
      </w:r>
    </w:p>
    <w:p w:rsidR="00425758" w:rsidRDefault="00425758">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rsidR="00425758" w:rsidRDefault="00425758">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rsidR="00425758" w:rsidRDefault="00425758">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rsidR="00425758" w:rsidRDefault="00425758">
      <w:pPr>
        <w:pStyle w:val="Heading5"/>
        <w:rPr>
          <w:snapToGrid w:val="0"/>
        </w:rPr>
      </w:pPr>
      <w:bookmarkStart w:id="818" w:name="_Toc75863448"/>
      <w:r>
        <w:rPr>
          <w:rStyle w:val="CharSectno"/>
        </w:rPr>
        <w:t>18</w:t>
      </w:r>
      <w:r>
        <w:rPr>
          <w:snapToGrid w:val="0"/>
        </w:rPr>
        <w:t>.</w:t>
      </w:r>
      <w:r>
        <w:rPr>
          <w:snapToGrid w:val="0"/>
        </w:rPr>
        <w:tab/>
        <w:t>When appearance not required</w:t>
      </w:r>
      <w:bookmarkEnd w:id="818"/>
    </w:p>
    <w:p w:rsidR="00425758" w:rsidRDefault="00425758">
      <w:pPr>
        <w:pStyle w:val="Subsection"/>
        <w:rPr>
          <w:snapToGrid w:val="0"/>
        </w:rPr>
      </w:pPr>
      <w:r>
        <w:rPr>
          <w:snapToGrid w:val="0"/>
        </w:rPr>
        <w:tab/>
      </w:r>
      <w:r>
        <w:rPr>
          <w:snapToGrid w:val="0"/>
        </w:rPr>
        <w:tab/>
        <w:t>A respondent shall not be required to enter an appearance to an originating summons — </w:t>
      </w:r>
    </w:p>
    <w:p w:rsidR="00425758" w:rsidRDefault="00425758">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rsidR="00425758" w:rsidRDefault="00425758">
      <w:pPr>
        <w:pStyle w:val="Ednotepara"/>
        <w:rPr>
          <w:snapToGrid w:val="0"/>
        </w:rPr>
      </w:pPr>
      <w:r>
        <w:rPr>
          <w:snapToGrid w:val="0"/>
        </w:rPr>
        <w:tab/>
        <w:t>[(b)</w:t>
      </w:r>
      <w:r>
        <w:rPr>
          <w:snapToGrid w:val="0"/>
        </w:rPr>
        <w:tab/>
        <w:t>deleted]</w:t>
      </w:r>
    </w:p>
    <w:p w:rsidR="00425758" w:rsidRDefault="00425758">
      <w:pPr>
        <w:pStyle w:val="Indenta"/>
        <w:rPr>
          <w:snapToGrid w:val="0"/>
        </w:rPr>
      </w:pPr>
      <w:r>
        <w:rPr>
          <w:snapToGrid w:val="0"/>
        </w:rPr>
        <w:tab/>
        <w:t>(c)</w:t>
      </w:r>
      <w:r>
        <w:rPr>
          <w:snapToGrid w:val="0"/>
        </w:rPr>
        <w:tab/>
        <w:t>under Order 17 for interpleader relief; or</w:t>
      </w:r>
    </w:p>
    <w:p w:rsidR="00425758" w:rsidRDefault="00425758">
      <w:pPr>
        <w:pStyle w:val="Indenta"/>
        <w:rPr>
          <w:snapToGrid w:val="0"/>
        </w:rPr>
      </w:pPr>
      <w:r>
        <w:rPr>
          <w:snapToGrid w:val="0"/>
        </w:rPr>
        <w:tab/>
        <w:t>(d)</w:t>
      </w:r>
      <w:r>
        <w:rPr>
          <w:snapToGrid w:val="0"/>
        </w:rPr>
        <w:tab/>
        <w:t>for an extension of time or for leave to institute an appeal or other proceeding; or</w:t>
      </w:r>
    </w:p>
    <w:p w:rsidR="00425758" w:rsidRDefault="00425758">
      <w:pPr>
        <w:pStyle w:val="Indenta"/>
        <w:rPr>
          <w:snapToGrid w:val="0"/>
        </w:rPr>
      </w:pPr>
      <w:r>
        <w:rPr>
          <w:snapToGrid w:val="0"/>
        </w:rPr>
        <w:tab/>
        <w:t>(e)</w:t>
      </w:r>
      <w:r>
        <w:rPr>
          <w:snapToGrid w:val="0"/>
        </w:rPr>
        <w:tab/>
        <w:t>to transfer an appeal or other proceeding from another court; or</w:t>
      </w:r>
    </w:p>
    <w:p w:rsidR="00425758" w:rsidRDefault="00425758">
      <w:pPr>
        <w:pStyle w:val="Indenta"/>
        <w:rPr>
          <w:snapToGrid w:val="0"/>
        </w:rPr>
      </w:pPr>
      <w:r>
        <w:rPr>
          <w:snapToGrid w:val="0"/>
        </w:rPr>
        <w:tab/>
        <w:t>(f)</w:t>
      </w:r>
      <w:r>
        <w:rPr>
          <w:snapToGrid w:val="0"/>
        </w:rPr>
        <w:tab/>
        <w:t>in any other case where it is so provided by these rules.</w:t>
      </w:r>
    </w:p>
    <w:p w:rsidR="00425758" w:rsidRDefault="00425758">
      <w:pPr>
        <w:pStyle w:val="Footnotesection"/>
      </w:pPr>
      <w:r>
        <w:tab/>
        <w:t xml:space="preserve">[Rule 18 amended: Gazette 13 Oct 1978 p. 3701; 20 Jun 1986 p. 2040; 13 Nov 2015 p. 4646.] </w:t>
      </w:r>
    </w:p>
    <w:p w:rsidR="00425758" w:rsidRDefault="00425758">
      <w:pPr>
        <w:pStyle w:val="Heading5"/>
        <w:rPr>
          <w:snapToGrid w:val="0"/>
        </w:rPr>
      </w:pPr>
      <w:bookmarkStart w:id="819" w:name="_Toc75863449"/>
      <w:r>
        <w:rPr>
          <w:rStyle w:val="CharSectno"/>
        </w:rPr>
        <w:lastRenderedPageBreak/>
        <w:t>18A</w:t>
      </w:r>
      <w:r>
        <w:rPr>
          <w:snapToGrid w:val="0"/>
        </w:rPr>
        <w:t>.</w:t>
      </w:r>
      <w:r>
        <w:rPr>
          <w:snapToGrid w:val="0"/>
        </w:rPr>
        <w:tab/>
        <w:t>Time for service where appearance not required</w:t>
      </w:r>
      <w:bookmarkEnd w:id="819"/>
      <w:r>
        <w:rPr>
          <w:snapToGrid w:val="0"/>
        </w:rPr>
        <w:t xml:space="preserve"> </w:t>
      </w:r>
    </w:p>
    <w:p w:rsidR="00425758" w:rsidRDefault="00425758">
      <w:pPr>
        <w:pStyle w:val="Subsection"/>
        <w:keepNext/>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rsidR="00425758" w:rsidRDefault="00425758">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rsidR="00425758" w:rsidRDefault="00425758">
      <w:pPr>
        <w:pStyle w:val="Footnotesection"/>
      </w:pPr>
      <w:r>
        <w:tab/>
        <w:t xml:space="preserve">[Rule 18A inserted: Gazette 3 Oct 1975 p. 3770.] </w:t>
      </w:r>
    </w:p>
    <w:p w:rsidR="00425758" w:rsidRDefault="00425758">
      <w:pPr>
        <w:pStyle w:val="Heading5"/>
        <w:rPr>
          <w:snapToGrid w:val="0"/>
        </w:rPr>
      </w:pPr>
      <w:bookmarkStart w:id="820" w:name="_Toc75863450"/>
      <w:r>
        <w:rPr>
          <w:rStyle w:val="CharSectno"/>
        </w:rPr>
        <w:t>19</w:t>
      </w:r>
      <w:r>
        <w:rPr>
          <w:snapToGrid w:val="0"/>
        </w:rPr>
        <w:t>.</w:t>
      </w:r>
      <w:r>
        <w:rPr>
          <w:snapToGrid w:val="0"/>
        </w:rPr>
        <w:tab/>
        <w:t>Fixing time for hearing summons</w:t>
      </w:r>
      <w:bookmarkEnd w:id="820"/>
    </w:p>
    <w:p w:rsidR="00425758" w:rsidRDefault="00425758">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xml:space="preserve">, obtain an appointment for the attendance of the parties for the hearing of the summons and a day and </w:t>
      </w:r>
      <w:r>
        <w:t>time must be fixed by a notice in Form 76 which must be sealed with the seal of the Court.</w:t>
      </w:r>
    </w:p>
    <w:p w:rsidR="00425758" w:rsidRDefault="00425758">
      <w:pPr>
        <w:pStyle w:val="Subsection"/>
      </w:pPr>
      <w:r>
        <w:tab/>
        <w:t>(2)</w:t>
      </w:r>
      <w:r>
        <w:tab/>
        <w:t xml:space="preserve">The plaintiff must not apply for an appointment under subrule (1) unless — </w:t>
      </w:r>
    </w:p>
    <w:p w:rsidR="00425758" w:rsidRDefault="00425758">
      <w:pPr>
        <w:pStyle w:val="Indenta"/>
      </w:pPr>
      <w:r>
        <w:tab/>
        <w:t>(a)</w:t>
      </w:r>
      <w:r>
        <w:tab/>
        <w:t xml:space="preserve">the plaintiff is ready to proceed; and </w:t>
      </w:r>
    </w:p>
    <w:p w:rsidR="00425758" w:rsidRDefault="00425758">
      <w:pPr>
        <w:pStyle w:val="Indenta"/>
      </w:pPr>
      <w:r>
        <w:tab/>
        <w:t>(b)</w:t>
      </w:r>
      <w:r>
        <w:tab/>
        <w:t>as far as is known to the plaintiff, the matter is ready for hearing.</w:t>
      </w:r>
    </w:p>
    <w:p w:rsidR="00425758" w:rsidRDefault="00425758">
      <w:pPr>
        <w:pStyle w:val="Subsection"/>
      </w:pPr>
      <w:r>
        <w:tab/>
        <w:t>(3)</w:t>
      </w:r>
      <w:r>
        <w:tab/>
        <w:t xml:space="preserve">Unless the Court orders otherwise, at least 14 days before the time fixed for the hearing of the originating summons, the plaintiff must serve upon each defendant who has entered an appearance a copy of — </w:t>
      </w:r>
    </w:p>
    <w:p w:rsidR="00425758" w:rsidRDefault="00425758">
      <w:pPr>
        <w:pStyle w:val="Indenta"/>
      </w:pPr>
      <w:r>
        <w:tab/>
        <w:t>(a)</w:t>
      </w:r>
      <w:r>
        <w:tab/>
        <w:t xml:space="preserve">the notice in Form 76; and </w:t>
      </w:r>
    </w:p>
    <w:p w:rsidR="00425758" w:rsidRDefault="00425758">
      <w:pPr>
        <w:pStyle w:val="Indenta"/>
      </w:pPr>
      <w:r>
        <w:tab/>
        <w:t>(b)</w:t>
      </w:r>
      <w:r>
        <w:tab/>
        <w:t>each affidavit in support, not being an affidavit in reply to an affidavit filed by a defendant.</w:t>
      </w:r>
    </w:p>
    <w:p w:rsidR="00425758" w:rsidRDefault="00425758">
      <w:pPr>
        <w:pStyle w:val="Subsection"/>
      </w:pPr>
      <w:r>
        <w:lastRenderedPageBreak/>
        <w:tab/>
        <w:t>(4)</w:t>
      </w:r>
      <w:r>
        <w:tab/>
        <w:t xml:space="preserve">If a plaintiff has not applied for an appointment under subrule (1) — </w:t>
      </w:r>
    </w:p>
    <w:p w:rsidR="00425758" w:rsidRDefault="00425758">
      <w:pPr>
        <w:pStyle w:val="Indenta"/>
      </w:pPr>
      <w:r>
        <w:tab/>
        <w:t>(a)</w:t>
      </w:r>
      <w:r>
        <w:tab/>
        <w:t>a defendant who has entered an appearance may, with the leave of the Court, and on any terms that the Court may order, obtain an appointment for the hearing of the originating summons fixed by a notice in Form 76 which must be sealed with the seal of the Court; and</w:t>
      </w:r>
    </w:p>
    <w:p w:rsidR="00425758" w:rsidRDefault="00425758">
      <w:pPr>
        <w:pStyle w:val="Indenta"/>
      </w:pPr>
      <w:r>
        <w:tab/>
        <w:t>(b)</w:t>
      </w:r>
      <w:r>
        <w:tab/>
        <w:t>a defendant who obtains an appointment under paragraph (a) must, unless the Court orders otherwise, at least 14 days before the time fixed for the hearing, serve a copy of the notice in Form 76 on the plaintiff and every other party who has entered an appearance.</w:t>
      </w:r>
    </w:p>
    <w:p w:rsidR="00425758" w:rsidRDefault="00425758">
      <w:pPr>
        <w:pStyle w:val="Ednotesubsection"/>
      </w:pPr>
      <w:r>
        <w:tab/>
        <w:t>[(5), (6)</w:t>
      </w:r>
      <w:r>
        <w:tab/>
        <w:t>deleted]</w:t>
      </w:r>
    </w:p>
    <w:p w:rsidR="00425758" w:rsidRDefault="00425758">
      <w:pPr>
        <w:pStyle w:val="Footnotesection"/>
      </w:pPr>
      <w:r>
        <w:tab/>
        <w:t>[Rule 19 inserted: Gazette 3 Oct 1975 p. 3770; amended: Gazette 28 Jun 2011 p. 2552</w:t>
      </w:r>
      <w:r>
        <w:noBreakHyphen/>
        <w:t>3; 16 Aug 2017 p. 4416</w:t>
      </w:r>
      <w:r>
        <w:noBreakHyphen/>
        <w:t xml:space="preserve">17; SL 2020/242 r. 5(6) and (7).] </w:t>
      </w:r>
    </w:p>
    <w:p w:rsidR="00425758" w:rsidRDefault="00425758">
      <w:pPr>
        <w:pStyle w:val="Ednotesection"/>
      </w:pPr>
      <w:r>
        <w:t>[</w:t>
      </w:r>
      <w:r>
        <w:rPr>
          <w:b/>
        </w:rPr>
        <w:t>20.</w:t>
      </w:r>
      <w:r>
        <w:tab/>
        <w:t>Deleted: Gazette 16 Aug 2017 p. 4417</w:t>
      </w:r>
    </w:p>
    <w:p w:rsidR="00425758" w:rsidRDefault="00425758">
      <w:pPr>
        <w:pStyle w:val="Heading5"/>
        <w:rPr>
          <w:snapToGrid w:val="0"/>
        </w:rPr>
      </w:pPr>
      <w:bookmarkStart w:id="821" w:name="_Toc75863451"/>
      <w:r>
        <w:rPr>
          <w:rStyle w:val="CharSectno"/>
        </w:rPr>
        <w:t>21</w:t>
      </w:r>
      <w:r>
        <w:rPr>
          <w:snapToGrid w:val="0"/>
        </w:rPr>
        <w:t>.</w:t>
      </w:r>
      <w:r>
        <w:rPr>
          <w:snapToGrid w:val="0"/>
        </w:rPr>
        <w:tab/>
        <w:t>Evidence at hearing to be by affidavit</w:t>
      </w:r>
      <w:bookmarkEnd w:id="821"/>
    </w:p>
    <w:p w:rsidR="00425758" w:rsidRDefault="00425758">
      <w:pPr>
        <w:pStyle w:val="Subsection"/>
        <w:rPr>
          <w:snapToGrid w:val="0"/>
        </w:rPr>
      </w:pPr>
      <w:r>
        <w:rPr>
          <w:snapToGrid w:val="0"/>
        </w:rPr>
        <w:tab/>
      </w:r>
      <w:r>
        <w:rPr>
          <w:snapToGrid w:val="0"/>
        </w:rPr>
        <w:tab/>
        <w:t>Unless the Court otherwise orders, evidence at the hearing of an originating summons shall be adduced by affidavit.</w:t>
      </w:r>
    </w:p>
    <w:p w:rsidR="00425758" w:rsidRDefault="00425758">
      <w:pPr>
        <w:pStyle w:val="Footnotesection"/>
      </w:pPr>
      <w:r>
        <w:tab/>
        <w:t xml:space="preserve">[Rule 21 inserted: Gazette 3 Oct 1975 p. 3770.] </w:t>
      </w:r>
    </w:p>
    <w:p w:rsidR="00425758" w:rsidRDefault="00425758">
      <w:pPr>
        <w:pStyle w:val="Heading5"/>
        <w:rPr>
          <w:snapToGrid w:val="0"/>
        </w:rPr>
      </w:pPr>
      <w:bookmarkStart w:id="822" w:name="_Toc75863452"/>
      <w:r>
        <w:rPr>
          <w:rStyle w:val="CharSectno"/>
        </w:rPr>
        <w:t>22</w:t>
      </w:r>
      <w:r>
        <w:rPr>
          <w:snapToGrid w:val="0"/>
        </w:rPr>
        <w:t>.</w:t>
      </w:r>
      <w:r>
        <w:rPr>
          <w:snapToGrid w:val="0"/>
        </w:rPr>
        <w:tab/>
        <w:t>Hearings in absence of party</w:t>
      </w:r>
      <w:bookmarkEnd w:id="822"/>
    </w:p>
    <w:p w:rsidR="00425758" w:rsidRDefault="00425758">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rsidR="00425758" w:rsidRDefault="00425758">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rsidR="00425758" w:rsidRDefault="00425758">
      <w:pPr>
        <w:pStyle w:val="Subsection"/>
        <w:rPr>
          <w:snapToGrid w:val="0"/>
        </w:rPr>
      </w:pPr>
      <w:r>
        <w:rPr>
          <w:snapToGrid w:val="0"/>
        </w:rPr>
        <w:lastRenderedPageBreak/>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rsidR="00425758" w:rsidRDefault="00425758">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rsidR="00425758" w:rsidRDefault="00425758">
      <w:pPr>
        <w:pStyle w:val="Heading5"/>
        <w:rPr>
          <w:snapToGrid w:val="0"/>
        </w:rPr>
      </w:pPr>
      <w:bookmarkStart w:id="823" w:name="_Toc75863453"/>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823"/>
    </w:p>
    <w:p w:rsidR="00425758" w:rsidRDefault="00425758">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rsidR="00425758" w:rsidRDefault="00425758">
      <w:pPr>
        <w:pStyle w:val="Heading5"/>
        <w:rPr>
          <w:snapToGrid w:val="0"/>
        </w:rPr>
      </w:pPr>
      <w:bookmarkStart w:id="824" w:name="_Toc75863454"/>
      <w:r>
        <w:rPr>
          <w:rStyle w:val="CharSectno"/>
        </w:rPr>
        <w:t>24</w:t>
      </w:r>
      <w:r>
        <w:rPr>
          <w:snapToGrid w:val="0"/>
        </w:rPr>
        <w:t>.</w:t>
      </w:r>
      <w:r>
        <w:rPr>
          <w:snapToGrid w:val="0"/>
        </w:rPr>
        <w:tab/>
        <w:t>Costs thrown away by non</w:t>
      </w:r>
      <w:r>
        <w:rPr>
          <w:snapToGrid w:val="0"/>
        </w:rPr>
        <w:noBreakHyphen/>
        <w:t>attendance of party</w:t>
      </w:r>
      <w:bookmarkEnd w:id="824"/>
    </w:p>
    <w:p w:rsidR="00425758" w:rsidRDefault="00425758">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rsidR="00425758" w:rsidRDefault="00425758">
      <w:pPr>
        <w:pStyle w:val="Footnotesection"/>
      </w:pPr>
      <w:r>
        <w:tab/>
        <w:t xml:space="preserve">[Rule 24 amended: Gazette 9 Nov 1973 p. 4165.] </w:t>
      </w:r>
    </w:p>
    <w:p w:rsidR="00425758" w:rsidRDefault="00425758">
      <w:pPr>
        <w:pStyle w:val="Heading5"/>
        <w:rPr>
          <w:snapToGrid w:val="0"/>
        </w:rPr>
      </w:pPr>
      <w:bookmarkStart w:id="825" w:name="_Toc75863455"/>
      <w:r>
        <w:rPr>
          <w:rStyle w:val="CharSectno"/>
        </w:rPr>
        <w:t>25</w:t>
      </w:r>
      <w:r>
        <w:rPr>
          <w:snapToGrid w:val="0"/>
        </w:rPr>
        <w:t>.</w:t>
      </w:r>
      <w:r>
        <w:rPr>
          <w:snapToGrid w:val="0"/>
        </w:rPr>
        <w:tab/>
        <w:t>Hearings not completed on hearing date</w:t>
      </w:r>
      <w:bookmarkEnd w:id="825"/>
    </w:p>
    <w:p w:rsidR="00425758" w:rsidRDefault="00425758">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rsidR="00425758" w:rsidRDefault="00425758">
      <w:pPr>
        <w:pStyle w:val="Heading5"/>
        <w:rPr>
          <w:snapToGrid w:val="0"/>
        </w:rPr>
      </w:pPr>
      <w:bookmarkStart w:id="826" w:name="_Toc75863456"/>
      <w:r>
        <w:rPr>
          <w:rStyle w:val="CharSectno"/>
        </w:rPr>
        <w:t>26</w:t>
      </w:r>
      <w:r>
        <w:rPr>
          <w:snapToGrid w:val="0"/>
        </w:rPr>
        <w:t>.</w:t>
      </w:r>
      <w:r>
        <w:rPr>
          <w:snapToGrid w:val="0"/>
        </w:rPr>
        <w:tab/>
        <w:t>Other matters that may be included in one summons</w:t>
      </w:r>
      <w:bookmarkEnd w:id="826"/>
    </w:p>
    <w:p w:rsidR="00425758" w:rsidRDefault="00425758">
      <w:pPr>
        <w:pStyle w:val="Subsection"/>
        <w:rPr>
          <w:snapToGrid w:val="0"/>
        </w:rPr>
      </w:pPr>
      <w:r>
        <w:rPr>
          <w:snapToGrid w:val="0"/>
        </w:rPr>
        <w:tab/>
      </w:r>
      <w:r>
        <w:rPr>
          <w:snapToGrid w:val="0"/>
        </w:rPr>
        <w:tab/>
        <w:t xml:space="preserve">In every cause or matter where any party thereto makes any application at chambers, either by way of originating summons, summons or otherwise, he shall be at liberty to include in one and the same application all matters upon which he then desires </w:t>
      </w:r>
      <w:r>
        <w:rPr>
          <w:snapToGrid w:val="0"/>
        </w:rPr>
        <w:lastRenderedPageBreak/>
        <w:t>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rsidR="00425758" w:rsidRDefault="00425758">
      <w:pPr>
        <w:pStyle w:val="Footnotesection"/>
      </w:pPr>
      <w:r>
        <w:tab/>
        <w:t xml:space="preserve">[Rule 26 amended: Gazette 9 Nov 1973 p. 4165.] </w:t>
      </w:r>
    </w:p>
    <w:p w:rsidR="00425758" w:rsidRDefault="00425758">
      <w:pPr>
        <w:pStyle w:val="Heading5"/>
        <w:rPr>
          <w:snapToGrid w:val="0"/>
        </w:rPr>
      </w:pPr>
      <w:bookmarkStart w:id="827" w:name="_Toc75863457"/>
      <w:r>
        <w:rPr>
          <w:rStyle w:val="CharSectno"/>
        </w:rPr>
        <w:t>27</w:t>
      </w:r>
      <w:r>
        <w:rPr>
          <w:snapToGrid w:val="0"/>
        </w:rPr>
        <w:t>.</w:t>
      </w:r>
      <w:r>
        <w:rPr>
          <w:snapToGrid w:val="0"/>
        </w:rPr>
        <w:tab/>
        <w:t>Directions as to hearings, evidence etc.</w:t>
      </w:r>
      <w:bookmarkEnd w:id="827"/>
    </w:p>
    <w:p w:rsidR="00425758" w:rsidRDefault="00425758">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rsidR="00425758" w:rsidRDefault="00425758">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rsidR="00425758" w:rsidRDefault="00425758">
      <w:pPr>
        <w:pStyle w:val="Heading5"/>
        <w:rPr>
          <w:snapToGrid w:val="0"/>
        </w:rPr>
      </w:pPr>
      <w:bookmarkStart w:id="828" w:name="_Toc75863458"/>
      <w:r>
        <w:rPr>
          <w:rStyle w:val="CharSectno"/>
        </w:rPr>
        <w:t>28</w:t>
      </w:r>
      <w:r>
        <w:rPr>
          <w:snapToGrid w:val="0"/>
        </w:rPr>
        <w:t>.</w:t>
      </w:r>
      <w:r>
        <w:rPr>
          <w:snapToGrid w:val="0"/>
        </w:rPr>
        <w:tab/>
        <w:t>Adjourning hearings</w:t>
      </w:r>
      <w:bookmarkEnd w:id="828"/>
    </w:p>
    <w:p w:rsidR="00425758" w:rsidRDefault="00425758">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rsidR="00425758" w:rsidRDefault="00425758">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rsidR="00425758" w:rsidRDefault="00425758">
      <w:pPr>
        <w:pStyle w:val="Subsection"/>
        <w:rPr>
          <w:snapToGrid w:val="0"/>
        </w:rPr>
      </w:pPr>
      <w:r>
        <w:rPr>
          <w:snapToGrid w:val="0"/>
        </w:rPr>
        <w:lastRenderedPageBreak/>
        <w:tab/>
        <w:t>(3)</w:t>
      </w:r>
      <w:r>
        <w:rPr>
          <w:snapToGrid w:val="0"/>
        </w:rPr>
        <w:tab/>
        <w:t xml:space="preserve">Notice under </w:t>
      </w:r>
      <w:r>
        <w:t>subrule</w:t>
      </w:r>
      <w:r>
        <w:rPr>
          <w:snapToGrid w:val="0"/>
        </w:rPr>
        <w:t> (2) need not be given to a party who is in default as to appearance.</w:t>
      </w:r>
    </w:p>
    <w:p w:rsidR="00425758" w:rsidRDefault="00425758">
      <w:pPr>
        <w:pStyle w:val="Footnotesection"/>
      </w:pPr>
      <w:r>
        <w:tab/>
        <w:t xml:space="preserve">[Rule 28 amended: Gazette 3 Oct 1975 p. 3771; 28 Jun 2011 p. 2552.] </w:t>
      </w:r>
    </w:p>
    <w:p w:rsidR="00425758" w:rsidRDefault="00425758">
      <w:pPr>
        <w:pStyle w:val="Heading5"/>
        <w:rPr>
          <w:snapToGrid w:val="0"/>
        </w:rPr>
      </w:pPr>
      <w:bookmarkStart w:id="829" w:name="_Toc75863459"/>
      <w:r>
        <w:rPr>
          <w:rStyle w:val="CharSectno"/>
        </w:rPr>
        <w:t>29</w:t>
      </w:r>
      <w:r>
        <w:rPr>
          <w:snapToGrid w:val="0"/>
        </w:rPr>
        <w:t>.</w:t>
      </w:r>
      <w:r>
        <w:rPr>
          <w:snapToGrid w:val="0"/>
        </w:rPr>
        <w:tab/>
        <w:t>Court’s powers and procedure at hearings</w:t>
      </w:r>
      <w:bookmarkEnd w:id="829"/>
    </w:p>
    <w:p w:rsidR="00425758" w:rsidRDefault="00425758">
      <w:pPr>
        <w:pStyle w:val="Subsection"/>
        <w:keepNext/>
        <w:rPr>
          <w:snapToGrid w:val="0"/>
        </w:rPr>
      </w:pPr>
      <w:r>
        <w:rPr>
          <w:snapToGrid w:val="0"/>
        </w:rPr>
        <w:tab/>
      </w:r>
      <w:r>
        <w:rPr>
          <w:snapToGrid w:val="0"/>
        </w:rPr>
        <w:tab/>
        <w:t>Upon every application by originating summons — </w:t>
      </w:r>
    </w:p>
    <w:p w:rsidR="00425758" w:rsidRDefault="00425758">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rsidR="00425758" w:rsidRDefault="00425758">
      <w:pPr>
        <w:pStyle w:val="Indenta"/>
        <w:rPr>
          <w:snapToGrid w:val="0"/>
        </w:rPr>
      </w:pPr>
      <w:r>
        <w:rPr>
          <w:snapToGrid w:val="0"/>
        </w:rPr>
        <w:tab/>
        <w:t>(b)</w:t>
      </w:r>
      <w:r>
        <w:rPr>
          <w:snapToGrid w:val="0"/>
        </w:rPr>
        <w:tab/>
        <w:t>the Court may appoint representative defendants;</w:t>
      </w:r>
    </w:p>
    <w:p w:rsidR="00425758" w:rsidRDefault="00425758">
      <w:pPr>
        <w:pStyle w:val="Indenta"/>
        <w:rPr>
          <w:snapToGrid w:val="0"/>
        </w:rPr>
      </w:pPr>
      <w:r>
        <w:rPr>
          <w:snapToGrid w:val="0"/>
        </w:rPr>
        <w:tab/>
        <w:t>(c)</w:t>
      </w:r>
      <w:r>
        <w:rPr>
          <w:snapToGrid w:val="0"/>
        </w:rPr>
        <w:tab/>
        <w:t>all persons served shall be entitled to adduce evidence either for or against the application;</w:t>
      </w:r>
    </w:p>
    <w:p w:rsidR="00425758" w:rsidRDefault="00425758">
      <w:pPr>
        <w:pStyle w:val="Indenta"/>
        <w:rPr>
          <w:snapToGrid w:val="0"/>
        </w:rPr>
      </w:pPr>
      <w:r>
        <w:rPr>
          <w:snapToGrid w:val="0"/>
        </w:rPr>
        <w:tab/>
        <w:t>(d)</w:t>
      </w:r>
      <w:r>
        <w:rPr>
          <w:snapToGrid w:val="0"/>
        </w:rPr>
        <w:tab/>
        <w:t>directions may be given as the Court thinks just for the trial of any questions arising out of the evidence;</w:t>
      </w:r>
    </w:p>
    <w:p w:rsidR="00425758" w:rsidRDefault="00425758">
      <w:pPr>
        <w:pStyle w:val="Indenta"/>
        <w:rPr>
          <w:snapToGrid w:val="0"/>
        </w:rPr>
      </w:pPr>
      <w:r>
        <w:rPr>
          <w:snapToGrid w:val="0"/>
        </w:rPr>
        <w:tab/>
        <w:t>(e)</w:t>
      </w:r>
      <w:r>
        <w:rPr>
          <w:snapToGrid w:val="0"/>
        </w:rPr>
        <w:tab/>
        <w:t>it shall be lawful for the Court upon such summons to pronounce such judgment as the nature of the case may require;</w:t>
      </w:r>
    </w:p>
    <w:p w:rsidR="00425758" w:rsidRDefault="00425758">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rsidR="00425758" w:rsidRDefault="00425758">
      <w:pPr>
        <w:pStyle w:val="Heading5"/>
        <w:rPr>
          <w:snapToGrid w:val="0"/>
        </w:rPr>
      </w:pPr>
      <w:bookmarkStart w:id="830" w:name="_Toc75863460"/>
      <w:r>
        <w:rPr>
          <w:rStyle w:val="CharSectno"/>
        </w:rPr>
        <w:t>30</w:t>
      </w:r>
      <w:r>
        <w:rPr>
          <w:snapToGrid w:val="0"/>
        </w:rPr>
        <w:t>.</w:t>
      </w:r>
      <w:r>
        <w:rPr>
          <w:snapToGrid w:val="0"/>
        </w:rPr>
        <w:tab/>
      </w:r>
      <w:r>
        <w:rPr>
          <w:i/>
          <w:snapToGrid w:val="0"/>
        </w:rPr>
        <w:t xml:space="preserve">Transfer of Land Act 1893 </w:t>
      </w:r>
      <w:r>
        <w:rPr>
          <w:snapToGrid w:val="0"/>
        </w:rPr>
        <w:t>s. 129C applications, directions as to</w:t>
      </w:r>
      <w:bookmarkEnd w:id="830"/>
    </w:p>
    <w:p w:rsidR="00425758" w:rsidRDefault="00425758">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rsidR="00425758" w:rsidRDefault="00425758">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rsidR="00425758" w:rsidRDefault="00425758">
      <w:pPr>
        <w:pStyle w:val="Indenta"/>
        <w:rPr>
          <w:snapToGrid w:val="0"/>
        </w:rPr>
      </w:pPr>
      <w:r>
        <w:rPr>
          <w:snapToGrid w:val="0"/>
        </w:rPr>
        <w:lastRenderedPageBreak/>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rsidR="00425758" w:rsidRDefault="00425758">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rsidR="00425758" w:rsidRDefault="00425758">
      <w:pPr>
        <w:pStyle w:val="Ednotesubsection"/>
      </w:pPr>
      <w:r>
        <w:tab/>
        <w:t>[(3)</w:t>
      </w:r>
      <w:r>
        <w:tab/>
        <w:t>deleted]</w:t>
      </w:r>
    </w:p>
    <w:p w:rsidR="00425758" w:rsidRDefault="00425758">
      <w:pPr>
        <w:pStyle w:val="Footnotesection"/>
      </w:pPr>
      <w:r>
        <w:tab/>
        <w:t>[Rule 30 inserted: Gazette 24 Jun 1977 p. 1914</w:t>
      </w:r>
      <w:r>
        <w:noBreakHyphen/>
        <w:t xml:space="preserve">15; amended: Gazette 30 Jul 1982 p. 2946; 30 Nov 1984 p. 3951; 13 Nov 2015 p. 4646.] </w:t>
      </w:r>
    </w:p>
    <w:p w:rsidR="00425758" w:rsidRDefault="00425758">
      <w:pPr>
        <w:pStyle w:val="Heading2"/>
        <w:rPr>
          <w:b w:val="0"/>
        </w:rPr>
      </w:pPr>
      <w:bookmarkStart w:id="831" w:name="_Toc75512365"/>
      <w:bookmarkStart w:id="832" w:name="_Toc75863461"/>
      <w:r>
        <w:rPr>
          <w:rStyle w:val="CharPartNo"/>
        </w:rPr>
        <w:lastRenderedPageBreak/>
        <w:t>Order 59</w:t>
      </w:r>
      <w:r>
        <w:rPr>
          <w:rStyle w:val="CharDivNo"/>
        </w:rPr>
        <w:t> </w:t>
      </w:r>
      <w:r>
        <w:t>—</w:t>
      </w:r>
      <w:r>
        <w:rPr>
          <w:rStyle w:val="CharDivText"/>
        </w:rPr>
        <w:t> </w:t>
      </w:r>
      <w:r>
        <w:rPr>
          <w:rStyle w:val="CharPartText"/>
        </w:rPr>
        <w:t>Applications and proceedings in chambers</w:t>
      </w:r>
      <w:bookmarkEnd w:id="831"/>
      <w:bookmarkEnd w:id="832"/>
    </w:p>
    <w:p w:rsidR="00425758" w:rsidRDefault="00425758">
      <w:pPr>
        <w:pStyle w:val="Heading5"/>
        <w:rPr>
          <w:snapToGrid w:val="0"/>
        </w:rPr>
      </w:pPr>
      <w:bookmarkStart w:id="833" w:name="_Toc75863462"/>
      <w:r>
        <w:rPr>
          <w:rStyle w:val="CharSectno"/>
        </w:rPr>
        <w:t>1</w:t>
      </w:r>
      <w:r>
        <w:rPr>
          <w:snapToGrid w:val="0"/>
        </w:rPr>
        <w:t>.</w:t>
      </w:r>
      <w:r>
        <w:rPr>
          <w:snapToGrid w:val="0"/>
        </w:rPr>
        <w:tab/>
        <w:t>Business to be dealt with in chambers</w:t>
      </w:r>
      <w:bookmarkEnd w:id="833"/>
    </w:p>
    <w:p w:rsidR="00425758" w:rsidRDefault="00425758">
      <w:pPr>
        <w:pStyle w:val="Subsection"/>
        <w:rPr>
          <w:snapToGrid w:val="0"/>
        </w:rPr>
      </w:pPr>
      <w:r>
        <w:rPr>
          <w:snapToGrid w:val="0"/>
        </w:rPr>
        <w:tab/>
        <w:t>(1)</w:t>
      </w:r>
      <w:r>
        <w:rPr>
          <w:snapToGrid w:val="0"/>
        </w:rPr>
        <w:tab/>
        <w:t>The business to be disposed of in chambers shall consist of — </w:t>
      </w:r>
    </w:p>
    <w:p w:rsidR="00425758" w:rsidRDefault="00425758">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rsidR="00425758" w:rsidRDefault="00425758">
      <w:pPr>
        <w:pStyle w:val="Indenta"/>
        <w:rPr>
          <w:snapToGrid w:val="0"/>
        </w:rPr>
      </w:pPr>
      <w:r>
        <w:rPr>
          <w:snapToGrid w:val="0"/>
        </w:rPr>
        <w:tab/>
        <w:t>(b)</w:t>
      </w:r>
      <w:r>
        <w:rPr>
          <w:snapToGrid w:val="0"/>
        </w:rPr>
        <w:tab/>
        <w:t>subject to rule 2, civil proceedings commenced by originating summons;</w:t>
      </w:r>
    </w:p>
    <w:p w:rsidR="00425758" w:rsidRDefault="00425758">
      <w:pPr>
        <w:pStyle w:val="Indenta"/>
        <w:rPr>
          <w:snapToGrid w:val="0"/>
        </w:rPr>
      </w:pPr>
      <w:r>
        <w:rPr>
          <w:snapToGrid w:val="0"/>
        </w:rPr>
        <w:tab/>
        <w:t>(c)</w:t>
      </w:r>
      <w:r>
        <w:rPr>
          <w:snapToGrid w:val="0"/>
        </w:rPr>
        <w:tab/>
        <w:t>applications which by these rules or any Act may be heard in chambers;</w:t>
      </w:r>
    </w:p>
    <w:p w:rsidR="00425758" w:rsidRDefault="00425758">
      <w:pPr>
        <w:pStyle w:val="Indenta"/>
      </w:pPr>
      <w:r>
        <w:tab/>
        <w:t>(d)</w:t>
      </w:r>
      <w:r>
        <w:tab/>
        <w:t>any application that may be made to the Court or a judge under a written law of the State or a law of the Commonwealth except —</w:t>
      </w:r>
    </w:p>
    <w:p w:rsidR="00425758" w:rsidRDefault="00425758">
      <w:pPr>
        <w:pStyle w:val="Indenti"/>
      </w:pPr>
      <w:r>
        <w:tab/>
        <w:t>(i)</w:t>
      </w:r>
      <w:r>
        <w:tab/>
        <w:t>an appeal, or an application to review a decision; and</w:t>
      </w:r>
    </w:p>
    <w:p w:rsidR="00425758" w:rsidRDefault="00425758">
      <w:pPr>
        <w:pStyle w:val="Indenti"/>
      </w:pPr>
      <w:r>
        <w:tab/>
        <w:t>(ii)</w:t>
      </w:r>
      <w:r>
        <w:tab/>
        <w:t>an application that the law says cannot be heard in chambers;</w:t>
      </w:r>
    </w:p>
    <w:p w:rsidR="00425758" w:rsidRDefault="00425758">
      <w:pPr>
        <w:pStyle w:val="Indenta"/>
      </w:pPr>
      <w:r>
        <w:tab/>
        <w:t>(e)</w:t>
      </w:r>
      <w:r>
        <w:tab/>
        <w:t>applications for the leave of the Court;</w:t>
      </w:r>
    </w:p>
    <w:p w:rsidR="00425758" w:rsidRDefault="00425758">
      <w:pPr>
        <w:pStyle w:val="Indenta"/>
        <w:rPr>
          <w:snapToGrid w:val="0"/>
        </w:rPr>
      </w:pPr>
      <w:r>
        <w:rPr>
          <w:snapToGrid w:val="0"/>
        </w:rPr>
        <w:tab/>
        <w:t>(f)</w:t>
      </w:r>
      <w:r>
        <w:rPr>
          <w:snapToGrid w:val="0"/>
        </w:rPr>
        <w:tab/>
        <w:t>applications for payment or transfer to any person of any cash or securities standing to the credit of any cause or matter;</w:t>
      </w:r>
    </w:p>
    <w:p w:rsidR="00425758" w:rsidRDefault="00425758">
      <w:pPr>
        <w:pStyle w:val="Indenta"/>
        <w:rPr>
          <w:snapToGrid w:val="0"/>
        </w:rPr>
      </w:pPr>
      <w:r>
        <w:rPr>
          <w:snapToGrid w:val="0"/>
        </w:rPr>
        <w:tab/>
        <w:t>(g)</w:t>
      </w:r>
      <w:r>
        <w:rPr>
          <w:snapToGrid w:val="0"/>
        </w:rPr>
        <w:tab/>
        <w:t>applications for the investment or change of investment of any funds in court;</w:t>
      </w:r>
    </w:p>
    <w:p w:rsidR="00425758" w:rsidRDefault="00425758">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rsidR="00425758" w:rsidRDefault="00425758">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rsidR="00425758" w:rsidRDefault="00425758">
      <w:pPr>
        <w:pStyle w:val="Indenta"/>
        <w:rPr>
          <w:snapToGrid w:val="0"/>
        </w:rPr>
      </w:pPr>
      <w:r>
        <w:rPr>
          <w:snapToGrid w:val="0"/>
        </w:rPr>
        <w:lastRenderedPageBreak/>
        <w:tab/>
        <w:t>(j)</w:t>
      </w:r>
      <w:r>
        <w:rPr>
          <w:snapToGrid w:val="0"/>
        </w:rPr>
        <w:tab/>
        <w:t>applications on behalf of an infant where the infant is a ward of Court, or where the administration of the estate of an infant, or the maintenance of an infant, is under the direction of the Court;</w:t>
      </w:r>
    </w:p>
    <w:p w:rsidR="00425758" w:rsidRDefault="00425758">
      <w:pPr>
        <w:pStyle w:val="Indenta"/>
        <w:rPr>
          <w:snapToGrid w:val="0"/>
        </w:rPr>
      </w:pPr>
      <w:r>
        <w:rPr>
          <w:snapToGrid w:val="0"/>
        </w:rPr>
        <w:tab/>
        <w:t>(k)</w:t>
      </w:r>
      <w:r>
        <w:rPr>
          <w:snapToGrid w:val="0"/>
        </w:rPr>
        <w:tab/>
        <w:t>applications for the settlement of any property of any infant on marriage;</w:t>
      </w:r>
    </w:p>
    <w:p w:rsidR="00425758" w:rsidRDefault="00425758">
      <w:pPr>
        <w:pStyle w:val="Indenta"/>
        <w:rPr>
          <w:snapToGrid w:val="0"/>
        </w:rPr>
      </w:pPr>
      <w:r>
        <w:rPr>
          <w:snapToGrid w:val="0"/>
        </w:rPr>
        <w:tab/>
        <w:t>(l)</w:t>
      </w:r>
      <w:r>
        <w:rPr>
          <w:snapToGrid w:val="0"/>
        </w:rPr>
        <w:tab/>
        <w:t>applications as to the guardianship, custody, maintenance or advancement of infants;</w:t>
      </w:r>
    </w:p>
    <w:p w:rsidR="00425758" w:rsidRDefault="00425758">
      <w:pPr>
        <w:pStyle w:val="Indenta"/>
        <w:rPr>
          <w:snapToGrid w:val="0"/>
        </w:rPr>
      </w:pPr>
      <w:r>
        <w:rPr>
          <w:snapToGrid w:val="0"/>
        </w:rPr>
        <w:tab/>
        <w:t>(m)</w:t>
      </w:r>
      <w:r>
        <w:rPr>
          <w:snapToGrid w:val="0"/>
        </w:rPr>
        <w:tab/>
        <w:t>applications connected with the management of property;</w:t>
      </w:r>
    </w:p>
    <w:p w:rsidR="00425758" w:rsidRDefault="00425758">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rsidR="00425758" w:rsidRDefault="00425758">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rsidR="00425758" w:rsidRDefault="00425758">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rsidR="00425758" w:rsidRDefault="00425758">
      <w:pPr>
        <w:pStyle w:val="Indenta"/>
        <w:rPr>
          <w:snapToGrid w:val="0"/>
        </w:rPr>
      </w:pPr>
      <w:r>
        <w:rPr>
          <w:snapToGrid w:val="0"/>
        </w:rPr>
        <w:tab/>
        <w:t>(q)</w:t>
      </w:r>
      <w:r>
        <w:rPr>
          <w:snapToGrid w:val="0"/>
        </w:rPr>
        <w:tab/>
        <w:t>such other matters as the judge may think fit to dispose of at chambers.</w:t>
      </w:r>
    </w:p>
    <w:p w:rsidR="00425758" w:rsidRDefault="00425758">
      <w:pPr>
        <w:pStyle w:val="Subsection"/>
      </w:pPr>
      <w:r>
        <w:tab/>
        <w:t>(2)</w:t>
      </w:r>
      <w:r>
        <w:tab/>
        <w:t>All proceedings before a registrar are to be conducted in chambers unless a judge orders, or a written law provides, otherwise.</w:t>
      </w:r>
    </w:p>
    <w:p w:rsidR="00425758" w:rsidRDefault="00425758">
      <w:pPr>
        <w:pStyle w:val="Footnotesection"/>
      </w:pPr>
      <w:r>
        <w:tab/>
        <w:t xml:space="preserve">[Rule 1 amended: Gazette 28 Oct 1996 p. 5699; 21 Feb 2007 p. 562; 28 Jun 2011 p. 2555.] </w:t>
      </w:r>
    </w:p>
    <w:p w:rsidR="00425758" w:rsidRDefault="00425758">
      <w:pPr>
        <w:pStyle w:val="Heading5"/>
        <w:rPr>
          <w:snapToGrid w:val="0"/>
        </w:rPr>
      </w:pPr>
      <w:bookmarkStart w:id="834" w:name="_Toc75863463"/>
      <w:r>
        <w:rPr>
          <w:rStyle w:val="CharSectno"/>
        </w:rPr>
        <w:t>2</w:t>
      </w:r>
      <w:r>
        <w:rPr>
          <w:snapToGrid w:val="0"/>
        </w:rPr>
        <w:t>.</w:t>
      </w:r>
      <w:r>
        <w:rPr>
          <w:snapToGrid w:val="0"/>
        </w:rPr>
        <w:tab/>
        <w:t>Hearings may be in open court or chambers</w:t>
      </w:r>
      <w:bookmarkEnd w:id="834"/>
    </w:p>
    <w:p w:rsidR="00425758" w:rsidRDefault="00425758">
      <w:pPr>
        <w:pStyle w:val="Subsection"/>
        <w:rPr>
          <w:snapToGrid w:val="0"/>
        </w:rPr>
      </w:pPr>
      <w:r>
        <w:rPr>
          <w:snapToGrid w:val="0"/>
        </w:rPr>
        <w:tab/>
        <w:t>(1)</w:t>
      </w:r>
      <w:r>
        <w:rPr>
          <w:snapToGrid w:val="0"/>
        </w:rPr>
        <w:tab/>
        <w:t xml:space="preserve">Where in any cause or matter commenced by originating summons it appears to the Court at any stage of the proceedings, that the proceedings should for any reason be heard in open court, the Court may order that the hearing or further hearing of </w:t>
      </w:r>
      <w:r>
        <w:rPr>
          <w:snapToGrid w:val="0"/>
        </w:rPr>
        <w:lastRenderedPageBreak/>
        <w:t>the proceedings shall be so held, and may give all necessary directions for the further conduct of the cause or matter.</w:t>
      </w:r>
    </w:p>
    <w:p w:rsidR="00425758" w:rsidRDefault="00425758">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rsidR="00425758" w:rsidRDefault="00425758">
      <w:pPr>
        <w:pStyle w:val="Heading5"/>
        <w:rPr>
          <w:snapToGrid w:val="0"/>
        </w:rPr>
      </w:pPr>
      <w:bookmarkStart w:id="835" w:name="_Toc75863464"/>
      <w:r>
        <w:rPr>
          <w:rStyle w:val="CharSectno"/>
        </w:rPr>
        <w:t>3</w:t>
      </w:r>
      <w:r>
        <w:rPr>
          <w:snapToGrid w:val="0"/>
        </w:rPr>
        <w:t>.</w:t>
      </w:r>
      <w:r>
        <w:rPr>
          <w:snapToGrid w:val="0"/>
        </w:rPr>
        <w:tab/>
        <w:t>Applications in chambers</w:t>
      </w:r>
      <w:bookmarkEnd w:id="835"/>
    </w:p>
    <w:p w:rsidR="00425758" w:rsidRDefault="00425758">
      <w:pPr>
        <w:pStyle w:val="Subsection"/>
      </w:pPr>
      <w:r>
        <w:tab/>
        <w:t>(1)</w:t>
      </w:r>
      <w:r>
        <w:tab/>
        <w:t xml:space="preserve">If these rules do not require or authorise an application in chambers to be made in some other manner — </w:t>
      </w:r>
    </w:p>
    <w:p w:rsidR="00425758" w:rsidRDefault="00425758">
      <w:pPr>
        <w:pStyle w:val="Indenta"/>
      </w:pPr>
      <w:r>
        <w:tab/>
        <w:t>(a)</w:t>
      </w:r>
      <w:r>
        <w:tab/>
        <w:t>an application to commence proceedings in chambers must be made by originating summons; and</w:t>
      </w:r>
    </w:p>
    <w:p w:rsidR="00425758" w:rsidRDefault="00425758">
      <w:pPr>
        <w:pStyle w:val="Indenta"/>
      </w:pPr>
      <w:r>
        <w:tab/>
        <w:t>(b)</w:t>
      </w:r>
      <w:r>
        <w:tab/>
        <w:t>any other application in chambers must be made —</w:t>
      </w:r>
    </w:p>
    <w:p w:rsidR="00425758" w:rsidRDefault="00425758">
      <w:pPr>
        <w:pStyle w:val="Indenti"/>
      </w:pPr>
      <w:r>
        <w:tab/>
        <w:t>(i)</w:t>
      </w:r>
      <w:r>
        <w:tab/>
        <w:t>if it is ex parte, by motion; or</w:t>
      </w:r>
    </w:p>
    <w:p w:rsidR="00425758" w:rsidRDefault="00425758">
      <w:pPr>
        <w:pStyle w:val="Indenti"/>
      </w:pPr>
      <w:r>
        <w:tab/>
        <w:t>(ii)</w:t>
      </w:r>
      <w:r>
        <w:tab/>
        <w:t>in any other case, by summons.</w:t>
      </w:r>
    </w:p>
    <w:p w:rsidR="00425758" w:rsidRDefault="00425758">
      <w:pPr>
        <w:pStyle w:val="Ednotesubsection"/>
      </w:pPr>
      <w:r>
        <w:tab/>
        <w:t>[(2)</w:t>
      </w:r>
      <w:r>
        <w:tab/>
        <w:t>deleted]</w:t>
      </w:r>
    </w:p>
    <w:p w:rsidR="00425758" w:rsidRDefault="00425758">
      <w:pPr>
        <w:pStyle w:val="Subsection"/>
        <w:rPr>
          <w:snapToGrid w:val="0"/>
        </w:rPr>
      </w:pPr>
      <w:r>
        <w:rPr>
          <w:snapToGrid w:val="0"/>
        </w:rPr>
        <w:tab/>
        <w:t>(3)</w:t>
      </w:r>
      <w:r>
        <w:rPr>
          <w:snapToGrid w:val="0"/>
        </w:rPr>
        <w:tab/>
        <w:t>An application in chambers shall state the orders that the applicant seeks and the grounds for the application.</w:t>
      </w:r>
    </w:p>
    <w:p w:rsidR="00425758" w:rsidRDefault="00425758">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rsidR="00425758" w:rsidRDefault="00425758">
      <w:pPr>
        <w:pStyle w:val="Footnotesection"/>
      </w:pPr>
      <w:r>
        <w:tab/>
        <w:t>[Rule 3 inserted: Gazette 28 Oct 1996 p. 5699</w:t>
      </w:r>
      <w:r>
        <w:noBreakHyphen/>
        <w:t>700; amended: Gazette 28 Jul 2010 p. 3467; 16 Aug 2017 p. 4417</w:t>
      </w:r>
      <w:r>
        <w:noBreakHyphen/>
        <w:t xml:space="preserve">18.] </w:t>
      </w:r>
    </w:p>
    <w:p w:rsidR="00425758" w:rsidRDefault="00425758">
      <w:pPr>
        <w:pStyle w:val="Heading5"/>
        <w:rPr>
          <w:snapToGrid w:val="0"/>
        </w:rPr>
      </w:pPr>
      <w:bookmarkStart w:id="836" w:name="_Toc75863465"/>
      <w:r>
        <w:rPr>
          <w:rStyle w:val="CharSectno"/>
        </w:rPr>
        <w:t>4</w:t>
      </w:r>
      <w:r>
        <w:rPr>
          <w:snapToGrid w:val="0"/>
        </w:rPr>
        <w:t>.</w:t>
      </w:r>
      <w:r>
        <w:rPr>
          <w:snapToGrid w:val="0"/>
        </w:rPr>
        <w:tab/>
        <w:t>Form and issue of summons</w:t>
      </w:r>
      <w:bookmarkEnd w:id="836"/>
    </w:p>
    <w:p w:rsidR="00425758" w:rsidRDefault="00425758">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rsidR="00425758" w:rsidRDefault="00425758">
      <w:pPr>
        <w:pStyle w:val="Subsection"/>
        <w:rPr>
          <w:snapToGrid w:val="0"/>
        </w:rPr>
      </w:pPr>
      <w:r>
        <w:rPr>
          <w:snapToGrid w:val="0"/>
        </w:rPr>
        <w:tab/>
        <w:t>(2)</w:t>
      </w:r>
      <w:r>
        <w:rPr>
          <w:snapToGrid w:val="0"/>
        </w:rPr>
        <w:tab/>
        <w:t xml:space="preserve">A summons is issued by being sealed </w:t>
      </w:r>
      <w:r>
        <w:t>with the seal of the Court.</w:t>
      </w:r>
    </w:p>
    <w:p w:rsidR="00425758" w:rsidRDefault="00425758">
      <w:pPr>
        <w:pStyle w:val="Ednotesubsection"/>
      </w:pPr>
      <w:r>
        <w:tab/>
        <w:t>[(3)</w:t>
      </w:r>
      <w:r>
        <w:tab/>
        <w:t>deleted]</w:t>
      </w:r>
    </w:p>
    <w:p w:rsidR="00425758" w:rsidRDefault="00425758">
      <w:pPr>
        <w:pStyle w:val="Subsection"/>
        <w:keepNext/>
        <w:rPr>
          <w:snapToGrid w:val="0"/>
        </w:rPr>
      </w:pPr>
      <w:r>
        <w:rPr>
          <w:snapToGrid w:val="0"/>
        </w:rPr>
        <w:lastRenderedPageBreak/>
        <w:tab/>
        <w:t>(4)</w:t>
      </w:r>
      <w:r>
        <w:rPr>
          <w:snapToGrid w:val="0"/>
        </w:rPr>
        <w:tab/>
        <w:t xml:space="preserve">A summons </w:t>
      </w:r>
      <w:r>
        <w:t>must</w:t>
      </w:r>
      <w:r>
        <w:rPr>
          <w:snapToGrid w:val="0"/>
        </w:rPr>
        <w:t xml:space="preserve"> not be amended after issue except with the leave of the Court.</w:t>
      </w:r>
    </w:p>
    <w:p w:rsidR="00425758" w:rsidRDefault="00425758">
      <w:pPr>
        <w:pStyle w:val="Footnotesection"/>
      </w:pPr>
      <w:r>
        <w:tab/>
        <w:t>[Rule 4 amended: SL 2020/242 r. 6.]</w:t>
      </w:r>
    </w:p>
    <w:p w:rsidR="00425758" w:rsidRDefault="00425758">
      <w:pPr>
        <w:pStyle w:val="Heading5"/>
        <w:rPr>
          <w:snapToGrid w:val="0"/>
        </w:rPr>
      </w:pPr>
      <w:bookmarkStart w:id="837" w:name="_Toc75863466"/>
      <w:r>
        <w:rPr>
          <w:rStyle w:val="CharSectno"/>
        </w:rPr>
        <w:t>5</w:t>
      </w:r>
      <w:r>
        <w:rPr>
          <w:snapToGrid w:val="0"/>
        </w:rPr>
        <w:t>.</w:t>
      </w:r>
      <w:r>
        <w:rPr>
          <w:snapToGrid w:val="0"/>
        </w:rPr>
        <w:tab/>
        <w:t>Summons, service of</w:t>
      </w:r>
      <w:bookmarkEnd w:id="837"/>
    </w:p>
    <w:p w:rsidR="00425758" w:rsidRDefault="00425758">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rsidR="00425758" w:rsidRDefault="00425758">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rsidR="00425758" w:rsidRDefault="00425758">
      <w:pPr>
        <w:pStyle w:val="Subsection"/>
        <w:rPr>
          <w:snapToGrid w:val="0"/>
        </w:rPr>
      </w:pPr>
      <w:r>
        <w:rPr>
          <w:snapToGrid w:val="0"/>
        </w:rPr>
        <w:tab/>
        <w:t>(3)</w:t>
      </w:r>
      <w:r>
        <w:rPr>
          <w:snapToGrid w:val="0"/>
        </w:rPr>
        <w:tab/>
        <w:t>Unless the Court otherwise orders — </w:t>
      </w:r>
    </w:p>
    <w:p w:rsidR="00425758" w:rsidRDefault="00425758">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rsidR="00425758" w:rsidRDefault="00425758">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rsidR="00425758" w:rsidRDefault="00425758">
      <w:pPr>
        <w:pStyle w:val="Footnotesection"/>
      </w:pPr>
      <w:r>
        <w:tab/>
        <w:t xml:space="preserve">[Rule 5 amended: Gazette 3 Oct 1975 p. 3771; 28 Jun 2011 p. 2552.] </w:t>
      </w:r>
    </w:p>
    <w:p w:rsidR="00425758" w:rsidRDefault="00425758">
      <w:pPr>
        <w:pStyle w:val="Heading5"/>
        <w:rPr>
          <w:snapToGrid w:val="0"/>
        </w:rPr>
      </w:pPr>
      <w:bookmarkStart w:id="838" w:name="_Toc75863467"/>
      <w:r>
        <w:rPr>
          <w:rStyle w:val="CharSectno"/>
        </w:rPr>
        <w:t>6</w:t>
      </w:r>
      <w:r>
        <w:rPr>
          <w:snapToGrid w:val="0"/>
        </w:rPr>
        <w:t>.</w:t>
      </w:r>
      <w:r>
        <w:rPr>
          <w:snapToGrid w:val="0"/>
        </w:rPr>
        <w:tab/>
        <w:t>Experts, assistance of</w:t>
      </w:r>
      <w:bookmarkEnd w:id="838"/>
    </w:p>
    <w:p w:rsidR="00425758" w:rsidRDefault="00425758">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rsidR="00425758" w:rsidRDefault="00425758">
      <w:pPr>
        <w:pStyle w:val="Subsection"/>
        <w:rPr>
          <w:snapToGrid w:val="0"/>
        </w:rPr>
      </w:pPr>
      <w:r>
        <w:rPr>
          <w:snapToGrid w:val="0"/>
        </w:rPr>
        <w:tab/>
        <w:t>(2)</w:t>
      </w:r>
      <w:r>
        <w:rPr>
          <w:snapToGrid w:val="0"/>
        </w:rPr>
        <w:tab/>
        <w:t>The Court may make such order as to the costs of obtaining such assistance as it shall think fit.</w:t>
      </w:r>
    </w:p>
    <w:p w:rsidR="00425758" w:rsidRDefault="00425758">
      <w:pPr>
        <w:pStyle w:val="Heading5"/>
        <w:rPr>
          <w:snapToGrid w:val="0"/>
        </w:rPr>
      </w:pPr>
      <w:bookmarkStart w:id="839" w:name="_Toc75863468"/>
      <w:r>
        <w:rPr>
          <w:rStyle w:val="CharSectno"/>
        </w:rPr>
        <w:t>7</w:t>
      </w:r>
      <w:r>
        <w:rPr>
          <w:snapToGrid w:val="0"/>
        </w:rPr>
        <w:t>.</w:t>
      </w:r>
      <w:r>
        <w:rPr>
          <w:snapToGrid w:val="0"/>
        </w:rPr>
        <w:tab/>
        <w:t>Application of O. 58 r. 22 to 28</w:t>
      </w:r>
      <w:bookmarkEnd w:id="839"/>
      <w:r>
        <w:rPr>
          <w:snapToGrid w:val="0"/>
        </w:rPr>
        <w:t xml:space="preserve"> </w:t>
      </w:r>
    </w:p>
    <w:p w:rsidR="00425758" w:rsidRDefault="00425758">
      <w:pPr>
        <w:pStyle w:val="Subsection"/>
        <w:rPr>
          <w:snapToGrid w:val="0"/>
        </w:rPr>
      </w:pPr>
      <w:r>
        <w:rPr>
          <w:snapToGrid w:val="0"/>
        </w:rPr>
        <w:tab/>
      </w:r>
      <w:r>
        <w:rPr>
          <w:snapToGrid w:val="0"/>
        </w:rPr>
        <w:tab/>
        <w:t xml:space="preserve">Order 58 rules 22 to 28, with any necessary changes, apply in relation to an application in chambers under this Order in the </w:t>
      </w:r>
      <w:r>
        <w:rPr>
          <w:snapToGrid w:val="0"/>
        </w:rPr>
        <w:lastRenderedPageBreak/>
        <w:t>same way as they apply to an application made by originating summons.</w:t>
      </w:r>
    </w:p>
    <w:p w:rsidR="00425758" w:rsidRDefault="00425758">
      <w:pPr>
        <w:pStyle w:val="Footnotesection"/>
      </w:pPr>
      <w:r>
        <w:tab/>
        <w:t xml:space="preserve">[Rule 7 inserted: Gazette 28 Oct 1996 p. 5700.] </w:t>
      </w:r>
    </w:p>
    <w:p w:rsidR="00425758" w:rsidRDefault="00425758">
      <w:pPr>
        <w:pStyle w:val="Heading5"/>
        <w:rPr>
          <w:snapToGrid w:val="0"/>
        </w:rPr>
      </w:pPr>
      <w:bookmarkStart w:id="840" w:name="_Toc75863469"/>
      <w:r>
        <w:rPr>
          <w:rStyle w:val="CharSectno"/>
        </w:rPr>
        <w:t>8</w:t>
      </w:r>
      <w:r>
        <w:rPr>
          <w:snapToGrid w:val="0"/>
        </w:rPr>
        <w:t>.</w:t>
      </w:r>
      <w:r>
        <w:rPr>
          <w:snapToGrid w:val="0"/>
        </w:rPr>
        <w:tab/>
        <w:t>Stay of proceedings, ordering</w:t>
      </w:r>
      <w:bookmarkEnd w:id="840"/>
    </w:p>
    <w:p w:rsidR="00425758" w:rsidRDefault="00425758">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rsidR="00425758" w:rsidRDefault="00425758">
      <w:pPr>
        <w:pStyle w:val="Heading5"/>
        <w:rPr>
          <w:snapToGrid w:val="0"/>
        </w:rPr>
      </w:pPr>
      <w:bookmarkStart w:id="841" w:name="_Toc75863470"/>
      <w:r>
        <w:rPr>
          <w:rStyle w:val="CharSectno"/>
        </w:rPr>
        <w:t>9</w:t>
      </w:r>
      <w:r>
        <w:rPr>
          <w:snapToGrid w:val="0"/>
        </w:rPr>
        <w:t>.</w:t>
      </w:r>
      <w:r>
        <w:rPr>
          <w:snapToGrid w:val="0"/>
        </w:rPr>
        <w:tab/>
        <w:t>Parties to confer before making application</w:t>
      </w:r>
      <w:bookmarkEnd w:id="841"/>
      <w:r>
        <w:rPr>
          <w:snapToGrid w:val="0"/>
        </w:rPr>
        <w:t xml:space="preserve"> </w:t>
      </w:r>
    </w:p>
    <w:p w:rsidR="00425758" w:rsidRDefault="00425758">
      <w:pPr>
        <w:pStyle w:val="Subsection"/>
        <w:rPr>
          <w:snapToGrid w:val="0"/>
        </w:rPr>
      </w:pPr>
      <w:r>
        <w:rPr>
          <w:snapToGrid w:val="0"/>
        </w:rPr>
        <w:tab/>
        <w:t>(1)</w:t>
      </w:r>
      <w:r>
        <w:rPr>
          <w:snapToGrid w:val="0"/>
        </w:rPr>
        <w:tab/>
        <w:t>No order shall be made on an application in chambers unless the application was filed with a memorandum stating — </w:t>
      </w:r>
    </w:p>
    <w:p w:rsidR="00425758" w:rsidRDefault="00425758">
      <w:pPr>
        <w:pStyle w:val="Indenta"/>
        <w:rPr>
          <w:snapToGrid w:val="0"/>
        </w:rPr>
      </w:pPr>
      <w:r>
        <w:rPr>
          <w:snapToGrid w:val="0"/>
        </w:rPr>
        <w:tab/>
        <w:t>(a)</w:t>
      </w:r>
      <w:r>
        <w:rPr>
          <w:snapToGrid w:val="0"/>
        </w:rPr>
        <w:tab/>
        <w:t>that the parties have conferred to try to resolve the matters giving rise to the application; and</w:t>
      </w:r>
    </w:p>
    <w:p w:rsidR="00425758" w:rsidRDefault="00425758">
      <w:pPr>
        <w:pStyle w:val="Indenta"/>
        <w:rPr>
          <w:snapToGrid w:val="0"/>
        </w:rPr>
      </w:pPr>
      <w:r>
        <w:rPr>
          <w:snapToGrid w:val="0"/>
        </w:rPr>
        <w:tab/>
        <w:t>(b)</w:t>
      </w:r>
      <w:r>
        <w:rPr>
          <w:snapToGrid w:val="0"/>
        </w:rPr>
        <w:tab/>
        <w:t>the matters that remain in issue between the parties.</w:t>
      </w:r>
    </w:p>
    <w:p w:rsidR="00425758" w:rsidRDefault="00425758">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rsidR="00425758" w:rsidRDefault="00425758">
      <w:pPr>
        <w:pStyle w:val="Footnotesection"/>
      </w:pPr>
      <w:r>
        <w:tab/>
        <w:t xml:space="preserve">[Rule 9 inserted: Gazette 28 Oct 1996 p. 5700; amended: Gazette 28 Jun 2011 p. 2552.] </w:t>
      </w:r>
    </w:p>
    <w:p w:rsidR="00425758" w:rsidRDefault="00425758">
      <w:pPr>
        <w:pStyle w:val="Heading5"/>
        <w:rPr>
          <w:snapToGrid w:val="0"/>
        </w:rPr>
      </w:pPr>
      <w:bookmarkStart w:id="842" w:name="_Toc75863471"/>
      <w:r>
        <w:rPr>
          <w:rStyle w:val="CharSectno"/>
        </w:rPr>
        <w:t>10</w:t>
      </w:r>
      <w:r>
        <w:rPr>
          <w:snapToGrid w:val="0"/>
        </w:rPr>
        <w:t>.</w:t>
      </w:r>
      <w:r>
        <w:rPr>
          <w:snapToGrid w:val="0"/>
        </w:rPr>
        <w:tab/>
        <w:t>Orders, form of</w:t>
      </w:r>
      <w:bookmarkEnd w:id="842"/>
    </w:p>
    <w:p w:rsidR="00425758" w:rsidRDefault="00425758">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rsidR="00425758" w:rsidRDefault="00425758">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rsidR="00425758" w:rsidRDefault="00425758">
      <w:pPr>
        <w:pStyle w:val="Footnotesection"/>
      </w:pPr>
      <w:r>
        <w:rPr>
          <w:i w:val="0"/>
        </w:rPr>
        <w:tab/>
      </w:r>
      <w:r>
        <w:t xml:space="preserve">[Rule 10 inserted: Gazette 10 Jan 1975 p. 51; amended: Gazette 28 Jun 2011 p. 2552.] </w:t>
      </w:r>
    </w:p>
    <w:p w:rsidR="00425758" w:rsidRDefault="00425758">
      <w:pPr>
        <w:pStyle w:val="Heading2"/>
      </w:pPr>
      <w:bookmarkStart w:id="843" w:name="_Toc75512376"/>
      <w:bookmarkStart w:id="844" w:name="_Toc75863472"/>
      <w:r>
        <w:rPr>
          <w:rStyle w:val="CharPartNo"/>
        </w:rPr>
        <w:lastRenderedPageBreak/>
        <w:t>Order 60</w:t>
      </w:r>
      <w:r>
        <w:rPr>
          <w:b w:val="0"/>
        </w:rPr>
        <w:t> </w:t>
      </w:r>
      <w:r>
        <w:t>—</w:t>
      </w:r>
      <w:r>
        <w:rPr>
          <w:b w:val="0"/>
        </w:rPr>
        <w:t> </w:t>
      </w:r>
      <w:r>
        <w:rPr>
          <w:rStyle w:val="CharPartText"/>
        </w:rPr>
        <w:t>Masters’ jurisdiction</w:t>
      </w:r>
      <w:bookmarkEnd w:id="843"/>
      <w:bookmarkEnd w:id="844"/>
    </w:p>
    <w:p w:rsidR="00425758" w:rsidRDefault="00425758">
      <w:pPr>
        <w:pStyle w:val="Footnotesection"/>
      </w:pPr>
      <w:r>
        <w:tab/>
        <w:t>[Heading inserted: Gazette 21 Feb 2007 p. 562.]</w:t>
      </w:r>
    </w:p>
    <w:p w:rsidR="00425758" w:rsidRDefault="00425758">
      <w:pPr>
        <w:pStyle w:val="Heading5"/>
      </w:pPr>
      <w:bookmarkStart w:id="845" w:name="_Toc75863473"/>
      <w:r>
        <w:rPr>
          <w:rStyle w:val="CharSectno"/>
        </w:rPr>
        <w:t>1</w:t>
      </w:r>
      <w:r>
        <w:t>.</w:t>
      </w:r>
      <w:r>
        <w:tab/>
        <w:t>Masters’ general jurisdiction</w:t>
      </w:r>
      <w:bookmarkEnd w:id="845"/>
    </w:p>
    <w:p w:rsidR="00425758" w:rsidRDefault="00425758">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rsidR="00425758" w:rsidRDefault="00425758">
      <w:pPr>
        <w:pStyle w:val="Subsection"/>
      </w:pPr>
      <w:r>
        <w:tab/>
        <w:t>(2)</w:t>
      </w:r>
      <w:r>
        <w:tab/>
        <w:t>A master has jurisdiction to hear and determine any action, application or proceeding that the Chief Justice directs is to be heard and determined by a master, even if it cannot be heard and determined by a judge sitting in chambers.</w:t>
      </w:r>
    </w:p>
    <w:p w:rsidR="00425758" w:rsidRDefault="00425758">
      <w:pPr>
        <w:pStyle w:val="Subsection"/>
      </w:pPr>
      <w:r>
        <w:tab/>
        <w:t>(3)</w:t>
      </w:r>
      <w:r>
        <w:tab/>
        <w:t>Despite subrules (1) and (2) a master does not have jurisdiction in respect of any of the following —</w:t>
      </w:r>
    </w:p>
    <w:p w:rsidR="00425758" w:rsidRDefault="00425758">
      <w:pPr>
        <w:pStyle w:val="Indenta"/>
      </w:pPr>
      <w:r>
        <w:tab/>
        <w:t>(a)</w:t>
      </w:r>
      <w:r>
        <w:tab/>
        <w:t xml:space="preserve">proceedings relating to the liberty of a person including seeking a writ of </w:t>
      </w:r>
      <w:r>
        <w:rPr>
          <w:i/>
        </w:rPr>
        <w:t>habeas corpus ad subjiciendum</w:t>
      </w:r>
      <w:r>
        <w:t xml:space="preserve"> under Order 57;</w:t>
      </w:r>
    </w:p>
    <w:p w:rsidR="00425758" w:rsidRDefault="00425758">
      <w:pPr>
        <w:pStyle w:val="Indenta"/>
      </w:pPr>
      <w:r>
        <w:tab/>
        <w:t>(b)</w:t>
      </w:r>
      <w:r>
        <w:tab/>
        <w:t>proceedings for contempt of court;</w:t>
      </w:r>
    </w:p>
    <w:p w:rsidR="00425758" w:rsidRDefault="00425758">
      <w:pPr>
        <w:pStyle w:val="Indenta"/>
      </w:pPr>
      <w:r>
        <w:tab/>
        <w:t>(c)</w:t>
      </w:r>
      <w:r>
        <w:tab/>
        <w:t xml:space="preserve">proceedings seeking judicial review under Order 56, other than proceedings relating to the adjudication or purported adjudication of a payment dispute under the </w:t>
      </w:r>
      <w:r>
        <w:rPr>
          <w:i/>
        </w:rPr>
        <w:t>Construction Contracts Act 2004</w:t>
      </w:r>
      <w:r>
        <w:t xml:space="preserve"> Part 3;</w:t>
      </w:r>
    </w:p>
    <w:p w:rsidR="00425758" w:rsidRDefault="00425758">
      <w:pPr>
        <w:pStyle w:val="Indenta"/>
      </w:pPr>
      <w:r>
        <w:tab/>
        <w:t>(d)</w:t>
      </w:r>
      <w:r>
        <w:tab/>
        <w:t xml:space="preserve">proceedings seeking a review order under the </w:t>
      </w:r>
      <w:r>
        <w:rPr>
          <w:i/>
        </w:rPr>
        <w:t>Magistrates Court Act 2004</w:t>
      </w:r>
      <w:r>
        <w:t xml:space="preserve"> section 36;</w:t>
      </w:r>
    </w:p>
    <w:p w:rsidR="00425758" w:rsidRDefault="00425758">
      <w:pPr>
        <w:pStyle w:val="Indenta"/>
      </w:pPr>
      <w:r>
        <w:tab/>
        <w:t>(e)</w:t>
      </w:r>
      <w:r>
        <w:tab/>
        <w:t>proceedings seeking leave to appeal;</w:t>
      </w:r>
    </w:p>
    <w:p w:rsidR="00425758" w:rsidRDefault="00425758">
      <w:pPr>
        <w:pStyle w:val="Indenta"/>
      </w:pPr>
      <w:r>
        <w:tab/>
        <w:t>(f)</w:t>
      </w:r>
      <w:r>
        <w:tab/>
        <w:t>proceedings under a written law, other than these rules, that must be heard and determined by a judge;</w:t>
      </w:r>
    </w:p>
    <w:p w:rsidR="00425758" w:rsidRDefault="00425758">
      <w:pPr>
        <w:pStyle w:val="Indenta"/>
      </w:pPr>
      <w:r>
        <w:tab/>
        <w:t>(g)</w:t>
      </w:r>
      <w:r>
        <w:tab/>
        <w:t>proceedings under Order 65C.</w:t>
      </w:r>
    </w:p>
    <w:p w:rsidR="00425758" w:rsidRDefault="00425758">
      <w:pPr>
        <w:pStyle w:val="Subsection"/>
      </w:pPr>
      <w:r>
        <w:tab/>
        <w:t>(4)</w:t>
      </w:r>
      <w:r>
        <w:tab/>
        <w:t xml:space="preserve">Despite subrule (3), a master has jurisdiction to hear and determine any proceeding, not otherwise within a master’s jurisdiction — </w:t>
      </w:r>
    </w:p>
    <w:p w:rsidR="00425758" w:rsidRDefault="00425758">
      <w:pPr>
        <w:pStyle w:val="Indenta"/>
      </w:pPr>
      <w:r>
        <w:tab/>
        <w:t>(a)</w:t>
      </w:r>
      <w:r>
        <w:tab/>
        <w:t>if the parties to the proceeding consent; or</w:t>
      </w:r>
    </w:p>
    <w:p w:rsidR="00425758" w:rsidRDefault="00425758">
      <w:pPr>
        <w:pStyle w:val="Indenta"/>
      </w:pPr>
      <w:r>
        <w:lastRenderedPageBreak/>
        <w:tab/>
        <w:t>(b)</w:t>
      </w:r>
      <w:r>
        <w:tab/>
        <w:t>if the terms of any order made in the proceeding are agreed between the parties to the proceeding,</w:t>
      </w:r>
    </w:p>
    <w:p w:rsidR="00425758" w:rsidRDefault="00425758">
      <w:pPr>
        <w:pStyle w:val="Subsection"/>
      </w:pPr>
      <w:r>
        <w:tab/>
      </w:r>
      <w:r>
        <w:tab/>
        <w:t>but a party’s failure to seek or give consent does not prejudice the party’s right to costs on a summons before a judge.</w:t>
      </w:r>
    </w:p>
    <w:p w:rsidR="00425758" w:rsidRDefault="00425758">
      <w:pPr>
        <w:pStyle w:val="Subsection"/>
      </w:pPr>
      <w:r>
        <w:tab/>
        <w:t>(5)</w:t>
      </w:r>
      <w:r>
        <w:tab/>
        <w:t xml:space="preserve">For the purposes of any proceedings before him or her, a master may exercise the powers of the Court under the </w:t>
      </w:r>
      <w:r>
        <w:rPr>
          <w:i/>
        </w:rPr>
        <w:t>Evidence Act 1906</w:t>
      </w:r>
      <w:r>
        <w:t xml:space="preserve"> section 16(1)(b), 51 or 52.</w:t>
      </w:r>
    </w:p>
    <w:p w:rsidR="00425758" w:rsidRDefault="00425758">
      <w:pPr>
        <w:pStyle w:val="Subsection"/>
      </w:pPr>
      <w:r>
        <w:tab/>
        <w:t>(6)</w:t>
      </w:r>
      <w:r>
        <w:tab/>
        <w:t>For the purposes of any proceedings before him or her, a master has the same jurisdiction as a judge would have if the proceedings were before a judge.</w:t>
      </w:r>
    </w:p>
    <w:p w:rsidR="00425758" w:rsidRDefault="00425758">
      <w:pPr>
        <w:pStyle w:val="Subsection"/>
      </w:pPr>
      <w:r>
        <w:tab/>
        <w:t>(7)</w:t>
      </w:r>
      <w:r>
        <w:tab/>
        <w:t>For the purpose of any proceedings before a master, these rules apply to and in respect of any person who is summoned to appear or who appears in the proceedings as if the proceedings were before a judge.</w:t>
      </w:r>
    </w:p>
    <w:p w:rsidR="00425758" w:rsidRDefault="00425758">
      <w:pPr>
        <w:pStyle w:val="Footnotesection"/>
      </w:pPr>
      <w:r>
        <w:tab/>
        <w:t>[Rule 1 inserted: Gazette 21 Feb 2007 p. 562</w:t>
      </w:r>
      <w:r>
        <w:noBreakHyphen/>
        <w:t>3; amended: Gazette 13 Nov 2015 p. 4646.]</w:t>
      </w:r>
    </w:p>
    <w:p w:rsidR="00425758" w:rsidRDefault="00425758">
      <w:pPr>
        <w:pStyle w:val="Heading5"/>
      </w:pPr>
      <w:bookmarkStart w:id="846" w:name="_Toc75863474"/>
      <w:r>
        <w:rPr>
          <w:rStyle w:val="CharSectno"/>
        </w:rPr>
        <w:t>2</w:t>
      </w:r>
      <w:r>
        <w:t>.</w:t>
      </w:r>
      <w:r>
        <w:tab/>
        <w:t>Master may refer matter to judge or Court of Appeal</w:t>
      </w:r>
      <w:bookmarkEnd w:id="846"/>
    </w:p>
    <w:p w:rsidR="00425758" w:rsidRDefault="00425758">
      <w:pPr>
        <w:pStyle w:val="Subsection"/>
      </w:pPr>
      <w:r>
        <w:tab/>
        <w:t>(1)</w:t>
      </w:r>
      <w:r>
        <w:tab/>
        <w:t>A master may refer an application or proceeding to a judge or the Court of Appeal for determination and may make an order pending the determination.</w:t>
      </w:r>
    </w:p>
    <w:p w:rsidR="00425758" w:rsidRDefault="00425758">
      <w:pPr>
        <w:pStyle w:val="Subsection"/>
      </w:pPr>
      <w:r>
        <w:tab/>
        <w:t>(2)</w:t>
      </w:r>
      <w:r>
        <w:tab/>
        <w:t>The power in subrule (1) may be exercised by a master —</w:t>
      </w:r>
    </w:p>
    <w:p w:rsidR="00425758" w:rsidRDefault="00425758">
      <w:pPr>
        <w:pStyle w:val="Indenta"/>
      </w:pPr>
      <w:r>
        <w:tab/>
        <w:t>(a)</w:t>
      </w:r>
      <w:r>
        <w:tab/>
        <w:t>on his or her own initiative;</w:t>
      </w:r>
    </w:p>
    <w:p w:rsidR="00425758" w:rsidRDefault="00425758">
      <w:pPr>
        <w:pStyle w:val="Indenta"/>
      </w:pPr>
      <w:r>
        <w:tab/>
        <w:t>(b)</w:t>
      </w:r>
      <w:r>
        <w:tab/>
        <w:t>in the absence of the parties;</w:t>
      </w:r>
    </w:p>
    <w:p w:rsidR="00425758" w:rsidRDefault="00425758">
      <w:pPr>
        <w:pStyle w:val="Indenta"/>
      </w:pPr>
      <w:r>
        <w:tab/>
        <w:t>(c)</w:t>
      </w:r>
      <w:r>
        <w:tab/>
        <w:t>before the hearing date of the application or proceeding.</w:t>
      </w:r>
    </w:p>
    <w:p w:rsidR="00425758" w:rsidRDefault="00425758">
      <w:pPr>
        <w:pStyle w:val="Subsection"/>
      </w:pPr>
      <w:r>
        <w:tab/>
        <w:t>(3)</w:t>
      </w:r>
      <w:r>
        <w:tab/>
        <w:t>The judge or Court of Appeal may hear and determine the application or proceeding or may refer it back to the master with or without directions.</w:t>
      </w:r>
    </w:p>
    <w:p w:rsidR="00425758" w:rsidRDefault="00425758">
      <w:pPr>
        <w:pStyle w:val="Footnotesection"/>
      </w:pPr>
      <w:r>
        <w:tab/>
        <w:t>[Rule 2 inserted: Gazette 21 Feb 2007 p. 563.]</w:t>
      </w:r>
    </w:p>
    <w:p w:rsidR="00425758" w:rsidRDefault="00425758">
      <w:pPr>
        <w:pStyle w:val="Heading2"/>
        <w:rPr>
          <w:b w:val="0"/>
        </w:rPr>
      </w:pPr>
      <w:bookmarkStart w:id="847" w:name="_Toc75512379"/>
      <w:bookmarkStart w:id="848" w:name="_Toc75863475"/>
      <w:r>
        <w:rPr>
          <w:rStyle w:val="CharPartNo"/>
        </w:rPr>
        <w:lastRenderedPageBreak/>
        <w:t>Order 60A</w:t>
      </w:r>
      <w:r>
        <w:rPr>
          <w:rStyle w:val="CharDivNo"/>
        </w:rPr>
        <w:t> </w:t>
      </w:r>
      <w:r>
        <w:t>—</w:t>
      </w:r>
      <w:r>
        <w:rPr>
          <w:rStyle w:val="CharDivText"/>
        </w:rPr>
        <w:t> </w:t>
      </w:r>
      <w:r>
        <w:rPr>
          <w:rStyle w:val="CharPartText"/>
        </w:rPr>
        <w:t>Jurisdiction of registrars and appeals from registrars’ decisions</w:t>
      </w:r>
      <w:bookmarkEnd w:id="847"/>
      <w:bookmarkEnd w:id="848"/>
    </w:p>
    <w:p w:rsidR="00425758" w:rsidRDefault="00425758">
      <w:pPr>
        <w:pStyle w:val="Footnoteheading"/>
        <w:ind w:left="890"/>
        <w:rPr>
          <w:snapToGrid w:val="0"/>
        </w:rPr>
      </w:pPr>
      <w:r>
        <w:rPr>
          <w:snapToGrid w:val="0"/>
        </w:rPr>
        <w:tab/>
        <w:t>[Heading inserted: Gazette 28 Oct 1996 p. 5701.]</w:t>
      </w:r>
    </w:p>
    <w:p w:rsidR="00425758" w:rsidRDefault="00425758">
      <w:pPr>
        <w:pStyle w:val="Heading5"/>
        <w:spacing w:before="260"/>
        <w:rPr>
          <w:snapToGrid w:val="0"/>
        </w:rPr>
      </w:pPr>
      <w:bookmarkStart w:id="849" w:name="_Toc75863476"/>
      <w:r>
        <w:rPr>
          <w:rStyle w:val="CharSectno"/>
        </w:rPr>
        <w:t>1</w:t>
      </w:r>
      <w:r>
        <w:rPr>
          <w:snapToGrid w:val="0"/>
        </w:rPr>
        <w:t>.</w:t>
      </w:r>
      <w:r>
        <w:rPr>
          <w:snapToGrid w:val="0"/>
        </w:rPr>
        <w:tab/>
      </w:r>
      <w:r>
        <w:rPr>
          <w:szCs w:val="24"/>
        </w:rPr>
        <w:t>Registrars’ general jurisdiction</w:t>
      </w:r>
      <w:bookmarkEnd w:id="849"/>
    </w:p>
    <w:p w:rsidR="00425758" w:rsidRDefault="00425758">
      <w:pPr>
        <w:pStyle w:val="Subsection"/>
      </w:pPr>
      <w:r>
        <w:rPr>
          <w:snapToGrid w:val="0"/>
        </w:rPr>
        <w:tab/>
      </w:r>
      <w:r>
        <w:t>(1)</w:t>
      </w:r>
      <w:r>
        <w:tab/>
        <w:t>A registrar</w:t>
      </w:r>
      <w:r>
        <w:rPr>
          <w:snapToGrid w:val="0"/>
        </w:rPr>
        <w:t xml:space="preserve"> may exercise these powers of the Court </w:t>
      </w:r>
      <w:r>
        <w:t>— </w:t>
      </w:r>
    </w:p>
    <w:p w:rsidR="00425758" w:rsidRDefault="00425758">
      <w:pPr>
        <w:pStyle w:val="Ednotepara"/>
        <w:rPr>
          <w:snapToGrid w:val="0"/>
        </w:rPr>
      </w:pPr>
      <w:r>
        <w:rPr>
          <w:snapToGrid w:val="0"/>
        </w:rPr>
        <w:tab/>
        <w:t>[(aa)</w:t>
      </w:r>
      <w:r>
        <w:rPr>
          <w:snapToGrid w:val="0"/>
        </w:rPr>
        <w:tab/>
        <w:t>deleted]</w:t>
      </w:r>
    </w:p>
    <w:p w:rsidR="00425758" w:rsidRDefault="00425758">
      <w:pPr>
        <w:pStyle w:val="Indenta"/>
        <w:spacing w:before="120"/>
        <w:rPr>
          <w:snapToGrid w:val="0"/>
        </w:rPr>
      </w:pPr>
      <w:r>
        <w:rPr>
          <w:snapToGrid w:val="0"/>
        </w:rPr>
        <w:tab/>
        <w:t>(a)</w:t>
      </w:r>
      <w:r>
        <w:rPr>
          <w:snapToGrid w:val="0"/>
        </w:rPr>
        <w:tab/>
        <w:t>under Order 42 rule 8, to obtain the consent of a defendant in person;</w:t>
      </w:r>
    </w:p>
    <w:p w:rsidR="00425758" w:rsidRDefault="00425758">
      <w:pPr>
        <w:pStyle w:val="Indenta"/>
      </w:pPr>
      <w:r>
        <w:tab/>
        <w:t>(b)</w:t>
      </w:r>
      <w:r>
        <w:tab/>
        <w:t>under Order 67B, the Court’s powers in relation to access to information, records and other things;</w:t>
      </w:r>
    </w:p>
    <w:p w:rsidR="00425758" w:rsidRDefault="00425758">
      <w:pPr>
        <w:pStyle w:val="Ednotepara"/>
        <w:rPr>
          <w:snapToGrid w:val="0"/>
        </w:rPr>
      </w:pPr>
      <w:r>
        <w:rPr>
          <w:snapToGrid w:val="0"/>
        </w:rPr>
        <w:tab/>
        <w:t>[(c)-(d)</w:t>
      </w:r>
      <w:r>
        <w:rPr>
          <w:snapToGrid w:val="0"/>
        </w:rPr>
        <w:tab/>
        <w:t>deleted]</w:t>
      </w:r>
    </w:p>
    <w:p w:rsidR="00425758" w:rsidRDefault="00425758">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rsidR="00425758" w:rsidRDefault="00425758">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rsidR="00425758" w:rsidRDefault="00425758">
      <w:pPr>
        <w:pStyle w:val="Ednotesubsection"/>
      </w:pPr>
      <w:r>
        <w:tab/>
        <w:t>[(2)</w:t>
      </w:r>
      <w:r>
        <w:tab/>
        <w:t>deleted]</w:t>
      </w:r>
    </w:p>
    <w:p w:rsidR="00425758" w:rsidRDefault="00425758">
      <w:pPr>
        <w:pStyle w:val="Footnotesection"/>
        <w:spacing w:before="200"/>
        <w:ind w:left="890" w:hanging="890"/>
      </w:pPr>
      <w:r>
        <w:tab/>
        <w:t xml:space="preserve">[Rule 1 inserted: Gazette 28 Oct 1996 p. 5701; amended: Gazette 16 Jul 1999 p. 3194; 23 Jan 2001 p. 562; 27 Sep 2002 p. 4829; 21 May 2004 p. 1712; 13 Nov 2015 p. 4646-7; 16 Nov 2016 p. 5199; 16 Aug 2017 p. 4418; 27 Feb 2018 p. 572.] </w:t>
      </w:r>
    </w:p>
    <w:p w:rsidR="00425758" w:rsidRDefault="00425758">
      <w:pPr>
        <w:pStyle w:val="Heading5"/>
      </w:pPr>
      <w:bookmarkStart w:id="850" w:name="_Toc75863477"/>
      <w:r>
        <w:rPr>
          <w:rStyle w:val="CharSectno"/>
        </w:rPr>
        <w:t>2</w:t>
      </w:r>
      <w:r>
        <w:t>.</w:t>
      </w:r>
      <w:r>
        <w:tab/>
        <w:t>Registrars’ jurisdiction with respect to case management</w:t>
      </w:r>
      <w:bookmarkEnd w:id="850"/>
    </w:p>
    <w:p w:rsidR="00425758" w:rsidRDefault="00425758">
      <w:pPr>
        <w:pStyle w:val="Subsection"/>
      </w:pPr>
      <w:r>
        <w:tab/>
        <w:t>(1)</w:t>
      </w:r>
      <w:r>
        <w:tab/>
        <w:t xml:space="preserve">For the purposes of Order 4A, a registrar has, in relation to a case for which the registrar is the case manager, the same jurisdiction that a judge sitting in chambers would have under the </w:t>
      </w:r>
      <w:r>
        <w:rPr>
          <w:i/>
        </w:rPr>
        <w:t>Supreme Court Act 1935</w:t>
      </w:r>
      <w:r>
        <w:t xml:space="preserve"> or these rules if a judge were the case manager.</w:t>
      </w:r>
    </w:p>
    <w:p w:rsidR="00425758" w:rsidRDefault="00425758">
      <w:pPr>
        <w:pStyle w:val="Subsection"/>
      </w:pPr>
      <w:r>
        <w:lastRenderedPageBreak/>
        <w:tab/>
        <w:t>(2)</w:t>
      </w:r>
      <w:r>
        <w:tab/>
        <w:t xml:space="preserve">However, a registrar does not have jurisdiction under subrule (1) in respect of any of the following — </w:t>
      </w:r>
    </w:p>
    <w:p w:rsidR="00425758" w:rsidRDefault="00425758">
      <w:pPr>
        <w:pStyle w:val="Indenta"/>
      </w:pPr>
      <w:r>
        <w:tab/>
        <w:t>(a)</w:t>
      </w:r>
      <w:r>
        <w:tab/>
        <w:t xml:space="preserve">proceedings to which any of the following applies — </w:t>
      </w:r>
    </w:p>
    <w:p w:rsidR="00425758" w:rsidRDefault="00425758">
      <w:pPr>
        <w:pStyle w:val="Indenti"/>
      </w:pPr>
      <w:r>
        <w:tab/>
        <w:t>(i)</w:t>
      </w:r>
      <w:r>
        <w:tab/>
        <w:t>Order 51 (Receivers);</w:t>
      </w:r>
    </w:p>
    <w:p w:rsidR="00425758" w:rsidRDefault="00425758">
      <w:pPr>
        <w:pStyle w:val="Indenti"/>
      </w:pPr>
      <w:r>
        <w:tab/>
        <w:t>(ii)</w:t>
      </w:r>
      <w:r>
        <w:tab/>
        <w:t>Order 52 (Interlocutory injunctions, interim preservation of property);</w:t>
      </w:r>
    </w:p>
    <w:p w:rsidR="00425758" w:rsidRDefault="00425758">
      <w:pPr>
        <w:pStyle w:val="Indenti"/>
      </w:pPr>
      <w:r>
        <w:tab/>
        <w:t>(iii)</w:t>
      </w:r>
      <w:r>
        <w:tab/>
        <w:t>Order 52A (Freezing orders);</w:t>
      </w:r>
    </w:p>
    <w:p w:rsidR="00425758" w:rsidRDefault="00425758">
      <w:pPr>
        <w:pStyle w:val="Indenti"/>
      </w:pPr>
      <w:r>
        <w:tab/>
        <w:t>(iv)</w:t>
      </w:r>
      <w:r>
        <w:tab/>
        <w:t>Order 52B (Search orders);</w:t>
      </w:r>
    </w:p>
    <w:p w:rsidR="00425758" w:rsidRDefault="00425758">
      <w:pPr>
        <w:pStyle w:val="Indenti"/>
      </w:pPr>
      <w:r>
        <w:tab/>
        <w:t>(v)</w:t>
      </w:r>
      <w:r>
        <w:tab/>
        <w:t>Order 61 (Proceedings under judgments and orders);</w:t>
      </w:r>
    </w:p>
    <w:p w:rsidR="00425758" w:rsidRDefault="00425758">
      <w:pPr>
        <w:pStyle w:val="Indenti"/>
      </w:pPr>
      <w:r>
        <w:tab/>
        <w:t>(vi)</w:t>
      </w:r>
      <w:r>
        <w:tab/>
        <w:t xml:space="preserve">Order 70 rule 7 (removal of next friend or guardian </w:t>
      </w:r>
      <w:r>
        <w:rPr>
          <w:i/>
        </w:rPr>
        <w:t>ad litem</w:t>
      </w:r>
      <w:r>
        <w:t>);</w:t>
      </w:r>
    </w:p>
    <w:p w:rsidR="00425758" w:rsidRDefault="00425758">
      <w:pPr>
        <w:pStyle w:val="Indenti"/>
      </w:pPr>
      <w:r>
        <w:tab/>
        <w:t>(vii)</w:t>
      </w:r>
      <w:r>
        <w:tab/>
        <w:t>Order 70 rule 10 (approval of settlement, compromise or acceptance of money paid into court);</w:t>
      </w:r>
    </w:p>
    <w:p w:rsidR="00425758" w:rsidRDefault="00425758">
      <w:pPr>
        <w:pStyle w:val="Indenti"/>
      </w:pPr>
      <w:r>
        <w:tab/>
        <w:t>(viii)</w:t>
      </w:r>
      <w:r>
        <w:tab/>
        <w:t>Order 70 rule 11 (approval of agreement for settlement or compromise);</w:t>
      </w:r>
    </w:p>
    <w:p w:rsidR="00425758" w:rsidRDefault="00425758">
      <w:pPr>
        <w:pStyle w:val="Indenti"/>
      </w:pPr>
      <w:r>
        <w:tab/>
        <w:t>(ix)</w:t>
      </w:r>
      <w:r>
        <w:tab/>
        <w:t>Order 70 rule 12 (control of money recovered for person under disability);</w:t>
      </w:r>
    </w:p>
    <w:p w:rsidR="00425758" w:rsidRDefault="00425758">
      <w:pPr>
        <w:pStyle w:val="Indenti"/>
      </w:pPr>
      <w:r>
        <w:tab/>
        <w:t>(x)</w:t>
      </w:r>
      <w:r>
        <w:tab/>
        <w:t xml:space="preserve">the </w:t>
      </w:r>
      <w:r>
        <w:rPr>
          <w:i/>
        </w:rPr>
        <w:t>Supreme Court (Arbitration) Rules 2016</w:t>
      </w:r>
      <w:r>
        <w:t>;</w:t>
      </w:r>
    </w:p>
    <w:p w:rsidR="00425758" w:rsidRDefault="00425758">
      <w:pPr>
        <w:pStyle w:val="Indenta"/>
      </w:pPr>
      <w:r>
        <w:tab/>
        <w:t>(b)</w:t>
      </w:r>
      <w:r>
        <w:tab/>
        <w:t>proceedings referred to in Order 60 rule 1(3);</w:t>
      </w:r>
    </w:p>
    <w:p w:rsidR="00425758" w:rsidRDefault="00425758">
      <w:pPr>
        <w:pStyle w:val="Indenta"/>
      </w:pPr>
      <w:r>
        <w:tab/>
        <w:t>(c)</w:t>
      </w:r>
      <w:r>
        <w:tab/>
        <w:t>a review of the taxation of costs under Order 66 rule 55;</w:t>
      </w:r>
    </w:p>
    <w:p w:rsidR="00425758" w:rsidRDefault="00425758">
      <w:pPr>
        <w:pStyle w:val="Indenta"/>
      </w:pPr>
      <w:r>
        <w:tab/>
        <w:t>(d)</w:t>
      </w:r>
      <w:r>
        <w:tab/>
        <w:t xml:space="preserve">proceedings under any of the following — </w:t>
      </w:r>
    </w:p>
    <w:p w:rsidR="00425758" w:rsidRDefault="00425758">
      <w:pPr>
        <w:pStyle w:val="Indenti"/>
      </w:pPr>
      <w:r>
        <w:tab/>
        <w:t>(i)</w:t>
      </w:r>
      <w:r>
        <w:tab/>
        <w:t xml:space="preserve">the </w:t>
      </w:r>
      <w:r>
        <w:rPr>
          <w:i/>
        </w:rPr>
        <w:t>Transfer of Land Act 1893</w:t>
      </w:r>
      <w:r>
        <w:t>;</w:t>
      </w:r>
    </w:p>
    <w:p w:rsidR="00425758" w:rsidRDefault="00425758">
      <w:pPr>
        <w:pStyle w:val="Indenti"/>
      </w:pPr>
      <w:r>
        <w:tab/>
        <w:t>(ii)</w:t>
      </w:r>
      <w:r>
        <w:tab/>
        <w:t xml:space="preserve">the </w:t>
      </w:r>
      <w:r>
        <w:rPr>
          <w:i/>
        </w:rPr>
        <w:t>Trustees Act 1962</w:t>
      </w:r>
      <w:r>
        <w:t>;</w:t>
      </w:r>
    </w:p>
    <w:p w:rsidR="00425758" w:rsidRDefault="00425758">
      <w:pPr>
        <w:pStyle w:val="Indenti"/>
      </w:pPr>
      <w:r>
        <w:tab/>
        <w:t>(iii)</w:t>
      </w:r>
      <w:r>
        <w:tab/>
        <w:t xml:space="preserve">the </w:t>
      </w:r>
      <w:r>
        <w:rPr>
          <w:i/>
        </w:rPr>
        <w:t>Australian Securities and Investments Commission Act 2001</w:t>
      </w:r>
      <w:r>
        <w:t xml:space="preserve"> (Commonwealth);</w:t>
      </w:r>
    </w:p>
    <w:p w:rsidR="00425758" w:rsidRDefault="00425758">
      <w:pPr>
        <w:pStyle w:val="Indenti"/>
      </w:pPr>
      <w:r>
        <w:tab/>
        <w:t>(iv)</w:t>
      </w:r>
      <w:r>
        <w:tab/>
        <w:t xml:space="preserve">the </w:t>
      </w:r>
      <w:r>
        <w:rPr>
          <w:i/>
        </w:rPr>
        <w:t>Corporations Act 2001</w:t>
      </w:r>
      <w:r>
        <w:t xml:space="preserve"> (Commonwealth);</w:t>
      </w:r>
    </w:p>
    <w:p w:rsidR="00425758" w:rsidRDefault="00425758">
      <w:pPr>
        <w:pStyle w:val="Indenti"/>
      </w:pPr>
      <w:r>
        <w:tab/>
        <w:t>(v)</w:t>
      </w:r>
      <w:r>
        <w:tab/>
        <w:t xml:space="preserve">the </w:t>
      </w:r>
      <w:r>
        <w:rPr>
          <w:i/>
        </w:rPr>
        <w:t>Cross-Border Insolvency Act 2008</w:t>
      </w:r>
      <w:r>
        <w:t xml:space="preserve"> (Commonwealth).</w:t>
      </w:r>
    </w:p>
    <w:p w:rsidR="00425758" w:rsidRDefault="00425758">
      <w:pPr>
        <w:pStyle w:val="Subsection"/>
      </w:pPr>
      <w:r>
        <w:lastRenderedPageBreak/>
        <w:tab/>
        <w:t>(3)</w:t>
      </w:r>
      <w:r>
        <w:tab/>
        <w:t>Subrule (2) does not apply to or in relation to a matter that is referred to a registrar by a judge or master.</w:t>
      </w:r>
    </w:p>
    <w:p w:rsidR="00425758" w:rsidRDefault="00425758">
      <w:pPr>
        <w:pStyle w:val="Subsection"/>
      </w:pPr>
      <w:r>
        <w:tab/>
        <w:t>(4)</w:t>
      </w:r>
      <w:r>
        <w:tab/>
        <w:t>A registrar cannot order the attachment or committal of any person.</w:t>
      </w:r>
    </w:p>
    <w:p w:rsidR="00425758" w:rsidRDefault="00425758">
      <w:pPr>
        <w:pStyle w:val="Subsection"/>
      </w:pPr>
      <w:r>
        <w:tab/>
        <w:t>(5)</w:t>
      </w:r>
      <w:r>
        <w:tab/>
        <w:t>An interlocutory order or case management direction made by a  registrar is not enforceable by a writ of attachment or order of committal.</w:t>
      </w:r>
    </w:p>
    <w:p w:rsidR="00425758" w:rsidRDefault="00425758">
      <w:pPr>
        <w:pStyle w:val="Footnotesection"/>
      </w:pPr>
      <w:r>
        <w:tab/>
        <w:t>[Rule 2 inserted: Gazette 13 Nov 2015 p. 4647-8; amended: Gazette 20 Dec 2016 p. 5842; 16 Aug 2017 p. 4418.]</w:t>
      </w:r>
    </w:p>
    <w:p w:rsidR="00425758" w:rsidRDefault="00425758">
      <w:pPr>
        <w:pStyle w:val="Heading5"/>
      </w:pPr>
      <w:bookmarkStart w:id="851" w:name="_Toc75863478"/>
      <w:r>
        <w:rPr>
          <w:rStyle w:val="CharSectno"/>
        </w:rPr>
        <w:t>2A</w:t>
      </w:r>
      <w:r>
        <w:t>.</w:t>
      </w:r>
      <w:r>
        <w:tab/>
        <w:t>Registrars to deal with applications within their jurisdiction</w:t>
      </w:r>
      <w:bookmarkEnd w:id="851"/>
    </w:p>
    <w:p w:rsidR="00425758" w:rsidRDefault="00425758">
      <w:pPr>
        <w:pStyle w:val="Subsection"/>
      </w:pPr>
      <w:r>
        <w:tab/>
      </w:r>
      <w:r>
        <w:tab/>
        <w:t>If an application made to the Court requests the exercise of jurisdiction or a power of the Court that under this Order is exercisable by a registrar, the application must be dealt with by a registrar unless —</w:t>
      </w:r>
    </w:p>
    <w:p w:rsidR="00425758" w:rsidRDefault="00425758">
      <w:pPr>
        <w:pStyle w:val="Indenta"/>
      </w:pPr>
      <w:r>
        <w:tab/>
        <w:t>(a)</w:t>
      </w:r>
      <w:r>
        <w:tab/>
        <w:t>under rule 3 the proceedings have been referred to a judge or master; or</w:t>
      </w:r>
    </w:p>
    <w:p w:rsidR="00425758" w:rsidRDefault="00425758">
      <w:pPr>
        <w:pStyle w:val="Indenta"/>
      </w:pPr>
      <w:r>
        <w:tab/>
        <w:t>(b)</w:t>
      </w:r>
      <w:r>
        <w:tab/>
        <w:t>a judge, master or registrar has granted leave for the application to be dealt with by a judge or master.</w:t>
      </w:r>
    </w:p>
    <w:p w:rsidR="00425758" w:rsidRDefault="00425758">
      <w:pPr>
        <w:pStyle w:val="Footnotesection"/>
      </w:pPr>
      <w:r>
        <w:tab/>
        <w:t>[Rule 2A inserted: Gazette 27 Feb 2018 p. 573.]</w:t>
      </w:r>
    </w:p>
    <w:p w:rsidR="00425758" w:rsidRDefault="00425758">
      <w:pPr>
        <w:pStyle w:val="Heading5"/>
      </w:pPr>
      <w:bookmarkStart w:id="852" w:name="_Toc75863479"/>
      <w:r>
        <w:rPr>
          <w:rStyle w:val="CharSectno"/>
        </w:rPr>
        <w:t>3</w:t>
      </w:r>
      <w:r>
        <w:t>.</w:t>
      </w:r>
      <w:r>
        <w:tab/>
        <w:t>Registrar may refer proceedings to judge or master</w:t>
      </w:r>
      <w:bookmarkEnd w:id="852"/>
    </w:p>
    <w:p w:rsidR="00425758" w:rsidRDefault="00425758">
      <w:pPr>
        <w:pStyle w:val="Subsection"/>
      </w:pPr>
      <w:r>
        <w:tab/>
        <w:t>(1)</w:t>
      </w:r>
      <w:r>
        <w:tab/>
        <w:t>A registrar may refer any proceedings before him or her to a judge or master.</w:t>
      </w:r>
    </w:p>
    <w:p w:rsidR="00425758" w:rsidRDefault="00425758">
      <w:pPr>
        <w:pStyle w:val="Subsection"/>
      </w:pPr>
      <w:r>
        <w:tab/>
        <w:t>(2)</w:t>
      </w:r>
      <w:r>
        <w:tab/>
        <w:t>The judge or master may deal with the proceedings or refer them back to the registrar with or without directions.</w:t>
      </w:r>
    </w:p>
    <w:p w:rsidR="00425758" w:rsidRDefault="00425758">
      <w:pPr>
        <w:pStyle w:val="Subsection"/>
      </w:pPr>
      <w:r>
        <w:tab/>
        <w:t>(3)</w:t>
      </w:r>
      <w:r>
        <w:tab/>
        <w:t>Pending the determination of the proceedings by the judge or master, the registrar may make an interim order.</w:t>
      </w:r>
    </w:p>
    <w:p w:rsidR="00425758" w:rsidRDefault="00425758">
      <w:pPr>
        <w:pStyle w:val="Footnotesection"/>
      </w:pPr>
      <w:r>
        <w:tab/>
        <w:t>[Rule 3 inserted: Gazette 13 Nov 2015 p. 4648.]</w:t>
      </w:r>
    </w:p>
    <w:p w:rsidR="00425758" w:rsidRDefault="00425758">
      <w:pPr>
        <w:pStyle w:val="Heading5"/>
      </w:pPr>
      <w:bookmarkStart w:id="853" w:name="_Toc75863480"/>
      <w:r>
        <w:rPr>
          <w:rStyle w:val="CharSectno"/>
        </w:rPr>
        <w:lastRenderedPageBreak/>
        <w:t>4</w:t>
      </w:r>
      <w:r>
        <w:t>.</w:t>
      </w:r>
      <w:r>
        <w:tab/>
        <w:t>Appeals from decisions of registrars</w:t>
      </w:r>
      <w:bookmarkEnd w:id="853"/>
    </w:p>
    <w:p w:rsidR="00425758" w:rsidRDefault="00425758">
      <w:pPr>
        <w:pStyle w:val="Subsection"/>
      </w:pPr>
      <w:r>
        <w:tab/>
        <w:t>(1)</w:t>
      </w:r>
      <w:r>
        <w:tab/>
        <w:t>A party who is dissatisfied with an order or decision of a registrar may appeal from it.</w:t>
      </w:r>
    </w:p>
    <w:p w:rsidR="00425758" w:rsidRDefault="00425758">
      <w:pPr>
        <w:pStyle w:val="Subsection"/>
      </w:pPr>
      <w:r>
        <w:tab/>
        <w:t>(2)</w:t>
      </w:r>
      <w:r>
        <w:tab/>
        <w:t>The appeal must be made to a judge, but a judge may order that it be heard by a master.</w:t>
      </w:r>
    </w:p>
    <w:p w:rsidR="00425758" w:rsidRDefault="00425758">
      <w:pPr>
        <w:pStyle w:val="Subsection"/>
      </w:pPr>
      <w:r>
        <w:tab/>
        <w:t>(3)</w:t>
      </w:r>
      <w:r>
        <w:tab/>
        <w:t xml:space="preserve">This rule does not apply to an order or decision of a registrar — </w:t>
      </w:r>
    </w:p>
    <w:p w:rsidR="00425758" w:rsidRDefault="00425758">
      <w:pPr>
        <w:pStyle w:val="Indenta"/>
      </w:pPr>
      <w:r>
        <w:tab/>
        <w:t>(a)</w:t>
      </w:r>
      <w:r>
        <w:tab/>
        <w:t>made or given in relation to a cause, matter, question or issue referred to or tried by the registrar under section 50 or 51 of the Act; or</w:t>
      </w:r>
    </w:p>
    <w:p w:rsidR="00425758" w:rsidRDefault="00425758">
      <w:pPr>
        <w:pStyle w:val="Indenta"/>
      </w:pPr>
      <w:r>
        <w:tab/>
        <w:t>(b)</w:t>
      </w:r>
      <w:r>
        <w:tab/>
        <w:t>made or given in proceedings to which Order 61 applies; or</w:t>
      </w:r>
    </w:p>
    <w:p w:rsidR="00425758" w:rsidRDefault="00425758">
      <w:pPr>
        <w:pStyle w:val="Indenta"/>
      </w:pPr>
      <w:r>
        <w:tab/>
        <w:t>(c)</w:t>
      </w:r>
      <w:r>
        <w:tab/>
        <w:t>when acting as a taxing officer; or</w:t>
      </w:r>
    </w:p>
    <w:p w:rsidR="00425758" w:rsidRDefault="00425758">
      <w:pPr>
        <w:pStyle w:val="Indenta"/>
      </w:pPr>
      <w:r>
        <w:tab/>
        <w:t>(d)</w:t>
      </w:r>
      <w:r>
        <w:tab/>
        <w:t>made under Order 67A; or</w:t>
      </w:r>
    </w:p>
    <w:p w:rsidR="00425758" w:rsidRDefault="00425758">
      <w:pPr>
        <w:pStyle w:val="Indenta"/>
      </w:pPr>
      <w:r>
        <w:tab/>
        <w:t>(e)</w:t>
      </w:r>
      <w:r>
        <w:tab/>
        <w:t>to which Order 67B rule 17 applies.</w:t>
      </w:r>
    </w:p>
    <w:p w:rsidR="00425758" w:rsidRDefault="00425758">
      <w:pPr>
        <w:pStyle w:val="Footnotesection"/>
      </w:pPr>
      <w:r>
        <w:tab/>
        <w:t>[Rule 4 inserted: Gazette 13 Nov 2015 p. 4648; amended: Gazette 27 Feb 2018 p. 573.]</w:t>
      </w:r>
    </w:p>
    <w:p w:rsidR="00425758" w:rsidRDefault="00425758">
      <w:pPr>
        <w:pStyle w:val="Heading5"/>
      </w:pPr>
      <w:bookmarkStart w:id="854" w:name="_Toc75863481"/>
      <w:r>
        <w:rPr>
          <w:rStyle w:val="CharSectno"/>
        </w:rPr>
        <w:t>5</w:t>
      </w:r>
      <w:r>
        <w:t>.</w:t>
      </w:r>
      <w:r>
        <w:tab/>
        <w:t>Appeal procedure</w:t>
      </w:r>
      <w:bookmarkEnd w:id="854"/>
      <w:r>
        <w:t xml:space="preserve"> </w:t>
      </w:r>
    </w:p>
    <w:p w:rsidR="00425758" w:rsidRDefault="00425758">
      <w:pPr>
        <w:pStyle w:val="Subsection"/>
      </w:pPr>
      <w:r>
        <w:tab/>
        <w:t>(1)</w:t>
      </w:r>
      <w:r>
        <w:tab/>
        <w:t>An appeal from the decision of a registrar must be commenced within 10 days after the date of the order or decision appealed against or any longer period allowed by a judge or master.</w:t>
      </w:r>
    </w:p>
    <w:p w:rsidR="00425758" w:rsidRDefault="00425758">
      <w:pPr>
        <w:pStyle w:val="Subsection"/>
      </w:pPr>
      <w:r>
        <w:tab/>
        <w:t>(2)</w:t>
      </w:r>
      <w:r>
        <w:tab/>
        <w:t>The appeal must be commenced and proceed on the file in which the action was commenced.</w:t>
      </w:r>
    </w:p>
    <w:p w:rsidR="00425758" w:rsidRDefault="00425758">
      <w:pPr>
        <w:pStyle w:val="Subsection"/>
      </w:pPr>
      <w:r>
        <w:tab/>
        <w:t>(3)</w:t>
      </w:r>
      <w:r>
        <w:tab/>
        <w:t xml:space="preserve">The appeal must be commenced by filing an appeal notice in Form 80A, stating the following — </w:t>
      </w:r>
    </w:p>
    <w:p w:rsidR="00425758" w:rsidRDefault="00425758">
      <w:pPr>
        <w:pStyle w:val="Indenta"/>
      </w:pPr>
      <w:r>
        <w:tab/>
        <w:t>(a)</w:t>
      </w:r>
      <w:r>
        <w:tab/>
        <w:t>the order or direction appealed against;</w:t>
      </w:r>
    </w:p>
    <w:p w:rsidR="00425758" w:rsidRDefault="00425758">
      <w:pPr>
        <w:pStyle w:val="Indenta"/>
      </w:pPr>
      <w:r>
        <w:tab/>
        <w:t>(b)</w:t>
      </w:r>
      <w:r>
        <w:tab/>
        <w:t>briefly, but specifically, the grounds of the appeal;</w:t>
      </w:r>
    </w:p>
    <w:p w:rsidR="00425758" w:rsidRDefault="00425758">
      <w:pPr>
        <w:pStyle w:val="Indenta"/>
      </w:pPr>
      <w:r>
        <w:tab/>
        <w:t>(c)</w:t>
      </w:r>
      <w:r>
        <w:tab/>
        <w:t>the order or directions sought at the appeal;</w:t>
      </w:r>
    </w:p>
    <w:p w:rsidR="00425758" w:rsidRDefault="00425758">
      <w:pPr>
        <w:pStyle w:val="Indenta"/>
      </w:pPr>
      <w:r>
        <w:tab/>
        <w:t>(d)</w:t>
      </w:r>
      <w:r>
        <w:tab/>
        <w:t>any directions considered necessary to facilitate the hearing of the appeal;</w:t>
      </w:r>
    </w:p>
    <w:p w:rsidR="00425758" w:rsidRDefault="00425758">
      <w:pPr>
        <w:pStyle w:val="Indenta"/>
      </w:pPr>
      <w:r>
        <w:lastRenderedPageBreak/>
        <w:tab/>
        <w:t>(e)</w:t>
      </w:r>
      <w:r>
        <w:tab/>
        <w:t>for the period of 32 days beginning on the 14</w:t>
      </w:r>
      <w:r>
        <w:rPr>
          <w:vertAlign w:val="superscript"/>
        </w:rPr>
        <w:t>th</w:t>
      </w:r>
      <w:r>
        <w:t> day after the date of the filing of the appeal notice, any days within that period on which the appellant will be unavailable to attend the hearing of the appeal.</w:t>
      </w:r>
    </w:p>
    <w:p w:rsidR="00425758" w:rsidRDefault="00425758">
      <w:pPr>
        <w:pStyle w:val="Subsection"/>
      </w:pPr>
      <w:r>
        <w:tab/>
        <w:t>(4)</w:t>
      </w:r>
      <w:r>
        <w:tab/>
        <w:t>No appeal books are required for the appeal.</w:t>
      </w:r>
    </w:p>
    <w:p w:rsidR="00425758" w:rsidRDefault="00425758">
      <w:pPr>
        <w:pStyle w:val="Subsection"/>
      </w:pPr>
      <w:r>
        <w:tab/>
        <w:t>(5)</w:t>
      </w:r>
      <w:r>
        <w:tab/>
        <w:t>Within one day after filing an appeal notice under this rule a copy of it must be served on the other parties.</w:t>
      </w:r>
    </w:p>
    <w:p w:rsidR="00425758" w:rsidRDefault="00425758">
      <w:pPr>
        <w:pStyle w:val="Footnotesection"/>
      </w:pPr>
      <w:r>
        <w:tab/>
        <w:t>[Rule 5 inserted: Gazette 13 Nov 2015 p. 4648-9.]</w:t>
      </w:r>
    </w:p>
    <w:p w:rsidR="00425758" w:rsidRDefault="00425758">
      <w:pPr>
        <w:pStyle w:val="Heading5"/>
      </w:pPr>
      <w:bookmarkStart w:id="855" w:name="_Toc75863482"/>
      <w:r>
        <w:rPr>
          <w:rStyle w:val="CharSectno"/>
        </w:rPr>
        <w:t>6A</w:t>
      </w:r>
      <w:r>
        <w:t>.</w:t>
      </w:r>
      <w:r>
        <w:tab/>
        <w:t>Other parties to appeal to advise certain matters</w:t>
      </w:r>
      <w:bookmarkEnd w:id="855"/>
    </w:p>
    <w:p w:rsidR="00425758" w:rsidRDefault="00425758">
      <w:pPr>
        <w:pStyle w:val="Subsection"/>
      </w:pPr>
      <w:r>
        <w:tab/>
      </w:r>
      <w:r>
        <w:tab/>
        <w:t xml:space="preserve">Each party on whom an appeal notice is served under rule 5(5) must, within 3 days after the date of service on them, advise the party who filed the appeal notice and the Court, in writing, of — </w:t>
      </w:r>
    </w:p>
    <w:p w:rsidR="00425758" w:rsidRDefault="00425758">
      <w:pPr>
        <w:pStyle w:val="Indenta"/>
      </w:pPr>
      <w:r>
        <w:tab/>
        <w:t>(a)</w:t>
      </w:r>
      <w:r>
        <w:tab/>
        <w:t>any directions that the party considers necessary to facilitate the appeal; and</w:t>
      </w:r>
    </w:p>
    <w:p w:rsidR="00425758" w:rsidRDefault="00425758">
      <w:pPr>
        <w:pStyle w:val="Indenta"/>
      </w:pPr>
      <w:r>
        <w:tab/>
        <w:t>(b)</w:t>
      </w:r>
      <w:r>
        <w:tab/>
        <w:t>for the period of 32 days beginning on the 14</w:t>
      </w:r>
      <w:r>
        <w:rPr>
          <w:vertAlign w:val="superscript"/>
        </w:rPr>
        <w:t>th</w:t>
      </w:r>
      <w:r>
        <w:t> day after the date of service of the appeal notice, any days within that period on which the party will be unavailable to attend the hearing of the appeal.</w:t>
      </w:r>
    </w:p>
    <w:p w:rsidR="00425758" w:rsidRDefault="00425758">
      <w:pPr>
        <w:pStyle w:val="Footnotesection"/>
      </w:pPr>
      <w:r>
        <w:tab/>
        <w:t>[Rule 6A inserted: Gazette 13 Nov 2015 p. 4649.]</w:t>
      </w:r>
    </w:p>
    <w:p w:rsidR="00425758" w:rsidRDefault="00425758">
      <w:pPr>
        <w:pStyle w:val="Heading5"/>
      </w:pPr>
      <w:bookmarkStart w:id="856" w:name="_Toc75863483"/>
      <w:r>
        <w:rPr>
          <w:rStyle w:val="CharSectno"/>
        </w:rPr>
        <w:t>6</w:t>
      </w:r>
      <w:r>
        <w:t>.</w:t>
      </w:r>
      <w:r>
        <w:tab/>
        <w:t>Appeal is by way of new hearing</w:t>
      </w:r>
      <w:bookmarkEnd w:id="856"/>
      <w:r>
        <w:t xml:space="preserve"> </w:t>
      </w:r>
    </w:p>
    <w:p w:rsidR="00425758" w:rsidRDefault="00425758">
      <w:pPr>
        <w:pStyle w:val="Subsection"/>
      </w:pPr>
      <w:r>
        <w:tab/>
      </w:r>
      <w:r>
        <w:tab/>
        <w:t>An appeal from a registrar is to be by way of a new hearing of the matter that was before the registrar.</w:t>
      </w:r>
    </w:p>
    <w:p w:rsidR="00425758" w:rsidRDefault="00425758">
      <w:pPr>
        <w:pStyle w:val="Footnotesection"/>
      </w:pPr>
      <w:r>
        <w:tab/>
        <w:t>[Rule 6 inserted: Gazette 13 Nov 2015 p. 4649.]</w:t>
      </w:r>
    </w:p>
    <w:p w:rsidR="00425758" w:rsidRDefault="00425758">
      <w:pPr>
        <w:pStyle w:val="Heading5"/>
      </w:pPr>
      <w:bookmarkStart w:id="857" w:name="_Toc75863484"/>
      <w:r>
        <w:rPr>
          <w:rStyle w:val="CharSectno"/>
        </w:rPr>
        <w:t>7</w:t>
      </w:r>
      <w:r>
        <w:t>.</w:t>
      </w:r>
      <w:r>
        <w:tab/>
        <w:t>This Order not to apply to Court of Appeal Registrar</w:t>
      </w:r>
      <w:bookmarkEnd w:id="857"/>
    </w:p>
    <w:p w:rsidR="00425758" w:rsidRDefault="00425758">
      <w:pPr>
        <w:pStyle w:val="Subsection"/>
        <w:rPr>
          <w:snapToGrid w:val="0"/>
        </w:rPr>
      </w:pPr>
      <w:r>
        <w:tab/>
      </w:r>
      <w:r>
        <w:tab/>
        <w:t>This Order does not apply to or in respect of the Court of Appeal Registrar or any decision made by that registrar.</w:t>
      </w:r>
    </w:p>
    <w:p w:rsidR="00425758" w:rsidRDefault="00425758">
      <w:pPr>
        <w:pStyle w:val="Footnotesection"/>
      </w:pPr>
      <w:r>
        <w:tab/>
        <w:t xml:space="preserve">[Rule 7 inserted: Gazette 29 Apr 2005 p. 1792.] </w:t>
      </w:r>
    </w:p>
    <w:p w:rsidR="00425758" w:rsidRDefault="00425758">
      <w:pPr>
        <w:pStyle w:val="Heading2"/>
        <w:rPr>
          <w:b w:val="0"/>
        </w:rPr>
      </w:pPr>
      <w:bookmarkStart w:id="858" w:name="_Toc75512389"/>
      <w:bookmarkStart w:id="859" w:name="_Toc75863485"/>
      <w:r>
        <w:rPr>
          <w:rStyle w:val="CharPartNo"/>
        </w:rPr>
        <w:lastRenderedPageBreak/>
        <w:t>Order 61</w:t>
      </w:r>
      <w:r>
        <w:t> — </w:t>
      </w:r>
      <w:r>
        <w:rPr>
          <w:rStyle w:val="CharPartText"/>
        </w:rPr>
        <w:t>Proceedings under judgments and orders</w:t>
      </w:r>
      <w:bookmarkEnd w:id="858"/>
      <w:bookmarkEnd w:id="859"/>
    </w:p>
    <w:p w:rsidR="00425758" w:rsidRDefault="00425758">
      <w:pPr>
        <w:pStyle w:val="Heading3"/>
      </w:pPr>
      <w:bookmarkStart w:id="860" w:name="_Toc75512390"/>
      <w:bookmarkStart w:id="861" w:name="_Toc75863486"/>
      <w:r>
        <w:rPr>
          <w:rStyle w:val="CharDivNo"/>
        </w:rPr>
        <w:t>Division 1</w:t>
      </w:r>
      <w:r>
        <w:t> — </w:t>
      </w:r>
      <w:r>
        <w:rPr>
          <w:rStyle w:val="CharDivText"/>
        </w:rPr>
        <w:t>Application of order</w:t>
      </w:r>
      <w:bookmarkEnd w:id="860"/>
      <w:bookmarkEnd w:id="861"/>
    </w:p>
    <w:p w:rsidR="00425758" w:rsidRDefault="00425758">
      <w:pPr>
        <w:pStyle w:val="Footnoteheading"/>
      </w:pPr>
      <w:r>
        <w:tab/>
        <w:t xml:space="preserve">[Heading inserted: Gazette 22 Feb 2008 p. 638.] </w:t>
      </w:r>
    </w:p>
    <w:p w:rsidR="00425758" w:rsidRDefault="00425758">
      <w:pPr>
        <w:pStyle w:val="Heading5"/>
        <w:rPr>
          <w:snapToGrid w:val="0"/>
        </w:rPr>
      </w:pPr>
      <w:bookmarkStart w:id="862" w:name="_Toc75863487"/>
      <w:r>
        <w:rPr>
          <w:rStyle w:val="CharSectno"/>
        </w:rPr>
        <w:t>1</w:t>
      </w:r>
      <w:r>
        <w:rPr>
          <w:snapToGrid w:val="0"/>
        </w:rPr>
        <w:t>.</w:t>
      </w:r>
      <w:r>
        <w:rPr>
          <w:snapToGrid w:val="0"/>
        </w:rPr>
        <w:tab/>
        <w:t>Application to proceedings under orders</w:t>
      </w:r>
      <w:bookmarkEnd w:id="862"/>
    </w:p>
    <w:p w:rsidR="00425758" w:rsidRDefault="00425758">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rsidR="00425758" w:rsidRDefault="00425758">
      <w:pPr>
        <w:pStyle w:val="Footnotesection"/>
      </w:pPr>
      <w:r>
        <w:tab/>
        <w:t xml:space="preserve">[Rule 1 amended: Gazette 2 Jul 1982 p. 2317.] </w:t>
      </w:r>
    </w:p>
    <w:p w:rsidR="00425758" w:rsidRDefault="00425758">
      <w:pPr>
        <w:pStyle w:val="Heading3"/>
      </w:pPr>
      <w:bookmarkStart w:id="863" w:name="_Toc75512392"/>
      <w:bookmarkStart w:id="864" w:name="_Toc75863488"/>
      <w:r>
        <w:rPr>
          <w:rStyle w:val="CharDivNo"/>
        </w:rPr>
        <w:t>Division 2</w:t>
      </w:r>
      <w:r>
        <w:t> — </w:t>
      </w:r>
      <w:r>
        <w:rPr>
          <w:rStyle w:val="CharDivText"/>
        </w:rPr>
        <w:t>Summons to proceed</w:t>
      </w:r>
      <w:bookmarkEnd w:id="863"/>
      <w:bookmarkEnd w:id="864"/>
    </w:p>
    <w:p w:rsidR="00425758" w:rsidRDefault="00425758">
      <w:pPr>
        <w:pStyle w:val="Footnoteheading"/>
      </w:pPr>
      <w:r>
        <w:tab/>
        <w:t xml:space="preserve">[Heading inserted: Gazette 22 Feb 2008 p. 639.] </w:t>
      </w:r>
    </w:p>
    <w:p w:rsidR="00425758" w:rsidRDefault="00425758">
      <w:pPr>
        <w:pStyle w:val="Heading5"/>
        <w:rPr>
          <w:snapToGrid w:val="0"/>
        </w:rPr>
      </w:pPr>
      <w:bookmarkStart w:id="865" w:name="_Toc75863489"/>
      <w:r>
        <w:rPr>
          <w:rStyle w:val="CharSectno"/>
        </w:rPr>
        <w:t>2</w:t>
      </w:r>
      <w:r>
        <w:rPr>
          <w:snapToGrid w:val="0"/>
        </w:rPr>
        <w:t>.</w:t>
      </w:r>
      <w:r>
        <w:rPr>
          <w:snapToGrid w:val="0"/>
        </w:rPr>
        <w:tab/>
        <w:t>Summons to proceed, requirement for and proceedings on</w:t>
      </w:r>
      <w:bookmarkEnd w:id="865"/>
      <w:r>
        <w:rPr>
          <w:snapToGrid w:val="0"/>
        </w:rPr>
        <w:t xml:space="preserve"> </w:t>
      </w:r>
    </w:p>
    <w:p w:rsidR="00425758" w:rsidRDefault="00425758">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rsidR="00425758" w:rsidRDefault="00425758">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rsidR="00425758" w:rsidRDefault="00425758">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rsidR="00425758" w:rsidRDefault="00425758">
      <w:pPr>
        <w:pStyle w:val="Indenta"/>
        <w:rPr>
          <w:snapToGrid w:val="0"/>
        </w:rPr>
      </w:pPr>
      <w:r>
        <w:rPr>
          <w:snapToGrid w:val="0"/>
        </w:rPr>
        <w:tab/>
        <w:t>(a)</w:t>
      </w:r>
      <w:r>
        <w:rPr>
          <w:snapToGrid w:val="0"/>
        </w:rPr>
        <w:tab/>
        <w:t>the manner in which any account or inquiry is to be prosecuted; and</w:t>
      </w:r>
    </w:p>
    <w:p w:rsidR="00425758" w:rsidRDefault="00425758">
      <w:pPr>
        <w:pStyle w:val="Indenta"/>
        <w:rPr>
          <w:snapToGrid w:val="0"/>
        </w:rPr>
      </w:pPr>
      <w:r>
        <w:rPr>
          <w:snapToGrid w:val="0"/>
        </w:rPr>
        <w:tab/>
        <w:t>(b)</w:t>
      </w:r>
      <w:r>
        <w:rPr>
          <w:snapToGrid w:val="0"/>
        </w:rPr>
        <w:tab/>
        <w:t>the evidence to be adduced in support thereof; and</w:t>
      </w:r>
    </w:p>
    <w:p w:rsidR="00425758" w:rsidRDefault="00425758">
      <w:pPr>
        <w:pStyle w:val="Indenta"/>
        <w:rPr>
          <w:snapToGrid w:val="0"/>
        </w:rPr>
      </w:pPr>
      <w:r>
        <w:rPr>
          <w:snapToGrid w:val="0"/>
        </w:rPr>
        <w:lastRenderedPageBreak/>
        <w:tab/>
        <w:t>(c)</w:t>
      </w:r>
      <w:r>
        <w:rPr>
          <w:snapToGrid w:val="0"/>
        </w:rPr>
        <w:tab/>
        <w:t>the parties who are required to attend all or any part of the proceedings; and</w:t>
      </w:r>
    </w:p>
    <w:p w:rsidR="00425758" w:rsidRDefault="00425758">
      <w:pPr>
        <w:pStyle w:val="Indenta"/>
        <w:rPr>
          <w:snapToGrid w:val="0"/>
        </w:rPr>
      </w:pPr>
      <w:r>
        <w:rPr>
          <w:snapToGrid w:val="0"/>
        </w:rPr>
        <w:tab/>
        <w:t>(d)</w:t>
      </w:r>
      <w:r>
        <w:rPr>
          <w:snapToGrid w:val="0"/>
        </w:rPr>
        <w:tab/>
        <w:t>the time within which each proceeding is to be taken,</w:t>
      </w:r>
    </w:p>
    <w:p w:rsidR="00425758" w:rsidRDefault="00425758">
      <w:pPr>
        <w:pStyle w:val="Subsection"/>
        <w:spacing w:before="120"/>
        <w:rPr>
          <w:snapToGrid w:val="0"/>
        </w:rPr>
      </w:pPr>
      <w:r>
        <w:rPr>
          <w:snapToGrid w:val="0"/>
        </w:rPr>
        <w:tab/>
      </w:r>
      <w:r>
        <w:rPr>
          <w:snapToGrid w:val="0"/>
        </w:rPr>
        <w:tab/>
        <w:t>and the Court may fix a day or days for the further attendance of the parties.</w:t>
      </w:r>
    </w:p>
    <w:p w:rsidR="00425758" w:rsidRDefault="00425758">
      <w:pPr>
        <w:pStyle w:val="Subsection"/>
        <w:spacing w:before="120"/>
        <w:rPr>
          <w:snapToGrid w:val="0"/>
        </w:rPr>
      </w:pPr>
      <w:r>
        <w:rPr>
          <w:snapToGrid w:val="0"/>
        </w:rPr>
        <w:tab/>
        <w:t>(4)</w:t>
      </w:r>
      <w:r>
        <w:rPr>
          <w:snapToGrid w:val="0"/>
        </w:rPr>
        <w:tab/>
        <w:t>The Court may revoke or vary any directions given under this rule.</w:t>
      </w:r>
    </w:p>
    <w:p w:rsidR="00425758" w:rsidRDefault="00425758">
      <w:pPr>
        <w:pStyle w:val="Footnotesection"/>
      </w:pPr>
      <w:r>
        <w:tab/>
        <w:t>[Rule 2 amended: Gazette 28 Jun 2011 p. 2552.]</w:t>
      </w:r>
    </w:p>
    <w:p w:rsidR="00425758" w:rsidRDefault="00425758">
      <w:pPr>
        <w:pStyle w:val="Heading5"/>
        <w:spacing w:before="180"/>
        <w:rPr>
          <w:snapToGrid w:val="0"/>
        </w:rPr>
      </w:pPr>
      <w:bookmarkStart w:id="866" w:name="_Toc75863490"/>
      <w:r>
        <w:rPr>
          <w:rStyle w:val="CharSectno"/>
        </w:rPr>
        <w:t>3</w:t>
      </w:r>
      <w:r>
        <w:rPr>
          <w:snapToGrid w:val="0"/>
        </w:rPr>
        <w:t>.</w:t>
      </w:r>
      <w:r>
        <w:rPr>
          <w:snapToGrid w:val="0"/>
        </w:rPr>
        <w:tab/>
        <w:t>Notice of judgment, Court may order service of in some cases</w:t>
      </w:r>
      <w:bookmarkEnd w:id="866"/>
    </w:p>
    <w:p w:rsidR="00425758" w:rsidRDefault="00425758">
      <w:pPr>
        <w:pStyle w:val="Subsection"/>
        <w:rPr>
          <w:snapToGrid w:val="0"/>
        </w:rPr>
      </w:pPr>
      <w:r>
        <w:rPr>
          <w:snapToGrid w:val="0"/>
        </w:rPr>
        <w:tab/>
        <w:t>(1)</w:t>
      </w:r>
      <w:r>
        <w:rPr>
          <w:snapToGrid w:val="0"/>
        </w:rPr>
        <w:tab/>
        <w:t>Where in any cause or matter the Court has tried or determined any issue relating to — </w:t>
      </w:r>
    </w:p>
    <w:p w:rsidR="00425758" w:rsidRDefault="00425758">
      <w:pPr>
        <w:pStyle w:val="Indenta"/>
        <w:rPr>
          <w:snapToGrid w:val="0"/>
        </w:rPr>
      </w:pPr>
      <w:r>
        <w:rPr>
          <w:snapToGrid w:val="0"/>
        </w:rPr>
        <w:tab/>
        <w:t>(a)</w:t>
      </w:r>
      <w:r>
        <w:rPr>
          <w:snapToGrid w:val="0"/>
        </w:rPr>
        <w:tab/>
        <w:t>the administration of the estate of a deceased person; or</w:t>
      </w:r>
    </w:p>
    <w:p w:rsidR="00425758" w:rsidRDefault="00425758">
      <w:pPr>
        <w:pStyle w:val="Indenta"/>
        <w:rPr>
          <w:snapToGrid w:val="0"/>
        </w:rPr>
      </w:pPr>
      <w:r>
        <w:rPr>
          <w:snapToGrid w:val="0"/>
        </w:rPr>
        <w:tab/>
        <w:t>(b)</w:t>
      </w:r>
      <w:r>
        <w:rPr>
          <w:snapToGrid w:val="0"/>
        </w:rPr>
        <w:tab/>
        <w:t>the execution of any trust; or</w:t>
      </w:r>
    </w:p>
    <w:p w:rsidR="00425758" w:rsidRDefault="00425758">
      <w:pPr>
        <w:pStyle w:val="Indenta"/>
        <w:rPr>
          <w:snapToGrid w:val="0"/>
        </w:rPr>
      </w:pPr>
      <w:r>
        <w:rPr>
          <w:snapToGrid w:val="0"/>
        </w:rPr>
        <w:tab/>
        <w:t>(c)</w:t>
      </w:r>
      <w:r>
        <w:rPr>
          <w:snapToGrid w:val="0"/>
        </w:rPr>
        <w:tab/>
        <w:t>any transaction or proposed transaction relating to property,</w:t>
      </w:r>
    </w:p>
    <w:p w:rsidR="00425758" w:rsidRDefault="00425758">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rsidR="00425758" w:rsidRDefault="00425758">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rsidR="00425758" w:rsidRDefault="00425758">
      <w:pPr>
        <w:pStyle w:val="Subsection"/>
        <w:spacing w:before="120"/>
        <w:rPr>
          <w:snapToGrid w:val="0"/>
        </w:rPr>
      </w:pPr>
      <w:r>
        <w:rPr>
          <w:snapToGrid w:val="0"/>
        </w:rPr>
        <w:lastRenderedPageBreak/>
        <w:tab/>
        <w:t>(3)</w:t>
      </w:r>
      <w:r>
        <w:rPr>
          <w:snapToGrid w:val="0"/>
        </w:rPr>
        <w:tab/>
        <w:t xml:space="preserve">The notice of a judgment or proposed judgment to be served pursuant to </w:t>
      </w:r>
      <w:r>
        <w:t>subrule</w:t>
      </w:r>
      <w:r>
        <w:rPr>
          <w:snapToGrid w:val="0"/>
        </w:rPr>
        <w:t> (1) must be indorsed with a memorandum in Form No. 80.</w:t>
      </w:r>
    </w:p>
    <w:p w:rsidR="00425758" w:rsidRDefault="00425758">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rsidR="00425758" w:rsidRDefault="00425758">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rsidR="00425758" w:rsidRDefault="00425758">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rsidR="00425758" w:rsidRDefault="00425758">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rsidR="00425758" w:rsidRDefault="00425758">
      <w:pPr>
        <w:pStyle w:val="Footnotesection"/>
      </w:pPr>
      <w:r>
        <w:tab/>
        <w:t>[Rule 3 amended: Gazette 28 Jun 2011 p. 2552.]</w:t>
      </w:r>
    </w:p>
    <w:p w:rsidR="00425758" w:rsidRDefault="00425758">
      <w:pPr>
        <w:pStyle w:val="Heading5"/>
        <w:rPr>
          <w:snapToGrid w:val="0"/>
        </w:rPr>
      </w:pPr>
      <w:bookmarkStart w:id="867" w:name="_Toc75863491"/>
      <w:r>
        <w:rPr>
          <w:rStyle w:val="CharSectno"/>
        </w:rPr>
        <w:t>4</w:t>
      </w:r>
      <w:r>
        <w:rPr>
          <w:snapToGrid w:val="0"/>
        </w:rPr>
        <w:t>.</w:t>
      </w:r>
      <w:r>
        <w:rPr>
          <w:snapToGrid w:val="0"/>
        </w:rPr>
        <w:tab/>
        <w:t>Settling deed if parties differ, procedure for</w:t>
      </w:r>
      <w:bookmarkEnd w:id="867"/>
    </w:p>
    <w:p w:rsidR="00425758" w:rsidRDefault="00425758">
      <w:pPr>
        <w:pStyle w:val="Subsection"/>
        <w:rPr>
          <w:snapToGrid w:val="0"/>
        </w:rPr>
      </w:pPr>
      <w:r>
        <w:rPr>
          <w:snapToGrid w:val="0"/>
        </w:rPr>
        <w:tab/>
      </w:r>
      <w:r>
        <w:rPr>
          <w:snapToGrid w:val="0"/>
        </w:rPr>
        <w:tab/>
        <w:t xml:space="preserve">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w:t>
      </w:r>
      <w:r>
        <w:rPr>
          <w:snapToGrid w:val="0"/>
        </w:rPr>
        <w:lastRenderedPageBreak/>
        <w:t>8 days, or within such period as a judge may direct, after the delivery of such copy, and the proceedings shall be adjourned until after the expiration of the said period of 8 days.</w:t>
      </w:r>
    </w:p>
    <w:p w:rsidR="00425758" w:rsidRDefault="00425758">
      <w:pPr>
        <w:pStyle w:val="Heading5"/>
        <w:spacing w:before="240"/>
        <w:rPr>
          <w:snapToGrid w:val="0"/>
        </w:rPr>
      </w:pPr>
      <w:bookmarkStart w:id="868" w:name="_Toc75863492"/>
      <w:r>
        <w:rPr>
          <w:rStyle w:val="CharSectno"/>
        </w:rPr>
        <w:t>5</w:t>
      </w:r>
      <w:r>
        <w:rPr>
          <w:snapToGrid w:val="0"/>
        </w:rPr>
        <w:t>.</w:t>
      </w:r>
      <w:r>
        <w:rPr>
          <w:snapToGrid w:val="0"/>
        </w:rPr>
        <w:tab/>
        <w:t>When service of notice of judgment may be dispensed with</w:t>
      </w:r>
      <w:bookmarkEnd w:id="868"/>
    </w:p>
    <w:p w:rsidR="00425758" w:rsidRDefault="00425758">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rsidR="00425758" w:rsidRDefault="00425758">
      <w:pPr>
        <w:pStyle w:val="Heading5"/>
        <w:rPr>
          <w:snapToGrid w:val="0"/>
        </w:rPr>
      </w:pPr>
      <w:bookmarkStart w:id="869" w:name="_Toc75863493"/>
      <w:r>
        <w:rPr>
          <w:rStyle w:val="CharSectno"/>
        </w:rPr>
        <w:t>6</w:t>
      </w:r>
      <w:r>
        <w:rPr>
          <w:snapToGrid w:val="0"/>
        </w:rPr>
        <w:t>.</w:t>
      </w:r>
      <w:r>
        <w:rPr>
          <w:snapToGrid w:val="0"/>
        </w:rPr>
        <w:tab/>
        <w:t>Judgment for accounts etc., power to bind persons in some cases</w:t>
      </w:r>
      <w:bookmarkEnd w:id="869"/>
    </w:p>
    <w:p w:rsidR="00425758" w:rsidRDefault="00425758">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rsidR="00425758" w:rsidRDefault="00425758">
      <w:pPr>
        <w:pStyle w:val="Heading5"/>
        <w:rPr>
          <w:snapToGrid w:val="0"/>
        </w:rPr>
      </w:pPr>
      <w:bookmarkStart w:id="870" w:name="_Toc75863494"/>
      <w:r>
        <w:rPr>
          <w:rStyle w:val="CharSectno"/>
        </w:rPr>
        <w:t>7</w:t>
      </w:r>
      <w:r>
        <w:rPr>
          <w:snapToGrid w:val="0"/>
        </w:rPr>
        <w:t>.</w:t>
      </w:r>
      <w:r>
        <w:rPr>
          <w:snapToGrid w:val="0"/>
        </w:rPr>
        <w:tab/>
        <w:t>Procedure where some parties not served etc.</w:t>
      </w:r>
      <w:bookmarkEnd w:id="870"/>
    </w:p>
    <w:p w:rsidR="00425758" w:rsidRDefault="00425758">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rsidR="00425758" w:rsidRDefault="00425758">
      <w:pPr>
        <w:pStyle w:val="Heading5"/>
        <w:rPr>
          <w:snapToGrid w:val="0"/>
        </w:rPr>
      </w:pPr>
      <w:bookmarkStart w:id="871" w:name="_Toc75863495"/>
      <w:r>
        <w:rPr>
          <w:rStyle w:val="CharSectno"/>
        </w:rPr>
        <w:lastRenderedPageBreak/>
        <w:t>8</w:t>
      </w:r>
      <w:r>
        <w:rPr>
          <w:snapToGrid w:val="0"/>
        </w:rPr>
        <w:t>.</w:t>
      </w:r>
      <w:r>
        <w:rPr>
          <w:snapToGrid w:val="0"/>
        </w:rPr>
        <w:tab/>
        <w:t>Course of proceedings in chambers</w:t>
      </w:r>
      <w:bookmarkEnd w:id="871"/>
    </w:p>
    <w:p w:rsidR="00425758" w:rsidRDefault="00425758">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rsidR="00425758" w:rsidRDefault="00425758">
      <w:pPr>
        <w:pStyle w:val="Heading3"/>
      </w:pPr>
      <w:bookmarkStart w:id="872" w:name="_Toc75512400"/>
      <w:bookmarkStart w:id="873" w:name="_Toc75863496"/>
      <w:r>
        <w:rPr>
          <w:rStyle w:val="CharDivNo"/>
        </w:rPr>
        <w:t>Division 3</w:t>
      </w:r>
      <w:r>
        <w:t> — </w:t>
      </w:r>
      <w:r>
        <w:rPr>
          <w:rStyle w:val="CharDivText"/>
        </w:rPr>
        <w:t>Attendances</w:t>
      </w:r>
      <w:bookmarkEnd w:id="872"/>
      <w:bookmarkEnd w:id="873"/>
    </w:p>
    <w:p w:rsidR="00425758" w:rsidRDefault="00425758">
      <w:pPr>
        <w:pStyle w:val="Footnoteheading"/>
      </w:pPr>
      <w:r>
        <w:tab/>
        <w:t xml:space="preserve">[Heading inserted: Gazette 22 Feb 2008 p. 639.] </w:t>
      </w:r>
    </w:p>
    <w:p w:rsidR="00425758" w:rsidRDefault="00425758">
      <w:pPr>
        <w:pStyle w:val="Heading5"/>
        <w:spacing w:before="240"/>
        <w:rPr>
          <w:snapToGrid w:val="0"/>
        </w:rPr>
      </w:pPr>
      <w:bookmarkStart w:id="874" w:name="_Toc75863497"/>
      <w:r>
        <w:rPr>
          <w:rStyle w:val="CharSectno"/>
        </w:rPr>
        <w:t>9</w:t>
      </w:r>
      <w:r>
        <w:rPr>
          <w:snapToGrid w:val="0"/>
        </w:rPr>
        <w:t>.</w:t>
      </w:r>
      <w:r>
        <w:rPr>
          <w:snapToGrid w:val="0"/>
        </w:rPr>
        <w:tab/>
        <w:t>Classifying interests of parties</w:t>
      </w:r>
      <w:bookmarkEnd w:id="874"/>
    </w:p>
    <w:p w:rsidR="00425758" w:rsidRDefault="00425758">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rsidR="00425758" w:rsidRDefault="00425758">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rsidR="00425758" w:rsidRDefault="00425758">
      <w:pPr>
        <w:pStyle w:val="Heading5"/>
        <w:rPr>
          <w:snapToGrid w:val="0"/>
        </w:rPr>
      </w:pPr>
      <w:bookmarkStart w:id="875" w:name="_Toc75863498"/>
      <w:r>
        <w:rPr>
          <w:rStyle w:val="CharSectno"/>
        </w:rPr>
        <w:lastRenderedPageBreak/>
        <w:t>10</w:t>
      </w:r>
      <w:r>
        <w:rPr>
          <w:snapToGrid w:val="0"/>
        </w:rPr>
        <w:t>.</w:t>
      </w:r>
      <w:r>
        <w:rPr>
          <w:snapToGrid w:val="0"/>
        </w:rPr>
        <w:tab/>
        <w:t>Judge may require distinct solicitor to represent parties</w:t>
      </w:r>
      <w:bookmarkEnd w:id="875"/>
    </w:p>
    <w:p w:rsidR="00425758" w:rsidRDefault="00425758">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rsidR="00425758" w:rsidRDefault="00425758">
      <w:pPr>
        <w:pStyle w:val="Heading5"/>
        <w:rPr>
          <w:snapToGrid w:val="0"/>
        </w:rPr>
      </w:pPr>
      <w:bookmarkStart w:id="876" w:name="_Toc75863499"/>
      <w:r>
        <w:rPr>
          <w:rStyle w:val="CharSectno"/>
        </w:rPr>
        <w:t>11</w:t>
      </w:r>
      <w:r>
        <w:rPr>
          <w:snapToGrid w:val="0"/>
        </w:rPr>
        <w:t>.</w:t>
      </w:r>
      <w:r>
        <w:rPr>
          <w:snapToGrid w:val="0"/>
        </w:rPr>
        <w:tab/>
        <w:t>Attendance of parties not directed to attend</w:t>
      </w:r>
      <w:bookmarkEnd w:id="876"/>
    </w:p>
    <w:p w:rsidR="00425758" w:rsidRDefault="00425758">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rsidR="00425758" w:rsidRDefault="00425758">
      <w:pPr>
        <w:pStyle w:val="Heading5"/>
        <w:rPr>
          <w:snapToGrid w:val="0"/>
        </w:rPr>
      </w:pPr>
      <w:bookmarkStart w:id="877" w:name="_Toc75863500"/>
      <w:r>
        <w:rPr>
          <w:rStyle w:val="CharSectno"/>
        </w:rPr>
        <w:t>12</w:t>
      </w:r>
      <w:r>
        <w:rPr>
          <w:snapToGrid w:val="0"/>
        </w:rPr>
        <w:t>.</w:t>
      </w:r>
      <w:r>
        <w:rPr>
          <w:snapToGrid w:val="0"/>
        </w:rPr>
        <w:tab/>
        <w:t>Order stating parties directed to attend</w:t>
      </w:r>
      <w:bookmarkEnd w:id="877"/>
    </w:p>
    <w:p w:rsidR="00425758" w:rsidRDefault="00425758">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rsidR="00425758" w:rsidRDefault="00425758">
      <w:pPr>
        <w:pStyle w:val="Heading3"/>
      </w:pPr>
      <w:bookmarkStart w:id="878" w:name="_Toc75512405"/>
      <w:bookmarkStart w:id="879" w:name="_Toc75863501"/>
      <w:r>
        <w:rPr>
          <w:rStyle w:val="CharDivNo"/>
        </w:rPr>
        <w:t>Division 4</w:t>
      </w:r>
      <w:r>
        <w:t> — </w:t>
      </w:r>
      <w:r>
        <w:rPr>
          <w:rStyle w:val="CharDivText"/>
        </w:rPr>
        <w:t>Claims of creditors and other claimants</w:t>
      </w:r>
      <w:bookmarkEnd w:id="878"/>
      <w:bookmarkEnd w:id="879"/>
    </w:p>
    <w:p w:rsidR="00425758" w:rsidRDefault="00425758">
      <w:pPr>
        <w:pStyle w:val="Footnoteheading"/>
      </w:pPr>
      <w:r>
        <w:tab/>
        <w:t xml:space="preserve">[Heading inserted: Gazette 22 Feb 2008 p. 639.] </w:t>
      </w:r>
    </w:p>
    <w:p w:rsidR="00425758" w:rsidRDefault="00425758">
      <w:pPr>
        <w:pStyle w:val="Heading5"/>
        <w:rPr>
          <w:snapToGrid w:val="0"/>
        </w:rPr>
      </w:pPr>
      <w:bookmarkStart w:id="880" w:name="_Toc75863502"/>
      <w:r>
        <w:rPr>
          <w:rStyle w:val="CharSectno"/>
        </w:rPr>
        <w:t>13</w:t>
      </w:r>
      <w:r>
        <w:rPr>
          <w:snapToGrid w:val="0"/>
        </w:rPr>
        <w:t>.</w:t>
      </w:r>
      <w:r>
        <w:rPr>
          <w:snapToGrid w:val="0"/>
        </w:rPr>
        <w:tab/>
        <w:t>Advertisements for creditors etc., power to direct</w:t>
      </w:r>
      <w:bookmarkEnd w:id="880"/>
    </w:p>
    <w:p w:rsidR="00425758" w:rsidRDefault="00425758">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rsidR="00425758" w:rsidRDefault="00425758">
      <w:pPr>
        <w:pStyle w:val="Heading5"/>
        <w:spacing w:before="180"/>
        <w:rPr>
          <w:snapToGrid w:val="0"/>
        </w:rPr>
      </w:pPr>
      <w:bookmarkStart w:id="881" w:name="_Toc75863503"/>
      <w:r>
        <w:rPr>
          <w:rStyle w:val="CharSectno"/>
        </w:rPr>
        <w:lastRenderedPageBreak/>
        <w:t>14</w:t>
      </w:r>
      <w:r>
        <w:rPr>
          <w:snapToGrid w:val="0"/>
        </w:rPr>
        <w:t>.</w:t>
      </w:r>
      <w:r>
        <w:rPr>
          <w:snapToGrid w:val="0"/>
        </w:rPr>
        <w:tab/>
        <w:t>Advertisements, preparation etc. of</w:t>
      </w:r>
      <w:bookmarkEnd w:id="881"/>
    </w:p>
    <w:p w:rsidR="00425758" w:rsidRDefault="00425758">
      <w:pPr>
        <w:pStyle w:val="Subsection"/>
        <w:rPr>
          <w:snapToGrid w:val="0"/>
        </w:rPr>
      </w:pPr>
      <w:r>
        <w:rPr>
          <w:snapToGrid w:val="0"/>
        </w:rPr>
        <w:tab/>
      </w:r>
      <w:r>
        <w:rPr>
          <w:snapToGrid w:val="0"/>
        </w:rPr>
        <w:tab/>
        <w:t>Every such advertisement shall be prepared by the party prosecuting the judgment, and — </w:t>
      </w:r>
    </w:p>
    <w:p w:rsidR="00425758" w:rsidRDefault="00425758">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rsidR="00425758" w:rsidRDefault="00425758">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rsidR="00425758" w:rsidRDefault="00425758">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rsidR="00425758" w:rsidRDefault="00425758">
      <w:pPr>
        <w:pStyle w:val="Heading5"/>
        <w:rPr>
          <w:snapToGrid w:val="0"/>
        </w:rPr>
      </w:pPr>
      <w:bookmarkStart w:id="882" w:name="_Toc75863504"/>
      <w:r>
        <w:rPr>
          <w:rStyle w:val="CharSectno"/>
        </w:rPr>
        <w:t>15</w:t>
      </w:r>
      <w:r>
        <w:rPr>
          <w:snapToGrid w:val="0"/>
        </w:rPr>
        <w:t>.</w:t>
      </w:r>
      <w:r>
        <w:rPr>
          <w:snapToGrid w:val="0"/>
        </w:rPr>
        <w:tab/>
        <w:t>Advertisements, contents of</w:t>
      </w:r>
      <w:bookmarkEnd w:id="882"/>
    </w:p>
    <w:p w:rsidR="00425758" w:rsidRDefault="00425758">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rsidR="00425758" w:rsidRDefault="00425758">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rsidR="00425758" w:rsidRDefault="00425758">
      <w:pPr>
        <w:pStyle w:val="Heading5"/>
      </w:pPr>
      <w:bookmarkStart w:id="883" w:name="_Toc75863505"/>
      <w:r>
        <w:rPr>
          <w:rStyle w:val="CharSectno"/>
        </w:rPr>
        <w:t>15A</w:t>
      </w:r>
      <w:r>
        <w:t>.</w:t>
      </w:r>
      <w:r>
        <w:tab/>
        <w:t>Claims to state claimant’s contact details</w:t>
      </w:r>
      <w:bookmarkEnd w:id="883"/>
    </w:p>
    <w:p w:rsidR="00425758" w:rsidRDefault="00425758">
      <w:pPr>
        <w:pStyle w:val="Subsection"/>
      </w:pPr>
      <w:r>
        <w:tab/>
      </w:r>
      <w:r>
        <w:tab/>
        <w:t>A claim made under this Order by a claimant must, in accordance with Order 71A, state —</w:t>
      </w:r>
    </w:p>
    <w:p w:rsidR="00425758" w:rsidRDefault="00425758">
      <w:pPr>
        <w:pStyle w:val="Indenta"/>
      </w:pPr>
      <w:r>
        <w:tab/>
        <w:t>(a)</w:t>
      </w:r>
      <w:r>
        <w:tab/>
        <w:t>the claimant’s geographical address; and</w:t>
      </w:r>
    </w:p>
    <w:p w:rsidR="00425758" w:rsidRDefault="00425758">
      <w:pPr>
        <w:pStyle w:val="Indenta"/>
      </w:pPr>
      <w:r>
        <w:tab/>
        <w:t>(b)</w:t>
      </w:r>
      <w:r>
        <w:tab/>
        <w:t>the claimant’s service details.</w:t>
      </w:r>
    </w:p>
    <w:p w:rsidR="00425758" w:rsidRDefault="00425758">
      <w:pPr>
        <w:pStyle w:val="Footnotesection"/>
        <w:ind w:left="890" w:hanging="890"/>
      </w:pPr>
      <w:r>
        <w:tab/>
        <w:t>[Rule 15A inserted: Gazette 21 Feb 2007 p. 564.]</w:t>
      </w:r>
    </w:p>
    <w:p w:rsidR="00425758" w:rsidRDefault="00425758">
      <w:pPr>
        <w:pStyle w:val="Heading5"/>
        <w:rPr>
          <w:snapToGrid w:val="0"/>
        </w:rPr>
      </w:pPr>
      <w:bookmarkStart w:id="884" w:name="_Toc75863506"/>
      <w:r>
        <w:rPr>
          <w:rStyle w:val="CharSectno"/>
        </w:rPr>
        <w:t>16</w:t>
      </w:r>
      <w:r>
        <w:rPr>
          <w:snapToGrid w:val="0"/>
        </w:rPr>
        <w:t>.</w:t>
      </w:r>
      <w:r>
        <w:rPr>
          <w:snapToGrid w:val="0"/>
        </w:rPr>
        <w:tab/>
        <w:t>Failure to claim within specified time</w:t>
      </w:r>
      <w:bookmarkEnd w:id="884"/>
    </w:p>
    <w:p w:rsidR="00425758" w:rsidRDefault="00425758">
      <w:pPr>
        <w:pStyle w:val="Subsection"/>
        <w:rPr>
          <w:snapToGrid w:val="0"/>
        </w:rPr>
      </w:pPr>
      <w:r>
        <w:rPr>
          <w:snapToGrid w:val="0"/>
        </w:rPr>
        <w:tab/>
      </w:r>
      <w:r>
        <w:rPr>
          <w:snapToGrid w:val="0"/>
        </w:rPr>
        <w:tab/>
        <w:t xml:space="preserve">A claimant who does not send full particulars of his claim to the person named in the advertisement within the time therein specified shall not be entitled to prove his claim except with the </w:t>
      </w:r>
      <w:r>
        <w:rPr>
          <w:snapToGrid w:val="0"/>
        </w:rPr>
        <w:lastRenderedPageBreak/>
        <w:t>leave of the Court, and in granting such leave the Court may impose such terms as to costs and otherwise as it thinks just.</w:t>
      </w:r>
    </w:p>
    <w:p w:rsidR="00425758" w:rsidRDefault="00425758">
      <w:pPr>
        <w:pStyle w:val="Heading5"/>
        <w:rPr>
          <w:snapToGrid w:val="0"/>
        </w:rPr>
      </w:pPr>
      <w:bookmarkStart w:id="885" w:name="_Toc75863507"/>
      <w:r>
        <w:rPr>
          <w:rStyle w:val="CharSectno"/>
        </w:rPr>
        <w:t>17</w:t>
      </w:r>
      <w:r>
        <w:rPr>
          <w:snapToGrid w:val="0"/>
        </w:rPr>
        <w:t>.</w:t>
      </w:r>
      <w:r>
        <w:rPr>
          <w:snapToGrid w:val="0"/>
        </w:rPr>
        <w:tab/>
        <w:t>Examination and verification of claims</w:t>
      </w:r>
      <w:bookmarkEnd w:id="885"/>
    </w:p>
    <w:p w:rsidR="00425758" w:rsidRDefault="00425758">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rsidR="00425758" w:rsidRDefault="00425758">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rsidR="00425758" w:rsidRDefault="00425758">
      <w:pPr>
        <w:pStyle w:val="Indenta"/>
        <w:rPr>
          <w:snapToGrid w:val="0"/>
        </w:rPr>
      </w:pPr>
      <w:r>
        <w:rPr>
          <w:snapToGrid w:val="0"/>
        </w:rPr>
        <w:tab/>
        <w:t>(b)</w:t>
      </w:r>
      <w:r>
        <w:rPr>
          <w:snapToGrid w:val="0"/>
        </w:rPr>
        <w:tab/>
        <w:t>at least 7 clear days before the time appointed for adjudicating on claims make an affidavit verifying lists of — </w:t>
      </w:r>
    </w:p>
    <w:p w:rsidR="00425758" w:rsidRDefault="00425758">
      <w:pPr>
        <w:pStyle w:val="Indenti"/>
        <w:rPr>
          <w:snapToGrid w:val="0"/>
        </w:rPr>
      </w:pPr>
      <w:r>
        <w:rPr>
          <w:snapToGrid w:val="0"/>
        </w:rPr>
        <w:tab/>
        <w:t>(i)</w:t>
      </w:r>
      <w:r>
        <w:rPr>
          <w:snapToGrid w:val="0"/>
        </w:rPr>
        <w:tab/>
        <w:t>claims sent in pursuance of any advertisement; and</w:t>
      </w:r>
    </w:p>
    <w:p w:rsidR="00425758" w:rsidRDefault="00425758">
      <w:pPr>
        <w:pStyle w:val="Indenti"/>
        <w:rPr>
          <w:snapToGrid w:val="0"/>
        </w:rPr>
      </w:pPr>
      <w:r>
        <w:rPr>
          <w:snapToGrid w:val="0"/>
        </w:rPr>
        <w:tab/>
        <w:t>(ii)</w:t>
      </w:r>
      <w:r>
        <w:rPr>
          <w:snapToGrid w:val="0"/>
        </w:rPr>
        <w:tab/>
        <w:t>claims received by any of the personal representatives otherwise than in pursuance of an advertisement; and</w:t>
      </w:r>
    </w:p>
    <w:p w:rsidR="00425758" w:rsidRDefault="00425758">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rsidR="00425758" w:rsidRDefault="00425758">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rsidR="00425758" w:rsidRDefault="00425758">
      <w:pPr>
        <w:pStyle w:val="Indenta"/>
        <w:rPr>
          <w:snapToGrid w:val="0"/>
        </w:rPr>
      </w:pPr>
      <w:r>
        <w:rPr>
          <w:snapToGrid w:val="0"/>
        </w:rPr>
        <w:tab/>
        <w:t>(a)</w:t>
      </w:r>
      <w:r>
        <w:rPr>
          <w:snapToGrid w:val="0"/>
        </w:rPr>
        <w:tab/>
        <w:t>examine the claims and determine, so far as he is able, which of them are valid claims; and</w:t>
      </w:r>
    </w:p>
    <w:p w:rsidR="00425758" w:rsidRDefault="00425758">
      <w:pPr>
        <w:pStyle w:val="Indenta"/>
        <w:rPr>
          <w:snapToGrid w:val="0"/>
        </w:rPr>
      </w:pPr>
      <w:r>
        <w:rPr>
          <w:snapToGrid w:val="0"/>
        </w:rPr>
        <w:tab/>
        <w:t>(b)</w:t>
      </w:r>
      <w:r>
        <w:rPr>
          <w:snapToGrid w:val="0"/>
        </w:rPr>
        <w:tab/>
        <w:t>at least 7 clear days before the time appointed for adjudicating on claims, make an affidavit verifying lists of — </w:t>
      </w:r>
    </w:p>
    <w:p w:rsidR="00425758" w:rsidRDefault="00425758">
      <w:pPr>
        <w:pStyle w:val="Indenti"/>
        <w:rPr>
          <w:snapToGrid w:val="0"/>
        </w:rPr>
      </w:pPr>
      <w:r>
        <w:rPr>
          <w:snapToGrid w:val="0"/>
        </w:rPr>
        <w:tab/>
        <w:t>(i)</w:t>
      </w:r>
      <w:r>
        <w:rPr>
          <w:snapToGrid w:val="0"/>
        </w:rPr>
        <w:tab/>
        <w:t>claims sent in pursuance of any advertisement; and</w:t>
      </w:r>
    </w:p>
    <w:p w:rsidR="00425758" w:rsidRDefault="00425758">
      <w:pPr>
        <w:pStyle w:val="Indenti"/>
        <w:rPr>
          <w:snapToGrid w:val="0"/>
        </w:rPr>
      </w:pPr>
      <w:r>
        <w:rPr>
          <w:snapToGrid w:val="0"/>
        </w:rPr>
        <w:lastRenderedPageBreak/>
        <w:tab/>
        <w:t>(ii)</w:t>
      </w:r>
      <w:r>
        <w:rPr>
          <w:snapToGrid w:val="0"/>
        </w:rPr>
        <w:tab/>
        <w:t>claims received by any of the personal representatives or trustees, otherwise than in pursuance of an advertisement, or which have come to his knowledge.</w:t>
      </w:r>
    </w:p>
    <w:p w:rsidR="00425758" w:rsidRDefault="00425758">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rsidR="00425758" w:rsidRDefault="00425758">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rsidR="00425758" w:rsidRDefault="00425758">
      <w:pPr>
        <w:pStyle w:val="Footnotesection"/>
      </w:pPr>
      <w:r>
        <w:tab/>
        <w:t>[Rule 17 amended: Gazette 28 Jun 2011 p. 2552</w:t>
      </w:r>
      <w:r>
        <w:noBreakHyphen/>
        <w:t>3.]</w:t>
      </w:r>
    </w:p>
    <w:p w:rsidR="00425758" w:rsidRDefault="00425758">
      <w:pPr>
        <w:pStyle w:val="Heading5"/>
        <w:rPr>
          <w:snapToGrid w:val="0"/>
        </w:rPr>
      </w:pPr>
      <w:bookmarkStart w:id="886" w:name="_Toc75863508"/>
      <w:r>
        <w:rPr>
          <w:rStyle w:val="CharSectno"/>
        </w:rPr>
        <w:t>18</w:t>
      </w:r>
      <w:r>
        <w:rPr>
          <w:snapToGrid w:val="0"/>
        </w:rPr>
        <w:t>.</w:t>
      </w:r>
      <w:r>
        <w:rPr>
          <w:snapToGrid w:val="0"/>
        </w:rPr>
        <w:tab/>
        <w:t>Adjudicating on claims</w:t>
      </w:r>
      <w:bookmarkEnd w:id="886"/>
    </w:p>
    <w:p w:rsidR="00425758" w:rsidRDefault="00425758">
      <w:pPr>
        <w:pStyle w:val="Subsection"/>
        <w:rPr>
          <w:snapToGrid w:val="0"/>
        </w:rPr>
      </w:pPr>
      <w:r>
        <w:rPr>
          <w:snapToGrid w:val="0"/>
        </w:rPr>
        <w:tab/>
        <w:t>(1)</w:t>
      </w:r>
      <w:r>
        <w:rPr>
          <w:snapToGrid w:val="0"/>
        </w:rPr>
        <w:tab/>
        <w:t>When adjudicating on the claims the Court — </w:t>
      </w:r>
    </w:p>
    <w:p w:rsidR="00425758" w:rsidRDefault="00425758">
      <w:pPr>
        <w:pStyle w:val="Indenta"/>
        <w:spacing w:before="70"/>
        <w:rPr>
          <w:snapToGrid w:val="0"/>
        </w:rPr>
      </w:pPr>
      <w:r>
        <w:rPr>
          <w:snapToGrid w:val="0"/>
        </w:rPr>
        <w:tab/>
        <w:t>(a)</w:t>
      </w:r>
      <w:r>
        <w:rPr>
          <w:snapToGrid w:val="0"/>
        </w:rPr>
        <w:tab/>
        <w:t>may allow any of such claims without proof thereof;</w:t>
      </w:r>
    </w:p>
    <w:p w:rsidR="00425758" w:rsidRDefault="00425758">
      <w:pPr>
        <w:pStyle w:val="Indenta"/>
        <w:spacing w:before="70"/>
        <w:rPr>
          <w:snapToGrid w:val="0"/>
        </w:rPr>
      </w:pPr>
      <w:r>
        <w:rPr>
          <w:snapToGrid w:val="0"/>
        </w:rPr>
        <w:tab/>
        <w:t>(b)</w:t>
      </w:r>
      <w:r>
        <w:rPr>
          <w:snapToGrid w:val="0"/>
        </w:rPr>
        <w:tab/>
        <w:t>may direct all or any of such claims to be investigated in such manner as it thinks fit;</w:t>
      </w:r>
    </w:p>
    <w:p w:rsidR="00425758" w:rsidRDefault="00425758">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rsidR="00425758" w:rsidRDefault="00425758">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rsidR="00425758" w:rsidRDefault="00425758">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rsidR="00425758" w:rsidRDefault="00425758">
      <w:pPr>
        <w:pStyle w:val="Indenta"/>
        <w:rPr>
          <w:snapToGrid w:val="0"/>
        </w:rPr>
      </w:pPr>
      <w:r>
        <w:rPr>
          <w:snapToGrid w:val="0"/>
        </w:rPr>
        <w:lastRenderedPageBreak/>
        <w:tab/>
        <w:t>(b)</w:t>
      </w:r>
      <w:r>
        <w:rPr>
          <w:snapToGrid w:val="0"/>
        </w:rPr>
        <w:tab/>
        <w:t xml:space="preserve">to </w:t>
      </w:r>
      <w:r>
        <w:t>file</w:t>
      </w:r>
      <w:r>
        <w:rPr>
          <w:snapToGrid w:val="0"/>
        </w:rPr>
        <w:t xml:space="preserve"> at such time as may be so specified such documents in support of his claim as may be so specified or described.</w:t>
      </w:r>
    </w:p>
    <w:p w:rsidR="00425758" w:rsidRDefault="00425758">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rsidR="00425758" w:rsidRDefault="00425758">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rsidR="00425758" w:rsidRDefault="00425758">
      <w:pPr>
        <w:pStyle w:val="Subsection"/>
      </w:pPr>
      <w:r>
        <w:tab/>
        <w:t>(5)</w:t>
      </w:r>
      <w:r>
        <w:tab/>
        <w:t>A person claiming to be a creditor need not make an affidavit or attend in support of the claim, unless the person has been served with a notice under subrule (2)(a).</w:t>
      </w:r>
    </w:p>
    <w:p w:rsidR="00425758" w:rsidRDefault="00425758">
      <w:pPr>
        <w:pStyle w:val="Subsection"/>
      </w:pPr>
      <w:r>
        <w:tab/>
        <w:t>(6)</w:t>
      </w:r>
      <w:r>
        <w:tab/>
        <w:t>Unless the Court otherwise directs, a person claiming to be a secured creditor must file evidence of the security interest claimed.</w:t>
      </w:r>
    </w:p>
    <w:p w:rsidR="00425758" w:rsidRDefault="00425758">
      <w:pPr>
        <w:pStyle w:val="Subsection"/>
        <w:spacing w:before="140"/>
        <w:rPr>
          <w:snapToGrid w:val="0"/>
        </w:rPr>
      </w:pPr>
      <w:r>
        <w:rPr>
          <w:snapToGrid w:val="0"/>
        </w:rPr>
        <w:tab/>
        <w:t>(7)</w:t>
      </w:r>
      <w:r>
        <w:rPr>
          <w:snapToGrid w:val="0"/>
        </w:rPr>
        <w:tab/>
        <w:t>In this rule references to a claim include references to a part of a claim.</w:t>
      </w:r>
    </w:p>
    <w:p w:rsidR="00425758" w:rsidRDefault="00425758">
      <w:pPr>
        <w:pStyle w:val="Footnotesection"/>
      </w:pPr>
      <w:r>
        <w:tab/>
        <w:t>[Rule 18 amended: Gazette 28 Jun 2011 p. 2552; 27 Feb 2018 p. 573-4.]</w:t>
      </w:r>
    </w:p>
    <w:p w:rsidR="00425758" w:rsidRDefault="00425758">
      <w:pPr>
        <w:pStyle w:val="Heading5"/>
        <w:rPr>
          <w:snapToGrid w:val="0"/>
        </w:rPr>
      </w:pPr>
      <w:bookmarkStart w:id="887" w:name="_Toc75863509"/>
      <w:r>
        <w:rPr>
          <w:rStyle w:val="CharSectno"/>
        </w:rPr>
        <w:t>19</w:t>
      </w:r>
      <w:r>
        <w:rPr>
          <w:snapToGrid w:val="0"/>
        </w:rPr>
        <w:t>.</w:t>
      </w:r>
      <w:r>
        <w:rPr>
          <w:snapToGrid w:val="0"/>
        </w:rPr>
        <w:tab/>
        <w:t>Adjourning adjudications; fixing time for filing evidence etc.</w:t>
      </w:r>
      <w:bookmarkEnd w:id="887"/>
    </w:p>
    <w:p w:rsidR="00425758" w:rsidRDefault="00425758">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rsidR="00425758" w:rsidRDefault="00425758">
      <w:pPr>
        <w:pStyle w:val="Heading5"/>
        <w:rPr>
          <w:snapToGrid w:val="0"/>
        </w:rPr>
      </w:pPr>
      <w:bookmarkStart w:id="888" w:name="_Toc75863510"/>
      <w:r>
        <w:rPr>
          <w:rStyle w:val="CharSectno"/>
        </w:rPr>
        <w:t>20</w:t>
      </w:r>
      <w:r>
        <w:rPr>
          <w:snapToGrid w:val="0"/>
        </w:rPr>
        <w:t>.</w:t>
      </w:r>
      <w:r>
        <w:rPr>
          <w:snapToGrid w:val="0"/>
        </w:rPr>
        <w:tab/>
        <w:t>Service of notice of judgment on certain claimants</w:t>
      </w:r>
      <w:bookmarkEnd w:id="888"/>
    </w:p>
    <w:p w:rsidR="00425758" w:rsidRDefault="00425758">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rsidR="00425758" w:rsidRDefault="00425758">
      <w:pPr>
        <w:pStyle w:val="Subsection"/>
        <w:spacing w:before="140"/>
        <w:rPr>
          <w:snapToGrid w:val="0"/>
        </w:rPr>
      </w:pPr>
      <w:r>
        <w:rPr>
          <w:snapToGrid w:val="0"/>
        </w:rPr>
        <w:lastRenderedPageBreak/>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rsidR="00425758" w:rsidRDefault="00425758">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rsidR="00425758" w:rsidRDefault="00425758">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rsidR="00425758" w:rsidRDefault="00425758">
      <w:pPr>
        <w:pStyle w:val="Footnotesection"/>
        <w:spacing w:before="100"/>
        <w:ind w:left="890" w:hanging="890"/>
      </w:pPr>
      <w:r>
        <w:tab/>
        <w:t>[Rule 20 amended: Gazette 28 Jun 2011 p. 2552.]</w:t>
      </w:r>
    </w:p>
    <w:p w:rsidR="00425758" w:rsidRDefault="00425758">
      <w:pPr>
        <w:pStyle w:val="Heading5"/>
        <w:rPr>
          <w:snapToGrid w:val="0"/>
        </w:rPr>
      </w:pPr>
      <w:bookmarkStart w:id="889" w:name="_Toc75863511"/>
      <w:r>
        <w:rPr>
          <w:rStyle w:val="CharSectno"/>
        </w:rPr>
        <w:t>21</w:t>
      </w:r>
      <w:r>
        <w:rPr>
          <w:snapToGrid w:val="0"/>
        </w:rPr>
        <w:t>.</w:t>
      </w:r>
      <w:r>
        <w:rPr>
          <w:snapToGrid w:val="0"/>
        </w:rPr>
        <w:tab/>
        <w:t>Notice of claims allowed or disallowed</w:t>
      </w:r>
      <w:bookmarkEnd w:id="889"/>
    </w:p>
    <w:p w:rsidR="00425758" w:rsidRDefault="00425758">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rsidR="00425758" w:rsidRDefault="00425758">
      <w:pPr>
        <w:pStyle w:val="Subsection"/>
        <w:rPr>
          <w:snapToGrid w:val="0"/>
        </w:rPr>
      </w:pPr>
      <w:r>
        <w:rPr>
          <w:snapToGrid w:val="0"/>
        </w:rPr>
        <w:tab/>
        <w:t>(2)</w:t>
      </w:r>
      <w:r>
        <w:rPr>
          <w:snapToGrid w:val="0"/>
        </w:rPr>
        <w:tab/>
        <w:t xml:space="preserve">Such party as the Court shall direct must make out a list of the creditors’ claims, and a list of any other claims, allowed and file </w:t>
      </w:r>
      <w:r>
        <w:t>it.</w:t>
      </w:r>
    </w:p>
    <w:p w:rsidR="00425758" w:rsidRDefault="00425758">
      <w:pPr>
        <w:pStyle w:val="Footnotesection"/>
        <w:spacing w:before="100"/>
        <w:ind w:left="890" w:hanging="890"/>
      </w:pPr>
      <w:r>
        <w:rPr>
          <w:i w:val="0"/>
        </w:rPr>
        <w:tab/>
      </w:r>
      <w:r>
        <w:t xml:space="preserve">[Rule 21 amended: Gazette 30 Nov 1984 p. 3954; 27 Feb 2018 p. 574.] </w:t>
      </w:r>
    </w:p>
    <w:p w:rsidR="00425758" w:rsidRDefault="00425758">
      <w:pPr>
        <w:pStyle w:val="Ednotesection"/>
      </w:pPr>
      <w:r>
        <w:t>[</w:t>
      </w:r>
      <w:r>
        <w:rPr>
          <w:b/>
        </w:rPr>
        <w:t>22.</w:t>
      </w:r>
      <w:r>
        <w:tab/>
        <w:t>Deleted: Gazette 21 Feb 2007 p. 564.]</w:t>
      </w:r>
    </w:p>
    <w:p w:rsidR="00425758" w:rsidRDefault="00425758">
      <w:pPr>
        <w:pStyle w:val="Heading3"/>
      </w:pPr>
      <w:bookmarkStart w:id="890" w:name="_Toc75512416"/>
      <w:bookmarkStart w:id="891" w:name="_Toc75863512"/>
      <w:r>
        <w:rPr>
          <w:rStyle w:val="CharDivNo"/>
        </w:rPr>
        <w:lastRenderedPageBreak/>
        <w:t>Division 5</w:t>
      </w:r>
      <w:r>
        <w:t> — </w:t>
      </w:r>
      <w:r>
        <w:rPr>
          <w:rStyle w:val="CharDivText"/>
        </w:rPr>
        <w:t>Interest</w:t>
      </w:r>
      <w:bookmarkEnd w:id="890"/>
      <w:bookmarkEnd w:id="891"/>
    </w:p>
    <w:p w:rsidR="00425758" w:rsidRDefault="00425758">
      <w:pPr>
        <w:pStyle w:val="Footnoteheading"/>
        <w:keepNext/>
        <w:spacing w:before="100"/>
      </w:pPr>
      <w:r>
        <w:tab/>
        <w:t xml:space="preserve">[Heading inserted: Gazette 22 Feb 2008 p. 639.] </w:t>
      </w:r>
    </w:p>
    <w:p w:rsidR="00425758" w:rsidRDefault="00425758">
      <w:pPr>
        <w:pStyle w:val="Heading5"/>
        <w:rPr>
          <w:snapToGrid w:val="0"/>
        </w:rPr>
      </w:pPr>
      <w:bookmarkStart w:id="892" w:name="_Toc75863513"/>
      <w:r>
        <w:rPr>
          <w:rStyle w:val="CharSectno"/>
        </w:rPr>
        <w:t>23</w:t>
      </w:r>
      <w:r>
        <w:rPr>
          <w:snapToGrid w:val="0"/>
        </w:rPr>
        <w:t>.</w:t>
      </w:r>
      <w:r>
        <w:rPr>
          <w:snapToGrid w:val="0"/>
        </w:rPr>
        <w:tab/>
        <w:t>Interest on debts</w:t>
      </w:r>
      <w:bookmarkEnd w:id="892"/>
    </w:p>
    <w:p w:rsidR="00425758" w:rsidRDefault="00425758">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rsidR="00425758" w:rsidRDefault="00425758">
      <w:pPr>
        <w:pStyle w:val="Indenta"/>
        <w:spacing w:before="60"/>
        <w:rPr>
          <w:snapToGrid w:val="0"/>
        </w:rPr>
      </w:pPr>
      <w:r>
        <w:rPr>
          <w:snapToGrid w:val="0"/>
        </w:rPr>
        <w:tab/>
        <w:t>(a)</w:t>
      </w:r>
      <w:r>
        <w:rPr>
          <w:snapToGrid w:val="0"/>
        </w:rPr>
        <w:tab/>
        <w:t>on any such debt as carries interest, at the rate it carries; and</w:t>
      </w:r>
    </w:p>
    <w:p w:rsidR="00425758" w:rsidRDefault="00425758">
      <w:pPr>
        <w:pStyle w:val="Indenta"/>
        <w:rPr>
          <w:snapToGrid w:val="0"/>
        </w:rPr>
      </w:pPr>
      <w:r>
        <w:rPr>
          <w:snapToGrid w:val="0"/>
        </w:rPr>
        <w:tab/>
        <w:t>(b)</w:t>
      </w:r>
      <w:r>
        <w:rPr>
          <w:snapToGrid w:val="0"/>
        </w:rPr>
        <w:tab/>
        <w:t>on any other debt, at the rate of 5% per annum from the date of the judgment.</w:t>
      </w:r>
    </w:p>
    <w:p w:rsidR="00425758" w:rsidRDefault="00425758">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rsidR="00425758" w:rsidRDefault="00425758">
      <w:pPr>
        <w:pStyle w:val="Heading5"/>
        <w:spacing w:before="180"/>
        <w:rPr>
          <w:snapToGrid w:val="0"/>
        </w:rPr>
      </w:pPr>
      <w:bookmarkStart w:id="893" w:name="_Toc75863514"/>
      <w:r>
        <w:rPr>
          <w:rStyle w:val="CharSectno"/>
        </w:rPr>
        <w:t>24</w:t>
      </w:r>
      <w:r>
        <w:rPr>
          <w:snapToGrid w:val="0"/>
        </w:rPr>
        <w:t>.</w:t>
      </w:r>
      <w:r>
        <w:rPr>
          <w:snapToGrid w:val="0"/>
        </w:rPr>
        <w:tab/>
        <w:t>Interest on legacies</w:t>
      </w:r>
      <w:bookmarkEnd w:id="893"/>
    </w:p>
    <w:p w:rsidR="00425758" w:rsidRDefault="00425758">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rsidR="00425758" w:rsidRDefault="00425758">
      <w:pPr>
        <w:pStyle w:val="Heading3"/>
        <w:keepLines/>
        <w:spacing w:before="200"/>
      </w:pPr>
      <w:bookmarkStart w:id="894" w:name="_Toc75512419"/>
      <w:bookmarkStart w:id="895" w:name="_Toc75863515"/>
      <w:r>
        <w:rPr>
          <w:rStyle w:val="CharDivNo"/>
        </w:rPr>
        <w:t>Division 6</w:t>
      </w:r>
      <w:r>
        <w:t> — </w:t>
      </w:r>
      <w:r>
        <w:rPr>
          <w:rStyle w:val="CharDivText"/>
        </w:rPr>
        <w:t>Masters’ and registrars’ certificates</w:t>
      </w:r>
      <w:bookmarkEnd w:id="894"/>
      <w:bookmarkEnd w:id="895"/>
    </w:p>
    <w:p w:rsidR="00425758" w:rsidRDefault="00425758">
      <w:pPr>
        <w:pStyle w:val="Footnoteheading"/>
        <w:keepNext/>
        <w:keepLines/>
      </w:pPr>
      <w:r>
        <w:tab/>
        <w:t xml:space="preserve">[Heading inserted: Gazette 22 Feb 2008 p. 639.] </w:t>
      </w:r>
    </w:p>
    <w:p w:rsidR="00425758" w:rsidRDefault="00425758">
      <w:pPr>
        <w:pStyle w:val="Heading5"/>
        <w:spacing w:before="180"/>
        <w:rPr>
          <w:snapToGrid w:val="0"/>
        </w:rPr>
      </w:pPr>
      <w:bookmarkStart w:id="896" w:name="_Toc75863516"/>
      <w:r>
        <w:rPr>
          <w:rStyle w:val="CharSectno"/>
        </w:rPr>
        <w:t>25</w:t>
      </w:r>
      <w:r>
        <w:rPr>
          <w:snapToGrid w:val="0"/>
        </w:rPr>
        <w:t>.</w:t>
      </w:r>
      <w:r>
        <w:rPr>
          <w:snapToGrid w:val="0"/>
        </w:rPr>
        <w:tab/>
        <w:t>Master’s certificate</w:t>
      </w:r>
      <w:bookmarkEnd w:id="896"/>
    </w:p>
    <w:p w:rsidR="00425758" w:rsidRDefault="00425758">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rsidR="00425758" w:rsidRDefault="00425758">
      <w:pPr>
        <w:pStyle w:val="Subsection"/>
        <w:spacing w:before="120"/>
        <w:rPr>
          <w:snapToGrid w:val="0"/>
        </w:rPr>
      </w:pPr>
      <w:r>
        <w:rPr>
          <w:snapToGrid w:val="0"/>
        </w:rPr>
        <w:tab/>
        <w:t>(2)</w:t>
      </w:r>
      <w:r>
        <w:rPr>
          <w:snapToGrid w:val="0"/>
        </w:rPr>
        <w:tab/>
        <w:t xml:space="preserve">The certificate of the master shall refer to so much of the judgment, to such documents or parts thereof, and to such of the </w:t>
      </w:r>
      <w:r>
        <w:rPr>
          <w:snapToGrid w:val="0"/>
        </w:rPr>
        <w:lastRenderedPageBreak/>
        <w:t>evidence as will make it clear upon what the result stated in the certificate is founded.</w:t>
      </w:r>
    </w:p>
    <w:p w:rsidR="00425758" w:rsidRDefault="00425758">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rsidR="00425758" w:rsidRDefault="00425758">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rsidR="00425758" w:rsidRDefault="00425758">
      <w:pPr>
        <w:pStyle w:val="Footnotesection"/>
      </w:pPr>
      <w:r>
        <w:tab/>
        <w:t xml:space="preserve">[Rule 25 amended: Gazette 30 Nov 1984 p. 3952; 28 Jun 2011 p. 2552.] </w:t>
      </w:r>
    </w:p>
    <w:p w:rsidR="00425758" w:rsidRDefault="00425758">
      <w:pPr>
        <w:pStyle w:val="Heading5"/>
        <w:spacing w:before="180"/>
        <w:rPr>
          <w:snapToGrid w:val="0"/>
        </w:rPr>
      </w:pPr>
      <w:bookmarkStart w:id="897" w:name="_Toc75863517"/>
      <w:r>
        <w:rPr>
          <w:rStyle w:val="CharSectno"/>
        </w:rPr>
        <w:t>26</w:t>
      </w:r>
      <w:r>
        <w:rPr>
          <w:snapToGrid w:val="0"/>
        </w:rPr>
        <w:t>.</w:t>
      </w:r>
      <w:r>
        <w:rPr>
          <w:snapToGrid w:val="0"/>
        </w:rPr>
        <w:tab/>
        <w:t>Settling and filing master’s certificate</w:t>
      </w:r>
      <w:bookmarkEnd w:id="897"/>
    </w:p>
    <w:p w:rsidR="00425758" w:rsidRDefault="00425758">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rsidR="00425758" w:rsidRDefault="00425758">
      <w:pPr>
        <w:pStyle w:val="Subsection"/>
        <w:rPr>
          <w:snapToGrid w:val="0"/>
        </w:rPr>
      </w:pPr>
      <w:r>
        <w:rPr>
          <w:snapToGrid w:val="0"/>
        </w:rPr>
        <w:tab/>
        <w:t>(2)</w:t>
      </w:r>
      <w:r>
        <w:rPr>
          <w:snapToGrid w:val="0"/>
        </w:rPr>
        <w:tab/>
        <w:t>The draft shall be settled by the parties before the master on an appointment given by him for such purpose.</w:t>
      </w:r>
    </w:p>
    <w:p w:rsidR="00425758" w:rsidRDefault="00425758">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rsidR="00425758" w:rsidRDefault="00425758">
      <w:pPr>
        <w:pStyle w:val="Heading5"/>
        <w:spacing w:before="180"/>
        <w:rPr>
          <w:snapToGrid w:val="0"/>
        </w:rPr>
      </w:pPr>
      <w:bookmarkStart w:id="898" w:name="_Toc75863518"/>
      <w:r>
        <w:rPr>
          <w:rStyle w:val="CharSectno"/>
        </w:rPr>
        <w:t>27</w:t>
      </w:r>
      <w:r>
        <w:rPr>
          <w:snapToGrid w:val="0"/>
        </w:rPr>
        <w:t>.</w:t>
      </w:r>
      <w:r>
        <w:rPr>
          <w:snapToGrid w:val="0"/>
        </w:rPr>
        <w:tab/>
        <w:t>Judge may determine questions in proceedings before master</w:t>
      </w:r>
      <w:bookmarkEnd w:id="898"/>
    </w:p>
    <w:p w:rsidR="00425758" w:rsidRDefault="00425758">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rsidR="00425758" w:rsidRDefault="00425758">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rsidR="00425758" w:rsidRDefault="00425758">
      <w:pPr>
        <w:pStyle w:val="Subsection"/>
        <w:rPr>
          <w:snapToGrid w:val="0"/>
        </w:rPr>
      </w:pPr>
      <w:r>
        <w:rPr>
          <w:snapToGrid w:val="0"/>
        </w:rPr>
        <w:lastRenderedPageBreak/>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rsidR="00425758" w:rsidRDefault="00425758">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rsidR="00425758" w:rsidRDefault="00425758">
      <w:pPr>
        <w:pStyle w:val="Footnotesection"/>
        <w:keepLines w:val="0"/>
        <w:spacing w:before="80"/>
        <w:ind w:left="890" w:hanging="890"/>
      </w:pPr>
      <w:r>
        <w:tab/>
        <w:t>[Rule 27 amended: Gazette 29 Apr 2005 p. 1795; 28 Jun 2011 p. 2552.]</w:t>
      </w:r>
    </w:p>
    <w:p w:rsidR="00425758" w:rsidRDefault="00425758">
      <w:pPr>
        <w:pStyle w:val="Heading5"/>
        <w:rPr>
          <w:snapToGrid w:val="0"/>
        </w:rPr>
      </w:pPr>
      <w:bookmarkStart w:id="899" w:name="_Toc75863519"/>
      <w:r>
        <w:rPr>
          <w:rStyle w:val="CharSectno"/>
        </w:rPr>
        <w:t>28</w:t>
      </w:r>
      <w:r>
        <w:rPr>
          <w:snapToGrid w:val="0"/>
        </w:rPr>
        <w:t>.</w:t>
      </w:r>
      <w:r>
        <w:rPr>
          <w:snapToGrid w:val="0"/>
        </w:rPr>
        <w:tab/>
        <w:t>Appeal against master’s certificate</w:t>
      </w:r>
      <w:bookmarkEnd w:id="899"/>
    </w:p>
    <w:p w:rsidR="00425758" w:rsidRDefault="00425758">
      <w:pPr>
        <w:pStyle w:val="Subsection"/>
        <w:keepNext/>
        <w:rPr>
          <w:snapToGrid w:val="0"/>
        </w:rPr>
      </w:pPr>
      <w:r>
        <w:rPr>
          <w:snapToGrid w:val="0"/>
        </w:rPr>
        <w:tab/>
        <w:t>(1)</w:t>
      </w:r>
      <w:r>
        <w:rPr>
          <w:snapToGrid w:val="0"/>
        </w:rPr>
        <w:tab/>
        <w:t>Where proceedings under a judgment have been heard by a master, a party to the proceedings may, not later than — </w:t>
      </w:r>
    </w:p>
    <w:p w:rsidR="00425758" w:rsidRDefault="00425758">
      <w:pPr>
        <w:pStyle w:val="Indenta"/>
        <w:rPr>
          <w:snapToGrid w:val="0"/>
        </w:rPr>
      </w:pPr>
      <w:r>
        <w:rPr>
          <w:snapToGrid w:val="0"/>
        </w:rPr>
        <w:tab/>
        <w:t>(a)</w:t>
      </w:r>
      <w:r>
        <w:rPr>
          <w:snapToGrid w:val="0"/>
        </w:rPr>
        <w:tab/>
        <w:t>21 days after the filing of the master’s certificate therein; or</w:t>
      </w:r>
    </w:p>
    <w:p w:rsidR="00425758" w:rsidRDefault="00425758">
      <w:pPr>
        <w:pStyle w:val="Indenta"/>
        <w:rPr>
          <w:snapToGrid w:val="0"/>
        </w:rPr>
      </w:pPr>
      <w:r>
        <w:rPr>
          <w:snapToGrid w:val="0"/>
        </w:rPr>
        <w:tab/>
        <w:t>(b)</w:t>
      </w:r>
      <w:r>
        <w:rPr>
          <w:snapToGrid w:val="0"/>
        </w:rPr>
        <w:tab/>
        <w:t>if the certificate is to be acted upon by the Accountant without further order, 2 clear days after the filing thereof,</w:t>
      </w:r>
    </w:p>
    <w:p w:rsidR="00425758" w:rsidRDefault="00425758">
      <w:pPr>
        <w:pStyle w:val="Subsection"/>
        <w:rPr>
          <w:snapToGrid w:val="0"/>
        </w:rPr>
      </w:pPr>
      <w:r>
        <w:rPr>
          <w:snapToGrid w:val="0"/>
        </w:rPr>
        <w:tab/>
      </w:r>
      <w:r>
        <w:rPr>
          <w:snapToGrid w:val="0"/>
        </w:rPr>
        <w:tab/>
      </w:r>
      <w:r>
        <w:t>appeal to the Court of Appeal which may vary or discharge the certificate.</w:t>
      </w:r>
    </w:p>
    <w:p w:rsidR="00425758" w:rsidRDefault="00425758">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rsidR="00425758" w:rsidRDefault="00425758">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rsidR="00425758" w:rsidRDefault="00425758">
      <w:pPr>
        <w:pStyle w:val="Footnotesection"/>
      </w:pPr>
      <w:r>
        <w:rPr>
          <w:i w:val="0"/>
        </w:rPr>
        <w:tab/>
      </w:r>
      <w:r>
        <w:t>[Rule 28 inserted: Gazette 2 Jul 1982 p. 2317; amended: Gazette 30 Nov 1984 p. 3952; 29 Apr 2005 p. 1792</w:t>
      </w:r>
      <w:r>
        <w:noBreakHyphen/>
        <w:t xml:space="preserve">3.] </w:t>
      </w:r>
    </w:p>
    <w:p w:rsidR="00425758" w:rsidRDefault="00425758">
      <w:pPr>
        <w:pStyle w:val="Heading5"/>
        <w:rPr>
          <w:snapToGrid w:val="0"/>
        </w:rPr>
      </w:pPr>
      <w:bookmarkStart w:id="900" w:name="_Toc75863520"/>
      <w:r>
        <w:rPr>
          <w:rStyle w:val="CharSectno"/>
        </w:rPr>
        <w:lastRenderedPageBreak/>
        <w:t>28A</w:t>
      </w:r>
      <w:r>
        <w:rPr>
          <w:snapToGrid w:val="0"/>
        </w:rPr>
        <w:t>.</w:t>
      </w:r>
      <w:r>
        <w:rPr>
          <w:snapToGrid w:val="0"/>
        </w:rPr>
        <w:tab/>
        <w:t>Judge may discharge or vary registrar’s certificate</w:t>
      </w:r>
      <w:bookmarkEnd w:id="900"/>
      <w:r>
        <w:rPr>
          <w:snapToGrid w:val="0"/>
        </w:rPr>
        <w:t xml:space="preserve"> </w:t>
      </w:r>
    </w:p>
    <w:p w:rsidR="00425758" w:rsidRDefault="00425758">
      <w:pPr>
        <w:pStyle w:val="Subsection"/>
        <w:rPr>
          <w:snapToGrid w:val="0"/>
        </w:rPr>
      </w:pPr>
      <w:r>
        <w:rPr>
          <w:snapToGrid w:val="0"/>
        </w:rPr>
        <w:tab/>
        <w:t>(1)</w:t>
      </w:r>
      <w:r>
        <w:rPr>
          <w:snapToGrid w:val="0"/>
        </w:rPr>
        <w:tab/>
        <w:t>Where proceedings under a judgment have been heard by a registrar, a party to the proceedings may, not later than — </w:t>
      </w:r>
    </w:p>
    <w:p w:rsidR="00425758" w:rsidRDefault="00425758">
      <w:pPr>
        <w:pStyle w:val="Indenta"/>
        <w:rPr>
          <w:snapToGrid w:val="0"/>
        </w:rPr>
      </w:pPr>
      <w:r>
        <w:rPr>
          <w:snapToGrid w:val="0"/>
        </w:rPr>
        <w:tab/>
        <w:t>(a)</w:t>
      </w:r>
      <w:r>
        <w:rPr>
          <w:snapToGrid w:val="0"/>
        </w:rPr>
        <w:tab/>
        <w:t>8 clear days after the filing of the registrar’s certificate therein; or</w:t>
      </w:r>
    </w:p>
    <w:p w:rsidR="00425758" w:rsidRDefault="00425758">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rsidR="00425758" w:rsidRDefault="00425758">
      <w:pPr>
        <w:pStyle w:val="Subsection"/>
        <w:rPr>
          <w:snapToGrid w:val="0"/>
        </w:rPr>
      </w:pPr>
      <w:r>
        <w:rPr>
          <w:snapToGrid w:val="0"/>
        </w:rPr>
        <w:tab/>
      </w:r>
      <w:r>
        <w:rPr>
          <w:snapToGrid w:val="0"/>
        </w:rPr>
        <w:tab/>
        <w:t>apply by summons for an order of a judge discharging or varying the certificate.</w:t>
      </w:r>
    </w:p>
    <w:p w:rsidR="00425758" w:rsidRDefault="00425758">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rsidR="00425758" w:rsidRDefault="00425758">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rsidR="00425758" w:rsidRDefault="00425758">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rsidR="00425758" w:rsidRDefault="00425758">
      <w:pPr>
        <w:pStyle w:val="Footnotesection"/>
      </w:pPr>
      <w:r>
        <w:tab/>
        <w:t xml:space="preserve">[Rule 28A inserted: Gazette 2 Jul 1982 p. 2317; amended: Gazette 28 Jun 2011 p. 2552.] </w:t>
      </w:r>
    </w:p>
    <w:p w:rsidR="00425758" w:rsidRDefault="00425758">
      <w:pPr>
        <w:pStyle w:val="Heading3"/>
        <w:keepLines/>
        <w:spacing w:before="300"/>
      </w:pPr>
      <w:bookmarkStart w:id="901" w:name="_Toc75512425"/>
      <w:bookmarkStart w:id="902" w:name="_Toc75863521"/>
      <w:r>
        <w:rPr>
          <w:rStyle w:val="CharDivNo"/>
        </w:rPr>
        <w:t>Division 7</w:t>
      </w:r>
      <w:r>
        <w:t> — </w:t>
      </w:r>
      <w:r>
        <w:rPr>
          <w:rStyle w:val="CharDivText"/>
        </w:rPr>
        <w:t>Further consideration</w:t>
      </w:r>
      <w:bookmarkEnd w:id="901"/>
      <w:bookmarkEnd w:id="902"/>
    </w:p>
    <w:p w:rsidR="00425758" w:rsidRDefault="00425758">
      <w:pPr>
        <w:pStyle w:val="Footnoteheading"/>
        <w:keepNext/>
        <w:keepLines/>
      </w:pPr>
      <w:r>
        <w:tab/>
        <w:t xml:space="preserve">[Heading inserted: Gazette 22 Feb 2008 p. 639.] </w:t>
      </w:r>
    </w:p>
    <w:p w:rsidR="00425758" w:rsidRDefault="00425758">
      <w:pPr>
        <w:pStyle w:val="Heading5"/>
        <w:rPr>
          <w:snapToGrid w:val="0"/>
        </w:rPr>
      </w:pPr>
      <w:bookmarkStart w:id="903" w:name="_Toc75863522"/>
      <w:r>
        <w:rPr>
          <w:rStyle w:val="CharSectno"/>
        </w:rPr>
        <w:t>29</w:t>
      </w:r>
      <w:r>
        <w:rPr>
          <w:snapToGrid w:val="0"/>
        </w:rPr>
        <w:t>.</w:t>
      </w:r>
      <w:r>
        <w:rPr>
          <w:snapToGrid w:val="0"/>
        </w:rPr>
        <w:tab/>
        <w:t>Summons to have matter in chambers further considered</w:t>
      </w:r>
      <w:bookmarkEnd w:id="903"/>
    </w:p>
    <w:p w:rsidR="00425758" w:rsidRDefault="00425758">
      <w:pPr>
        <w:pStyle w:val="Subsection"/>
      </w:pPr>
      <w:r>
        <w:tab/>
        <w:t>(1)</w:t>
      </w:r>
      <w:r>
        <w:tab/>
        <w:t xml:space="preserve">Where any matter originating in chambers shall, at the original or any subsequent hearing, have been adjourned for further consideration in chambers, such matter may, after the expiration </w:t>
      </w:r>
      <w:r>
        <w:lastRenderedPageBreak/>
        <w:t>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rsidR="00425758" w:rsidRDefault="00425758">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rsidR="00425758" w:rsidRDefault="00425758">
      <w:pPr>
        <w:pStyle w:val="Heading2"/>
      </w:pPr>
      <w:bookmarkStart w:id="904" w:name="_Toc75512427"/>
      <w:bookmarkStart w:id="905" w:name="_Toc75863523"/>
      <w:r>
        <w:rPr>
          <w:rStyle w:val="CharPartNo"/>
        </w:rPr>
        <w:lastRenderedPageBreak/>
        <w:t>Order 62</w:t>
      </w:r>
      <w:r>
        <w:rPr>
          <w:rStyle w:val="CharDivNo"/>
        </w:rPr>
        <w:t> </w:t>
      </w:r>
      <w:r>
        <w:t>—</w:t>
      </w:r>
      <w:r>
        <w:rPr>
          <w:rStyle w:val="CharDivText"/>
        </w:rPr>
        <w:t> </w:t>
      </w:r>
      <w:r>
        <w:rPr>
          <w:rStyle w:val="CharPartText"/>
          <w:i/>
          <w:iCs/>
        </w:rPr>
        <w:t>Trustees Act 1962</w:t>
      </w:r>
      <w:r>
        <w:rPr>
          <w:rStyle w:val="CharPartText"/>
        </w:rPr>
        <w:t xml:space="preserve"> rules</w:t>
      </w:r>
      <w:bookmarkEnd w:id="904"/>
      <w:bookmarkEnd w:id="905"/>
    </w:p>
    <w:p w:rsidR="00425758" w:rsidRDefault="00425758">
      <w:pPr>
        <w:pStyle w:val="Footnoteheading"/>
      </w:pPr>
      <w:r>
        <w:tab/>
        <w:t xml:space="preserve">[Heading inserted: Gazette 22 Feb 2008 p. 640.] </w:t>
      </w:r>
    </w:p>
    <w:p w:rsidR="00425758" w:rsidRDefault="00425758">
      <w:pPr>
        <w:pStyle w:val="Heading5"/>
        <w:rPr>
          <w:snapToGrid w:val="0"/>
        </w:rPr>
      </w:pPr>
      <w:bookmarkStart w:id="906" w:name="_Toc75863524"/>
      <w:r>
        <w:rPr>
          <w:rStyle w:val="CharSectno"/>
        </w:rPr>
        <w:t>1</w:t>
      </w:r>
      <w:r>
        <w:rPr>
          <w:snapToGrid w:val="0"/>
        </w:rPr>
        <w:t>.</w:t>
      </w:r>
      <w:r>
        <w:rPr>
          <w:snapToGrid w:val="0"/>
        </w:rPr>
        <w:tab/>
        <w:t>Making applications under Act</w:t>
      </w:r>
      <w:bookmarkEnd w:id="906"/>
    </w:p>
    <w:p w:rsidR="00425758" w:rsidRDefault="00425758">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rsidR="00425758" w:rsidRDefault="00425758">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rsidR="00425758" w:rsidRDefault="00425758">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rsidR="00425758" w:rsidRDefault="00425758">
      <w:pPr>
        <w:pStyle w:val="Footnotesection"/>
      </w:pPr>
      <w:r>
        <w:tab/>
        <w:t xml:space="preserve">[Rule 1 amended: Gazette 15 Jun 1973 p. 2249; 28 Jun 2011 p. 2552.] </w:t>
      </w:r>
    </w:p>
    <w:p w:rsidR="00425758" w:rsidRDefault="00425758">
      <w:pPr>
        <w:pStyle w:val="Heading5"/>
        <w:rPr>
          <w:snapToGrid w:val="0"/>
        </w:rPr>
      </w:pPr>
      <w:bookmarkStart w:id="907" w:name="_Toc75863525"/>
      <w:r>
        <w:rPr>
          <w:rStyle w:val="CharSectno"/>
        </w:rPr>
        <w:t>2</w:t>
      </w:r>
      <w:r>
        <w:rPr>
          <w:snapToGrid w:val="0"/>
        </w:rPr>
        <w:t>.</w:t>
      </w:r>
      <w:r>
        <w:rPr>
          <w:snapToGrid w:val="0"/>
        </w:rPr>
        <w:tab/>
        <w:t>Title of proceedings</w:t>
      </w:r>
      <w:bookmarkEnd w:id="907"/>
    </w:p>
    <w:p w:rsidR="00425758" w:rsidRDefault="00425758">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rsidR="00425758" w:rsidRDefault="00425758">
      <w:pPr>
        <w:pStyle w:val="Heading5"/>
        <w:rPr>
          <w:snapToGrid w:val="0"/>
        </w:rPr>
      </w:pPr>
      <w:bookmarkStart w:id="908" w:name="_Toc75863526"/>
      <w:r>
        <w:rPr>
          <w:rStyle w:val="CharSectno"/>
        </w:rPr>
        <w:t>3</w:t>
      </w:r>
      <w:r>
        <w:rPr>
          <w:snapToGrid w:val="0"/>
        </w:rPr>
        <w:t>.</w:t>
      </w:r>
      <w:r>
        <w:rPr>
          <w:snapToGrid w:val="0"/>
        </w:rPr>
        <w:tab/>
        <w:t>Payment into court under Act s. 99</w:t>
      </w:r>
      <w:bookmarkEnd w:id="908"/>
    </w:p>
    <w:p w:rsidR="00425758" w:rsidRDefault="00425758">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rsidR="00425758" w:rsidRDefault="00425758">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rsidR="00425758" w:rsidRDefault="00425758">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rsidR="00425758" w:rsidRDefault="00425758">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rsidR="00425758" w:rsidRDefault="00425758">
      <w:pPr>
        <w:pStyle w:val="Indenta"/>
        <w:keepNext/>
      </w:pPr>
      <w:r>
        <w:lastRenderedPageBreak/>
        <w:tab/>
        <w:t>(d)</w:t>
      </w:r>
      <w:r>
        <w:tab/>
        <w:t xml:space="preserve">in accordance with Order 71A — </w:t>
      </w:r>
    </w:p>
    <w:p w:rsidR="00425758" w:rsidRDefault="00425758">
      <w:pPr>
        <w:pStyle w:val="Indenti"/>
      </w:pPr>
      <w:r>
        <w:tab/>
        <w:t>(i)</w:t>
      </w:r>
      <w:r>
        <w:tab/>
        <w:t>the trustee’s geographical address; and</w:t>
      </w:r>
    </w:p>
    <w:p w:rsidR="00425758" w:rsidRDefault="00425758">
      <w:pPr>
        <w:pStyle w:val="Indenti"/>
      </w:pPr>
      <w:r>
        <w:tab/>
        <w:t>(ii)</w:t>
      </w:r>
      <w:r>
        <w:tab/>
        <w:t>the trustee’s service details.</w:t>
      </w:r>
    </w:p>
    <w:p w:rsidR="00425758" w:rsidRDefault="00425758">
      <w:pPr>
        <w:pStyle w:val="Footnotesection"/>
      </w:pPr>
      <w:r>
        <w:tab/>
        <w:t>[Rule 3 amended: Gazette 21 Feb 2007 p. 564.]</w:t>
      </w:r>
    </w:p>
    <w:p w:rsidR="00425758" w:rsidRDefault="00425758">
      <w:pPr>
        <w:pStyle w:val="Heading5"/>
        <w:rPr>
          <w:snapToGrid w:val="0"/>
        </w:rPr>
      </w:pPr>
      <w:bookmarkStart w:id="909" w:name="_Toc75863527"/>
      <w:r>
        <w:rPr>
          <w:rStyle w:val="CharSectno"/>
        </w:rPr>
        <w:t>4</w:t>
      </w:r>
      <w:r>
        <w:rPr>
          <w:snapToGrid w:val="0"/>
        </w:rPr>
        <w:t>.</w:t>
      </w:r>
      <w:r>
        <w:rPr>
          <w:snapToGrid w:val="0"/>
        </w:rPr>
        <w:tab/>
        <w:t>Notice of payment in etc.</w:t>
      </w:r>
      <w:bookmarkEnd w:id="909"/>
    </w:p>
    <w:p w:rsidR="00425758" w:rsidRDefault="00425758">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rsidR="00425758" w:rsidRDefault="00425758">
      <w:pPr>
        <w:pStyle w:val="Heading5"/>
        <w:rPr>
          <w:snapToGrid w:val="0"/>
        </w:rPr>
      </w:pPr>
      <w:bookmarkStart w:id="910" w:name="_Toc75863528"/>
      <w:r>
        <w:rPr>
          <w:rStyle w:val="CharSectno"/>
        </w:rPr>
        <w:t>5</w:t>
      </w:r>
      <w:r>
        <w:rPr>
          <w:snapToGrid w:val="0"/>
        </w:rPr>
        <w:t>.</w:t>
      </w:r>
      <w:r>
        <w:rPr>
          <w:snapToGrid w:val="0"/>
        </w:rPr>
        <w:tab/>
        <w:t>Applications in respect of money etc. paid into court</w:t>
      </w:r>
      <w:bookmarkEnd w:id="910"/>
    </w:p>
    <w:p w:rsidR="00425758" w:rsidRDefault="00425758">
      <w:pPr>
        <w:pStyle w:val="Subsection"/>
      </w:pPr>
      <w:r>
        <w:tab/>
        <w:t>(1)</w:t>
      </w:r>
      <w:r>
        <w:tab/>
        <w:t>A summons relating to money or securities paid into court under the said Act or the dividends of them must, in accordance with Order 71A, state —</w:t>
      </w:r>
    </w:p>
    <w:p w:rsidR="00425758" w:rsidRDefault="00425758">
      <w:pPr>
        <w:pStyle w:val="Indenta"/>
      </w:pPr>
      <w:r>
        <w:tab/>
        <w:t>(a)</w:t>
      </w:r>
      <w:r>
        <w:tab/>
        <w:t>the applicant’s geographical address; and</w:t>
      </w:r>
    </w:p>
    <w:p w:rsidR="00425758" w:rsidRDefault="00425758">
      <w:pPr>
        <w:pStyle w:val="Indenta"/>
      </w:pPr>
      <w:r>
        <w:tab/>
        <w:t>(b)</w:t>
      </w:r>
      <w:r>
        <w:tab/>
        <w:t>the applicant’s service details.</w:t>
      </w:r>
    </w:p>
    <w:p w:rsidR="00425758" w:rsidRDefault="00425758">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rsidR="00425758" w:rsidRDefault="00425758">
      <w:pPr>
        <w:pStyle w:val="Footnotesection"/>
      </w:pPr>
      <w:r>
        <w:tab/>
        <w:t>[Rule 5 amended: Gazette 21 Feb 2007 p. 564.]</w:t>
      </w:r>
    </w:p>
    <w:p w:rsidR="00425758" w:rsidRDefault="00425758">
      <w:pPr>
        <w:pStyle w:val="Ednotepart"/>
      </w:pPr>
      <w:r>
        <w:t>[Order 62A (r. 1-5) deleted: Gazette 16 Nov 2016 p. 5199.]</w:t>
      </w:r>
    </w:p>
    <w:p w:rsidR="00425758" w:rsidRDefault="00425758">
      <w:pPr>
        <w:pStyle w:val="Ednotepart"/>
      </w:pPr>
      <w:r>
        <w:t>[Orders 63, 63A and 64 deleted: Gazette 29 Apr 2005 p. 1793.]</w:t>
      </w:r>
    </w:p>
    <w:p w:rsidR="00425758" w:rsidRDefault="00425758">
      <w:pPr>
        <w:pStyle w:val="Heading2"/>
      </w:pPr>
      <w:bookmarkStart w:id="911" w:name="_Toc75512433"/>
      <w:bookmarkStart w:id="912" w:name="_Toc75863529"/>
      <w:r>
        <w:rPr>
          <w:rStyle w:val="CharPartNo"/>
        </w:rPr>
        <w:lastRenderedPageBreak/>
        <w:t>Order 65</w:t>
      </w:r>
      <w:r>
        <w:rPr>
          <w:b w:val="0"/>
        </w:rPr>
        <w:t> </w:t>
      </w:r>
      <w:r>
        <w:t>—</w:t>
      </w:r>
      <w:r>
        <w:rPr>
          <w:b w:val="0"/>
        </w:rPr>
        <w:t> </w:t>
      </w:r>
      <w:r>
        <w:rPr>
          <w:rStyle w:val="CharPartText"/>
        </w:rPr>
        <w:t>Appeals to the General Division</w:t>
      </w:r>
      <w:bookmarkEnd w:id="911"/>
      <w:bookmarkEnd w:id="912"/>
    </w:p>
    <w:p w:rsidR="00425758" w:rsidRDefault="00425758">
      <w:pPr>
        <w:pStyle w:val="Footnoteheading"/>
      </w:pPr>
      <w:r>
        <w:tab/>
        <w:t>[Heading inserted: Gazette 21 Feb 2007 p. 564.]</w:t>
      </w:r>
    </w:p>
    <w:p w:rsidR="00425758" w:rsidRDefault="00425758">
      <w:pPr>
        <w:pStyle w:val="Heading3"/>
      </w:pPr>
      <w:bookmarkStart w:id="913" w:name="_Toc75512434"/>
      <w:bookmarkStart w:id="914" w:name="_Toc75863530"/>
      <w:r>
        <w:rPr>
          <w:rStyle w:val="CharDivNo"/>
        </w:rPr>
        <w:t>Division 1</w:t>
      </w:r>
      <w:r>
        <w:t> — </w:t>
      </w:r>
      <w:r>
        <w:rPr>
          <w:rStyle w:val="CharDivText"/>
        </w:rPr>
        <w:t>Preliminary matters</w:t>
      </w:r>
      <w:bookmarkEnd w:id="913"/>
      <w:bookmarkEnd w:id="914"/>
    </w:p>
    <w:p w:rsidR="00425758" w:rsidRDefault="00425758">
      <w:pPr>
        <w:pStyle w:val="Footnoteheading"/>
      </w:pPr>
      <w:r>
        <w:tab/>
        <w:t>[Heading inserted: Gazette 21 Feb 2007 p. 564.]</w:t>
      </w:r>
    </w:p>
    <w:p w:rsidR="00425758" w:rsidRDefault="00425758">
      <w:pPr>
        <w:pStyle w:val="Heading5"/>
      </w:pPr>
      <w:bookmarkStart w:id="915" w:name="_Toc75863531"/>
      <w:r>
        <w:rPr>
          <w:rStyle w:val="CharSectno"/>
        </w:rPr>
        <w:t>1</w:t>
      </w:r>
      <w:r>
        <w:t>.</w:t>
      </w:r>
      <w:r>
        <w:tab/>
        <w:t>Terms used</w:t>
      </w:r>
      <w:bookmarkEnd w:id="915"/>
    </w:p>
    <w:p w:rsidR="00425758" w:rsidRDefault="00425758">
      <w:pPr>
        <w:pStyle w:val="Subsection"/>
      </w:pPr>
      <w:r>
        <w:tab/>
      </w:r>
      <w:r>
        <w:tab/>
        <w:t>In this Order, unless the contrary intention appears —</w:t>
      </w:r>
    </w:p>
    <w:p w:rsidR="00425758" w:rsidRDefault="00425758">
      <w:pPr>
        <w:pStyle w:val="Defstart"/>
      </w:pPr>
      <w:r>
        <w:rPr>
          <w:b/>
        </w:rPr>
        <w:tab/>
      </w:r>
      <w:r>
        <w:rPr>
          <w:rStyle w:val="CharDefText"/>
        </w:rPr>
        <w:t>appeal</w:t>
      </w:r>
      <w:r>
        <w:t xml:space="preserve"> means an appeal or application to which this Order applies;</w:t>
      </w:r>
    </w:p>
    <w:p w:rsidR="00425758" w:rsidRDefault="00425758">
      <w:pPr>
        <w:pStyle w:val="Defstart"/>
      </w:pPr>
      <w:r>
        <w:rPr>
          <w:b/>
        </w:rPr>
        <w:tab/>
      </w:r>
      <w:r>
        <w:rPr>
          <w:rStyle w:val="CharDefText"/>
        </w:rPr>
        <w:t>appeal notice</w:t>
      </w:r>
      <w:r>
        <w:t xml:space="preserve"> means a notice in the form of Form No. 83;</w:t>
      </w:r>
    </w:p>
    <w:p w:rsidR="00425758" w:rsidRDefault="00425758">
      <w:pPr>
        <w:pStyle w:val="Defstart"/>
      </w:pPr>
      <w:r>
        <w:rPr>
          <w:b/>
        </w:rPr>
        <w:tab/>
      </w:r>
      <w:r>
        <w:rPr>
          <w:rStyle w:val="CharDefText"/>
        </w:rPr>
        <w:t>concluded</w:t>
      </w:r>
      <w:r>
        <w:t>, in relation to an appeal, means decided, dismissed or discontinued;</w:t>
      </w:r>
    </w:p>
    <w:p w:rsidR="00425758" w:rsidRDefault="00425758">
      <w:pPr>
        <w:pStyle w:val="Defstart"/>
      </w:pPr>
      <w:r>
        <w:rPr>
          <w:b/>
        </w:rPr>
        <w:tab/>
      </w:r>
      <w:r>
        <w:rPr>
          <w:rStyle w:val="CharDefText"/>
        </w:rPr>
        <w:t>interim order</w:t>
      </w:r>
      <w:r>
        <w:t xml:space="preserve"> in an appeal, means —</w:t>
      </w:r>
    </w:p>
    <w:p w:rsidR="00425758" w:rsidRDefault="00425758">
      <w:pPr>
        <w:pStyle w:val="Defpara"/>
      </w:pPr>
      <w:r>
        <w:tab/>
        <w:t>(a)</w:t>
      </w:r>
      <w:r>
        <w:tab/>
        <w:t>an order staying the proceedings in the primary court or the execution of the primary court’s decision;</w:t>
      </w:r>
    </w:p>
    <w:p w:rsidR="00425758" w:rsidRDefault="00425758">
      <w:pPr>
        <w:pStyle w:val="Defpara"/>
      </w:pPr>
      <w:r>
        <w:tab/>
        <w:t>(b)</w:t>
      </w:r>
      <w:r>
        <w:tab/>
        <w:t>an urgent appeal order;</w:t>
      </w:r>
    </w:p>
    <w:p w:rsidR="00425758" w:rsidRDefault="00425758">
      <w:pPr>
        <w:pStyle w:val="Defpara"/>
      </w:pPr>
      <w:r>
        <w:tab/>
        <w:t>(c)</w:t>
      </w:r>
      <w:r>
        <w:tab/>
        <w:t>an order that an appellant provide security for a respondent’s costs;</w:t>
      </w:r>
    </w:p>
    <w:p w:rsidR="00425758" w:rsidRDefault="00425758">
      <w:pPr>
        <w:pStyle w:val="Defpara"/>
      </w:pPr>
      <w:r>
        <w:tab/>
        <w:t>(d)</w:t>
      </w:r>
      <w:r>
        <w:tab/>
        <w:t>an order extending or shortening the time for obeying a requirement of these rules, other than the time for commencing an appeal;</w:t>
      </w:r>
    </w:p>
    <w:p w:rsidR="00425758" w:rsidRDefault="00425758">
      <w:pPr>
        <w:pStyle w:val="Defpara"/>
      </w:pPr>
      <w:r>
        <w:tab/>
        <w:t>(e)</w:t>
      </w:r>
      <w:r>
        <w:tab/>
        <w:t>any other order that the Court may make before the appeal is concluded, other than an order giving or refusing to give leave to appeal;</w:t>
      </w:r>
    </w:p>
    <w:p w:rsidR="00425758" w:rsidRDefault="00425758">
      <w:pPr>
        <w:pStyle w:val="Defstart"/>
      </w:pPr>
      <w:r>
        <w:rPr>
          <w:b/>
        </w:rPr>
        <w:tab/>
      </w:r>
      <w:r>
        <w:rPr>
          <w:rStyle w:val="CharDefText"/>
        </w:rPr>
        <w:t>primary court</w:t>
      </w:r>
      <w:r>
        <w:t>, in relation to an appeal, means the court, tribunal, body or person that made the decision being appealed;</w:t>
      </w:r>
    </w:p>
    <w:p w:rsidR="00425758" w:rsidRDefault="00425758">
      <w:pPr>
        <w:pStyle w:val="Defstart"/>
      </w:pPr>
      <w:r>
        <w:rPr>
          <w:b/>
        </w:rPr>
        <w:tab/>
      </w:r>
      <w:r>
        <w:rPr>
          <w:rStyle w:val="CharDefText"/>
        </w:rPr>
        <w:t>primary court’s transcript</w:t>
      </w:r>
      <w:r>
        <w:t xml:space="preserve"> means — </w:t>
      </w:r>
    </w:p>
    <w:p w:rsidR="00425758" w:rsidRDefault="00425758">
      <w:pPr>
        <w:pStyle w:val="Defpara"/>
      </w:pPr>
      <w:r>
        <w:tab/>
        <w:t>(a)</w:t>
      </w:r>
      <w:r>
        <w:tab/>
        <w:t>the transcript of the proceedings in the primary court; or</w:t>
      </w:r>
    </w:p>
    <w:p w:rsidR="00425758" w:rsidRDefault="00425758">
      <w:pPr>
        <w:pStyle w:val="Defpara"/>
        <w:keepNext/>
      </w:pPr>
      <w:r>
        <w:lastRenderedPageBreak/>
        <w:tab/>
        <w:t>(b)</w:t>
      </w:r>
      <w:r>
        <w:tab/>
        <w:t>if there is no electronic recording of the proceedings that can be transcribed —</w:t>
      </w:r>
    </w:p>
    <w:p w:rsidR="00425758" w:rsidRDefault="00425758">
      <w:pPr>
        <w:pStyle w:val="Defsubpara"/>
      </w:pPr>
      <w:r>
        <w:tab/>
        <w:t>(i)</w:t>
      </w:r>
      <w:r>
        <w:tab/>
        <w:t>the notes made by the judicial officer who presided at the proceedings; and</w:t>
      </w:r>
    </w:p>
    <w:p w:rsidR="00425758" w:rsidRDefault="00425758">
      <w:pPr>
        <w:pStyle w:val="Defsubpara"/>
      </w:pPr>
      <w:r>
        <w:tab/>
        <w:t>(ii)</w:t>
      </w:r>
      <w:r>
        <w:tab/>
        <w:t>one or more affidavits of people who were present at the proceedings about what happened in the proceedings.</w:t>
      </w:r>
    </w:p>
    <w:p w:rsidR="00425758" w:rsidRDefault="00425758">
      <w:pPr>
        <w:pStyle w:val="Footnotesection"/>
      </w:pPr>
      <w:r>
        <w:tab/>
        <w:t>[Rule 1 inserted: Gazette 21 Feb 2007 p. 564</w:t>
      </w:r>
      <w:r>
        <w:noBreakHyphen/>
        <w:t>5.]</w:t>
      </w:r>
    </w:p>
    <w:p w:rsidR="00425758" w:rsidRDefault="00425758">
      <w:pPr>
        <w:pStyle w:val="Heading5"/>
      </w:pPr>
      <w:bookmarkStart w:id="916" w:name="_Toc75863532"/>
      <w:r>
        <w:rPr>
          <w:rStyle w:val="CharSectno"/>
        </w:rPr>
        <w:t>2</w:t>
      </w:r>
      <w:r>
        <w:t>.</w:t>
      </w:r>
      <w:r>
        <w:tab/>
        <w:t>Application of this Order</w:t>
      </w:r>
      <w:bookmarkEnd w:id="916"/>
    </w:p>
    <w:p w:rsidR="00425758" w:rsidRDefault="00425758">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rsidR="00425758" w:rsidRDefault="00425758">
      <w:pPr>
        <w:pStyle w:val="Subsection"/>
      </w:pPr>
      <w:r>
        <w:tab/>
        <w:t>(2)</w:t>
      </w:r>
      <w:r>
        <w:tab/>
        <w:t>In respect of an appeal, or application for leave to appeal, to which this Order applies, this Order is subject to the written law under which the appeal or application is made.</w:t>
      </w:r>
    </w:p>
    <w:p w:rsidR="00425758" w:rsidRDefault="00425758">
      <w:pPr>
        <w:pStyle w:val="Footnotesection"/>
      </w:pPr>
      <w:r>
        <w:tab/>
        <w:t>[Rule 2 inserted: Gazette 21 Feb 2007 p. 565.]</w:t>
      </w:r>
    </w:p>
    <w:p w:rsidR="00425758" w:rsidRDefault="00425758">
      <w:pPr>
        <w:pStyle w:val="Heading3"/>
      </w:pPr>
      <w:bookmarkStart w:id="917" w:name="_Toc75512437"/>
      <w:bookmarkStart w:id="918" w:name="_Toc75863533"/>
      <w:r>
        <w:rPr>
          <w:rStyle w:val="CharDivNo"/>
        </w:rPr>
        <w:t>Division 2</w:t>
      </w:r>
      <w:r>
        <w:t> — </w:t>
      </w:r>
      <w:r>
        <w:rPr>
          <w:rStyle w:val="CharDivText"/>
        </w:rPr>
        <w:t>General matters</w:t>
      </w:r>
      <w:bookmarkEnd w:id="917"/>
      <w:bookmarkEnd w:id="918"/>
    </w:p>
    <w:p w:rsidR="00425758" w:rsidRDefault="00425758">
      <w:pPr>
        <w:pStyle w:val="Footnoteheading"/>
      </w:pPr>
      <w:r>
        <w:tab/>
        <w:t>[Heading inserted: Gazette 21 Feb 2007 p. 565.]</w:t>
      </w:r>
    </w:p>
    <w:p w:rsidR="00425758" w:rsidRDefault="00425758">
      <w:pPr>
        <w:pStyle w:val="Heading5"/>
      </w:pPr>
      <w:bookmarkStart w:id="919" w:name="_Toc75863534"/>
      <w:r>
        <w:rPr>
          <w:rStyle w:val="CharSectno"/>
        </w:rPr>
        <w:t>3</w:t>
      </w:r>
      <w:r>
        <w:t>.</w:t>
      </w:r>
      <w:r>
        <w:tab/>
        <w:t>Hearings by telephone</w:t>
      </w:r>
      <w:bookmarkEnd w:id="919"/>
    </w:p>
    <w:p w:rsidR="00425758" w:rsidRDefault="00425758">
      <w:pPr>
        <w:pStyle w:val="Subsection"/>
      </w:pPr>
      <w:r>
        <w:tab/>
        <w:t>(1)</w:t>
      </w:r>
      <w:r>
        <w:tab/>
        <w:t>A judge may conduct a hearing with one or more of the parties to an appeal by telephone.</w:t>
      </w:r>
    </w:p>
    <w:p w:rsidR="00425758" w:rsidRDefault="00425758">
      <w:pPr>
        <w:pStyle w:val="Subsection"/>
      </w:pPr>
      <w:r>
        <w:tab/>
        <w:t>(2)</w:t>
      </w:r>
      <w:r>
        <w:tab/>
        <w:t>A hearing conducted by telephone is to be taken to be a hearing in the presence of the judge.</w:t>
      </w:r>
    </w:p>
    <w:p w:rsidR="00425758" w:rsidRDefault="00425758">
      <w:pPr>
        <w:pStyle w:val="Subsection"/>
      </w:pPr>
      <w:r>
        <w:tab/>
        <w:t>(3)</w:t>
      </w:r>
      <w:r>
        <w:tab/>
        <w:t>A registrar must confirm in writing any order made at such a hearing.</w:t>
      </w:r>
    </w:p>
    <w:p w:rsidR="00425758" w:rsidRDefault="00425758">
      <w:pPr>
        <w:pStyle w:val="Footnotesection"/>
      </w:pPr>
      <w:r>
        <w:tab/>
        <w:t>[Rule 3 inserted: Gazette 21 Feb 2007 p. 565</w:t>
      </w:r>
      <w:r>
        <w:noBreakHyphen/>
        <w:t>6.]</w:t>
      </w:r>
    </w:p>
    <w:p w:rsidR="00425758" w:rsidRDefault="00425758">
      <w:pPr>
        <w:pStyle w:val="Heading5"/>
      </w:pPr>
      <w:bookmarkStart w:id="920" w:name="_Toc75863535"/>
      <w:r>
        <w:rPr>
          <w:rStyle w:val="CharSectno"/>
        </w:rPr>
        <w:lastRenderedPageBreak/>
        <w:t>4</w:t>
      </w:r>
      <w:r>
        <w:t>.</w:t>
      </w:r>
      <w:r>
        <w:tab/>
        <w:t>Judge’s general jurisdiction</w:t>
      </w:r>
      <w:bookmarkEnd w:id="920"/>
    </w:p>
    <w:p w:rsidR="00425758" w:rsidRDefault="00425758">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rsidR="00425758" w:rsidRDefault="00425758">
      <w:pPr>
        <w:pStyle w:val="Subsection"/>
      </w:pPr>
      <w:r>
        <w:tab/>
        <w:t>(2)</w:t>
      </w:r>
      <w:r>
        <w:tab/>
        <w:t xml:space="preserve">Without limiting subrule (1), a judge has jurisdiction — </w:t>
      </w:r>
    </w:p>
    <w:p w:rsidR="00425758" w:rsidRDefault="00425758">
      <w:pPr>
        <w:pStyle w:val="Indenta"/>
      </w:pPr>
      <w:r>
        <w:tab/>
        <w:t>(a)</w:t>
      </w:r>
      <w:r>
        <w:tab/>
        <w:t>to make a decision on the judge’s own initiative or on an application by a party;</w:t>
      </w:r>
    </w:p>
    <w:p w:rsidR="00425758" w:rsidRDefault="00425758">
      <w:pPr>
        <w:pStyle w:val="Indenta"/>
      </w:pPr>
      <w:r>
        <w:tab/>
        <w:t>(b)</w:t>
      </w:r>
      <w:r>
        <w:tab/>
        <w:t>to decide an application on the basis of the documents filed and without listing it for hearing;</w:t>
      </w:r>
    </w:p>
    <w:p w:rsidR="00425758" w:rsidRDefault="00425758">
      <w:pPr>
        <w:pStyle w:val="Indenta"/>
      </w:pPr>
      <w:r>
        <w:tab/>
        <w:t>(c)</w:t>
      </w:r>
      <w:r>
        <w:tab/>
        <w:t>to make a decision on the judge’s own initiative on the basis of the documents filed and without requiring the parties to attend a hearing;</w:t>
      </w:r>
    </w:p>
    <w:p w:rsidR="00425758" w:rsidRDefault="00425758">
      <w:pPr>
        <w:pStyle w:val="Indenta"/>
      </w:pPr>
      <w:r>
        <w:tab/>
        <w:t>(d)</w:t>
      </w:r>
      <w:r>
        <w:tab/>
        <w:t>to hear and decide any application made during the appeal in the absence of any party other than the applicant;</w:t>
      </w:r>
    </w:p>
    <w:p w:rsidR="00425758" w:rsidRDefault="00425758">
      <w:pPr>
        <w:pStyle w:val="Indenta"/>
      </w:pPr>
      <w:r>
        <w:tab/>
        <w:t>(e)</w:t>
      </w:r>
      <w:r>
        <w:tab/>
        <w:t>to hear and decide the appeal in the absence of any party other than the applicant;</w:t>
      </w:r>
    </w:p>
    <w:p w:rsidR="00425758" w:rsidRDefault="00425758">
      <w:pPr>
        <w:pStyle w:val="Indenta"/>
      </w:pPr>
      <w:r>
        <w:tab/>
        <w:t>(f)</w:t>
      </w:r>
      <w:r>
        <w:tab/>
        <w:t xml:space="preserve">to order some or all of the parties to do one or more of the following in respect of the appeal, or any aspect of it specified by the judge — </w:t>
      </w:r>
    </w:p>
    <w:p w:rsidR="00425758" w:rsidRDefault="00425758">
      <w:pPr>
        <w:pStyle w:val="Indenti"/>
      </w:pPr>
      <w:r>
        <w:tab/>
        <w:t>(i)</w:t>
      </w:r>
      <w:r>
        <w:tab/>
        <w:t>to file, before a date set by the judge, any document specified by the judge;</w:t>
      </w:r>
    </w:p>
    <w:p w:rsidR="00425758" w:rsidRDefault="00425758">
      <w:pPr>
        <w:pStyle w:val="Indenti"/>
      </w:pPr>
      <w:r>
        <w:tab/>
        <w:t>(ii)</w:t>
      </w:r>
      <w:r>
        <w:tab/>
        <w:t>to appear and make oral submissions on a date set by the judge;</w:t>
      </w:r>
    </w:p>
    <w:p w:rsidR="00425758" w:rsidRDefault="00425758">
      <w:pPr>
        <w:pStyle w:val="Indenta"/>
      </w:pPr>
      <w:r>
        <w:tab/>
        <w:t>(g)</w:t>
      </w:r>
      <w:r>
        <w:tab/>
        <w:t>to order a party to file and serve an appeal book;</w:t>
      </w:r>
    </w:p>
    <w:p w:rsidR="00425758" w:rsidRDefault="00425758">
      <w:pPr>
        <w:pStyle w:val="Indenta"/>
      </w:pPr>
      <w:r>
        <w:tab/>
        <w:t>(h)</w:t>
      </w:r>
      <w:r>
        <w:tab/>
        <w:t>to order any or all of the parties to file and serve —</w:t>
      </w:r>
    </w:p>
    <w:p w:rsidR="00425758" w:rsidRDefault="00425758">
      <w:pPr>
        <w:pStyle w:val="Indenti"/>
      </w:pPr>
      <w:r>
        <w:tab/>
        <w:t>(i)</w:t>
      </w:r>
      <w:r>
        <w:tab/>
        <w:t>written submissions;</w:t>
      </w:r>
    </w:p>
    <w:p w:rsidR="00425758" w:rsidRDefault="00425758">
      <w:pPr>
        <w:pStyle w:val="Indenti"/>
      </w:pPr>
      <w:r>
        <w:tab/>
        <w:t>(ii)</w:t>
      </w:r>
      <w:r>
        <w:tab/>
        <w:t>a chronology of events relevant to the appeal;</w:t>
      </w:r>
    </w:p>
    <w:p w:rsidR="00425758" w:rsidRDefault="00425758">
      <w:pPr>
        <w:pStyle w:val="Indenti"/>
      </w:pPr>
      <w:r>
        <w:tab/>
        <w:t>(iii)</w:t>
      </w:r>
      <w:r>
        <w:tab/>
        <w:t>a list of the principal legal authorities on which the party relies;</w:t>
      </w:r>
    </w:p>
    <w:p w:rsidR="00425758" w:rsidRDefault="00425758">
      <w:pPr>
        <w:pStyle w:val="Indenta"/>
        <w:keepNext/>
      </w:pPr>
      <w:r>
        <w:lastRenderedPageBreak/>
        <w:tab/>
        <w:t>(i)</w:t>
      </w:r>
      <w:r>
        <w:tab/>
        <w:t>to limit the time a party has to make oral submissions at a hearing before a judge.</w:t>
      </w:r>
    </w:p>
    <w:p w:rsidR="00425758" w:rsidRDefault="00425758">
      <w:pPr>
        <w:pStyle w:val="Subsection"/>
      </w:pPr>
      <w:r>
        <w:tab/>
        <w:t>(3)</w:t>
      </w:r>
      <w:r>
        <w:tab/>
        <w:t>If a judge makes a decision on the basis of the documents filed without requiring the parties to attend a hearing, rule 7 applies.</w:t>
      </w:r>
    </w:p>
    <w:p w:rsidR="00425758" w:rsidRDefault="00425758">
      <w:pPr>
        <w:pStyle w:val="Footnotesection"/>
      </w:pPr>
      <w:r>
        <w:tab/>
        <w:t>[Rule 4 inserted: Gazette 21 Feb 2007 p. 566; amended: Gazette 22 Feb 2008 p. 640.]</w:t>
      </w:r>
    </w:p>
    <w:p w:rsidR="00425758" w:rsidRDefault="00425758">
      <w:pPr>
        <w:pStyle w:val="Heading5"/>
      </w:pPr>
      <w:bookmarkStart w:id="921" w:name="_Toc75863536"/>
      <w:r>
        <w:rPr>
          <w:rStyle w:val="CharSectno"/>
        </w:rPr>
        <w:t>5</w:t>
      </w:r>
      <w:r>
        <w:t>.</w:t>
      </w:r>
      <w:r>
        <w:tab/>
        <w:t>Non</w:t>
      </w:r>
      <w:r>
        <w:noBreakHyphen/>
        <w:t>attendance by party, consequences of</w:t>
      </w:r>
      <w:bookmarkEnd w:id="921"/>
    </w:p>
    <w:p w:rsidR="00425758" w:rsidRDefault="00425758">
      <w:pPr>
        <w:pStyle w:val="Subsection"/>
      </w:pPr>
      <w:r>
        <w:tab/>
        <w:t>(1)</w:t>
      </w:r>
      <w:r>
        <w:tab/>
        <w:t>If a hearing before a judge is adjourned because a party who has been notified of it does not attend, the judge may order the party or the party’s lawyer to pay the costs of any party who attended.</w:t>
      </w:r>
    </w:p>
    <w:p w:rsidR="00425758" w:rsidRDefault="00425758">
      <w:pPr>
        <w:pStyle w:val="Subsection"/>
      </w:pPr>
      <w:r>
        <w:tab/>
        <w:t>(2)</w:t>
      </w:r>
      <w:r>
        <w:tab/>
        <w:t>If a party who has been notified of a hearing does not attend the hearing before a judge, the judge may proceed in the party’s absence.</w:t>
      </w:r>
    </w:p>
    <w:p w:rsidR="00425758" w:rsidRDefault="00425758">
      <w:pPr>
        <w:pStyle w:val="Footnotesection"/>
      </w:pPr>
      <w:r>
        <w:tab/>
        <w:t>[Rule 5 inserted: Gazette 21 Feb 2007 p. 567.]</w:t>
      </w:r>
    </w:p>
    <w:p w:rsidR="00425758" w:rsidRDefault="00425758">
      <w:pPr>
        <w:pStyle w:val="Heading5"/>
      </w:pPr>
      <w:bookmarkStart w:id="922" w:name="_Toc75863537"/>
      <w:r>
        <w:rPr>
          <w:rStyle w:val="CharSectno"/>
        </w:rPr>
        <w:t>6</w:t>
      </w:r>
      <w:r>
        <w:t>.</w:t>
      </w:r>
      <w:r>
        <w:tab/>
        <w:t>Decisions made in absence of party</w:t>
      </w:r>
      <w:bookmarkEnd w:id="922"/>
    </w:p>
    <w:p w:rsidR="00425758" w:rsidRDefault="00425758">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rsidR="00425758" w:rsidRDefault="00425758">
      <w:pPr>
        <w:pStyle w:val="Subsection"/>
      </w:pPr>
      <w:r>
        <w:tab/>
        <w:t>(2)</w:t>
      </w:r>
      <w:r>
        <w:tab/>
        <w:t>If in a party’s absence a judge makes a decision in an appeal, whether or not at a hearing, a registrar must notify the party of the decision.</w:t>
      </w:r>
    </w:p>
    <w:p w:rsidR="00425758" w:rsidRDefault="00425758">
      <w:pPr>
        <w:pStyle w:val="Footnotesection"/>
      </w:pPr>
      <w:r>
        <w:tab/>
        <w:t>[Rule 6 inserted: Gazette 21 Feb 2007 p. 567.]</w:t>
      </w:r>
    </w:p>
    <w:p w:rsidR="00425758" w:rsidRDefault="00425758">
      <w:pPr>
        <w:pStyle w:val="Heading5"/>
      </w:pPr>
      <w:bookmarkStart w:id="923" w:name="_Toc75863538"/>
      <w:r>
        <w:rPr>
          <w:rStyle w:val="CharSectno"/>
        </w:rPr>
        <w:t>7</w:t>
      </w:r>
      <w:r>
        <w:t>.</w:t>
      </w:r>
      <w:r>
        <w:tab/>
        <w:t>Decisions made on the papers</w:t>
      </w:r>
      <w:bookmarkEnd w:id="923"/>
    </w:p>
    <w:p w:rsidR="00425758" w:rsidRDefault="00425758">
      <w:pPr>
        <w:pStyle w:val="Subsection"/>
      </w:pPr>
      <w:r>
        <w:tab/>
        <w:t>(1)</w:t>
      </w:r>
      <w:r>
        <w:tab/>
        <w:t>This rule applies if another rule in this Order says it applies.</w:t>
      </w:r>
    </w:p>
    <w:p w:rsidR="00425758" w:rsidRDefault="00425758">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rsidR="00425758" w:rsidRDefault="00425758">
      <w:pPr>
        <w:pStyle w:val="Subsection"/>
      </w:pPr>
      <w:r>
        <w:lastRenderedPageBreak/>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rsidR="00425758" w:rsidRDefault="00425758">
      <w:pPr>
        <w:pStyle w:val="Subsection"/>
      </w:pPr>
      <w:r>
        <w:tab/>
        <w:t>(4)</w:t>
      </w:r>
      <w:r>
        <w:tab/>
        <w:t>If no party files a Form No. 88 under subrule (3), the provisional decision becomes the final decision on the matter.</w:t>
      </w:r>
    </w:p>
    <w:p w:rsidR="00425758" w:rsidRDefault="00425758">
      <w:pPr>
        <w:pStyle w:val="Subsection"/>
      </w:pPr>
      <w:r>
        <w:tab/>
        <w:t>(5)</w:t>
      </w:r>
      <w:r>
        <w:tab/>
        <w:t>If any party files a Form No. 88 under subrule (3), a registrar must list the matter for hearing by the judge who made the provisional decision or, if he or she is absent, before another, and notify the parties.</w:t>
      </w:r>
    </w:p>
    <w:p w:rsidR="00425758" w:rsidRDefault="00425758">
      <w:pPr>
        <w:pStyle w:val="Subsection"/>
      </w:pPr>
      <w:r>
        <w:tab/>
        <w:t>(6)</w:t>
      </w:r>
      <w:r>
        <w:tab/>
        <w:t>At the hearing the provisional decision may be confirmed, amended or set aside.</w:t>
      </w:r>
    </w:p>
    <w:p w:rsidR="00425758" w:rsidRDefault="00425758">
      <w:pPr>
        <w:pStyle w:val="Subsection"/>
      </w:pPr>
      <w:r>
        <w:tab/>
        <w:t>(7)</w:t>
      </w:r>
      <w:r>
        <w:tab/>
        <w:t>The decision made at the hearing is the final decision on the matter.</w:t>
      </w:r>
    </w:p>
    <w:p w:rsidR="00425758" w:rsidRDefault="00425758">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rsidR="00425758" w:rsidRDefault="00425758">
      <w:pPr>
        <w:pStyle w:val="Footnotesection"/>
      </w:pPr>
      <w:r>
        <w:tab/>
        <w:t>[Rule 7 inserted: Gazette 21 Feb 2007 p. 567.]</w:t>
      </w:r>
    </w:p>
    <w:p w:rsidR="00425758" w:rsidRDefault="00425758">
      <w:pPr>
        <w:pStyle w:val="Heading3"/>
      </w:pPr>
      <w:bookmarkStart w:id="924" w:name="_Toc75512443"/>
      <w:bookmarkStart w:id="925" w:name="_Toc75863539"/>
      <w:r>
        <w:rPr>
          <w:rStyle w:val="CharDivNo"/>
        </w:rPr>
        <w:t>Division 3</w:t>
      </w:r>
      <w:r>
        <w:t> — </w:t>
      </w:r>
      <w:r>
        <w:rPr>
          <w:rStyle w:val="CharDivText"/>
        </w:rPr>
        <w:t>Procedure on appeals</w:t>
      </w:r>
      <w:bookmarkEnd w:id="924"/>
      <w:bookmarkEnd w:id="925"/>
    </w:p>
    <w:p w:rsidR="00425758" w:rsidRDefault="00425758">
      <w:pPr>
        <w:pStyle w:val="Footnoteheading"/>
      </w:pPr>
      <w:r>
        <w:tab/>
        <w:t>[Heading inserted: Gazette 21 Feb 2007 p. 568.]</w:t>
      </w:r>
    </w:p>
    <w:p w:rsidR="00425758" w:rsidRDefault="00425758">
      <w:pPr>
        <w:pStyle w:val="Heading5"/>
      </w:pPr>
      <w:bookmarkStart w:id="926" w:name="_Toc75863540"/>
      <w:r>
        <w:rPr>
          <w:rStyle w:val="CharSectno"/>
        </w:rPr>
        <w:t>8</w:t>
      </w:r>
      <w:r>
        <w:t>.</w:t>
      </w:r>
      <w:r>
        <w:tab/>
        <w:t>Nature of appeals</w:t>
      </w:r>
      <w:bookmarkEnd w:id="926"/>
    </w:p>
    <w:p w:rsidR="00425758" w:rsidRDefault="00425758">
      <w:pPr>
        <w:pStyle w:val="Subsection"/>
      </w:pPr>
      <w:r>
        <w:tab/>
      </w:r>
      <w:r>
        <w:tab/>
        <w:t>An appeal will be by way of rehearing unless another written law provides otherwise.</w:t>
      </w:r>
    </w:p>
    <w:p w:rsidR="00425758" w:rsidRDefault="00425758">
      <w:pPr>
        <w:pStyle w:val="Footnotesection"/>
      </w:pPr>
      <w:r>
        <w:tab/>
        <w:t>[Rule 8 inserted: Gazette 21 Feb 2007 p. 568.]</w:t>
      </w:r>
    </w:p>
    <w:p w:rsidR="00425758" w:rsidRDefault="00425758">
      <w:pPr>
        <w:pStyle w:val="Heading5"/>
      </w:pPr>
      <w:bookmarkStart w:id="927" w:name="_Toc75863541"/>
      <w:r>
        <w:rPr>
          <w:rStyle w:val="CharSectno"/>
        </w:rPr>
        <w:t>9</w:t>
      </w:r>
      <w:r>
        <w:t>.</w:t>
      </w:r>
      <w:r>
        <w:tab/>
        <w:t>Time for appealing</w:t>
      </w:r>
      <w:bookmarkEnd w:id="927"/>
    </w:p>
    <w:p w:rsidR="00425758" w:rsidRDefault="00425758">
      <w:pPr>
        <w:pStyle w:val="Subsection"/>
      </w:pPr>
      <w:r>
        <w:tab/>
      </w:r>
      <w:r>
        <w:tab/>
        <w:t>An appeal against a decision must be commenced within 21 days after the date of the decision.</w:t>
      </w:r>
    </w:p>
    <w:p w:rsidR="00425758" w:rsidRDefault="00425758">
      <w:pPr>
        <w:pStyle w:val="Footnotesection"/>
      </w:pPr>
      <w:r>
        <w:tab/>
        <w:t>[Rule 9 inserted: Gazette 21 Feb 2007 p. 568.]</w:t>
      </w:r>
    </w:p>
    <w:p w:rsidR="00425758" w:rsidRDefault="00425758">
      <w:pPr>
        <w:pStyle w:val="Heading5"/>
      </w:pPr>
      <w:bookmarkStart w:id="928" w:name="_Toc75863542"/>
      <w:r>
        <w:rPr>
          <w:rStyle w:val="CharSectno"/>
        </w:rPr>
        <w:lastRenderedPageBreak/>
        <w:t>10</w:t>
      </w:r>
      <w:r>
        <w:t>.</w:t>
      </w:r>
      <w:r>
        <w:tab/>
        <w:t>Appeal, how to commence</w:t>
      </w:r>
      <w:bookmarkEnd w:id="928"/>
    </w:p>
    <w:p w:rsidR="00425758" w:rsidRDefault="00425758">
      <w:pPr>
        <w:pStyle w:val="Subsection"/>
      </w:pPr>
      <w:r>
        <w:tab/>
        <w:t>(1)</w:t>
      </w:r>
      <w:r>
        <w:tab/>
        <w:t>To —</w:t>
      </w:r>
    </w:p>
    <w:p w:rsidR="00425758" w:rsidRDefault="00425758">
      <w:pPr>
        <w:pStyle w:val="Indenta"/>
      </w:pPr>
      <w:r>
        <w:tab/>
        <w:t>(a)</w:t>
      </w:r>
      <w:r>
        <w:tab/>
        <w:t>commence an appeal within time; or</w:t>
      </w:r>
    </w:p>
    <w:p w:rsidR="00425758" w:rsidRDefault="00425758">
      <w:pPr>
        <w:pStyle w:val="Indenta"/>
      </w:pPr>
      <w:r>
        <w:tab/>
        <w:t>(b)</w:t>
      </w:r>
      <w:r>
        <w:tab/>
        <w:t>apply for an extension of time within which to commence an appeal,</w:t>
      </w:r>
    </w:p>
    <w:p w:rsidR="00425758" w:rsidRDefault="00425758">
      <w:pPr>
        <w:pStyle w:val="Subsection"/>
      </w:pPr>
      <w:r>
        <w:tab/>
      </w:r>
      <w:r>
        <w:tab/>
        <w:t>the appellant must file —</w:t>
      </w:r>
    </w:p>
    <w:p w:rsidR="00425758" w:rsidRDefault="00425758">
      <w:pPr>
        <w:pStyle w:val="Indenta"/>
      </w:pPr>
      <w:r>
        <w:tab/>
        <w:t>(c)</w:t>
      </w:r>
      <w:r>
        <w:tab/>
        <w:t>a Form No. 83 (Appeal notice) that sets out the grounds for the appeal in accordance with subrule (2); and</w:t>
      </w:r>
    </w:p>
    <w:p w:rsidR="00425758" w:rsidRDefault="00425758">
      <w:pPr>
        <w:pStyle w:val="Indenta"/>
      </w:pPr>
      <w:r>
        <w:tab/>
        <w:t>(d)</w:t>
      </w:r>
      <w:r>
        <w:tab/>
        <w:t>any document required by subrule (3) or (4); and</w:t>
      </w:r>
    </w:p>
    <w:p w:rsidR="00425758" w:rsidRDefault="00425758">
      <w:pPr>
        <w:pStyle w:val="Indenta"/>
      </w:pPr>
      <w:r>
        <w:tab/>
        <w:t>(e)</w:t>
      </w:r>
      <w:r>
        <w:tab/>
        <w:t>a copy of the relevant records filed with the primary court in respect of the case in which the decision being appealed was made; and</w:t>
      </w:r>
    </w:p>
    <w:p w:rsidR="00425758" w:rsidRDefault="00425758">
      <w:pPr>
        <w:pStyle w:val="Indenta"/>
      </w:pPr>
      <w:r>
        <w:tab/>
        <w:t>(f)</w:t>
      </w:r>
      <w:r>
        <w:tab/>
        <w:t>a copy of the primary court’s transcript; and</w:t>
      </w:r>
    </w:p>
    <w:p w:rsidR="00425758" w:rsidRDefault="00425758">
      <w:pPr>
        <w:pStyle w:val="Indenta"/>
      </w:pPr>
      <w:r>
        <w:tab/>
        <w:t>(g)</w:t>
      </w:r>
      <w:r>
        <w:tab/>
        <w:t>a copy of every other record that the Court will need to decide the appeal.</w:t>
      </w:r>
    </w:p>
    <w:p w:rsidR="00425758" w:rsidRDefault="00425758">
      <w:pPr>
        <w:pStyle w:val="Subsection"/>
      </w:pPr>
      <w:r>
        <w:tab/>
        <w:t>(2)</w:t>
      </w:r>
      <w:r>
        <w:tab/>
        <w:t>The grounds of appeal must not merely allege —</w:t>
      </w:r>
    </w:p>
    <w:p w:rsidR="00425758" w:rsidRDefault="00425758">
      <w:pPr>
        <w:pStyle w:val="Indenta"/>
      </w:pPr>
      <w:r>
        <w:tab/>
        <w:t>(a)</w:t>
      </w:r>
      <w:r>
        <w:tab/>
        <w:t>that the primary court erred in fact or in law; or</w:t>
      </w:r>
    </w:p>
    <w:p w:rsidR="00425758" w:rsidRDefault="00425758">
      <w:pPr>
        <w:pStyle w:val="Indenta"/>
      </w:pPr>
      <w:r>
        <w:tab/>
        <w:t>(b)</w:t>
      </w:r>
      <w:r>
        <w:tab/>
        <w:t>that the primary court’s decision is against the evidence or the weight of evidence or is unreasonable and cannot be supported having regard to the evidence; or</w:t>
      </w:r>
    </w:p>
    <w:p w:rsidR="00425758" w:rsidRDefault="00425758">
      <w:pPr>
        <w:pStyle w:val="Indenta"/>
      </w:pPr>
      <w:r>
        <w:tab/>
        <w:t>(c)</w:t>
      </w:r>
      <w:r>
        <w:tab/>
        <w:t>that the primary court’s decision is unsafe or unsatisfactory.</w:t>
      </w:r>
    </w:p>
    <w:p w:rsidR="00425758" w:rsidRDefault="00425758">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rsidR="00425758" w:rsidRDefault="00425758">
      <w:pPr>
        <w:pStyle w:val="Subsection"/>
      </w:pPr>
      <w:r>
        <w:tab/>
        <w:t>(4)</w:t>
      </w:r>
      <w:r>
        <w:tab/>
        <w:t>A Form No. 83 may be filed together with an application, made in accordance with rule 13, for an interim order.</w:t>
      </w:r>
    </w:p>
    <w:p w:rsidR="00425758" w:rsidRDefault="00425758">
      <w:pPr>
        <w:pStyle w:val="Subsection"/>
      </w:pPr>
      <w:r>
        <w:tab/>
        <w:t>(5)</w:t>
      </w:r>
      <w:r>
        <w:tab/>
        <w:t>If an appellant requires leave to appeal, a Form No. 83 filed in accordance with this rule is to be taken to be an application for leave to appeal.</w:t>
      </w:r>
    </w:p>
    <w:p w:rsidR="00425758" w:rsidRDefault="00425758">
      <w:pPr>
        <w:pStyle w:val="Subsection"/>
      </w:pPr>
      <w:r>
        <w:lastRenderedPageBreak/>
        <w:tab/>
        <w:t>(6)</w:t>
      </w:r>
      <w:r>
        <w:tab/>
        <w:t>Any document filed under this rule must be served on the respondent.</w:t>
      </w:r>
    </w:p>
    <w:p w:rsidR="00425758" w:rsidRDefault="00425758">
      <w:pPr>
        <w:pStyle w:val="Subsection"/>
      </w:pPr>
      <w:r>
        <w:tab/>
        <w:t>(7)</w:t>
      </w:r>
      <w:r>
        <w:tab/>
        <w:t>As soon as practicable after serving the respondent the appellant must file a Form No. 84 (Service certificate).</w:t>
      </w:r>
    </w:p>
    <w:p w:rsidR="00425758" w:rsidRDefault="00425758">
      <w:pPr>
        <w:pStyle w:val="Footnotesection"/>
      </w:pPr>
      <w:r>
        <w:tab/>
        <w:t>[Rule 10 inserted: Gazette 21 Feb 2007 p. 568</w:t>
      </w:r>
      <w:r>
        <w:noBreakHyphen/>
        <w:t>9.]</w:t>
      </w:r>
    </w:p>
    <w:p w:rsidR="00425758" w:rsidRDefault="00425758">
      <w:pPr>
        <w:pStyle w:val="Heading5"/>
      </w:pPr>
      <w:bookmarkStart w:id="929" w:name="_Toc75863543"/>
      <w:r>
        <w:rPr>
          <w:rStyle w:val="CharSectno"/>
        </w:rPr>
        <w:t>11</w:t>
      </w:r>
      <w:r>
        <w:t>.</w:t>
      </w:r>
      <w:r>
        <w:tab/>
        <w:t>Primary court to be notified and to supply records</w:t>
      </w:r>
      <w:bookmarkEnd w:id="929"/>
    </w:p>
    <w:p w:rsidR="00425758" w:rsidRDefault="00425758">
      <w:pPr>
        <w:pStyle w:val="Subsection"/>
      </w:pPr>
      <w:r>
        <w:tab/>
        <w:t>(1)</w:t>
      </w:r>
      <w:r>
        <w:tab/>
        <w:t>In this rule —</w:t>
      </w:r>
    </w:p>
    <w:p w:rsidR="00425758" w:rsidRDefault="00425758">
      <w:pPr>
        <w:pStyle w:val="Defstart"/>
      </w:pPr>
      <w:r>
        <w:rPr>
          <w:b/>
        </w:rPr>
        <w:tab/>
      </w:r>
      <w:r>
        <w:rPr>
          <w:rStyle w:val="CharDefText"/>
        </w:rPr>
        <w:t>primary court case</w:t>
      </w:r>
      <w:r>
        <w:t xml:space="preserve"> means the case in the primary court.</w:t>
      </w:r>
    </w:p>
    <w:p w:rsidR="00425758" w:rsidRDefault="00425758">
      <w:pPr>
        <w:pStyle w:val="Subsection"/>
      </w:pPr>
      <w:r>
        <w:tab/>
        <w:t>(2)</w:t>
      </w:r>
      <w:r>
        <w:tab/>
        <w:t>As soon as practicable after an appeal notice is filed, a registrar must give the primary court concerned —</w:t>
      </w:r>
    </w:p>
    <w:p w:rsidR="00425758" w:rsidRDefault="00425758">
      <w:pPr>
        <w:pStyle w:val="Indenta"/>
      </w:pPr>
      <w:r>
        <w:tab/>
        <w:t>(a)</w:t>
      </w:r>
      <w:r>
        <w:tab/>
        <w:t>a copy of the appeal notice; and</w:t>
      </w:r>
    </w:p>
    <w:p w:rsidR="00425758" w:rsidRDefault="00425758">
      <w:pPr>
        <w:pStyle w:val="Indenta"/>
      </w:pPr>
      <w:r>
        <w:tab/>
        <w:t>(b)</w:t>
      </w:r>
      <w:r>
        <w:tab/>
        <w:t>a notice that specifies —</w:t>
      </w:r>
    </w:p>
    <w:p w:rsidR="00425758" w:rsidRDefault="00425758">
      <w:pPr>
        <w:pStyle w:val="Indenti"/>
      </w:pPr>
      <w:r>
        <w:tab/>
        <w:t>(i)</w:t>
      </w:r>
      <w:r>
        <w:tab/>
        <w:t>the records or things held by the primary court in relation to the primary court case that the primary court must give to the Court for the purposes of the appeal; and</w:t>
      </w:r>
    </w:p>
    <w:p w:rsidR="00425758" w:rsidRDefault="00425758">
      <w:pPr>
        <w:pStyle w:val="Indenti"/>
      </w:pPr>
      <w:r>
        <w:tab/>
        <w:t>(ii)</w:t>
      </w:r>
      <w:r>
        <w:tab/>
        <w:t>the date by which the primary court must provide the records or things.</w:t>
      </w:r>
    </w:p>
    <w:p w:rsidR="00425758" w:rsidRDefault="00425758">
      <w:pPr>
        <w:pStyle w:val="Subsection"/>
      </w:pPr>
      <w:r>
        <w:tab/>
        <w:t>(3)</w:t>
      </w:r>
      <w:r>
        <w:tab/>
        <w:t>Any copy of a document given by the primary court to the Court need not be certified by the primary court.</w:t>
      </w:r>
    </w:p>
    <w:p w:rsidR="00425758" w:rsidRDefault="00425758">
      <w:pPr>
        <w:pStyle w:val="Subsection"/>
      </w:pPr>
      <w:r>
        <w:tab/>
        <w:t>(4)</w:t>
      </w:r>
      <w:r>
        <w:tab/>
        <w:t>If any record given to the Court contains information to which access by any person is or should be restricted, the primary court must advise the Court.</w:t>
      </w:r>
    </w:p>
    <w:p w:rsidR="00425758" w:rsidRDefault="00425758">
      <w:pPr>
        <w:pStyle w:val="Footnotesection"/>
      </w:pPr>
      <w:r>
        <w:tab/>
        <w:t>[Rule 11 inserted: Gazette 21 Feb 2007 p. 569.]</w:t>
      </w:r>
    </w:p>
    <w:p w:rsidR="00425758" w:rsidRDefault="00425758">
      <w:pPr>
        <w:pStyle w:val="Heading5"/>
      </w:pPr>
      <w:bookmarkStart w:id="930" w:name="_Toc75863544"/>
      <w:r>
        <w:rPr>
          <w:rStyle w:val="CharSectno"/>
        </w:rPr>
        <w:t>12</w:t>
      </w:r>
      <w:r>
        <w:t>.</w:t>
      </w:r>
      <w:r>
        <w:tab/>
        <w:t>Respondent’s options</w:t>
      </w:r>
      <w:bookmarkEnd w:id="930"/>
    </w:p>
    <w:p w:rsidR="00425758" w:rsidRDefault="00425758">
      <w:pPr>
        <w:pStyle w:val="Subsection"/>
      </w:pPr>
      <w:r>
        <w:tab/>
        <w:t>(1)</w:t>
      </w:r>
      <w:r>
        <w:tab/>
        <w:t>On being served with an appeal notice, a respondent may file a Form No. 85 (Notice of respondent’s intention).</w:t>
      </w:r>
    </w:p>
    <w:p w:rsidR="00425758" w:rsidRDefault="00425758">
      <w:pPr>
        <w:pStyle w:val="Subsection"/>
      </w:pPr>
      <w:r>
        <w:lastRenderedPageBreak/>
        <w:tab/>
        <w:t>(2)</w:t>
      </w:r>
      <w:r>
        <w:tab/>
        <w:t>If the respondent files a Form No. 85, it must be filed within 7 days after the date on which the respondent is served with the appeal notice.</w:t>
      </w:r>
    </w:p>
    <w:p w:rsidR="00425758" w:rsidRDefault="00425758">
      <w:pPr>
        <w:pStyle w:val="Subsection"/>
      </w:pPr>
      <w:r>
        <w:tab/>
        <w:t>(3)</w:t>
      </w:r>
      <w:r>
        <w:tab/>
        <w:t>A Form No. 85 may be filed together with an application, made in accordance with rule 13, for an interim order.</w:t>
      </w:r>
    </w:p>
    <w:p w:rsidR="00425758" w:rsidRDefault="00425758">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rsidR="00425758" w:rsidRDefault="00425758">
      <w:pPr>
        <w:pStyle w:val="Footnotesection"/>
      </w:pPr>
      <w:r>
        <w:tab/>
        <w:t>[Rule 12 inserted: Gazette 21 Feb 2007 p. 569.]</w:t>
      </w:r>
    </w:p>
    <w:p w:rsidR="00425758" w:rsidRDefault="00425758">
      <w:pPr>
        <w:pStyle w:val="Heading5"/>
      </w:pPr>
      <w:bookmarkStart w:id="931" w:name="_Toc75863545"/>
      <w:r>
        <w:rPr>
          <w:rStyle w:val="CharSectno"/>
        </w:rPr>
        <w:t>13</w:t>
      </w:r>
      <w:r>
        <w:t>.</w:t>
      </w:r>
      <w:r>
        <w:tab/>
        <w:t>Interim order, applying for</w:t>
      </w:r>
      <w:bookmarkEnd w:id="931"/>
    </w:p>
    <w:p w:rsidR="00425758" w:rsidRDefault="00425758">
      <w:pPr>
        <w:pStyle w:val="Subsection"/>
      </w:pPr>
      <w:r>
        <w:tab/>
        <w:t>(1)</w:t>
      </w:r>
      <w:r>
        <w:tab/>
        <w:t>At any time after an appeal is commenced and before it is concluded a party may apply for an interim order or an order amending or cancelling an interim order.</w:t>
      </w:r>
    </w:p>
    <w:p w:rsidR="00425758" w:rsidRDefault="00425758">
      <w:pPr>
        <w:pStyle w:val="Subsection"/>
      </w:pPr>
      <w:r>
        <w:tab/>
        <w:t>(2)</w:t>
      </w:r>
      <w:r>
        <w:tab/>
        <w:t>To make such an application, the party must file a Form No. 86 (Application in an appeal) with —</w:t>
      </w:r>
    </w:p>
    <w:p w:rsidR="00425758" w:rsidRDefault="00425758">
      <w:pPr>
        <w:pStyle w:val="Indenta"/>
      </w:pPr>
      <w:r>
        <w:tab/>
        <w:t>(a)</w:t>
      </w:r>
      <w:r>
        <w:tab/>
        <w:t>an affidavit by the applicant or the applicant’s lawyer or both explaining why the interim order is wanted; and</w:t>
      </w:r>
    </w:p>
    <w:p w:rsidR="00425758" w:rsidRDefault="00425758">
      <w:pPr>
        <w:pStyle w:val="Indenta"/>
      </w:pPr>
      <w:r>
        <w:tab/>
        <w:t>(b)</w:t>
      </w:r>
      <w:r>
        <w:tab/>
        <w:t>a document setting out the proposed order,</w:t>
      </w:r>
    </w:p>
    <w:p w:rsidR="00425758" w:rsidRDefault="00425758">
      <w:pPr>
        <w:pStyle w:val="Subsection"/>
      </w:pPr>
      <w:r>
        <w:tab/>
      </w:r>
      <w:r>
        <w:tab/>
        <w:t>unless a judge orders otherwise.</w:t>
      </w:r>
    </w:p>
    <w:p w:rsidR="00425758" w:rsidRDefault="00425758">
      <w:pPr>
        <w:pStyle w:val="Footnotesection"/>
      </w:pPr>
      <w:r>
        <w:tab/>
        <w:t>[Rule 13 inserted: Gazette 21 Feb 2007 p. 570.]</w:t>
      </w:r>
    </w:p>
    <w:p w:rsidR="00425758" w:rsidRDefault="00425758">
      <w:pPr>
        <w:pStyle w:val="Heading5"/>
      </w:pPr>
      <w:bookmarkStart w:id="932" w:name="_Toc75863546"/>
      <w:r>
        <w:rPr>
          <w:rStyle w:val="CharSectno"/>
        </w:rPr>
        <w:t>14</w:t>
      </w:r>
      <w:r>
        <w:t>.</w:t>
      </w:r>
      <w:r>
        <w:tab/>
        <w:t>Urgent appeal order, nature of</w:t>
      </w:r>
      <w:bookmarkEnd w:id="932"/>
    </w:p>
    <w:p w:rsidR="00425758" w:rsidRDefault="00425758">
      <w:pPr>
        <w:pStyle w:val="Subsection"/>
      </w:pPr>
      <w:r>
        <w:tab/>
        <w:t>(1)</w:t>
      </w:r>
      <w:r>
        <w:tab/>
        <w:t>An urgent appeal order in relation to an appeal is an order that the appeal is an urgent appeal that must be heard as quickly as practicable consistent with the proper administration of justice.</w:t>
      </w:r>
    </w:p>
    <w:p w:rsidR="00425758" w:rsidRDefault="00425758">
      <w:pPr>
        <w:pStyle w:val="Subsection"/>
      </w:pPr>
      <w:r>
        <w:tab/>
        <w:t>(2)</w:t>
      </w:r>
      <w:r>
        <w:tab/>
        <w:t>An urgent appeal order must include an order setting a timetable for the various requirements of these rules and may include —</w:t>
      </w:r>
    </w:p>
    <w:p w:rsidR="00425758" w:rsidRDefault="00425758">
      <w:pPr>
        <w:pStyle w:val="Indenta"/>
      </w:pPr>
      <w:r>
        <w:tab/>
        <w:t>(a)</w:t>
      </w:r>
      <w:r>
        <w:tab/>
        <w:t>an order dispensing with or modifying any such requirement;</w:t>
      </w:r>
    </w:p>
    <w:p w:rsidR="00425758" w:rsidRDefault="00425758">
      <w:pPr>
        <w:pStyle w:val="Indenta"/>
      </w:pPr>
      <w:r>
        <w:lastRenderedPageBreak/>
        <w:tab/>
        <w:t>(b)</w:t>
      </w:r>
      <w:r>
        <w:tab/>
        <w:t>any order that will or may facilitate the appeal being heard as quickly as practicable consistent with the proper administration of justice.</w:t>
      </w:r>
    </w:p>
    <w:p w:rsidR="00425758" w:rsidRDefault="00425758">
      <w:pPr>
        <w:pStyle w:val="Footnotesection"/>
      </w:pPr>
      <w:r>
        <w:tab/>
        <w:t>[Rule 14 inserted: Gazette 21 Feb 2007 p. 570.]</w:t>
      </w:r>
    </w:p>
    <w:p w:rsidR="00425758" w:rsidRDefault="00425758">
      <w:pPr>
        <w:pStyle w:val="Heading5"/>
      </w:pPr>
      <w:bookmarkStart w:id="933" w:name="_Toc75863547"/>
      <w:r>
        <w:rPr>
          <w:rStyle w:val="CharSectno"/>
        </w:rPr>
        <w:t>15</w:t>
      </w:r>
      <w:r>
        <w:t>.</w:t>
      </w:r>
      <w:r>
        <w:tab/>
        <w:t>Consenting to orders</w:t>
      </w:r>
      <w:bookmarkEnd w:id="933"/>
    </w:p>
    <w:p w:rsidR="00425758" w:rsidRDefault="00425758">
      <w:pPr>
        <w:pStyle w:val="Subsection"/>
      </w:pPr>
      <w:r>
        <w:tab/>
      </w:r>
      <w:r>
        <w:tab/>
        <w:t>The parties to an appeal may consent to an interim or other order, other than an urgent appeal order, being made by filing a Form No. 87 (Consent notice).</w:t>
      </w:r>
    </w:p>
    <w:p w:rsidR="00425758" w:rsidRDefault="00425758">
      <w:pPr>
        <w:pStyle w:val="Footnotesection"/>
      </w:pPr>
      <w:r>
        <w:tab/>
        <w:t>[Rule 15 inserted: Gazette 21 Feb 2007 p. 570.]</w:t>
      </w:r>
    </w:p>
    <w:p w:rsidR="00425758" w:rsidRDefault="00425758">
      <w:pPr>
        <w:pStyle w:val="Heading5"/>
      </w:pPr>
      <w:bookmarkStart w:id="934" w:name="_Toc75863548"/>
      <w:r>
        <w:rPr>
          <w:rStyle w:val="CharSectno"/>
        </w:rPr>
        <w:t>16</w:t>
      </w:r>
      <w:r>
        <w:t>.</w:t>
      </w:r>
      <w:r>
        <w:tab/>
        <w:t>Appeal books not needed unless ordered</w:t>
      </w:r>
      <w:bookmarkEnd w:id="934"/>
    </w:p>
    <w:p w:rsidR="00425758" w:rsidRDefault="00425758">
      <w:pPr>
        <w:pStyle w:val="Subsection"/>
      </w:pPr>
      <w:r>
        <w:tab/>
      </w:r>
      <w:r>
        <w:tab/>
        <w:t>An appeal book containing the documents needed to decide the appeal is not required unless it has been ordered under rule 4.</w:t>
      </w:r>
    </w:p>
    <w:p w:rsidR="00425758" w:rsidRDefault="00425758">
      <w:pPr>
        <w:pStyle w:val="Footnotesection"/>
      </w:pPr>
      <w:r>
        <w:tab/>
        <w:t>[Rule 16 inserted: Gazette 21 Feb 2007 p. 570.]</w:t>
      </w:r>
    </w:p>
    <w:p w:rsidR="00425758" w:rsidRDefault="00425758">
      <w:pPr>
        <w:pStyle w:val="Heading3"/>
      </w:pPr>
      <w:bookmarkStart w:id="935" w:name="_Toc75512453"/>
      <w:bookmarkStart w:id="936" w:name="_Toc75863549"/>
      <w:r>
        <w:rPr>
          <w:rStyle w:val="CharDivNo"/>
        </w:rPr>
        <w:t>Division 4</w:t>
      </w:r>
      <w:r>
        <w:t> — </w:t>
      </w:r>
      <w:r>
        <w:rPr>
          <w:rStyle w:val="CharDivText"/>
        </w:rPr>
        <w:t>Concluding an appeal</w:t>
      </w:r>
      <w:bookmarkEnd w:id="935"/>
      <w:bookmarkEnd w:id="936"/>
    </w:p>
    <w:p w:rsidR="00425758" w:rsidRDefault="00425758">
      <w:pPr>
        <w:pStyle w:val="Footnoteheading"/>
      </w:pPr>
      <w:r>
        <w:tab/>
        <w:t>[Heading inserted: Gazette 21 Feb 2007 p. 570.]</w:t>
      </w:r>
    </w:p>
    <w:p w:rsidR="00425758" w:rsidRDefault="00425758">
      <w:pPr>
        <w:pStyle w:val="Heading5"/>
        <w:spacing w:before="180"/>
      </w:pPr>
      <w:bookmarkStart w:id="937" w:name="_Toc75863550"/>
      <w:r>
        <w:rPr>
          <w:rStyle w:val="CharSectno"/>
        </w:rPr>
        <w:t>17</w:t>
      </w:r>
      <w:r>
        <w:t>.</w:t>
      </w:r>
      <w:r>
        <w:tab/>
        <w:t>Discontinuing an appeal</w:t>
      </w:r>
      <w:bookmarkEnd w:id="937"/>
    </w:p>
    <w:p w:rsidR="00425758" w:rsidRDefault="00425758">
      <w:pPr>
        <w:pStyle w:val="Subsection"/>
        <w:spacing w:before="120"/>
      </w:pPr>
      <w:r>
        <w:tab/>
        <w:t>(1)</w:t>
      </w:r>
      <w:r>
        <w:tab/>
        <w:t>The appellant may discontinue an appeal by filing and serving a Form No. 89 (Discontinuance notice).</w:t>
      </w:r>
    </w:p>
    <w:p w:rsidR="00425758" w:rsidRDefault="00425758">
      <w:pPr>
        <w:pStyle w:val="Subsection"/>
        <w:spacing w:before="120"/>
      </w:pPr>
      <w:r>
        <w:tab/>
        <w:t>(2)</w:t>
      </w:r>
      <w:r>
        <w:tab/>
        <w:t>If it appears to the court that the appellant is a person under disability (as defined in Order 70 rule 1), the Form No. 89 does not have effect unless it is approved by a judge.</w:t>
      </w:r>
    </w:p>
    <w:p w:rsidR="00425758" w:rsidRDefault="00425758">
      <w:pPr>
        <w:pStyle w:val="Subsection"/>
        <w:spacing w:before="120"/>
      </w:pPr>
      <w:r>
        <w:tab/>
        <w:t>(3)</w:t>
      </w:r>
      <w:r>
        <w:tab/>
        <w:t>An application for the approval of a judge must be filed with an affidavit and, unless a judge orders otherwise, an opinion by an independent lawyer.</w:t>
      </w:r>
    </w:p>
    <w:p w:rsidR="00425758" w:rsidRDefault="00425758">
      <w:pPr>
        <w:pStyle w:val="Subsection"/>
        <w:spacing w:before="120"/>
      </w:pPr>
      <w:r>
        <w:tab/>
        <w:t>(4)</w:t>
      </w:r>
      <w:r>
        <w:tab/>
        <w:t>Unless a judge orders otherwise, an appellant who discontinues an appeal must pay the respondent’s costs in respect of the appeal which must be taxed if they are not agreed.</w:t>
      </w:r>
    </w:p>
    <w:p w:rsidR="00425758" w:rsidRDefault="00425758">
      <w:pPr>
        <w:pStyle w:val="Subsection"/>
        <w:spacing w:before="120"/>
      </w:pPr>
      <w:r>
        <w:lastRenderedPageBreak/>
        <w:tab/>
        <w:t>(5)</w:t>
      </w:r>
      <w:r>
        <w:tab/>
        <w:t>In an appeal where the respondent also appeals against the primary court’s decision, subrules (1) to (4) and Form No. 89 apply with any necessary changes.</w:t>
      </w:r>
    </w:p>
    <w:p w:rsidR="00425758" w:rsidRDefault="00425758">
      <w:pPr>
        <w:pStyle w:val="Subsection"/>
        <w:spacing w:before="120"/>
      </w:pPr>
      <w:r>
        <w:tab/>
        <w:t>(6)</w:t>
      </w:r>
      <w:r>
        <w:tab/>
        <w:t>The discontinuance of an appeal by the appellant does not affect any appeal by a respondent who also appeals against the primary court’s decision.</w:t>
      </w:r>
    </w:p>
    <w:p w:rsidR="00425758" w:rsidRDefault="00425758">
      <w:pPr>
        <w:pStyle w:val="Footnotesection"/>
        <w:spacing w:before="80"/>
        <w:ind w:left="890" w:hanging="890"/>
      </w:pPr>
      <w:r>
        <w:tab/>
        <w:t>[Rule 17 inserted: Gazette 21 Feb 2007 p. 570</w:t>
      </w:r>
      <w:r>
        <w:noBreakHyphen/>
        <w:t>1.]</w:t>
      </w:r>
    </w:p>
    <w:p w:rsidR="00425758" w:rsidRDefault="00425758">
      <w:pPr>
        <w:pStyle w:val="Heading5"/>
      </w:pPr>
      <w:bookmarkStart w:id="938" w:name="_Toc75863551"/>
      <w:r>
        <w:rPr>
          <w:rStyle w:val="CharSectno"/>
        </w:rPr>
        <w:t>18</w:t>
      </w:r>
      <w:r>
        <w:t>.</w:t>
      </w:r>
      <w:r>
        <w:tab/>
        <w:t>Settling an appeal</w:t>
      </w:r>
      <w:bookmarkEnd w:id="938"/>
    </w:p>
    <w:p w:rsidR="00425758" w:rsidRDefault="00425758">
      <w:pPr>
        <w:pStyle w:val="Subsection"/>
      </w:pPr>
      <w:r>
        <w:tab/>
        <w:t>(1)</w:t>
      </w:r>
      <w:r>
        <w:tab/>
        <w:t>The parties to an appeal may file a Form No. 87 (Consent notice), modified as necessary, stating the final order that the parties consent to being made in the appeal.</w:t>
      </w:r>
    </w:p>
    <w:p w:rsidR="00425758" w:rsidRDefault="00425758">
      <w:pPr>
        <w:pStyle w:val="Subsection"/>
      </w:pPr>
      <w:r>
        <w:tab/>
        <w:t>(2)</w:t>
      </w:r>
      <w:r>
        <w:tab/>
        <w:t>When a consent notice is filed, the registrar must refer it to a judge who may direct the registrar —</w:t>
      </w:r>
    </w:p>
    <w:p w:rsidR="00425758" w:rsidRDefault="00425758">
      <w:pPr>
        <w:pStyle w:val="Indenta"/>
      </w:pPr>
      <w:r>
        <w:tab/>
        <w:t>(a)</w:t>
      </w:r>
      <w:r>
        <w:tab/>
        <w:t>to issue a final order in accordance with the notice; or</w:t>
      </w:r>
    </w:p>
    <w:p w:rsidR="00425758" w:rsidRDefault="00425758">
      <w:pPr>
        <w:pStyle w:val="Indenta"/>
      </w:pPr>
      <w:r>
        <w:tab/>
        <w:t>(b)</w:t>
      </w:r>
      <w:r>
        <w:tab/>
        <w:t>to notify the parties that the judge will decide the final orders at a hearing.</w:t>
      </w:r>
    </w:p>
    <w:p w:rsidR="00425758" w:rsidRDefault="00425758">
      <w:pPr>
        <w:pStyle w:val="Subsection"/>
      </w:pPr>
      <w:r>
        <w:tab/>
        <w:t>(3)</w:t>
      </w:r>
      <w:r>
        <w:tab/>
        <w:t>A settlement or compromise of an appeal to which a person who appears to the court to be under disability (as defined in Order 70 rule 1) is a party has no effect unless it is approved by a judge.</w:t>
      </w:r>
    </w:p>
    <w:p w:rsidR="00425758" w:rsidRDefault="00425758">
      <w:pPr>
        <w:pStyle w:val="Subsection"/>
      </w:pPr>
      <w:r>
        <w:tab/>
        <w:t>(4)</w:t>
      </w:r>
      <w:r>
        <w:tab/>
        <w:t>An application for the approval of a judge must be filed with an affidavit and, unless a judge orders otherwise, an opinion by an independent lawyer.</w:t>
      </w:r>
    </w:p>
    <w:p w:rsidR="00425758" w:rsidRDefault="00425758">
      <w:pPr>
        <w:pStyle w:val="Footnotesection"/>
      </w:pPr>
      <w:r>
        <w:tab/>
        <w:t>[Rule 18 inserted: Gazette 21 Feb 2007 p. 571; amended: Gazette 28 Jun 2011 p. 2551.]</w:t>
      </w:r>
    </w:p>
    <w:p w:rsidR="00425758" w:rsidRDefault="00425758">
      <w:pPr>
        <w:pStyle w:val="Heading5"/>
      </w:pPr>
      <w:bookmarkStart w:id="939" w:name="_Toc75863552"/>
      <w:r>
        <w:rPr>
          <w:rStyle w:val="CharSectno"/>
        </w:rPr>
        <w:t>19</w:t>
      </w:r>
      <w:r>
        <w:t>.</w:t>
      </w:r>
      <w:r>
        <w:tab/>
        <w:t>Return of exhibits</w:t>
      </w:r>
      <w:bookmarkEnd w:id="939"/>
    </w:p>
    <w:p w:rsidR="00425758" w:rsidRDefault="00425758">
      <w:pPr>
        <w:pStyle w:val="Subsection"/>
      </w:pPr>
      <w:r>
        <w:tab/>
        <w:t>(1)</w:t>
      </w:r>
      <w:r>
        <w:tab/>
        <w:t>This rule does not apply to or in respect of any record or thing that forms part of the Court’s record.</w:t>
      </w:r>
    </w:p>
    <w:p w:rsidR="00425758" w:rsidRDefault="00425758">
      <w:pPr>
        <w:pStyle w:val="Subsection"/>
        <w:keepNext/>
      </w:pPr>
      <w:r>
        <w:lastRenderedPageBreak/>
        <w:tab/>
        <w:t>(2)</w:t>
      </w:r>
      <w:r>
        <w:tab/>
        <w:t>After an appeal is concluded, a registrar must, unless the Court has ordered otherwise —</w:t>
      </w:r>
    </w:p>
    <w:p w:rsidR="00425758" w:rsidRDefault="00425758">
      <w:pPr>
        <w:pStyle w:val="Indenta"/>
      </w:pPr>
      <w:r>
        <w:tab/>
        <w:t>(a)</w:t>
      </w:r>
      <w:r>
        <w:tab/>
        <w:t>return any record or thing given to the Court by the primary court to the primary court; and</w:t>
      </w:r>
    </w:p>
    <w:p w:rsidR="00425758" w:rsidRDefault="00425758">
      <w:pPr>
        <w:pStyle w:val="Indenta"/>
      </w:pPr>
      <w:r>
        <w:tab/>
        <w:t>(b)</w:t>
      </w:r>
      <w:r>
        <w:tab/>
        <w:t>by a written notice, require the party who tendered any record or thing that was admitted in evidence by the Court to collect it from the court; and</w:t>
      </w:r>
    </w:p>
    <w:p w:rsidR="00425758" w:rsidRDefault="00425758">
      <w:pPr>
        <w:pStyle w:val="Indenta"/>
      </w:pPr>
      <w:r>
        <w:tab/>
        <w:t>(c)</w:t>
      </w:r>
      <w:r>
        <w:tab/>
        <w:t>by a written notice, require any person who, under a subpoena, produced any record or thing to the Court that was not admitted in evidence, to collect it from the court.</w:t>
      </w:r>
    </w:p>
    <w:p w:rsidR="00425758" w:rsidRDefault="00425758">
      <w:pPr>
        <w:pStyle w:val="Subsection"/>
      </w:pPr>
      <w:r>
        <w:tab/>
        <w:t>(3)</w:t>
      </w:r>
      <w:r>
        <w:tab/>
        <w:t>A registrar must not act under subrule (2) until —</w:t>
      </w:r>
    </w:p>
    <w:p w:rsidR="00425758" w:rsidRDefault="00425758">
      <w:pPr>
        <w:pStyle w:val="Indenta"/>
      </w:pPr>
      <w:r>
        <w:tab/>
        <w:t>(a)</w:t>
      </w:r>
      <w:r>
        <w:tab/>
        <w:t>the time for commencing proceedings in the Court of Appeal in relation to the appeal has expired; or</w:t>
      </w:r>
    </w:p>
    <w:p w:rsidR="00425758" w:rsidRDefault="00425758">
      <w:pPr>
        <w:pStyle w:val="Indenta"/>
      </w:pPr>
      <w:r>
        <w:tab/>
        <w:t>(b)</w:t>
      </w:r>
      <w:r>
        <w:tab/>
        <w:t>if proceedings in the Court of Appeal in relation to the appeal are commenced before that time expires, the proceedings are concluded.</w:t>
      </w:r>
    </w:p>
    <w:p w:rsidR="00425758" w:rsidRDefault="00425758">
      <w:pPr>
        <w:pStyle w:val="Subsection"/>
      </w:pPr>
      <w:r>
        <w:tab/>
        <w:t>(4)</w:t>
      </w:r>
      <w:r>
        <w:tab/>
        <w:t>Despite subrule (3), a registrar —</w:t>
      </w:r>
    </w:p>
    <w:p w:rsidR="00425758" w:rsidRDefault="00425758">
      <w:pPr>
        <w:pStyle w:val="Indenta"/>
      </w:pPr>
      <w:r>
        <w:tab/>
        <w:t>(a)</w:t>
      </w:r>
      <w:r>
        <w:tab/>
        <w:t>may dispose of a record or thing that the registrar considers is dangerous to retain or return to a person; or</w:t>
      </w:r>
    </w:p>
    <w:p w:rsidR="00425758" w:rsidRDefault="00425758">
      <w:pPr>
        <w:pStyle w:val="Indenta"/>
      </w:pPr>
      <w:r>
        <w:tab/>
        <w:t>(b)</w:t>
      </w:r>
      <w:r>
        <w:tab/>
        <w:t>may release a record or thing to a person who is entitled to custody of it if the registrar considers that —</w:t>
      </w:r>
    </w:p>
    <w:p w:rsidR="00425758" w:rsidRDefault="00425758">
      <w:pPr>
        <w:pStyle w:val="Indenti"/>
      </w:pPr>
      <w:r>
        <w:tab/>
        <w:t>(i)</w:t>
      </w:r>
      <w:r>
        <w:tab/>
        <w:t>it is dangerous, impracticable or inconvenient to retain the record or thing under this rule; or</w:t>
      </w:r>
    </w:p>
    <w:p w:rsidR="00425758" w:rsidRDefault="00425758">
      <w:pPr>
        <w:pStyle w:val="Indenti"/>
      </w:pPr>
      <w:r>
        <w:tab/>
        <w:t>(ii)</w:t>
      </w:r>
      <w:r>
        <w:tab/>
        <w:t>it is necessary for that person to have use of the record or thing.</w:t>
      </w:r>
    </w:p>
    <w:p w:rsidR="00425758" w:rsidRDefault="00425758">
      <w:pPr>
        <w:pStyle w:val="Subsection"/>
      </w:pPr>
      <w:r>
        <w:tab/>
        <w:t>(5)</w:t>
      </w:r>
      <w:r>
        <w:tab/>
        <w:t>If under subrule (4)(b) a registrar releases a record or thing to a person, the registrar may require the person, as a condition of being given it, to file a written undertaking as to the care, maintenance and custody of it and its re</w:t>
      </w:r>
      <w:r>
        <w:noBreakHyphen/>
        <w:t>delivery to the Court.</w:t>
      </w:r>
    </w:p>
    <w:p w:rsidR="00425758" w:rsidRDefault="00425758">
      <w:pPr>
        <w:pStyle w:val="Subsection"/>
      </w:pPr>
      <w:r>
        <w:tab/>
        <w:t>(6)</w:t>
      </w:r>
      <w:r>
        <w:tab/>
        <w:t xml:space="preserve">If a record or thing remains in the possession of the Court after reasonable steps have been taken to identify a person who is </w:t>
      </w:r>
      <w:r>
        <w:lastRenderedPageBreak/>
        <w:t>entitled to possession of it and to require the person to collect it from the court, a judge may order a registrar to destroy it or dispose of it in some other way.</w:t>
      </w:r>
    </w:p>
    <w:p w:rsidR="00425758" w:rsidRDefault="00425758">
      <w:pPr>
        <w:pStyle w:val="Footnotesection"/>
      </w:pPr>
      <w:r>
        <w:tab/>
        <w:t>[Rule 19 inserted: Gazette 21 Feb 2007 p. 571</w:t>
      </w:r>
      <w:r>
        <w:noBreakHyphen/>
        <w:t>2; amended: Gazette 27 Feb 2018 p. 574.]</w:t>
      </w:r>
    </w:p>
    <w:p w:rsidR="00425758" w:rsidRDefault="00425758">
      <w:pPr>
        <w:pStyle w:val="Ednotepart"/>
      </w:pPr>
      <w:r>
        <w:t>[Orders 65A and 65B deleted: Gazette 29 Apr 2005 p. 1800.]</w:t>
      </w:r>
    </w:p>
    <w:p w:rsidR="00425758" w:rsidRDefault="00425758">
      <w:pPr>
        <w:pStyle w:val="Heading2"/>
      </w:pPr>
      <w:bookmarkStart w:id="940" w:name="_Toc75512457"/>
      <w:bookmarkStart w:id="941" w:name="_Toc75863553"/>
      <w:r>
        <w:rPr>
          <w:rStyle w:val="CharPartNo"/>
        </w:rPr>
        <w:lastRenderedPageBreak/>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940"/>
      <w:bookmarkEnd w:id="941"/>
    </w:p>
    <w:p w:rsidR="00425758" w:rsidRDefault="00425758">
      <w:pPr>
        <w:pStyle w:val="Footnoteheading"/>
      </w:pPr>
      <w:r>
        <w:tab/>
        <w:t xml:space="preserve">[Heading inserted: Gazette 22 Feb 2008 p. 640.] </w:t>
      </w:r>
    </w:p>
    <w:p w:rsidR="00425758" w:rsidRDefault="00425758">
      <w:pPr>
        <w:pStyle w:val="Heading5"/>
      </w:pPr>
      <w:bookmarkStart w:id="942" w:name="_Toc75863554"/>
      <w:r>
        <w:rPr>
          <w:rStyle w:val="CharSectno"/>
        </w:rPr>
        <w:t>1</w:t>
      </w:r>
      <w:r>
        <w:t>.</w:t>
      </w:r>
      <w:r>
        <w:tab/>
        <w:t>Term used: Electoral Commissioner</w:t>
      </w:r>
      <w:bookmarkEnd w:id="942"/>
    </w:p>
    <w:p w:rsidR="00425758" w:rsidRDefault="00425758">
      <w:pPr>
        <w:pStyle w:val="Subsection"/>
      </w:pPr>
      <w:r>
        <w:tab/>
      </w:r>
      <w:r>
        <w:tab/>
        <w:t>In this Order, unless the contrary intention appears —</w:t>
      </w:r>
    </w:p>
    <w:p w:rsidR="00425758" w:rsidRDefault="00425758">
      <w:pPr>
        <w:pStyle w:val="Defstart"/>
      </w:pPr>
      <w:r>
        <w:tab/>
      </w:r>
      <w:r>
        <w:rPr>
          <w:rStyle w:val="CharDefText"/>
        </w:rPr>
        <w:t>Electoral Commissioner</w:t>
      </w:r>
      <w:r>
        <w:t xml:space="preserve"> means the Electoral Commissioner appointed under the </w:t>
      </w:r>
      <w:r>
        <w:rPr>
          <w:i/>
        </w:rPr>
        <w:t>Electoral Act 1907</w:t>
      </w:r>
      <w:r>
        <w:t>.</w:t>
      </w:r>
    </w:p>
    <w:p w:rsidR="00425758" w:rsidRDefault="00425758">
      <w:pPr>
        <w:pStyle w:val="Footnotesection"/>
      </w:pPr>
      <w:r>
        <w:tab/>
        <w:t>[Rule 1 inserted: Gazette 2 Feb 2001 p. 698.]</w:t>
      </w:r>
    </w:p>
    <w:p w:rsidR="00425758" w:rsidRDefault="00425758">
      <w:pPr>
        <w:pStyle w:val="Heading5"/>
      </w:pPr>
      <w:bookmarkStart w:id="943" w:name="_Toc75863555"/>
      <w:r>
        <w:rPr>
          <w:rStyle w:val="CharSectno"/>
        </w:rPr>
        <w:t>2</w:t>
      </w:r>
      <w:r>
        <w:t>.</w:t>
      </w:r>
      <w:r>
        <w:tab/>
        <w:t>Application of this Order</w:t>
      </w:r>
      <w:bookmarkEnd w:id="943"/>
    </w:p>
    <w:p w:rsidR="00425758" w:rsidRDefault="00425758">
      <w:pPr>
        <w:pStyle w:val="Subsection"/>
      </w:pPr>
      <w:r>
        <w:tab/>
      </w:r>
      <w:r>
        <w:tab/>
        <w:t xml:space="preserve">This Order applies to reviews by the Court of decisions referred to in section 62N(1) of the </w:t>
      </w:r>
      <w:r>
        <w:rPr>
          <w:i/>
        </w:rPr>
        <w:t>Electoral Act 1907</w:t>
      </w:r>
      <w:r>
        <w:t>.</w:t>
      </w:r>
    </w:p>
    <w:p w:rsidR="00425758" w:rsidRDefault="00425758">
      <w:pPr>
        <w:pStyle w:val="Footnotesection"/>
      </w:pPr>
      <w:r>
        <w:tab/>
        <w:t>[Rule 2 inserted: Gazette 2 Feb 2001 p. 698.]</w:t>
      </w:r>
    </w:p>
    <w:p w:rsidR="00425758" w:rsidRDefault="00425758">
      <w:pPr>
        <w:pStyle w:val="Heading5"/>
      </w:pPr>
      <w:bookmarkStart w:id="944" w:name="_Toc75863556"/>
      <w:r>
        <w:rPr>
          <w:rStyle w:val="CharSectno"/>
        </w:rPr>
        <w:t>3</w:t>
      </w:r>
      <w:r>
        <w:t>.</w:t>
      </w:r>
      <w:r>
        <w:tab/>
        <w:t>Application for review</w:t>
      </w:r>
      <w:bookmarkEnd w:id="944"/>
    </w:p>
    <w:p w:rsidR="00425758" w:rsidRDefault="00425758">
      <w:pPr>
        <w:pStyle w:val="Subsection"/>
      </w:pPr>
      <w:r>
        <w:tab/>
        <w:t>(1)</w:t>
      </w:r>
      <w:r>
        <w:tab/>
        <w:t>An application for review to which this Order applies must be instituted within one month or such further period as the Court allows after the decision comes to the notice of the applicant.</w:t>
      </w:r>
    </w:p>
    <w:p w:rsidR="00425758" w:rsidRDefault="00425758">
      <w:pPr>
        <w:pStyle w:val="Subsection"/>
      </w:pPr>
      <w:r>
        <w:tab/>
        <w:t>(2)</w:t>
      </w:r>
      <w:r>
        <w:tab/>
        <w:t>A copy of the notice of originating motion must be served on the Electoral Commissioner.</w:t>
      </w:r>
    </w:p>
    <w:p w:rsidR="00425758" w:rsidRDefault="00425758">
      <w:pPr>
        <w:pStyle w:val="Subsection"/>
      </w:pPr>
      <w:r>
        <w:tab/>
        <w:t>(3)</w:t>
      </w:r>
      <w:r>
        <w:tab/>
        <w:t>If the Electoral Commissioner wishes to be heard at the hearing of the review, the Commissioner must enter an appearance.</w:t>
      </w:r>
    </w:p>
    <w:p w:rsidR="00425758" w:rsidRDefault="00425758">
      <w:pPr>
        <w:pStyle w:val="Footnotesection"/>
      </w:pPr>
      <w:r>
        <w:tab/>
        <w:t>[Rule 3 inserted: Gazette 2 Feb 2001 p. 698.]</w:t>
      </w:r>
    </w:p>
    <w:p w:rsidR="00425758" w:rsidRDefault="00425758">
      <w:pPr>
        <w:pStyle w:val="Heading5"/>
      </w:pPr>
      <w:bookmarkStart w:id="945" w:name="_Toc75863557"/>
      <w:r>
        <w:rPr>
          <w:rStyle w:val="CharSectno"/>
        </w:rPr>
        <w:t>4</w:t>
      </w:r>
      <w:r>
        <w:t>.</w:t>
      </w:r>
      <w:r>
        <w:tab/>
        <w:t>Title of proceedings</w:t>
      </w:r>
      <w:bookmarkEnd w:id="945"/>
    </w:p>
    <w:p w:rsidR="00425758" w:rsidRDefault="00425758">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rsidR="00425758" w:rsidRDefault="00425758">
      <w:pPr>
        <w:pStyle w:val="Footnotesection"/>
      </w:pPr>
      <w:r>
        <w:tab/>
        <w:t>[Rule 4 inserted: Gazette 2 Feb 2001 p. 698.]</w:t>
      </w:r>
    </w:p>
    <w:p w:rsidR="00425758" w:rsidRDefault="00425758">
      <w:pPr>
        <w:pStyle w:val="Heading5"/>
      </w:pPr>
      <w:bookmarkStart w:id="946" w:name="_Toc75863558"/>
      <w:r>
        <w:rPr>
          <w:rStyle w:val="CharSectno"/>
        </w:rPr>
        <w:lastRenderedPageBreak/>
        <w:t>5</w:t>
      </w:r>
      <w:r>
        <w:t>.</w:t>
      </w:r>
      <w:r>
        <w:tab/>
        <w:t>Hearing the review</w:t>
      </w:r>
      <w:bookmarkEnd w:id="946"/>
    </w:p>
    <w:p w:rsidR="00425758" w:rsidRDefault="00425758">
      <w:pPr>
        <w:pStyle w:val="Subsection"/>
      </w:pPr>
      <w:r>
        <w:tab/>
        <w:t>(1)</w:t>
      </w:r>
      <w:r>
        <w:tab/>
        <w:t xml:space="preserve">Subject to subrules (2) and (3) and the provisions of the </w:t>
      </w:r>
      <w:r>
        <w:rPr>
          <w:i/>
        </w:rPr>
        <w:t>Electoral Act 1907</w:t>
      </w:r>
      <w:r>
        <w:t>, the review must be heard by a judge sitting in Court.</w:t>
      </w:r>
    </w:p>
    <w:p w:rsidR="00425758" w:rsidRDefault="00425758">
      <w:pPr>
        <w:pStyle w:val="Subsection"/>
      </w:pPr>
      <w:r>
        <w:tab/>
        <w:t>(2)</w:t>
      </w:r>
      <w:r>
        <w:tab/>
        <w:t>A judge may, at any time before the hearing of a review, direct that the review is to be heard by a judge sitting in chambers.</w:t>
      </w:r>
    </w:p>
    <w:p w:rsidR="00425758" w:rsidRDefault="00425758">
      <w:pPr>
        <w:pStyle w:val="Subsection"/>
      </w:pPr>
      <w:r>
        <w:tab/>
        <w:t>(3)</w:t>
      </w:r>
      <w:r>
        <w:tab/>
        <w:t>The judge hearing a review in Court may direct that the further hearing of the review be adjourned into chambers.</w:t>
      </w:r>
    </w:p>
    <w:p w:rsidR="00425758" w:rsidRDefault="00425758">
      <w:pPr>
        <w:pStyle w:val="Subsection"/>
      </w:pPr>
      <w:r>
        <w:tab/>
        <w:t>(4)</w:t>
      </w:r>
      <w:r>
        <w:tab/>
        <w:t>A review directed under subrules (2) and (3) to be heard or further heard in chambers may be adjourned from chambers into Court.</w:t>
      </w:r>
    </w:p>
    <w:p w:rsidR="00425758" w:rsidRDefault="00425758">
      <w:pPr>
        <w:pStyle w:val="Footnotesection"/>
      </w:pPr>
      <w:r>
        <w:tab/>
        <w:t>[Rule 5 inserted: Gazette 2 Feb 2001 p. 698</w:t>
      </w:r>
      <w:r>
        <w:noBreakHyphen/>
        <w:t>9.]</w:t>
      </w:r>
    </w:p>
    <w:p w:rsidR="00425758" w:rsidRDefault="00425758">
      <w:pPr>
        <w:pStyle w:val="Heading5"/>
      </w:pPr>
      <w:bookmarkStart w:id="947" w:name="_Toc75863559"/>
      <w:r>
        <w:rPr>
          <w:rStyle w:val="CharSectno"/>
        </w:rPr>
        <w:t>6</w:t>
      </w:r>
      <w:r>
        <w:t>.</w:t>
      </w:r>
      <w:r>
        <w:tab/>
        <w:t>Date of hearing</w:t>
      </w:r>
      <w:bookmarkEnd w:id="947"/>
    </w:p>
    <w:p w:rsidR="00425758" w:rsidRDefault="00425758">
      <w:pPr>
        <w:pStyle w:val="Subsection"/>
      </w:pPr>
      <w:r>
        <w:tab/>
        <w:t>(1)</w:t>
      </w:r>
      <w:r>
        <w:tab/>
        <w:t>Unless the Court otherwise orders, a review to which this Order applies must not be heard before the expiration of 21 days from the date when the review was instituted.</w:t>
      </w:r>
    </w:p>
    <w:p w:rsidR="00425758" w:rsidRDefault="00425758">
      <w:pPr>
        <w:pStyle w:val="Subsection"/>
      </w:pPr>
      <w:r>
        <w:tab/>
        <w:t>(2)</w:t>
      </w:r>
      <w:r>
        <w:tab/>
        <w:t>Any party may apply to the Court for an order fixing the date for hearing the review.</w:t>
      </w:r>
    </w:p>
    <w:p w:rsidR="00425758" w:rsidRDefault="00425758">
      <w:pPr>
        <w:pStyle w:val="Subsection"/>
      </w:pPr>
      <w:r>
        <w:tab/>
        <w:t>(3)</w:t>
      </w:r>
      <w:r>
        <w:tab/>
        <w:t>Unless an order under subrule (2) has been made, the day for hearing the review must be fixed by the proper officer in accordance with the practice of the Court.</w:t>
      </w:r>
    </w:p>
    <w:p w:rsidR="00425758" w:rsidRDefault="00425758">
      <w:pPr>
        <w:pStyle w:val="Subsection"/>
      </w:pPr>
      <w:r>
        <w:tab/>
        <w:t>(4)</w:t>
      </w:r>
      <w:r>
        <w:tab/>
        <w:t>The proper officer must send to the applicant and to the Electoral Commissioner, notice of the day fixed for the hearing of the review.</w:t>
      </w:r>
    </w:p>
    <w:p w:rsidR="00425758" w:rsidRDefault="00425758">
      <w:pPr>
        <w:pStyle w:val="Subsection"/>
        <w:keepNext/>
      </w:pPr>
      <w:r>
        <w:tab/>
        <w:t>(5)</w:t>
      </w:r>
      <w:r>
        <w:tab/>
        <w:t>If the day for hearing the review is fixed by the proper officer it must not be earlier than 7 days after notice has been sent to the applicant and to the Electoral Commissioner under subrule (4).</w:t>
      </w:r>
    </w:p>
    <w:p w:rsidR="00425758" w:rsidRDefault="00425758">
      <w:pPr>
        <w:pStyle w:val="Footnotesection"/>
      </w:pPr>
      <w:r>
        <w:tab/>
        <w:t>[Rule 6 inserted: Gazette 2 Feb 2001 p. 699.]</w:t>
      </w:r>
    </w:p>
    <w:p w:rsidR="00425758" w:rsidRDefault="00425758">
      <w:pPr>
        <w:pStyle w:val="Heading5"/>
      </w:pPr>
      <w:bookmarkStart w:id="948" w:name="_Toc75863560"/>
      <w:r>
        <w:rPr>
          <w:rStyle w:val="CharSectno"/>
        </w:rPr>
        <w:lastRenderedPageBreak/>
        <w:t>7</w:t>
      </w:r>
      <w:r>
        <w:t>.</w:t>
      </w:r>
      <w:r>
        <w:tab/>
        <w:t>Review book</w:t>
      </w:r>
      <w:bookmarkEnd w:id="948"/>
    </w:p>
    <w:p w:rsidR="00425758" w:rsidRDefault="00425758">
      <w:pPr>
        <w:pStyle w:val="Subsection"/>
      </w:pPr>
      <w:r>
        <w:tab/>
        <w:t>(1)</w:t>
      </w:r>
      <w:r>
        <w:tab/>
        <w:t>The applicant must, not less than 6 clear days immediately preceding the day fixed for hearing the review —</w:t>
      </w:r>
    </w:p>
    <w:p w:rsidR="00425758" w:rsidRDefault="00425758">
      <w:pPr>
        <w:pStyle w:val="Indenta"/>
      </w:pPr>
      <w:r>
        <w:tab/>
        <w:t>(a)</w:t>
      </w:r>
      <w:r>
        <w:tab/>
        <w:t>prepare to the satisfaction of the registrar a review book containing all material relevant to the hearing of the review; and</w:t>
      </w:r>
    </w:p>
    <w:p w:rsidR="00425758" w:rsidRDefault="00425758">
      <w:pPr>
        <w:pStyle w:val="Indenta"/>
      </w:pPr>
      <w:r>
        <w:tab/>
        <w:t>(b)</w:t>
      </w:r>
      <w:r>
        <w:tab/>
        <w:t>file 2 copies of the review book so prepared, for the use of the judge upon the hearing; and</w:t>
      </w:r>
    </w:p>
    <w:p w:rsidR="00425758" w:rsidRDefault="00425758">
      <w:pPr>
        <w:pStyle w:val="Indenta"/>
      </w:pPr>
      <w:r>
        <w:tab/>
        <w:t>(c)</w:t>
      </w:r>
      <w:r>
        <w:tab/>
        <w:t>serve upon the Electoral Commissioner one copy of the review book.</w:t>
      </w:r>
    </w:p>
    <w:p w:rsidR="00425758" w:rsidRDefault="00425758">
      <w:pPr>
        <w:pStyle w:val="Subsection"/>
      </w:pPr>
      <w:r>
        <w:tab/>
        <w:t>(2)</w:t>
      </w:r>
      <w:r>
        <w:tab/>
        <w:t>Unless the Court otherwise orders, the costs of complying with this rule are to be costs in the cause.</w:t>
      </w:r>
    </w:p>
    <w:p w:rsidR="00425758" w:rsidRDefault="00425758">
      <w:pPr>
        <w:pStyle w:val="Footnotesection"/>
      </w:pPr>
      <w:r>
        <w:tab/>
        <w:t>[Rule 7 inserted: Gazette 2 Feb 2001 p. 699; amended: Gazette 27 Feb 2018 p. 574.]</w:t>
      </w:r>
    </w:p>
    <w:p w:rsidR="00425758" w:rsidRDefault="00425758">
      <w:pPr>
        <w:pStyle w:val="Heading5"/>
      </w:pPr>
      <w:bookmarkStart w:id="949" w:name="_Toc75863561"/>
      <w:r>
        <w:rPr>
          <w:rStyle w:val="CharSectno"/>
        </w:rPr>
        <w:t>8</w:t>
      </w:r>
      <w:r>
        <w:t>.</w:t>
      </w:r>
      <w:r>
        <w:tab/>
        <w:t>Applicant limited to grounds in originating motion</w:t>
      </w:r>
      <w:bookmarkEnd w:id="949"/>
    </w:p>
    <w:p w:rsidR="00425758" w:rsidRDefault="00425758">
      <w:pPr>
        <w:pStyle w:val="Subsection"/>
      </w:pPr>
      <w:r>
        <w:tab/>
        <w:t>(1)</w:t>
      </w:r>
      <w:r>
        <w:tab/>
        <w:t>If the applicant intends to ask for any amendment at the hearing the applicant must give notice of the applicant’s intention and of the proposed amendment.</w:t>
      </w:r>
    </w:p>
    <w:p w:rsidR="00425758" w:rsidRDefault="00425758">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rsidR="00425758" w:rsidRDefault="00425758">
      <w:pPr>
        <w:pStyle w:val="Footnotesection"/>
      </w:pPr>
      <w:r>
        <w:tab/>
        <w:t>[Rule 8 inserted: Gazette 2 Feb 2001 p. 699</w:t>
      </w:r>
      <w:r>
        <w:noBreakHyphen/>
        <w:t>700.]</w:t>
      </w:r>
    </w:p>
    <w:p w:rsidR="00425758" w:rsidRDefault="00425758">
      <w:pPr>
        <w:pStyle w:val="Heading5"/>
      </w:pPr>
      <w:bookmarkStart w:id="950" w:name="_Toc75863562"/>
      <w:r>
        <w:rPr>
          <w:rStyle w:val="CharSectno"/>
        </w:rPr>
        <w:t>9</w:t>
      </w:r>
      <w:r>
        <w:t>.</w:t>
      </w:r>
      <w:r>
        <w:tab/>
        <w:t>Right to be heard in opposition</w:t>
      </w:r>
      <w:bookmarkEnd w:id="950"/>
    </w:p>
    <w:p w:rsidR="00425758" w:rsidRDefault="00425758">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rsidR="00425758" w:rsidRDefault="00425758">
      <w:pPr>
        <w:pStyle w:val="Subsection"/>
        <w:keepNext/>
      </w:pPr>
      <w:r>
        <w:lastRenderedPageBreak/>
        <w:tab/>
        <w:t>(2)</w:t>
      </w:r>
      <w:r>
        <w:tab/>
        <w:t>A person who is heard under this rule, may, in the discretion of the Court, be ordered to pay costs.</w:t>
      </w:r>
    </w:p>
    <w:p w:rsidR="00425758" w:rsidRDefault="00425758">
      <w:pPr>
        <w:pStyle w:val="Footnotesection"/>
      </w:pPr>
      <w:r>
        <w:tab/>
        <w:t>[Rule 9 inserted: Gazette 2 Feb 2001 p. 700.]</w:t>
      </w:r>
    </w:p>
    <w:p w:rsidR="00425758" w:rsidRDefault="00425758">
      <w:pPr>
        <w:pStyle w:val="Heading5"/>
      </w:pPr>
      <w:bookmarkStart w:id="951" w:name="_Toc75863563"/>
      <w:r>
        <w:rPr>
          <w:rStyle w:val="CharSectno"/>
        </w:rPr>
        <w:t>10</w:t>
      </w:r>
      <w:r>
        <w:t>.</w:t>
      </w:r>
      <w:r>
        <w:tab/>
        <w:t>Additional affidavits, determination of issue etc.</w:t>
      </w:r>
      <w:bookmarkEnd w:id="951"/>
    </w:p>
    <w:p w:rsidR="00425758" w:rsidRDefault="00425758">
      <w:pPr>
        <w:pStyle w:val="Subsection"/>
      </w:pPr>
      <w:r>
        <w:tab/>
        <w:t>(1)</w:t>
      </w:r>
      <w:r>
        <w:tab/>
        <w:t>On the hearing of the application the Court may allow the applicant to use further affidavits upon such terms as to adjournment or costs as the Court thinks fit.</w:t>
      </w:r>
    </w:p>
    <w:p w:rsidR="00425758" w:rsidRDefault="00425758">
      <w:pPr>
        <w:pStyle w:val="Subsection"/>
      </w:pPr>
      <w:r>
        <w:tab/>
        <w:t>(2)</w:t>
      </w:r>
      <w:r>
        <w:tab/>
        <w:t>If the applicant intends to ask to be allowed to use further affidavits, the applicant must give reasonable notice of the applicant’s intention to the Electoral Commissioner.</w:t>
      </w:r>
    </w:p>
    <w:p w:rsidR="00425758" w:rsidRDefault="00425758">
      <w:pPr>
        <w:pStyle w:val="Subsection"/>
      </w:pPr>
      <w:r>
        <w:tab/>
        <w:t>(3)</w:t>
      </w:r>
      <w:r>
        <w:tab/>
        <w:t>If any question or issue of fact arises upon the affidavits the Court may give such directions as it thinks fit for the determination of the question or issue by trial or inquiry.</w:t>
      </w:r>
    </w:p>
    <w:p w:rsidR="00425758" w:rsidRDefault="00425758">
      <w:pPr>
        <w:pStyle w:val="Footnotesection"/>
      </w:pPr>
      <w:r>
        <w:tab/>
        <w:t>[Rule 10 inserted: Gazette 2 Feb 2001 p. 700.]</w:t>
      </w:r>
    </w:p>
    <w:p w:rsidR="00425758" w:rsidRDefault="00425758">
      <w:pPr>
        <w:pStyle w:val="Heading5"/>
      </w:pPr>
      <w:bookmarkStart w:id="952" w:name="_Toc75863564"/>
      <w:r>
        <w:rPr>
          <w:rStyle w:val="CharSectno"/>
        </w:rPr>
        <w:t>11</w:t>
      </w:r>
      <w:r>
        <w:t>.</w:t>
      </w:r>
      <w:r>
        <w:tab/>
        <w:t>Order as to result of review</w:t>
      </w:r>
      <w:bookmarkEnd w:id="952"/>
    </w:p>
    <w:p w:rsidR="00425758" w:rsidRDefault="00425758">
      <w:pPr>
        <w:pStyle w:val="Subsection"/>
      </w:pPr>
      <w:r>
        <w:tab/>
        <w:t>(1)</w:t>
      </w:r>
      <w:r>
        <w:tab/>
        <w:t>The result of the review must be embodied in a formal order, which must be filed.</w:t>
      </w:r>
    </w:p>
    <w:p w:rsidR="00425758" w:rsidRDefault="00425758">
      <w:pPr>
        <w:pStyle w:val="Subsection"/>
      </w:pPr>
      <w:r>
        <w:tab/>
        <w:t>(2)</w:t>
      </w:r>
      <w:r>
        <w:tab/>
        <w:t>Except where the formal order is filed by or on behalf of the Electoral Commissioner, the registrar must send to the Electoral Commissioner, a memorandum of the result of the review.</w:t>
      </w:r>
    </w:p>
    <w:p w:rsidR="00425758" w:rsidRDefault="00425758">
      <w:pPr>
        <w:pStyle w:val="Footnotesection"/>
      </w:pPr>
      <w:r>
        <w:tab/>
        <w:t>[Rule 11 inserted: Gazette 2 Feb 2001 p. 700; amended: Gazette 27 Feb 2018 p. 575.]</w:t>
      </w:r>
    </w:p>
    <w:p w:rsidR="00425758" w:rsidRDefault="00425758">
      <w:pPr>
        <w:pStyle w:val="Heading5"/>
      </w:pPr>
      <w:bookmarkStart w:id="953" w:name="_Toc75863565"/>
      <w:r>
        <w:rPr>
          <w:rStyle w:val="CharSectno"/>
        </w:rPr>
        <w:t>12</w:t>
      </w:r>
      <w:r>
        <w:t>.</w:t>
      </w:r>
      <w:r>
        <w:tab/>
        <w:t>Application of rules of court</w:t>
      </w:r>
      <w:bookmarkEnd w:id="953"/>
    </w:p>
    <w:p w:rsidR="00425758" w:rsidRDefault="00425758">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rsidR="00425758" w:rsidRDefault="00425758">
      <w:pPr>
        <w:pStyle w:val="Footnotesection"/>
      </w:pPr>
      <w:r>
        <w:tab/>
        <w:t>[Rule 12 inserted: Gazette 2 Feb 2001 p. 700.]</w:t>
      </w:r>
    </w:p>
    <w:p w:rsidR="00425758" w:rsidRDefault="00425758">
      <w:pPr>
        <w:pStyle w:val="Heading2"/>
      </w:pPr>
      <w:bookmarkStart w:id="954" w:name="_Toc75512470"/>
      <w:bookmarkStart w:id="955" w:name="_Toc75863566"/>
      <w:r>
        <w:rPr>
          <w:rStyle w:val="CharPartNo"/>
        </w:rPr>
        <w:lastRenderedPageBreak/>
        <w:t>Order 66</w:t>
      </w:r>
      <w:r>
        <w:t> — </w:t>
      </w:r>
      <w:r>
        <w:rPr>
          <w:rStyle w:val="CharPartText"/>
        </w:rPr>
        <w:t>Costs</w:t>
      </w:r>
      <w:bookmarkEnd w:id="954"/>
      <w:bookmarkEnd w:id="955"/>
    </w:p>
    <w:p w:rsidR="00425758" w:rsidRDefault="00425758">
      <w:pPr>
        <w:pStyle w:val="Heading3"/>
      </w:pPr>
      <w:bookmarkStart w:id="956" w:name="_Toc75512471"/>
      <w:bookmarkStart w:id="957" w:name="_Toc75863567"/>
      <w:r>
        <w:rPr>
          <w:rStyle w:val="CharDivNo"/>
        </w:rPr>
        <w:t>Division 1</w:t>
      </w:r>
      <w:r>
        <w:t> — </w:t>
      </w:r>
      <w:r>
        <w:rPr>
          <w:rStyle w:val="CharDivText"/>
        </w:rPr>
        <w:t>General</w:t>
      </w:r>
      <w:bookmarkEnd w:id="956"/>
      <w:bookmarkEnd w:id="957"/>
    </w:p>
    <w:p w:rsidR="00425758" w:rsidRDefault="00425758">
      <w:pPr>
        <w:pStyle w:val="Footnoteheading"/>
      </w:pPr>
      <w:r>
        <w:tab/>
        <w:t xml:space="preserve">[Heading inserted: Gazette 22 Feb 2008 p. 640.] </w:t>
      </w:r>
    </w:p>
    <w:p w:rsidR="00425758" w:rsidRDefault="00425758">
      <w:pPr>
        <w:pStyle w:val="Heading5"/>
        <w:rPr>
          <w:snapToGrid w:val="0"/>
        </w:rPr>
      </w:pPr>
      <w:bookmarkStart w:id="958" w:name="_Toc75863568"/>
      <w:r>
        <w:rPr>
          <w:rStyle w:val="CharSectno"/>
        </w:rPr>
        <w:t>1</w:t>
      </w:r>
      <w:r>
        <w:rPr>
          <w:snapToGrid w:val="0"/>
        </w:rPr>
        <w:t>.</w:t>
      </w:r>
      <w:r>
        <w:rPr>
          <w:snapToGrid w:val="0"/>
        </w:rPr>
        <w:tab/>
        <w:t>General rules as to costs</w:t>
      </w:r>
      <w:bookmarkEnd w:id="958"/>
    </w:p>
    <w:p w:rsidR="00425758" w:rsidRDefault="00425758">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rsidR="00425758" w:rsidRDefault="00425758">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rsidR="00425758" w:rsidRDefault="00425758">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rsidR="00425758" w:rsidRDefault="00425758">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xml:space="preserve">, but in such case the Court may grant that defendant such sum for costs as will compensate him for expenses necessarily incurred by him and may in doing so exercise the powers hereinafter conferred </w:t>
      </w:r>
      <w:r>
        <w:rPr>
          <w:snapToGrid w:val="0"/>
        </w:rPr>
        <w:lastRenderedPageBreak/>
        <w:t>on it to order costs out of any property or fund with or without a right of recourse against any other party to the action or matter.</w:t>
      </w:r>
    </w:p>
    <w:p w:rsidR="00425758" w:rsidRDefault="00425758">
      <w:pPr>
        <w:pStyle w:val="Heading5"/>
        <w:rPr>
          <w:snapToGrid w:val="0"/>
        </w:rPr>
      </w:pPr>
      <w:bookmarkStart w:id="959" w:name="_Toc75863569"/>
      <w:r>
        <w:rPr>
          <w:rStyle w:val="CharSectno"/>
        </w:rPr>
        <w:t>2</w:t>
      </w:r>
      <w:r>
        <w:rPr>
          <w:snapToGrid w:val="0"/>
        </w:rPr>
        <w:t>.</w:t>
      </w:r>
      <w:r>
        <w:rPr>
          <w:snapToGrid w:val="0"/>
        </w:rPr>
        <w:tab/>
        <w:t>Costs where several causes of action, defendants etc.</w:t>
      </w:r>
      <w:bookmarkEnd w:id="959"/>
    </w:p>
    <w:p w:rsidR="00425758" w:rsidRDefault="00425758">
      <w:pPr>
        <w:pStyle w:val="Subsection"/>
        <w:rPr>
          <w:snapToGrid w:val="0"/>
        </w:rPr>
      </w:pPr>
      <w:r>
        <w:rPr>
          <w:snapToGrid w:val="0"/>
        </w:rPr>
        <w:tab/>
      </w:r>
      <w:r>
        <w:rPr>
          <w:snapToGrid w:val="0"/>
        </w:rPr>
        <w:tab/>
        <w:t>In the absence of any special order — </w:t>
      </w:r>
    </w:p>
    <w:p w:rsidR="00425758" w:rsidRDefault="00425758">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rsidR="00425758" w:rsidRDefault="00425758">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rsidR="00425758" w:rsidRDefault="00425758">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rsidR="00425758" w:rsidRDefault="00425758">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rsidR="00425758" w:rsidRDefault="00425758">
      <w:pPr>
        <w:pStyle w:val="Indenta"/>
        <w:rPr>
          <w:snapToGrid w:val="0"/>
        </w:rPr>
      </w:pPr>
      <w:r>
        <w:rPr>
          <w:snapToGrid w:val="0"/>
        </w:rPr>
        <w:lastRenderedPageBreak/>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rsidR="00425758" w:rsidRDefault="00425758">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rsidR="00425758" w:rsidRDefault="00425758">
      <w:pPr>
        <w:pStyle w:val="Heading5"/>
        <w:rPr>
          <w:snapToGrid w:val="0"/>
        </w:rPr>
      </w:pPr>
      <w:bookmarkStart w:id="960" w:name="_Toc75863570"/>
      <w:r>
        <w:rPr>
          <w:rStyle w:val="CharSectno"/>
        </w:rPr>
        <w:t>3</w:t>
      </w:r>
      <w:r>
        <w:rPr>
          <w:snapToGrid w:val="0"/>
        </w:rPr>
        <w:t>.</w:t>
      </w:r>
      <w:r>
        <w:rPr>
          <w:snapToGrid w:val="0"/>
        </w:rPr>
        <w:tab/>
        <w:t>Costs of amendment without leave or where facts or documents not admitted</w:t>
      </w:r>
      <w:bookmarkEnd w:id="960"/>
    </w:p>
    <w:p w:rsidR="00425758" w:rsidRDefault="00425758">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rsidR="00425758" w:rsidRDefault="00425758">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rsidR="00425758" w:rsidRDefault="00425758">
      <w:pPr>
        <w:pStyle w:val="Subsection"/>
        <w:rPr>
          <w:snapToGrid w:val="0"/>
        </w:rPr>
      </w:pPr>
      <w:r>
        <w:rPr>
          <w:snapToGrid w:val="0"/>
        </w:rPr>
        <w:tab/>
        <w:t>(3)</w:t>
      </w:r>
      <w:r>
        <w:rPr>
          <w:snapToGrid w:val="0"/>
        </w:rPr>
        <w:tab/>
        <w:t xml:space="preserve">If a </w:t>
      </w:r>
      <w:r>
        <w:t>party</w:t>
      </w:r>
      <w:r>
        <w:rPr>
          <w:snapToGrid w:val="0"/>
        </w:rPr>
        <w:t> — </w:t>
      </w:r>
    </w:p>
    <w:p w:rsidR="00425758" w:rsidRDefault="00425758">
      <w:pPr>
        <w:pStyle w:val="Indenta"/>
        <w:rPr>
          <w:snapToGrid w:val="0"/>
        </w:rPr>
      </w:pPr>
      <w:r>
        <w:rPr>
          <w:snapToGrid w:val="0"/>
        </w:rPr>
        <w:tab/>
        <w:t>(a)</w:t>
      </w:r>
      <w:r>
        <w:rPr>
          <w:snapToGrid w:val="0"/>
        </w:rPr>
        <w:tab/>
        <w:t>on whom a list of documents is served in pursuance of any provision of Order 26; or</w:t>
      </w:r>
    </w:p>
    <w:p w:rsidR="00425758" w:rsidRDefault="00425758">
      <w:pPr>
        <w:pStyle w:val="Indenta"/>
        <w:rPr>
          <w:snapToGrid w:val="0"/>
        </w:rPr>
      </w:pPr>
      <w:r>
        <w:rPr>
          <w:snapToGrid w:val="0"/>
        </w:rPr>
        <w:tab/>
        <w:t>(b)</w:t>
      </w:r>
      <w:r>
        <w:rPr>
          <w:snapToGrid w:val="0"/>
        </w:rPr>
        <w:tab/>
        <w:t>on whom a notice to admit documents is served under Order 30 rule 5,</w:t>
      </w:r>
    </w:p>
    <w:p w:rsidR="00425758" w:rsidRDefault="00425758">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rsidR="00425758" w:rsidRDefault="00425758">
      <w:pPr>
        <w:pStyle w:val="Heading5"/>
        <w:rPr>
          <w:snapToGrid w:val="0"/>
        </w:rPr>
      </w:pPr>
      <w:bookmarkStart w:id="961" w:name="_Toc75863571"/>
      <w:r>
        <w:rPr>
          <w:rStyle w:val="CharSectno"/>
        </w:rPr>
        <w:t>4</w:t>
      </w:r>
      <w:r>
        <w:rPr>
          <w:snapToGrid w:val="0"/>
        </w:rPr>
        <w:t>.</w:t>
      </w:r>
      <w:r>
        <w:rPr>
          <w:snapToGrid w:val="0"/>
        </w:rPr>
        <w:tab/>
        <w:t>Action as to property, ordering costs out of property</w:t>
      </w:r>
      <w:bookmarkEnd w:id="961"/>
    </w:p>
    <w:p w:rsidR="00425758" w:rsidRDefault="00425758">
      <w:pPr>
        <w:pStyle w:val="Subsection"/>
        <w:rPr>
          <w:snapToGrid w:val="0"/>
        </w:rPr>
      </w:pPr>
      <w:r>
        <w:rPr>
          <w:snapToGrid w:val="0"/>
        </w:rPr>
        <w:tab/>
        <w:t>(1)</w:t>
      </w:r>
      <w:r>
        <w:rPr>
          <w:snapToGrid w:val="0"/>
        </w:rPr>
        <w:tab/>
        <w:t xml:space="preserve">Where property is the subject of any action or matter, or where any question arising therein will affect any right or claim to </w:t>
      </w:r>
      <w:r>
        <w:rPr>
          <w:snapToGrid w:val="0"/>
        </w:rPr>
        <w:lastRenderedPageBreak/>
        <w:t>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rsidR="00425758" w:rsidRDefault="00425758">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rsidR="00425758" w:rsidRDefault="00425758">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rsidR="00425758" w:rsidRDefault="00425758">
      <w:pPr>
        <w:pStyle w:val="Heading5"/>
        <w:spacing w:before="180"/>
        <w:rPr>
          <w:snapToGrid w:val="0"/>
        </w:rPr>
      </w:pPr>
      <w:bookmarkStart w:id="962" w:name="_Toc75863572"/>
      <w:r>
        <w:rPr>
          <w:rStyle w:val="CharSectno"/>
        </w:rPr>
        <w:t>5</w:t>
      </w:r>
      <w:r>
        <w:rPr>
          <w:snapToGrid w:val="0"/>
        </w:rPr>
        <w:t>.</w:t>
      </w:r>
      <w:r>
        <w:rPr>
          <w:snapToGrid w:val="0"/>
        </w:rPr>
        <w:tab/>
        <w:t>Lawyer may be ordered to pay costs etc.</w:t>
      </w:r>
      <w:bookmarkEnd w:id="962"/>
    </w:p>
    <w:p w:rsidR="00425758" w:rsidRDefault="00425758">
      <w:pPr>
        <w:pStyle w:val="Subsection"/>
      </w:pPr>
      <w:r>
        <w:tab/>
        <w:t>(1)</w:t>
      </w:r>
      <w:r>
        <w:tab/>
        <w:t xml:space="preserve">Where in any proceedings costs are incurred by a party — </w:t>
      </w:r>
    </w:p>
    <w:p w:rsidR="00425758" w:rsidRDefault="00425758">
      <w:pPr>
        <w:pStyle w:val="Indenta"/>
      </w:pPr>
      <w:r>
        <w:tab/>
        <w:t>(a)</w:t>
      </w:r>
      <w:r>
        <w:tab/>
        <w:t>as a result of any improper, unreasonable, or negligent act or omission; or</w:t>
      </w:r>
    </w:p>
    <w:p w:rsidR="00425758" w:rsidRDefault="00425758">
      <w:pPr>
        <w:pStyle w:val="Indenta"/>
      </w:pPr>
      <w:r>
        <w:tab/>
        <w:t>(b)</w:t>
      </w:r>
      <w:r>
        <w:tab/>
        <w:t>which, in the light of any such act or omission occurring after they were incurred, the Court considers it is unreasonable to expect that party to pay,</w:t>
      </w:r>
    </w:p>
    <w:p w:rsidR="00425758" w:rsidRDefault="00425758">
      <w:pPr>
        <w:pStyle w:val="Subsection"/>
      </w:pPr>
      <w:r>
        <w:tab/>
      </w:r>
      <w:r>
        <w:tab/>
        <w:t>the Court may order any practitioner whom it considers to be responsible (whether personally or through a servant or agent) —</w:t>
      </w:r>
    </w:p>
    <w:p w:rsidR="00425758" w:rsidRDefault="00425758">
      <w:pPr>
        <w:pStyle w:val="Indenta"/>
      </w:pPr>
      <w:r>
        <w:tab/>
        <w:t>(c)</w:t>
      </w:r>
      <w:r>
        <w:tab/>
        <w:t>to pay those costs personally or to indemnify any party who has been ordered to pay those costs; or</w:t>
      </w:r>
    </w:p>
    <w:p w:rsidR="00425758" w:rsidRDefault="00425758">
      <w:pPr>
        <w:pStyle w:val="Indenta"/>
      </w:pPr>
      <w:r>
        <w:tab/>
        <w:t>(d)</w:t>
      </w:r>
      <w:r>
        <w:tab/>
        <w:t>not to claim any relevant costs or fees; or</w:t>
      </w:r>
    </w:p>
    <w:p w:rsidR="00425758" w:rsidRDefault="00425758">
      <w:pPr>
        <w:pStyle w:val="Indenta"/>
      </w:pPr>
      <w:r>
        <w:tab/>
        <w:t>(e)</w:t>
      </w:r>
      <w:r>
        <w:tab/>
        <w:t>to refund any relevant costs or fees which may have been paid already.</w:t>
      </w:r>
    </w:p>
    <w:p w:rsidR="00425758" w:rsidRDefault="00425758">
      <w:pPr>
        <w:pStyle w:val="Subsection"/>
        <w:rPr>
          <w:snapToGrid w:val="0"/>
        </w:rPr>
      </w:pPr>
      <w:r>
        <w:rPr>
          <w:snapToGrid w:val="0"/>
        </w:rPr>
        <w:tab/>
        <w:t>(2)</w:t>
      </w:r>
      <w:r>
        <w:rPr>
          <w:snapToGrid w:val="0"/>
        </w:rPr>
        <w:tab/>
        <w:t xml:space="preserve">No order under this rule shall be made against a practitioner unless he has been given a reasonable opportunity to appear before the Court and show cause why the order should not be made, except where any proceeding in court or in chambers </w:t>
      </w:r>
      <w:r>
        <w:rPr>
          <w:snapToGrid w:val="0"/>
        </w:rPr>
        <w:lastRenderedPageBreak/>
        <w:t>cannot conveniently proceed, and fails or is adjourned without useful progress being made — </w:t>
      </w:r>
    </w:p>
    <w:p w:rsidR="00425758" w:rsidRDefault="00425758">
      <w:pPr>
        <w:pStyle w:val="Indenta"/>
        <w:spacing w:before="60"/>
        <w:rPr>
          <w:snapToGrid w:val="0"/>
        </w:rPr>
      </w:pPr>
      <w:r>
        <w:rPr>
          <w:snapToGrid w:val="0"/>
        </w:rPr>
        <w:tab/>
        <w:t>(a)</w:t>
      </w:r>
      <w:r>
        <w:rPr>
          <w:snapToGrid w:val="0"/>
        </w:rPr>
        <w:tab/>
        <w:t>because of the failure of the practitioner to attend in person or by a proper representative; or</w:t>
      </w:r>
    </w:p>
    <w:p w:rsidR="00425758" w:rsidRDefault="00425758">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rsidR="00425758" w:rsidRDefault="00425758">
      <w:pPr>
        <w:pStyle w:val="Subsection"/>
        <w:rPr>
          <w:snapToGrid w:val="0"/>
        </w:rPr>
      </w:pPr>
      <w:r>
        <w:rPr>
          <w:snapToGrid w:val="0"/>
        </w:rPr>
        <w:tab/>
        <w:t>(3)</w:t>
      </w:r>
      <w:r>
        <w:rPr>
          <w:snapToGrid w:val="0"/>
        </w:rPr>
        <w:tab/>
        <w:t>The Court may before making an order under this rule refer the matter to the taxing officer for inquiry and report.</w:t>
      </w:r>
    </w:p>
    <w:p w:rsidR="00425758" w:rsidRDefault="00425758">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rsidR="00425758" w:rsidRDefault="00425758">
      <w:pPr>
        <w:pStyle w:val="Footnotesection"/>
      </w:pPr>
      <w:r>
        <w:tab/>
        <w:t>[Rule 5 amended: Gazette 23 Jan 2001 p. 562</w:t>
      </w:r>
      <w:r>
        <w:noBreakHyphen/>
        <w:t>3.]</w:t>
      </w:r>
    </w:p>
    <w:p w:rsidR="00425758" w:rsidRDefault="00425758">
      <w:pPr>
        <w:pStyle w:val="Heading5"/>
        <w:rPr>
          <w:snapToGrid w:val="0"/>
        </w:rPr>
      </w:pPr>
      <w:bookmarkStart w:id="963" w:name="_Toc75863573"/>
      <w:r>
        <w:rPr>
          <w:rStyle w:val="CharSectno"/>
        </w:rPr>
        <w:t>6</w:t>
      </w:r>
      <w:r>
        <w:rPr>
          <w:snapToGrid w:val="0"/>
        </w:rPr>
        <w:t>.</w:t>
      </w:r>
      <w:r>
        <w:rPr>
          <w:snapToGrid w:val="0"/>
        </w:rPr>
        <w:tab/>
        <w:t xml:space="preserve">Solicitor guardian </w:t>
      </w:r>
      <w:r>
        <w:rPr>
          <w:i/>
          <w:snapToGrid w:val="0"/>
        </w:rPr>
        <w:t>ad litem</w:t>
      </w:r>
      <w:r>
        <w:rPr>
          <w:snapToGrid w:val="0"/>
        </w:rPr>
        <w:t>, costs of</w:t>
      </w:r>
      <w:bookmarkEnd w:id="963"/>
    </w:p>
    <w:p w:rsidR="00425758" w:rsidRDefault="00425758">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rsidR="00425758" w:rsidRDefault="00425758">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rsidR="00425758" w:rsidRDefault="00425758">
      <w:pPr>
        <w:pStyle w:val="Heading5"/>
        <w:rPr>
          <w:snapToGrid w:val="0"/>
        </w:rPr>
      </w:pPr>
      <w:bookmarkStart w:id="964" w:name="_Toc75863574"/>
      <w:r>
        <w:rPr>
          <w:rStyle w:val="CharSectno"/>
        </w:rPr>
        <w:t>7</w:t>
      </w:r>
      <w:r>
        <w:rPr>
          <w:snapToGrid w:val="0"/>
        </w:rPr>
        <w:t>.</w:t>
      </w:r>
      <w:r>
        <w:rPr>
          <w:snapToGrid w:val="0"/>
        </w:rPr>
        <w:tab/>
        <w:t>Set</w:t>
      </w:r>
      <w:r>
        <w:rPr>
          <w:snapToGrid w:val="0"/>
        </w:rPr>
        <w:noBreakHyphen/>
        <w:t>off may be allowed despite solicitor’s lien</w:t>
      </w:r>
      <w:bookmarkEnd w:id="964"/>
    </w:p>
    <w:p w:rsidR="00425758" w:rsidRDefault="00425758">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rsidR="00425758" w:rsidRDefault="00425758">
      <w:pPr>
        <w:pStyle w:val="Heading5"/>
        <w:rPr>
          <w:snapToGrid w:val="0"/>
        </w:rPr>
      </w:pPr>
      <w:bookmarkStart w:id="965" w:name="_Toc75863575"/>
      <w:r>
        <w:rPr>
          <w:rStyle w:val="CharSectno"/>
        </w:rPr>
        <w:lastRenderedPageBreak/>
        <w:t>8</w:t>
      </w:r>
      <w:r>
        <w:rPr>
          <w:snapToGrid w:val="0"/>
        </w:rPr>
        <w:t>.</w:t>
      </w:r>
      <w:r>
        <w:rPr>
          <w:snapToGrid w:val="0"/>
        </w:rPr>
        <w:tab/>
        <w:t>State solicitors, costs of</w:t>
      </w:r>
      <w:bookmarkEnd w:id="965"/>
    </w:p>
    <w:p w:rsidR="00425758" w:rsidRDefault="00425758">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rsidR="00425758" w:rsidRDefault="00425758">
      <w:pPr>
        <w:pStyle w:val="Footnotesection"/>
      </w:pPr>
      <w:r>
        <w:tab/>
        <w:t xml:space="preserve">[Rule 8 amended: Gazette 19 Dec 1975 p. 4571; 19 Apr 2005 p. 1299.] </w:t>
      </w:r>
    </w:p>
    <w:p w:rsidR="00425758" w:rsidRDefault="00425758">
      <w:pPr>
        <w:pStyle w:val="Heading5"/>
      </w:pPr>
      <w:bookmarkStart w:id="966" w:name="_Toc75863576"/>
      <w:r>
        <w:rPr>
          <w:rStyle w:val="CharSectno"/>
        </w:rPr>
        <w:t>8A</w:t>
      </w:r>
      <w:r>
        <w:t>.</w:t>
      </w:r>
      <w:r>
        <w:tab/>
        <w:t>Lawyer acting pro bono, costs in case of</w:t>
      </w:r>
      <w:bookmarkEnd w:id="966"/>
    </w:p>
    <w:p w:rsidR="00425758" w:rsidRDefault="00425758">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rsidR="00425758" w:rsidRDefault="00425758">
      <w:pPr>
        <w:pStyle w:val="Subsection"/>
      </w:pPr>
      <w:r>
        <w:tab/>
        <w:t>(2)</w:t>
      </w:r>
      <w:r>
        <w:tab/>
        <w:t xml:space="preserve">If an order is made for the payment of the party’s costs, the practitioner may recover the amount ordered to be paid in respect of — </w:t>
      </w:r>
    </w:p>
    <w:p w:rsidR="00425758" w:rsidRDefault="00425758">
      <w:pPr>
        <w:pStyle w:val="Indenta"/>
      </w:pPr>
      <w:r>
        <w:tab/>
        <w:t>(a)</w:t>
      </w:r>
      <w:r>
        <w:tab/>
        <w:t>fees for the practitioner’s services; and</w:t>
      </w:r>
    </w:p>
    <w:p w:rsidR="00425758" w:rsidRDefault="00425758">
      <w:pPr>
        <w:pStyle w:val="Indenta"/>
      </w:pPr>
      <w:r>
        <w:tab/>
        <w:t>(b)</w:t>
      </w:r>
      <w:r>
        <w:tab/>
        <w:t>disbursements incurred by the practitioner on behalf of the party.</w:t>
      </w:r>
    </w:p>
    <w:p w:rsidR="00425758" w:rsidRDefault="00425758">
      <w:pPr>
        <w:pStyle w:val="Footnotesection"/>
      </w:pPr>
      <w:r>
        <w:tab/>
        <w:t xml:space="preserve">[Rule 8A inserted: Gazette 22 Feb 2008 p. 641.] </w:t>
      </w:r>
    </w:p>
    <w:p w:rsidR="00425758" w:rsidRDefault="00425758">
      <w:pPr>
        <w:pStyle w:val="Heading5"/>
        <w:rPr>
          <w:snapToGrid w:val="0"/>
        </w:rPr>
      </w:pPr>
      <w:bookmarkStart w:id="967" w:name="_Toc75863577"/>
      <w:r>
        <w:rPr>
          <w:rStyle w:val="CharSectno"/>
        </w:rPr>
        <w:t>9</w:t>
      </w:r>
      <w:r>
        <w:rPr>
          <w:snapToGrid w:val="0"/>
        </w:rPr>
        <w:t>.</w:t>
      </w:r>
      <w:r>
        <w:rPr>
          <w:snapToGrid w:val="0"/>
        </w:rPr>
        <w:tab/>
        <w:t>Restriction of discretion to order costs in some cases</w:t>
      </w:r>
      <w:bookmarkEnd w:id="967"/>
    </w:p>
    <w:p w:rsidR="00425758" w:rsidRDefault="00425758">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rsidR="00425758" w:rsidRDefault="00425758">
      <w:pPr>
        <w:pStyle w:val="Subsection"/>
        <w:rPr>
          <w:snapToGrid w:val="0"/>
        </w:rPr>
      </w:pPr>
      <w:r>
        <w:rPr>
          <w:snapToGrid w:val="0"/>
        </w:rPr>
        <w:tab/>
        <w:t>(2)</w:t>
      </w:r>
      <w:r>
        <w:rPr>
          <w:snapToGrid w:val="0"/>
        </w:rPr>
        <w:tab/>
        <w:t xml:space="preserve">Where a person is or has been a party to any proceedings in the capacity of trustee, personal representative or mortgagee, he shall, unless the Court otherwise orders, be entitled to the costs of those proceedings, in so far as they are not recovered from or </w:t>
      </w:r>
      <w:r>
        <w:rPr>
          <w:snapToGrid w:val="0"/>
        </w:rPr>
        <w:lastRenderedPageBreak/>
        <w:t>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rsidR="00425758" w:rsidRDefault="00425758">
      <w:pPr>
        <w:pStyle w:val="Heading5"/>
        <w:rPr>
          <w:snapToGrid w:val="0"/>
        </w:rPr>
      </w:pPr>
      <w:bookmarkStart w:id="968" w:name="_Toc75863578"/>
      <w:r>
        <w:rPr>
          <w:rStyle w:val="CharSectno"/>
        </w:rPr>
        <w:t>10</w:t>
      </w:r>
      <w:r>
        <w:rPr>
          <w:snapToGrid w:val="0"/>
        </w:rPr>
        <w:t>.</w:t>
      </w:r>
      <w:r>
        <w:rPr>
          <w:snapToGrid w:val="0"/>
        </w:rPr>
        <w:tab/>
        <w:t>Stage at which costs may be dealt with</w:t>
      </w:r>
      <w:bookmarkEnd w:id="968"/>
    </w:p>
    <w:p w:rsidR="00425758" w:rsidRDefault="00425758">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rsidR="00425758" w:rsidRDefault="00425758">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rsidR="00425758" w:rsidRDefault="00425758">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rsidR="00425758" w:rsidRDefault="00425758">
      <w:pPr>
        <w:pStyle w:val="Indenta"/>
        <w:rPr>
          <w:snapToGrid w:val="0"/>
        </w:rPr>
      </w:pPr>
      <w:r>
        <w:rPr>
          <w:snapToGrid w:val="0"/>
        </w:rPr>
        <w:tab/>
        <w:t>(a)</w:t>
      </w:r>
      <w:r>
        <w:rPr>
          <w:snapToGrid w:val="0"/>
        </w:rPr>
        <w:tab/>
        <w:t>specify the amount of the costs to be allowed; or</w:t>
      </w:r>
    </w:p>
    <w:p w:rsidR="00425758" w:rsidRDefault="00425758">
      <w:pPr>
        <w:pStyle w:val="Indenta"/>
        <w:rPr>
          <w:snapToGrid w:val="0"/>
        </w:rPr>
      </w:pPr>
      <w:r>
        <w:rPr>
          <w:snapToGrid w:val="0"/>
        </w:rPr>
        <w:tab/>
        <w:t>(b)</w:t>
      </w:r>
      <w:r>
        <w:rPr>
          <w:snapToGrid w:val="0"/>
        </w:rPr>
        <w:tab/>
        <w:t>order that the costs be taxed by the taxing officer; or</w:t>
      </w:r>
    </w:p>
    <w:p w:rsidR="00425758" w:rsidRDefault="00425758">
      <w:pPr>
        <w:pStyle w:val="Indenta"/>
        <w:rPr>
          <w:snapToGrid w:val="0"/>
        </w:rPr>
      </w:pPr>
      <w:r>
        <w:rPr>
          <w:snapToGrid w:val="0"/>
        </w:rPr>
        <w:tab/>
        <w:t>(c)</w:t>
      </w:r>
      <w:r>
        <w:rPr>
          <w:snapToGrid w:val="0"/>
        </w:rPr>
        <w:tab/>
        <w:t>order that the costs be ascertained by taxation or otherwise in that other court or tribunal.</w:t>
      </w:r>
    </w:p>
    <w:p w:rsidR="00425758" w:rsidRDefault="00425758">
      <w:pPr>
        <w:pStyle w:val="Heading5"/>
        <w:rPr>
          <w:snapToGrid w:val="0"/>
        </w:rPr>
      </w:pPr>
      <w:bookmarkStart w:id="969" w:name="_Toc75863579"/>
      <w:r>
        <w:rPr>
          <w:rStyle w:val="CharSectno"/>
        </w:rPr>
        <w:lastRenderedPageBreak/>
        <w:t>11</w:t>
      </w:r>
      <w:r>
        <w:rPr>
          <w:snapToGrid w:val="0"/>
        </w:rPr>
        <w:t>.</w:t>
      </w:r>
      <w:r>
        <w:rPr>
          <w:snapToGrid w:val="0"/>
        </w:rPr>
        <w:tab/>
        <w:t>Scale of costs</w:t>
      </w:r>
      <w:bookmarkEnd w:id="969"/>
    </w:p>
    <w:p w:rsidR="00425758" w:rsidRDefault="00425758">
      <w:pPr>
        <w:pStyle w:val="Subsection"/>
        <w:keepNext/>
        <w:spacing w:before="120"/>
        <w:rPr>
          <w:snapToGrid w:val="0"/>
        </w:rPr>
      </w:pPr>
      <w:r>
        <w:rPr>
          <w:snapToGrid w:val="0"/>
        </w:rPr>
        <w:tab/>
        <w:t>(1)</w:t>
      </w:r>
      <w:r>
        <w:rPr>
          <w:snapToGrid w:val="0"/>
        </w:rPr>
        <w:tab/>
        <w:t>For the purposes of this Order — </w:t>
      </w:r>
    </w:p>
    <w:p w:rsidR="00425758" w:rsidRDefault="00425758">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rsidR="00425758" w:rsidRDefault="00425758">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rsidR="00425758" w:rsidRDefault="00425758">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rsidR="00425758" w:rsidRDefault="00425758">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rsidR="00425758" w:rsidRDefault="00425758">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rsidR="00425758" w:rsidRDefault="00425758">
      <w:pPr>
        <w:pStyle w:val="Footnotesection"/>
      </w:pPr>
      <w:r>
        <w:tab/>
        <w:t>[Rule 11 inserted: Gazette 7 Feb 1992 p. 686</w:t>
      </w:r>
      <w:r>
        <w:noBreakHyphen/>
        <w:t xml:space="preserve">7; amended: Gazette 19 Apr 2005 p. 1299; 3 Jul 2009 p. 2699.] </w:t>
      </w:r>
    </w:p>
    <w:p w:rsidR="00425758" w:rsidRDefault="00425758">
      <w:pPr>
        <w:pStyle w:val="Ednotesection"/>
      </w:pPr>
      <w:r>
        <w:t>[</w:t>
      </w:r>
      <w:r>
        <w:rPr>
          <w:b/>
        </w:rPr>
        <w:t>12.</w:t>
      </w:r>
      <w:r>
        <w:tab/>
        <w:t>Deleted: Gazette 21 Feb 2007 p. 575.]</w:t>
      </w:r>
    </w:p>
    <w:p w:rsidR="00425758" w:rsidRDefault="00425758">
      <w:pPr>
        <w:pStyle w:val="Heading5"/>
        <w:keepNext w:val="0"/>
        <w:keepLines w:val="0"/>
        <w:rPr>
          <w:snapToGrid w:val="0"/>
        </w:rPr>
      </w:pPr>
      <w:bookmarkStart w:id="970" w:name="_Toc75863580"/>
      <w:r>
        <w:rPr>
          <w:rStyle w:val="CharSectno"/>
        </w:rPr>
        <w:lastRenderedPageBreak/>
        <w:t>13</w:t>
      </w:r>
      <w:r>
        <w:rPr>
          <w:snapToGrid w:val="0"/>
        </w:rPr>
        <w:t>.</w:t>
      </w:r>
      <w:r>
        <w:rPr>
          <w:snapToGrid w:val="0"/>
        </w:rPr>
        <w:tab/>
        <w:t>Costs where scale does not apply</w:t>
      </w:r>
      <w:bookmarkEnd w:id="970"/>
    </w:p>
    <w:p w:rsidR="00425758" w:rsidRDefault="00425758">
      <w:pPr>
        <w:pStyle w:val="Subsection"/>
        <w:rPr>
          <w:snapToGrid w:val="0"/>
        </w:rPr>
      </w:pPr>
      <w:r>
        <w:rPr>
          <w:snapToGrid w:val="0"/>
        </w:rPr>
        <w:tab/>
      </w:r>
      <w:r>
        <w:rPr>
          <w:snapToGrid w:val="0"/>
        </w:rPr>
        <w:tab/>
        <w:t>In any matter or case to which any relevant scale does not apply, the Court may — </w:t>
      </w:r>
    </w:p>
    <w:p w:rsidR="00425758" w:rsidRDefault="00425758">
      <w:pPr>
        <w:pStyle w:val="Indenta"/>
        <w:rPr>
          <w:snapToGrid w:val="0"/>
        </w:rPr>
      </w:pPr>
      <w:r>
        <w:rPr>
          <w:snapToGrid w:val="0"/>
        </w:rPr>
        <w:tab/>
        <w:t>(a)</w:t>
      </w:r>
      <w:r>
        <w:rPr>
          <w:snapToGrid w:val="0"/>
        </w:rPr>
        <w:tab/>
        <w:t>award a lump sum by way of costs;</w:t>
      </w:r>
    </w:p>
    <w:p w:rsidR="00425758" w:rsidRDefault="00425758">
      <w:pPr>
        <w:pStyle w:val="Indenta"/>
        <w:rPr>
          <w:snapToGrid w:val="0"/>
        </w:rPr>
      </w:pPr>
      <w:r>
        <w:rPr>
          <w:snapToGrid w:val="0"/>
        </w:rPr>
        <w:tab/>
        <w:t>(b)</w:t>
      </w:r>
      <w:r>
        <w:rPr>
          <w:snapToGrid w:val="0"/>
        </w:rPr>
        <w:tab/>
        <w:t>direct the taxing officer to tax or allow costs analogous to those allowable under the said scale;</w:t>
      </w:r>
    </w:p>
    <w:p w:rsidR="00425758" w:rsidRDefault="00425758">
      <w:pPr>
        <w:pStyle w:val="Indenta"/>
        <w:rPr>
          <w:snapToGrid w:val="0"/>
        </w:rPr>
      </w:pPr>
      <w:r>
        <w:rPr>
          <w:snapToGrid w:val="0"/>
        </w:rPr>
        <w:tab/>
        <w:t>(c)</w:t>
      </w:r>
      <w:r>
        <w:rPr>
          <w:snapToGrid w:val="0"/>
        </w:rPr>
        <w:tab/>
        <w:t>direct the taxing officer to tax and allow reasonable costs.</w:t>
      </w:r>
    </w:p>
    <w:p w:rsidR="00425758" w:rsidRDefault="00425758">
      <w:pPr>
        <w:pStyle w:val="Footnotesection"/>
      </w:pPr>
      <w:r>
        <w:tab/>
        <w:t xml:space="preserve">[Rule 13 amended: Gazette 7 Feb 1992 p. 687.] </w:t>
      </w:r>
    </w:p>
    <w:p w:rsidR="00425758" w:rsidRDefault="00425758">
      <w:pPr>
        <w:pStyle w:val="Heading5"/>
        <w:rPr>
          <w:snapToGrid w:val="0"/>
        </w:rPr>
      </w:pPr>
      <w:bookmarkStart w:id="971" w:name="_Toc75863581"/>
      <w:r>
        <w:rPr>
          <w:rStyle w:val="CharSectno"/>
        </w:rPr>
        <w:t>14</w:t>
      </w:r>
      <w:r>
        <w:rPr>
          <w:snapToGrid w:val="0"/>
        </w:rPr>
        <w:t>.</w:t>
      </w:r>
      <w:r>
        <w:rPr>
          <w:snapToGrid w:val="0"/>
        </w:rPr>
        <w:tab/>
        <w:t>Lump sum award for costs, interim award as to</w:t>
      </w:r>
      <w:bookmarkEnd w:id="971"/>
    </w:p>
    <w:p w:rsidR="00425758" w:rsidRDefault="00425758">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rsidR="00425758" w:rsidRDefault="00425758">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rsidR="00425758" w:rsidRDefault="00425758">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rsidR="00425758" w:rsidRDefault="00425758">
      <w:pPr>
        <w:pStyle w:val="Ednotesection"/>
      </w:pPr>
      <w:r>
        <w:t>[</w:t>
      </w:r>
      <w:r>
        <w:rPr>
          <w:b/>
        </w:rPr>
        <w:t>15.</w:t>
      </w:r>
      <w:r>
        <w:rPr>
          <w:b/>
        </w:rPr>
        <w:tab/>
      </w:r>
      <w:r>
        <w:t xml:space="preserve">Deleted: Gazette 19 Dec 1975 p. 4572.] </w:t>
      </w:r>
    </w:p>
    <w:p w:rsidR="00425758" w:rsidRDefault="00425758">
      <w:pPr>
        <w:pStyle w:val="Ednotesection"/>
      </w:pPr>
      <w:r>
        <w:t>[</w:t>
      </w:r>
      <w:r>
        <w:rPr>
          <w:b/>
        </w:rPr>
        <w:t>16.</w:t>
      </w:r>
      <w:r>
        <w:rPr>
          <w:b/>
        </w:rPr>
        <w:tab/>
      </w:r>
      <w:r>
        <w:t xml:space="preserve">Deleted: Gazette 7 Feb 1992 p. 687.] </w:t>
      </w:r>
    </w:p>
    <w:p w:rsidR="00425758" w:rsidRDefault="00425758">
      <w:pPr>
        <w:pStyle w:val="Heading5"/>
        <w:rPr>
          <w:snapToGrid w:val="0"/>
        </w:rPr>
      </w:pPr>
      <w:bookmarkStart w:id="972" w:name="_Toc75863582"/>
      <w:r>
        <w:rPr>
          <w:rStyle w:val="CharSectno"/>
        </w:rPr>
        <w:t>17</w:t>
      </w:r>
      <w:r>
        <w:rPr>
          <w:snapToGrid w:val="0"/>
        </w:rPr>
        <w:t>.</w:t>
      </w:r>
      <w:r>
        <w:rPr>
          <w:snapToGrid w:val="0"/>
        </w:rPr>
        <w:tab/>
        <w:t>Cases that Magistrates Court could have decided, costs in</w:t>
      </w:r>
      <w:bookmarkEnd w:id="972"/>
    </w:p>
    <w:p w:rsidR="00425758" w:rsidRDefault="00425758">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xml:space="preserve">, unless the Court </w:t>
      </w:r>
      <w:r>
        <w:rPr>
          <w:snapToGrid w:val="0"/>
        </w:rPr>
        <w:lastRenderedPageBreak/>
        <w:t>certifies that by reason of some important principle of law being involved, or of the complexity of the issues or of the facts, the action was properly brought in the Supreme Court.</w:t>
      </w:r>
    </w:p>
    <w:p w:rsidR="00425758" w:rsidRDefault="00425758">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rsidR="00425758" w:rsidRDefault="00425758">
      <w:pPr>
        <w:pStyle w:val="Footnotesection"/>
      </w:pPr>
      <w:r>
        <w:tab/>
        <w:t>[Rule 17 amended: Gazette 29 Apr 2005 p. 1800.]</w:t>
      </w:r>
    </w:p>
    <w:p w:rsidR="00425758" w:rsidRDefault="00425758">
      <w:pPr>
        <w:pStyle w:val="Heading5"/>
        <w:rPr>
          <w:snapToGrid w:val="0"/>
        </w:rPr>
      </w:pPr>
      <w:bookmarkStart w:id="973" w:name="_Toc75863583"/>
      <w:r>
        <w:rPr>
          <w:rStyle w:val="CharSectno"/>
        </w:rPr>
        <w:t>18</w:t>
      </w:r>
      <w:r>
        <w:rPr>
          <w:snapToGrid w:val="0"/>
        </w:rPr>
        <w:t>.</w:t>
      </w:r>
      <w:r>
        <w:rPr>
          <w:snapToGrid w:val="0"/>
        </w:rPr>
        <w:tab/>
        <w:t>Matters not provided for in scale</w:t>
      </w:r>
      <w:bookmarkEnd w:id="973"/>
    </w:p>
    <w:p w:rsidR="00425758" w:rsidRDefault="00425758">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rsidR="00425758" w:rsidRDefault="00425758">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rsidR="00425758" w:rsidRDefault="00425758">
      <w:pPr>
        <w:pStyle w:val="Indenta"/>
        <w:rPr>
          <w:snapToGrid w:val="0"/>
        </w:rPr>
      </w:pPr>
      <w:r>
        <w:rPr>
          <w:snapToGrid w:val="0"/>
        </w:rPr>
        <w:tab/>
        <w:t>(a)</w:t>
      </w:r>
      <w:r>
        <w:rPr>
          <w:snapToGrid w:val="0"/>
        </w:rPr>
        <w:tab/>
        <w:t>in connection with the compromise of a claim by or against a person under a disability; or</w:t>
      </w:r>
    </w:p>
    <w:p w:rsidR="00425758" w:rsidRDefault="00425758">
      <w:pPr>
        <w:pStyle w:val="Indenta"/>
        <w:keepNext/>
        <w:rPr>
          <w:snapToGrid w:val="0"/>
        </w:rPr>
      </w:pPr>
      <w:r>
        <w:rPr>
          <w:snapToGrid w:val="0"/>
        </w:rPr>
        <w:tab/>
        <w:t>(b)</w:t>
      </w:r>
      <w:r>
        <w:rPr>
          <w:snapToGrid w:val="0"/>
        </w:rPr>
        <w:tab/>
        <w:t>for a conference or consultation where and to the extent that the conference or consultation was necessary.</w:t>
      </w:r>
    </w:p>
    <w:p w:rsidR="00425758" w:rsidRDefault="00425758">
      <w:pPr>
        <w:pStyle w:val="Footnotesection"/>
      </w:pPr>
      <w:r>
        <w:tab/>
        <w:t>[Rule 18 inserted: Gazette 19 Dec 1975 p. 4572</w:t>
      </w:r>
      <w:r>
        <w:noBreakHyphen/>
        <w:t xml:space="preserve">3; amended: Gazette 14 Dec 1979 p. 3871; 7 Feb 1992 p. 687; 28 Jun 2011 p. 2552.] </w:t>
      </w:r>
    </w:p>
    <w:p w:rsidR="00425758" w:rsidRDefault="00425758">
      <w:pPr>
        <w:pStyle w:val="Heading5"/>
        <w:rPr>
          <w:snapToGrid w:val="0"/>
        </w:rPr>
      </w:pPr>
      <w:bookmarkStart w:id="974" w:name="_Toc75863584"/>
      <w:r>
        <w:rPr>
          <w:rStyle w:val="CharSectno"/>
        </w:rPr>
        <w:lastRenderedPageBreak/>
        <w:t>19</w:t>
      </w:r>
      <w:r>
        <w:rPr>
          <w:snapToGrid w:val="0"/>
        </w:rPr>
        <w:t>.</w:t>
      </w:r>
      <w:r>
        <w:rPr>
          <w:snapToGrid w:val="0"/>
        </w:rPr>
        <w:tab/>
        <w:t>Disbursements etc. allowable on taxation</w:t>
      </w:r>
      <w:bookmarkEnd w:id="974"/>
    </w:p>
    <w:p w:rsidR="00425758" w:rsidRDefault="00425758">
      <w:pPr>
        <w:pStyle w:val="Subsection"/>
        <w:keepNext/>
      </w:pPr>
      <w:r>
        <w:tab/>
      </w:r>
      <w:r>
        <w:tab/>
        <w:t>Any of the following items, disbursements, expenses, payments, or charges are allowable on taxation —</w:t>
      </w:r>
    </w:p>
    <w:p w:rsidR="00425758" w:rsidRDefault="00425758">
      <w:pPr>
        <w:pStyle w:val="Indenta"/>
      </w:pPr>
      <w:r>
        <w:tab/>
        <w:t>(a)</w:t>
      </w:r>
      <w:r>
        <w:tab/>
        <w:t>items of costs allowable under any relevant scale and such counsel fees as may be allowed;</w:t>
      </w:r>
    </w:p>
    <w:p w:rsidR="00425758" w:rsidRDefault="00425758">
      <w:pPr>
        <w:pStyle w:val="Indenta"/>
      </w:pPr>
      <w:r>
        <w:tab/>
        <w:t>(b)</w:t>
      </w:r>
      <w:r>
        <w:tab/>
        <w:t>disbursements for fees of court;</w:t>
      </w:r>
    </w:p>
    <w:p w:rsidR="00425758" w:rsidRDefault="00425758">
      <w:pPr>
        <w:pStyle w:val="Indenta"/>
      </w:pPr>
      <w:r>
        <w:tab/>
        <w:t>(c)</w:t>
      </w:r>
      <w:r>
        <w:tab/>
        <w:t>disbursements for fees of officers of the Court;</w:t>
      </w:r>
    </w:p>
    <w:p w:rsidR="00425758" w:rsidRDefault="00425758">
      <w:pPr>
        <w:pStyle w:val="Indenta"/>
      </w:pPr>
      <w:r>
        <w:tab/>
        <w:t>(d)</w:t>
      </w:r>
      <w:r>
        <w:tab/>
        <w:t>witness expenses paid or to be paid under any relevant scale of allowances fixed in that regard;</w:t>
      </w:r>
    </w:p>
    <w:p w:rsidR="00425758" w:rsidRDefault="00425758">
      <w:pPr>
        <w:pStyle w:val="Indenta"/>
      </w:pPr>
      <w:r>
        <w:tab/>
        <w:t>(e)</w:t>
      </w:r>
      <w:r>
        <w:tab/>
        <w:t>agency charges, if specially allowed by the Court or by the taxing officer;</w:t>
      </w:r>
    </w:p>
    <w:p w:rsidR="00425758" w:rsidRDefault="00425758">
      <w:pPr>
        <w:pStyle w:val="Indenta"/>
      </w:pPr>
      <w:r>
        <w:tab/>
        <w:t>(f)</w:t>
      </w:r>
      <w:r>
        <w:tab/>
        <w:t>the reasonable expenses as fixed by the taxing officer of the typing, printing, and binding of appeal books;</w:t>
      </w:r>
    </w:p>
    <w:p w:rsidR="00425758" w:rsidRDefault="00425758">
      <w:pPr>
        <w:pStyle w:val="Indenta"/>
      </w:pPr>
      <w:r>
        <w:tab/>
        <w:t>(g)</w:t>
      </w:r>
      <w:r>
        <w:tab/>
        <w:t>other necessary disbursements or payments made in the conduct of the litigation;</w:t>
      </w:r>
    </w:p>
    <w:p w:rsidR="00425758" w:rsidRDefault="00425758">
      <w:pPr>
        <w:pStyle w:val="Indenta"/>
      </w:pPr>
      <w:r>
        <w:tab/>
        <w:t>(h)</w:t>
      </w:r>
      <w:r>
        <w:tab/>
        <w:t>any other necessary expense incurred in the conduct of the litigation, whether or not it has been paid before the taxation of that expense takes place.</w:t>
      </w:r>
    </w:p>
    <w:p w:rsidR="00425758" w:rsidRDefault="00425758">
      <w:pPr>
        <w:pStyle w:val="Footnotesection"/>
      </w:pPr>
      <w:r>
        <w:rPr>
          <w:i w:val="0"/>
          <w:snapToGrid/>
        </w:rPr>
        <w:tab/>
      </w:r>
      <w:r>
        <w:t>[Rule 19 inserted: Gazette 30 Jun 2000 p. 3418.]</w:t>
      </w:r>
    </w:p>
    <w:p w:rsidR="00425758" w:rsidRDefault="00425758">
      <w:pPr>
        <w:pStyle w:val="Heading5"/>
        <w:rPr>
          <w:snapToGrid w:val="0"/>
        </w:rPr>
      </w:pPr>
      <w:bookmarkStart w:id="975" w:name="_Toc75863585"/>
      <w:r>
        <w:rPr>
          <w:rStyle w:val="CharSectno"/>
        </w:rPr>
        <w:t>20</w:t>
      </w:r>
      <w:r>
        <w:rPr>
          <w:snapToGrid w:val="0"/>
        </w:rPr>
        <w:t>.</w:t>
      </w:r>
      <w:r>
        <w:rPr>
          <w:snapToGrid w:val="0"/>
        </w:rPr>
        <w:tab/>
        <w:t>Basis for calculating costs</w:t>
      </w:r>
      <w:bookmarkEnd w:id="975"/>
    </w:p>
    <w:p w:rsidR="00425758" w:rsidRDefault="00425758">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rsidR="00425758" w:rsidRDefault="00425758">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rsidR="00425758" w:rsidRDefault="00425758">
      <w:pPr>
        <w:pStyle w:val="Subsection"/>
        <w:rPr>
          <w:snapToGrid w:val="0"/>
        </w:rPr>
      </w:pPr>
      <w:r>
        <w:rPr>
          <w:snapToGrid w:val="0"/>
        </w:rPr>
        <w:tab/>
        <w:t>(3)</w:t>
      </w:r>
      <w:r>
        <w:rPr>
          <w:snapToGrid w:val="0"/>
        </w:rPr>
        <w:tab/>
        <w:t xml:space="preserve">If judgment is entered before trial without application to a judge or a master, the taxing officer shall determine the value of the </w:t>
      </w:r>
      <w:r>
        <w:rPr>
          <w:snapToGrid w:val="0"/>
        </w:rPr>
        <w:lastRenderedPageBreak/>
        <w:t>subject matter for the purpose of this rule, or may fix a lump sum for costs, and in the case of difficulty may refer the matter to a judge.</w:t>
      </w:r>
    </w:p>
    <w:p w:rsidR="00425758" w:rsidRDefault="00425758">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rsidR="00425758" w:rsidRDefault="00425758">
      <w:pPr>
        <w:pStyle w:val="Footnotesection"/>
      </w:pPr>
      <w:r>
        <w:tab/>
        <w:t xml:space="preserve">[Rule 20 amended: Gazette 30 Nov 1984 p. 3952.] </w:t>
      </w:r>
    </w:p>
    <w:p w:rsidR="00425758" w:rsidRDefault="00425758">
      <w:pPr>
        <w:pStyle w:val="Heading5"/>
        <w:rPr>
          <w:snapToGrid w:val="0"/>
        </w:rPr>
      </w:pPr>
      <w:bookmarkStart w:id="976" w:name="_Toc75863586"/>
      <w:r>
        <w:rPr>
          <w:rStyle w:val="CharSectno"/>
        </w:rPr>
        <w:t>21</w:t>
      </w:r>
      <w:r>
        <w:rPr>
          <w:snapToGrid w:val="0"/>
        </w:rPr>
        <w:t>.</w:t>
      </w:r>
      <w:r>
        <w:rPr>
          <w:snapToGrid w:val="0"/>
        </w:rPr>
        <w:tab/>
        <w:t>No substantial trial, costs in case of</w:t>
      </w:r>
      <w:bookmarkEnd w:id="976"/>
    </w:p>
    <w:p w:rsidR="00425758" w:rsidRDefault="00425758">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rsidR="00425758" w:rsidRDefault="00425758">
      <w:pPr>
        <w:pStyle w:val="Footnotesection"/>
      </w:pPr>
      <w:r>
        <w:tab/>
        <w:t xml:space="preserve">[Rule 21 amended: Gazette 19 Dec 1975 p. 4573; 7 Feb 1992 p. 687.] </w:t>
      </w:r>
    </w:p>
    <w:p w:rsidR="00425758" w:rsidRDefault="00425758">
      <w:pPr>
        <w:pStyle w:val="Ednotesection"/>
      </w:pPr>
      <w:r>
        <w:t>[</w:t>
      </w:r>
      <w:r>
        <w:rPr>
          <w:b/>
        </w:rPr>
        <w:t>22.</w:t>
      </w:r>
      <w:r>
        <w:rPr>
          <w:b/>
        </w:rPr>
        <w:tab/>
      </w:r>
      <w:r>
        <w:t xml:space="preserve">Deleted: Gazette 19 Dec 1975 p. 4573.] </w:t>
      </w:r>
    </w:p>
    <w:p w:rsidR="00425758" w:rsidRDefault="00425758">
      <w:pPr>
        <w:pStyle w:val="Heading5"/>
        <w:rPr>
          <w:snapToGrid w:val="0"/>
        </w:rPr>
      </w:pPr>
      <w:bookmarkStart w:id="977" w:name="_Toc75863587"/>
      <w:r>
        <w:rPr>
          <w:rStyle w:val="CharSectno"/>
        </w:rPr>
        <w:t>23</w:t>
      </w:r>
      <w:r>
        <w:rPr>
          <w:snapToGrid w:val="0"/>
        </w:rPr>
        <w:t>.</w:t>
      </w:r>
      <w:r>
        <w:rPr>
          <w:snapToGrid w:val="0"/>
        </w:rPr>
        <w:tab/>
        <w:t>Certain fees in scales may be increased if inadequate</w:t>
      </w:r>
      <w:bookmarkEnd w:id="977"/>
    </w:p>
    <w:p w:rsidR="00425758" w:rsidRDefault="00425758">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rsidR="00425758" w:rsidRDefault="00425758">
      <w:pPr>
        <w:pStyle w:val="Footnotesection"/>
      </w:pPr>
      <w:r>
        <w:tab/>
        <w:t xml:space="preserve">[Rule 23 amended: Gazette 19 Dec 1975 p. 4573; 7 Feb 1992 p. 687.] </w:t>
      </w:r>
    </w:p>
    <w:p w:rsidR="00425758" w:rsidRDefault="00425758">
      <w:pPr>
        <w:pStyle w:val="Heading5"/>
        <w:rPr>
          <w:snapToGrid w:val="0"/>
        </w:rPr>
      </w:pPr>
      <w:bookmarkStart w:id="978" w:name="_Toc75863588"/>
      <w:r>
        <w:rPr>
          <w:rStyle w:val="CharSectno"/>
        </w:rPr>
        <w:lastRenderedPageBreak/>
        <w:t>24</w:t>
      </w:r>
      <w:r>
        <w:rPr>
          <w:snapToGrid w:val="0"/>
        </w:rPr>
        <w:t>.</w:t>
      </w:r>
      <w:r>
        <w:rPr>
          <w:snapToGrid w:val="0"/>
        </w:rPr>
        <w:tab/>
        <w:t>Judgment for person under disability, solicitor’s costs in case of</w:t>
      </w:r>
      <w:bookmarkEnd w:id="978"/>
    </w:p>
    <w:p w:rsidR="00425758" w:rsidRDefault="00425758">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rsidR="00425758" w:rsidRDefault="00425758">
      <w:pPr>
        <w:pStyle w:val="Subsection"/>
        <w:spacing w:before="140"/>
        <w:rPr>
          <w:snapToGrid w:val="0"/>
        </w:rPr>
      </w:pPr>
      <w:r>
        <w:rPr>
          <w:snapToGrid w:val="0"/>
        </w:rPr>
        <w:tab/>
        <w:t>(2)</w:t>
      </w:r>
      <w:r>
        <w:rPr>
          <w:snapToGrid w:val="0"/>
        </w:rPr>
        <w:tab/>
        <w:t>This rule applies to — </w:t>
      </w:r>
    </w:p>
    <w:p w:rsidR="00425758" w:rsidRDefault="00425758">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rsidR="00425758" w:rsidRDefault="00425758">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rsidR="00425758" w:rsidRDefault="00425758">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rsidR="00425758" w:rsidRDefault="00425758">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rsidR="00425758" w:rsidRDefault="00425758">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rsidR="00425758" w:rsidRDefault="00425758">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rsidR="00425758" w:rsidRDefault="00425758">
      <w:pPr>
        <w:pStyle w:val="Subsection"/>
        <w:rPr>
          <w:snapToGrid w:val="0"/>
        </w:rPr>
      </w:pPr>
      <w:r>
        <w:rPr>
          <w:snapToGrid w:val="0"/>
        </w:rPr>
        <w:lastRenderedPageBreak/>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rsidR="00425758" w:rsidRDefault="00425758">
      <w:pPr>
        <w:pStyle w:val="Footnotesection"/>
      </w:pPr>
      <w:r>
        <w:tab/>
        <w:t>[Rule 24 amended: Gazette 29 Apr 2005 p. 1795; 28 Jun 2011 p. 2552 and 2555.]</w:t>
      </w:r>
    </w:p>
    <w:p w:rsidR="00425758" w:rsidRDefault="00425758">
      <w:pPr>
        <w:pStyle w:val="Heading5"/>
      </w:pPr>
      <w:bookmarkStart w:id="979" w:name="_Toc75863589"/>
      <w:r>
        <w:rPr>
          <w:rStyle w:val="CharSectno"/>
        </w:rPr>
        <w:t>25</w:t>
      </w:r>
      <w:r>
        <w:t>.</w:t>
      </w:r>
      <w:r>
        <w:tab/>
        <w:t>Own costs orders</w:t>
      </w:r>
      <w:bookmarkEnd w:id="979"/>
    </w:p>
    <w:p w:rsidR="00425758" w:rsidRDefault="00425758">
      <w:pPr>
        <w:pStyle w:val="Subsection"/>
      </w:pPr>
      <w:r>
        <w:tab/>
        <w:t>(1)</w:t>
      </w:r>
      <w:r>
        <w:tab/>
        <w:t xml:space="preserve">In this rule — </w:t>
      </w:r>
    </w:p>
    <w:p w:rsidR="00425758" w:rsidRDefault="00425758">
      <w:pPr>
        <w:pStyle w:val="Defstart"/>
      </w:pPr>
      <w:r>
        <w:tab/>
      </w:r>
      <w:r>
        <w:rPr>
          <w:rStyle w:val="CharDefText"/>
        </w:rPr>
        <w:t>claim</w:t>
      </w:r>
      <w:r>
        <w:t xml:space="preserve"> means a claim for relief in connection with — </w:t>
      </w:r>
    </w:p>
    <w:p w:rsidR="00425758" w:rsidRDefault="00425758">
      <w:pPr>
        <w:pStyle w:val="Defpara"/>
      </w:pPr>
      <w:r>
        <w:tab/>
        <w:t>(a)</w:t>
      </w:r>
      <w:r>
        <w:tab/>
        <w:t xml:space="preserve">an alleged breach of any provision in the Australian Consumer Law (as defined in the </w:t>
      </w:r>
      <w:r>
        <w:rPr>
          <w:i/>
        </w:rPr>
        <w:t>Fair Trading Act 2010</w:t>
      </w:r>
      <w:r>
        <w:t xml:space="preserve"> section 17) Part 2.2, 2.3 or 5.5; or</w:t>
      </w:r>
    </w:p>
    <w:p w:rsidR="00425758" w:rsidRDefault="00425758">
      <w:pPr>
        <w:pStyle w:val="Defpara"/>
      </w:pPr>
      <w:r>
        <w:tab/>
        <w:t>(b)</w:t>
      </w:r>
      <w:r>
        <w:tab/>
        <w:t xml:space="preserve">an alleged breach of the </w:t>
      </w:r>
      <w:r>
        <w:rPr>
          <w:i/>
        </w:rPr>
        <w:t>Corporations Act 2001</w:t>
      </w:r>
      <w:r>
        <w:t xml:space="preserve"> (Commonwealth) section 991A or 1325C; or</w:t>
      </w:r>
    </w:p>
    <w:p w:rsidR="00425758" w:rsidRDefault="00425758">
      <w:pPr>
        <w:pStyle w:val="Defpara"/>
      </w:pPr>
      <w:r>
        <w:tab/>
        <w:t>(c)</w:t>
      </w:r>
      <w:r>
        <w:tab/>
        <w:t>an allegation of unconscionable conduct; or</w:t>
      </w:r>
    </w:p>
    <w:p w:rsidR="00425758" w:rsidRDefault="00425758">
      <w:pPr>
        <w:pStyle w:val="Defpara"/>
      </w:pPr>
      <w:r>
        <w:tab/>
        <w:t>(d)</w:t>
      </w:r>
      <w:r>
        <w:tab/>
        <w:t>an allegation of economic duress or abuse of power;</w:t>
      </w:r>
    </w:p>
    <w:p w:rsidR="00425758" w:rsidRDefault="00425758">
      <w:pPr>
        <w:pStyle w:val="Defstart"/>
      </w:pPr>
      <w:r>
        <w:tab/>
      </w:r>
      <w:r>
        <w:rPr>
          <w:rStyle w:val="CharDefText"/>
        </w:rPr>
        <w:t>claimant</w:t>
      </w:r>
      <w:r>
        <w:t xml:space="preserve"> means a person making a claim;</w:t>
      </w:r>
    </w:p>
    <w:p w:rsidR="00425758" w:rsidRDefault="00425758">
      <w:pPr>
        <w:pStyle w:val="Defstart"/>
      </w:pPr>
      <w:r>
        <w:tab/>
      </w:r>
      <w:r>
        <w:rPr>
          <w:rStyle w:val="CharDefText"/>
        </w:rPr>
        <w:t>own costs order</w:t>
      </w:r>
      <w:r>
        <w:t>, in relation to a case, means an order that each party to the case is to bear its own costs of the proceedings.</w:t>
      </w:r>
    </w:p>
    <w:p w:rsidR="00425758" w:rsidRDefault="00425758">
      <w:pPr>
        <w:pStyle w:val="Subsection"/>
      </w:pPr>
      <w:r>
        <w:tab/>
        <w:t>(2)</w:t>
      </w:r>
      <w:r>
        <w:tab/>
        <w:t>Subject to subrules (3) and (4), the Court may, on an application by a claimant, make an own costs order at any time during proceedings on a case that involves a claim.</w:t>
      </w:r>
    </w:p>
    <w:p w:rsidR="00425758" w:rsidRDefault="00425758">
      <w:pPr>
        <w:pStyle w:val="Subsection"/>
      </w:pPr>
      <w:r>
        <w:tab/>
        <w:t>(3)</w:t>
      </w:r>
      <w:r>
        <w:tab/>
        <w:t xml:space="preserve">Before making the own costs order the Court must have regard to the following — </w:t>
      </w:r>
    </w:p>
    <w:p w:rsidR="00425758" w:rsidRDefault="00425758">
      <w:pPr>
        <w:pStyle w:val="Indenta"/>
      </w:pPr>
      <w:r>
        <w:tab/>
        <w:t>(a)</w:t>
      </w:r>
      <w:r>
        <w:tab/>
        <w:t>whether the proceedings raise an issue of general importance;</w:t>
      </w:r>
    </w:p>
    <w:p w:rsidR="00425758" w:rsidRDefault="00425758">
      <w:pPr>
        <w:pStyle w:val="Indenta"/>
      </w:pPr>
      <w:r>
        <w:tab/>
        <w:t>(b)</w:t>
      </w:r>
      <w:r>
        <w:tab/>
        <w:t>whether a defendant to the claim has substantially greater financial resources than a claimant;</w:t>
      </w:r>
    </w:p>
    <w:p w:rsidR="00425758" w:rsidRDefault="00425758">
      <w:pPr>
        <w:pStyle w:val="Indenta"/>
      </w:pPr>
      <w:r>
        <w:tab/>
        <w:t>(c)</w:t>
      </w:r>
      <w:r>
        <w:tab/>
        <w:t>whether the claim has reasonable merit;</w:t>
      </w:r>
    </w:p>
    <w:p w:rsidR="00425758" w:rsidRDefault="00425758">
      <w:pPr>
        <w:pStyle w:val="Indenta"/>
      </w:pPr>
      <w:r>
        <w:tab/>
        <w:t>(d)</w:t>
      </w:r>
      <w:r>
        <w:tab/>
        <w:t xml:space="preserve">whether the practitioners of each claimant have agreed to act on a fee arrangement that, viewed objectively at </w:t>
      </w:r>
      <w:r>
        <w:lastRenderedPageBreak/>
        <w:t>the time the arrangement is made, is likely to result in the claimant being charged no more than the fees that could be recovered under the applicable Court scale;</w:t>
      </w:r>
    </w:p>
    <w:p w:rsidR="00425758" w:rsidRDefault="00425758">
      <w:pPr>
        <w:pStyle w:val="Indenta"/>
      </w:pPr>
      <w:r>
        <w:tab/>
        <w:t>(e)</w:t>
      </w:r>
      <w:r>
        <w:tab/>
        <w:t>any other matter the Court considers appropriate.</w:t>
      </w:r>
    </w:p>
    <w:p w:rsidR="00425758" w:rsidRDefault="00425758">
      <w:pPr>
        <w:pStyle w:val="Subsection"/>
      </w:pPr>
      <w:r>
        <w:tab/>
        <w:t>(4)</w:t>
      </w:r>
      <w:r>
        <w:tab/>
        <w:t>The Court must not make an own costs order if a claimant has agreed to pay any part of the proceeds obtained by way of judgment or settlement of the claim to any third party who is in the business of providing litigation funding or support.</w:t>
      </w:r>
    </w:p>
    <w:p w:rsidR="00425758" w:rsidRDefault="00425758">
      <w:pPr>
        <w:pStyle w:val="Subsection"/>
      </w:pPr>
      <w:r>
        <w:tab/>
        <w:t>(5)</w:t>
      </w:r>
      <w:r>
        <w:tab/>
        <w:t>An own costs order does not affect a party’s liability for costs ordered against the party —</w:t>
      </w:r>
    </w:p>
    <w:p w:rsidR="00425758" w:rsidRDefault="00425758">
      <w:pPr>
        <w:pStyle w:val="Indenta"/>
      </w:pPr>
      <w:r>
        <w:tab/>
        <w:t>(a)</w:t>
      </w:r>
      <w:r>
        <w:tab/>
        <w:t>by way of sanction for improper conduct or abuse of process, including persistently advancing by way of claim or defence contentions that are not reasonably arguable; or</w:t>
      </w:r>
    </w:p>
    <w:p w:rsidR="00425758" w:rsidRDefault="00425758">
      <w:pPr>
        <w:pStyle w:val="Indenta"/>
      </w:pPr>
      <w:r>
        <w:tab/>
        <w:t>(b)</w:t>
      </w:r>
      <w:r>
        <w:tab/>
        <w:t>in other exceptional circumstances that the Court considers warrant the making of a special order for costs.</w:t>
      </w:r>
    </w:p>
    <w:p w:rsidR="00425758" w:rsidRDefault="00425758">
      <w:pPr>
        <w:pStyle w:val="Subsection"/>
      </w:pPr>
      <w:r>
        <w:tab/>
        <w:t>(6)</w:t>
      </w:r>
      <w:r>
        <w:tab/>
        <w:t xml:space="preserve">An own costs order applies to costs incurred by the parties — </w:t>
      </w:r>
    </w:p>
    <w:p w:rsidR="00425758" w:rsidRDefault="00425758">
      <w:pPr>
        <w:pStyle w:val="Indenta"/>
      </w:pPr>
      <w:r>
        <w:tab/>
        <w:t>(a)</w:t>
      </w:r>
      <w:r>
        <w:tab/>
        <w:t>from a time during the proceedings specified in the order; or</w:t>
      </w:r>
    </w:p>
    <w:p w:rsidR="00425758" w:rsidRDefault="00425758">
      <w:pPr>
        <w:pStyle w:val="Indenta"/>
      </w:pPr>
      <w:r>
        <w:tab/>
        <w:t>(b)</w:t>
      </w:r>
      <w:r>
        <w:tab/>
        <w:t>if no time is specified in the order, from the day on which the order is made.</w:t>
      </w:r>
    </w:p>
    <w:p w:rsidR="00425758" w:rsidRDefault="00425758">
      <w:pPr>
        <w:pStyle w:val="Subsection"/>
      </w:pPr>
      <w:r>
        <w:tab/>
        <w:t>(7)</w:t>
      </w:r>
      <w:r>
        <w:tab/>
        <w:t>For the purposes of subrule (6)(a), the Court may specify a time during the proceedings that is before the own costs order was made or applied for.</w:t>
      </w:r>
    </w:p>
    <w:p w:rsidR="00425758" w:rsidRDefault="00425758">
      <w:pPr>
        <w:pStyle w:val="Subsection"/>
      </w:pPr>
      <w:r>
        <w:tab/>
        <w:t>(8)</w:t>
      </w:r>
      <w:r>
        <w:tab/>
        <w:t>The Court may revoke an own costs order at any time during proceedings if the Court considers that there has been a material change in the circumstances warranting the revocation.</w:t>
      </w:r>
    </w:p>
    <w:p w:rsidR="00425758" w:rsidRDefault="00425758">
      <w:pPr>
        <w:pStyle w:val="Subsection"/>
      </w:pPr>
      <w:r>
        <w:tab/>
        <w:t>(9)</w:t>
      </w:r>
      <w:r>
        <w:tab/>
        <w:t>An own costs order revoked under subrule (8) continues to apply to costs incurred by the parties before the day on which the order was revoked as if the order had not been revoked.</w:t>
      </w:r>
    </w:p>
    <w:p w:rsidR="00425758" w:rsidRDefault="00425758">
      <w:pPr>
        <w:pStyle w:val="Subsection"/>
      </w:pPr>
      <w:r>
        <w:lastRenderedPageBreak/>
        <w:tab/>
        <w:t>(10)</w:t>
      </w:r>
      <w:r>
        <w:tab/>
        <w:t>This rule does not affect the Court’s general discretion with respect to costs.</w:t>
      </w:r>
    </w:p>
    <w:p w:rsidR="00425758" w:rsidRDefault="00425758">
      <w:pPr>
        <w:pStyle w:val="Footnotesection"/>
        <w:spacing w:before="100"/>
        <w:ind w:left="890" w:hanging="890"/>
      </w:pPr>
      <w:r>
        <w:tab/>
        <w:t>[Rule 25 inserted: Gazette 26 Sep 2014 p. 3560</w:t>
      </w:r>
      <w:r>
        <w:noBreakHyphen/>
        <w:t>1.]</w:t>
      </w:r>
    </w:p>
    <w:p w:rsidR="00425758" w:rsidRDefault="00425758">
      <w:pPr>
        <w:pStyle w:val="Ednotesection"/>
      </w:pPr>
      <w:r>
        <w:t>[</w:t>
      </w:r>
      <w:r>
        <w:rPr>
          <w:b/>
        </w:rPr>
        <w:t>26</w:t>
      </w:r>
      <w:r>
        <w:rPr>
          <w:b/>
        </w:rPr>
        <w:noBreakHyphen/>
        <w:t>31.</w:t>
      </w:r>
      <w:r>
        <w:tab/>
        <w:t xml:space="preserve">Deleted: Gazette 19 Dec 1975 p. 4573.] </w:t>
      </w:r>
    </w:p>
    <w:p w:rsidR="00425758" w:rsidRDefault="00425758">
      <w:pPr>
        <w:pStyle w:val="Heading3"/>
      </w:pPr>
      <w:bookmarkStart w:id="980" w:name="_Toc75512494"/>
      <w:bookmarkStart w:id="981" w:name="_Toc75863590"/>
      <w:r>
        <w:rPr>
          <w:rStyle w:val="CharDivNo"/>
        </w:rPr>
        <w:t>Division 2</w:t>
      </w:r>
      <w:r>
        <w:t> — </w:t>
      </w:r>
      <w:r>
        <w:rPr>
          <w:rStyle w:val="CharDivText"/>
        </w:rPr>
        <w:t>Taxation of costs</w:t>
      </w:r>
      <w:bookmarkEnd w:id="980"/>
      <w:bookmarkEnd w:id="981"/>
    </w:p>
    <w:p w:rsidR="00425758" w:rsidRDefault="00425758">
      <w:pPr>
        <w:pStyle w:val="Footnoteheading"/>
      </w:pPr>
      <w:r>
        <w:tab/>
        <w:t xml:space="preserve">[Heading inserted: Gazette 22 Feb 2008 p. 640.] </w:t>
      </w:r>
    </w:p>
    <w:p w:rsidR="00425758" w:rsidRDefault="00425758">
      <w:pPr>
        <w:pStyle w:val="Heading5"/>
        <w:rPr>
          <w:snapToGrid w:val="0"/>
        </w:rPr>
      </w:pPr>
      <w:bookmarkStart w:id="982" w:name="_Toc75863591"/>
      <w:r>
        <w:rPr>
          <w:rStyle w:val="CharSectno"/>
        </w:rPr>
        <w:t>32</w:t>
      </w:r>
      <w:r>
        <w:rPr>
          <w:snapToGrid w:val="0"/>
        </w:rPr>
        <w:t>.</w:t>
      </w:r>
      <w:r>
        <w:rPr>
          <w:snapToGrid w:val="0"/>
        </w:rPr>
        <w:tab/>
        <w:t>Bills of costs to be taxed</w:t>
      </w:r>
      <w:bookmarkEnd w:id="982"/>
    </w:p>
    <w:p w:rsidR="00425758" w:rsidRDefault="00425758">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rsidR="00425758" w:rsidRDefault="00425758">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rsidR="00425758" w:rsidRDefault="00425758">
      <w:pPr>
        <w:pStyle w:val="Heading5"/>
        <w:rPr>
          <w:snapToGrid w:val="0"/>
        </w:rPr>
      </w:pPr>
      <w:bookmarkStart w:id="983" w:name="_Toc75863592"/>
      <w:r>
        <w:rPr>
          <w:rStyle w:val="CharSectno"/>
        </w:rPr>
        <w:t>33</w:t>
      </w:r>
      <w:r>
        <w:rPr>
          <w:snapToGrid w:val="0"/>
        </w:rPr>
        <w:t>.</w:t>
      </w:r>
      <w:r>
        <w:rPr>
          <w:snapToGrid w:val="0"/>
        </w:rPr>
        <w:tab/>
        <w:t>Indorsements on bill of costs</w:t>
      </w:r>
      <w:bookmarkEnd w:id="983"/>
    </w:p>
    <w:p w:rsidR="00425758" w:rsidRDefault="00425758">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including any solicitor who is entitled or intended to participate in the costs to be taxed.</w:t>
      </w:r>
    </w:p>
    <w:p w:rsidR="00425758" w:rsidRDefault="00425758">
      <w:pPr>
        <w:pStyle w:val="Footnotesection"/>
      </w:pPr>
      <w:r>
        <w:tab/>
        <w:t>[Rule 33 amended: Gazette 27 Feb 2018 p. 575.]</w:t>
      </w:r>
    </w:p>
    <w:p w:rsidR="00425758" w:rsidRDefault="00425758">
      <w:pPr>
        <w:pStyle w:val="Heading5"/>
        <w:rPr>
          <w:snapToGrid w:val="0"/>
        </w:rPr>
      </w:pPr>
      <w:bookmarkStart w:id="984" w:name="_Toc75863593"/>
      <w:r>
        <w:rPr>
          <w:rStyle w:val="CharSectno"/>
        </w:rPr>
        <w:t>34</w:t>
      </w:r>
      <w:r>
        <w:rPr>
          <w:snapToGrid w:val="0"/>
        </w:rPr>
        <w:t>.</w:t>
      </w:r>
      <w:r>
        <w:rPr>
          <w:snapToGrid w:val="0"/>
        </w:rPr>
        <w:tab/>
        <w:t>When notice of taxation need not be given</w:t>
      </w:r>
      <w:bookmarkEnd w:id="984"/>
    </w:p>
    <w:p w:rsidR="00425758" w:rsidRDefault="00425758">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rsidR="00425758" w:rsidRDefault="00425758">
      <w:pPr>
        <w:pStyle w:val="Heading5"/>
        <w:rPr>
          <w:snapToGrid w:val="0"/>
        </w:rPr>
      </w:pPr>
      <w:bookmarkStart w:id="985" w:name="_Toc75863594"/>
      <w:r>
        <w:rPr>
          <w:rStyle w:val="CharSectno"/>
        </w:rPr>
        <w:lastRenderedPageBreak/>
        <w:t>35</w:t>
      </w:r>
      <w:r>
        <w:rPr>
          <w:snapToGrid w:val="0"/>
        </w:rPr>
        <w:t>.</w:t>
      </w:r>
      <w:r>
        <w:rPr>
          <w:snapToGrid w:val="0"/>
        </w:rPr>
        <w:tab/>
        <w:t>Notice of taxation</w:t>
      </w:r>
      <w:bookmarkEnd w:id="985"/>
    </w:p>
    <w:p w:rsidR="00425758" w:rsidRDefault="00425758">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rsidR="00425758" w:rsidRDefault="00425758">
      <w:pPr>
        <w:pStyle w:val="Subsection"/>
        <w:rPr>
          <w:snapToGrid w:val="0"/>
        </w:rPr>
      </w:pPr>
      <w:r>
        <w:rPr>
          <w:snapToGrid w:val="0"/>
        </w:rPr>
        <w:tab/>
        <w:t>(2)</w:t>
      </w:r>
      <w:r>
        <w:rPr>
          <w:snapToGrid w:val="0"/>
        </w:rPr>
        <w:tab/>
        <w:t>In cases of urgency the taxing officer may direct that one clear day’s notice only shall be given.</w:t>
      </w:r>
    </w:p>
    <w:p w:rsidR="00425758" w:rsidRDefault="00425758">
      <w:pPr>
        <w:pStyle w:val="Heading5"/>
        <w:rPr>
          <w:snapToGrid w:val="0"/>
        </w:rPr>
      </w:pPr>
      <w:bookmarkStart w:id="986" w:name="_Toc75863595"/>
      <w:r>
        <w:rPr>
          <w:rStyle w:val="CharSectno"/>
        </w:rPr>
        <w:t>36</w:t>
      </w:r>
      <w:r>
        <w:rPr>
          <w:snapToGrid w:val="0"/>
        </w:rPr>
        <w:t>.</w:t>
      </w:r>
      <w:r>
        <w:rPr>
          <w:snapToGrid w:val="0"/>
        </w:rPr>
        <w:tab/>
        <w:t>Vouchers as to disbursements to be filed</w:t>
      </w:r>
      <w:bookmarkEnd w:id="986"/>
    </w:p>
    <w:p w:rsidR="00425758" w:rsidRDefault="00425758">
      <w:pPr>
        <w:pStyle w:val="Subsection"/>
        <w:rPr>
          <w:snapToGrid w:val="0"/>
        </w:rPr>
      </w:pPr>
      <w:r>
        <w:rPr>
          <w:snapToGrid w:val="0"/>
        </w:rPr>
        <w:tab/>
      </w:r>
      <w:r>
        <w:rPr>
          <w:snapToGrid w:val="0"/>
        </w:rPr>
        <w:tab/>
        <w:t xml:space="preserve">A party leaving a bill of costs for taxation must </w:t>
      </w:r>
      <w:r>
        <w:t>file</w:t>
      </w:r>
      <w:r>
        <w:rPr>
          <w:snapToGrid w:val="0"/>
        </w:rPr>
        <w:t xml:space="preserve"> with the bill vouchers for the payment of all disbursements (other than court fees) included in the bill; and where the vouchers are numerous they must be marked with the corresponding number in the bill.</w:t>
      </w:r>
    </w:p>
    <w:p w:rsidR="00425758" w:rsidRDefault="00425758">
      <w:pPr>
        <w:pStyle w:val="Footnotesection"/>
      </w:pPr>
      <w:r>
        <w:rPr>
          <w:i w:val="0"/>
        </w:rPr>
        <w:tab/>
      </w:r>
      <w:r>
        <w:t xml:space="preserve">[Rule 36 inserted: Gazette 19 Dec 1975 p. 4573; amended: Gazette 27 Feb 2018 p. 575.] </w:t>
      </w:r>
    </w:p>
    <w:p w:rsidR="00425758" w:rsidRDefault="00425758">
      <w:pPr>
        <w:pStyle w:val="Heading5"/>
        <w:rPr>
          <w:snapToGrid w:val="0"/>
        </w:rPr>
      </w:pPr>
      <w:bookmarkStart w:id="987" w:name="_Toc75863596"/>
      <w:r>
        <w:rPr>
          <w:rStyle w:val="CharSectno"/>
        </w:rPr>
        <w:t>37</w:t>
      </w:r>
      <w:r>
        <w:rPr>
          <w:snapToGrid w:val="0"/>
        </w:rPr>
        <w:t>.</w:t>
      </w:r>
      <w:r>
        <w:rPr>
          <w:snapToGrid w:val="0"/>
        </w:rPr>
        <w:tab/>
        <w:t>Solicitor delaying taxation</w:t>
      </w:r>
      <w:bookmarkEnd w:id="987"/>
    </w:p>
    <w:p w:rsidR="00425758" w:rsidRDefault="00425758">
      <w:pPr>
        <w:pStyle w:val="Subsection"/>
        <w:rPr>
          <w:snapToGrid w:val="0"/>
        </w:rPr>
      </w:pPr>
      <w:r>
        <w:rPr>
          <w:snapToGrid w:val="0"/>
        </w:rPr>
        <w:tab/>
      </w:r>
      <w:r>
        <w:rPr>
          <w:snapToGrid w:val="0"/>
        </w:rPr>
        <w:tab/>
        <w:t xml:space="preserve">Where any solicitor fails to </w:t>
      </w:r>
      <w:r>
        <w:t>file</w:t>
      </w:r>
      <w:r>
        <w:rPr>
          <w:snapToGrid w:val="0"/>
        </w:rPr>
        <w:t xml:space="preser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rsidR="00425758" w:rsidRDefault="00425758">
      <w:pPr>
        <w:pStyle w:val="Footnotesection"/>
      </w:pPr>
      <w:r>
        <w:rPr>
          <w:i w:val="0"/>
        </w:rPr>
        <w:tab/>
      </w:r>
      <w:r>
        <w:t xml:space="preserve">[Rule 37 amended: Gazette 27 Feb 2018 p. 575.] </w:t>
      </w:r>
    </w:p>
    <w:p w:rsidR="00425758" w:rsidRDefault="00425758">
      <w:pPr>
        <w:pStyle w:val="Heading5"/>
        <w:rPr>
          <w:snapToGrid w:val="0"/>
        </w:rPr>
      </w:pPr>
      <w:bookmarkStart w:id="988" w:name="_Toc75863597"/>
      <w:r>
        <w:rPr>
          <w:rStyle w:val="CharSectno"/>
        </w:rPr>
        <w:t>38</w:t>
      </w:r>
      <w:r>
        <w:rPr>
          <w:snapToGrid w:val="0"/>
        </w:rPr>
        <w:t>.</w:t>
      </w:r>
      <w:r>
        <w:rPr>
          <w:snapToGrid w:val="0"/>
        </w:rPr>
        <w:tab/>
        <w:t>Appointment to tax costs to be peremptory</w:t>
      </w:r>
      <w:bookmarkEnd w:id="988"/>
    </w:p>
    <w:p w:rsidR="00425758" w:rsidRDefault="00425758">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rsidR="00425758" w:rsidRDefault="00425758">
      <w:pPr>
        <w:pStyle w:val="Heading5"/>
        <w:rPr>
          <w:snapToGrid w:val="0"/>
        </w:rPr>
      </w:pPr>
      <w:bookmarkStart w:id="989" w:name="_Toc75863598"/>
      <w:r>
        <w:rPr>
          <w:rStyle w:val="CharSectno"/>
        </w:rPr>
        <w:t>39</w:t>
      </w:r>
      <w:r>
        <w:rPr>
          <w:snapToGrid w:val="0"/>
        </w:rPr>
        <w:t>.</w:t>
      </w:r>
      <w:r>
        <w:rPr>
          <w:snapToGrid w:val="0"/>
        </w:rPr>
        <w:tab/>
        <w:t>Taxing officer may direct bills of costs to be brought in</w:t>
      </w:r>
      <w:bookmarkEnd w:id="989"/>
    </w:p>
    <w:p w:rsidR="00425758" w:rsidRDefault="00425758">
      <w:pPr>
        <w:pStyle w:val="Subsection"/>
        <w:spacing w:before="120"/>
        <w:rPr>
          <w:snapToGrid w:val="0"/>
        </w:rPr>
      </w:pPr>
      <w:r>
        <w:rPr>
          <w:snapToGrid w:val="0"/>
        </w:rPr>
        <w:tab/>
      </w:r>
      <w:r>
        <w:rPr>
          <w:snapToGrid w:val="0"/>
        </w:rPr>
        <w:tab/>
        <w:t xml:space="preserve">When an order directing the taxation of any costs in a proceeding has been made, the taxing officer may of his own </w:t>
      </w:r>
      <w:r>
        <w:rPr>
          <w:snapToGrid w:val="0"/>
        </w:rPr>
        <w:lastRenderedPageBreak/>
        <w:t xml:space="preserve">motion give notice to a party to </w:t>
      </w:r>
      <w:r>
        <w:t>file</w:t>
      </w:r>
      <w:r>
        <w:rPr>
          <w:snapToGrid w:val="0"/>
        </w:rPr>
        <w:t xml:space="preserve"> his bills of costs for taxation and may limit a time for that purpose.</w:t>
      </w:r>
    </w:p>
    <w:p w:rsidR="00425758" w:rsidRDefault="00425758">
      <w:pPr>
        <w:pStyle w:val="Footnotesection"/>
      </w:pPr>
      <w:r>
        <w:rPr>
          <w:i w:val="0"/>
        </w:rPr>
        <w:tab/>
      </w:r>
      <w:r>
        <w:t xml:space="preserve">[Rule 39 amended: Gazette 27 Feb 2018 p. 575.] </w:t>
      </w:r>
    </w:p>
    <w:p w:rsidR="00425758" w:rsidRDefault="00425758">
      <w:pPr>
        <w:pStyle w:val="Heading5"/>
        <w:spacing w:before="200"/>
        <w:rPr>
          <w:snapToGrid w:val="0"/>
        </w:rPr>
      </w:pPr>
      <w:bookmarkStart w:id="990" w:name="_Toc75863599"/>
      <w:r>
        <w:rPr>
          <w:rStyle w:val="CharSectno"/>
        </w:rPr>
        <w:t>40</w:t>
      </w:r>
      <w:r>
        <w:rPr>
          <w:snapToGrid w:val="0"/>
        </w:rPr>
        <w:t>.</w:t>
      </w:r>
      <w:r>
        <w:rPr>
          <w:snapToGrid w:val="0"/>
        </w:rPr>
        <w:tab/>
        <w:t>Default by party in taxing costs</w:t>
      </w:r>
      <w:bookmarkEnd w:id="990"/>
    </w:p>
    <w:p w:rsidR="00425758" w:rsidRDefault="00425758">
      <w:pPr>
        <w:pStyle w:val="Subsection"/>
        <w:spacing w:before="120"/>
        <w:rPr>
          <w:snapToGrid w:val="0"/>
        </w:rPr>
      </w:pPr>
      <w:r>
        <w:rPr>
          <w:snapToGrid w:val="0"/>
        </w:rPr>
        <w:tab/>
      </w:r>
      <w:r>
        <w:rPr>
          <w:snapToGrid w:val="0"/>
        </w:rPr>
        <w:tab/>
        <w:t xml:space="preserve">When a party entitled to costs refuses or neglects to </w:t>
      </w:r>
      <w:r>
        <w:t>file</w:t>
      </w:r>
      <w:r>
        <w:rPr>
          <w:snapToGrid w:val="0"/>
        </w:rPr>
        <w:t xml:space="preserve"> his costs for taxation within any period limited under rule 39, the taxing officer may — </w:t>
      </w:r>
    </w:p>
    <w:p w:rsidR="00425758" w:rsidRDefault="00425758">
      <w:pPr>
        <w:pStyle w:val="Indenta"/>
        <w:spacing w:before="60"/>
        <w:rPr>
          <w:snapToGrid w:val="0"/>
        </w:rPr>
      </w:pPr>
      <w:r>
        <w:rPr>
          <w:snapToGrid w:val="0"/>
        </w:rPr>
        <w:tab/>
        <w:t>(a)</w:t>
      </w:r>
      <w:r>
        <w:rPr>
          <w:snapToGrid w:val="0"/>
        </w:rPr>
        <w:tab/>
        <w:t>certify the costs of the other parties and the refusal or neglect; or</w:t>
      </w:r>
    </w:p>
    <w:p w:rsidR="00425758" w:rsidRDefault="00425758">
      <w:pPr>
        <w:pStyle w:val="Indenta"/>
        <w:spacing w:before="60"/>
        <w:rPr>
          <w:snapToGrid w:val="0"/>
        </w:rPr>
      </w:pPr>
      <w:r>
        <w:rPr>
          <w:snapToGrid w:val="0"/>
        </w:rPr>
        <w:tab/>
        <w:t>(b)</w:t>
      </w:r>
      <w:r>
        <w:rPr>
          <w:snapToGrid w:val="0"/>
        </w:rPr>
        <w:tab/>
        <w:t>allow a nominal or other sum to the party refusing or neglecting, for his costs.</w:t>
      </w:r>
    </w:p>
    <w:p w:rsidR="00425758" w:rsidRDefault="00425758">
      <w:pPr>
        <w:pStyle w:val="Footnotesection"/>
      </w:pPr>
      <w:r>
        <w:rPr>
          <w:i w:val="0"/>
        </w:rPr>
        <w:tab/>
      </w:r>
      <w:r>
        <w:t xml:space="preserve">[Rule 40 amended: Gazette 27 Feb 2018 p. 575.] </w:t>
      </w:r>
    </w:p>
    <w:p w:rsidR="00425758" w:rsidRDefault="00425758">
      <w:pPr>
        <w:pStyle w:val="Heading5"/>
        <w:spacing w:before="200"/>
        <w:rPr>
          <w:snapToGrid w:val="0"/>
        </w:rPr>
      </w:pPr>
      <w:bookmarkStart w:id="991" w:name="_Toc75863600"/>
      <w:r>
        <w:rPr>
          <w:rStyle w:val="CharSectno"/>
        </w:rPr>
        <w:t>41</w:t>
      </w:r>
      <w:r>
        <w:rPr>
          <w:snapToGrid w:val="0"/>
        </w:rPr>
        <w:t>.</w:t>
      </w:r>
      <w:r>
        <w:rPr>
          <w:snapToGrid w:val="0"/>
        </w:rPr>
        <w:tab/>
        <w:t>If costs payable out of property, notice to clients may be directed</w:t>
      </w:r>
      <w:bookmarkEnd w:id="991"/>
    </w:p>
    <w:p w:rsidR="00425758" w:rsidRDefault="00425758">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rsidR="00425758" w:rsidRDefault="00425758">
      <w:pPr>
        <w:pStyle w:val="Heading5"/>
        <w:spacing w:before="200"/>
        <w:rPr>
          <w:snapToGrid w:val="0"/>
        </w:rPr>
      </w:pPr>
      <w:bookmarkStart w:id="992" w:name="_Toc75863601"/>
      <w:r>
        <w:rPr>
          <w:rStyle w:val="CharSectno"/>
        </w:rPr>
        <w:t>42</w:t>
      </w:r>
      <w:r>
        <w:rPr>
          <w:snapToGrid w:val="0"/>
        </w:rPr>
        <w:t>.</w:t>
      </w:r>
      <w:r>
        <w:rPr>
          <w:snapToGrid w:val="0"/>
        </w:rPr>
        <w:tab/>
        <w:t>Bills of costs, content of</w:t>
      </w:r>
      <w:bookmarkEnd w:id="992"/>
    </w:p>
    <w:p w:rsidR="00425758" w:rsidRDefault="00425758">
      <w:pPr>
        <w:pStyle w:val="Subsection"/>
        <w:spacing w:before="120"/>
        <w:rPr>
          <w:snapToGrid w:val="0"/>
        </w:rPr>
      </w:pPr>
      <w:r>
        <w:rPr>
          <w:snapToGrid w:val="0"/>
        </w:rPr>
        <w:tab/>
        <w:t>(1)</w:t>
      </w:r>
      <w:r>
        <w:rPr>
          <w:snapToGrid w:val="0"/>
        </w:rPr>
        <w:tab/>
        <w:t>A bill of costs for taxation shall be prepared so as to show clearly — </w:t>
      </w:r>
    </w:p>
    <w:p w:rsidR="00425758" w:rsidRDefault="00425758">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rsidR="00425758" w:rsidRDefault="00425758">
      <w:pPr>
        <w:pStyle w:val="Indenta"/>
        <w:rPr>
          <w:snapToGrid w:val="0"/>
        </w:rPr>
      </w:pPr>
      <w:r>
        <w:rPr>
          <w:snapToGrid w:val="0"/>
        </w:rPr>
        <w:lastRenderedPageBreak/>
        <w:tab/>
        <w:t>(b)</w:t>
      </w:r>
      <w:r>
        <w:rPr>
          <w:snapToGrid w:val="0"/>
        </w:rPr>
        <w:tab/>
        <w:t>dates of items (specifying years, months and days); and</w:t>
      </w:r>
    </w:p>
    <w:p w:rsidR="00425758" w:rsidRDefault="00425758">
      <w:pPr>
        <w:pStyle w:val="Indenta"/>
        <w:rPr>
          <w:snapToGrid w:val="0"/>
        </w:rPr>
      </w:pPr>
      <w:r>
        <w:rPr>
          <w:snapToGrid w:val="0"/>
        </w:rPr>
        <w:tab/>
        <w:t>(c)</w:t>
      </w:r>
      <w:r>
        <w:rPr>
          <w:snapToGrid w:val="0"/>
        </w:rPr>
        <w:tab/>
        <w:t>where necessary, particulars of the services charged for; and</w:t>
      </w:r>
    </w:p>
    <w:p w:rsidR="00425758" w:rsidRDefault="00425758">
      <w:pPr>
        <w:pStyle w:val="Indenta"/>
        <w:rPr>
          <w:snapToGrid w:val="0"/>
        </w:rPr>
      </w:pPr>
      <w:r>
        <w:rPr>
          <w:snapToGrid w:val="0"/>
        </w:rPr>
        <w:tab/>
        <w:t>(d)</w:t>
      </w:r>
      <w:r>
        <w:rPr>
          <w:snapToGrid w:val="0"/>
        </w:rPr>
        <w:tab/>
        <w:t>disbursements; and</w:t>
      </w:r>
    </w:p>
    <w:p w:rsidR="00425758" w:rsidRDefault="00425758">
      <w:pPr>
        <w:pStyle w:val="Indenta"/>
        <w:rPr>
          <w:snapToGrid w:val="0"/>
        </w:rPr>
      </w:pPr>
      <w:r>
        <w:rPr>
          <w:snapToGrid w:val="0"/>
        </w:rPr>
        <w:tab/>
        <w:t>(e)</w:t>
      </w:r>
      <w:r>
        <w:rPr>
          <w:snapToGrid w:val="0"/>
        </w:rPr>
        <w:tab/>
        <w:t>professional charges.</w:t>
      </w:r>
    </w:p>
    <w:p w:rsidR="00425758" w:rsidRDefault="00425758">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rsidR="00425758" w:rsidRDefault="00425758">
      <w:pPr>
        <w:pStyle w:val="Footnotesection"/>
      </w:pPr>
      <w:r>
        <w:tab/>
        <w:t xml:space="preserve">[Rule 42 inserted: Gazette 30 Aug 1974 p. 3242; amended: Gazette 19 Dec 1975 p. 4573.] </w:t>
      </w:r>
    </w:p>
    <w:p w:rsidR="00425758" w:rsidRDefault="00425758">
      <w:pPr>
        <w:pStyle w:val="Heading5"/>
        <w:rPr>
          <w:snapToGrid w:val="0"/>
        </w:rPr>
      </w:pPr>
      <w:bookmarkStart w:id="993" w:name="_Toc75863602"/>
      <w:r>
        <w:rPr>
          <w:rStyle w:val="CharSectno"/>
        </w:rPr>
        <w:t>43</w:t>
      </w:r>
      <w:r>
        <w:rPr>
          <w:snapToGrid w:val="0"/>
        </w:rPr>
        <w:t>.</w:t>
      </w:r>
      <w:r>
        <w:rPr>
          <w:snapToGrid w:val="0"/>
        </w:rPr>
        <w:tab/>
        <w:t>Taxing officer’s decisions on fact are final</w:t>
      </w:r>
      <w:bookmarkEnd w:id="993"/>
    </w:p>
    <w:p w:rsidR="00425758" w:rsidRDefault="00425758">
      <w:pPr>
        <w:pStyle w:val="Subsection"/>
        <w:rPr>
          <w:snapToGrid w:val="0"/>
        </w:rPr>
      </w:pPr>
      <w:r>
        <w:rPr>
          <w:snapToGrid w:val="0"/>
        </w:rPr>
        <w:tab/>
      </w:r>
      <w:r>
        <w:rPr>
          <w:snapToGrid w:val="0"/>
        </w:rPr>
        <w:tab/>
        <w:t>The decision of the taxing officer on all questions of fact shall be final.</w:t>
      </w:r>
    </w:p>
    <w:p w:rsidR="00425758" w:rsidRDefault="00425758">
      <w:pPr>
        <w:pStyle w:val="Heading5"/>
        <w:rPr>
          <w:snapToGrid w:val="0"/>
        </w:rPr>
      </w:pPr>
      <w:bookmarkStart w:id="994" w:name="_Toc75863603"/>
      <w:r>
        <w:rPr>
          <w:rStyle w:val="CharSectno"/>
        </w:rPr>
        <w:t>44</w:t>
      </w:r>
      <w:r>
        <w:rPr>
          <w:snapToGrid w:val="0"/>
        </w:rPr>
        <w:t>.</w:t>
      </w:r>
      <w:r>
        <w:rPr>
          <w:snapToGrid w:val="0"/>
        </w:rPr>
        <w:tab/>
        <w:t>Taxing officer’s powers</w:t>
      </w:r>
      <w:bookmarkEnd w:id="994"/>
    </w:p>
    <w:p w:rsidR="00425758" w:rsidRDefault="00425758">
      <w:pPr>
        <w:pStyle w:val="Subsection"/>
        <w:spacing w:before="120"/>
        <w:rPr>
          <w:snapToGrid w:val="0"/>
        </w:rPr>
      </w:pPr>
      <w:r>
        <w:rPr>
          <w:snapToGrid w:val="0"/>
        </w:rPr>
        <w:tab/>
      </w:r>
      <w:r>
        <w:rPr>
          <w:snapToGrid w:val="0"/>
        </w:rPr>
        <w:tab/>
        <w:t>The taxing officer may, for the purposes of taxation of costs —</w:t>
      </w:r>
    </w:p>
    <w:p w:rsidR="00425758" w:rsidRDefault="00425758">
      <w:pPr>
        <w:pStyle w:val="Indenta"/>
        <w:rPr>
          <w:snapToGrid w:val="0"/>
        </w:rPr>
      </w:pPr>
      <w:r>
        <w:rPr>
          <w:snapToGrid w:val="0"/>
        </w:rPr>
        <w:tab/>
        <w:t>(a)</w:t>
      </w:r>
      <w:r>
        <w:rPr>
          <w:snapToGrid w:val="0"/>
        </w:rPr>
        <w:tab/>
        <w:t>summon and examine witnesses either orally or upon affidavit;</w:t>
      </w:r>
    </w:p>
    <w:p w:rsidR="00425758" w:rsidRDefault="00425758">
      <w:pPr>
        <w:pStyle w:val="Indenta"/>
        <w:rPr>
          <w:snapToGrid w:val="0"/>
        </w:rPr>
      </w:pPr>
      <w:r>
        <w:rPr>
          <w:snapToGrid w:val="0"/>
        </w:rPr>
        <w:tab/>
        <w:t>(b)</w:t>
      </w:r>
      <w:r>
        <w:rPr>
          <w:snapToGrid w:val="0"/>
        </w:rPr>
        <w:tab/>
        <w:t>administer oaths;</w:t>
      </w:r>
    </w:p>
    <w:p w:rsidR="00425758" w:rsidRDefault="00425758">
      <w:pPr>
        <w:pStyle w:val="Indenta"/>
        <w:rPr>
          <w:snapToGrid w:val="0"/>
        </w:rPr>
      </w:pPr>
      <w:r>
        <w:rPr>
          <w:snapToGrid w:val="0"/>
        </w:rPr>
        <w:tab/>
        <w:t>(c)</w:t>
      </w:r>
      <w:r>
        <w:rPr>
          <w:snapToGrid w:val="0"/>
        </w:rPr>
        <w:tab/>
        <w:t>direct or require the production of books, papers, and documents;</w:t>
      </w:r>
    </w:p>
    <w:p w:rsidR="00425758" w:rsidRDefault="00425758">
      <w:pPr>
        <w:pStyle w:val="Indenta"/>
        <w:rPr>
          <w:snapToGrid w:val="0"/>
        </w:rPr>
      </w:pPr>
      <w:r>
        <w:rPr>
          <w:snapToGrid w:val="0"/>
        </w:rPr>
        <w:tab/>
        <w:t>(d)</w:t>
      </w:r>
      <w:r>
        <w:rPr>
          <w:snapToGrid w:val="0"/>
        </w:rPr>
        <w:tab/>
        <w:t>issue subpoenas;</w:t>
      </w:r>
    </w:p>
    <w:p w:rsidR="00425758" w:rsidRDefault="00425758">
      <w:pPr>
        <w:pStyle w:val="Indenta"/>
        <w:rPr>
          <w:snapToGrid w:val="0"/>
        </w:rPr>
      </w:pPr>
      <w:r>
        <w:rPr>
          <w:snapToGrid w:val="0"/>
        </w:rPr>
        <w:tab/>
        <w:t>(e)</w:t>
      </w:r>
      <w:r>
        <w:rPr>
          <w:snapToGrid w:val="0"/>
        </w:rPr>
        <w:tab/>
        <w:t>make separate or interim certificates or allocaturs;</w:t>
      </w:r>
    </w:p>
    <w:p w:rsidR="00425758" w:rsidRDefault="00425758">
      <w:pPr>
        <w:pStyle w:val="Indenta"/>
        <w:rPr>
          <w:snapToGrid w:val="0"/>
        </w:rPr>
      </w:pPr>
      <w:r>
        <w:rPr>
          <w:snapToGrid w:val="0"/>
        </w:rPr>
        <w:tab/>
        <w:t>(f)</w:t>
      </w:r>
      <w:r>
        <w:rPr>
          <w:snapToGrid w:val="0"/>
        </w:rPr>
        <w:tab/>
        <w:t>require a party to be represented by a separate solicitor;</w:t>
      </w:r>
    </w:p>
    <w:p w:rsidR="00425758" w:rsidRDefault="00425758">
      <w:pPr>
        <w:pStyle w:val="Indenta"/>
        <w:rPr>
          <w:snapToGrid w:val="0"/>
        </w:rPr>
      </w:pPr>
      <w:r>
        <w:rPr>
          <w:snapToGrid w:val="0"/>
        </w:rPr>
        <w:tab/>
        <w:t>(g)</w:t>
      </w:r>
      <w:r>
        <w:rPr>
          <w:snapToGrid w:val="0"/>
        </w:rPr>
        <w:tab/>
        <w:t>exercise all the powers of the Court in relation to the admission of evidence;</w:t>
      </w:r>
    </w:p>
    <w:p w:rsidR="00425758" w:rsidRDefault="00425758">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rsidR="00425758" w:rsidRDefault="00425758">
      <w:pPr>
        <w:pStyle w:val="Footnotesection"/>
      </w:pPr>
      <w:r>
        <w:tab/>
        <w:t>[Rule 44 amended: Gazette 26 Mar 1993 p. 1845</w:t>
      </w:r>
      <w:r>
        <w:noBreakHyphen/>
        <w:t xml:space="preserve">6; 26 Aug 1994 p. 4415.] </w:t>
      </w:r>
    </w:p>
    <w:p w:rsidR="00425758" w:rsidRDefault="00425758">
      <w:pPr>
        <w:pStyle w:val="Heading5"/>
        <w:rPr>
          <w:snapToGrid w:val="0"/>
        </w:rPr>
      </w:pPr>
      <w:bookmarkStart w:id="995" w:name="_Toc75863604"/>
      <w:r>
        <w:rPr>
          <w:rStyle w:val="CharSectno"/>
        </w:rPr>
        <w:lastRenderedPageBreak/>
        <w:t>45</w:t>
      </w:r>
      <w:r>
        <w:rPr>
          <w:snapToGrid w:val="0"/>
        </w:rPr>
        <w:t>.</w:t>
      </w:r>
      <w:r>
        <w:rPr>
          <w:snapToGrid w:val="0"/>
        </w:rPr>
        <w:tab/>
        <w:t>Taxing officer may refer taxation question to Court</w:t>
      </w:r>
      <w:bookmarkEnd w:id="995"/>
    </w:p>
    <w:p w:rsidR="00425758" w:rsidRDefault="00425758">
      <w:pPr>
        <w:pStyle w:val="Subsection"/>
        <w:rPr>
          <w:snapToGrid w:val="0"/>
        </w:rPr>
      </w:pPr>
      <w:r>
        <w:rPr>
          <w:snapToGrid w:val="0"/>
        </w:rPr>
        <w:tab/>
      </w:r>
      <w:r>
        <w:rPr>
          <w:snapToGrid w:val="0"/>
        </w:rPr>
        <w:tab/>
        <w:t>The taxing officer may, of his own motion, refer any question arising in the course of a taxation for the direction of the Court.</w:t>
      </w:r>
    </w:p>
    <w:p w:rsidR="00425758" w:rsidRDefault="00425758">
      <w:pPr>
        <w:pStyle w:val="Heading5"/>
        <w:rPr>
          <w:snapToGrid w:val="0"/>
        </w:rPr>
      </w:pPr>
      <w:bookmarkStart w:id="996" w:name="_Toc75863605"/>
      <w:r>
        <w:rPr>
          <w:rStyle w:val="CharSectno"/>
        </w:rPr>
        <w:t>46</w:t>
      </w:r>
      <w:r>
        <w:rPr>
          <w:snapToGrid w:val="0"/>
        </w:rPr>
        <w:t>.</w:t>
      </w:r>
      <w:r>
        <w:rPr>
          <w:snapToGrid w:val="0"/>
        </w:rPr>
        <w:tab/>
        <w:t>Where proceedings adjourned into court</w:t>
      </w:r>
      <w:bookmarkEnd w:id="996"/>
    </w:p>
    <w:p w:rsidR="00425758" w:rsidRDefault="00425758">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rsidR="00425758" w:rsidRDefault="00425758">
      <w:pPr>
        <w:pStyle w:val="Heading5"/>
        <w:rPr>
          <w:snapToGrid w:val="0"/>
        </w:rPr>
      </w:pPr>
      <w:bookmarkStart w:id="997" w:name="_Toc75863606"/>
      <w:r>
        <w:rPr>
          <w:rStyle w:val="CharSectno"/>
        </w:rPr>
        <w:t>47</w:t>
      </w:r>
      <w:r>
        <w:rPr>
          <w:snapToGrid w:val="0"/>
        </w:rPr>
        <w:t>.</w:t>
      </w:r>
      <w:r>
        <w:rPr>
          <w:snapToGrid w:val="0"/>
        </w:rPr>
        <w:tab/>
        <w:t>Interrogatories and discovery, costs of</w:t>
      </w:r>
      <w:bookmarkEnd w:id="997"/>
    </w:p>
    <w:p w:rsidR="00425758" w:rsidRDefault="00425758">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rsidR="00425758" w:rsidRDefault="00425758">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rsidR="00425758" w:rsidRDefault="00425758">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rsidR="00425758" w:rsidRDefault="00425758">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rsidR="00425758" w:rsidRDefault="00425758">
      <w:pPr>
        <w:pStyle w:val="Heading5"/>
        <w:rPr>
          <w:snapToGrid w:val="0"/>
        </w:rPr>
      </w:pPr>
      <w:bookmarkStart w:id="998" w:name="_Toc75863607"/>
      <w:r>
        <w:rPr>
          <w:rStyle w:val="CharSectno"/>
        </w:rPr>
        <w:lastRenderedPageBreak/>
        <w:t>48</w:t>
      </w:r>
      <w:r>
        <w:rPr>
          <w:snapToGrid w:val="0"/>
        </w:rPr>
        <w:t>.</w:t>
      </w:r>
      <w:r>
        <w:rPr>
          <w:snapToGrid w:val="0"/>
        </w:rPr>
        <w:tab/>
        <w:t>Costs of motion etc. follow event</w:t>
      </w:r>
      <w:bookmarkEnd w:id="998"/>
    </w:p>
    <w:p w:rsidR="00425758" w:rsidRDefault="00425758">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rsidR="00425758" w:rsidRDefault="00425758">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rsidR="00425758" w:rsidRDefault="00425758">
      <w:pPr>
        <w:pStyle w:val="Heading5"/>
        <w:rPr>
          <w:snapToGrid w:val="0"/>
        </w:rPr>
      </w:pPr>
      <w:bookmarkStart w:id="999" w:name="_Toc75863608"/>
      <w:r>
        <w:rPr>
          <w:rStyle w:val="CharSectno"/>
        </w:rPr>
        <w:t>49</w:t>
      </w:r>
      <w:r>
        <w:rPr>
          <w:snapToGrid w:val="0"/>
        </w:rPr>
        <w:t>.</w:t>
      </w:r>
      <w:r>
        <w:rPr>
          <w:snapToGrid w:val="0"/>
        </w:rPr>
        <w:tab/>
        <w:t>Motion etc. stood over to trial and no order made as to costs, costs in case of</w:t>
      </w:r>
      <w:bookmarkEnd w:id="999"/>
    </w:p>
    <w:p w:rsidR="00425758" w:rsidRDefault="00425758">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rsidR="00425758" w:rsidRDefault="00425758">
      <w:pPr>
        <w:pStyle w:val="Heading5"/>
        <w:rPr>
          <w:snapToGrid w:val="0"/>
        </w:rPr>
      </w:pPr>
      <w:bookmarkStart w:id="1000" w:name="_Toc75863609"/>
      <w:r>
        <w:rPr>
          <w:rStyle w:val="CharSectno"/>
        </w:rPr>
        <w:t>50</w:t>
      </w:r>
      <w:r>
        <w:rPr>
          <w:snapToGrid w:val="0"/>
        </w:rPr>
        <w:t>.</w:t>
      </w:r>
      <w:r>
        <w:rPr>
          <w:snapToGrid w:val="0"/>
        </w:rPr>
        <w:tab/>
        <w:t>Costs reserved</w:t>
      </w:r>
      <w:bookmarkEnd w:id="1000"/>
    </w:p>
    <w:p w:rsidR="00425758" w:rsidRDefault="00425758">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rsidR="00425758" w:rsidRDefault="00425758">
      <w:pPr>
        <w:pStyle w:val="Heading5"/>
      </w:pPr>
      <w:bookmarkStart w:id="1001" w:name="_Toc75863610"/>
      <w:r>
        <w:rPr>
          <w:rStyle w:val="CharSectno"/>
        </w:rPr>
        <w:t>51</w:t>
      </w:r>
      <w:r>
        <w:t>.</w:t>
      </w:r>
      <w:r>
        <w:tab/>
        <w:t>When Court may fix costs</w:t>
      </w:r>
      <w:bookmarkEnd w:id="1001"/>
    </w:p>
    <w:p w:rsidR="00425758" w:rsidRDefault="00425758">
      <w:pPr>
        <w:pStyle w:val="Subsection"/>
      </w:pPr>
      <w:r>
        <w:tab/>
        <w:t>(1)</w:t>
      </w:r>
      <w:r>
        <w:tab/>
        <w:t xml:space="preserve">In a particular action or matter the Court may, instead of making an order for taxation of costs — </w:t>
      </w:r>
    </w:p>
    <w:p w:rsidR="00425758" w:rsidRDefault="00425758">
      <w:pPr>
        <w:pStyle w:val="Indenta"/>
      </w:pPr>
      <w:r>
        <w:tab/>
        <w:t>(a)</w:t>
      </w:r>
      <w:r>
        <w:tab/>
        <w:t>make an order fixing the costs of a party to the action or matter in accordance with this Order; or</w:t>
      </w:r>
    </w:p>
    <w:p w:rsidR="00425758" w:rsidRDefault="00425758">
      <w:pPr>
        <w:pStyle w:val="Indenta"/>
      </w:pPr>
      <w:r>
        <w:tab/>
        <w:t>(b)</w:t>
      </w:r>
      <w:r>
        <w:tab/>
        <w:t xml:space="preserve">make an order under the </w:t>
      </w:r>
      <w:r>
        <w:rPr>
          <w:i/>
        </w:rPr>
        <w:t>Legal Profession Act 2008</w:t>
      </w:r>
      <w:r>
        <w:t xml:space="preserve"> section 280(2).</w:t>
      </w:r>
    </w:p>
    <w:p w:rsidR="00425758" w:rsidRDefault="00425758">
      <w:pPr>
        <w:pStyle w:val="Subsection"/>
      </w:pPr>
      <w:r>
        <w:tab/>
        <w:t>(2)</w:t>
      </w:r>
      <w:r>
        <w:tab/>
        <w:t>The Court may make an order under subrule (1) on its own motion or on an application by a party.</w:t>
      </w:r>
    </w:p>
    <w:p w:rsidR="00425758" w:rsidRDefault="00425758">
      <w:pPr>
        <w:pStyle w:val="Subsection"/>
      </w:pPr>
      <w:r>
        <w:lastRenderedPageBreak/>
        <w:tab/>
        <w:t>(3)</w:t>
      </w:r>
      <w:r>
        <w:tab/>
        <w:t>A party seeking an order under subrule (1)(b) must apply for the order within —</w:t>
      </w:r>
    </w:p>
    <w:p w:rsidR="00425758" w:rsidRDefault="00425758">
      <w:pPr>
        <w:pStyle w:val="Indenta"/>
      </w:pPr>
      <w:r>
        <w:tab/>
        <w:t>(a)</w:t>
      </w:r>
      <w:r>
        <w:tab/>
        <w:t>30 days after the date of the relevant judgment; or</w:t>
      </w:r>
    </w:p>
    <w:p w:rsidR="00425758" w:rsidRDefault="00425758">
      <w:pPr>
        <w:pStyle w:val="Indenta"/>
      </w:pPr>
      <w:r>
        <w:tab/>
        <w:t>(b)</w:t>
      </w:r>
      <w:r>
        <w:tab/>
        <w:t>another time fixed by the Court.</w:t>
      </w:r>
    </w:p>
    <w:p w:rsidR="00425758" w:rsidRDefault="00425758">
      <w:pPr>
        <w:pStyle w:val="Footnotesection"/>
      </w:pPr>
      <w:r>
        <w:tab/>
        <w:t>[Rule 51 inserted: Gazette 29 Jun 2018 p. 2438.]</w:t>
      </w:r>
    </w:p>
    <w:p w:rsidR="00425758" w:rsidRDefault="00425758">
      <w:pPr>
        <w:pStyle w:val="Heading5"/>
        <w:rPr>
          <w:snapToGrid w:val="0"/>
        </w:rPr>
      </w:pPr>
      <w:bookmarkStart w:id="1002" w:name="_Toc75863611"/>
      <w:r>
        <w:rPr>
          <w:rStyle w:val="CharSectno"/>
        </w:rPr>
        <w:t>52</w:t>
      </w:r>
      <w:r>
        <w:rPr>
          <w:snapToGrid w:val="0"/>
        </w:rPr>
        <w:t>.</w:t>
      </w:r>
      <w:r>
        <w:rPr>
          <w:snapToGrid w:val="0"/>
        </w:rPr>
        <w:tab/>
        <w:t>Taxing officer may refer question to judge if costs to be apportioned etc.</w:t>
      </w:r>
      <w:bookmarkEnd w:id="1002"/>
    </w:p>
    <w:p w:rsidR="00425758" w:rsidRDefault="00425758">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rsidR="00425758" w:rsidRDefault="00425758">
      <w:pPr>
        <w:pStyle w:val="Heading3"/>
      </w:pPr>
      <w:bookmarkStart w:id="1003" w:name="_Toc75512516"/>
      <w:bookmarkStart w:id="1004" w:name="_Toc75863612"/>
      <w:r>
        <w:rPr>
          <w:rStyle w:val="CharDivNo"/>
        </w:rPr>
        <w:t>Division 3</w:t>
      </w:r>
      <w:r>
        <w:t> — </w:t>
      </w:r>
      <w:r>
        <w:rPr>
          <w:rStyle w:val="CharDivText"/>
        </w:rPr>
        <w:t>Review of taxation</w:t>
      </w:r>
      <w:bookmarkEnd w:id="1003"/>
      <w:bookmarkEnd w:id="1004"/>
    </w:p>
    <w:p w:rsidR="00425758" w:rsidRDefault="00425758">
      <w:pPr>
        <w:pStyle w:val="Footnoteheading"/>
      </w:pPr>
      <w:r>
        <w:tab/>
        <w:t xml:space="preserve">[Heading inserted: Gazette 22 Feb 2008 p. 641.] </w:t>
      </w:r>
    </w:p>
    <w:p w:rsidR="00425758" w:rsidRDefault="00425758">
      <w:pPr>
        <w:pStyle w:val="Heading5"/>
        <w:rPr>
          <w:snapToGrid w:val="0"/>
        </w:rPr>
      </w:pPr>
      <w:bookmarkStart w:id="1005" w:name="_Toc75863613"/>
      <w:r>
        <w:rPr>
          <w:rStyle w:val="CharSectno"/>
        </w:rPr>
        <w:t>53</w:t>
      </w:r>
      <w:r>
        <w:rPr>
          <w:snapToGrid w:val="0"/>
        </w:rPr>
        <w:t>.</w:t>
      </w:r>
      <w:r>
        <w:rPr>
          <w:snapToGrid w:val="0"/>
        </w:rPr>
        <w:tab/>
        <w:t>Party dissatisfied with taxation may object and apply for review</w:t>
      </w:r>
      <w:bookmarkEnd w:id="1005"/>
    </w:p>
    <w:p w:rsidR="00425758" w:rsidRDefault="00425758">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rsidR="00425758" w:rsidRDefault="00425758">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rsidR="00425758" w:rsidRDefault="00425758">
      <w:pPr>
        <w:pStyle w:val="Indenta"/>
        <w:rPr>
          <w:snapToGrid w:val="0"/>
        </w:rPr>
      </w:pPr>
      <w:r>
        <w:rPr>
          <w:snapToGrid w:val="0"/>
        </w:rPr>
        <w:lastRenderedPageBreak/>
        <w:tab/>
        <w:t>(b)</w:t>
      </w:r>
      <w:r>
        <w:rPr>
          <w:snapToGrid w:val="0"/>
        </w:rPr>
        <w:tab/>
        <w:t>thereupon apply to the taxing officer to review the taxation in respect of those items or parts.</w:t>
      </w:r>
    </w:p>
    <w:p w:rsidR="00425758" w:rsidRDefault="00425758">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rsidR="00425758" w:rsidRDefault="00425758">
      <w:pPr>
        <w:pStyle w:val="Heading5"/>
        <w:rPr>
          <w:snapToGrid w:val="0"/>
        </w:rPr>
      </w:pPr>
      <w:bookmarkStart w:id="1006" w:name="_Toc75863614"/>
      <w:r>
        <w:rPr>
          <w:rStyle w:val="CharSectno"/>
        </w:rPr>
        <w:t>54</w:t>
      </w:r>
      <w:r>
        <w:rPr>
          <w:snapToGrid w:val="0"/>
        </w:rPr>
        <w:t>.</w:t>
      </w:r>
      <w:r>
        <w:rPr>
          <w:snapToGrid w:val="0"/>
        </w:rPr>
        <w:tab/>
        <w:t>Review of taxation by taxing officer</w:t>
      </w:r>
      <w:bookmarkEnd w:id="1006"/>
    </w:p>
    <w:p w:rsidR="00425758" w:rsidRDefault="00425758">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rsidR="00425758" w:rsidRDefault="00425758">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rsidR="00425758" w:rsidRDefault="00425758">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rsidR="00425758" w:rsidRDefault="00425758">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rsidR="00425758" w:rsidRDefault="00425758">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rsidR="00425758" w:rsidRDefault="00425758">
      <w:pPr>
        <w:pStyle w:val="Footnotesection"/>
      </w:pPr>
      <w:r>
        <w:rPr>
          <w:i w:val="0"/>
        </w:rPr>
        <w:tab/>
      </w:r>
      <w:r>
        <w:t xml:space="preserve">[Rule 54 amended: Gazette 7 Feb 1992 p. 687; 28 Jun 2011 p. 2555.] </w:t>
      </w:r>
    </w:p>
    <w:p w:rsidR="00425758" w:rsidRDefault="00425758">
      <w:pPr>
        <w:pStyle w:val="Heading5"/>
        <w:rPr>
          <w:snapToGrid w:val="0"/>
        </w:rPr>
      </w:pPr>
      <w:bookmarkStart w:id="1007" w:name="_Toc75863615"/>
      <w:r>
        <w:rPr>
          <w:rStyle w:val="CharSectno"/>
        </w:rPr>
        <w:lastRenderedPageBreak/>
        <w:t>55</w:t>
      </w:r>
      <w:r>
        <w:rPr>
          <w:snapToGrid w:val="0"/>
        </w:rPr>
        <w:t>.</w:t>
      </w:r>
      <w:r>
        <w:rPr>
          <w:snapToGrid w:val="0"/>
        </w:rPr>
        <w:tab/>
        <w:t>Review of taxation by judge</w:t>
      </w:r>
      <w:bookmarkEnd w:id="1007"/>
    </w:p>
    <w:p w:rsidR="00425758" w:rsidRDefault="00425758">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rsidR="00425758" w:rsidRDefault="00425758">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rsidR="00425758" w:rsidRDefault="00425758">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rsidR="00425758" w:rsidRDefault="00425758">
      <w:pPr>
        <w:pStyle w:val="Heading5"/>
        <w:rPr>
          <w:snapToGrid w:val="0"/>
        </w:rPr>
      </w:pPr>
      <w:bookmarkStart w:id="1008" w:name="_Toc75863616"/>
      <w:r>
        <w:rPr>
          <w:rStyle w:val="CharSectno"/>
        </w:rPr>
        <w:t>56</w:t>
      </w:r>
      <w:r>
        <w:rPr>
          <w:snapToGrid w:val="0"/>
        </w:rPr>
        <w:t>.</w:t>
      </w:r>
      <w:r>
        <w:rPr>
          <w:snapToGrid w:val="0"/>
        </w:rPr>
        <w:tab/>
        <w:t>No further evidence on review except with leave</w:t>
      </w:r>
      <w:bookmarkEnd w:id="1008"/>
    </w:p>
    <w:p w:rsidR="00425758" w:rsidRDefault="00425758">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rsidR="00425758" w:rsidRDefault="00425758">
      <w:pPr>
        <w:pStyle w:val="Footnotesection"/>
      </w:pPr>
      <w:r>
        <w:tab/>
        <w:t>[Rule 56 amended: Gazette 28 Jun 2011 p. 2555.]</w:t>
      </w:r>
    </w:p>
    <w:p w:rsidR="00425758" w:rsidRDefault="00425758">
      <w:pPr>
        <w:pStyle w:val="Heading3"/>
      </w:pPr>
      <w:bookmarkStart w:id="1009" w:name="_Toc75512521"/>
      <w:bookmarkStart w:id="1010" w:name="_Toc75863617"/>
      <w:r>
        <w:rPr>
          <w:rStyle w:val="CharDivNo"/>
        </w:rPr>
        <w:t>Division 4</w:t>
      </w:r>
      <w:r>
        <w:t> — </w:t>
      </w:r>
      <w:r>
        <w:rPr>
          <w:rStyle w:val="CharDivText"/>
        </w:rPr>
        <w:t>Miscellaneous</w:t>
      </w:r>
      <w:bookmarkEnd w:id="1009"/>
      <w:bookmarkEnd w:id="1010"/>
    </w:p>
    <w:p w:rsidR="00425758" w:rsidRDefault="00425758">
      <w:pPr>
        <w:pStyle w:val="Footnoteheading"/>
      </w:pPr>
      <w:r>
        <w:tab/>
        <w:t xml:space="preserve">[Heading inserted: Gazette 22 Feb 2008 p. 641.] </w:t>
      </w:r>
    </w:p>
    <w:p w:rsidR="00425758" w:rsidRDefault="00425758">
      <w:pPr>
        <w:pStyle w:val="Heading5"/>
        <w:rPr>
          <w:snapToGrid w:val="0"/>
        </w:rPr>
      </w:pPr>
      <w:bookmarkStart w:id="1011" w:name="_Toc75863618"/>
      <w:r>
        <w:rPr>
          <w:rStyle w:val="CharSectno"/>
        </w:rPr>
        <w:t>57</w:t>
      </w:r>
      <w:r>
        <w:rPr>
          <w:snapToGrid w:val="0"/>
        </w:rPr>
        <w:t>.</w:t>
      </w:r>
      <w:r>
        <w:rPr>
          <w:snapToGrid w:val="0"/>
        </w:rPr>
        <w:tab/>
        <w:t>Taxing officer’s certificate enforceable as judgment</w:t>
      </w:r>
      <w:bookmarkEnd w:id="1011"/>
    </w:p>
    <w:p w:rsidR="00425758" w:rsidRDefault="00425758">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rsidR="00425758" w:rsidRDefault="00425758">
      <w:pPr>
        <w:pStyle w:val="Heading5"/>
        <w:rPr>
          <w:snapToGrid w:val="0"/>
        </w:rPr>
      </w:pPr>
      <w:bookmarkStart w:id="1012" w:name="_Toc75863619"/>
      <w:r>
        <w:rPr>
          <w:rStyle w:val="CharSectno"/>
        </w:rPr>
        <w:t>58</w:t>
      </w:r>
      <w:r>
        <w:rPr>
          <w:snapToGrid w:val="0"/>
        </w:rPr>
        <w:t>.</w:t>
      </w:r>
      <w:r>
        <w:rPr>
          <w:snapToGrid w:val="0"/>
        </w:rPr>
        <w:tab/>
        <w:t>Stay on review</w:t>
      </w:r>
      <w:bookmarkEnd w:id="1012"/>
    </w:p>
    <w:p w:rsidR="00425758" w:rsidRDefault="00425758">
      <w:pPr>
        <w:pStyle w:val="Subsection"/>
        <w:rPr>
          <w:snapToGrid w:val="0"/>
        </w:rPr>
      </w:pPr>
      <w:r>
        <w:rPr>
          <w:snapToGrid w:val="0"/>
        </w:rPr>
        <w:tab/>
      </w:r>
      <w:r>
        <w:rPr>
          <w:snapToGrid w:val="0"/>
        </w:rPr>
        <w:tab/>
        <w:t xml:space="preserve">A party who has required the taxing officer to state the ground and reason of his decision on an objection for the purpose of applying to a judge to review the taxation, may request the </w:t>
      </w:r>
      <w:r>
        <w:rPr>
          <w:snapToGrid w:val="0"/>
        </w:rPr>
        <w:lastRenderedPageBreak/>
        <w:t>taxing officer to grant a stay of proceedings either wholly or limited to the item or part of an item which is the subject of the objection, and in the event of the taxing officer refusing such stay may apply to a judge.</w:t>
      </w:r>
    </w:p>
    <w:p w:rsidR="00425758" w:rsidRDefault="00425758">
      <w:pPr>
        <w:pStyle w:val="Heading5"/>
        <w:rPr>
          <w:snapToGrid w:val="0"/>
        </w:rPr>
      </w:pPr>
      <w:bookmarkStart w:id="1013" w:name="_Toc75863620"/>
      <w:r>
        <w:rPr>
          <w:rStyle w:val="CharSectno"/>
        </w:rPr>
        <w:t>59</w:t>
      </w:r>
      <w:r>
        <w:rPr>
          <w:snapToGrid w:val="0"/>
        </w:rPr>
        <w:t>.</w:t>
      </w:r>
      <w:r>
        <w:rPr>
          <w:snapToGrid w:val="0"/>
        </w:rPr>
        <w:tab/>
        <w:t>Party liable to be paid and to pay costs, taxing officer’s powers in case of</w:t>
      </w:r>
      <w:bookmarkEnd w:id="1013"/>
    </w:p>
    <w:p w:rsidR="00425758" w:rsidRDefault="00425758">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rsidR="00425758" w:rsidRDefault="00425758">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rsidR="00425758" w:rsidRDefault="00425758">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rsidR="00425758" w:rsidRDefault="00425758">
      <w:pPr>
        <w:pStyle w:val="Heading5"/>
        <w:rPr>
          <w:snapToGrid w:val="0"/>
        </w:rPr>
      </w:pPr>
      <w:bookmarkStart w:id="1014" w:name="_Toc75863621"/>
      <w:r>
        <w:rPr>
          <w:rStyle w:val="CharSectno"/>
        </w:rPr>
        <w:t>60</w:t>
      </w:r>
      <w:r>
        <w:rPr>
          <w:snapToGrid w:val="0"/>
        </w:rPr>
        <w:t>.</w:t>
      </w:r>
      <w:r>
        <w:rPr>
          <w:snapToGrid w:val="0"/>
        </w:rPr>
        <w:tab/>
        <w:t>Taking of accounts, taxing officer’s duties and powers on</w:t>
      </w:r>
      <w:bookmarkEnd w:id="1014"/>
    </w:p>
    <w:p w:rsidR="00425758" w:rsidRDefault="00425758">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rsidR="00425758" w:rsidRDefault="00425758">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rsidR="00425758" w:rsidRDefault="00425758">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rsidR="00425758" w:rsidRDefault="00425758">
      <w:pPr>
        <w:pStyle w:val="Footnotesection"/>
        <w:spacing w:before="80"/>
        <w:ind w:left="890" w:hanging="890"/>
      </w:pPr>
      <w:r>
        <w:tab/>
        <w:t xml:space="preserve">[Rule 60 amended: Gazette 14 Dec 1979 p. 3871.] </w:t>
      </w:r>
    </w:p>
    <w:p w:rsidR="00425758" w:rsidRDefault="00425758">
      <w:pPr>
        <w:pStyle w:val="Heading5"/>
        <w:rPr>
          <w:snapToGrid w:val="0"/>
        </w:rPr>
      </w:pPr>
      <w:bookmarkStart w:id="1015" w:name="_Toc75863622"/>
      <w:r>
        <w:rPr>
          <w:rStyle w:val="CharSectno"/>
        </w:rPr>
        <w:t>61</w:t>
      </w:r>
      <w:r>
        <w:rPr>
          <w:snapToGrid w:val="0"/>
        </w:rPr>
        <w:t>.</w:t>
      </w:r>
      <w:r>
        <w:rPr>
          <w:snapToGrid w:val="0"/>
        </w:rPr>
        <w:tab/>
        <w:t>Interim certificate in matters of account</w:t>
      </w:r>
      <w:bookmarkEnd w:id="1015"/>
    </w:p>
    <w:p w:rsidR="00425758" w:rsidRDefault="00425758">
      <w:pPr>
        <w:pStyle w:val="Subsection"/>
        <w:spacing w:before="120"/>
        <w:rPr>
          <w:snapToGrid w:val="0"/>
        </w:rPr>
      </w:pPr>
      <w:r>
        <w:rPr>
          <w:snapToGrid w:val="0"/>
        </w:rPr>
        <w:tab/>
      </w:r>
      <w:r>
        <w:rPr>
          <w:snapToGrid w:val="0"/>
        </w:rPr>
        <w:tab/>
        <w:t xml:space="preserve">If, during the taxation of any bill of costs or the taking of any account between solicitor and client, it shall appear to the taxing officer that there must in any event be moneys due from the </w:t>
      </w:r>
      <w:r>
        <w:rPr>
          <w:snapToGrid w:val="0"/>
        </w:rPr>
        <w:lastRenderedPageBreak/>
        <w:t>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rsidR="00425758" w:rsidRDefault="00425758">
      <w:pPr>
        <w:pStyle w:val="Heading2"/>
        <w:rPr>
          <w:b w:val="0"/>
        </w:rPr>
      </w:pPr>
      <w:bookmarkStart w:id="1016" w:name="_Toc75512527"/>
      <w:bookmarkStart w:id="1017" w:name="_Toc75863623"/>
      <w:r>
        <w:rPr>
          <w:rStyle w:val="CharPartNo"/>
        </w:rPr>
        <w:lastRenderedPageBreak/>
        <w:t>Order 67</w:t>
      </w:r>
      <w:r>
        <w:rPr>
          <w:rStyle w:val="CharDivNo"/>
        </w:rPr>
        <w:t> </w:t>
      </w:r>
      <w:r>
        <w:t>—</w:t>
      </w:r>
      <w:r>
        <w:rPr>
          <w:rStyle w:val="CharDivText"/>
        </w:rPr>
        <w:t> </w:t>
      </w:r>
      <w:r>
        <w:rPr>
          <w:rStyle w:val="CharPartText"/>
        </w:rPr>
        <w:t>Central Office, officers</w:t>
      </w:r>
      <w:bookmarkEnd w:id="1016"/>
      <w:bookmarkEnd w:id="1017"/>
    </w:p>
    <w:p w:rsidR="00425758" w:rsidRDefault="00425758">
      <w:pPr>
        <w:pStyle w:val="Heading5"/>
        <w:rPr>
          <w:snapToGrid w:val="0"/>
        </w:rPr>
      </w:pPr>
      <w:bookmarkStart w:id="1018" w:name="_Toc75863624"/>
      <w:r>
        <w:rPr>
          <w:rStyle w:val="CharSectno"/>
        </w:rPr>
        <w:t>1</w:t>
      </w:r>
      <w:r>
        <w:rPr>
          <w:snapToGrid w:val="0"/>
        </w:rPr>
        <w:t>.</w:t>
      </w:r>
      <w:r>
        <w:rPr>
          <w:snapToGrid w:val="0"/>
        </w:rPr>
        <w:tab/>
        <w:t>Superintendence of Central Office</w:t>
      </w:r>
      <w:bookmarkEnd w:id="1018"/>
    </w:p>
    <w:p w:rsidR="00425758" w:rsidRDefault="00425758">
      <w:pPr>
        <w:pStyle w:val="Subsection"/>
        <w:rPr>
          <w:snapToGrid w:val="0"/>
        </w:rPr>
      </w:pPr>
      <w:r>
        <w:rPr>
          <w:snapToGrid w:val="0"/>
        </w:rPr>
        <w:tab/>
      </w:r>
      <w:r>
        <w:rPr>
          <w:snapToGrid w:val="0"/>
        </w:rPr>
        <w:tab/>
        <w:t xml:space="preserve">The </w:t>
      </w:r>
      <w:r>
        <w:t>Chief Justice or the Principal Registrar must</w:t>
      </w:r>
      <w:r>
        <w:rPr>
          <w:snapToGrid w:val="0"/>
        </w:rPr>
        <w:t xml:space="preserve"> superintend the business of the Central Office </w:t>
      </w:r>
      <w:r>
        <w:t>and give</w:t>
      </w:r>
      <w:r>
        <w:rPr>
          <w:snapToGrid w:val="0"/>
        </w:rPr>
        <w:t xml:space="preserve"> any directions that may be required on questions of practice and procedure.</w:t>
      </w:r>
    </w:p>
    <w:p w:rsidR="00425758" w:rsidRDefault="00425758">
      <w:pPr>
        <w:pStyle w:val="Footnotesection"/>
      </w:pPr>
      <w:r>
        <w:rPr>
          <w:i w:val="0"/>
        </w:rPr>
        <w:tab/>
      </w:r>
      <w:r>
        <w:t>[Rule 1 inserted: Gazette 14 Dec 1979 p. 3871; amended: Gazette 30 Nov 1984 p. 3952; SL 2020/242 r. 7(1).]</w:t>
      </w:r>
    </w:p>
    <w:p w:rsidR="00425758" w:rsidRDefault="00425758">
      <w:pPr>
        <w:pStyle w:val="Heading5"/>
        <w:rPr>
          <w:snapToGrid w:val="0"/>
        </w:rPr>
      </w:pPr>
      <w:bookmarkStart w:id="1019" w:name="_Toc75863625"/>
      <w:r>
        <w:rPr>
          <w:rStyle w:val="CharSectno"/>
        </w:rPr>
        <w:t>2</w:t>
      </w:r>
      <w:r>
        <w:rPr>
          <w:snapToGrid w:val="0"/>
        </w:rPr>
        <w:t>.</w:t>
      </w:r>
      <w:r>
        <w:rPr>
          <w:snapToGrid w:val="0"/>
        </w:rPr>
        <w:tab/>
        <w:t>Ministerial acts of registrar</w:t>
      </w:r>
      <w:bookmarkEnd w:id="1019"/>
      <w:r>
        <w:rPr>
          <w:snapToGrid w:val="0"/>
        </w:rPr>
        <w:t xml:space="preserve"> </w:t>
      </w:r>
    </w:p>
    <w:p w:rsidR="00425758" w:rsidRDefault="00425758">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rsidR="00425758" w:rsidRDefault="00425758">
      <w:pPr>
        <w:pStyle w:val="Footnotesection"/>
      </w:pPr>
      <w:r>
        <w:rPr>
          <w:i w:val="0"/>
        </w:rPr>
        <w:tab/>
      </w:r>
      <w:r>
        <w:t>[Rule 2 inserted: Gazette 14 Dec 1979 p. 3871.]</w:t>
      </w:r>
    </w:p>
    <w:p w:rsidR="00425758" w:rsidRDefault="00425758">
      <w:pPr>
        <w:pStyle w:val="Heading5"/>
        <w:rPr>
          <w:snapToGrid w:val="0"/>
        </w:rPr>
      </w:pPr>
      <w:bookmarkStart w:id="1020" w:name="_Toc75863626"/>
      <w:r>
        <w:rPr>
          <w:rStyle w:val="CharSectno"/>
        </w:rPr>
        <w:t>3</w:t>
      </w:r>
      <w:r>
        <w:rPr>
          <w:snapToGrid w:val="0"/>
        </w:rPr>
        <w:t>.</w:t>
      </w:r>
      <w:r>
        <w:rPr>
          <w:snapToGrid w:val="0"/>
        </w:rPr>
        <w:tab/>
        <w:t>Taking of oaths and affidavits</w:t>
      </w:r>
      <w:bookmarkEnd w:id="1020"/>
    </w:p>
    <w:p w:rsidR="00425758" w:rsidRDefault="00425758">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rsidR="00425758" w:rsidRDefault="00425758">
      <w:pPr>
        <w:pStyle w:val="Footnotesection"/>
      </w:pPr>
      <w:r>
        <w:rPr>
          <w:i w:val="0"/>
        </w:rPr>
        <w:tab/>
      </w:r>
      <w:r>
        <w:t>[Rule 3 inserted: Gazette 14 Dec 1979 p. 3871; amended: Gazette 30 Nov 1984 p. 3952.]</w:t>
      </w:r>
    </w:p>
    <w:p w:rsidR="00425758" w:rsidRDefault="00425758">
      <w:pPr>
        <w:pStyle w:val="Heading5"/>
        <w:rPr>
          <w:snapToGrid w:val="0"/>
        </w:rPr>
      </w:pPr>
      <w:bookmarkStart w:id="1021" w:name="_Toc75863627"/>
      <w:r>
        <w:rPr>
          <w:rStyle w:val="CharSectno"/>
        </w:rPr>
        <w:t>4</w:t>
      </w:r>
      <w:r>
        <w:rPr>
          <w:snapToGrid w:val="0"/>
        </w:rPr>
        <w:t>.</w:t>
      </w:r>
      <w:r>
        <w:rPr>
          <w:snapToGrid w:val="0"/>
        </w:rPr>
        <w:tab/>
        <w:t>Seals</w:t>
      </w:r>
      <w:bookmarkEnd w:id="1021"/>
    </w:p>
    <w:p w:rsidR="00425758" w:rsidRDefault="00425758">
      <w:pPr>
        <w:pStyle w:val="Subsection"/>
        <w:rPr>
          <w:snapToGrid w:val="0"/>
        </w:rPr>
      </w:pPr>
      <w:r>
        <w:rPr>
          <w:snapToGrid w:val="0"/>
        </w:rPr>
        <w:tab/>
      </w:r>
      <w:r>
        <w:rPr>
          <w:snapToGrid w:val="0"/>
        </w:rPr>
        <w:tab/>
        <w:t xml:space="preserve">The official seals </w:t>
      </w:r>
      <w:r>
        <w:t>of the Court</w:t>
      </w:r>
      <w:r>
        <w:rPr>
          <w:snapToGrid w:val="0"/>
        </w:rPr>
        <w:t xml:space="preserve"> shall be such as the Chief Justice from time to time directs.</w:t>
      </w:r>
    </w:p>
    <w:p w:rsidR="00425758" w:rsidRDefault="00425758">
      <w:pPr>
        <w:pStyle w:val="Footnotesection"/>
      </w:pPr>
      <w:r>
        <w:rPr>
          <w:i w:val="0"/>
        </w:rPr>
        <w:tab/>
      </w:r>
      <w:r>
        <w:t xml:space="preserve">[Rule 4 amended: Gazette 27 Feb 2018 p. 576.] </w:t>
      </w:r>
    </w:p>
    <w:p w:rsidR="00425758" w:rsidRDefault="00425758">
      <w:pPr>
        <w:pStyle w:val="Heading5"/>
        <w:rPr>
          <w:snapToGrid w:val="0"/>
        </w:rPr>
      </w:pPr>
      <w:bookmarkStart w:id="1022" w:name="_Toc75863628"/>
      <w:r>
        <w:rPr>
          <w:rStyle w:val="CharSectno"/>
        </w:rPr>
        <w:t>5</w:t>
      </w:r>
      <w:r>
        <w:rPr>
          <w:snapToGrid w:val="0"/>
        </w:rPr>
        <w:t>.</w:t>
      </w:r>
      <w:r>
        <w:rPr>
          <w:snapToGrid w:val="0"/>
        </w:rPr>
        <w:tab/>
        <w:t>Abuse of process etc., procedure in case of</w:t>
      </w:r>
      <w:bookmarkEnd w:id="1022"/>
    </w:p>
    <w:p w:rsidR="00425758" w:rsidRDefault="00425758">
      <w:pPr>
        <w:pStyle w:val="Subsection"/>
        <w:rPr>
          <w:snapToGrid w:val="0"/>
        </w:rPr>
      </w:pPr>
      <w:r>
        <w:rPr>
          <w:snapToGrid w:val="0"/>
        </w:rPr>
        <w:tab/>
        <w:t>(1)</w:t>
      </w:r>
      <w:r>
        <w:rPr>
          <w:snapToGrid w:val="0"/>
        </w:rPr>
        <w:tab/>
        <w:t xml:space="preserve">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w:t>
      </w:r>
      <w:r>
        <w:rPr>
          <w:snapToGrid w:val="0"/>
        </w:rPr>
        <w:lastRenderedPageBreak/>
        <w:t>the leave of a judge or a master first had and obtained by the party seeking to file or issue it.</w:t>
      </w:r>
    </w:p>
    <w:p w:rsidR="00425758" w:rsidRDefault="00425758">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rsidR="00425758" w:rsidRDefault="00425758">
      <w:pPr>
        <w:pStyle w:val="Subsection"/>
        <w:rPr>
          <w:snapToGrid w:val="0"/>
        </w:rPr>
      </w:pPr>
      <w:r>
        <w:rPr>
          <w:snapToGrid w:val="0"/>
        </w:rPr>
        <w:tab/>
        <w:t>(3)</w:t>
      </w:r>
      <w:r>
        <w:rPr>
          <w:snapToGrid w:val="0"/>
        </w:rPr>
        <w:tab/>
        <w:t>In all other cases, an application or commission shall be made to a judge in chambers.</w:t>
      </w:r>
    </w:p>
    <w:p w:rsidR="00425758" w:rsidRDefault="00425758">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rsidR="00425758" w:rsidRDefault="00425758">
      <w:pPr>
        <w:pStyle w:val="Footnotesection"/>
      </w:pPr>
      <w:r>
        <w:rPr>
          <w:i w:val="0"/>
        </w:rPr>
        <w:tab/>
      </w:r>
      <w:r>
        <w:t>[Rule 5 inserted: Gazette 24 Jan 1995 p. 271; amended: Gazette 28 Jun 2011 p. 2552</w:t>
      </w:r>
      <w:r>
        <w:noBreakHyphen/>
        <w:t>3.]</w:t>
      </w:r>
    </w:p>
    <w:p w:rsidR="00425758" w:rsidRDefault="00425758">
      <w:pPr>
        <w:pStyle w:val="Heading5"/>
        <w:rPr>
          <w:snapToGrid w:val="0"/>
        </w:rPr>
      </w:pPr>
      <w:bookmarkStart w:id="1023" w:name="_Toc75863629"/>
      <w:r>
        <w:rPr>
          <w:rStyle w:val="CharSectno"/>
        </w:rPr>
        <w:t>6</w:t>
      </w:r>
      <w:r>
        <w:rPr>
          <w:snapToGrid w:val="0"/>
        </w:rPr>
        <w:t>.</w:t>
      </w:r>
      <w:r>
        <w:rPr>
          <w:snapToGrid w:val="0"/>
        </w:rPr>
        <w:tab/>
        <w:t>Sealed documents, evidentiary status of</w:t>
      </w:r>
      <w:bookmarkEnd w:id="1023"/>
    </w:p>
    <w:p w:rsidR="00425758" w:rsidRDefault="00425758">
      <w:pPr>
        <w:pStyle w:val="Subsection"/>
        <w:rPr>
          <w:snapToGrid w:val="0"/>
        </w:rPr>
      </w:pPr>
      <w:r>
        <w:rPr>
          <w:snapToGrid w:val="0"/>
        </w:rPr>
        <w:tab/>
      </w:r>
      <w:r>
        <w:rPr>
          <w:snapToGrid w:val="0"/>
        </w:rPr>
        <w:tab/>
        <w:t xml:space="preserve">All copies, certificates, and other documents appearing to be sealed with a seal of the </w:t>
      </w:r>
      <w:r>
        <w:t>Court</w:t>
      </w:r>
      <w:r>
        <w:rPr>
          <w:snapToGrid w:val="0"/>
        </w:rPr>
        <w:t xml:space="preserve"> shall be presumed to be </w:t>
      </w:r>
      <w:r>
        <w:t>true</w:t>
      </w:r>
      <w:r>
        <w:rPr>
          <w:snapToGrid w:val="0"/>
        </w:rPr>
        <w:t xml:space="preserve"> copies or certificates or other documents issued </w:t>
      </w:r>
      <w:r>
        <w:t xml:space="preserve">by the Court, </w:t>
      </w:r>
      <w:r>
        <w:rPr>
          <w:snapToGrid w:val="0"/>
        </w:rPr>
        <w:t xml:space="preserve">and if duly stamped may be received in evidence, and no signature or other formality, except the sealing with a seal </w:t>
      </w:r>
      <w:r>
        <w:t xml:space="preserve">of the Court, </w:t>
      </w:r>
      <w:r>
        <w:rPr>
          <w:snapToGrid w:val="0"/>
        </w:rPr>
        <w:t>shall be required for the authentication of any such copy, certificate, or other document.</w:t>
      </w:r>
    </w:p>
    <w:p w:rsidR="00425758" w:rsidRDefault="00425758">
      <w:pPr>
        <w:pStyle w:val="Footnotesection"/>
      </w:pPr>
      <w:r>
        <w:rPr>
          <w:i w:val="0"/>
        </w:rPr>
        <w:tab/>
      </w:r>
      <w:r>
        <w:t xml:space="preserve">[Rule 6 amended: Gazette 27 Feb 2018 p. 576.] </w:t>
      </w:r>
    </w:p>
    <w:p w:rsidR="00425758" w:rsidRDefault="00425758">
      <w:pPr>
        <w:pStyle w:val="Heading5"/>
        <w:rPr>
          <w:snapToGrid w:val="0"/>
        </w:rPr>
      </w:pPr>
      <w:bookmarkStart w:id="1024" w:name="_Toc75863630"/>
      <w:r>
        <w:rPr>
          <w:rStyle w:val="CharSectno"/>
        </w:rPr>
        <w:t>7</w:t>
      </w:r>
      <w:r>
        <w:rPr>
          <w:snapToGrid w:val="0"/>
        </w:rPr>
        <w:t>.</w:t>
      </w:r>
      <w:r>
        <w:rPr>
          <w:snapToGrid w:val="0"/>
        </w:rPr>
        <w:tab/>
        <w:t>Petition, award etc. to be filed before judgment etc. passed</w:t>
      </w:r>
      <w:bookmarkEnd w:id="1024"/>
    </w:p>
    <w:p w:rsidR="00425758" w:rsidRDefault="00425758">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rsidR="00425758" w:rsidRDefault="00425758">
      <w:pPr>
        <w:pStyle w:val="Heading5"/>
      </w:pPr>
      <w:bookmarkStart w:id="1025" w:name="_Toc75863631"/>
      <w:r>
        <w:rPr>
          <w:rStyle w:val="CharSectno"/>
        </w:rPr>
        <w:lastRenderedPageBreak/>
        <w:t>8</w:t>
      </w:r>
      <w:r>
        <w:t>.</w:t>
      </w:r>
      <w:r>
        <w:tab/>
        <w:t>Indexes to filed documents</w:t>
      </w:r>
      <w:bookmarkEnd w:id="1025"/>
    </w:p>
    <w:p w:rsidR="00425758" w:rsidRDefault="00425758">
      <w:pPr>
        <w:pStyle w:val="Subsection"/>
      </w:pPr>
      <w:r>
        <w:tab/>
      </w:r>
      <w:r>
        <w:tab/>
        <w:t>Proper indexes or calendars to the files or bundles of all documents that are filed must be kept, in the manner directed by the Chief Justice from time to time, so that they may be conveniently referred to when required.</w:t>
      </w:r>
    </w:p>
    <w:p w:rsidR="00425758" w:rsidRDefault="00425758">
      <w:pPr>
        <w:pStyle w:val="Footnotesection"/>
      </w:pPr>
      <w:r>
        <w:rPr>
          <w:i w:val="0"/>
        </w:rPr>
        <w:tab/>
      </w:r>
      <w:r>
        <w:t xml:space="preserve">[Rule 8 inserted: Gazette 27 Feb 2018 p. 576.] </w:t>
      </w:r>
    </w:p>
    <w:p w:rsidR="00425758" w:rsidRDefault="00425758">
      <w:pPr>
        <w:pStyle w:val="Heading5"/>
        <w:rPr>
          <w:snapToGrid w:val="0"/>
        </w:rPr>
      </w:pPr>
      <w:bookmarkStart w:id="1026" w:name="_Toc75863632"/>
      <w:r>
        <w:rPr>
          <w:rStyle w:val="CharSectno"/>
        </w:rPr>
        <w:t>9</w:t>
      </w:r>
      <w:r>
        <w:rPr>
          <w:snapToGrid w:val="0"/>
        </w:rPr>
        <w:t>.</w:t>
      </w:r>
      <w:r>
        <w:rPr>
          <w:snapToGrid w:val="0"/>
        </w:rPr>
        <w:tab/>
        <w:t>Date of filing to be marked etc.</w:t>
      </w:r>
      <w:bookmarkEnd w:id="1026"/>
    </w:p>
    <w:p w:rsidR="00425758" w:rsidRDefault="00425758">
      <w:pPr>
        <w:pStyle w:val="Subsection"/>
        <w:rPr>
          <w:snapToGrid w:val="0"/>
        </w:rPr>
      </w:pPr>
      <w:r>
        <w:rPr>
          <w:snapToGrid w:val="0"/>
        </w:rPr>
        <w:tab/>
        <w:t>(1)</w:t>
      </w:r>
      <w:r>
        <w:rPr>
          <w:snapToGrid w:val="0"/>
        </w:rPr>
        <w:tab/>
        <w:t>All documents filed in any proceedings must be sealed with a seal showing the date on which the document was filed</w:t>
      </w:r>
      <w:r>
        <w:t xml:space="preserve"> and, if the document was filed electronically, a record of the fact that it was filed electronically</w:t>
      </w:r>
      <w:r>
        <w:rPr>
          <w:snapToGrid w:val="0"/>
        </w:rPr>
        <w:t>.</w:t>
      </w:r>
    </w:p>
    <w:p w:rsidR="00425758" w:rsidRDefault="00425758">
      <w:pPr>
        <w:pStyle w:val="Subsection"/>
      </w:pPr>
      <w:r>
        <w:tab/>
        <w:t>(1A)</w:t>
      </w:r>
      <w:r>
        <w:tab/>
        <w:t>A document filed electronically may be sealed by means of the ECMS.</w:t>
      </w:r>
    </w:p>
    <w:p w:rsidR="00425758" w:rsidRDefault="00425758">
      <w:pPr>
        <w:pStyle w:val="Subsection"/>
        <w:rPr>
          <w:snapToGrid w:val="0"/>
        </w:rPr>
      </w:pPr>
      <w:r>
        <w:rPr>
          <w:snapToGrid w:val="0"/>
        </w:rPr>
        <w:tab/>
        <w:t>(2)</w:t>
      </w:r>
      <w:r>
        <w:rPr>
          <w:snapToGrid w:val="0"/>
        </w:rPr>
        <w:tab/>
        <w:t xml:space="preserve">There shall be entered in records kept in the </w:t>
      </w:r>
      <w:r>
        <w:t>manner directed by the Chief Justice from time to time</w:t>
      </w:r>
      <w:r>
        <w:rPr>
          <w:snapToGrid w:val="0"/>
        </w:rPr>
        <w:t xml:space="preserve"> for the purpose particulars of the date of delivery </w:t>
      </w:r>
      <w:r>
        <w:t>or receipt</w:t>
      </w:r>
      <w:r>
        <w:rPr>
          <w:snapToGrid w:val="0"/>
        </w:rPr>
        <w:t xml:space="preserve"> of every document for filing, the date of the document and the title of the cause or matter of which the document forms part of the record.</w:t>
      </w:r>
    </w:p>
    <w:p w:rsidR="00425758" w:rsidRDefault="00425758">
      <w:pPr>
        <w:pStyle w:val="Footnotesection"/>
      </w:pPr>
      <w:r>
        <w:tab/>
        <w:t xml:space="preserve">[Rule 9 amended: Gazette 26 Mar 1993 p. 1846; 22 Feb 2008 p. 650; 27 Feb 2018 p. 577; 31 Dec 2019 p. 4677-8.] </w:t>
      </w:r>
    </w:p>
    <w:p w:rsidR="00425758" w:rsidRDefault="00425758">
      <w:pPr>
        <w:pStyle w:val="Heading5"/>
      </w:pPr>
      <w:bookmarkStart w:id="1027" w:name="_Toc75863633"/>
      <w:r>
        <w:rPr>
          <w:rStyle w:val="CharSectno"/>
        </w:rPr>
        <w:t>10</w:t>
      </w:r>
      <w:r>
        <w:t>.</w:t>
      </w:r>
      <w:r>
        <w:tab/>
        <w:t>Custody of documents and things</w:t>
      </w:r>
      <w:bookmarkEnd w:id="1027"/>
    </w:p>
    <w:p w:rsidR="00425758" w:rsidRDefault="00425758">
      <w:pPr>
        <w:pStyle w:val="Subsection"/>
      </w:pPr>
      <w:r>
        <w:tab/>
        <w:t>(1)</w:t>
      </w:r>
      <w:r>
        <w:tab/>
        <w:t xml:space="preserve">The Principal Registrar has custody of all — </w:t>
      </w:r>
    </w:p>
    <w:p w:rsidR="00425758" w:rsidRDefault="00425758">
      <w:pPr>
        <w:pStyle w:val="Indenta"/>
      </w:pPr>
      <w:r>
        <w:tab/>
        <w:t>(a)</w:t>
      </w:r>
      <w:r>
        <w:tab/>
        <w:t>filed documents; and</w:t>
      </w:r>
    </w:p>
    <w:p w:rsidR="00425758" w:rsidRDefault="00425758">
      <w:pPr>
        <w:pStyle w:val="Indenta"/>
      </w:pPr>
      <w:r>
        <w:tab/>
        <w:t>(b)</w:t>
      </w:r>
      <w:r>
        <w:tab/>
        <w:t>things and other documents kept, left or deposited in the Central Office, whether or not due to a Court order.</w:t>
      </w:r>
    </w:p>
    <w:p w:rsidR="00425758" w:rsidRDefault="00425758">
      <w:pPr>
        <w:pStyle w:val="Subsection"/>
      </w:pPr>
      <w:r>
        <w:tab/>
        <w:t>(2)</w:t>
      </w:r>
      <w:r>
        <w:tab/>
        <w:t>The Principal Registrar must ensure the things referred to in subrule (1) are kept in safe custody.</w:t>
      </w:r>
    </w:p>
    <w:p w:rsidR="00425758" w:rsidRDefault="00425758">
      <w:pPr>
        <w:pStyle w:val="Footnotesection"/>
      </w:pPr>
      <w:r>
        <w:rPr>
          <w:i w:val="0"/>
        </w:rPr>
        <w:tab/>
      </w:r>
      <w:r>
        <w:t xml:space="preserve">[Rule 10 inserted: Gazette 27 Feb 2018 p. 577.] </w:t>
      </w:r>
    </w:p>
    <w:p w:rsidR="00425758" w:rsidRDefault="00425758">
      <w:pPr>
        <w:pStyle w:val="Ednotesection"/>
      </w:pPr>
      <w:r>
        <w:t>[</w:t>
      </w:r>
      <w:r>
        <w:rPr>
          <w:b/>
        </w:rPr>
        <w:t>11.</w:t>
      </w:r>
      <w:r>
        <w:tab/>
        <w:t>Deleted: Gazette 27 Feb 2018 p. 577.]</w:t>
      </w:r>
    </w:p>
    <w:p w:rsidR="00425758" w:rsidRDefault="00425758">
      <w:pPr>
        <w:pStyle w:val="Heading5"/>
        <w:rPr>
          <w:snapToGrid w:val="0"/>
        </w:rPr>
      </w:pPr>
      <w:bookmarkStart w:id="1028" w:name="_Toc75863634"/>
      <w:r>
        <w:rPr>
          <w:rStyle w:val="CharSectno"/>
        </w:rPr>
        <w:lastRenderedPageBreak/>
        <w:t>12</w:t>
      </w:r>
      <w:r>
        <w:rPr>
          <w:snapToGrid w:val="0"/>
        </w:rPr>
        <w:t>.</w:t>
      </w:r>
      <w:r>
        <w:rPr>
          <w:snapToGrid w:val="0"/>
        </w:rPr>
        <w:tab/>
        <w:t>Deposit of documents</w:t>
      </w:r>
      <w:bookmarkEnd w:id="1028"/>
    </w:p>
    <w:p w:rsidR="00425758" w:rsidRDefault="00425758">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rsidR="00425758" w:rsidRDefault="00425758">
      <w:pPr>
        <w:pStyle w:val="Heading5"/>
        <w:rPr>
          <w:snapToGrid w:val="0"/>
        </w:rPr>
      </w:pPr>
      <w:bookmarkStart w:id="1029" w:name="_Toc75863635"/>
      <w:r>
        <w:rPr>
          <w:rStyle w:val="CharSectno"/>
        </w:rPr>
        <w:t>13</w:t>
      </w:r>
      <w:r>
        <w:rPr>
          <w:snapToGrid w:val="0"/>
        </w:rPr>
        <w:t>.</w:t>
      </w:r>
      <w:r>
        <w:rPr>
          <w:snapToGrid w:val="0"/>
        </w:rPr>
        <w:tab/>
        <w:t>Restriction on removal of documents</w:t>
      </w:r>
      <w:bookmarkEnd w:id="1029"/>
    </w:p>
    <w:p w:rsidR="00425758" w:rsidRDefault="00425758">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rsidR="00425758" w:rsidRDefault="00425758">
      <w:pPr>
        <w:pStyle w:val="Subsection"/>
        <w:rPr>
          <w:snapToGrid w:val="0"/>
        </w:rPr>
      </w:pPr>
      <w:r>
        <w:rPr>
          <w:snapToGrid w:val="0"/>
        </w:rPr>
        <w:tab/>
        <w:t>(2)</w:t>
      </w:r>
      <w:r>
        <w:rPr>
          <w:snapToGrid w:val="0"/>
        </w:rPr>
        <w:tab/>
        <w:t>No subpoena for the production of any such document shall be issued.</w:t>
      </w:r>
    </w:p>
    <w:p w:rsidR="00425758" w:rsidRDefault="00425758">
      <w:pPr>
        <w:pStyle w:val="Footnotesection"/>
      </w:pPr>
      <w:r>
        <w:tab/>
        <w:t xml:space="preserve">[Rule 13 amended: Gazette 14 Dec 1979 p. 3871.] </w:t>
      </w:r>
    </w:p>
    <w:p w:rsidR="00425758" w:rsidRDefault="00425758">
      <w:pPr>
        <w:pStyle w:val="Heading5"/>
        <w:spacing w:before="240"/>
        <w:rPr>
          <w:snapToGrid w:val="0"/>
        </w:rPr>
      </w:pPr>
      <w:bookmarkStart w:id="1030" w:name="_Toc75863636"/>
      <w:r>
        <w:rPr>
          <w:rStyle w:val="CharSectno"/>
        </w:rPr>
        <w:t>14</w:t>
      </w:r>
      <w:r>
        <w:rPr>
          <w:snapToGrid w:val="0"/>
        </w:rPr>
        <w:t>.</w:t>
      </w:r>
      <w:r>
        <w:rPr>
          <w:snapToGrid w:val="0"/>
        </w:rPr>
        <w:tab/>
        <w:t>Deposit for officer’s expenses</w:t>
      </w:r>
      <w:bookmarkEnd w:id="1030"/>
    </w:p>
    <w:p w:rsidR="00425758" w:rsidRDefault="00425758">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rsidR="00425758" w:rsidRDefault="00425758">
      <w:pPr>
        <w:pStyle w:val="Heading5"/>
        <w:spacing w:before="240"/>
        <w:rPr>
          <w:snapToGrid w:val="0"/>
        </w:rPr>
      </w:pPr>
      <w:bookmarkStart w:id="1031" w:name="_Toc75863637"/>
      <w:r>
        <w:rPr>
          <w:rStyle w:val="CharSectno"/>
        </w:rPr>
        <w:t>15</w:t>
      </w:r>
      <w:r>
        <w:rPr>
          <w:snapToGrid w:val="0"/>
        </w:rPr>
        <w:t>.</w:t>
      </w:r>
      <w:r>
        <w:rPr>
          <w:snapToGrid w:val="0"/>
        </w:rPr>
        <w:tab/>
        <w:t>Admissions, awards etc. to be filed</w:t>
      </w:r>
      <w:bookmarkEnd w:id="1031"/>
    </w:p>
    <w:p w:rsidR="00425758" w:rsidRDefault="00425758">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copies thereof, or of any part thereof that may be required, shall be ready to be delivered to the party requiring the same within 48 hours after the same shall have been bespoken.</w:t>
      </w:r>
    </w:p>
    <w:p w:rsidR="00425758" w:rsidRDefault="00425758">
      <w:pPr>
        <w:pStyle w:val="Footnotesection"/>
      </w:pPr>
      <w:r>
        <w:rPr>
          <w:i w:val="0"/>
        </w:rPr>
        <w:tab/>
      </w:r>
      <w:r>
        <w:t xml:space="preserve">[Rule 15 amended: Gazette 27 Feb 2018 p. 577.] </w:t>
      </w:r>
    </w:p>
    <w:p w:rsidR="00425758" w:rsidRDefault="00425758">
      <w:pPr>
        <w:pStyle w:val="Heading5"/>
        <w:spacing w:before="240"/>
        <w:rPr>
          <w:snapToGrid w:val="0"/>
        </w:rPr>
      </w:pPr>
      <w:bookmarkStart w:id="1032" w:name="_Toc75863638"/>
      <w:r>
        <w:rPr>
          <w:rStyle w:val="CharSectno"/>
        </w:rPr>
        <w:lastRenderedPageBreak/>
        <w:t>16</w:t>
      </w:r>
      <w:r>
        <w:rPr>
          <w:snapToGrid w:val="0"/>
        </w:rPr>
        <w:t>.</w:t>
      </w:r>
      <w:r>
        <w:rPr>
          <w:snapToGrid w:val="0"/>
        </w:rPr>
        <w:tab/>
        <w:t>New forms</w:t>
      </w:r>
      <w:bookmarkEnd w:id="1032"/>
    </w:p>
    <w:p w:rsidR="00425758" w:rsidRDefault="00425758">
      <w:pPr>
        <w:pStyle w:val="Subsection"/>
        <w:rPr>
          <w:snapToGrid w:val="0"/>
        </w:rPr>
      </w:pPr>
      <w:r>
        <w:rPr>
          <w:snapToGrid w:val="0"/>
        </w:rPr>
        <w:tab/>
      </w:r>
      <w:r>
        <w:rPr>
          <w:snapToGrid w:val="0"/>
        </w:rPr>
        <w:tab/>
        <w:t xml:space="preserve">The </w:t>
      </w:r>
      <w:r>
        <w:t>Chief Justice or the Principal Registrar</w:t>
      </w:r>
      <w:r>
        <w:rPr>
          <w:snapToGrid w:val="0"/>
        </w:rPr>
        <w:t xml:space="preserve"> may from time to time prescribe the use in or for the purpose of the Central Office of such additional forms to those contained in </w:t>
      </w:r>
      <w:r>
        <w:t>Schedule 2</w:t>
      </w:r>
      <w:r>
        <w:rPr>
          <w:snapToGrid w:val="0"/>
        </w:rPr>
        <w:t>, or of such modified forms, as may be deemed expedient.</w:t>
      </w:r>
    </w:p>
    <w:p w:rsidR="00425758" w:rsidRDefault="00425758">
      <w:pPr>
        <w:pStyle w:val="Footnotesection"/>
      </w:pPr>
      <w:r>
        <w:tab/>
        <w:t xml:space="preserve">[Rule 16 amended: Gazette 30 Nov 1984 p. 3952; 28 Jun 2011 p. 2555; SL 2020/242 r. 7(2).] </w:t>
      </w:r>
    </w:p>
    <w:p w:rsidR="00425758" w:rsidRDefault="00425758">
      <w:pPr>
        <w:pStyle w:val="Heading5"/>
        <w:spacing w:before="240"/>
        <w:rPr>
          <w:snapToGrid w:val="0"/>
        </w:rPr>
      </w:pPr>
      <w:bookmarkStart w:id="1033" w:name="_Toc75863639"/>
      <w:r>
        <w:rPr>
          <w:rStyle w:val="CharSectno"/>
        </w:rPr>
        <w:t>17</w:t>
      </w:r>
      <w:r>
        <w:rPr>
          <w:snapToGrid w:val="0"/>
        </w:rPr>
        <w:t>.</w:t>
      </w:r>
      <w:r>
        <w:rPr>
          <w:snapToGrid w:val="0"/>
        </w:rPr>
        <w:tab/>
        <w:t>Accounts etc. to be taken by registrar, rules applying to</w:t>
      </w:r>
      <w:bookmarkEnd w:id="1033"/>
    </w:p>
    <w:p w:rsidR="00425758" w:rsidRDefault="00425758">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rsidR="00425758" w:rsidRDefault="00425758">
      <w:pPr>
        <w:pStyle w:val="Footnotesection"/>
      </w:pPr>
      <w:r>
        <w:tab/>
        <w:t xml:space="preserve">[Rule 17 inserted: Gazette 14 Dec 1979 p. 3872; amended: Gazette 1 Aug 1980 p. 2559.] </w:t>
      </w:r>
    </w:p>
    <w:p w:rsidR="00425758" w:rsidRDefault="00425758">
      <w:pPr>
        <w:pStyle w:val="Heading5"/>
        <w:rPr>
          <w:snapToGrid w:val="0"/>
        </w:rPr>
      </w:pPr>
      <w:bookmarkStart w:id="1034" w:name="_Toc75863640"/>
      <w:r>
        <w:rPr>
          <w:rStyle w:val="CharSectno"/>
        </w:rPr>
        <w:t>18</w:t>
      </w:r>
      <w:r>
        <w:rPr>
          <w:snapToGrid w:val="0"/>
        </w:rPr>
        <w:t>.</w:t>
      </w:r>
      <w:r>
        <w:rPr>
          <w:snapToGrid w:val="0"/>
        </w:rPr>
        <w:tab/>
        <w:t>Reference in judgment etc. to registrar, effect of</w:t>
      </w:r>
      <w:bookmarkEnd w:id="1034"/>
    </w:p>
    <w:p w:rsidR="00425758" w:rsidRDefault="00425758">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rsidR="00425758" w:rsidRDefault="00425758">
      <w:pPr>
        <w:pStyle w:val="Footnotesection"/>
      </w:pPr>
      <w:r>
        <w:tab/>
        <w:t xml:space="preserve">[Rule 18 inserted: Gazette 14 Dec 1979 p. 3872.] </w:t>
      </w:r>
    </w:p>
    <w:p w:rsidR="00425758" w:rsidRDefault="00425758">
      <w:pPr>
        <w:pStyle w:val="Ednotesection"/>
      </w:pPr>
      <w:r>
        <w:t>[</w:t>
      </w:r>
      <w:r>
        <w:rPr>
          <w:b/>
        </w:rPr>
        <w:t>18A, 18B.</w:t>
      </w:r>
      <w:r>
        <w:tab/>
        <w:t>Deleted: Gazette 27 Feb 2018 p. 578]</w:t>
      </w:r>
    </w:p>
    <w:p w:rsidR="00425758" w:rsidRDefault="00425758">
      <w:pPr>
        <w:pStyle w:val="Heading5"/>
      </w:pPr>
      <w:bookmarkStart w:id="1035" w:name="_Toc75863641"/>
      <w:r>
        <w:rPr>
          <w:rStyle w:val="CharSectno"/>
        </w:rPr>
        <w:t>19</w:t>
      </w:r>
      <w:r>
        <w:t>.</w:t>
      </w:r>
      <w:r>
        <w:tab/>
        <w:t>Principal Registrar may declare ECMS unavailable</w:t>
      </w:r>
      <w:bookmarkEnd w:id="1035"/>
    </w:p>
    <w:p w:rsidR="00425758" w:rsidRDefault="00425758">
      <w:pPr>
        <w:pStyle w:val="Subsection"/>
      </w:pPr>
      <w:r>
        <w:tab/>
        <w:t>(1)</w:t>
      </w:r>
      <w:r>
        <w:tab/>
        <w:t>The Principal Registrar may, in any manner the Principal Registrar thinks fit, declare that the ECMS is unavailable for use for a period set by the Principal Registrar.</w:t>
      </w:r>
    </w:p>
    <w:p w:rsidR="00425758" w:rsidRDefault="00425758">
      <w:pPr>
        <w:pStyle w:val="Subsection"/>
      </w:pPr>
      <w:r>
        <w:tab/>
        <w:t>(2)</w:t>
      </w:r>
      <w:r>
        <w:tab/>
        <w:t>The Principal Registrar, in writing, may delegate the Principal Registrar’s function under this rule to 1 or more other officers of the Court.</w:t>
      </w:r>
    </w:p>
    <w:p w:rsidR="00425758" w:rsidRDefault="00425758">
      <w:pPr>
        <w:pStyle w:val="Subsection"/>
      </w:pPr>
      <w:r>
        <w:lastRenderedPageBreak/>
        <w:tab/>
        <w:t>(3)</w:t>
      </w:r>
      <w:r>
        <w:tab/>
        <w:t>For the purposes of these rules, a declaration made by a delegate of the Principal Registrar under this rule is taken to be a declaration made by the Principal Registrar.</w:t>
      </w:r>
    </w:p>
    <w:p w:rsidR="00425758" w:rsidRDefault="00425758">
      <w:pPr>
        <w:pStyle w:val="Footnotesection"/>
      </w:pPr>
      <w:r>
        <w:rPr>
          <w:i w:val="0"/>
        </w:rPr>
        <w:tab/>
      </w:r>
      <w:r>
        <w:t xml:space="preserve">[Rule 19 inserted: Gazette 27 Feb 2018 p. 578; amended: Gazette 31 Dec 2019 p. 4677-8.] </w:t>
      </w:r>
    </w:p>
    <w:p w:rsidR="00425758" w:rsidRDefault="00425758">
      <w:pPr>
        <w:pStyle w:val="Ednotesection"/>
      </w:pPr>
      <w:r>
        <w:t>[</w:t>
      </w:r>
      <w:r>
        <w:rPr>
          <w:b/>
        </w:rPr>
        <w:t>20, 21.</w:t>
      </w:r>
      <w:r>
        <w:tab/>
        <w:t>Deleted: Gazette 27 Feb 2018 p. 578.]</w:t>
      </w:r>
    </w:p>
    <w:p w:rsidR="00425758" w:rsidRDefault="00425758">
      <w:pPr>
        <w:pStyle w:val="Heading2"/>
      </w:pPr>
      <w:bookmarkStart w:id="1036" w:name="_Toc75512546"/>
      <w:bookmarkStart w:id="1037" w:name="_Toc75863642"/>
      <w:r>
        <w:rPr>
          <w:rStyle w:val="CharPartNo"/>
        </w:rPr>
        <w:lastRenderedPageBreak/>
        <w:t>Order 67A</w:t>
      </w:r>
      <w:r>
        <w:rPr>
          <w:b w:val="0"/>
        </w:rPr>
        <w:t> </w:t>
      </w:r>
      <w:r>
        <w:t>—</w:t>
      </w:r>
      <w:r>
        <w:rPr>
          <w:b w:val="0"/>
        </w:rPr>
        <w:t> </w:t>
      </w:r>
      <w:r>
        <w:rPr>
          <w:rStyle w:val="CharPartText"/>
        </w:rPr>
        <w:t>Filing documents</w:t>
      </w:r>
      <w:bookmarkEnd w:id="1036"/>
      <w:bookmarkEnd w:id="1037"/>
    </w:p>
    <w:p w:rsidR="00425758" w:rsidRDefault="00425758">
      <w:pPr>
        <w:pStyle w:val="Footnoteheading"/>
      </w:pPr>
      <w:r>
        <w:tab/>
        <w:t xml:space="preserve">[Heading inserted: Gazette 27 Feb 2018 p. 578.] </w:t>
      </w:r>
    </w:p>
    <w:p w:rsidR="00425758" w:rsidRDefault="00425758">
      <w:pPr>
        <w:pStyle w:val="Heading3"/>
      </w:pPr>
      <w:bookmarkStart w:id="1038" w:name="_Toc75512547"/>
      <w:bookmarkStart w:id="1039" w:name="_Toc75863643"/>
      <w:r>
        <w:rPr>
          <w:rStyle w:val="CharDivNo"/>
        </w:rPr>
        <w:t>Division 1</w:t>
      </w:r>
      <w:r>
        <w:t> — </w:t>
      </w:r>
      <w:r>
        <w:rPr>
          <w:rStyle w:val="CharDivText"/>
        </w:rPr>
        <w:t>Preliminary matters</w:t>
      </w:r>
      <w:bookmarkEnd w:id="1038"/>
      <w:bookmarkEnd w:id="1039"/>
    </w:p>
    <w:p w:rsidR="00425758" w:rsidRDefault="00425758">
      <w:pPr>
        <w:pStyle w:val="Footnoteheading"/>
      </w:pPr>
      <w:r>
        <w:tab/>
        <w:t xml:space="preserve">[Heading inserted: Gazette 27 Feb 2018 p. 578.] </w:t>
      </w:r>
    </w:p>
    <w:p w:rsidR="00425758" w:rsidRDefault="00425758">
      <w:pPr>
        <w:pStyle w:val="Heading5"/>
      </w:pPr>
      <w:bookmarkStart w:id="1040" w:name="_Toc75863644"/>
      <w:r>
        <w:rPr>
          <w:rStyle w:val="CharSectno"/>
        </w:rPr>
        <w:t>1</w:t>
      </w:r>
      <w:r>
        <w:t>.</w:t>
      </w:r>
      <w:r>
        <w:tab/>
        <w:t>Terms used</w:t>
      </w:r>
      <w:bookmarkEnd w:id="1040"/>
    </w:p>
    <w:p w:rsidR="00425758" w:rsidRDefault="00425758">
      <w:pPr>
        <w:pStyle w:val="Subsection"/>
      </w:pPr>
      <w:r>
        <w:tab/>
      </w:r>
      <w:r>
        <w:tab/>
        <w:t>In this Order —</w:t>
      </w:r>
    </w:p>
    <w:p w:rsidR="00425758" w:rsidRDefault="00425758">
      <w:pPr>
        <w:pStyle w:val="Defstart"/>
      </w:pPr>
      <w:r>
        <w:tab/>
      </w:r>
      <w:r>
        <w:rPr>
          <w:rStyle w:val="CharDefText"/>
        </w:rPr>
        <w:t>complying document</w:t>
      </w:r>
      <w:r>
        <w:t xml:space="preserve"> means a document the form and content of which comply with these rules and any Court order or direction;</w:t>
      </w:r>
    </w:p>
    <w:p w:rsidR="00425758" w:rsidRDefault="00425758">
      <w:pPr>
        <w:pStyle w:val="Defstart"/>
      </w:pPr>
      <w:r>
        <w:tab/>
      </w:r>
      <w:r>
        <w:rPr>
          <w:rStyle w:val="CharDefText"/>
        </w:rPr>
        <w:t>deliver</w:t>
      </w:r>
      <w:r>
        <w:t xml:space="preserve"> means deliver by hand;</w:t>
      </w:r>
    </w:p>
    <w:p w:rsidR="00425758" w:rsidRDefault="00425758">
      <w:pPr>
        <w:pStyle w:val="Defstart"/>
      </w:pPr>
      <w:r>
        <w:tab/>
      </w:r>
      <w:r>
        <w:rPr>
          <w:rStyle w:val="CharDefText"/>
        </w:rPr>
        <w:t>Practice Directions</w:t>
      </w:r>
      <w:r>
        <w:t xml:space="preserve"> means practice directions issued by the Court from time to time.</w:t>
      </w:r>
    </w:p>
    <w:p w:rsidR="00425758" w:rsidRDefault="00425758">
      <w:pPr>
        <w:pStyle w:val="Footnotesection"/>
      </w:pPr>
      <w:r>
        <w:tab/>
        <w:t xml:space="preserve">[Rule 1 inserted: Gazette 27 Feb 2018 p. 578.] </w:t>
      </w:r>
    </w:p>
    <w:p w:rsidR="00425758" w:rsidRDefault="00425758">
      <w:pPr>
        <w:pStyle w:val="Heading3"/>
      </w:pPr>
      <w:bookmarkStart w:id="1041" w:name="_Toc75512549"/>
      <w:bookmarkStart w:id="1042" w:name="_Toc75863645"/>
      <w:r>
        <w:rPr>
          <w:rStyle w:val="CharDivNo"/>
        </w:rPr>
        <w:t>Division 2</w:t>
      </w:r>
      <w:r>
        <w:t> — </w:t>
      </w:r>
      <w:r>
        <w:rPr>
          <w:rStyle w:val="CharDivText"/>
        </w:rPr>
        <w:t>Filing documents</w:t>
      </w:r>
      <w:bookmarkEnd w:id="1041"/>
      <w:bookmarkEnd w:id="1042"/>
    </w:p>
    <w:p w:rsidR="00425758" w:rsidRDefault="00425758">
      <w:pPr>
        <w:pStyle w:val="Footnoteheading"/>
      </w:pPr>
      <w:r>
        <w:tab/>
        <w:t xml:space="preserve">[Heading inserted: Gazette 27 Feb 2018 p. 579.] </w:t>
      </w:r>
    </w:p>
    <w:p w:rsidR="00425758" w:rsidRDefault="00425758">
      <w:pPr>
        <w:pStyle w:val="Heading5"/>
      </w:pPr>
      <w:bookmarkStart w:id="1043" w:name="_Toc75863646"/>
      <w:r>
        <w:rPr>
          <w:rStyle w:val="CharSectno"/>
        </w:rPr>
        <w:t>2</w:t>
      </w:r>
      <w:r>
        <w:t>.</w:t>
      </w:r>
      <w:r>
        <w:tab/>
        <w:t>General rules about filing documents</w:t>
      </w:r>
      <w:bookmarkEnd w:id="1043"/>
    </w:p>
    <w:p w:rsidR="00425758" w:rsidRDefault="00425758">
      <w:pPr>
        <w:pStyle w:val="Subsection"/>
      </w:pPr>
      <w:r>
        <w:tab/>
        <w:t>(1)</w:t>
      </w:r>
      <w:r>
        <w:tab/>
        <w:t>A person who is required by these rules or the Court to file a document, or who wants to do so, must, in accordance with this Order, present a complying document to the Court for filing.</w:t>
      </w:r>
    </w:p>
    <w:p w:rsidR="00425758" w:rsidRDefault="00425758">
      <w:pPr>
        <w:pStyle w:val="Subsection"/>
      </w:pPr>
      <w:r>
        <w:tab/>
        <w:t>(2)</w:t>
      </w:r>
      <w:r>
        <w:tab/>
        <w:t>The complying document must be presented together with any fee required to be paid when filing it or with the information the Court needs to enable the Court to be paid the fee.</w:t>
      </w:r>
    </w:p>
    <w:p w:rsidR="00425758" w:rsidRDefault="00425758">
      <w:pPr>
        <w:pStyle w:val="Subsection"/>
      </w:pPr>
      <w:r>
        <w:tab/>
        <w:t>(3)</w:t>
      </w:r>
      <w:r>
        <w:tab/>
        <w:t>A person must not present more than 1 copy of a document to the Court for filing unless these rules or the Court requires more than 1 copy to be filed.</w:t>
      </w:r>
    </w:p>
    <w:p w:rsidR="00425758" w:rsidRDefault="00425758">
      <w:pPr>
        <w:pStyle w:val="Subsection"/>
      </w:pPr>
      <w:r>
        <w:tab/>
        <w:t>(4)</w:t>
      </w:r>
      <w:r>
        <w:tab/>
        <w:t xml:space="preserve">If a party is required by these rules or the Court to file a document, the party cannot, without the Court’s leave, refer to </w:t>
      </w:r>
      <w:r>
        <w:lastRenderedPageBreak/>
        <w:t>or rely on the document in any hearing or in any other filed document unless it has been filed.</w:t>
      </w:r>
    </w:p>
    <w:p w:rsidR="00425758" w:rsidRDefault="00425758">
      <w:pPr>
        <w:pStyle w:val="Subsection"/>
      </w:pPr>
      <w:r>
        <w:tab/>
        <w:t>(5)</w:t>
      </w:r>
      <w:r>
        <w:tab/>
        <w:t>If under subrule (4) a party is given leave, the party must file the document as soon as practicable after the leave is given.</w:t>
      </w:r>
    </w:p>
    <w:p w:rsidR="00425758" w:rsidRDefault="00425758">
      <w:pPr>
        <w:pStyle w:val="Subsection"/>
      </w:pPr>
      <w:r>
        <w:tab/>
        <w:t>(6)</w:t>
      </w:r>
      <w:r>
        <w:tab/>
        <w:t>The Principal Registrar may refuse to file a document that is presented for filing if it is not a complying document or has been presented in contravention of this Order or a direction given under rule 3(4).</w:t>
      </w:r>
    </w:p>
    <w:p w:rsidR="00425758" w:rsidRDefault="00425758">
      <w:pPr>
        <w:pStyle w:val="Footnotesection"/>
      </w:pPr>
      <w:r>
        <w:tab/>
        <w:t xml:space="preserve">[Rule 2 inserted: Gazette 27 Feb 2018 p. 579.] </w:t>
      </w:r>
    </w:p>
    <w:p w:rsidR="00425758" w:rsidRDefault="00425758">
      <w:pPr>
        <w:pStyle w:val="Heading5"/>
      </w:pPr>
      <w:bookmarkStart w:id="1044" w:name="_Toc75863647"/>
      <w:r>
        <w:rPr>
          <w:rStyle w:val="CharSectno"/>
        </w:rPr>
        <w:t>3</w:t>
      </w:r>
      <w:r>
        <w:t>.</w:t>
      </w:r>
      <w:r>
        <w:tab/>
        <w:t>Documents must be filed using ECMS</w:t>
      </w:r>
      <w:bookmarkEnd w:id="1044"/>
    </w:p>
    <w:p w:rsidR="00425758" w:rsidRDefault="00425758">
      <w:pPr>
        <w:pStyle w:val="Subsection"/>
      </w:pPr>
      <w:r>
        <w:tab/>
        <w:t>(1)</w:t>
      </w:r>
      <w:r>
        <w:tab/>
        <w:t>To present a complying document to the Court for filing, a person must present it electronically using the ECMS and in accordance with rule 4 unless —</w:t>
      </w:r>
    </w:p>
    <w:p w:rsidR="00425758" w:rsidRDefault="00425758">
      <w:pPr>
        <w:pStyle w:val="Indenta"/>
      </w:pPr>
      <w:r>
        <w:tab/>
        <w:t>(a)</w:t>
      </w:r>
      <w:r>
        <w:tab/>
        <w:t>the ECMS has been declared unavailable for use under Order 67 rule 19, is otherwise unavailable for use or does not permit the document to be presented; or</w:t>
      </w:r>
    </w:p>
    <w:p w:rsidR="00425758" w:rsidRDefault="00425758">
      <w:pPr>
        <w:pStyle w:val="Indenta"/>
      </w:pPr>
      <w:r>
        <w:tab/>
        <w:t>(b)</w:t>
      </w:r>
      <w:r>
        <w:tab/>
        <w:t>these rules state that the document cannot be filed electronically; or</w:t>
      </w:r>
    </w:p>
    <w:p w:rsidR="00425758" w:rsidRDefault="00425758">
      <w:pPr>
        <w:pStyle w:val="Indenta"/>
      </w:pPr>
      <w:r>
        <w:tab/>
        <w:t>(c)</w:t>
      </w:r>
      <w:r>
        <w:tab/>
        <w:t>the document is filed for the purposes of proceedings or matters referred to in Order 1 rule 3(2) or (3); or</w:t>
      </w:r>
    </w:p>
    <w:p w:rsidR="00425758" w:rsidRDefault="00425758">
      <w:pPr>
        <w:pStyle w:val="Indenta"/>
      </w:pPr>
      <w:r>
        <w:tab/>
        <w:t>(d)</w:t>
      </w:r>
      <w:r>
        <w:tab/>
        <w:t>the document is filed for the purposes of Order 75A or 81H; or</w:t>
      </w:r>
    </w:p>
    <w:p w:rsidR="00425758" w:rsidRDefault="00425758">
      <w:pPr>
        <w:pStyle w:val="Indenta"/>
      </w:pPr>
      <w:r>
        <w:tab/>
        <w:t>(e)</w:t>
      </w:r>
      <w:r>
        <w:tab/>
        <w:t xml:space="preserve">the document is filed for the purposes of a criminal appeal, as defined in the </w:t>
      </w:r>
      <w:r>
        <w:rPr>
          <w:i/>
        </w:rPr>
        <w:t>Supreme Court (Court of Appeal) Rules 2005</w:t>
      </w:r>
      <w:r>
        <w:t xml:space="preserve"> rule 3(1); or</w:t>
      </w:r>
    </w:p>
    <w:p w:rsidR="00425758" w:rsidRDefault="00425758">
      <w:pPr>
        <w:pStyle w:val="Indenta"/>
      </w:pPr>
      <w:r>
        <w:tab/>
        <w:t>(f)</w:t>
      </w:r>
      <w:r>
        <w:tab/>
        <w:t xml:space="preserve">the document is filed for the purposes of an application under the </w:t>
      </w:r>
      <w:r>
        <w:rPr>
          <w:i/>
        </w:rPr>
        <w:t>Terrorism (Extraordinary Powers) Act 2005</w:t>
      </w:r>
      <w:r>
        <w:t xml:space="preserve"> or the </w:t>
      </w:r>
      <w:r>
        <w:rPr>
          <w:i/>
        </w:rPr>
        <w:t>Terrorism (Preventative Detention) Act 2006</w:t>
      </w:r>
      <w:r>
        <w:t>; or</w:t>
      </w:r>
    </w:p>
    <w:p w:rsidR="00425758" w:rsidRDefault="00425758">
      <w:pPr>
        <w:pStyle w:val="Indenta"/>
      </w:pPr>
      <w:r>
        <w:tab/>
        <w:t>(g)</w:t>
      </w:r>
      <w:r>
        <w:tab/>
        <w:t>the document is filed for the purposes of an urgent application made outside office hours; or</w:t>
      </w:r>
    </w:p>
    <w:p w:rsidR="00425758" w:rsidRDefault="00425758">
      <w:pPr>
        <w:pStyle w:val="Indenta"/>
      </w:pPr>
      <w:r>
        <w:lastRenderedPageBreak/>
        <w:tab/>
        <w:t>(h)</w:t>
      </w:r>
      <w:r>
        <w:tab/>
        <w:t>the document is filed by a person given permission under subrule (3) to file it otherwise than in accordance with this rule; or</w:t>
      </w:r>
    </w:p>
    <w:p w:rsidR="00425758" w:rsidRDefault="00425758">
      <w:pPr>
        <w:pStyle w:val="Indenta"/>
      </w:pPr>
      <w:r>
        <w:tab/>
        <w:t>(i)</w:t>
      </w:r>
      <w:r>
        <w:tab/>
        <w:t>the document is in a class of documents declared in the Practice Directions to be exempt from the requirement to be filed using the ECMS; or</w:t>
      </w:r>
    </w:p>
    <w:p w:rsidR="00425758" w:rsidRDefault="00425758">
      <w:pPr>
        <w:pStyle w:val="Indenta"/>
      </w:pPr>
      <w:r>
        <w:tab/>
        <w:t>(j)</w:t>
      </w:r>
      <w:r>
        <w:tab/>
        <w:t>the document is filed by a person in a class of persons declared in the Practice Directions to be exempt from the requirement to file using the ECMS.</w:t>
      </w:r>
    </w:p>
    <w:p w:rsidR="00425758" w:rsidRDefault="00425758">
      <w:pPr>
        <w:pStyle w:val="Subsection"/>
      </w:pPr>
      <w:r>
        <w:tab/>
        <w:t>(2)</w:t>
      </w:r>
      <w:r>
        <w:tab/>
        <w:t>If under subrule (1) a person cannot present a document electronically using the ECMS, the person may present it to the Court —</w:t>
      </w:r>
    </w:p>
    <w:p w:rsidR="00425758" w:rsidRDefault="00425758">
      <w:pPr>
        <w:pStyle w:val="Indenta"/>
      </w:pPr>
      <w:r>
        <w:tab/>
        <w:t>(a)</w:t>
      </w:r>
      <w:r>
        <w:tab/>
        <w:t>subject to rule 4, by emailing it; or</w:t>
      </w:r>
    </w:p>
    <w:p w:rsidR="00425758" w:rsidRDefault="00425758">
      <w:pPr>
        <w:pStyle w:val="Indenta"/>
      </w:pPr>
      <w:r>
        <w:tab/>
        <w:t>(b)</w:t>
      </w:r>
      <w:r>
        <w:tab/>
        <w:t>subject to rule 5, by delivering it; or</w:t>
      </w:r>
    </w:p>
    <w:p w:rsidR="00425758" w:rsidRDefault="00425758">
      <w:pPr>
        <w:pStyle w:val="Indenta"/>
      </w:pPr>
      <w:r>
        <w:tab/>
        <w:t>(c)</w:t>
      </w:r>
      <w:r>
        <w:tab/>
        <w:t>subject to rule 6, by posting it; or</w:t>
      </w:r>
    </w:p>
    <w:p w:rsidR="00425758" w:rsidRDefault="00425758">
      <w:pPr>
        <w:pStyle w:val="Indenta"/>
      </w:pPr>
      <w:r>
        <w:tab/>
        <w:t>(d)</w:t>
      </w:r>
      <w:r>
        <w:tab/>
        <w:t>subject to rule 7, by faxing it.</w:t>
      </w:r>
    </w:p>
    <w:p w:rsidR="00425758" w:rsidRDefault="00425758">
      <w:pPr>
        <w:pStyle w:val="Subsection"/>
      </w:pPr>
      <w:r>
        <w:tab/>
        <w:t>(3)</w:t>
      </w:r>
      <w:r>
        <w:tab/>
        <w:t>The Principal Registrar, for any good reason and without a formal application or request, may permit a person to present a document otherwise than in accordance with subrule (1).</w:t>
      </w:r>
    </w:p>
    <w:p w:rsidR="00425758" w:rsidRDefault="00425758">
      <w:pPr>
        <w:pStyle w:val="Subsection"/>
      </w:pPr>
      <w:r>
        <w:tab/>
        <w:t>(4)</w:t>
      </w:r>
      <w:r>
        <w:tab/>
        <w:t>When giving permission under subrule (3), the Principal Registrar may give directions as to the manner in which the document is to be presented, including as to whether the document is to be presented to the Court —</w:t>
      </w:r>
    </w:p>
    <w:p w:rsidR="00425758" w:rsidRDefault="00425758">
      <w:pPr>
        <w:pStyle w:val="Indenta"/>
      </w:pPr>
      <w:r>
        <w:tab/>
        <w:t>(a)</w:t>
      </w:r>
      <w:r>
        <w:tab/>
        <w:t>by emailing it; or</w:t>
      </w:r>
    </w:p>
    <w:p w:rsidR="00425758" w:rsidRDefault="00425758">
      <w:pPr>
        <w:pStyle w:val="Indenta"/>
      </w:pPr>
      <w:r>
        <w:tab/>
        <w:t>(b)</w:t>
      </w:r>
      <w:r>
        <w:tab/>
        <w:t>by delivering it; or</w:t>
      </w:r>
    </w:p>
    <w:p w:rsidR="00425758" w:rsidRDefault="00425758">
      <w:pPr>
        <w:pStyle w:val="Indenta"/>
      </w:pPr>
      <w:r>
        <w:tab/>
        <w:t>(c)</w:t>
      </w:r>
      <w:r>
        <w:tab/>
        <w:t>by posting it; or</w:t>
      </w:r>
    </w:p>
    <w:p w:rsidR="00425758" w:rsidRDefault="00425758">
      <w:pPr>
        <w:pStyle w:val="Indenta"/>
      </w:pPr>
      <w:r>
        <w:tab/>
        <w:t>(d)</w:t>
      </w:r>
      <w:r>
        <w:tab/>
        <w:t>by faxing it.</w:t>
      </w:r>
    </w:p>
    <w:p w:rsidR="00425758" w:rsidRDefault="00425758">
      <w:pPr>
        <w:pStyle w:val="Footnotesection"/>
      </w:pPr>
      <w:r>
        <w:tab/>
        <w:t xml:space="preserve">[Rule 3 inserted: Gazette 27 Feb 2018 p. 579-81; amended: Gazette 31 Dec 2019 p. 4677-8; SL 2021/34 r. 15.] </w:t>
      </w:r>
    </w:p>
    <w:p w:rsidR="00425758" w:rsidRDefault="00425758">
      <w:pPr>
        <w:pStyle w:val="Heading5"/>
      </w:pPr>
      <w:bookmarkStart w:id="1045" w:name="_Toc75863648"/>
      <w:r>
        <w:rPr>
          <w:rStyle w:val="CharSectno"/>
        </w:rPr>
        <w:lastRenderedPageBreak/>
        <w:t>4</w:t>
      </w:r>
      <w:r>
        <w:t>.</w:t>
      </w:r>
      <w:r>
        <w:tab/>
        <w:t>Documents presented for filing using ECMS or email</w:t>
      </w:r>
      <w:bookmarkEnd w:id="1045"/>
    </w:p>
    <w:p w:rsidR="00425758" w:rsidRDefault="00425758">
      <w:pPr>
        <w:pStyle w:val="Subsection"/>
      </w:pPr>
      <w:r>
        <w:tab/>
        <w:t>(1)</w:t>
      </w:r>
      <w:r>
        <w:tab/>
        <w:t>This rule applies to documents being presented to the Court for filing using the ECMS or email.</w:t>
      </w:r>
    </w:p>
    <w:p w:rsidR="00425758" w:rsidRDefault="00425758">
      <w:pPr>
        <w:pStyle w:val="Subsection"/>
      </w:pPr>
      <w:r>
        <w:tab/>
        <w:t>(2)</w:t>
      </w:r>
      <w:r>
        <w:tab/>
        <w:t>A person must not email a document to the Court for filing unless —</w:t>
      </w:r>
    </w:p>
    <w:p w:rsidR="00425758" w:rsidRDefault="00425758">
      <w:pPr>
        <w:pStyle w:val="Indenta"/>
      </w:pPr>
      <w:r>
        <w:tab/>
        <w:t>(a)</w:t>
      </w:r>
      <w:r>
        <w:tab/>
        <w:t>these rules say it cannot be filed electronically; or</w:t>
      </w:r>
    </w:p>
    <w:p w:rsidR="00425758" w:rsidRDefault="00425758">
      <w:pPr>
        <w:pStyle w:val="Indenta"/>
      </w:pPr>
      <w:r>
        <w:tab/>
        <w:t>(b)</w:t>
      </w:r>
      <w:r>
        <w:tab/>
        <w:t>the Principal Registrar has permitted the person to email it.</w:t>
      </w:r>
    </w:p>
    <w:p w:rsidR="00425758" w:rsidRDefault="00425758">
      <w:pPr>
        <w:pStyle w:val="Subsection"/>
      </w:pPr>
      <w:r>
        <w:tab/>
        <w:t>(3)</w:t>
      </w:r>
      <w:r>
        <w:tab/>
        <w:t xml:space="preserve">If under subrule (2) a person can email a document to the Court, the person must ensure — </w:t>
      </w:r>
    </w:p>
    <w:p w:rsidR="00425758" w:rsidRDefault="00425758">
      <w:pPr>
        <w:pStyle w:val="Indenta"/>
      </w:pPr>
      <w:r>
        <w:tab/>
        <w:t>(a)</w:t>
      </w:r>
      <w:r>
        <w:tab/>
        <w:t>the document is emailed to the email address of the Court specified by the Practice Directions; and</w:t>
      </w:r>
    </w:p>
    <w:p w:rsidR="00425758" w:rsidRDefault="00425758">
      <w:pPr>
        <w:pStyle w:val="Indenta"/>
      </w:pPr>
      <w:r>
        <w:tab/>
        <w:t>(b)</w:t>
      </w:r>
      <w:r>
        <w:tab/>
        <w:t xml:space="preserve">the email by which the document is sent to the Court includes the following — </w:t>
      </w:r>
    </w:p>
    <w:p w:rsidR="00425758" w:rsidRDefault="00425758">
      <w:pPr>
        <w:pStyle w:val="Indenti"/>
      </w:pPr>
      <w:r>
        <w:tab/>
        <w:t>(i)</w:t>
      </w:r>
      <w:r>
        <w:tab/>
        <w:t>the name of the person sending the document;</w:t>
      </w:r>
    </w:p>
    <w:p w:rsidR="00425758" w:rsidRDefault="00425758">
      <w:pPr>
        <w:pStyle w:val="Indenti"/>
      </w:pPr>
      <w:r>
        <w:tab/>
        <w:t>(ii)</w:t>
      </w:r>
      <w:r>
        <w:tab/>
        <w:t>the title and number of the proceeding to which the document relates;</w:t>
      </w:r>
    </w:p>
    <w:p w:rsidR="00425758" w:rsidRDefault="00425758">
      <w:pPr>
        <w:pStyle w:val="Indenti"/>
      </w:pPr>
      <w:r>
        <w:tab/>
        <w:t>(iii)</w:t>
      </w:r>
      <w:r>
        <w:tab/>
        <w:t>a description of the document;</w:t>
      </w:r>
    </w:p>
    <w:p w:rsidR="00425758" w:rsidRDefault="00425758">
      <w:pPr>
        <w:pStyle w:val="Indenti"/>
      </w:pPr>
      <w:r>
        <w:tab/>
        <w:t>(iv)</w:t>
      </w:r>
      <w:r>
        <w:tab/>
        <w:t>an explanation of the basis on which subrule (2) applies to the document.</w:t>
      </w:r>
    </w:p>
    <w:p w:rsidR="00425758" w:rsidRDefault="00425758">
      <w:pPr>
        <w:pStyle w:val="Subsection"/>
      </w:pPr>
      <w:r>
        <w:tab/>
        <w:t>(4)</w:t>
      </w:r>
      <w:r>
        <w:tab/>
        <w:t>Subrule (5) applies to these documents —</w:t>
      </w:r>
    </w:p>
    <w:p w:rsidR="00425758" w:rsidRDefault="00425758">
      <w:pPr>
        <w:pStyle w:val="Indenta"/>
      </w:pPr>
      <w:r>
        <w:tab/>
        <w:t>(a)</w:t>
      </w:r>
      <w:r>
        <w:tab/>
        <w:t>an affidavit;</w:t>
      </w:r>
    </w:p>
    <w:p w:rsidR="00425758" w:rsidRDefault="00425758">
      <w:pPr>
        <w:pStyle w:val="Indenta"/>
      </w:pPr>
      <w:r>
        <w:tab/>
        <w:t>(b)</w:t>
      </w:r>
      <w:r>
        <w:tab/>
        <w:t>a consent to the Court doing anything;</w:t>
      </w:r>
    </w:p>
    <w:p w:rsidR="00425758" w:rsidRDefault="00425758">
      <w:pPr>
        <w:pStyle w:val="Indenta"/>
      </w:pPr>
      <w:r>
        <w:tab/>
        <w:t>(c)</w:t>
      </w:r>
      <w:r>
        <w:tab/>
        <w:t>a document signed by a person who is not a party to the proceedings.</w:t>
      </w:r>
    </w:p>
    <w:p w:rsidR="00425758" w:rsidRDefault="00425758">
      <w:pPr>
        <w:pStyle w:val="Subsection"/>
      </w:pPr>
      <w:r>
        <w:tab/>
        <w:t>(5)</w:t>
      </w:r>
      <w:r>
        <w:tab/>
        <w:t>A document to which this subrule applies must not be presented for filing using the ECMS or email unless it is signed and is presented in a .pdf electronic format.</w:t>
      </w:r>
    </w:p>
    <w:p w:rsidR="00425758" w:rsidRDefault="00425758">
      <w:pPr>
        <w:pStyle w:val="Subsection"/>
      </w:pPr>
      <w:r>
        <w:tab/>
        <w:t>(6)</w:t>
      </w:r>
      <w:r>
        <w:tab/>
        <w:t>Subrule (7) applies to any document that is not listed in subrule (4) and that, under these rules, must be signed before it is filed.</w:t>
      </w:r>
    </w:p>
    <w:p w:rsidR="00425758" w:rsidRDefault="00425758">
      <w:pPr>
        <w:pStyle w:val="Subsection"/>
      </w:pPr>
      <w:r>
        <w:lastRenderedPageBreak/>
        <w:tab/>
        <w:t>(7)</w:t>
      </w:r>
      <w:r>
        <w:tab/>
        <w:t>If a document to which this subrule applies is to be presented for filing —</w:t>
      </w:r>
    </w:p>
    <w:p w:rsidR="00425758" w:rsidRDefault="00425758">
      <w:pPr>
        <w:pStyle w:val="Indenta"/>
      </w:pPr>
      <w:r>
        <w:tab/>
        <w:t>(a)</w:t>
      </w:r>
      <w:r>
        <w:tab/>
        <w:t>it must be signed before it is presented; and</w:t>
      </w:r>
    </w:p>
    <w:p w:rsidR="00425758" w:rsidRDefault="00425758">
      <w:pPr>
        <w:pStyle w:val="Indenta"/>
      </w:pPr>
      <w:r>
        <w:tab/>
        <w:t>(b)</w:t>
      </w:r>
      <w:r>
        <w:tab/>
        <w:t>a copy of it, in .docx electronic format, that states the name of the person who is required to sign it instead of showing the person’s signature, at any place in it where the signature is required, must be presented instead of the signed copy; and</w:t>
      </w:r>
    </w:p>
    <w:p w:rsidR="00425758" w:rsidRDefault="00425758">
      <w:pPr>
        <w:pStyle w:val="Indenta"/>
      </w:pPr>
      <w:r>
        <w:tab/>
        <w:t>(c)</w:t>
      </w:r>
      <w:r>
        <w:tab/>
        <w:t>the electronic copy must be presented using the ECMS or, subject to subrule (2), email; and</w:t>
      </w:r>
    </w:p>
    <w:p w:rsidR="00425758" w:rsidRDefault="00425758">
      <w:pPr>
        <w:pStyle w:val="Indenta"/>
      </w:pPr>
      <w:r>
        <w:tab/>
        <w:t>(d)</w:t>
      </w:r>
      <w:r>
        <w:tab/>
        <w:t>the person filing it must retain the signed copy and produce it if required to do so by the Court.</w:t>
      </w:r>
    </w:p>
    <w:p w:rsidR="00425758" w:rsidRDefault="00425758">
      <w:pPr>
        <w:pStyle w:val="Subsection"/>
      </w:pPr>
      <w:r>
        <w:tab/>
        <w:t>(8)</w:t>
      </w:r>
      <w:r>
        <w:tab/>
        <w:t>A person who files a document by email must —</w:t>
      </w:r>
    </w:p>
    <w:p w:rsidR="00425758" w:rsidRDefault="00425758">
      <w:pPr>
        <w:pStyle w:val="Indenta"/>
      </w:pPr>
      <w:r>
        <w:tab/>
        <w:t>(a)</w:t>
      </w:r>
      <w:r>
        <w:tab/>
        <w:t>indorse the first page of the original document with —</w:t>
      </w:r>
    </w:p>
    <w:p w:rsidR="00425758" w:rsidRDefault="00425758">
      <w:pPr>
        <w:pStyle w:val="Indenti"/>
      </w:pPr>
      <w:r>
        <w:tab/>
        <w:t>(i)</w:t>
      </w:r>
      <w:r>
        <w:tab/>
        <w:t>a statement that the document is the original of a document sent by email; and</w:t>
      </w:r>
    </w:p>
    <w:p w:rsidR="00425758" w:rsidRDefault="00425758">
      <w:pPr>
        <w:pStyle w:val="Indenti"/>
      </w:pPr>
      <w:r>
        <w:tab/>
        <w:t>(ii)</w:t>
      </w:r>
      <w:r>
        <w:tab/>
        <w:t>the date and time the document was sent by email;</w:t>
      </w:r>
    </w:p>
    <w:p w:rsidR="00425758" w:rsidRDefault="00425758">
      <w:pPr>
        <w:pStyle w:val="Indenta"/>
      </w:pPr>
      <w:r>
        <w:tab/>
      </w:r>
      <w:r>
        <w:tab/>
        <w:t>and</w:t>
      </w:r>
    </w:p>
    <w:p w:rsidR="00425758" w:rsidRDefault="00425758">
      <w:pPr>
        <w:pStyle w:val="Indenta"/>
      </w:pPr>
      <w:r>
        <w:tab/>
        <w:t>(b)</w:t>
      </w:r>
      <w:r>
        <w:tab/>
        <w:t>keep the indorsed original document; and</w:t>
      </w:r>
    </w:p>
    <w:p w:rsidR="00425758" w:rsidRDefault="00425758">
      <w:pPr>
        <w:pStyle w:val="Indenta"/>
      </w:pPr>
      <w:r>
        <w:tab/>
        <w:t>(c)</w:t>
      </w:r>
      <w:r>
        <w:tab/>
        <w:t>if required to do so by the Court, produce the indorsed original document to the Court.</w:t>
      </w:r>
    </w:p>
    <w:p w:rsidR="00425758" w:rsidRDefault="00425758">
      <w:pPr>
        <w:pStyle w:val="Subsection"/>
      </w:pPr>
      <w:r>
        <w:tab/>
        <w:t>(9)</w:t>
      </w:r>
      <w:r>
        <w:tab/>
        <w:t>Subject to subrules (4) to (7), all documents presented to the Court for filing using the ECMS or email must be in an electronic format specified by the Practice Directions.</w:t>
      </w:r>
    </w:p>
    <w:p w:rsidR="00425758" w:rsidRDefault="00425758">
      <w:pPr>
        <w:pStyle w:val="Subsection"/>
      </w:pPr>
      <w:r>
        <w:tab/>
        <w:t>(10)</w:t>
      </w:r>
      <w:r>
        <w:tab/>
        <w:t>A document filed electronically is taken to have been filed on the day and at the time recorded by the ECMS.</w:t>
      </w:r>
    </w:p>
    <w:p w:rsidR="00425758" w:rsidRDefault="00425758">
      <w:pPr>
        <w:pStyle w:val="Subsection"/>
      </w:pPr>
      <w:r>
        <w:tab/>
        <w:t>(11)</w:t>
      </w:r>
      <w:r>
        <w:tab/>
        <w:t>A document filed by email is taken to have been filed on the day and at the time when the Court receives the email.</w:t>
      </w:r>
    </w:p>
    <w:p w:rsidR="00425758" w:rsidRDefault="00425758">
      <w:pPr>
        <w:pStyle w:val="Subsection"/>
      </w:pPr>
      <w:r>
        <w:tab/>
        <w:t>(12)</w:t>
      </w:r>
      <w:r>
        <w:tab/>
        <w:t>Subrule (10) does not apply to a document that is recorded in the ECMS under rule 8(1) as if it had been filed electronically.</w:t>
      </w:r>
    </w:p>
    <w:p w:rsidR="00425758" w:rsidRDefault="00425758">
      <w:pPr>
        <w:pStyle w:val="Subsection"/>
      </w:pPr>
      <w:r>
        <w:lastRenderedPageBreak/>
        <w:tab/>
        <w:t>(13)</w:t>
      </w:r>
      <w:r>
        <w:tab/>
        <w:t xml:space="preserve">If — </w:t>
      </w:r>
    </w:p>
    <w:p w:rsidR="00425758" w:rsidRDefault="00425758">
      <w:pPr>
        <w:pStyle w:val="Indenta"/>
      </w:pPr>
      <w:r>
        <w:tab/>
        <w:t>(a)</w:t>
      </w:r>
      <w:r>
        <w:tab/>
        <w:t>these rules require 2 or more copies of a document to be filed; and</w:t>
      </w:r>
    </w:p>
    <w:p w:rsidR="00425758" w:rsidRDefault="00425758">
      <w:pPr>
        <w:pStyle w:val="Indenta"/>
      </w:pPr>
      <w:r>
        <w:tab/>
        <w:t>(b)</w:t>
      </w:r>
      <w:r>
        <w:tab/>
        <w:t>the document is filed electronically or by email,</w:t>
      </w:r>
    </w:p>
    <w:p w:rsidR="00425758" w:rsidRDefault="00425758">
      <w:pPr>
        <w:pStyle w:val="Subsection"/>
      </w:pPr>
      <w:r>
        <w:tab/>
      </w:r>
      <w:r>
        <w:tab/>
        <w:t>the requirement in paragraph (a) is taken to have been complied with.</w:t>
      </w:r>
    </w:p>
    <w:p w:rsidR="00425758" w:rsidRDefault="00425758">
      <w:pPr>
        <w:pStyle w:val="Subsection"/>
      </w:pPr>
      <w:r>
        <w:tab/>
        <w:t>(14)</w:t>
      </w:r>
      <w:r>
        <w:tab/>
        <w:t>A document that is presented for filing using the ECMS or email but not in accordance with the requirements of the ECMS and this rule is taken not to have been filed.</w:t>
      </w:r>
    </w:p>
    <w:p w:rsidR="00425758" w:rsidRDefault="00425758">
      <w:pPr>
        <w:pStyle w:val="Subsection"/>
      </w:pPr>
      <w:r>
        <w:tab/>
        <w:t>(15)</w:t>
      </w:r>
      <w:r>
        <w:tab/>
        <w:t>The Court may at any time, on the application of a party or on its own initiative, order a person who has presented a document for filing using the ECMS or email —</w:t>
      </w:r>
    </w:p>
    <w:p w:rsidR="00425758" w:rsidRDefault="00425758">
      <w:pPr>
        <w:pStyle w:val="Indenta"/>
      </w:pPr>
      <w:r>
        <w:tab/>
        <w:t>(a)</w:t>
      </w:r>
      <w:r>
        <w:tab/>
        <w:t>to have the original paper copy of it with the person at any conference or hearing in the course of the case concerned;</w:t>
      </w:r>
    </w:p>
    <w:p w:rsidR="00425758" w:rsidRDefault="00425758">
      <w:pPr>
        <w:pStyle w:val="Indenta"/>
      </w:pPr>
      <w:r>
        <w:tab/>
        <w:t>(b)</w:t>
      </w:r>
      <w:r>
        <w:tab/>
        <w:t>to file the original paper copy of it by a means specified in the order.</w:t>
      </w:r>
    </w:p>
    <w:p w:rsidR="00425758" w:rsidRDefault="00425758">
      <w:pPr>
        <w:pStyle w:val="Footnotesection"/>
      </w:pPr>
      <w:r>
        <w:tab/>
        <w:t xml:space="preserve">[Rule 4 inserted: Gazette 27 Feb 2018 p. 581-4; amended: Gazette 31 Dec 2019 p. 4677-8.] </w:t>
      </w:r>
    </w:p>
    <w:p w:rsidR="00425758" w:rsidRDefault="00425758">
      <w:pPr>
        <w:pStyle w:val="Heading5"/>
      </w:pPr>
      <w:bookmarkStart w:id="1046" w:name="_Toc75863649"/>
      <w:r>
        <w:rPr>
          <w:rStyle w:val="CharSectno"/>
        </w:rPr>
        <w:t>5</w:t>
      </w:r>
      <w:r>
        <w:t>.</w:t>
      </w:r>
      <w:r>
        <w:tab/>
        <w:t>Delivering documents for filing</w:t>
      </w:r>
      <w:bookmarkEnd w:id="1046"/>
    </w:p>
    <w:p w:rsidR="00425758" w:rsidRDefault="00425758">
      <w:pPr>
        <w:pStyle w:val="Subsection"/>
      </w:pPr>
      <w:r>
        <w:tab/>
      </w:r>
      <w:r>
        <w:tab/>
        <w:t>A person must not deliver a document to the Court for filing unless —</w:t>
      </w:r>
    </w:p>
    <w:p w:rsidR="00425758" w:rsidRDefault="00425758">
      <w:pPr>
        <w:pStyle w:val="Indenta"/>
      </w:pPr>
      <w:r>
        <w:tab/>
        <w:t>(a)</w:t>
      </w:r>
      <w:r>
        <w:tab/>
        <w:t>these rules say it cannot be filed electronically; or</w:t>
      </w:r>
    </w:p>
    <w:p w:rsidR="00425758" w:rsidRDefault="00425758">
      <w:pPr>
        <w:pStyle w:val="Indenta"/>
      </w:pPr>
      <w:r>
        <w:tab/>
        <w:t>(b)</w:t>
      </w:r>
      <w:r>
        <w:tab/>
        <w:t>the Principal Registrar has permitted the person to deliver it.</w:t>
      </w:r>
    </w:p>
    <w:p w:rsidR="00425758" w:rsidRDefault="00425758">
      <w:pPr>
        <w:pStyle w:val="Footnotesection"/>
      </w:pPr>
      <w:r>
        <w:tab/>
        <w:t xml:space="preserve">[Rule 5 inserted: Gazette 27 Feb 2018 p. 584.] </w:t>
      </w:r>
    </w:p>
    <w:p w:rsidR="00425758" w:rsidRDefault="00425758">
      <w:pPr>
        <w:pStyle w:val="Heading5"/>
      </w:pPr>
      <w:bookmarkStart w:id="1047" w:name="_Toc75863650"/>
      <w:r>
        <w:rPr>
          <w:rStyle w:val="CharSectno"/>
        </w:rPr>
        <w:t>6</w:t>
      </w:r>
      <w:r>
        <w:t>.</w:t>
      </w:r>
      <w:r>
        <w:tab/>
        <w:t>Posting documents for filing</w:t>
      </w:r>
      <w:bookmarkEnd w:id="1047"/>
    </w:p>
    <w:p w:rsidR="00425758" w:rsidRDefault="00425758">
      <w:pPr>
        <w:pStyle w:val="Subsection"/>
      </w:pPr>
      <w:r>
        <w:tab/>
        <w:t>(1)</w:t>
      </w:r>
      <w:r>
        <w:tab/>
        <w:t>A person must not post a document to the Court for filing unless —</w:t>
      </w:r>
    </w:p>
    <w:p w:rsidR="00425758" w:rsidRDefault="00425758">
      <w:pPr>
        <w:pStyle w:val="Indenta"/>
      </w:pPr>
      <w:r>
        <w:tab/>
        <w:t>(a)</w:t>
      </w:r>
      <w:r>
        <w:tab/>
        <w:t>these rules say it cannot be filed electronically; or</w:t>
      </w:r>
    </w:p>
    <w:p w:rsidR="00425758" w:rsidRDefault="00425758">
      <w:pPr>
        <w:pStyle w:val="Indenta"/>
      </w:pPr>
      <w:r>
        <w:lastRenderedPageBreak/>
        <w:tab/>
        <w:t>(b)</w:t>
      </w:r>
      <w:r>
        <w:tab/>
        <w:t>the Principal Registrar has permitted the person to post it.</w:t>
      </w:r>
    </w:p>
    <w:p w:rsidR="00425758" w:rsidRDefault="00425758">
      <w:pPr>
        <w:pStyle w:val="Subsection"/>
      </w:pPr>
      <w:r>
        <w:tab/>
        <w:t>(2)</w:t>
      </w:r>
      <w:r>
        <w:tab/>
        <w:t>If under subrule (1) a person can post a document to the Court, the person must comply with subrules (3) and (4).</w:t>
      </w:r>
    </w:p>
    <w:p w:rsidR="00425758" w:rsidRDefault="00425758">
      <w:pPr>
        <w:pStyle w:val="Subsection"/>
      </w:pPr>
      <w:r>
        <w:tab/>
        <w:t>(3)</w:t>
      </w:r>
      <w:r>
        <w:tab/>
        <w:t>A document sent by post to the Court must have a cover page stating the following —</w:t>
      </w:r>
    </w:p>
    <w:p w:rsidR="00425758" w:rsidRDefault="00425758">
      <w:pPr>
        <w:pStyle w:val="Indenta"/>
      </w:pPr>
      <w:r>
        <w:tab/>
        <w:t>(a)</w:t>
      </w:r>
      <w:r>
        <w:tab/>
        <w:t>the name of the person sending the document;</w:t>
      </w:r>
    </w:p>
    <w:p w:rsidR="00425758" w:rsidRDefault="00425758">
      <w:pPr>
        <w:pStyle w:val="Indenta"/>
      </w:pPr>
      <w:r>
        <w:tab/>
        <w:t>(b)</w:t>
      </w:r>
      <w:r>
        <w:tab/>
        <w:t>the title and number of the proceeding to which the document relates;</w:t>
      </w:r>
    </w:p>
    <w:p w:rsidR="00425758" w:rsidRDefault="00425758">
      <w:pPr>
        <w:pStyle w:val="Indenta"/>
      </w:pPr>
      <w:r>
        <w:tab/>
        <w:t>(c)</w:t>
      </w:r>
      <w:r>
        <w:tab/>
        <w:t>a description of the document;</w:t>
      </w:r>
    </w:p>
    <w:p w:rsidR="00425758" w:rsidRDefault="00425758">
      <w:pPr>
        <w:pStyle w:val="Indenta"/>
      </w:pPr>
      <w:r>
        <w:tab/>
        <w:t>(d)</w:t>
      </w:r>
      <w:r>
        <w:tab/>
        <w:t>an explanation of the basis on which subrule (1) applies to the document.</w:t>
      </w:r>
    </w:p>
    <w:p w:rsidR="00425758" w:rsidRDefault="00425758">
      <w:pPr>
        <w:pStyle w:val="Subsection"/>
      </w:pPr>
      <w:r>
        <w:tab/>
        <w:t>(4)</w:t>
      </w:r>
      <w:r>
        <w:tab/>
        <w:t>The document must be posted —</w:t>
      </w:r>
    </w:p>
    <w:p w:rsidR="00425758" w:rsidRDefault="00425758">
      <w:pPr>
        <w:pStyle w:val="Indenta"/>
      </w:pPr>
      <w:r>
        <w:tab/>
        <w:t>(a)</w:t>
      </w:r>
      <w:r>
        <w:tab/>
        <w:t>in an A4 or larger envelope; and</w:t>
      </w:r>
    </w:p>
    <w:p w:rsidR="00425758" w:rsidRDefault="00425758">
      <w:pPr>
        <w:pStyle w:val="Indenta"/>
      </w:pPr>
      <w:r>
        <w:tab/>
        <w:t>(b)</w:t>
      </w:r>
      <w:r>
        <w:tab/>
        <w:t>to the postal address of the Court specified in the Practice Directions.</w:t>
      </w:r>
    </w:p>
    <w:p w:rsidR="00425758" w:rsidRDefault="00425758">
      <w:pPr>
        <w:pStyle w:val="Footnotesection"/>
      </w:pPr>
      <w:r>
        <w:tab/>
        <w:t xml:space="preserve">[Rule 6 inserted: Gazette 27 Feb 2018 p. 584-5.] </w:t>
      </w:r>
    </w:p>
    <w:p w:rsidR="00425758" w:rsidRDefault="00425758">
      <w:pPr>
        <w:pStyle w:val="Heading5"/>
      </w:pPr>
      <w:bookmarkStart w:id="1048" w:name="_Toc75863651"/>
      <w:r>
        <w:rPr>
          <w:rStyle w:val="CharSectno"/>
        </w:rPr>
        <w:t>7</w:t>
      </w:r>
      <w:r>
        <w:t>.</w:t>
      </w:r>
      <w:r>
        <w:tab/>
        <w:t>Faxing documents for filing</w:t>
      </w:r>
      <w:bookmarkEnd w:id="1048"/>
    </w:p>
    <w:p w:rsidR="00425758" w:rsidRDefault="00425758">
      <w:pPr>
        <w:pStyle w:val="Subsection"/>
      </w:pPr>
      <w:r>
        <w:tab/>
        <w:t>(1)</w:t>
      </w:r>
      <w:r>
        <w:tab/>
        <w:t>A person must not fax a document to the Court for filing unless the Principal Registrar has permitted the person to fax it.</w:t>
      </w:r>
    </w:p>
    <w:p w:rsidR="00425758" w:rsidRDefault="00425758">
      <w:pPr>
        <w:pStyle w:val="Subsection"/>
      </w:pPr>
      <w:r>
        <w:tab/>
        <w:t>(2)</w:t>
      </w:r>
      <w:r>
        <w:tab/>
        <w:t>If under subrule (1) a person can fax a document to the Court, the person must comply with subrules (3) to (8).</w:t>
      </w:r>
    </w:p>
    <w:p w:rsidR="00425758" w:rsidRDefault="00425758">
      <w:pPr>
        <w:pStyle w:val="Subsection"/>
      </w:pPr>
      <w:r>
        <w:tab/>
        <w:t>(3)</w:t>
      </w:r>
      <w:r>
        <w:tab/>
        <w:t>The person must use the fax number of the Court specified in the Practice Directions.</w:t>
      </w:r>
    </w:p>
    <w:p w:rsidR="00425758" w:rsidRDefault="00425758">
      <w:pPr>
        <w:pStyle w:val="Subsection"/>
      </w:pPr>
      <w:r>
        <w:tab/>
        <w:t>(4)</w:t>
      </w:r>
      <w:r>
        <w:tab/>
        <w:t>A document that, with any attachments and a cover page, has more than 20 pages, must not be filed by fax and any such document received by the Court is to be taken not to have been filed.</w:t>
      </w:r>
    </w:p>
    <w:p w:rsidR="00425758" w:rsidRDefault="00425758">
      <w:pPr>
        <w:pStyle w:val="Subsection"/>
        <w:keepNext/>
      </w:pPr>
      <w:r>
        <w:lastRenderedPageBreak/>
        <w:tab/>
        <w:t>(5)</w:t>
      </w:r>
      <w:r>
        <w:tab/>
        <w:t>A document sent by fax to the Court must have a cover page stating —</w:t>
      </w:r>
    </w:p>
    <w:p w:rsidR="00425758" w:rsidRDefault="00425758">
      <w:pPr>
        <w:pStyle w:val="Indenta"/>
      </w:pPr>
      <w:r>
        <w:tab/>
        <w:t>(a)</w:t>
      </w:r>
      <w:r>
        <w:tab/>
        <w:t>the name, postal address, document exchange number (if any), telephone number and fax number of the person sending the document; and</w:t>
      </w:r>
    </w:p>
    <w:p w:rsidR="00425758" w:rsidRDefault="00425758">
      <w:pPr>
        <w:pStyle w:val="Indenta"/>
      </w:pPr>
      <w:r>
        <w:tab/>
        <w:t>(b)</w:t>
      </w:r>
      <w:r>
        <w:tab/>
        <w:t>the number of pages (including the cover page) being sent by fax.</w:t>
      </w:r>
    </w:p>
    <w:p w:rsidR="00425758" w:rsidRDefault="00425758">
      <w:pPr>
        <w:pStyle w:val="Subsection"/>
      </w:pPr>
      <w:r>
        <w:tab/>
        <w:t>(6)</w:t>
      </w:r>
      <w:r>
        <w:tab/>
        <w:t>A person who files a document by fax must —</w:t>
      </w:r>
    </w:p>
    <w:p w:rsidR="00425758" w:rsidRDefault="00425758">
      <w:pPr>
        <w:pStyle w:val="Indenta"/>
      </w:pPr>
      <w:r>
        <w:tab/>
        <w:t>(a)</w:t>
      </w:r>
      <w:r>
        <w:tab/>
        <w:t>indorse the first page of the original document with —</w:t>
      </w:r>
    </w:p>
    <w:p w:rsidR="00425758" w:rsidRDefault="00425758">
      <w:pPr>
        <w:pStyle w:val="Indenti"/>
      </w:pPr>
      <w:r>
        <w:tab/>
        <w:t>(i)</w:t>
      </w:r>
      <w:r>
        <w:tab/>
        <w:t>a statement that the document is the original of a document sent by fax; and</w:t>
      </w:r>
    </w:p>
    <w:p w:rsidR="00425758" w:rsidRDefault="00425758">
      <w:pPr>
        <w:pStyle w:val="Indenti"/>
      </w:pPr>
      <w:r>
        <w:tab/>
        <w:t>(ii)</w:t>
      </w:r>
      <w:r>
        <w:tab/>
        <w:t>the date and time the document was sent by fax;</w:t>
      </w:r>
    </w:p>
    <w:p w:rsidR="00425758" w:rsidRDefault="00425758">
      <w:pPr>
        <w:pStyle w:val="Indenta"/>
      </w:pPr>
      <w:r>
        <w:tab/>
      </w:r>
      <w:r>
        <w:tab/>
        <w:t>and</w:t>
      </w:r>
    </w:p>
    <w:p w:rsidR="00425758" w:rsidRDefault="00425758">
      <w:pPr>
        <w:pStyle w:val="Indenta"/>
      </w:pPr>
      <w:r>
        <w:tab/>
        <w:t>(b)</w:t>
      </w:r>
      <w:r>
        <w:tab/>
        <w:t>keep the indorsed original document and the fax machine’s report evidencing the successful transmission of the document; and</w:t>
      </w:r>
    </w:p>
    <w:p w:rsidR="00425758" w:rsidRDefault="00425758">
      <w:pPr>
        <w:pStyle w:val="Indenta"/>
      </w:pPr>
      <w:r>
        <w:tab/>
        <w:t>(c)</w:t>
      </w:r>
      <w:r>
        <w:tab/>
        <w:t>if directed to do so by the Court, produce the items in paragraph (b) to the Court.</w:t>
      </w:r>
    </w:p>
    <w:p w:rsidR="00425758" w:rsidRDefault="00425758">
      <w:pPr>
        <w:pStyle w:val="Subsection"/>
      </w:pPr>
      <w:r>
        <w:tab/>
        <w:t>(7)</w:t>
      </w:r>
      <w:r>
        <w:tab/>
        <w:t>A document filed by fax is to be taken to have been filed on the day and at the time when the Court receives the fax.</w:t>
      </w:r>
    </w:p>
    <w:p w:rsidR="00425758" w:rsidRDefault="00425758">
      <w:pPr>
        <w:pStyle w:val="Subsection"/>
      </w:pPr>
      <w:r>
        <w:tab/>
        <w:t>(8)</w:t>
      </w:r>
      <w:r>
        <w:tab/>
        <w:t>The Court may at any time, on the application of a party or on its own initiative, order a person who has faxed a document to the Court —</w:t>
      </w:r>
    </w:p>
    <w:p w:rsidR="00425758" w:rsidRDefault="00425758">
      <w:pPr>
        <w:pStyle w:val="Indenta"/>
      </w:pPr>
      <w:r>
        <w:tab/>
        <w:t>(a)</w:t>
      </w:r>
      <w:r>
        <w:tab/>
        <w:t>to have the original paper copy of it with the person at any conference or hearing in the course of the case concerned;</w:t>
      </w:r>
    </w:p>
    <w:p w:rsidR="00425758" w:rsidRDefault="00425758">
      <w:pPr>
        <w:pStyle w:val="Indenta"/>
      </w:pPr>
      <w:r>
        <w:tab/>
        <w:t>(b)</w:t>
      </w:r>
      <w:r>
        <w:tab/>
        <w:t>to file the original paper copy of it by a means specified in the order.</w:t>
      </w:r>
    </w:p>
    <w:p w:rsidR="00425758" w:rsidRDefault="00425758">
      <w:pPr>
        <w:pStyle w:val="Footnotesection"/>
      </w:pPr>
      <w:r>
        <w:tab/>
        <w:t xml:space="preserve">[Rule 7 inserted: Gazette 27 Feb 2018 p. 585-6.] </w:t>
      </w:r>
    </w:p>
    <w:p w:rsidR="00425758" w:rsidRDefault="00425758">
      <w:pPr>
        <w:pStyle w:val="Heading5"/>
      </w:pPr>
      <w:bookmarkStart w:id="1049" w:name="_Toc75863652"/>
      <w:r>
        <w:rPr>
          <w:rStyle w:val="CharSectno"/>
        </w:rPr>
        <w:lastRenderedPageBreak/>
        <w:t>8</w:t>
      </w:r>
      <w:r>
        <w:t>.</w:t>
      </w:r>
      <w:r>
        <w:tab/>
        <w:t>How filed paper documents are to be dealt with</w:t>
      </w:r>
      <w:bookmarkEnd w:id="1049"/>
    </w:p>
    <w:p w:rsidR="00425758" w:rsidRDefault="00425758">
      <w:pPr>
        <w:pStyle w:val="Subsection"/>
        <w:keepNext/>
      </w:pPr>
      <w:r>
        <w:tab/>
        <w:t>(1)</w:t>
      </w:r>
      <w:r>
        <w:tab/>
        <w:t xml:space="preserve">If — </w:t>
      </w:r>
    </w:p>
    <w:p w:rsidR="00425758" w:rsidRDefault="00425758">
      <w:pPr>
        <w:pStyle w:val="Indenta"/>
      </w:pPr>
      <w:r>
        <w:tab/>
        <w:t>(a)</w:t>
      </w:r>
      <w:r>
        <w:tab/>
        <w:t>a paper copy of a document is filed in accordance with these rules; and</w:t>
      </w:r>
    </w:p>
    <w:p w:rsidR="00425758" w:rsidRDefault="00425758">
      <w:pPr>
        <w:pStyle w:val="Indenta"/>
      </w:pPr>
      <w:r>
        <w:tab/>
        <w:t>(b)</w:t>
      </w:r>
      <w:r>
        <w:tab/>
        <w:t>an electronic copy of it is not filed,</w:t>
      </w:r>
    </w:p>
    <w:p w:rsidR="00425758" w:rsidRDefault="00425758">
      <w:pPr>
        <w:pStyle w:val="Subsection"/>
      </w:pPr>
      <w:r>
        <w:tab/>
      </w:r>
      <w:r>
        <w:tab/>
        <w:t>the Principal Registrar may convert the document to an electronic format and record it in the ECMS as if it had been filed electronically.</w:t>
      </w:r>
    </w:p>
    <w:p w:rsidR="00425758" w:rsidRDefault="00425758">
      <w:pPr>
        <w:pStyle w:val="Subsection"/>
      </w:pPr>
      <w:r>
        <w:tab/>
        <w:t>(2)</w:t>
      </w:r>
      <w:r>
        <w:tab/>
        <w:t>Subrules (3) to (6) apply to a paper version of a document filed in the Court if the document is recorded in the ECMS under subrule (1) as if it had been filed electronically.</w:t>
      </w:r>
    </w:p>
    <w:p w:rsidR="00425758" w:rsidRDefault="00425758">
      <w:pPr>
        <w:pStyle w:val="Subsection"/>
      </w:pPr>
      <w:r>
        <w:tab/>
        <w:t>(3)</w:t>
      </w:r>
      <w:r>
        <w:tab/>
        <w:t xml:space="preserve">If a document is recorded in the ECMS under subrule (1) as if it had been filed electronically, the paper version of the document must be retained by the Court — </w:t>
      </w:r>
    </w:p>
    <w:p w:rsidR="00425758" w:rsidRDefault="00425758">
      <w:pPr>
        <w:pStyle w:val="Indenta"/>
      </w:pPr>
      <w:r>
        <w:tab/>
        <w:t>(a)</w:t>
      </w:r>
      <w:r>
        <w:tab/>
        <w:t>for 90 days from the day it was filed; and</w:t>
      </w:r>
    </w:p>
    <w:p w:rsidR="00425758" w:rsidRDefault="00425758">
      <w:pPr>
        <w:pStyle w:val="Indenta"/>
      </w:pPr>
      <w:r>
        <w:tab/>
        <w:t>(b)</w:t>
      </w:r>
      <w:r>
        <w:tab/>
        <w:t>until it is collected or the period referred to in subrule (4) expires, whichever occurs first.</w:t>
      </w:r>
    </w:p>
    <w:p w:rsidR="00425758" w:rsidRDefault="00425758">
      <w:pPr>
        <w:pStyle w:val="Subsection"/>
      </w:pPr>
      <w:r>
        <w:tab/>
        <w:t>(4)</w:t>
      </w:r>
      <w:r>
        <w:tab/>
        <w:t>The person who filed the paper version of the document may collect it from the Court within 30 days after the period referred to in subrule (3)(a) expires.</w:t>
      </w:r>
    </w:p>
    <w:p w:rsidR="00425758" w:rsidRDefault="00425758">
      <w:pPr>
        <w:pStyle w:val="Subsection"/>
      </w:pPr>
      <w:r>
        <w:tab/>
        <w:t>(5)</w:t>
      </w:r>
      <w:r>
        <w:tab/>
        <w:t>If the paper version of the document is not collected within the period referred to in subrule (4), a registrar may cause the document to be destroyed.</w:t>
      </w:r>
    </w:p>
    <w:p w:rsidR="00425758" w:rsidRDefault="00425758">
      <w:pPr>
        <w:pStyle w:val="Subsection"/>
      </w:pPr>
      <w:r>
        <w:tab/>
        <w:t>(6)</w:t>
      </w:r>
      <w:r>
        <w:tab/>
        <w:t xml:space="preserve">If the paper version of the document is collected within the period referred to in subrule (4), the person who filed it must, unless a registrar approves the destruction of the document — </w:t>
      </w:r>
    </w:p>
    <w:p w:rsidR="00425758" w:rsidRDefault="00425758">
      <w:pPr>
        <w:pStyle w:val="Indenta"/>
      </w:pPr>
      <w:r>
        <w:tab/>
        <w:t>(a)</w:t>
      </w:r>
      <w:r>
        <w:tab/>
        <w:t>keep the document; and</w:t>
      </w:r>
    </w:p>
    <w:p w:rsidR="00425758" w:rsidRDefault="00425758">
      <w:pPr>
        <w:pStyle w:val="Indenta"/>
      </w:pPr>
      <w:r>
        <w:tab/>
        <w:t>(b)</w:t>
      </w:r>
      <w:r>
        <w:tab/>
        <w:t>if directed to do so by the Court, produce the document to the Court.</w:t>
      </w:r>
    </w:p>
    <w:p w:rsidR="00425758" w:rsidRDefault="00425758">
      <w:pPr>
        <w:pStyle w:val="Footnotesection"/>
      </w:pPr>
      <w:r>
        <w:tab/>
        <w:t xml:space="preserve">[Rule 8 inserted: Gazette 27 Feb 2018 p. 587; amended: Gazette 31 Dec 2019 p. 4677-8.] </w:t>
      </w:r>
    </w:p>
    <w:p w:rsidR="00425758" w:rsidRDefault="00425758">
      <w:pPr>
        <w:pStyle w:val="Heading3"/>
      </w:pPr>
      <w:bookmarkStart w:id="1050" w:name="_Toc75512557"/>
      <w:bookmarkStart w:id="1051" w:name="_Toc75863653"/>
      <w:r>
        <w:rPr>
          <w:rStyle w:val="CharDivNo"/>
        </w:rPr>
        <w:lastRenderedPageBreak/>
        <w:t>Division 3</w:t>
      </w:r>
      <w:r>
        <w:t> — </w:t>
      </w:r>
      <w:r>
        <w:rPr>
          <w:rStyle w:val="CharDivText"/>
        </w:rPr>
        <w:t>Documents containing sensitive information</w:t>
      </w:r>
      <w:bookmarkEnd w:id="1050"/>
      <w:bookmarkEnd w:id="1051"/>
    </w:p>
    <w:p w:rsidR="00425758" w:rsidRDefault="00425758">
      <w:pPr>
        <w:pStyle w:val="Footnoteheading"/>
        <w:keepNext/>
      </w:pPr>
      <w:r>
        <w:tab/>
        <w:t xml:space="preserve">[Heading inserted: Gazette 27 Feb 2018 p. 588.] </w:t>
      </w:r>
    </w:p>
    <w:p w:rsidR="00425758" w:rsidRDefault="00425758">
      <w:pPr>
        <w:pStyle w:val="Heading5"/>
      </w:pPr>
      <w:bookmarkStart w:id="1052" w:name="_Toc75863654"/>
      <w:r>
        <w:rPr>
          <w:rStyle w:val="CharSectno"/>
        </w:rPr>
        <w:t>9</w:t>
      </w:r>
      <w:r>
        <w:t>.</w:t>
      </w:r>
      <w:r>
        <w:tab/>
        <w:t>Terms used</w:t>
      </w:r>
      <w:bookmarkEnd w:id="1052"/>
    </w:p>
    <w:p w:rsidR="00425758" w:rsidRDefault="00425758">
      <w:pPr>
        <w:pStyle w:val="Subsection"/>
      </w:pPr>
      <w:r>
        <w:tab/>
      </w:r>
      <w:r>
        <w:tab/>
        <w:t>In this Division —</w:t>
      </w:r>
    </w:p>
    <w:p w:rsidR="00425758" w:rsidRDefault="00425758">
      <w:pPr>
        <w:pStyle w:val="Defstart"/>
      </w:pPr>
      <w:r>
        <w:tab/>
      </w:r>
      <w:r>
        <w:rPr>
          <w:rStyle w:val="CharDefText"/>
        </w:rPr>
        <w:t>legislation</w:t>
      </w:r>
      <w:r>
        <w:t xml:space="preserve"> means — </w:t>
      </w:r>
    </w:p>
    <w:p w:rsidR="00425758" w:rsidRDefault="00425758">
      <w:pPr>
        <w:pStyle w:val="Defpara"/>
      </w:pPr>
      <w:r>
        <w:tab/>
        <w:t>(a)</w:t>
      </w:r>
      <w:r>
        <w:tab/>
        <w:t>a written law; or</w:t>
      </w:r>
    </w:p>
    <w:p w:rsidR="00425758" w:rsidRDefault="00425758">
      <w:pPr>
        <w:pStyle w:val="Defpara"/>
      </w:pPr>
      <w:r>
        <w:tab/>
        <w:t>(b)</w:t>
      </w:r>
      <w:r>
        <w:tab/>
        <w:t>legislation of another Australian jurisdiction;</w:t>
      </w:r>
    </w:p>
    <w:p w:rsidR="00425758" w:rsidRDefault="00425758">
      <w:pPr>
        <w:pStyle w:val="Defstart"/>
      </w:pPr>
      <w:r>
        <w:tab/>
      </w:r>
      <w:r>
        <w:rPr>
          <w:rStyle w:val="CharDefText"/>
        </w:rPr>
        <w:t>restricted document</w:t>
      </w:r>
      <w:r>
        <w:t xml:space="preserve"> means a document the existence and the whole of the contents of which must not be known or accessible to anyone other than the person filing it and a judge, master or registrar;</w:t>
      </w:r>
    </w:p>
    <w:p w:rsidR="00425758" w:rsidRDefault="00425758">
      <w:pPr>
        <w:pStyle w:val="Defstart"/>
      </w:pPr>
      <w:r>
        <w:tab/>
      </w:r>
      <w:r>
        <w:rPr>
          <w:rStyle w:val="CharDefText"/>
        </w:rPr>
        <w:t>restricted information</w:t>
      </w:r>
      <w:r>
        <w:t xml:space="preserve"> means information access to which is restricted by —</w:t>
      </w:r>
    </w:p>
    <w:p w:rsidR="00425758" w:rsidRDefault="00425758">
      <w:pPr>
        <w:pStyle w:val="Defpara"/>
      </w:pPr>
      <w:r>
        <w:tab/>
        <w:t>(a)</w:t>
      </w:r>
      <w:r>
        <w:tab/>
        <w:t>legislation; or</w:t>
      </w:r>
    </w:p>
    <w:p w:rsidR="00425758" w:rsidRDefault="00425758">
      <w:pPr>
        <w:pStyle w:val="Defpara"/>
      </w:pPr>
      <w:r>
        <w:tab/>
        <w:t>(b)</w:t>
      </w:r>
      <w:r>
        <w:tab/>
        <w:t>an order made by a court in Australia.</w:t>
      </w:r>
    </w:p>
    <w:p w:rsidR="00425758" w:rsidRDefault="00425758">
      <w:pPr>
        <w:pStyle w:val="Footnotesection"/>
      </w:pPr>
      <w:r>
        <w:tab/>
        <w:t xml:space="preserve">[Rule 9 inserted: Gazette 27 Feb 2018 p. 588.] </w:t>
      </w:r>
    </w:p>
    <w:p w:rsidR="00425758" w:rsidRDefault="00425758">
      <w:pPr>
        <w:pStyle w:val="Heading5"/>
      </w:pPr>
      <w:bookmarkStart w:id="1053" w:name="_Toc75863655"/>
      <w:r>
        <w:rPr>
          <w:rStyle w:val="CharSectno"/>
        </w:rPr>
        <w:t>10</w:t>
      </w:r>
      <w:r>
        <w:t>.</w:t>
      </w:r>
      <w:r>
        <w:tab/>
        <w:t>Person to advise Court if filing sensitive document</w:t>
      </w:r>
      <w:bookmarkEnd w:id="1053"/>
    </w:p>
    <w:p w:rsidR="00425758" w:rsidRDefault="00425758">
      <w:pPr>
        <w:pStyle w:val="Subsection"/>
      </w:pPr>
      <w:r>
        <w:tab/>
        <w:t>(1)</w:t>
      </w:r>
      <w:r>
        <w:tab/>
        <w:t>A person presenting a document to the Court for filing must advise the Court —</w:t>
      </w:r>
    </w:p>
    <w:p w:rsidR="00425758" w:rsidRDefault="00425758">
      <w:pPr>
        <w:pStyle w:val="Indenta"/>
      </w:pPr>
      <w:r>
        <w:tab/>
        <w:t>(a)</w:t>
      </w:r>
      <w:r>
        <w:tab/>
        <w:t xml:space="preserve">if access to all or a part of the information in the document is restricted because — </w:t>
      </w:r>
    </w:p>
    <w:p w:rsidR="00425758" w:rsidRDefault="00425758">
      <w:pPr>
        <w:pStyle w:val="Indenti"/>
      </w:pPr>
      <w:r>
        <w:tab/>
        <w:t>(i)</w:t>
      </w:r>
      <w:r>
        <w:tab/>
        <w:t>the information is restricted information; or</w:t>
      </w:r>
    </w:p>
    <w:p w:rsidR="00425758" w:rsidRDefault="00425758">
      <w:pPr>
        <w:pStyle w:val="Indenti"/>
      </w:pPr>
      <w:r>
        <w:tab/>
        <w:t>(ii)</w:t>
      </w:r>
      <w:r>
        <w:tab/>
        <w:t>the person is applying under Order 67B rule 5 for an order restricting access to the information;</w:t>
      </w:r>
    </w:p>
    <w:p w:rsidR="00425758" w:rsidRDefault="00425758">
      <w:pPr>
        <w:pStyle w:val="Indenta"/>
      </w:pPr>
      <w:r>
        <w:tab/>
      </w:r>
      <w:r>
        <w:tab/>
        <w:t>or</w:t>
      </w:r>
    </w:p>
    <w:p w:rsidR="00425758" w:rsidRDefault="00425758">
      <w:pPr>
        <w:pStyle w:val="Indenta"/>
      </w:pPr>
      <w:r>
        <w:tab/>
        <w:t>(b)</w:t>
      </w:r>
      <w:r>
        <w:tab/>
        <w:t>if the document is a restricted document; or</w:t>
      </w:r>
    </w:p>
    <w:p w:rsidR="00425758" w:rsidRDefault="00425758">
      <w:pPr>
        <w:pStyle w:val="Indenta"/>
      </w:pPr>
      <w:r>
        <w:tab/>
        <w:t>(c)</w:t>
      </w:r>
      <w:r>
        <w:tab/>
        <w:t>if the existence and content of the document must not be made accessible or known to the judge or master who is or will be trying the case in respect of which the document is filed.</w:t>
      </w:r>
    </w:p>
    <w:p w:rsidR="00425758" w:rsidRDefault="00425758">
      <w:pPr>
        <w:pStyle w:val="Subsection"/>
      </w:pPr>
      <w:r>
        <w:lastRenderedPageBreak/>
        <w:tab/>
        <w:t>(2)</w:t>
      </w:r>
      <w:r>
        <w:tab/>
        <w:t>If a person presents a document to the Court for filing electronically, 2 or more of paragraphs (a), (b) and (c) in subrule (1) cannot apply to the document.</w:t>
      </w:r>
    </w:p>
    <w:p w:rsidR="00425758" w:rsidRDefault="00425758">
      <w:pPr>
        <w:pStyle w:val="Subsection"/>
      </w:pPr>
      <w:r>
        <w:tab/>
        <w:t>(3)</w:t>
      </w:r>
      <w:r>
        <w:tab/>
        <w:t xml:space="preserve">A person wanting to advise the Court under subrule (1) must — </w:t>
      </w:r>
    </w:p>
    <w:p w:rsidR="00425758" w:rsidRDefault="00425758">
      <w:pPr>
        <w:pStyle w:val="Indenta"/>
      </w:pPr>
      <w:r>
        <w:tab/>
        <w:t>(a)</w:t>
      </w:r>
      <w:r>
        <w:tab/>
        <w:t>if the person is presenting the document for filing electronically, record the advice on the ECMS and —</w:t>
      </w:r>
    </w:p>
    <w:p w:rsidR="00425758" w:rsidRDefault="00425758">
      <w:pPr>
        <w:pStyle w:val="Indenti"/>
      </w:pPr>
      <w:r>
        <w:tab/>
        <w:t>(i)</w:t>
      </w:r>
      <w:r>
        <w:tab/>
        <w:t>if subrule (1)(a)(i) applies to information in the document, comply with rule 11;</w:t>
      </w:r>
    </w:p>
    <w:p w:rsidR="00425758" w:rsidRDefault="00425758">
      <w:pPr>
        <w:pStyle w:val="Indenti"/>
      </w:pPr>
      <w:r>
        <w:tab/>
        <w:t>(ii)</w:t>
      </w:r>
      <w:r>
        <w:tab/>
        <w:t>if subrule (1)(a)(ii) applies to information in the document, comply with rule 12;</w:t>
      </w:r>
    </w:p>
    <w:p w:rsidR="00425758" w:rsidRDefault="00425758">
      <w:pPr>
        <w:pStyle w:val="Indenti"/>
      </w:pPr>
      <w:r>
        <w:tab/>
        <w:t>(iii)</w:t>
      </w:r>
      <w:r>
        <w:tab/>
        <w:t>if subrule (1)(b) applies to the document, comply with rule 13;</w:t>
      </w:r>
    </w:p>
    <w:p w:rsidR="00425758" w:rsidRDefault="00425758">
      <w:pPr>
        <w:pStyle w:val="Indenti"/>
      </w:pPr>
      <w:r>
        <w:tab/>
        <w:t>(iv)</w:t>
      </w:r>
      <w:r>
        <w:tab/>
        <w:t>if subrule (1)(c) applies to the document, comply with rule 14;</w:t>
      </w:r>
    </w:p>
    <w:p w:rsidR="00425758" w:rsidRDefault="00425758">
      <w:pPr>
        <w:pStyle w:val="Indenta"/>
      </w:pPr>
      <w:r>
        <w:tab/>
        <w:t>(b)</w:t>
      </w:r>
      <w:r>
        <w:tab/>
        <w:t xml:space="preserve">otherwise comply with — </w:t>
      </w:r>
    </w:p>
    <w:p w:rsidR="00425758" w:rsidRDefault="00425758">
      <w:pPr>
        <w:pStyle w:val="Indenti"/>
      </w:pPr>
      <w:r>
        <w:tab/>
        <w:t>(i)</w:t>
      </w:r>
      <w:r>
        <w:tab/>
        <w:t>rule 11 if subrule (1)(a)(i) applies to information in the document;</w:t>
      </w:r>
    </w:p>
    <w:p w:rsidR="00425758" w:rsidRDefault="00425758">
      <w:pPr>
        <w:pStyle w:val="Indenti"/>
      </w:pPr>
      <w:r>
        <w:tab/>
        <w:t>(ii)</w:t>
      </w:r>
      <w:r>
        <w:tab/>
        <w:t>rule 12 if subrule (1)(a)(ii) applies to information in the document;</w:t>
      </w:r>
    </w:p>
    <w:p w:rsidR="00425758" w:rsidRDefault="00425758">
      <w:pPr>
        <w:pStyle w:val="Indenti"/>
      </w:pPr>
      <w:r>
        <w:tab/>
        <w:t>(iii)</w:t>
      </w:r>
      <w:r>
        <w:tab/>
        <w:t>rule 13 if subrule (1)(b) applies to the document;</w:t>
      </w:r>
    </w:p>
    <w:p w:rsidR="00425758" w:rsidRDefault="00425758">
      <w:pPr>
        <w:pStyle w:val="Indenti"/>
      </w:pPr>
      <w:r>
        <w:tab/>
        <w:t>(iv)</w:t>
      </w:r>
      <w:r>
        <w:tab/>
        <w:t>rule 14 if subrule (1)(c) applies to the document.</w:t>
      </w:r>
    </w:p>
    <w:p w:rsidR="00425758" w:rsidRDefault="00425758">
      <w:pPr>
        <w:pStyle w:val="Subsection"/>
      </w:pPr>
      <w:r>
        <w:tab/>
        <w:t>(4)</w:t>
      </w:r>
      <w:r>
        <w:tab/>
        <w:t>A person who has presented a document to the Court for filing may subsequently advise the Court that 1 of paragraphs (a), (b) and (c) in subrule (1) applies to a document by asking the Principal Registrar to act under subrule (6).</w:t>
      </w:r>
    </w:p>
    <w:p w:rsidR="00425758" w:rsidRDefault="00425758">
      <w:pPr>
        <w:pStyle w:val="Subsection"/>
      </w:pPr>
      <w:r>
        <w:tab/>
        <w:t>(5)</w:t>
      </w:r>
      <w:r>
        <w:tab/>
        <w:t>If under this rule the Court has been advised that 1 of paragraphs (a), (b) or (c) in subrule (1) applies to a document, it is to be presumed that the paragraph does apply to it until —</w:t>
      </w:r>
    </w:p>
    <w:p w:rsidR="00425758" w:rsidRDefault="00425758">
      <w:pPr>
        <w:pStyle w:val="Indenta"/>
      </w:pPr>
      <w:r>
        <w:tab/>
        <w:t>(a)</w:t>
      </w:r>
      <w:r>
        <w:tab/>
        <w:t>its classification is changed or cancelled under subrule (6); or</w:t>
      </w:r>
    </w:p>
    <w:p w:rsidR="00425758" w:rsidRDefault="00425758">
      <w:pPr>
        <w:pStyle w:val="Indenta"/>
      </w:pPr>
      <w:r>
        <w:tab/>
        <w:t>(b)</w:t>
      </w:r>
      <w:r>
        <w:tab/>
        <w:t>if an order made under Order 67B rule 5(3) applies to it, the order is cancelled.</w:t>
      </w:r>
    </w:p>
    <w:p w:rsidR="00425758" w:rsidRDefault="00425758">
      <w:pPr>
        <w:pStyle w:val="Subsection"/>
      </w:pPr>
      <w:r>
        <w:lastRenderedPageBreak/>
        <w:tab/>
        <w:t>(6)</w:t>
      </w:r>
      <w:r>
        <w:tab/>
        <w:t>If satisfied there is good reason to do so, the Principal Registrar, by amending information on the ECMS or by taking other reasonable steps, may —</w:t>
      </w:r>
    </w:p>
    <w:p w:rsidR="00425758" w:rsidRDefault="00425758">
      <w:pPr>
        <w:pStyle w:val="Indenta"/>
      </w:pPr>
      <w:r>
        <w:tab/>
        <w:t>(a)</w:t>
      </w:r>
      <w:r>
        <w:tab/>
        <w:t>classify a filed document as being a document to which 1 of paragraphs (a), (b) and (c) in subrule (1) applies;</w:t>
      </w:r>
    </w:p>
    <w:p w:rsidR="00425758" w:rsidRDefault="00425758">
      <w:pPr>
        <w:pStyle w:val="Indenta"/>
      </w:pPr>
      <w:r>
        <w:tab/>
        <w:t>(b)</w:t>
      </w:r>
      <w:r>
        <w:tab/>
        <w:t>if a filed document is already such a document —</w:t>
      </w:r>
    </w:p>
    <w:p w:rsidR="00425758" w:rsidRDefault="00425758">
      <w:pPr>
        <w:pStyle w:val="Indenti"/>
      </w:pPr>
      <w:r>
        <w:tab/>
        <w:t>(i)</w:t>
      </w:r>
      <w:r>
        <w:tab/>
        <w:t>change its classification; or</w:t>
      </w:r>
    </w:p>
    <w:p w:rsidR="00425758" w:rsidRDefault="00425758">
      <w:pPr>
        <w:pStyle w:val="Indenti"/>
      </w:pPr>
      <w:r>
        <w:tab/>
        <w:t>(ii)</w:t>
      </w:r>
      <w:r>
        <w:tab/>
        <w:t>cancel its classification as a document to which any of paragraphs (a), (b) and (c) in subrule (1) applies.</w:t>
      </w:r>
    </w:p>
    <w:p w:rsidR="00425758" w:rsidRDefault="00425758">
      <w:pPr>
        <w:pStyle w:val="Subsection"/>
      </w:pPr>
      <w:r>
        <w:tab/>
        <w:t>(7)</w:t>
      </w:r>
      <w:r>
        <w:tab/>
        <w:t>The Principal Registrar must not act under subrule (6) unless the Principal Registrar has given the person who filed the document, and any person served with the document, an opportunity to object to the action.</w:t>
      </w:r>
    </w:p>
    <w:p w:rsidR="00425758" w:rsidRDefault="00425758">
      <w:pPr>
        <w:pStyle w:val="Subsection"/>
      </w:pPr>
      <w:r>
        <w:tab/>
        <w:t>(8)</w:t>
      </w:r>
      <w:r>
        <w:tab/>
        <w:t>Before acting under subrule (6), the Principal Registrar may give the person who filed the document any directions reasonably necessary to enable the Principal Registrar to properly classify the document, including directions that require the person to serve the document on 1 or more other persons.</w:t>
      </w:r>
    </w:p>
    <w:p w:rsidR="00425758" w:rsidRDefault="00425758">
      <w:pPr>
        <w:pStyle w:val="Footnotesection"/>
      </w:pPr>
      <w:r>
        <w:tab/>
        <w:t xml:space="preserve">[Rule 10 inserted: Gazette 27 Feb 2018 p. 588-90; amended: Gazette 31 Dec 2019 p. 4677-8.] </w:t>
      </w:r>
    </w:p>
    <w:p w:rsidR="00425758" w:rsidRDefault="00425758">
      <w:pPr>
        <w:pStyle w:val="Heading5"/>
      </w:pPr>
      <w:bookmarkStart w:id="1054" w:name="_Toc75863656"/>
      <w:r>
        <w:rPr>
          <w:rStyle w:val="CharSectno"/>
        </w:rPr>
        <w:t>11</w:t>
      </w:r>
      <w:r>
        <w:t>.</w:t>
      </w:r>
      <w:r>
        <w:tab/>
        <w:t>Documents containing restricted information</w:t>
      </w:r>
      <w:bookmarkEnd w:id="1054"/>
    </w:p>
    <w:p w:rsidR="00425758" w:rsidRDefault="00425758">
      <w:pPr>
        <w:pStyle w:val="Subsection"/>
      </w:pPr>
      <w:r>
        <w:tab/>
        <w:t>(1)</w:t>
      </w:r>
      <w:r>
        <w:tab/>
        <w:t>This rule applies if under rule 10(1) a person advises the Court that a document presented for filing contains restricted information.</w:t>
      </w:r>
    </w:p>
    <w:p w:rsidR="00425758" w:rsidRDefault="00425758">
      <w:pPr>
        <w:pStyle w:val="Subsection"/>
      </w:pPr>
      <w:r>
        <w:t xml:space="preserve"> </w:t>
      </w:r>
      <w:r>
        <w:tab/>
        <w:t>(2)</w:t>
      </w:r>
      <w:r>
        <w:tab/>
        <w:t>If the document was filed electronically, by email or by fax, the person who filed it must, within 24 hours after filing it, do the following —</w:t>
      </w:r>
    </w:p>
    <w:p w:rsidR="00425758" w:rsidRDefault="00425758">
      <w:pPr>
        <w:pStyle w:val="Indenta"/>
      </w:pPr>
      <w:r>
        <w:tab/>
        <w:t>(a)</w:t>
      </w:r>
      <w:r>
        <w:tab/>
        <w:t>file a memorandum that does the following —</w:t>
      </w:r>
    </w:p>
    <w:p w:rsidR="00425758" w:rsidRDefault="00425758">
      <w:pPr>
        <w:pStyle w:val="Indenti"/>
      </w:pPr>
      <w:r>
        <w:tab/>
        <w:t>(i)</w:t>
      </w:r>
      <w:r>
        <w:tab/>
        <w:t>states —</w:t>
      </w:r>
    </w:p>
    <w:p w:rsidR="00425758" w:rsidRDefault="00425758">
      <w:pPr>
        <w:pStyle w:val="Indenti"/>
      </w:pPr>
      <w:r>
        <w:tab/>
      </w:r>
      <w:r>
        <w:tab/>
      </w:r>
      <w:r>
        <w:rPr>
          <w:b/>
        </w:rPr>
        <w:t>Attention:</w:t>
      </w:r>
      <w:r>
        <w:t xml:space="preserve"> [</w:t>
      </w:r>
      <w:r>
        <w:rPr>
          <w:i/>
        </w:rPr>
        <w:t>Identify the document</w:t>
      </w:r>
      <w:r>
        <w:t>] contains information to which access is restricted by [</w:t>
      </w:r>
      <w:r>
        <w:rPr>
          <w:i/>
        </w:rPr>
        <w:t xml:space="preserve">the </w:t>
      </w:r>
      <w:r>
        <w:rPr>
          <w:i/>
        </w:rPr>
        <w:lastRenderedPageBreak/>
        <w:t>short title and provision of applicable legislation or the details of the applicable court order</w:t>
      </w:r>
      <w:r>
        <w:t>].;</w:t>
      </w:r>
    </w:p>
    <w:p w:rsidR="00425758" w:rsidRDefault="00425758">
      <w:pPr>
        <w:pStyle w:val="Indenti"/>
      </w:pPr>
      <w:r>
        <w:tab/>
        <w:t>(ii)</w:t>
      </w:r>
      <w:r>
        <w:tab/>
        <w:t>identifies the legislation, or court order, that restricts access to the information;</w:t>
      </w:r>
    </w:p>
    <w:p w:rsidR="00425758" w:rsidRDefault="00425758">
      <w:pPr>
        <w:pStyle w:val="Indenti"/>
      </w:pPr>
      <w:r>
        <w:tab/>
        <w:t>(iii)</w:t>
      </w:r>
      <w:r>
        <w:tab/>
        <w:t>identifies the restricted information in the document;</w:t>
      </w:r>
    </w:p>
    <w:p w:rsidR="00425758" w:rsidRDefault="00425758">
      <w:pPr>
        <w:pStyle w:val="Indenti"/>
      </w:pPr>
      <w:r>
        <w:tab/>
        <w:t>(iv)</w:t>
      </w:r>
      <w:r>
        <w:tab/>
        <w:t>identifies the person, or class of persons, who can have access to the information lawfully;</w:t>
      </w:r>
    </w:p>
    <w:p w:rsidR="00425758" w:rsidRDefault="00425758">
      <w:pPr>
        <w:pStyle w:val="Indenti"/>
      </w:pPr>
      <w:r>
        <w:tab/>
        <w:t>(v)</w:t>
      </w:r>
      <w:r>
        <w:tab/>
        <w:t>identifies the person, or class of persons, whose access to the information is restricted;</w:t>
      </w:r>
    </w:p>
    <w:p w:rsidR="00425758" w:rsidRDefault="00425758">
      <w:pPr>
        <w:pStyle w:val="Indenti"/>
      </w:pPr>
      <w:r>
        <w:tab/>
        <w:t>(vi)</w:t>
      </w:r>
      <w:r>
        <w:tab/>
        <w:t>states the conditions, if any, that the Court should impose if it were to give access to the information to any such person;</w:t>
      </w:r>
    </w:p>
    <w:p w:rsidR="00425758" w:rsidRDefault="00425758">
      <w:pPr>
        <w:pStyle w:val="Indenti"/>
      </w:pPr>
      <w:r>
        <w:tab/>
        <w:t>(vii)</w:t>
      </w:r>
      <w:r>
        <w:tab/>
        <w:t>states whether the information will cease to be restricted information and, if so, when it will cease to be restricted information;</w:t>
      </w:r>
    </w:p>
    <w:p w:rsidR="00425758" w:rsidRDefault="00425758">
      <w:pPr>
        <w:pStyle w:val="Indenta"/>
      </w:pPr>
      <w:r>
        <w:tab/>
        <w:t>(b)</w:t>
      </w:r>
      <w:r>
        <w:tab/>
        <w:t>if a court order restricts access to the information, file a copy of the order.</w:t>
      </w:r>
    </w:p>
    <w:p w:rsidR="00425758" w:rsidRDefault="00425758">
      <w:pPr>
        <w:pStyle w:val="Subsection"/>
      </w:pPr>
      <w:r>
        <w:tab/>
        <w:t>(3)</w:t>
      </w:r>
      <w:r>
        <w:tab/>
        <w:t>If the document was filed by delivering it, the person who filed it must do the following —</w:t>
      </w:r>
    </w:p>
    <w:p w:rsidR="00425758" w:rsidRDefault="00425758">
      <w:pPr>
        <w:pStyle w:val="Indenta"/>
      </w:pPr>
      <w:r>
        <w:tab/>
        <w:t>(a)</w:t>
      </w:r>
      <w:r>
        <w:tab/>
        <w:t>ensure the document has a cover sheet that includes this statement —</w:t>
      </w:r>
    </w:p>
    <w:p w:rsidR="00425758" w:rsidRDefault="00425758">
      <w:pPr>
        <w:pStyle w:val="Indenta"/>
      </w:pPr>
      <w:r>
        <w:tab/>
      </w:r>
      <w:r>
        <w:tab/>
      </w:r>
      <w:r>
        <w:rPr>
          <w:b/>
        </w:rPr>
        <w:t xml:space="preserve">Attention: </w:t>
      </w:r>
      <w:r>
        <w:t>This document contains information to which access is restricted by [</w:t>
      </w:r>
      <w:r>
        <w:rPr>
          <w:i/>
        </w:rPr>
        <w:t>the short title and provision of applicable legislation or the details of the applicable court order</w:t>
      </w:r>
      <w:r>
        <w:t>].;</w:t>
      </w:r>
    </w:p>
    <w:p w:rsidR="00425758" w:rsidRDefault="00425758">
      <w:pPr>
        <w:pStyle w:val="Indenta"/>
      </w:pPr>
      <w:r>
        <w:tab/>
        <w:t>(b)</w:t>
      </w:r>
      <w:r>
        <w:tab/>
        <w:t>within 1 day after filing it, file a memorandum that does the following —</w:t>
      </w:r>
    </w:p>
    <w:p w:rsidR="00425758" w:rsidRDefault="00425758">
      <w:pPr>
        <w:pStyle w:val="Indenti"/>
      </w:pPr>
      <w:r>
        <w:tab/>
        <w:t>(i)</w:t>
      </w:r>
      <w:r>
        <w:tab/>
        <w:t>identifies the legislation, or court order, that restricts access to the information;</w:t>
      </w:r>
    </w:p>
    <w:p w:rsidR="00425758" w:rsidRDefault="00425758">
      <w:pPr>
        <w:pStyle w:val="Indenti"/>
      </w:pPr>
      <w:r>
        <w:tab/>
        <w:t>(ii)</w:t>
      </w:r>
      <w:r>
        <w:tab/>
        <w:t>identifies the restricted information in the document;</w:t>
      </w:r>
    </w:p>
    <w:p w:rsidR="00425758" w:rsidRDefault="00425758">
      <w:pPr>
        <w:pStyle w:val="Indenti"/>
      </w:pPr>
      <w:r>
        <w:lastRenderedPageBreak/>
        <w:tab/>
        <w:t>(iii)</w:t>
      </w:r>
      <w:r>
        <w:tab/>
        <w:t>identifies the person, or class of persons, who can have access to the information lawfully;</w:t>
      </w:r>
    </w:p>
    <w:p w:rsidR="00425758" w:rsidRDefault="00425758">
      <w:pPr>
        <w:pStyle w:val="Indenti"/>
      </w:pPr>
      <w:r>
        <w:tab/>
        <w:t>(iv)</w:t>
      </w:r>
      <w:r>
        <w:tab/>
        <w:t>identifies the person, or class of persons, whose access to the information is restricted;</w:t>
      </w:r>
    </w:p>
    <w:p w:rsidR="00425758" w:rsidRDefault="00425758">
      <w:pPr>
        <w:pStyle w:val="Indenti"/>
      </w:pPr>
      <w:r>
        <w:tab/>
        <w:t>(v)</w:t>
      </w:r>
      <w:r>
        <w:tab/>
        <w:t>states the conditions, if any, that the Court should impose if it were to give access to the information to any such person;</w:t>
      </w:r>
    </w:p>
    <w:p w:rsidR="00425758" w:rsidRDefault="00425758">
      <w:pPr>
        <w:pStyle w:val="Indenta"/>
      </w:pPr>
      <w:r>
        <w:tab/>
        <w:t>(c)</w:t>
      </w:r>
      <w:r>
        <w:tab/>
        <w:t>if a court order restricts access to the information in the document, file a copy of the order within 1 day after filing the document.</w:t>
      </w:r>
    </w:p>
    <w:p w:rsidR="00425758" w:rsidRDefault="00425758">
      <w:pPr>
        <w:pStyle w:val="Subsection"/>
      </w:pPr>
      <w:r>
        <w:tab/>
        <w:t>(4)</w:t>
      </w:r>
      <w:r>
        <w:tab/>
        <w:t>If the person who filed the document does not comply with subrule (2) or (3), as the case requires, the Principal Registrar may exercise the powers in rule 10(6).</w:t>
      </w:r>
    </w:p>
    <w:p w:rsidR="00425758" w:rsidRDefault="00425758">
      <w:pPr>
        <w:pStyle w:val="Subsection"/>
      </w:pPr>
      <w:r>
        <w:tab/>
        <w:t>(5)</w:t>
      </w:r>
      <w:r>
        <w:tab/>
        <w:t>If a judge, master or registrar is not satisfied the document contains restricted information, the judge, master or registrar —</w:t>
      </w:r>
    </w:p>
    <w:p w:rsidR="00425758" w:rsidRDefault="00425758">
      <w:pPr>
        <w:pStyle w:val="Indenta"/>
      </w:pPr>
      <w:r>
        <w:tab/>
        <w:t>(a)</w:t>
      </w:r>
      <w:r>
        <w:tab/>
        <w:t>must notify the person who filed the document accordingly; and</w:t>
      </w:r>
    </w:p>
    <w:p w:rsidR="00425758" w:rsidRDefault="00425758">
      <w:pPr>
        <w:pStyle w:val="Indenta"/>
      </w:pPr>
      <w:r>
        <w:tab/>
        <w:t>(b)</w:t>
      </w:r>
      <w:r>
        <w:tab/>
        <w:t>may direct the Principal Registrar to exercise the powers in rule 10(6).</w:t>
      </w:r>
    </w:p>
    <w:p w:rsidR="00425758" w:rsidRDefault="00425758">
      <w:pPr>
        <w:pStyle w:val="Footnotesection"/>
      </w:pPr>
      <w:r>
        <w:tab/>
        <w:t xml:space="preserve">[Rule 11 inserted: Gazette 27 Feb 2018 p. 591-3.] </w:t>
      </w:r>
    </w:p>
    <w:p w:rsidR="00425758" w:rsidRDefault="00425758">
      <w:pPr>
        <w:pStyle w:val="Heading5"/>
      </w:pPr>
      <w:bookmarkStart w:id="1055" w:name="_Toc75863657"/>
      <w:r>
        <w:rPr>
          <w:rStyle w:val="CharSectno"/>
        </w:rPr>
        <w:t>12</w:t>
      </w:r>
      <w:r>
        <w:t>.</w:t>
      </w:r>
      <w:r>
        <w:tab/>
        <w:t>Documents containing information to which access should be restricted</w:t>
      </w:r>
      <w:bookmarkEnd w:id="1055"/>
    </w:p>
    <w:p w:rsidR="00425758" w:rsidRDefault="00425758">
      <w:pPr>
        <w:pStyle w:val="Subsection"/>
      </w:pPr>
      <w:r>
        <w:tab/>
        <w:t>(1)</w:t>
      </w:r>
      <w:r>
        <w:tab/>
        <w:t>This rule applies if under rule 10(1) a person advises the Court that the person is applying under Order 67B rule 5 for an order restricting access to information in a document presented for filing.</w:t>
      </w:r>
    </w:p>
    <w:p w:rsidR="00425758" w:rsidRDefault="00425758">
      <w:pPr>
        <w:pStyle w:val="Subsection"/>
      </w:pPr>
      <w:r>
        <w:tab/>
        <w:t>(2)</w:t>
      </w:r>
      <w:r>
        <w:tab/>
        <w:t>If the document was filed electronically, the person who filed it must, within 24 hours after filing it, file electronically an application that complies with Order 67B rule 5(2) and that applies for an order made under Order 67B rule 5(3).</w:t>
      </w:r>
    </w:p>
    <w:p w:rsidR="00425758" w:rsidRDefault="00425758">
      <w:pPr>
        <w:pStyle w:val="Subsection"/>
        <w:keepNext/>
      </w:pPr>
      <w:r>
        <w:lastRenderedPageBreak/>
        <w:tab/>
        <w:t>(3)</w:t>
      </w:r>
      <w:r>
        <w:tab/>
        <w:t>If the document was not filed electronically, the person who filed it must do the following —</w:t>
      </w:r>
    </w:p>
    <w:p w:rsidR="00425758" w:rsidRDefault="00425758">
      <w:pPr>
        <w:pStyle w:val="Indenta"/>
      </w:pPr>
      <w:r>
        <w:tab/>
        <w:t>(a)</w:t>
      </w:r>
      <w:r>
        <w:tab/>
        <w:t>ensure the document has a cover sheet that includes this statement —</w:t>
      </w:r>
    </w:p>
    <w:p w:rsidR="00425758" w:rsidRDefault="00425758">
      <w:pPr>
        <w:pStyle w:val="Indenta"/>
      </w:pPr>
      <w:r>
        <w:tab/>
      </w:r>
      <w:r>
        <w:tab/>
      </w:r>
      <w:r>
        <w:rPr>
          <w:b/>
        </w:rPr>
        <w:t xml:space="preserve">Attention: </w:t>
      </w:r>
      <w:r>
        <w:t xml:space="preserve">This document contains information that is the subject of an application for an order made under the </w:t>
      </w:r>
      <w:r>
        <w:rPr>
          <w:i/>
        </w:rPr>
        <w:t>Rules of the Supreme Court 1971</w:t>
      </w:r>
      <w:r>
        <w:t xml:space="preserve"> Order 67B rule 5 that restricts access to it.;</w:t>
      </w:r>
    </w:p>
    <w:p w:rsidR="00425758" w:rsidRDefault="00425758">
      <w:pPr>
        <w:pStyle w:val="Indenta"/>
      </w:pPr>
      <w:r>
        <w:tab/>
        <w:t>(b)</w:t>
      </w:r>
      <w:r>
        <w:tab/>
        <w:t>within 1 day after filing it, file an application that complies with Order 67B rule 5(2) and that applies for an order made under Order 67B rule 5(3).</w:t>
      </w:r>
    </w:p>
    <w:p w:rsidR="00425758" w:rsidRDefault="00425758">
      <w:pPr>
        <w:pStyle w:val="Subsection"/>
      </w:pPr>
      <w:r>
        <w:tab/>
        <w:t>(4)</w:t>
      </w:r>
      <w:r>
        <w:tab/>
        <w:t>If the person who filed the document does not comply with subrule (2) or (3), as the case requires, the Principal Registrar may exercise the powers in rule 10(6).</w:t>
      </w:r>
    </w:p>
    <w:p w:rsidR="00425758" w:rsidRDefault="00425758">
      <w:pPr>
        <w:pStyle w:val="Footnotesection"/>
      </w:pPr>
      <w:r>
        <w:tab/>
        <w:t xml:space="preserve">[Rule 12 inserted: Gazette 27 Feb 2018 p. 593-4.] </w:t>
      </w:r>
    </w:p>
    <w:p w:rsidR="00425758" w:rsidRDefault="00425758">
      <w:pPr>
        <w:pStyle w:val="Heading5"/>
      </w:pPr>
      <w:bookmarkStart w:id="1056" w:name="_Toc75863658"/>
      <w:r>
        <w:rPr>
          <w:rStyle w:val="CharSectno"/>
        </w:rPr>
        <w:t>13</w:t>
      </w:r>
      <w:r>
        <w:t>.</w:t>
      </w:r>
      <w:r>
        <w:tab/>
        <w:t>Restricted documents</w:t>
      </w:r>
      <w:bookmarkEnd w:id="1056"/>
    </w:p>
    <w:p w:rsidR="00425758" w:rsidRDefault="00425758">
      <w:pPr>
        <w:pStyle w:val="Subsection"/>
      </w:pPr>
      <w:r>
        <w:tab/>
        <w:t>(1)</w:t>
      </w:r>
      <w:r>
        <w:tab/>
        <w:t>This rule applies if under rule 10(1) a person advises the Court that a document presented for filing is a restricted document.</w:t>
      </w:r>
    </w:p>
    <w:p w:rsidR="00425758" w:rsidRDefault="00425758">
      <w:pPr>
        <w:pStyle w:val="Subsection"/>
      </w:pPr>
      <w:r>
        <w:tab/>
        <w:t>(2)</w:t>
      </w:r>
      <w:r>
        <w:tab/>
        <w:t xml:space="preserve">If the document was filed electronically, the person who filed it must, within 24 hours after filing it, do the following — </w:t>
      </w:r>
    </w:p>
    <w:p w:rsidR="00425758" w:rsidRDefault="00425758">
      <w:pPr>
        <w:pStyle w:val="Indenta"/>
      </w:pPr>
      <w:r>
        <w:tab/>
        <w:t>(a)</w:t>
      </w:r>
      <w:r>
        <w:tab/>
        <w:t>file electronically a memorandum that does the following —</w:t>
      </w:r>
    </w:p>
    <w:p w:rsidR="00425758" w:rsidRDefault="00425758">
      <w:pPr>
        <w:pStyle w:val="Indenti"/>
      </w:pPr>
      <w:r>
        <w:tab/>
        <w:t>(i)</w:t>
      </w:r>
      <w:r>
        <w:tab/>
        <w:t>states —</w:t>
      </w:r>
    </w:p>
    <w:p w:rsidR="00425758" w:rsidRDefault="00425758">
      <w:pPr>
        <w:pStyle w:val="Indenti"/>
      </w:pPr>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p>
    <w:p w:rsidR="00425758" w:rsidRDefault="00425758">
      <w:pPr>
        <w:pStyle w:val="Indenti"/>
      </w:pPr>
      <w:r>
        <w:tab/>
        <w:t>(ii)</w:t>
      </w:r>
      <w:r>
        <w:tab/>
        <w:t>explains why the document is a restricted document;</w:t>
      </w:r>
    </w:p>
    <w:p w:rsidR="00425758" w:rsidRDefault="00425758">
      <w:pPr>
        <w:pStyle w:val="Indenti"/>
      </w:pPr>
      <w:r>
        <w:lastRenderedPageBreak/>
        <w:tab/>
        <w:t>(iii)</w:t>
      </w:r>
      <w:r>
        <w:tab/>
        <w:t>if the document is a restricted document by virtue of legislation, or a court order, identify the legislation or order;</w:t>
      </w:r>
    </w:p>
    <w:p w:rsidR="00425758" w:rsidRDefault="00425758">
      <w:pPr>
        <w:pStyle w:val="Indenti"/>
      </w:pPr>
      <w:r>
        <w:tab/>
        <w:t>(iv)</w:t>
      </w:r>
      <w:r>
        <w:tab/>
        <w:t>states the conditions, if any, that the Court should impose if it were to give access to the document to anyone other than the person filing it and a judge or master;</w:t>
      </w:r>
    </w:p>
    <w:p w:rsidR="00425758" w:rsidRDefault="00425758">
      <w:pPr>
        <w:pStyle w:val="Indenti"/>
      </w:pPr>
      <w:r>
        <w:tab/>
        <w:t>(v)</w:t>
      </w:r>
      <w:r>
        <w:tab/>
        <w:t>states whether the document will cease to be a restricted document and, if so, when it will cease to be a restricted document;</w:t>
      </w:r>
    </w:p>
    <w:p w:rsidR="00425758" w:rsidRDefault="00425758">
      <w:pPr>
        <w:pStyle w:val="Indenta"/>
      </w:pPr>
      <w:r>
        <w:tab/>
        <w:t>(b)</w:t>
      </w:r>
      <w:r>
        <w:tab/>
        <w:t>if the document is a restricted document by virtue of a court order, file electronically a copy of the order;</w:t>
      </w:r>
    </w:p>
    <w:p w:rsidR="00425758" w:rsidRDefault="00425758">
      <w:pPr>
        <w:pStyle w:val="Indenta"/>
      </w:pPr>
      <w:r>
        <w:tab/>
        <w:t>(c)</w:t>
      </w:r>
      <w:r>
        <w:tab/>
        <w:t>if the document is a not a restricted document by virtue of legislation or a court order — file electronically an application that complies with Order 67B rule 5(2) and that applies for an order made under Order 67B rule 5(3).</w:t>
      </w:r>
    </w:p>
    <w:p w:rsidR="00425758" w:rsidRDefault="00425758">
      <w:pPr>
        <w:pStyle w:val="Subsection"/>
      </w:pPr>
      <w:r>
        <w:tab/>
        <w:t>(3)</w:t>
      </w:r>
      <w:r>
        <w:tab/>
        <w:t>If the document was not filed electronically, the person who filed it must do the following —</w:t>
      </w:r>
    </w:p>
    <w:p w:rsidR="00425758" w:rsidRDefault="00425758">
      <w:pPr>
        <w:pStyle w:val="Indenta"/>
      </w:pPr>
      <w:r>
        <w:tab/>
        <w:t>(a)</w:t>
      </w:r>
      <w:r>
        <w:tab/>
        <w:t>ensure the document has a cover sheet that includes this statement —</w:t>
      </w:r>
    </w:p>
    <w:p w:rsidR="00425758" w:rsidRDefault="00425758">
      <w:pPr>
        <w:pStyle w:val="Indenta"/>
      </w:pPr>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p>
    <w:p w:rsidR="00425758" w:rsidRDefault="00425758">
      <w:pPr>
        <w:pStyle w:val="Indenta"/>
      </w:pPr>
      <w:r>
        <w:tab/>
        <w:t>(b)</w:t>
      </w:r>
      <w:r>
        <w:tab/>
        <w:t>within 1 day after filing it, file an application that complies with Order 67B rule 5(2) and that applies for an order made under Order 67B rule 5(3).</w:t>
      </w:r>
    </w:p>
    <w:p w:rsidR="00425758" w:rsidRDefault="00425758">
      <w:pPr>
        <w:pStyle w:val="Subsection"/>
      </w:pPr>
      <w:r>
        <w:tab/>
        <w:t>(4)</w:t>
      </w:r>
      <w:r>
        <w:tab/>
        <w:t>If the person who filed the document does not comply with subrule (2) or (3), as the case requires, the Principal Registrar may exercise the powers in rule 10(6).</w:t>
      </w:r>
    </w:p>
    <w:p w:rsidR="00425758" w:rsidRDefault="00425758">
      <w:pPr>
        <w:pStyle w:val="Subsection"/>
        <w:keepNext/>
      </w:pPr>
      <w:r>
        <w:lastRenderedPageBreak/>
        <w:tab/>
        <w:t>(5)</w:t>
      </w:r>
      <w:r>
        <w:tab/>
        <w:t>If a judge or master is not satisfied the document is a restricted document, the judge or master —</w:t>
      </w:r>
    </w:p>
    <w:p w:rsidR="00425758" w:rsidRDefault="00425758">
      <w:pPr>
        <w:pStyle w:val="Indenta"/>
      </w:pPr>
      <w:r>
        <w:tab/>
        <w:t>(a)</w:t>
      </w:r>
      <w:r>
        <w:tab/>
        <w:t>must notify the person who filed the document accordingly; and</w:t>
      </w:r>
    </w:p>
    <w:p w:rsidR="00425758" w:rsidRDefault="00425758">
      <w:pPr>
        <w:pStyle w:val="Indenta"/>
      </w:pPr>
      <w:r>
        <w:tab/>
        <w:t>(b)</w:t>
      </w:r>
      <w:r>
        <w:tab/>
        <w:t>may direct the Principal Registrar to exercise the powers in rule 10(6).</w:t>
      </w:r>
    </w:p>
    <w:p w:rsidR="00425758" w:rsidRDefault="00425758">
      <w:pPr>
        <w:pStyle w:val="Footnotesection"/>
      </w:pPr>
      <w:r>
        <w:tab/>
        <w:t xml:space="preserve">[Rule 13 inserted: Gazette 27 Feb 2018 p. 594-5.] </w:t>
      </w:r>
    </w:p>
    <w:p w:rsidR="00425758" w:rsidRDefault="00425758">
      <w:pPr>
        <w:pStyle w:val="Heading5"/>
      </w:pPr>
      <w:bookmarkStart w:id="1057" w:name="_Toc75863659"/>
      <w:r>
        <w:rPr>
          <w:rStyle w:val="CharSectno"/>
        </w:rPr>
        <w:t>14</w:t>
      </w:r>
      <w:r>
        <w:t>.</w:t>
      </w:r>
      <w:r>
        <w:tab/>
        <w:t>Documents that are not to be accessible to judiciary</w:t>
      </w:r>
      <w:bookmarkEnd w:id="1057"/>
    </w:p>
    <w:p w:rsidR="00425758" w:rsidRDefault="00425758">
      <w:pPr>
        <w:pStyle w:val="Subsection"/>
      </w:pPr>
      <w:r>
        <w:tab/>
        <w:t>(1)</w:t>
      </w:r>
      <w:r>
        <w:tab/>
        <w:t>This rule applies if under rule 10(1) a person advises the Court that the existence and content of a document presented for filing must not be made accessible or known to the judge or master who is or will be trying the case in respect of which the document is filed.</w:t>
      </w:r>
    </w:p>
    <w:p w:rsidR="00425758" w:rsidRDefault="00425758">
      <w:pPr>
        <w:pStyle w:val="Subsection"/>
      </w:pPr>
      <w:r>
        <w:tab/>
        <w:t>(2)</w:t>
      </w:r>
      <w:r>
        <w:tab/>
        <w:t>If the document was filed electronically, the person who filed it must, within 24 hours after filing it, file electronically a memorandum that does the following —</w:t>
      </w:r>
    </w:p>
    <w:p w:rsidR="00425758" w:rsidRDefault="00425758">
      <w:pPr>
        <w:pStyle w:val="Indenta"/>
      </w:pPr>
      <w:r>
        <w:tab/>
        <w:t>(a)</w:t>
      </w:r>
      <w:r>
        <w:tab/>
        <w:t>states —</w:t>
      </w:r>
    </w:p>
    <w:p w:rsidR="00425758" w:rsidRDefault="00425758">
      <w:pPr>
        <w:pStyle w:val="Indenta"/>
      </w:pPr>
      <w:r>
        <w:tab/>
      </w:r>
      <w:r>
        <w:tab/>
      </w:r>
      <w:r>
        <w:rPr>
          <w:b/>
        </w:rPr>
        <w:t>Attention:</w:t>
      </w:r>
      <w:r>
        <w:t xml:space="preserve"> [</w:t>
      </w:r>
      <w:r>
        <w:rPr>
          <w:i/>
        </w:rPr>
        <w:t>Identify the document</w:t>
      </w:r>
      <w:r>
        <w:t>] is a document the existence and content of which must not be made accessible or known to the judge or master who is or will be trying the case in respect of which it is filed.;</w:t>
      </w:r>
    </w:p>
    <w:p w:rsidR="00425758" w:rsidRDefault="00425758">
      <w:pPr>
        <w:pStyle w:val="Indenta"/>
      </w:pPr>
      <w:r>
        <w:tab/>
        <w:t>(b)</w:t>
      </w:r>
      <w:r>
        <w:tab/>
        <w:t>explains why the document is such a document;</w:t>
      </w:r>
    </w:p>
    <w:p w:rsidR="00425758" w:rsidRDefault="00425758">
      <w:pPr>
        <w:pStyle w:val="Indenta"/>
      </w:pPr>
      <w:r>
        <w:tab/>
        <w:t>(c)</w:t>
      </w:r>
      <w:r>
        <w:tab/>
        <w:t>states whether the document will cease to be such a document and, if so, when it will cease to be such a document.</w:t>
      </w:r>
    </w:p>
    <w:p w:rsidR="00425758" w:rsidRDefault="00425758">
      <w:pPr>
        <w:pStyle w:val="Subsection"/>
      </w:pPr>
      <w:r>
        <w:tab/>
        <w:t>(3)</w:t>
      </w:r>
      <w:r>
        <w:tab/>
        <w:t>If the document was not filed electronically, the person who filed it must do the following —</w:t>
      </w:r>
    </w:p>
    <w:p w:rsidR="00425758" w:rsidRDefault="00425758">
      <w:pPr>
        <w:pStyle w:val="Indenta"/>
      </w:pPr>
      <w:r>
        <w:tab/>
        <w:t>(a)</w:t>
      </w:r>
      <w:r>
        <w:tab/>
        <w:t>ensure the document has a cover sheet that includes this statement —</w:t>
      </w:r>
    </w:p>
    <w:p w:rsidR="00425758" w:rsidRDefault="00425758">
      <w:pPr>
        <w:pStyle w:val="Indenta"/>
      </w:pPr>
      <w:r>
        <w:tab/>
      </w:r>
      <w:r>
        <w:tab/>
      </w:r>
      <w:r>
        <w:rPr>
          <w:b/>
        </w:rPr>
        <w:t>Attention:</w:t>
      </w:r>
      <w:r>
        <w:t xml:space="preserve"> [</w:t>
      </w:r>
      <w:r>
        <w:rPr>
          <w:i/>
        </w:rPr>
        <w:t>Identify the document</w:t>
      </w:r>
      <w:r>
        <w:t xml:space="preserve">] is a document the existence and content of which must not be made </w:t>
      </w:r>
      <w:r>
        <w:lastRenderedPageBreak/>
        <w:t>accessible or known to the judge or master who is or will be trying the case in respect of which it is filed.;</w:t>
      </w:r>
    </w:p>
    <w:p w:rsidR="00425758" w:rsidRDefault="00425758">
      <w:pPr>
        <w:pStyle w:val="Indenta"/>
      </w:pPr>
      <w:r>
        <w:tab/>
        <w:t>(b)</w:t>
      </w:r>
      <w:r>
        <w:tab/>
        <w:t>within 1 day after filing it, file a memorandum that does the following —</w:t>
      </w:r>
    </w:p>
    <w:p w:rsidR="00425758" w:rsidRDefault="00425758">
      <w:pPr>
        <w:pStyle w:val="Indenti"/>
      </w:pPr>
      <w:r>
        <w:tab/>
        <w:t>(i)</w:t>
      </w:r>
      <w:r>
        <w:tab/>
        <w:t>explains why the document is such a document;</w:t>
      </w:r>
    </w:p>
    <w:p w:rsidR="00425758" w:rsidRDefault="00425758">
      <w:pPr>
        <w:pStyle w:val="Indenti"/>
      </w:pPr>
      <w:r>
        <w:tab/>
        <w:t>(ii)</w:t>
      </w:r>
      <w:r>
        <w:tab/>
        <w:t>states whether the document will cease to be such a document and, if so, when it will cease to be such a document.</w:t>
      </w:r>
    </w:p>
    <w:p w:rsidR="00425758" w:rsidRDefault="00425758">
      <w:pPr>
        <w:pStyle w:val="Subsection"/>
      </w:pPr>
      <w:r>
        <w:tab/>
        <w:t>(4)</w:t>
      </w:r>
      <w:r>
        <w:tab/>
        <w:t>If the person who filed the document does not comply with subrule (2) or (3), as the case requires, the Principal Registrar may exercise the powers in rule 10(6).</w:t>
      </w:r>
    </w:p>
    <w:p w:rsidR="00425758" w:rsidRDefault="00425758">
      <w:pPr>
        <w:pStyle w:val="Footnotesection"/>
      </w:pPr>
      <w:r>
        <w:tab/>
        <w:t xml:space="preserve">[Rule 14 inserted: Gazette 27 Feb 2018 p. 596-7.] </w:t>
      </w:r>
    </w:p>
    <w:p w:rsidR="00425758" w:rsidRDefault="00425758">
      <w:pPr>
        <w:pStyle w:val="Heading3"/>
      </w:pPr>
      <w:bookmarkStart w:id="1058" w:name="_Toc75512564"/>
      <w:bookmarkStart w:id="1059" w:name="_Toc75863660"/>
      <w:r>
        <w:rPr>
          <w:rStyle w:val="CharDivNo"/>
        </w:rPr>
        <w:t>Division 4</w:t>
      </w:r>
      <w:r>
        <w:t> — </w:t>
      </w:r>
      <w:r>
        <w:rPr>
          <w:rStyle w:val="CharDivText"/>
        </w:rPr>
        <w:t>Miscellaneous matters</w:t>
      </w:r>
      <w:bookmarkEnd w:id="1058"/>
      <w:bookmarkEnd w:id="1059"/>
    </w:p>
    <w:p w:rsidR="00425758" w:rsidRDefault="00425758">
      <w:pPr>
        <w:pStyle w:val="Footnoteheading"/>
      </w:pPr>
      <w:r>
        <w:tab/>
        <w:t xml:space="preserve">[Heading inserted: Gazette 27 Feb 2018 p. 597.] </w:t>
      </w:r>
    </w:p>
    <w:p w:rsidR="00425758" w:rsidRDefault="00425758">
      <w:pPr>
        <w:pStyle w:val="Heading5"/>
      </w:pPr>
      <w:bookmarkStart w:id="1060" w:name="_Toc75863661"/>
      <w:r>
        <w:rPr>
          <w:rStyle w:val="CharSectno"/>
        </w:rPr>
        <w:t>15</w:t>
      </w:r>
      <w:r>
        <w:t>.</w:t>
      </w:r>
      <w:r>
        <w:tab/>
        <w:t>Principal Registrar may delegate</w:t>
      </w:r>
      <w:bookmarkEnd w:id="1060"/>
    </w:p>
    <w:p w:rsidR="00425758" w:rsidRDefault="00425758">
      <w:pPr>
        <w:pStyle w:val="Subsection"/>
      </w:pPr>
      <w:r>
        <w:tab/>
        <w:t>(1)</w:t>
      </w:r>
      <w:r>
        <w:tab/>
        <w:t>The Principal Registrar, in writing, may delegate all or any of the Principal Registrar’s functions under this Order to 1 or more other officers of the Court.</w:t>
      </w:r>
    </w:p>
    <w:p w:rsidR="00425758" w:rsidRDefault="00425758">
      <w:pPr>
        <w:pStyle w:val="Subsection"/>
      </w:pPr>
      <w:r>
        <w:tab/>
        <w:t>(2)</w:t>
      </w:r>
      <w:r>
        <w:tab/>
        <w:t>For the purposes of these rules, a decision made by a delegate of the Principal Registrar under this Order is taken to be a decision made by the Principal Registrar.</w:t>
      </w:r>
    </w:p>
    <w:p w:rsidR="00425758" w:rsidRDefault="00425758">
      <w:pPr>
        <w:pStyle w:val="Footnotesection"/>
      </w:pPr>
      <w:r>
        <w:tab/>
        <w:t xml:space="preserve">[Rule 15 inserted: Gazette 27 Feb 2018 p. 597.] </w:t>
      </w:r>
    </w:p>
    <w:p w:rsidR="00425758" w:rsidRDefault="00425758">
      <w:pPr>
        <w:pStyle w:val="Heading5"/>
      </w:pPr>
      <w:bookmarkStart w:id="1061" w:name="_Toc75863662"/>
      <w:r>
        <w:rPr>
          <w:rStyle w:val="CharSectno"/>
        </w:rPr>
        <w:t>16</w:t>
      </w:r>
      <w:r>
        <w:t>.</w:t>
      </w:r>
      <w:r>
        <w:tab/>
        <w:t>Principal Registrar may refer matters to judge or master</w:t>
      </w:r>
      <w:bookmarkEnd w:id="1061"/>
    </w:p>
    <w:p w:rsidR="00425758" w:rsidRDefault="00425758">
      <w:pPr>
        <w:pStyle w:val="Subsection"/>
      </w:pPr>
      <w:r>
        <w:tab/>
      </w:r>
      <w:r>
        <w:tab/>
        <w:t>The Principal Registrar may refer a question that arises under this Order in respect of a document to a judge or master.</w:t>
      </w:r>
    </w:p>
    <w:p w:rsidR="00425758" w:rsidRDefault="00425758">
      <w:pPr>
        <w:pStyle w:val="Footnotesection"/>
      </w:pPr>
      <w:r>
        <w:tab/>
        <w:t xml:space="preserve">[Rule 16 inserted: Gazette 27 Feb 2018 p. 597.] </w:t>
      </w:r>
    </w:p>
    <w:p w:rsidR="00425758" w:rsidRDefault="00425758">
      <w:pPr>
        <w:pStyle w:val="Heading5"/>
      </w:pPr>
      <w:bookmarkStart w:id="1062" w:name="_Toc75863663"/>
      <w:r>
        <w:rPr>
          <w:rStyle w:val="CharSectno"/>
        </w:rPr>
        <w:lastRenderedPageBreak/>
        <w:t>17</w:t>
      </w:r>
      <w:r>
        <w:t>.</w:t>
      </w:r>
      <w:r>
        <w:tab/>
        <w:t>Appeals from decisions made under this Order</w:t>
      </w:r>
      <w:bookmarkEnd w:id="1062"/>
    </w:p>
    <w:p w:rsidR="00425758" w:rsidRDefault="00425758">
      <w:pPr>
        <w:pStyle w:val="Subsection"/>
      </w:pPr>
      <w:r>
        <w:tab/>
        <w:t>(1)</w:t>
      </w:r>
      <w:r>
        <w:tab/>
        <w:t>A person who is dissatisfied by a decision made under this Order by the Principal Registrar may ask the Principal Registrar for the decision to be made afresh by a judge or master.</w:t>
      </w:r>
    </w:p>
    <w:p w:rsidR="00425758" w:rsidRDefault="00425758">
      <w:pPr>
        <w:pStyle w:val="Subsection"/>
      </w:pPr>
      <w:r>
        <w:tab/>
        <w:t>(2)</w:t>
      </w:r>
      <w:r>
        <w:tab/>
        <w:t>If the Principal Registrar receives a request made under subrule (1), the Principal Registrar must refer the matter concerned to a judge or master.</w:t>
      </w:r>
    </w:p>
    <w:p w:rsidR="00425758" w:rsidRDefault="00425758">
      <w:pPr>
        <w:pStyle w:val="Footnotesection"/>
      </w:pPr>
      <w:r>
        <w:tab/>
        <w:t xml:space="preserve">[Rule 17 inserted: Gazette 27 Feb 2018 p. 597.] </w:t>
      </w:r>
    </w:p>
    <w:p w:rsidR="00425758" w:rsidRDefault="00425758">
      <w:pPr>
        <w:pStyle w:val="Heading2"/>
      </w:pPr>
      <w:bookmarkStart w:id="1063" w:name="_Toc75512568"/>
      <w:bookmarkStart w:id="1064" w:name="_Toc75863664"/>
      <w:r>
        <w:rPr>
          <w:rStyle w:val="CharPartNo"/>
        </w:rPr>
        <w:lastRenderedPageBreak/>
        <w:t>Order 67B</w:t>
      </w:r>
      <w:r>
        <w:rPr>
          <w:b w:val="0"/>
        </w:rPr>
        <w:t> </w:t>
      </w:r>
      <w:r>
        <w:t>—</w:t>
      </w:r>
      <w:r>
        <w:rPr>
          <w:b w:val="0"/>
        </w:rPr>
        <w:t> </w:t>
      </w:r>
      <w:r>
        <w:rPr>
          <w:rStyle w:val="CharPartText"/>
        </w:rPr>
        <w:t>Access to information and things held by the Court</w:t>
      </w:r>
      <w:bookmarkEnd w:id="1063"/>
      <w:bookmarkEnd w:id="1064"/>
    </w:p>
    <w:p w:rsidR="00425758" w:rsidRDefault="00425758">
      <w:pPr>
        <w:pStyle w:val="Footnoteheading"/>
      </w:pPr>
      <w:r>
        <w:tab/>
        <w:t xml:space="preserve">[Heading inserted: Gazette 27 Feb 2018 p. 598.] </w:t>
      </w:r>
    </w:p>
    <w:p w:rsidR="00425758" w:rsidRDefault="00425758">
      <w:pPr>
        <w:pStyle w:val="Heading3"/>
      </w:pPr>
      <w:bookmarkStart w:id="1065" w:name="_Toc75512569"/>
      <w:bookmarkStart w:id="1066" w:name="_Toc75863665"/>
      <w:r>
        <w:rPr>
          <w:rStyle w:val="CharDivNo"/>
        </w:rPr>
        <w:t>Division 1</w:t>
      </w:r>
      <w:r>
        <w:t> — </w:t>
      </w:r>
      <w:r>
        <w:rPr>
          <w:rStyle w:val="CharDivText"/>
        </w:rPr>
        <w:t>Preliminary matters</w:t>
      </w:r>
      <w:bookmarkEnd w:id="1065"/>
      <w:bookmarkEnd w:id="1066"/>
    </w:p>
    <w:p w:rsidR="00425758" w:rsidRDefault="00425758">
      <w:pPr>
        <w:pStyle w:val="Footnoteheading"/>
      </w:pPr>
      <w:r>
        <w:tab/>
        <w:t xml:space="preserve">[Heading inserted: Gazette 27 Feb 2018 p. 598.] </w:t>
      </w:r>
    </w:p>
    <w:p w:rsidR="00425758" w:rsidRDefault="00425758">
      <w:pPr>
        <w:pStyle w:val="Heading5"/>
      </w:pPr>
      <w:bookmarkStart w:id="1067" w:name="_Toc75863666"/>
      <w:r>
        <w:rPr>
          <w:rStyle w:val="CharSectno"/>
        </w:rPr>
        <w:t>1</w:t>
      </w:r>
      <w:r>
        <w:t>.</w:t>
      </w:r>
      <w:r>
        <w:tab/>
        <w:t>Terms used</w:t>
      </w:r>
      <w:bookmarkEnd w:id="1067"/>
    </w:p>
    <w:p w:rsidR="00425758" w:rsidRDefault="00425758">
      <w:pPr>
        <w:pStyle w:val="Subsection"/>
      </w:pPr>
      <w:r>
        <w:tab/>
        <w:t>(1)</w:t>
      </w:r>
      <w:r>
        <w:tab/>
        <w:t>In this Order —</w:t>
      </w:r>
    </w:p>
    <w:p w:rsidR="00425758" w:rsidRDefault="00425758">
      <w:pPr>
        <w:pStyle w:val="Defstart"/>
      </w:pPr>
      <w:r>
        <w:tab/>
      </w:r>
      <w:r>
        <w:rPr>
          <w:rStyle w:val="CharDefText"/>
        </w:rPr>
        <w:t>hearing</w:t>
      </w:r>
      <w:r>
        <w:t xml:space="preserve"> means any hearing, including a trial, held by the Court in a proceeding;</w:t>
      </w:r>
    </w:p>
    <w:p w:rsidR="00425758" w:rsidRDefault="00425758">
      <w:pPr>
        <w:pStyle w:val="Defstart"/>
      </w:pPr>
      <w:r>
        <w:tab/>
      </w:r>
      <w:r>
        <w:rPr>
          <w:rStyle w:val="CharDefText"/>
        </w:rPr>
        <w:t>legislation</w:t>
      </w:r>
      <w:r>
        <w:t xml:space="preserve"> means — </w:t>
      </w:r>
    </w:p>
    <w:p w:rsidR="00425758" w:rsidRDefault="00425758">
      <w:pPr>
        <w:pStyle w:val="Defpara"/>
      </w:pPr>
      <w:r>
        <w:tab/>
        <w:t>(a)</w:t>
      </w:r>
      <w:r>
        <w:tab/>
        <w:t>a written law; or</w:t>
      </w:r>
    </w:p>
    <w:p w:rsidR="00425758" w:rsidRDefault="00425758">
      <w:pPr>
        <w:pStyle w:val="Defpara"/>
      </w:pPr>
      <w:r>
        <w:tab/>
        <w:t>(b)</w:t>
      </w:r>
      <w:r>
        <w:tab/>
        <w:t>legislation of another Australian jurisdiction;</w:t>
      </w:r>
    </w:p>
    <w:p w:rsidR="00425758" w:rsidRDefault="00425758">
      <w:pPr>
        <w:pStyle w:val="Defstart"/>
      </w:pPr>
      <w:r>
        <w:rPr>
          <w:szCs w:val="24"/>
        </w:rPr>
        <w:tab/>
      </w:r>
      <w:r>
        <w:rPr>
          <w:rStyle w:val="CharDefText"/>
          <w:szCs w:val="24"/>
        </w:rPr>
        <w:t>media manager</w:t>
      </w:r>
      <w:r>
        <w:rPr>
          <w:szCs w:val="24"/>
        </w:rPr>
        <w:t xml:space="preserve"> means the person who, on behalf of the Court, manages its relations with media organisations;</w:t>
      </w:r>
    </w:p>
    <w:p w:rsidR="00425758" w:rsidRDefault="00425758">
      <w:pPr>
        <w:pStyle w:val="Defstart"/>
      </w:pPr>
      <w:r>
        <w:tab/>
      </w:r>
      <w:r>
        <w:rPr>
          <w:rStyle w:val="CharDefText"/>
        </w:rPr>
        <w:t xml:space="preserve">media </w:t>
      </w:r>
      <w:r>
        <w:rPr>
          <w:rStyle w:val="CharDefText"/>
          <w:szCs w:val="24"/>
        </w:rPr>
        <w:t>organisation</w:t>
      </w:r>
      <w:r>
        <w:t xml:space="preserve"> means an organisation the principal purpose of which is to, and which itself does, disseminate news or information directly to the public by means of printed paper, radio, television or the internet;</w:t>
      </w:r>
    </w:p>
    <w:p w:rsidR="00425758" w:rsidRDefault="00425758">
      <w:pPr>
        <w:pStyle w:val="Defstart"/>
      </w:pPr>
      <w:r>
        <w:tab/>
      </w:r>
      <w:r>
        <w:rPr>
          <w:rStyle w:val="CharDefText"/>
        </w:rPr>
        <w:t>media representative</w:t>
      </w:r>
      <w:r>
        <w:t xml:space="preserve"> means a person who is employed by a media organisation;</w:t>
      </w:r>
    </w:p>
    <w:p w:rsidR="00425758" w:rsidRDefault="00425758">
      <w:pPr>
        <w:pStyle w:val="Defstart"/>
      </w:pPr>
      <w:r>
        <w:tab/>
      </w:r>
      <w:r>
        <w:rPr>
          <w:rStyle w:val="CharDefText"/>
        </w:rPr>
        <w:t>probate application</w:t>
      </w:r>
      <w:r>
        <w:t xml:space="preserve"> means an application for a grant, as defined in the </w:t>
      </w:r>
      <w:r>
        <w:rPr>
          <w:i/>
        </w:rPr>
        <w:t>Non</w:t>
      </w:r>
      <w:r>
        <w:rPr>
          <w:i/>
        </w:rPr>
        <w:noBreakHyphen/>
        <w:t>contentious Probate Rules 1967</w:t>
      </w:r>
      <w:r>
        <w:t xml:space="preserve"> rule 2;</w:t>
      </w:r>
    </w:p>
    <w:p w:rsidR="00425758" w:rsidRDefault="00425758">
      <w:pPr>
        <w:pStyle w:val="Defstart"/>
      </w:pPr>
      <w:r>
        <w:tab/>
      </w:r>
      <w:r>
        <w:rPr>
          <w:rStyle w:val="CharDefText"/>
        </w:rPr>
        <w:t>proceeding</w:t>
      </w:r>
      <w:r>
        <w:t xml:space="preserve"> means —</w:t>
      </w:r>
    </w:p>
    <w:p w:rsidR="00425758" w:rsidRDefault="00425758">
      <w:pPr>
        <w:pStyle w:val="Defpara"/>
      </w:pPr>
      <w:r>
        <w:tab/>
        <w:t>(a)</w:t>
      </w:r>
      <w:r>
        <w:tab/>
        <w:t>any case, or appeal, in the civil jurisdiction of the General Division; and</w:t>
      </w:r>
    </w:p>
    <w:p w:rsidR="00425758" w:rsidRDefault="00425758">
      <w:pPr>
        <w:pStyle w:val="Defpara"/>
      </w:pPr>
      <w:r>
        <w:tab/>
        <w:t>(b)</w:t>
      </w:r>
      <w:r>
        <w:tab/>
        <w:t xml:space="preserve">any civil appeal, as defined in the </w:t>
      </w:r>
      <w:r>
        <w:rPr>
          <w:i/>
        </w:rPr>
        <w:t>Supreme Court (Court of Appeal) Rules 2005</w:t>
      </w:r>
      <w:r>
        <w:t xml:space="preserve"> rule 3(1); and</w:t>
      </w:r>
    </w:p>
    <w:p w:rsidR="00425758" w:rsidRDefault="00425758">
      <w:pPr>
        <w:pStyle w:val="Defpara"/>
      </w:pPr>
      <w:r>
        <w:tab/>
        <w:t>(c)</w:t>
      </w:r>
      <w:r>
        <w:tab/>
        <w:t>any proceeding on a probate application;</w:t>
      </w:r>
    </w:p>
    <w:p w:rsidR="00425758" w:rsidRDefault="00425758">
      <w:pPr>
        <w:pStyle w:val="Defstart"/>
        <w:keepNext/>
      </w:pPr>
      <w:r>
        <w:lastRenderedPageBreak/>
        <w:tab/>
      </w:r>
      <w:r>
        <w:rPr>
          <w:rStyle w:val="CharDefText"/>
        </w:rPr>
        <w:t>record</w:t>
      </w:r>
      <w:r>
        <w:t xml:space="preserve"> means any thing or process —</w:t>
      </w:r>
    </w:p>
    <w:p w:rsidR="00425758" w:rsidRDefault="00425758">
      <w:pPr>
        <w:pStyle w:val="Defpara"/>
      </w:pPr>
      <w:r>
        <w:tab/>
        <w:t>(a)</w:t>
      </w:r>
      <w:r>
        <w:tab/>
        <w:t>upon or by which information is recorded or stored; or</w:t>
      </w:r>
    </w:p>
    <w:p w:rsidR="00425758" w:rsidRDefault="00425758">
      <w:pPr>
        <w:pStyle w:val="Defpara"/>
      </w:pPr>
      <w:r>
        <w:tab/>
        <w:t>(b)</w:t>
      </w:r>
      <w:r>
        <w:tab/>
        <w:t>by means of which a meaning can be conveyed by any means in a visible or recoverable form,</w:t>
      </w:r>
    </w:p>
    <w:p w:rsidR="00425758" w:rsidRDefault="00425758">
      <w:pPr>
        <w:pStyle w:val="Defstart"/>
      </w:pPr>
      <w:r>
        <w:tab/>
        <w:t>whether or not the use or assistance of some electronic, electrical, mechanical, chemical or other device or process is required to recover or convey the information or meaning;</w:t>
      </w:r>
    </w:p>
    <w:p w:rsidR="00425758" w:rsidRDefault="00425758">
      <w:pPr>
        <w:pStyle w:val="Defstart"/>
      </w:pPr>
      <w:r>
        <w:tab/>
      </w:r>
      <w:r>
        <w:rPr>
          <w:rStyle w:val="CharDefText"/>
        </w:rPr>
        <w:t>transcript</w:t>
      </w:r>
      <w:r>
        <w:t xml:space="preserve"> means a transcript of an audio or audio</w:t>
      </w:r>
      <w:r>
        <w:noBreakHyphen/>
        <w:t>visual recording of a hearing in the Court.</w:t>
      </w:r>
    </w:p>
    <w:p w:rsidR="00425758" w:rsidRDefault="00425758">
      <w:pPr>
        <w:pStyle w:val="Subsection"/>
      </w:pPr>
      <w:r>
        <w:tab/>
        <w:t>(2)</w:t>
      </w:r>
      <w:r>
        <w:tab/>
        <w:t>In this Order, a reference to information or to a record or thing includes a reference to a part of it.</w:t>
      </w:r>
    </w:p>
    <w:p w:rsidR="00425758" w:rsidRDefault="00425758">
      <w:pPr>
        <w:pStyle w:val="Footnotesection"/>
      </w:pPr>
      <w:r>
        <w:tab/>
        <w:t xml:space="preserve">[Rule 1 inserted: Gazette 27 Feb 2018 p. 598-9.] </w:t>
      </w:r>
    </w:p>
    <w:p w:rsidR="00425758" w:rsidRDefault="00425758">
      <w:pPr>
        <w:pStyle w:val="Heading5"/>
      </w:pPr>
      <w:bookmarkStart w:id="1068" w:name="_Toc75863667"/>
      <w:r>
        <w:rPr>
          <w:rStyle w:val="CharSectno"/>
        </w:rPr>
        <w:t>2</w:t>
      </w:r>
      <w:r>
        <w:t>.</w:t>
      </w:r>
      <w:r>
        <w:tab/>
        <w:t>Application of this Order</w:t>
      </w:r>
      <w:bookmarkEnd w:id="1068"/>
    </w:p>
    <w:p w:rsidR="00425758" w:rsidRDefault="00425758">
      <w:pPr>
        <w:pStyle w:val="Subsection"/>
      </w:pPr>
      <w:r>
        <w:tab/>
        <w:t>(1)</w:t>
      </w:r>
      <w:r>
        <w:tab/>
        <w:t>This Order applies to information, records and other things held by the Court in respect of proceedings, whether or not due to a Court order.</w:t>
      </w:r>
    </w:p>
    <w:p w:rsidR="00425758" w:rsidRDefault="00425758">
      <w:pPr>
        <w:pStyle w:val="Subsection"/>
      </w:pPr>
      <w:r>
        <w:tab/>
        <w:t>(2)</w:t>
      </w:r>
      <w:r>
        <w:tab/>
        <w:t xml:space="preserve">This Order, other than Division 7, applies — </w:t>
      </w:r>
    </w:p>
    <w:p w:rsidR="00425758" w:rsidRDefault="00425758">
      <w:pPr>
        <w:pStyle w:val="Indenta"/>
      </w:pPr>
      <w:r>
        <w:tab/>
        <w:t>(a)</w:t>
      </w:r>
      <w:r>
        <w:tab/>
        <w:t>to any person, other than a party to a proceeding, who wants access to information or a record or other thing held by the Court in respect of a proceeding commenced on or after 1 March 2018; and</w:t>
      </w:r>
    </w:p>
    <w:p w:rsidR="00425758" w:rsidRDefault="00425758">
      <w:pPr>
        <w:pStyle w:val="Indenta"/>
      </w:pPr>
      <w:r>
        <w:tab/>
        <w:t>(b)</w:t>
      </w:r>
      <w:r>
        <w:tab/>
        <w:t>to any party to a proceeding who wants access to information or a record or other thing held by the Court in respect of the proceeding, no matter when it was commenced.</w:t>
      </w:r>
    </w:p>
    <w:p w:rsidR="00425758" w:rsidRDefault="00425758">
      <w:pPr>
        <w:pStyle w:val="Subsection"/>
      </w:pPr>
      <w:r>
        <w:tab/>
        <w:t>(3)</w:t>
      </w:r>
      <w:r>
        <w:tab/>
        <w:t>Despite subrules (1) and (2), this Order does not apply to these —</w:t>
      </w:r>
    </w:p>
    <w:p w:rsidR="00425758" w:rsidRDefault="00425758">
      <w:pPr>
        <w:pStyle w:val="Indenta"/>
      </w:pPr>
      <w:r>
        <w:tab/>
        <w:t>(a)</w:t>
      </w:r>
      <w:r>
        <w:tab/>
        <w:t>a record or other thing —</w:t>
      </w:r>
    </w:p>
    <w:p w:rsidR="00425758" w:rsidRDefault="00425758">
      <w:pPr>
        <w:pStyle w:val="Indenti"/>
      </w:pPr>
      <w:r>
        <w:tab/>
        <w:t>(i)</w:t>
      </w:r>
      <w:r>
        <w:tab/>
        <w:t>that is held by the Court as a result of a subpoena it issued in a proceeding; and</w:t>
      </w:r>
    </w:p>
    <w:p w:rsidR="00425758" w:rsidRDefault="00425758">
      <w:pPr>
        <w:pStyle w:val="Indenti"/>
      </w:pPr>
      <w:r>
        <w:lastRenderedPageBreak/>
        <w:tab/>
        <w:t>(ii)</w:t>
      </w:r>
      <w:r>
        <w:tab/>
        <w:t>that has not been formally admitted into evidence as an exhibit, or marked for identification, in the proceeding;</w:t>
      </w:r>
    </w:p>
    <w:p w:rsidR="00425758" w:rsidRDefault="00425758">
      <w:pPr>
        <w:pStyle w:val="Indenta"/>
      </w:pPr>
      <w:r>
        <w:tab/>
        <w:t>(b)</w:t>
      </w:r>
      <w:r>
        <w:tab/>
        <w:t>information, records or other things that the Court has ceased to hold in respect of proceedings;</w:t>
      </w:r>
    </w:p>
    <w:p w:rsidR="00425758" w:rsidRDefault="00425758">
      <w:pPr>
        <w:pStyle w:val="Indenta"/>
      </w:pPr>
      <w:r>
        <w:tab/>
        <w:t>(c)</w:t>
      </w:r>
      <w:r>
        <w:tab/>
        <w:t>a record that —</w:t>
      </w:r>
    </w:p>
    <w:p w:rsidR="00425758" w:rsidRDefault="00425758">
      <w:pPr>
        <w:pStyle w:val="Indenti"/>
      </w:pPr>
      <w:r>
        <w:tab/>
        <w:t>(i)</w:t>
      </w:r>
      <w:r>
        <w:tab/>
        <w:t>is created by or sent to the Court in respect of a proceeding for administrative purposes; and</w:t>
      </w:r>
    </w:p>
    <w:p w:rsidR="00425758" w:rsidRDefault="00425758">
      <w:pPr>
        <w:pStyle w:val="Indenti"/>
      </w:pPr>
      <w:r>
        <w:tab/>
        <w:t>(ii)</w:t>
      </w:r>
      <w:r>
        <w:tab/>
        <w:t>is not a filed document; and</w:t>
      </w:r>
    </w:p>
    <w:p w:rsidR="00425758" w:rsidRDefault="00425758">
      <w:pPr>
        <w:pStyle w:val="Indenti"/>
      </w:pPr>
      <w:r>
        <w:tab/>
        <w:t>(iii)</w:t>
      </w:r>
      <w:r>
        <w:tab/>
        <w:t>is not part of an index or other record of all cases in the Court.</w:t>
      </w:r>
    </w:p>
    <w:p w:rsidR="00425758" w:rsidRDefault="00425758">
      <w:pPr>
        <w:pStyle w:val="Footnotesection"/>
      </w:pPr>
      <w:r>
        <w:tab/>
        <w:t xml:space="preserve">[Rule 2 inserted: Gazette 27 Feb 2018 p. 599-600.] </w:t>
      </w:r>
    </w:p>
    <w:p w:rsidR="00425758" w:rsidRDefault="00425758">
      <w:pPr>
        <w:pStyle w:val="Heading5"/>
      </w:pPr>
      <w:bookmarkStart w:id="1069" w:name="_Toc75863668"/>
      <w:r>
        <w:rPr>
          <w:rStyle w:val="CharSectno"/>
        </w:rPr>
        <w:t>3</w:t>
      </w:r>
      <w:r>
        <w:t>.</w:t>
      </w:r>
      <w:r>
        <w:tab/>
        <w:t>Access to information and things under other legislation</w:t>
      </w:r>
      <w:bookmarkEnd w:id="1069"/>
    </w:p>
    <w:p w:rsidR="00425758" w:rsidRDefault="00425758">
      <w:pPr>
        <w:pStyle w:val="Subsection"/>
      </w:pPr>
      <w:r>
        <w:tab/>
      </w:r>
      <w:r>
        <w:tab/>
        <w:t>This Order does not affect any entitlement a person has under any other legislation to be given access to information or a record or thing.</w:t>
      </w:r>
    </w:p>
    <w:p w:rsidR="00425758" w:rsidRDefault="00425758">
      <w:pPr>
        <w:pStyle w:val="Footnotesection"/>
      </w:pPr>
      <w:r>
        <w:tab/>
        <w:t xml:space="preserve">[Rule 3 inserted: Gazette 27 Feb 2018 p. 600.] </w:t>
      </w:r>
    </w:p>
    <w:p w:rsidR="00425758" w:rsidRDefault="00425758">
      <w:pPr>
        <w:pStyle w:val="Heading5"/>
      </w:pPr>
      <w:bookmarkStart w:id="1070" w:name="_Toc75863669"/>
      <w:r>
        <w:rPr>
          <w:rStyle w:val="CharSectno"/>
        </w:rPr>
        <w:t>4</w:t>
      </w:r>
      <w:r>
        <w:t>.</w:t>
      </w:r>
      <w:r>
        <w:tab/>
        <w:t>Order does not limit Court’s general power to release information</w:t>
      </w:r>
      <w:bookmarkEnd w:id="1070"/>
    </w:p>
    <w:p w:rsidR="00425758" w:rsidRDefault="00425758">
      <w:pPr>
        <w:pStyle w:val="Subsection"/>
      </w:pPr>
      <w:r>
        <w:tab/>
      </w:r>
      <w:r>
        <w:tab/>
        <w:t>This Order does not prevent the Court from releasing, on its own initiative, any information, record or other thing to any person, on any terms and conditions and in any manner, it thinks ﬁt.</w:t>
      </w:r>
    </w:p>
    <w:p w:rsidR="00425758" w:rsidRDefault="00425758">
      <w:pPr>
        <w:pStyle w:val="Footnotesection"/>
      </w:pPr>
      <w:r>
        <w:tab/>
        <w:t xml:space="preserve">[Rule 4 inserted: Gazette 27 Feb 2018 p. 600.] </w:t>
      </w:r>
    </w:p>
    <w:p w:rsidR="00425758" w:rsidRDefault="00425758">
      <w:pPr>
        <w:pStyle w:val="Heading3"/>
      </w:pPr>
      <w:bookmarkStart w:id="1071" w:name="_Toc75512574"/>
      <w:bookmarkStart w:id="1072" w:name="_Toc75863670"/>
      <w:r>
        <w:rPr>
          <w:rStyle w:val="CharDivNo"/>
        </w:rPr>
        <w:t>Division 2</w:t>
      </w:r>
      <w:r>
        <w:t> — </w:t>
      </w:r>
      <w:r>
        <w:rPr>
          <w:rStyle w:val="CharDivText"/>
        </w:rPr>
        <w:t>Orders restricting access</w:t>
      </w:r>
      <w:bookmarkEnd w:id="1071"/>
      <w:bookmarkEnd w:id="1072"/>
    </w:p>
    <w:p w:rsidR="00425758" w:rsidRDefault="00425758">
      <w:pPr>
        <w:pStyle w:val="Footnoteheading"/>
      </w:pPr>
      <w:r>
        <w:tab/>
        <w:t xml:space="preserve">[Heading inserted: Gazette 27 Feb 2018 p. 601.] </w:t>
      </w:r>
    </w:p>
    <w:p w:rsidR="00425758" w:rsidRDefault="00425758">
      <w:pPr>
        <w:pStyle w:val="Heading5"/>
      </w:pPr>
      <w:bookmarkStart w:id="1073" w:name="_Toc75863671"/>
      <w:r>
        <w:rPr>
          <w:rStyle w:val="CharSectno"/>
        </w:rPr>
        <w:t>5</w:t>
      </w:r>
      <w:r>
        <w:t>.</w:t>
      </w:r>
      <w:r>
        <w:tab/>
        <w:t>Court’s powers to restrict access</w:t>
      </w:r>
      <w:bookmarkEnd w:id="1073"/>
    </w:p>
    <w:p w:rsidR="00425758" w:rsidRDefault="00425758">
      <w:pPr>
        <w:pStyle w:val="Subsection"/>
      </w:pPr>
      <w:r>
        <w:tab/>
        <w:t>(1)</w:t>
      </w:r>
      <w:r>
        <w:tab/>
        <w:t xml:space="preserve">The Court may make an order under this rule — </w:t>
      </w:r>
    </w:p>
    <w:p w:rsidR="00425758" w:rsidRDefault="00425758">
      <w:pPr>
        <w:pStyle w:val="Indenta"/>
      </w:pPr>
      <w:r>
        <w:tab/>
        <w:t>(a)</w:t>
      </w:r>
      <w:r>
        <w:tab/>
        <w:t xml:space="preserve">on its own initiative; or </w:t>
      </w:r>
    </w:p>
    <w:p w:rsidR="00425758" w:rsidRDefault="00425758">
      <w:pPr>
        <w:pStyle w:val="Indenta"/>
      </w:pPr>
      <w:r>
        <w:lastRenderedPageBreak/>
        <w:tab/>
        <w:t>(b)</w:t>
      </w:r>
      <w:r>
        <w:tab/>
        <w:t>on the application of any person.</w:t>
      </w:r>
    </w:p>
    <w:p w:rsidR="00425758" w:rsidRDefault="00425758">
      <w:pPr>
        <w:pStyle w:val="Subsection"/>
      </w:pPr>
      <w:r>
        <w:tab/>
        <w:t>(2)</w:t>
      </w:r>
      <w:r>
        <w:tab/>
        <w:t>An application for an order made under subrule (3) must do the following —</w:t>
      </w:r>
    </w:p>
    <w:p w:rsidR="00425758" w:rsidRDefault="00425758">
      <w:pPr>
        <w:pStyle w:val="Indenta"/>
      </w:pPr>
      <w:r>
        <w:tab/>
        <w:t>(a)</w:t>
      </w:r>
      <w:r>
        <w:tab/>
        <w:t>state the grounds for the application;</w:t>
      </w:r>
    </w:p>
    <w:p w:rsidR="00425758" w:rsidRDefault="00425758">
      <w:pPr>
        <w:pStyle w:val="Indenta"/>
      </w:pPr>
      <w:r>
        <w:tab/>
        <w:t>(b)</w:t>
      </w:r>
      <w:r>
        <w:tab/>
        <w:t>identify the information, record or thing to which the order should apply;</w:t>
      </w:r>
    </w:p>
    <w:p w:rsidR="00425758" w:rsidRDefault="00425758">
      <w:pPr>
        <w:pStyle w:val="Indenta"/>
      </w:pPr>
      <w:r>
        <w:tab/>
        <w:t>(c)</w:t>
      </w:r>
      <w:r>
        <w:tab/>
        <w:t>state the person, or class of persons, whose access to the information, record or thing should be restricted by the order;</w:t>
      </w:r>
    </w:p>
    <w:p w:rsidR="00425758" w:rsidRDefault="00425758">
      <w:pPr>
        <w:pStyle w:val="Indenta"/>
      </w:pPr>
      <w:r>
        <w:tab/>
        <w:t>(d)</w:t>
      </w:r>
      <w:r>
        <w:tab/>
        <w:t>state any conditions that should apply if the Court were to give access to the information, record or thing;</w:t>
      </w:r>
    </w:p>
    <w:p w:rsidR="00425758" w:rsidRDefault="00425758">
      <w:pPr>
        <w:pStyle w:val="Indenta"/>
      </w:pPr>
      <w:r>
        <w:tab/>
        <w:t>(e)</w:t>
      </w:r>
      <w:r>
        <w:tab/>
        <w:t>state the period for which the order should apply.</w:t>
      </w:r>
    </w:p>
    <w:p w:rsidR="00425758" w:rsidRDefault="00425758">
      <w:pPr>
        <w:pStyle w:val="Subsection"/>
      </w:pPr>
      <w:r>
        <w:tab/>
        <w:t>(3)</w:t>
      </w:r>
      <w:r>
        <w:tab/>
        <w:t>The Court may make an order that restricts access to information or a record or other thing if it considers —</w:t>
      </w:r>
    </w:p>
    <w:p w:rsidR="00425758" w:rsidRDefault="00425758">
      <w:pPr>
        <w:pStyle w:val="Indenta"/>
      </w:pPr>
      <w:r>
        <w:tab/>
        <w:t>(a)</w:t>
      </w:r>
      <w:r>
        <w:tab/>
        <w:t>that the information, record or thing is the subject of a pending claim that it is privileged or confidential; or</w:t>
      </w:r>
    </w:p>
    <w:p w:rsidR="00425758" w:rsidRDefault="00425758">
      <w:pPr>
        <w:pStyle w:val="Indenta"/>
      </w:pPr>
      <w:r>
        <w:tab/>
        <w:t>(b)</w:t>
      </w:r>
      <w:r>
        <w:tab/>
        <w:t>that the information, record or thing is privileged or confidential; or</w:t>
      </w:r>
    </w:p>
    <w:p w:rsidR="00425758" w:rsidRDefault="00425758">
      <w:pPr>
        <w:pStyle w:val="Indenta"/>
      </w:pPr>
      <w:r>
        <w:tab/>
        <w:t>(c)</w:t>
      </w:r>
      <w:r>
        <w:tab/>
        <w:t>that in the interests of justice, access to the information, record or thing should be restricted.</w:t>
      </w:r>
    </w:p>
    <w:p w:rsidR="00425758" w:rsidRDefault="00425758">
      <w:pPr>
        <w:pStyle w:val="Subsection"/>
      </w:pPr>
      <w:r>
        <w:tab/>
        <w:t>(4)</w:t>
      </w:r>
      <w:r>
        <w:tab/>
        <w:t xml:space="preserve">An order made under subrule (3) must include the reasons for it and sufficient information to identify clearly — </w:t>
      </w:r>
    </w:p>
    <w:p w:rsidR="00425758" w:rsidRDefault="00425758">
      <w:pPr>
        <w:pStyle w:val="Indenta"/>
      </w:pPr>
      <w:r>
        <w:tab/>
        <w:t>(a)</w:t>
      </w:r>
      <w:r>
        <w:tab/>
        <w:t>the information, record or thing to which the order applies; and</w:t>
      </w:r>
    </w:p>
    <w:p w:rsidR="00425758" w:rsidRDefault="00425758">
      <w:pPr>
        <w:pStyle w:val="Indenta"/>
      </w:pPr>
      <w:r>
        <w:tab/>
        <w:t>(b)</w:t>
      </w:r>
      <w:r>
        <w:tab/>
        <w:t>the person, or class of persons, whose access to the information, record or thing is restricted by the order; and</w:t>
      </w:r>
    </w:p>
    <w:p w:rsidR="00425758" w:rsidRDefault="00425758">
      <w:pPr>
        <w:pStyle w:val="Indenta"/>
      </w:pPr>
      <w:r>
        <w:tab/>
        <w:t>(c)</w:t>
      </w:r>
      <w:r>
        <w:tab/>
        <w:t>any conditions that will apply if access to the information, record or thing were to be given by the Court; and</w:t>
      </w:r>
    </w:p>
    <w:p w:rsidR="00425758" w:rsidRDefault="00425758">
      <w:pPr>
        <w:pStyle w:val="Indenta"/>
      </w:pPr>
      <w:r>
        <w:tab/>
        <w:t>(d)</w:t>
      </w:r>
      <w:r>
        <w:tab/>
        <w:t>the period during which the order applies.</w:t>
      </w:r>
    </w:p>
    <w:p w:rsidR="00425758" w:rsidRDefault="00425758">
      <w:pPr>
        <w:pStyle w:val="Subsection"/>
      </w:pPr>
      <w:r>
        <w:lastRenderedPageBreak/>
        <w:tab/>
        <w:t>(5)</w:t>
      </w:r>
      <w:r>
        <w:tab/>
        <w:t>The Court may at any time, by order, amend or cancel an order made under subrule (3).</w:t>
      </w:r>
    </w:p>
    <w:p w:rsidR="00425758" w:rsidRDefault="00425758">
      <w:pPr>
        <w:pStyle w:val="Subsection"/>
      </w:pPr>
      <w:r>
        <w:tab/>
        <w:t>(6)</w:t>
      </w:r>
      <w:r>
        <w:tab/>
        <w:t>If an application is made for an order made under subrule (3) in respect of information or a record or other thing, access to the information, record or thing is taken to be unavailable to all but the Court and the applicant until the application is decided.</w:t>
      </w:r>
    </w:p>
    <w:p w:rsidR="00425758" w:rsidRDefault="00425758">
      <w:pPr>
        <w:pStyle w:val="Footnotesection"/>
      </w:pPr>
      <w:r>
        <w:tab/>
        <w:t xml:space="preserve">[Rule 5 inserted: Gazette 27 Feb 2018 p. 601-2.] </w:t>
      </w:r>
    </w:p>
    <w:p w:rsidR="00425758" w:rsidRDefault="00425758">
      <w:pPr>
        <w:pStyle w:val="Heading3"/>
      </w:pPr>
      <w:bookmarkStart w:id="1074" w:name="_Toc75512576"/>
      <w:bookmarkStart w:id="1075" w:name="_Toc75863672"/>
      <w:r>
        <w:rPr>
          <w:rStyle w:val="CharDivNo"/>
        </w:rPr>
        <w:t>Division 3</w:t>
      </w:r>
      <w:r>
        <w:t> — </w:t>
      </w:r>
      <w:r>
        <w:rPr>
          <w:rStyle w:val="CharDivText"/>
        </w:rPr>
        <w:t>Entitlements to access</w:t>
      </w:r>
      <w:bookmarkEnd w:id="1074"/>
      <w:bookmarkEnd w:id="1075"/>
    </w:p>
    <w:p w:rsidR="00425758" w:rsidRDefault="00425758">
      <w:pPr>
        <w:pStyle w:val="Footnoteheading"/>
      </w:pPr>
      <w:r>
        <w:tab/>
        <w:t xml:space="preserve">[Heading inserted: Gazette 27 Feb 2018 p. 602.] </w:t>
      </w:r>
    </w:p>
    <w:p w:rsidR="00425758" w:rsidRDefault="00425758">
      <w:pPr>
        <w:pStyle w:val="Heading5"/>
      </w:pPr>
      <w:bookmarkStart w:id="1076" w:name="_Toc75863673"/>
      <w:r>
        <w:rPr>
          <w:rStyle w:val="CharSectno"/>
        </w:rPr>
        <w:t>6</w:t>
      </w:r>
      <w:r>
        <w:t>.</w:t>
      </w:r>
      <w:r>
        <w:tab/>
        <w:t>Entitlements of every person</w:t>
      </w:r>
      <w:bookmarkEnd w:id="1076"/>
    </w:p>
    <w:p w:rsidR="00425758" w:rsidRDefault="00425758">
      <w:pPr>
        <w:pStyle w:val="Subsection"/>
      </w:pPr>
      <w:r>
        <w:tab/>
        <w:t>(1)</w:t>
      </w:r>
      <w:r>
        <w:tab/>
        <w:t>For the purposes of this rule, a person’s access to information or a document is restricted if the person’s access to it is restricted by —</w:t>
      </w:r>
    </w:p>
    <w:p w:rsidR="00425758" w:rsidRDefault="00425758">
      <w:pPr>
        <w:pStyle w:val="Indenta"/>
      </w:pPr>
      <w:r>
        <w:tab/>
        <w:t>(a)</w:t>
      </w:r>
      <w:r>
        <w:tab/>
        <w:t>legislation; or</w:t>
      </w:r>
    </w:p>
    <w:p w:rsidR="00425758" w:rsidRDefault="00425758">
      <w:pPr>
        <w:pStyle w:val="Indenta"/>
      </w:pPr>
      <w:r>
        <w:tab/>
        <w:t>(b)</w:t>
      </w:r>
      <w:r>
        <w:tab/>
        <w:t>an order made by a court in Australia.</w:t>
      </w:r>
    </w:p>
    <w:p w:rsidR="00425758" w:rsidRDefault="00425758">
      <w:pPr>
        <w:pStyle w:val="Subsection"/>
      </w:pPr>
      <w:r>
        <w:tab/>
        <w:t>(2)</w:t>
      </w:r>
      <w:r>
        <w:tab/>
        <w:t>Unless the person’s access to the information is restricted, any person is entitled to have access to the information listed in the Table held by the Court.</w:t>
      </w:r>
    </w:p>
    <w:p w:rsidR="00425758" w:rsidRDefault="00425758">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rsidR="00425758">
        <w:trPr>
          <w:cantSplit/>
        </w:trPr>
        <w:tc>
          <w:tcPr>
            <w:tcW w:w="5500" w:type="dxa"/>
            <w:tcBorders>
              <w:bottom w:val="single" w:sz="4" w:space="0" w:color="auto"/>
            </w:tcBorders>
          </w:tcPr>
          <w:p w:rsidR="00425758" w:rsidRDefault="00425758">
            <w:pPr>
              <w:pStyle w:val="TableNAm"/>
              <w:spacing w:before="0"/>
              <w:ind w:left="573" w:hanging="573"/>
            </w:pPr>
            <w:r>
              <w:rPr>
                <w:b/>
                <w:bCs/>
              </w:rPr>
              <w:t>A.</w:t>
            </w:r>
            <w:r>
              <w:rPr>
                <w:b/>
                <w:bCs/>
              </w:rPr>
              <w:tab/>
              <w:t>General Division (general jurisdiction) and Court of Appeal information</w:t>
            </w:r>
          </w:p>
        </w:tc>
      </w:tr>
      <w:tr w:rsidR="00425758">
        <w:trPr>
          <w:cantSplit/>
        </w:trPr>
        <w:tc>
          <w:tcPr>
            <w:tcW w:w="5500" w:type="dxa"/>
            <w:tcBorders>
              <w:bottom w:val="nil"/>
            </w:tcBorders>
          </w:tcPr>
          <w:p w:rsidR="00425758" w:rsidRDefault="00425758">
            <w:pPr>
              <w:pStyle w:val="TableNAm"/>
              <w:spacing w:before="0"/>
              <w:ind w:left="590" w:hanging="590"/>
            </w:pPr>
            <w:r>
              <w:t>1.</w:t>
            </w:r>
            <w:r>
              <w:tab/>
              <w:t>Whether a named person is or is not a party to a proceeding.</w:t>
            </w:r>
          </w:p>
        </w:tc>
      </w:tr>
      <w:tr w:rsidR="00425758">
        <w:trPr>
          <w:cantSplit/>
        </w:trPr>
        <w:tc>
          <w:tcPr>
            <w:tcW w:w="5500" w:type="dxa"/>
            <w:tcBorders>
              <w:top w:val="nil"/>
              <w:bottom w:val="nil"/>
            </w:tcBorders>
          </w:tcPr>
          <w:p w:rsidR="00425758" w:rsidRDefault="00425758">
            <w:pPr>
              <w:pStyle w:val="TableNAm"/>
              <w:spacing w:before="0"/>
              <w:ind w:left="590" w:hanging="590"/>
            </w:pPr>
            <w:r>
              <w:t>2.</w:t>
            </w:r>
            <w:r>
              <w:tab/>
              <w:t>Whether a named person is or is not a witness in a proceeding.</w:t>
            </w:r>
          </w:p>
        </w:tc>
      </w:tr>
      <w:tr w:rsidR="00425758">
        <w:trPr>
          <w:cantSplit/>
        </w:trPr>
        <w:tc>
          <w:tcPr>
            <w:tcW w:w="5500" w:type="dxa"/>
            <w:tcBorders>
              <w:top w:val="nil"/>
              <w:bottom w:val="nil"/>
            </w:tcBorders>
          </w:tcPr>
          <w:p w:rsidR="00425758" w:rsidRDefault="00425758">
            <w:pPr>
              <w:pStyle w:val="TableNAm"/>
              <w:spacing w:before="0"/>
              <w:ind w:left="590" w:hanging="590"/>
            </w:pPr>
            <w:r>
              <w:t>3.</w:t>
            </w:r>
            <w:r>
              <w:tab/>
              <w:t>Whether an identified record or thing that relates to a proceeding is or is not held by the Court.</w:t>
            </w:r>
          </w:p>
        </w:tc>
      </w:tr>
      <w:tr w:rsidR="00425758">
        <w:trPr>
          <w:cantSplit/>
        </w:trPr>
        <w:tc>
          <w:tcPr>
            <w:tcW w:w="5500" w:type="dxa"/>
            <w:tcBorders>
              <w:top w:val="nil"/>
              <w:bottom w:val="nil"/>
            </w:tcBorders>
          </w:tcPr>
          <w:p w:rsidR="00425758" w:rsidRDefault="00425758">
            <w:pPr>
              <w:pStyle w:val="TableNAm"/>
              <w:spacing w:before="0"/>
              <w:ind w:left="590" w:hanging="590"/>
            </w:pPr>
            <w:r>
              <w:lastRenderedPageBreak/>
              <w:t>4.</w:t>
            </w:r>
            <w:r>
              <w:tab/>
              <w:t>In respect of an identified proceeding —</w:t>
            </w:r>
          </w:p>
          <w:p w:rsidR="00425758" w:rsidRDefault="00425758">
            <w:pPr>
              <w:pStyle w:val="TableNAm"/>
              <w:tabs>
                <w:tab w:val="left" w:pos="1111"/>
              </w:tabs>
              <w:spacing w:before="0"/>
              <w:ind w:left="1123" w:hanging="1123"/>
            </w:pPr>
            <w:r>
              <w:tab/>
              <w:t>(a)</w:t>
            </w:r>
            <w:r>
              <w:tab/>
              <w:t>the name of each party to it;</w:t>
            </w:r>
          </w:p>
          <w:p w:rsidR="00425758" w:rsidRDefault="00425758">
            <w:pPr>
              <w:pStyle w:val="TableNAm"/>
              <w:tabs>
                <w:tab w:val="left" w:pos="1111"/>
              </w:tabs>
              <w:spacing w:before="0"/>
              <w:ind w:left="1123" w:hanging="1123"/>
            </w:pPr>
            <w:r>
              <w:tab/>
              <w:t>(b)</w:t>
            </w:r>
            <w:r>
              <w:tab/>
              <w:t>the name of the representative (if any) of each party to it;</w:t>
            </w:r>
          </w:p>
          <w:p w:rsidR="00425758" w:rsidRDefault="00425758">
            <w:pPr>
              <w:pStyle w:val="TableNAm"/>
              <w:tabs>
                <w:tab w:val="left" w:pos="1111"/>
              </w:tabs>
              <w:spacing w:before="0"/>
              <w:ind w:left="1123" w:hanging="1123"/>
            </w:pPr>
            <w:r>
              <w:tab/>
              <w:t>(c)</w:t>
            </w:r>
            <w:r>
              <w:tab/>
              <w:t>the date on which it was commenced;</w:t>
            </w:r>
          </w:p>
          <w:p w:rsidR="00425758" w:rsidRDefault="00425758">
            <w:pPr>
              <w:pStyle w:val="TableNAm"/>
              <w:tabs>
                <w:tab w:val="left" w:pos="1111"/>
              </w:tabs>
              <w:spacing w:before="0"/>
              <w:ind w:left="1123" w:hanging="1123"/>
            </w:pPr>
            <w:r>
              <w:tab/>
              <w:t>(d)</w:t>
            </w:r>
            <w:r>
              <w:tab/>
              <w:t>the matter reference number assigned to it by the Court;</w:t>
            </w:r>
          </w:p>
        </w:tc>
      </w:tr>
      <w:tr w:rsidR="00425758">
        <w:trPr>
          <w:cantSplit/>
        </w:trPr>
        <w:tc>
          <w:tcPr>
            <w:tcW w:w="5500" w:type="dxa"/>
            <w:tcBorders>
              <w:top w:val="nil"/>
            </w:tcBorders>
          </w:tcPr>
          <w:p w:rsidR="00425758" w:rsidRDefault="00425758">
            <w:pPr>
              <w:pStyle w:val="TableNAm"/>
              <w:tabs>
                <w:tab w:val="left" w:pos="1111"/>
              </w:tabs>
              <w:spacing w:before="0"/>
              <w:ind w:left="1123" w:hanging="1123"/>
            </w:pPr>
            <w:r>
              <w:tab/>
              <w:t>(e)</w:t>
            </w:r>
            <w:r>
              <w:tab/>
              <w:t>the title of any filed document held in relation to it;</w:t>
            </w:r>
          </w:p>
          <w:p w:rsidR="00425758" w:rsidRDefault="00425758">
            <w:pPr>
              <w:pStyle w:val="TableNAm"/>
              <w:tabs>
                <w:tab w:val="left" w:pos="1111"/>
              </w:tabs>
              <w:spacing w:before="0"/>
              <w:ind w:left="1123" w:hanging="1123"/>
            </w:pPr>
            <w:r>
              <w:tab/>
              <w:t>(f)</w:t>
            </w:r>
            <w:r>
              <w:tab/>
              <w:t>the date on which a filed document was filed;</w:t>
            </w:r>
          </w:p>
          <w:p w:rsidR="00425758" w:rsidRDefault="00425758">
            <w:pPr>
              <w:pStyle w:val="TableNAm"/>
              <w:tabs>
                <w:tab w:val="left" w:pos="1111"/>
              </w:tabs>
              <w:spacing w:before="0"/>
              <w:ind w:left="1123" w:hanging="1123"/>
            </w:pPr>
            <w:r>
              <w:tab/>
              <w:t>(g)</w:t>
            </w:r>
            <w:r>
              <w:tab/>
              <w:t>the date, time and nature of any hearing in it;</w:t>
            </w:r>
          </w:p>
          <w:p w:rsidR="00425758" w:rsidRDefault="00425758">
            <w:pPr>
              <w:pStyle w:val="TableNAm"/>
              <w:tabs>
                <w:tab w:val="left" w:pos="1111"/>
              </w:tabs>
              <w:spacing w:before="0"/>
              <w:ind w:left="1123" w:hanging="1123"/>
            </w:pPr>
            <w:r>
              <w:tab/>
              <w:t>(h)</w:t>
            </w:r>
            <w:r>
              <w:tab/>
              <w:t>the current status of it.</w:t>
            </w:r>
          </w:p>
        </w:tc>
      </w:tr>
      <w:tr w:rsidR="00425758">
        <w:tc>
          <w:tcPr>
            <w:tcW w:w="5500" w:type="dxa"/>
            <w:tcBorders>
              <w:bottom w:val="single" w:sz="4" w:space="0" w:color="auto"/>
            </w:tcBorders>
            <w:shd w:val="clear" w:color="auto" w:fill="auto"/>
          </w:tcPr>
          <w:p w:rsidR="00425758" w:rsidRDefault="00425758">
            <w:pPr>
              <w:pStyle w:val="TableNAm"/>
              <w:spacing w:before="0"/>
              <w:ind w:left="573" w:hanging="573"/>
            </w:pPr>
            <w:r>
              <w:rPr>
                <w:b/>
              </w:rPr>
              <w:t>B.</w:t>
            </w:r>
            <w:r>
              <w:rPr>
                <w:b/>
              </w:rPr>
              <w:tab/>
            </w:r>
            <w:r>
              <w:rPr>
                <w:b/>
                <w:bCs/>
              </w:rPr>
              <w:t>General</w:t>
            </w:r>
            <w:r>
              <w:rPr>
                <w:b/>
              </w:rPr>
              <w:t xml:space="preserve"> Division (non</w:t>
            </w:r>
            <w:r>
              <w:rPr>
                <w:b/>
              </w:rPr>
              <w:noBreakHyphen/>
              <w:t>contentious probate jurisdiction) information</w:t>
            </w:r>
          </w:p>
        </w:tc>
      </w:tr>
      <w:tr w:rsidR="00425758">
        <w:tc>
          <w:tcPr>
            <w:tcW w:w="5500" w:type="dxa"/>
            <w:tcBorders>
              <w:bottom w:val="nil"/>
            </w:tcBorders>
            <w:shd w:val="clear" w:color="auto" w:fill="auto"/>
          </w:tcPr>
          <w:p w:rsidR="00425758" w:rsidRDefault="00425758">
            <w:pPr>
              <w:pStyle w:val="TableNAm"/>
              <w:spacing w:before="0"/>
              <w:ind w:left="590" w:hanging="590"/>
            </w:pPr>
            <w:r>
              <w:t>1.</w:t>
            </w:r>
            <w:r>
              <w:tab/>
              <w:t>Whether a named person has made a probate application.</w:t>
            </w:r>
          </w:p>
        </w:tc>
      </w:tr>
      <w:tr w:rsidR="00425758">
        <w:tc>
          <w:tcPr>
            <w:tcW w:w="5500" w:type="dxa"/>
            <w:tcBorders>
              <w:top w:val="nil"/>
              <w:bottom w:val="nil"/>
            </w:tcBorders>
            <w:shd w:val="clear" w:color="auto" w:fill="auto"/>
          </w:tcPr>
          <w:p w:rsidR="00425758" w:rsidRDefault="00425758">
            <w:pPr>
              <w:pStyle w:val="TableNAm"/>
              <w:spacing w:before="0"/>
              <w:ind w:left="590" w:hanging="590"/>
            </w:pPr>
            <w:r>
              <w:t>2.</w:t>
            </w:r>
            <w:r>
              <w:tab/>
              <w:t>Whether an identified record or thing that relates to a probate application is or is not held by the Court.</w:t>
            </w:r>
          </w:p>
        </w:tc>
      </w:tr>
      <w:tr w:rsidR="00425758">
        <w:trPr>
          <w:cantSplit/>
        </w:trPr>
        <w:tc>
          <w:tcPr>
            <w:tcW w:w="5500" w:type="dxa"/>
            <w:tcBorders>
              <w:top w:val="nil"/>
            </w:tcBorders>
            <w:shd w:val="clear" w:color="auto" w:fill="auto"/>
          </w:tcPr>
          <w:p w:rsidR="00425758" w:rsidRDefault="00425758">
            <w:pPr>
              <w:pStyle w:val="TableNAm"/>
              <w:spacing w:before="0"/>
              <w:ind w:left="588" w:hanging="588"/>
            </w:pPr>
            <w:r>
              <w:t>3.</w:t>
            </w:r>
            <w:r>
              <w:tab/>
              <w:t>In respect of an identified probate application —</w:t>
            </w:r>
          </w:p>
          <w:p w:rsidR="00425758" w:rsidRDefault="00425758">
            <w:pPr>
              <w:pStyle w:val="TableNAm"/>
              <w:tabs>
                <w:tab w:val="left" w:pos="1111"/>
              </w:tabs>
              <w:spacing w:before="0"/>
              <w:ind w:left="1120" w:hanging="1120"/>
            </w:pPr>
            <w:r>
              <w:tab/>
              <w:t>(a)</w:t>
            </w:r>
            <w:r>
              <w:tab/>
              <w:t>the name of the applicant;</w:t>
            </w:r>
          </w:p>
          <w:p w:rsidR="00425758" w:rsidRDefault="00425758">
            <w:pPr>
              <w:pStyle w:val="TableNAm"/>
              <w:tabs>
                <w:tab w:val="left" w:pos="1111"/>
              </w:tabs>
              <w:spacing w:before="0"/>
              <w:ind w:left="1120" w:hanging="1120"/>
            </w:pPr>
            <w:r>
              <w:tab/>
              <w:t>(b)</w:t>
            </w:r>
            <w:r>
              <w:tab/>
              <w:t>the name of the representative (if any) of the applicant;</w:t>
            </w:r>
          </w:p>
          <w:p w:rsidR="00425758" w:rsidRDefault="00425758">
            <w:pPr>
              <w:pStyle w:val="TableNAm"/>
              <w:tabs>
                <w:tab w:val="left" w:pos="1111"/>
              </w:tabs>
              <w:spacing w:before="0"/>
              <w:ind w:left="1120" w:hanging="1120"/>
            </w:pPr>
            <w:r>
              <w:tab/>
              <w:t>(c)</w:t>
            </w:r>
            <w:r>
              <w:tab/>
              <w:t>the date on which it was made;</w:t>
            </w:r>
          </w:p>
          <w:p w:rsidR="00425758" w:rsidRDefault="00425758">
            <w:pPr>
              <w:pStyle w:val="TableNAm"/>
              <w:tabs>
                <w:tab w:val="left" w:pos="1111"/>
              </w:tabs>
              <w:spacing w:before="0"/>
              <w:ind w:left="1120" w:hanging="1120"/>
            </w:pPr>
            <w:r>
              <w:tab/>
              <w:t>(d)</w:t>
            </w:r>
            <w:r>
              <w:tab/>
              <w:t>the matter reference number assigned to it by the Court;</w:t>
            </w:r>
          </w:p>
          <w:p w:rsidR="00425758" w:rsidRDefault="00425758">
            <w:pPr>
              <w:pStyle w:val="TableNAm"/>
              <w:tabs>
                <w:tab w:val="left" w:pos="1111"/>
              </w:tabs>
              <w:spacing w:before="0"/>
              <w:ind w:left="1120" w:hanging="1120"/>
            </w:pPr>
            <w:r>
              <w:tab/>
              <w:t>(e)</w:t>
            </w:r>
            <w:r>
              <w:tab/>
              <w:t>the title of any filed document held in relation to it;</w:t>
            </w:r>
          </w:p>
          <w:p w:rsidR="00425758" w:rsidRDefault="00425758">
            <w:pPr>
              <w:pStyle w:val="TableNAm"/>
              <w:tabs>
                <w:tab w:val="left" w:pos="1111"/>
              </w:tabs>
              <w:spacing w:before="0"/>
              <w:ind w:left="1120" w:hanging="1120"/>
            </w:pPr>
            <w:r>
              <w:tab/>
              <w:t>(f)</w:t>
            </w:r>
            <w:r>
              <w:tab/>
              <w:t>the date on which a filed document was filed;</w:t>
            </w:r>
          </w:p>
          <w:p w:rsidR="00425758" w:rsidRDefault="00425758">
            <w:pPr>
              <w:pStyle w:val="TableNAm"/>
              <w:tabs>
                <w:tab w:val="left" w:pos="1111"/>
              </w:tabs>
              <w:spacing w:before="0"/>
              <w:ind w:left="1120" w:hanging="1120"/>
            </w:pPr>
            <w:r>
              <w:tab/>
              <w:t>(g)</w:t>
            </w:r>
            <w:r>
              <w:tab/>
              <w:t>the date, time and nature of any hearing in it;</w:t>
            </w:r>
          </w:p>
          <w:p w:rsidR="00425758" w:rsidRDefault="00425758">
            <w:pPr>
              <w:pStyle w:val="TableNAm"/>
              <w:tabs>
                <w:tab w:val="left" w:pos="1111"/>
              </w:tabs>
              <w:spacing w:before="0"/>
              <w:ind w:left="1120" w:hanging="1120"/>
            </w:pPr>
            <w:r>
              <w:tab/>
              <w:t>(h)</w:t>
            </w:r>
            <w:r>
              <w:tab/>
              <w:t>the current status of it.</w:t>
            </w:r>
          </w:p>
        </w:tc>
      </w:tr>
    </w:tbl>
    <w:p w:rsidR="00425758" w:rsidRDefault="00425758">
      <w:pPr>
        <w:pStyle w:val="Subsection"/>
      </w:pPr>
      <w:r>
        <w:lastRenderedPageBreak/>
        <w:tab/>
        <w:t>(3)</w:t>
      </w:r>
      <w:r>
        <w:tab/>
        <w:t>Unless the person’s access to the document is restricted, any person is entitled to have access to any of the filed documents, listed in the Table, that commenced a proceeding.</w:t>
      </w:r>
    </w:p>
    <w:p w:rsidR="00425758" w:rsidRDefault="00425758">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rsidR="00425758">
        <w:trPr>
          <w:cantSplit/>
        </w:trPr>
        <w:tc>
          <w:tcPr>
            <w:tcW w:w="5500" w:type="dxa"/>
            <w:tcBorders>
              <w:bottom w:val="single" w:sz="4" w:space="0" w:color="auto"/>
            </w:tcBorders>
          </w:tcPr>
          <w:p w:rsidR="00425758" w:rsidRDefault="00425758">
            <w:pPr>
              <w:pStyle w:val="TableNAm"/>
              <w:spacing w:before="0"/>
              <w:ind w:left="573" w:hanging="573"/>
            </w:pPr>
            <w:r>
              <w:rPr>
                <w:b/>
                <w:bCs/>
              </w:rPr>
              <w:t>A.</w:t>
            </w:r>
            <w:r>
              <w:rPr>
                <w:b/>
                <w:bCs/>
              </w:rPr>
              <w:tab/>
              <w:t>General Division (general jurisdiction) documents</w:t>
            </w:r>
          </w:p>
        </w:tc>
      </w:tr>
      <w:tr w:rsidR="00425758">
        <w:trPr>
          <w:cantSplit/>
        </w:trPr>
        <w:tc>
          <w:tcPr>
            <w:tcW w:w="5500" w:type="dxa"/>
            <w:tcBorders>
              <w:bottom w:val="nil"/>
            </w:tcBorders>
          </w:tcPr>
          <w:p w:rsidR="00425758" w:rsidRDefault="00425758">
            <w:pPr>
              <w:pStyle w:val="TableNAm"/>
              <w:spacing w:before="0"/>
              <w:ind w:left="588" w:hanging="588"/>
            </w:pPr>
            <w:r>
              <w:t xml:space="preserve">1. </w:t>
            </w:r>
            <w:r>
              <w:tab/>
              <w:t>A writ indorsed under Order 6 rule 1 or indorsed with a statement of claim.</w:t>
            </w:r>
          </w:p>
        </w:tc>
      </w:tr>
      <w:tr w:rsidR="00425758">
        <w:trPr>
          <w:cantSplit/>
        </w:trPr>
        <w:tc>
          <w:tcPr>
            <w:tcW w:w="5500" w:type="dxa"/>
            <w:tcBorders>
              <w:top w:val="nil"/>
              <w:bottom w:val="nil"/>
            </w:tcBorders>
          </w:tcPr>
          <w:p w:rsidR="00425758" w:rsidRDefault="00425758">
            <w:pPr>
              <w:pStyle w:val="TableNAm"/>
              <w:spacing w:before="0"/>
              <w:ind w:left="588" w:hanging="588"/>
            </w:pPr>
            <w:r>
              <w:t>2.</w:t>
            </w:r>
            <w:r>
              <w:tab/>
              <w:t>An originating summons or motion, or other document, that commenced a proceeding under any of these Acts —</w:t>
            </w:r>
          </w:p>
          <w:p w:rsidR="00425758" w:rsidRDefault="00425758">
            <w:pPr>
              <w:pStyle w:val="TableNAm"/>
              <w:tabs>
                <w:tab w:val="left" w:pos="1111"/>
              </w:tabs>
              <w:spacing w:before="0"/>
              <w:ind w:left="1123" w:hanging="1123"/>
            </w:pPr>
            <w:r>
              <w:tab/>
              <w:t>(a)</w:t>
            </w:r>
            <w:r>
              <w:tab/>
              <w:t xml:space="preserve">the </w:t>
            </w:r>
            <w:r>
              <w:rPr>
                <w:i/>
              </w:rPr>
              <w:t>Corporations Act 2001</w:t>
            </w:r>
            <w:r>
              <w:t xml:space="preserve"> (Commonwealth);</w:t>
            </w:r>
          </w:p>
          <w:p w:rsidR="00425758" w:rsidRDefault="00425758">
            <w:pPr>
              <w:pStyle w:val="TableNAm"/>
              <w:tabs>
                <w:tab w:val="left" w:pos="1111"/>
              </w:tabs>
              <w:spacing w:before="0"/>
              <w:ind w:left="1123" w:hanging="1123"/>
            </w:pPr>
            <w:r>
              <w:tab/>
              <w:t>(b)</w:t>
            </w:r>
            <w:r>
              <w:tab/>
              <w:t xml:space="preserve">the </w:t>
            </w:r>
            <w:r>
              <w:rPr>
                <w:i/>
              </w:rPr>
              <w:t>Family Provision Act 1972</w:t>
            </w:r>
            <w:r>
              <w:t>;</w:t>
            </w:r>
          </w:p>
          <w:p w:rsidR="00425758" w:rsidRDefault="00425758">
            <w:pPr>
              <w:pStyle w:val="TableNAm"/>
              <w:tabs>
                <w:tab w:val="left" w:pos="1111"/>
              </w:tabs>
              <w:spacing w:before="0"/>
              <w:ind w:left="1123" w:hanging="1123"/>
            </w:pPr>
            <w:r>
              <w:tab/>
              <w:t>(c)</w:t>
            </w:r>
            <w:r>
              <w:tab/>
              <w:t xml:space="preserve">the </w:t>
            </w:r>
            <w:r>
              <w:rPr>
                <w:i/>
              </w:rPr>
              <w:t>Transfer of Land Act 1893</w:t>
            </w:r>
            <w:r>
              <w:t>;</w:t>
            </w:r>
          </w:p>
          <w:p w:rsidR="00425758" w:rsidRDefault="00425758">
            <w:pPr>
              <w:pStyle w:val="TableNAm"/>
              <w:tabs>
                <w:tab w:val="left" w:pos="1111"/>
              </w:tabs>
              <w:spacing w:before="0"/>
              <w:ind w:left="1123" w:hanging="1123"/>
            </w:pPr>
            <w:r>
              <w:tab/>
              <w:t>(d)</w:t>
            </w:r>
            <w:r>
              <w:tab/>
              <w:t xml:space="preserve">the </w:t>
            </w:r>
            <w:r>
              <w:rPr>
                <w:i/>
              </w:rPr>
              <w:t>Trustees Act 1962</w:t>
            </w:r>
            <w:r>
              <w:t>.</w:t>
            </w:r>
          </w:p>
        </w:tc>
      </w:tr>
      <w:tr w:rsidR="00425758">
        <w:trPr>
          <w:cantSplit/>
        </w:trPr>
        <w:tc>
          <w:tcPr>
            <w:tcW w:w="5500" w:type="dxa"/>
            <w:tcBorders>
              <w:top w:val="nil"/>
            </w:tcBorders>
          </w:tcPr>
          <w:p w:rsidR="00425758" w:rsidRDefault="00425758">
            <w:pPr>
              <w:pStyle w:val="TableNAm"/>
              <w:spacing w:before="0"/>
              <w:ind w:left="588" w:hanging="588"/>
            </w:pPr>
            <w:r>
              <w:t>3.</w:t>
            </w:r>
            <w:r>
              <w:tab/>
              <w:t>An appeal notice.</w:t>
            </w:r>
          </w:p>
        </w:tc>
      </w:tr>
      <w:tr w:rsidR="00425758">
        <w:trPr>
          <w:cantSplit/>
        </w:trPr>
        <w:tc>
          <w:tcPr>
            <w:tcW w:w="5500" w:type="dxa"/>
          </w:tcPr>
          <w:p w:rsidR="00425758" w:rsidRDefault="00425758">
            <w:pPr>
              <w:pStyle w:val="TableNAm"/>
              <w:spacing w:before="0"/>
              <w:ind w:left="574" w:hanging="574"/>
            </w:pPr>
            <w:r>
              <w:rPr>
                <w:b/>
              </w:rPr>
              <w:t>B.</w:t>
            </w:r>
            <w:r>
              <w:rPr>
                <w:b/>
              </w:rPr>
              <w:tab/>
              <w:t>Court of Appeal document</w:t>
            </w:r>
          </w:p>
        </w:tc>
      </w:tr>
      <w:tr w:rsidR="00425758">
        <w:trPr>
          <w:cantSplit/>
        </w:trPr>
        <w:tc>
          <w:tcPr>
            <w:tcW w:w="5500" w:type="dxa"/>
          </w:tcPr>
          <w:p w:rsidR="00425758" w:rsidRDefault="00425758">
            <w:pPr>
              <w:pStyle w:val="TableNAm"/>
              <w:spacing w:before="0"/>
              <w:ind w:left="588" w:hanging="588"/>
            </w:pPr>
            <w:r>
              <w:t>1.</w:t>
            </w:r>
            <w:r>
              <w:tab/>
              <w:t>An appeal notice.</w:t>
            </w:r>
          </w:p>
        </w:tc>
      </w:tr>
      <w:tr w:rsidR="00425758">
        <w:trPr>
          <w:cantSplit/>
        </w:trPr>
        <w:tc>
          <w:tcPr>
            <w:tcW w:w="5500" w:type="dxa"/>
          </w:tcPr>
          <w:p w:rsidR="00425758" w:rsidRDefault="00425758">
            <w:pPr>
              <w:pStyle w:val="TableNAm"/>
              <w:spacing w:before="0"/>
              <w:ind w:left="574" w:hanging="574"/>
            </w:pPr>
            <w:r>
              <w:rPr>
                <w:b/>
              </w:rPr>
              <w:t>C.</w:t>
            </w:r>
            <w:r>
              <w:rPr>
                <w:b/>
              </w:rPr>
              <w:tab/>
              <w:t>General Division (non</w:t>
            </w:r>
            <w:r>
              <w:rPr>
                <w:b/>
              </w:rPr>
              <w:noBreakHyphen/>
              <w:t>contentious probate jurisdiction) documents</w:t>
            </w:r>
          </w:p>
        </w:tc>
      </w:tr>
      <w:tr w:rsidR="00425758">
        <w:trPr>
          <w:cantSplit/>
        </w:trPr>
        <w:tc>
          <w:tcPr>
            <w:tcW w:w="5500" w:type="dxa"/>
          </w:tcPr>
          <w:p w:rsidR="00425758" w:rsidRDefault="00425758">
            <w:pPr>
              <w:pStyle w:val="TableNAm"/>
              <w:spacing w:before="0"/>
              <w:ind w:left="588" w:hanging="588"/>
            </w:pPr>
            <w:r>
              <w:t>1.</w:t>
            </w:r>
            <w:r>
              <w:tab/>
              <w:t xml:space="preserve">The originating motion that applies for a grant (as defined in the </w:t>
            </w:r>
            <w:r>
              <w:rPr>
                <w:i/>
              </w:rPr>
              <w:t>Non</w:t>
            </w:r>
            <w:r>
              <w:rPr>
                <w:i/>
              </w:rPr>
              <w:noBreakHyphen/>
              <w:t>contentious Probate Rules 1967</w:t>
            </w:r>
            <w:r>
              <w:t xml:space="preserve"> rule 2).</w:t>
            </w:r>
          </w:p>
        </w:tc>
      </w:tr>
    </w:tbl>
    <w:p w:rsidR="00425758" w:rsidRDefault="00425758">
      <w:pPr>
        <w:pStyle w:val="Subsection"/>
      </w:pPr>
      <w:r>
        <w:tab/>
        <w:t>(4)</w:t>
      </w:r>
      <w:r>
        <w:tab/>
        <w:t>Unless the person’s access to the document is restricted, any person is entitled to have access to —</w:t>
      </w:r>
    </w:p>
    <w:p w:rsidR="00425758" w:rsidRDefault="00425758">
      <w:pPr>
        <w:pStyle w:val="Indenta"/>
      </w:pPr>
      <w:r>
        <w:tab/>
        <w:t>(a)</w:t>
      </w:r>
      <w:r>
        <w:tab/>
        <w:t>any of the documents listed in Part A of the Table held by the Court in respect of a proceeding that was commenced by means of a document listed in Part A of the Table to subrule (3);</w:t>
      </w:r>
    </w:p>
    <w:p w:rsidR="00425758" w:rsidRDefault="00425758">
      <w:pPr>
        <w:pStyle w:val="Indenta"/>
      </w:pPr>
      <w:r>
        <w:tab/>
        <w:t>(b)</w:t>
      </w:r>
      <w:r>
        <w:tab/>
        <w:t>any of the documents listed in Part B of the Table held by the Court in respect of a proceeding that was commenced by means of a document listed in Part B of the Table to subrule (3);</w:t>
      </w:r>
    </w:p>
    <w:p w:rsidR="00425758" w:rsidRDefault="00425758">
      <w:pPr>
        <w:pStyle w:val="Indenta"/>
      </w:pPr>
      <w:r>
        <w:lastRenderedPageBreak/>
        <w:tab/>
        <w:t>(c)</w:t>
      </w:r>
      <w:r>
        <w:tab/>
        <w:t>any of the documents listed in Part C of the Table held by the Court in respect of a proceeding that was commenced by means of a document listed in Part C of the Table to subrule (3).</w:t>
      </w:r>
    </w:p>
    <w:p w:rsidR="00425758" w:rsidRDefault="00425758">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rsidR="00425758">
        <w:trPr>
          <w:cantSplit/>
        </w:trPr>
        <w:tc>
          <w:tcPr>
            <w:tcW w:w="5500" w:type="dxa"/>
            <w:tcBorders>
              <w:bottom w:val="single" w:sz="4" w:space="0" w:color="auto"/>
            </w:tcBorders>
          </w:tcPr>
          <w:p w:rsidR="00425758" w:rsidRDefault="00425758">
            <w:pPr>
              <w:pStyle w:val="TableNAm"/>
              <w:spacing w:before="0"/>
              <w:ind w:left="574" w:hanging="574"/>
            </w:pPr>
            <w:r>
              <w:rPr>
                <w:b/>
                <w:bCs/>
              </w:rPr>
              <w:t>A.</w:t>
            </w:r>
            <w:r>
              <w:rPr>
                <w:b/>
                <w:bCs/>
              </w:rPr>
              <w:tab/>
            </w:r>
            <w:r>
              <w:rPr>
                <w:b/>
              </w:rPr>
              <w:t>General</w:t>
            </w:r>
            <w:r>
              <w:rPr>
                <w:b/>
                <w:bCs/>
              </w:rPr>
              <w:t xml:space="preserve"> Division (general jurisdiction) documents</w:t>
            </w:r>
          </w:p>
        </w:tc>
      </w:tr>
      <w:tr w:rsidR="00425758">
        <w:trPr>
          <w:cantSplit/>
        </w:trPr>
        <w:tc>
          <w:tcPr>
            <w:tcW w:w="5500" w:type="dxa"/>
            <w:tcBorders>
              <w:bottom w:val="nil"/>
            </w:tcBorders>
          </w:tcPr>
          <w:p w:rsidR="00425758" w:rsidRDefault="00425758">
            <w:pPr>
              <w:pStyle w:val="TableNAm"/>
              <w:spacing w:before="0"/>
              <w:ind w:left="588" w:hanging="588"/>
            </w:pPr>
            <w:r>
              <w:t xml:space="preserve">1. </w:t>
            </w:r>
            <w:r>
              <w:tab/>
              <w:t>A memorandum of appearance.</w:t>
            </w:r>
          </w:p>
        </w:tc>
      </w:tr>
      <w:tr w:rsidR="00425758">
        <w:trPr>
          <w:cantSplit/>
        </w:trPr>
        <w:tc>
          <w:tcPr>
            <w:tcW w:w="5500" w:type="dxa"/>
            <w:tcBorders>
              <w:top w:val="nil"/>
              <w:bottom w:val="nil"/>
            </w:tcBorders>
          </w:tcPr>
          <w:p w:rsidR="00425758" w:rsidRDefault="00425758">
            <w:pPr>
              <w:pStyle w:val="TableNAm"/>
              <w:spacing w:before="0"/>
              <w:ind w:left="588" w:hanging="588"/>
            </w:pPr>
            <w:r>
              <w:t>2.</w:t>
            </w:r>
            <w:r>
              <w:tab/>
              <w:t>A notice of change of solicitor.</w:t>
            </w:r>
          </w:p>
        </w:tc>
      </w:tr>
      <w:tr w:rsidR="00425758">
        <w:trPr>
          <w:cantSplit/>
        </w:trPr>
        <w:tc>
          <w:tcPr>
            <w:tcW w:w="5500" w:type="dxa"/>
            <w:tcBorders>
              <w:top w:val="nil"/>
              <w:bottom w:val="nil"/>
            </w:tcBorders>
          </w:tcPr>
          <w:p w:rsidR="00425758" w:rsidRDefault="00425758">
            <w:pPr>
              <w:pStyle w:val="TableNAm"/>
              <w:spacing w:before="0"/>
              <w:ind w:left="588" w:hanging="588"/>
            </w:pPr>
            <w:r>
              <w:t>3.</w:t>
            </w:r>
            <w:r>
              <w:tab/>
              <w:t>A notice of intention to act in person.</w:t>
            </w:r>
          </w:p>
        </w:tc>
      </w:tr>
      <w:tr w:rsidR="00425758">
        <w:trPr>
          <w:cantSplit/>
        </w:trPr>
        <w:tc>
          <w:tcPr>
            <w:tcW w:w="5500" w:type="dxa"/>
            <w:tcBorders>
              <w:top w:val="nil"/>
              <w:bottom w:val="nil"/>
            </w:tcBorders>
          </w:tcPr>
          <w:p w:rsidR="00425758" w:rsidRDefault="00425758">
            <w:pPr>
              <w:pStyle w:val="TableNAm"/>
              <w:spacing w:before="0"/>
              <w:ind w:left="588" w:hanging="588"/>
            </w:pPr>
            <w:r>
              <w:t>4.</w:t>
            </w:r>
            <w:r>
              <w:tab/>
              <w:t>A notice of ceasing to act.</w:t>
            </w:r>
          </w:p>
        </w:tc>
      </w:tr>
      <w:tr w:rsidR="00425758">
        <w:trPr>
          <w:cantSplit/>
        </w:trPr>
        <w:tc>
          <w:tcPr>
            <w:tcW w:w="5500" w:type="dxa"/>
            <w:tcBorders>
              <w:top w:val="nil"/>
              <w:bottom w:val="nil"/>
            </w:tcBorders>
          </w:tcPr>
          <w:p w:rsidR="00425758" w:rsidRDefault="00425758">
            <w:pPr>
              <w:pStyle w:val="TableNAm"/>
              <w:spacing w:before="0"/>
              <w:ind w:left="588" w:hanging="588"/>
            </w:pPr>
            <w:r>
              <w:t>5.</w:t>
            </w:r>
            <w:r>
              <w:tab/>
              <w:t>A notice of discontinuance.</w:t>
            </w:r>
          </w:p>
        </w:tc>
      </w:tr>
      <w:tr w:rsidR="00425758">
        <w:trPr>
          <w:cantSplit/>
        </w:trPr>
        <w:tc>
          <w:tcPr>
            <w:tcW w:w="5500" w:type="dxa"/>
            <w:tcBorders>
              <w:top w:val="nil"/>
              <w:bottom w:val="nil"/>
            </w:tcBorders>
          </w:tcPr>
          <w:p w:rsidR="00425758" w:rsidRDefault="00425758">
            <w:pPr>
              <w:pStyle w:val="TableNAm"/>
              <w:spacing w:before="0"/>
              <w:ind w:left="588" w:hanging="588"/>
            </w:pPr>
            <w:r>
              <w:t>6.</w:t>
            </w:r>
            <w:r>
              <w:tab/>
              <w:t>A list of exhibits.</w:t>
            </w:r>
          </w:p>
        </w:tc>
      </w:tr>
      <w:tr w:rsidR="00425758">
        <w:trPr>
          <w:cantSplit/>
        </w:trPr>
        <w:tc>
          <w:tcPr>
            <w:tcW w:w="5500" w:type="dxa"/>
            <w:tcBorders>
              <w:top w:val="nil"/>
              <w:bottom w:val="nil"/>
            </w:tcBorders>
          </w:tcPr>
          <w:p w:rsidR="00425758" w:rsidRDefault="00425758">
            <w:pPr>
              <w:pStyle w:val="TableNAm"/>
              <w:spacing w:before="0"/>
              <w:ind w:left="588" w:hanging="588"/>
            </w:pPr>
            <w:r>
              <w:t>7.</w:t>
            </w:r>
            <w:r>
              <w:tab/>
              <w:t>A list of things tendered to the Court in a hearing in the proceeding but not admitted into evidence.</w:t>
            </w:r>
          </w:p>
        </w:tc>
      </w:tr>
      <w:tr w:rsidR="00425758">
        <w:trPr>
          <w:cantSplit/>
        </w:trPr>
        <w:tc>
          <w:tcPr>
            <w:tcW w:w="5500" w:type="dxa"/>
            <w:tcBorders>
              <w:top w:val="nil"/>
              <w:bottom w:val="nil"/>
            </w:tcBorders>
          </w:tcPr>
          <w:p w:rsidR="00425758" w:rsidRDefault="00425758">
            <w:pPr>
              <w:pStyle w:val="TableNAm"/>
              <w:spacing w:before="0"/>
              <w:ind w:left="588" w:hanging="588"/>
            </w:pPr>
            <w:r>
              <w:t>8.</w:t>
            </w:r>
            <w:r>
              <w:tab/>
              <w:t>A judgment of the Court and the reasons for it.</w:t>
            </w:r>
          </w:p>
        </w:tc>
      </w:tr>
      <w:tr w:rsidR="00425758">
        <w:trPr>
          <w:cantSplit/>
        </w:trPr>
        <w:tc>
          <w:tcPr>
            <w:tcW w:w="5500" w:type="dxa"/>
            <w:tcBorders>
              <w:top w:val="nil"/>
              <w:bottom w:val="nil"/>
            </w:tcBorders>
          </w:tcPr>
          <w:p w:rsidR="00425758" w:rsidRDefault="00425758">
            <w:pPr>
              <w:pStyle w:val="TableNAm"/>
              <w:spacing w:before="0"/>
              <w:ind w:left="588" w:hanging="588"/>
            </w:pPr>
            <w:r>
              <w:t>9.</w:t>
            </w:r>
            <w:r>
              <w:tab/>
              <w:t>An order of the Court.</w:t>
            </w:r>
          </w:p>
        </w:tc>
      </w:tr>
      <w:tr w:rsidR="00425758">
        <w:trPr>
          <w:cantSplit/>
        </w:trPr>
        <w:tc>
          <w:tcPr>
            <w:tcW w:w="5500" w:type="dxa"/>
            <w:tcBorders>
              <w:top w:val="nil"/>
              <w:bottom w:val="nil"/>
            </w:tcBorders>
          </w:tcPr>
          <w:p w:rsidR="00425758" w:rsidRDefault="00425758">
            <w:pPr>
              <w:pStyle w:val="TableNAm"/>
              <w:spacing w:before="0"/>
              <w:ind w:left="588" w:hanging="588"/>
            </w:pPr>
            <w:r>
              <w:t>10.</w:t>
            </w:r>
            <w:r>
              <w:tab/>
              <w:t>A transcript.</w:t>
            </w:r>
          </w:p>
        </w:tc>
      </w:tr>
      <w:tr w:rsidR="00425758">
        <w:trPr>
          <w:cantSplit/>
        </w:trPr>
        <w:tc>
          <w:tcPr>
            <w:tcW w:w="5500" w:type="dxa"/>
            <w:tcBorders>
              <w:top w:val="nil"/>
              <w:bottom w:val="nil"/>
            </w:tcBorders>
          </w:tcPr>
          <w:p w:rsidR="00425758" w:rsidRDefault="00425758">
            <w:pPr>
              <w:pStyle w:val="TableNAm"/>
              <w:spacing w:before="0"/>
              <w:ind w:left="588" w:hanging="588"/>
            </w:pPr>
            <w:r>
              <w:t>11.</w:t>
            </w:r>
            <w:r>
              <w:tab/>
              <w:t>A notice of respondent’s intention filed under Order 65.</w:t>
            </w:r>
          </w:p>
        </w:tc>
      </w:tr>
      <w:tr w:rsidR="00425758">
        <w:trPr>
          <w:cantSplit/>
        </w:trPr>
        <w:tc>
          <w:tcPr>
            <w:tcW w:w="5500" w:type="dxa"/>
            <w:tcBorders>
              <w:top w:val="nil"/>
            </w:tcBorders>
          </w:tcPr>
          <w:p w:rsidR="00425758" w:rsidRDefault="00425758">
            <w:pPr>
              <w:pStyle w:val="TableNAm"/>
              <w:spacing w:before="0"/>
              <w:ind w:left="588" w:hanging="588"/>
            </w:pPr>
            <w:r>
              <w:t>12.</w:t>
            </w:r>
            <w:r>
              <w:tab/>
              <w:t>A discontinuance notice filed under Order 65.</w:t>
            </w:r>
          </w:p>
        </w:tc>
      </w:tr>
      <w:tr w:rsidR="00425758">
        <w:trPr>
          <w:cantSplit/>
        </w:trPr>
        <w:tc>
          <w:tcPr>
            <w:tcW w:w="5500" w:type="dxa"/>
            <w:tcBorders>
              <w:bottom w:val="single" w:sz="4" w:space="0" w:color="auto"/>
            </w:tcBorders>
          </w:tcPr>
          <w:p w:rsidR="00425758" w:rsidRDefault="00425758">
            <w:pPr>
              <w:pStyle w:val="TableNAm"/>
              <w:spacing w:before="0"/>
              <w:ind w:left="574" w:hanging="574"/>
            </w:pPr>
            <w:r>
              <w:rPr>
                <w:b/>
              </w:rPr>
              <w:t>B.</w:t>
            </w:r>
            <w:r>
              <w:rPr>
                <w:b/>
              </w:rPr>
              <w:tab/>
              <w:t>Court of Appeal documents</w:t>
            </w:r>
          </w:p>
        </w:tc>
      </w:tr>
      <w:tr w:rsidR="00425758">
        <w:trPr>
          <w:cantSplit/>
        </w:trPr>
        <w:tc>
          <w:tcPr>
            <w:tcW w:w="5500" w:type="dxa"/>
            <w:tcBorders>
              <w:bottom w:val="nil"/>
            </w:tcBorders>
          </w:tcPr>
          <w:p w:rsidR="00425758" w:rsidRDefault="00425758">
            <w:pPr>
              <w:pStyle w:val="TableNAm"/>
              <w:spacing w:before="0"/>
              <w:ind w:left="588" w:hanging="588"/>
            </w:pPr>
            <w:r>
              <w:t>1.</w:t>
            </w:r>
            <w:r>
              <w:tab/>
              <w:t>A notice of a respondent’s intention.</w:t>
            </w:r>
          </w:p>
        </w:tc>
      </w:tr>
      <w:tr w:rsidR="00425758">
        <w:trPr>
          <w:cantSplit/>
        </w:trPr>
        <w:tc>
          <w:tcPr>
            <w:tcW w:w="5500" w:type="dxa"/>
            <w:tcBorders>
              <w:top w:val="nil"/>
              <w:bottom w:val="nil"/>
            </w:tcBorders>
          </w:tcPr>
          <w:p w:rsidR="00425758" w:rsidRDefault="00425758">
            <w:pPr>
              <w:pStyle w:val="TableNAm"/>
              <w:spacing w:before="0"/>
              <w:ind w:left="588" w:hanging="588"/>
            </w:pPr>
            <w:r>
              <w:t>2.</w:t>
            </w:r>
            <w:r>
              <w:tab/>
              <w:t>A notice of a respondent’s cross appeal.</w:t>
            </w:r>
          </w:p>
        </w:tc>
      </w:tr>
      <w:tr w:rsidR="00425758">
        <w:trPr>
          <w:cantSplit/>
        </w:trPr>
        <w:tc>
          <w:tcPr>
            <w:tcW w:w="5500" w:type="dxa"/>
            <w:tcBorders>
              <w:top w:val="nil"/>
              <w:bottom w:val="nil"/>
            </w:tcBorders>
          </w:tcPr>
          <w:p w:rsidR="00425758" w:rsidRDefault="00425758">
            <w:pPr>
              <w:pStyle w:val="TableNAm"/>
              <w:spacing w:before="0"/>
              <w:ind w:left="588" w:hanging="588"/>
            </w:pPr>
            <w:r>
              <w:t>3.</w:t>
            </w:r>
            <w:r>
              <w:tab/>
              <w:t>A discontinuance notice.</w:t>
            </w:r>
          </w:p>
        </w:tc>
      </w:tr>
      <w:tr w:rsidR="00425758">
        <w:trPr>
          <w:cantSplit/>
        </w:trPr>
        <w:tc>
          <w:tcPr>
            <w:tcW w:w="5500" w:type="dxa"/>
            <w:tcBorders>
              <w:top w:val="nil"/>
              <w:bottom w:val="nil"/>
            </w:tcBorders>
          </w:tcPr>
          <w:p w:rsidR="00425758" w:rsidRDefault="00425758">
            <w:pPr>
              <w:pStyle w:val="TableNAm"/>
              <w:spacing w:before="0"/>
              <w:ind w:left="588" w:hanging="588"/>
            </w:pPr>
            <w:r>
              <w:t>4.</w:t>
            </w:r>
            <w:r>
              <w:tab/>
              <w:t>A list of exhibits referred to in the Court of Appeal.</w:t>
            </w:r>
          </w:p>
        </w:tc>
      </w:tr>
      <w:tr w:rsidR="00425758">
        <w:trPr>
          <w:cantSplit/>
        </w:trPr>
        <w:tc>
          <w:tcPr>
            <w:tcW w:w="5500" w:type="dxa"/>
            <w:tcBorders>
              <w:top w:val="nil"/>
              <w:bottom w:val="nil"/>
            </w:tcBorders>
          </w:tcPr>
          <w:p w:rsidR="00425758" w:rsidRDefault="00425758">
            <w:pPr>
              <w:pStyle w:val="TableNAm"/>
              <w:spacing w:before="0"/>
              <w:ind w:left="588" w:hanging="588"/>
            </w:pPr>
            <w:r>
              <w:t>5.</w:t>
            </w:r>
            <w:r>
              <w:tab/>
              <w:t>A judgment of the Court of Appeal and the reasons for it.</w:t>
            </w:r>
          </w:p>
        </w:tc>
      </w:tr>
      <w:tr w:rsidR="00425758">
        <w:trPr>
          <w:cantSplit/>
        </w:trPr>
        <w:tc>
          <w:tcPr>
            <w:tcW w:w="5500" w:type="dxa"/>
            <w:tcBorders>
              <w:top w:val="nil"/>
            </w:tcBorders>
          </w:tcPr>
          <w:p w:rsidR="00425758" w:rsidRDefault="00425758">
            <w:pPr>
              <w:pStyle w:val="TableNAm"/>
              <w:spacing w:before="0"/>
              <w:ind w:left="588" w:hanging="588"/>
            </w:pPr>
            <w:r>
              <w:t>6.</w:t>
            </w:r>
            <w:r>
              <w:tab/>
              <w:t>An order made by the Court of Appeal.</w:t>
            </w:r>
          </w:p>
        </w:tc>
      </w:tr>
      <w:tr w:rsidR="00425758">
        <w:trPr>
          <w:cantSplit/>
        </w:trPr>
        <w:tc>
          <w:tcPr>
            <w:tcW w:w="5500" w:type="dxa"/>
            <w:tcBorders>
              <w:top w:val="single" w:sz="4" w:space="0" w:color="auto"/>
              <w:left w:val="single" w:sz="4" w:space="0" w:color="auto"/>
              <w:bottom w:val="single" w:sz="4" w:space="0" w:color="auto"/>
              <w:right w:val="single" w:sz="4" w:space="0" w:color="auto"/>
            </w:tcBorders>
          </w:tcPr>
          <w:p w:rsidR="00425758" w:rsidRDefault="00425758">
            <w:pPr>
              <w:pStyle w:val="TableNAm"/>
              <w:spacing w:before="0"/>
              <w:ind w:left="574" w:hanging="574"/>
            </w:pPr>
            <w:r>
              <w:rPr>
                <w:b/>
              </w:rPr>
              <w:t>C.</w:t>
            </w:r>
            <w:r>
              <w:rPr>
                <w:b/>
              </w:rPr>
              <w:tab/>
              <w:t>General Division (non-contentious probate jurisdiction) documents</w:t>
            </w:r>
          </w:p>
        </w:tc>
      </w:tr>
      <w:tr w:rsidR="00425758">
        <w:trPr>
          <w:cantSplit/>
        </w:trPr>
        <w:tc>
          <w:tcPr>
            <w:tcW w:w="5500" w:type="dxa"/>
            <w:tcBorders>
              <w:top w:val="single" w:sz="4" w:space="0" w:color="auto"/>
              <w:left w:val="single" w:sz="4" w:space="0" w:color="auto"/>
              <w:bottom w:val="nil"/>
              <w:right w:val="single" w:sz="4" w:space="0" w:color="auto"/>
            </w:tcBorders>
          </w:tcPr>
          <w:p w:rsidR="00425758" w:rsidRDefault="00425758">
            <w:pPr>
              <w:pStyle w:val="TableNAm"/>
              <w:spacing w:before="0"/>
              <w:ind w:left="588" w:hanging="588"/>
            </w:pPr>
            <w:r>
              <w:t>1.</w:t>
            </w:r>
            <w:r>
              <w:tab/>
              <w:t xml:space="preserve">The grant (as defined in the </w:t>
            </w:r>
            <w:r>
              <w:rPr>
                <w:i/>
              </w:rPr>
              <w:t>Non</w:t>
            </w:r>
            <w:r>
              <w:rPr>
                <w:i/>
              </w:rPr>
              <w:noBreakHyphen/>
              <w:t>contentious Probate Rules 1967</w:t>
            </w:r>
            <w:r>
              <w:t xml:space="preserve"> rule 2) with, if applicable, the will attached.</w:t>
            </w:r>
          </w:p>
        </w:tc>
      </w:tr>
      <w:tr w:rsidR="00425758">
        <w:trPr>
          <w:cantSplit/>
        </w:trPr>
        <w:tc>
          <w:tcPr>
            <w:tcW w:w="5500" w:type="dxa"/>
            <w:tcBorders>
              <w:top w:val="nil"/>
              <w:left w:val="single" w:sz="4" w:space="0" w:color="auto"/>
              <w:bottom w:val="single" w:sz="4" w:space="0" w:color="auto"/>
              <w:right w:val="single" w:sz="4" w:space="0" w:color="auto"/>
            </w:tcBorders>
          </w:tcPr>
          <w:p w:rsidR="00425758" w:rsidRDefault="00425758">
            <w:pPr>
              <w:pStyle w:val="TableNAm"/>
              <w:spacing w:before="0"/>
              <w:ind w:left="588" w:hanging="588"/>
            </w:pPr>
            <w:r>
              <w:t>2.</w:t>
            </w:r>
            <w:r>
              <w:tab/>
              <w:t>Any order dismissing the originating motion.</w:t>
            </w:r>
          </w:p>
        </w:tc>
      </w:tr>
    </w:tbl>
    <w:p w:rsidR="00425758" w:rsidRDefault="00425758">
      <w:pPr>
        <w:pStyle w:val="Subsection"/>
      </w:pPr>
      <w:r>
        <w:lastRenderedPageBreak/>
        <w:tab/>
        <w:t>(5)</w:t>
      </w:r>
      <w:r>
        <w:tab/>
        <w:t>Despite subrules (2) to (4), a person using the website called the eCourts Portal of Western Australia is entitled to have access to any information or record to which the website, if used lawfully, allows the user to have access.</w:t>
      </w:r>
    </w:p>
    <w:p w:rsidR="00425758" w:rsidRDefault="00425758">
      <w:pPr>
        <w:pStyle w:val="Subsection"/>
      </w:pPr>
      <w:r>
        <w:tab/>
        <w:t>(6)</w:t>
      </w:r>
      <w:r>
        <w:tab/>
        <w:t>Despite subrules (2) to (4), an authorised user of the ECMS is entitled to have access to any information or record to which the system, if used lawfully, allows the user to have access.</w:t>
      </w:r>
    </w:p>
    <w:p w:rsidR="00425758" w:rsidRDefault="00425758">
      <w:pPr>
        <w:pStyle w:val="Footnotesection"/>
      </w:pPr>
      <w:r>
        <w:tab/>
        <w:t xml:space="preserve">[Rule 6 inserted: Gazette 27 Feb 2018 p. 602-6; amended: Gazette 31 Dec 2019 p. 4677-8.] </w:t>
      </w:r>
    </w:p>
    <w:p w:rsidR="00425758" w:rsidRDefault="00425758">
      <w:pPr>
        <w:pStyle w:val="Heading5"/>
      </w:pPr>
      <w:bookmarkStart w:id="1077" w:name="_Toc75863674"/>
      <w:r>
        <w:rPr>
          <w:rStyle w:val="CharSectno"/>
        </w:rPr>
        <w:t>7</w:t>
      </w:r>
      <w:r>
        <w:t>.</w:t>
      </w:r>
      <w:r>
        <w:tab/>
        <w:t>Entitlements of parties</w:t>
      </w:r>
      <w:bookmarkEnd w:id="1077"/>
    </w:p>
    <w:p w:rsidR="00425758" w:rsidRDefault="00425758">
      <w:pPr>
        <w:pStyle w:val="Subsection"/>
      </w:pPr>
      <w:r>
        <w:tab/>
        <w:t>(1)</w:t>
      </w:r>
      <w:r>
        <w:tab/>
        <w:t>For the purposes of this rule, a party’s access to information or a record or other thing is restricted if the party’s access to it is restricted by —</w:t>
      </w:r>
    </w:p>
    <w:p w:rsidR="00425758" w:rsidRDefault="00425758">
      <w:pPr>
        <w:pStyle w:val="Indenta"/>
      </w:pPr>
      <w:r>
        <w:tab/>
        <w:t>(a)</w:t>
      </w:r>
      <w:r>
        <w:tab/>
        <w:t>legislation; or</w:t>
      </w:r>
    </w:p>
    <w:p w:rsidR="00425758" w:rsidRDefault="00425758">
      <w:pPr>
        <w:pStyle w:val="Indenta"/>
      </w:pPr>
      <w:r>
        <w:tab/>
        <w:t>(b)</w:t>
      </w:r>
      <w:r>
        <w:tab/>
        <w:t>an order made by a court in Australia.</w:t>
      </w:r>
    </w:p>
    <w:p w:rsidR="00425758" w:rsidRDefault="00425758">
      <w:pPr>
        <w:pStyle w:val="Subsection"/>
      </w:pPr>
      <w:r>
        <w:tab/>
        <w:t>(2)</w:t>
      </w:r>
      <w:r>
        <w:tab/>
        <w:t xml:space="preserve">Unless the party’s access to the information, record or thing is restricted, a party to a proceeding is entitled to have access to any of the following held by the Court in respect of the proceeding — </w:t>
      </w:r>
    </w:p>
    <w:p w:rsidR="00425758" w:rsidRDefault="00425758">
      <w:pPr>
        <w:pStyle w:val="Indenta"/>
      </w:pPr>
      <w:r>
        <w:tab/>
        <w:t>(a)</w:t>
      </w:r>
      <w:r>
        <w:tab/>
        <w:t>a filed document;</w:t>
      </w:r>
    </w:p>
    <w:p w:rsidR="00425758" w:rsidRDefault="00425758">
      <w:pPr>
        <w:pStyle w:val="Indenta"/>
      </w:pPr>
      <w:r>
        <w:tab/>
        <w:t>(b)</w:t>
      </w:r>
      <w:r>
        <w:tab/>
        <w:t>a list of exhibits;</w:t>
      </w:r>
    </w:p>
    <w:p w:rsidR="00425758" w:rsidRDefault="00425758">
      <w:pPr>
        <w:pStyle w:val="Indenta"/>
      </w:pPr>
      <w:r>
        <w:tab/>
        <w:t>(c)</w:t>
      </w:r>
      <w:r>
        <w:tab/>
        <w:t>an exhibit;</w:t>
      </w:r>
    </w:p>
    <w:p w:rsidR="00425758" w:rsidRDefault="00425758">
      <w:pPr>
        <w:pStyle w:val="Indenta"/>
      </w:pPr>
      <w:r>
        <w:tab/>
        <w:t>(d)</w:t>
      </w:r>
      <w:r>
        <w:tab/>
        <w:t>a list of things tendered to the Court in a hearing in the proceeding but not admitted into evidence;</w:t>
      </w:r>
    </w:p>
    <w:p w:rsidR="00425758" w:rsidRDefault="00425758">
      <w:pPr>
        <w:pStyle w:val="Indenta"/>
      </w:pPr>
      <w:r>
        <w:tab/>
        <w:t>(e)</w:t>
      </w:r>
      <w:r>
        <w:tab/>
        <w:t>any thing on the list referred to in paragraph (d);</w:t>
      </w:r>
    </w:p>
    <w:p w:rsidR="00425758" w:rsidRDefault="00425758">
      <w:pPr>
        <w:pStyle w:val="Indenta"/>
      </w:pPr>
      <w:r>
        <w:tab/>
        <w:t>(f)</w:t>
      </w:r>
      <w:r>
        <w:tab/>
        <w:t>a transcript.</w:t>
      </w:r>
    </w:p>
    <w:p w:rsidR="00425758" w:rsidRDefault="00425758">
      <w:pPr>
        <w:pStyle w:val="Footnotesection"/>
      </w:pPr>
      <w:r>
        <w:tab/>
        <w:t xml:space="preserve">[Rule 7 inserted: Gazette 27 Feb 2018 p. 606-7.] </w:t>
      </w:r>
    </w:p>
    <w:p w:rsidR="00425758" w:rsidRDefault="00425758">
      <w:pPr>
        <w:pStyle w:val="Heading3"/>
      </w:pPr>
      <w:bookmarkStart w:id="1078" w:name="_Toc75512579"/>
      <w:bookmarkStart w:id="1079" w:name="_Toc75863675"/>
      <w:r>
        <w:rPr>
          <w:rStyle w:val="CharDivNo"/>
        </w:rPr>
        <w:lastRenderedPageBreak/>
        <w:t>Division 4</w:t>
      </w:r>
      <w:r>
        <w:t> — </w:t>
      </w:r>
      <w:r>
        <w:rPr>
          <w:rStyle w:val="CharDivText"/>
        </w:rPr>
        <w:t>Access with the Court’s permission</w:t>
      </w:r>
      <w:bookmarkEnd w:id="1078"/>
      <w:bookmarkEnd w:id="1079"/>
    </w:p>
    <w:p w:rsidR="00425758" w:rsidRDefault="00425758">
      <w:pPr>
        <w:pStyle w:val="Footnoteheading"/>
        <w:keepNext/>
      </w:pPr>
      <w:r>
        <w:tab/>
        <w:t xml:space="preserve">[Heading inserted: Gazette 27 Feb 2018 p. 607.] </w:t>
      </w:r>
    </w:p>
    <w:p w:rsidR="00425758" w:rsidRDefault="00425758">
      <w:pPr>
        <w:pStyle w:val="Heading5"/>
      </w:pPr>
      <w:bookmarkStart w:id="1080" w:name="_Toc75863676"/>
      <w:r>
        <w:rPr>
          <w:rStyle w:val="CharSectno"/>
        </w:rPr>
        <w:t>8</w:t>
      </w:r>
      <w:r>
        <w:t>.</w:t>
      </w:r>
      <w:r>
        <w:tab/>
        <w:t>Access with the Court’s permission</w:t>
      </w:r>
      <w:bookmarkEnd w:id="1080"/>
    </w:p>
    <w:p w:rsidR="00425758" w:rsidRDefault="00425758">
      <w:pPr>
        <w:pStyle w:val="Subsection"/>
      </w:pPr>
      <w:r>
        <w:tab/>
      </w:r>
      <w:r>
        <w:tab/>
        <w:t>A person who, for any reason, is not entitled to have access to information or a record or other thing under Division 3 may have access to it only —</w:t>
      </w:r>
    </w:p>
    <w:p w:rsidR="00425758" w:rsidRDefault="00425758">
      <w:pPr>
        <w:pStyle w:val="Indenta"/>
      </w:pPr>
      <w:r>
        <w:tab/>
        <w:t>(a)</w:t>
      </w:r>
      <w:r>
        <w:tab/>
        <w:t>with the permission of the Court given under rule 9 on an application made to the Court under rule 11; or</w:t>
      </w:r>
    </w:p>
    <w:p w:rsidR="00425758" w:rsidRDefault="00425758">
      <w:pPr>
        <w:pStyle w:val="Indenta"/>
      </w:pPr>
      <w:r>
        <w:tab/>
        <w:t>(b)</w:t>
      </w:r>
      <w:r>
        <w:tab/>
        <w:t>with the permission of the media manager given under rule 10 on an application made to the media manager under rule 11.</w:t>
      </w:r>
    </w:p>
    <w:p w:rsidR="00425758" w:rsidRDefault="00425758">
      <w:pPr>
        <w:pStyle w:val="Footnotesection"/>
      </w:pPr>
      <w:r>
        <w:tab/>
        <w:t xml:space="preserve">[Rule 8 inserted: Gazette 27 Feb 2018 p. 607.] </w:t>
      </w:r>
    </w:p>
    <w:p w:rsidR="00425758" w:rsidRDefault="00425758">
      <w:pPr>
        <w:pStyle w:val="Heading5"/>
      </w:pPr>
      <w:bookmarkStart w:id="1081" w:name="_Toc75863677"/>
      <w:r>
        <w:rPr>
          <w:rStyle w:val="CharSectno"/>
        </w:rPr>
        <w:t>9</w:t>
      </w:r>
      <w:r>
        <w:t>.</w:t>
      </w:r>
      <w:r>
        <w:tab/>
        <w:t>When Court can give permission</w:t>
      </w:r>
      <w:bookmarkEnd w:id="1081"/>
    </w:p>
    <w:p w:rsidR="00425758" w:rsidRDefault="00425758">
      <w:pPr>
        <w:pStyle w:val="Subsection"/>
      </w:pPr>
      <w:r>
        <w:tab/>
        <w:t>(1)</w:t>
      </w:r>
      <w:r>
        <w:tab/>
        <w:t>This rule applies if an application for permission is made in writing to the Court under rule 11.</w:t>
      </w:r>
    </w:p>
    <w:p w:rsidR="00425758" w:rsidRDefault="00425758">
      <w:pPr>
        <w:pStyle w:val="Subsection"/>
      </w:pPr>
      <w:r>
        <w:tab/>
        <w:t>(2)</w:t>
      </w:r>
      <w:r>
        <w:tab/>
        <w:t>This rule must be read with rule 13.</w:t>
      </w:r>
    </w:p>
    <w:p w:rsidR="00425758" w:rsidRDefault="00425758">
      <w:pPr>
        <w:pStyle w:val="Subsection"/>
      </w:pPr>
      <w:r>
        <w:tab/>
        <w:t>(3)</w:t>
      </w:r>
      <w:r>
        <w:tab/>
        <w:t>The Court must give permission if satisfied —</w:t>
      </w:r>
    </w:p>
    <w:p w:rsidR="00425758" w:rsidRDefault="00425758">
      <w:pPr>
        <w:pStyle w:val="Indenta"/>
      </w:pPr>
      <w:r>
        <w:tab/>
        <w:t>(a)</w:t>
      </w:r>
      <w:r>
        <w:tab/>
        <w:t>the application —</w:t>
      </w:r>
    </w:p>
    <w:p w:rsidR="00425758" w:rsidRDefault="00425758">
      <w:pPr>
        <w:pStyle w:val="Indenti"/>
      </w:pPr>
      <w:r>
        <w:tab/>
        <w:t>(i)</w:t>
      </w:r>
      <w:r>
        <w:tab/>
        <w:t>relates to information or a record or other thing that was considered by the Court in the proceeding to which the application relates; or</w:t>
      </w:r>
    </w:p>
    <w:p w:rsidR="00425758" w:rsidRDefault="00425758">
      <w:pPr>
        <w:pStyle w:val="Indenti"/>
      </w:pPr>
      <w:r>
        <w:tab/>
        <w:t>(ii)</w:t>
      </w:r>
      <w:r>
        <w:tab/>
        <w:t>relates to the transcript of the whole or a part of a hearing in that proceeding that the applicant was entitled to attend;</w:t>
      </w:r>
    </w:p>
    <w:p w:rsidR="00425758" w:rsidRDefault="00425758">
      <w:pPr>
        <w:pStyle w:val="Indenta"/>
      </w:pPr>
      <w:r>
        <w:tab/>
      </w:r>
      <w:r>
        <w:tab/>
        <w:t>and</w:t>
      </w:r>
    </w:p>
    <w:p w:rsidR="00425758" w:rsidRDefault="00425758">
      <w:pPr>
        <w:pStyle w:val="Indenta"/>
      </w:pPr>
      <w:r>
        <w:tab/>
        <w:t>(b)</w:t>
      </w:r>
      <w:r>
        <w:tab/>
        <w:t>the application does not relate to an audio or audio</w:t>
      </w:r>
      <w:r>
        <w:noBreakHyphen/>
        <w:t>visual recording of a hearing in that proceeding; and</w:t>
      </w:r>
    </w:p>
    <w:p w:rsidR="00425758" w:rsidRDefault="00425758">
      <w:pPr>
        <w:pStyle w:val="Indenta"/>
      </w:pPr>
      <w:r>
        <w:tab/>
        <w:t>(c)</w:t>
      </w:r>
      <w:r>
        <w:tab/>
        <w:t xml:space="preserve">if the application relates to information or a record or other thing that was considered by the Court in that </w:t>
      </w:r>
      <w:r>
        <w:lastRenderedPageBreak/>
        <w:t>proceeding but was not admitted into evidence or was struck out — that giving permission would not prejudice or adversely affect any person; and</w:t>
      </w:r>
    </w:p>
    <w:p w:rsidR="00425758" w:rsidRDefault="00425758">
      <w:pPr>
        <w:pStyle w:val="Indenta"/>
      </w:pPr>
      <w:r>
        <w:tab/>
        <w:t>(d)</w:t>
      </w:r>
      <w:r>
        <w:tab/>
        <w:t>that giving permission would not breach —</w:t>
      </w:r>
    </w:p>
    <w:p w:rsidR="00425758" w:rsidRDefault="00425758">
      <w:pPr>
        <w:pStyle w:val="Indenti"/>
      </w:pPr>
      <w:r>
        <w:tab/>
        <w:t>(i)</w:t>
      </w:r>
      <w:r>
        <w:tab/>
        <w:t>any legislation; or</w:t>
      </w:r>
    </w:p>
    <w:p w:rsidR="00425758" w:rsidRDefault="00425758">
      <w:pPr>
        <w:pStyle w:val="Indenti"/>
      </w:pPr>
      <w:r>
        <w:tab/>
        <w:t>(ii)</w:t>
      </w:r>
      <w:r>
        <w:tab/>
        <w:t>an order made by a court in Australia;</w:t>
      </w:r>
    </w:p>
    <w:p w:rsidR="00425758" w:rsidRDefault="00425758">
      <w:pPr>
        <w:pStyle w:val="Indenta"/>
      </w:pPr>
      <w:r>
        <w:tab/>
      </w:r>
      <w:r>
        <w:tab/>
        <w:t>and</w:t>
      </w:r>
    </w:p>
    <w:p w:rsidR="00425758" w:rsidRDefault="00425758">
      <w:pPr>
        <w:pStyle w:val="Indenta"/>
      </w:pPr>
      <w:r>
        <w:tab/>
        <w:t>(e)</w:t>
      </w:r>
      <w:r>
        <w:tab/>
        <w:t xml:space="preserve">the arrangements necessary to give the applicant access would not — </w:t>
      </w:r>
    </w:p>
    <w:p w:rsidR="00425758" w:rsidRDefault="00425758">
      <w:pPr>
        <w:pStyle w:val="Indenti"/>
      </w:pPr>
      <w:r>
        <w:tab/>
        <w:t>(i)</w:t>
      </w:r>
      <w:r>
        <w:tab/>
        <w:t>be unreasonably expensive or time consuming for the Court or a party; or</w:t>
      </w:r>
    </w:p>
    <w:p w:rsidR="00425758" w:rsidRDefault="00425758">
      <w:pPr>
        <w:pStyle w:val="Indenti"/>
      </w:pPr>
      <w:r>
        <w:tab/>
        <w:t>(ii)</w:t>
      </w:r>
      <w:r>
        <w:tab/>
        <w:t>unduly impede the efficient conduct of the proceeding;</w:t>
      </w:r>
    </w:p>
    <w:p w:rsidR="00425758" w:rsidRDefault="00425758">
      <w:pPr>
        <w:pStyle w:val="Indenta"/>
      </w:pPr>
      <w:r>
        <w:tab/>
      </w:r>
      <w:r>
        <w:tab/>
        <w:t>and</w:t>
      </w:r>
    </w:p>
    <w:p w:rsidR="00425758" w:rsidRDefault="00425758">
      <w:pPr>
        <w:pStyle w:val="Indenta"/>
      </w:pPr>
      <w:r>
        <w:tab/>
        <w:t>(f)</w:t>
      </w:r>
      <w:r>
        <w:tab/>
        <w:t>there is no other good reason to refuse the application.</w:t>
      </w:r>
    </w:p>
    <w:p w:rsidR="00425758" w:rsidRDefault="00425758">
      <w:pPr>
        <w:pStyle w:val="Subsection"/>
      </w:pPr>
      <w:r>
        <w:tab/>
        <w:t>(4)</w:t>
      </w:r>
      <w:r>
        <w:tab/>
        <w:t>If the application does not relate to information or a record or other thing referred to in subrule (3)(a) or to a recording referred to in subrule (3)(b), the Court may give permission if satisfied —</w:t>
      </w:r>
    </w:p>
    <w:p w:rsidR="00425758" w:rsidRDefault="00425758">
      <w:pPr>
        <w:pStyle w:val="Indenta"/>
      </w:pPr>
      <w:r>
        <w:tab/>
        <w:t>(a)</w:t>
      </w:r>
      <w:r>
        <w:tab/>
        <w:t>as to the matters in subrule (3)(d) to (f); and</w:t>
      </w:r>
    </w:p>
    <w:p w:rsidR="00425758" w:rsidRDefault="00425758">
      <w:pPr>
        <w:pStyle w:val="Indenta"/>
      </w:pPr>
      <w:r>
        <w:tab/>
        <w:t>(b)</w:t>
      </w:r>
      <w:r>
        <w:tab/>
        <w:t>there is a good reason to do so.</w:t>
      </w:r>
    </w:p>
    <w:p w:rsidR="00425758" w:rsidRDefault="00425758">
      <w:pPr>
        <w:pStyle w:val="Subsection"/>
      </w:pPr>
      <w:r>
        <w:tab/>
        <w:t>(5)</w:t>
      </w:r>
      <w:r>
        <w:tab/>
        <w:t>If under subrule (3)(a)(ii) the Court is not satisfied the applicant was entitled to attend the hearing, the Court may nevertheless give permission if satisfied —</w:t>
      </w:r>
    </w:p>
    <w:p w:rsidR="00425758" w:rsidRDefault="00425758">
      <w:pPr>
        <w:pStyle w:val="Indenta"/>
      </w:pPr>
      <w:r>
        <w:tab/>
        <w:t>(a)</w:t>
      </w:r>
      <w:r>
        <w:tab/>
        <w:t>as to the other matters in subrule (3); and</w:t>
      </w:r>
    </w:p>
    <w:p w:rsidR="00425758" w:rsidRDefault="00425758">
      <w:pPr>
        <w:pStyle w:val="Indenta"/>
      </w:pPr>
      <w:r>
        <w:tab/>
        <w:t>(b)</w:t>
      </w:r>
      <w:r>
        <w:tab/>
        <w:t>there is a good reason to do so.</w:t>
      </w:r>
    </w:p>
    <w:p w:rsidR="00425758" w:rsidRDefault="00425758">
      <w:pPr>
        <w:pStyle w:val="Subsection"/>
      </w:pPr>
      <w:r>
        <w:tab/>
        <w:t>(6)</w:t>
      </w:r>
      <w:r>
        <w:tab/>
        <w:t xml:space="preserve">If the application relates to a recording referred to in subrule (3)(b) then — </w:t>
      </w:r>
    </w:p>
    <w:p w:rsidR="00425758" w:rsidRDefault="00425758">
      <w:pPr>
        <w:pStyle w:val="Indenta"/>
      </w:pPr>
      <w:r>
        <w:tab/>
        <w:t>(a)</w:t>
      </w:r>
      <w:r>
        <w:tab/>
        <w:t>if the recording has been broadcast on the Court’s website, the Court may give permission if satisfied there is no good reason to refuse the application; or</w:t>
      </w:r>
    </w:p>
    <w:p w:rsidR="00425758" w:rsidRDefault="00425758">
      <w:pPr>
        <w:pStyle w:val="Indenta"/>
      </w:pPr>
      <w:r>
        <w:lastRenderedPageBreak/>
        <w:tab/>
        <w:t>(b)</w:t>
      </w:r>
      <w:r>
        <w:tab/>
        <w:t>if the recording has not been broadcast on the Court’s website, the Court may give permission only if satisfied —</w:t>
      </w:r>
    </w:p>
    <w:p w:rsidR="00425758" w:rsidRDefault="00425758">
      <w:pPr>
        <w:pStyle w:val="Indenti"/>
      </w:pPr>
      <w:r>
        <w:tab/>
        <w:t>(i)</w:t>
      </w:r>
      <w:r>
        <w:tab/>
        <w:t>as to the matters in subrule (3)(d) to (f); and</w:t>
      </w:r>
    </w:p>
    <w:p w:rsidR="00425758" w:rsidRDefault="00425758">
      <w:pPr>
        <w:pStyle w:val="Indenti"/>
      </w:pPr>
      <w:r>
        <w:tab/>
        <w:t>(ii)</w:t>
      </w:r>
      <w:r>
        <w:tab/>
        <w:t>there is an exceptional reason to do so.</w:t>
      </w:r>
    </w:p>
    <w:p w:rsidR="00425758" w:rsidRDefault="00425758">
      <w:pPr>
        <w:pStyle w:val="Footnotesection"/>
      </w:pPr>
      <w:r>
        <w:tab/>
        <w:t xml:space="preserve">[Rule 9 inserted: Gazette 27 Feb 2018 p. 607-9.] </w:t>
      </w:r>
    </w:p>
    <w:p w:rsidR="00425758" w:rsidRDefault="00425758">
      <w:pPr>
        <w:pStyle w:val="Heading5"/>
      </w:pPr>
      <w:bookmarkStart w:id="1082" w:name="_Toc75863678"/>
      <w:r>
        <w:rPr>
          <w:rStyle w:val="CharSectno"/>
        </w:rPr>
        <w:t>10</w:t>
      </w:r>
      <w:r>
        <w:t>.</w:t>
      </w:r>
      <w:r>
        <w:tab/>
        <w:t>When media manager can give permission</w:t>
      </w:r>
      <w:bookmarkEnd w:id="1082"/>
    </w:p>
    <w:p w:rsidR="00425758" w:rsidRDefault="00425758">
      <w:pPr>
        <w:pStyle w:val="Subsection"/>
      </w:pPr>
      <w:r>
        <w:tab/>
        <w:t>(1)</w:t>
      </w:r>
      <w:r>
        <w:tab/>
        <w:t>This rule applies if —</w:t>
      </w:r>
    </w:p>
    <w:p w:rsidR="00425758" w:rsidRDefault="00425758">
      <w:pPr>
        <w:pStyle w:val="Indenta"/>
      </w:pPr>
      <w:r>
        <w:tab/>
        <w:t>(a)</w:t>
      </w:r>
      <w:r>
        <w:tab/>
        <w:t>a media representative makes an oral application for permission under rule 11 to the media manager; or</w:t>
      </w:r>
    </w:p>
    <w:p w:rsidR="00425758" w:rsidRDefault="00425758">
      <w:pPr>
        <w:pStyle w:val="Indenta"/>
      </w:pPr>
      <w:r>
        <w:tab/>
        <w:t>(b)</w:t>
      </w:r>
      <w:r>
        <w:tab/>
        <w:t>a media representative makes a written application for permission under rule 11 to the Court that the Court refers to the media manager to deal with.</w:t>
      </w:r>
    </w:p>
    <w:p w:rsidR="00425758" w:rsidRDefault="00425758">
      <w:pPr>
        <w:pStyle w:val="Subsection"/>
      </w:pPr>
      <w:r>
        <w:tab/>
        <w:t>(2)</w:t>
      </w:r>
      <w:r>
        <w:tab/>
        <w:t>This rule must be read with rule 13.</w:t>
      </w:r>
    </w:p>
    <w:p w:rsidR="00425758" w:rsidRDefault="00425758">
      <w:pPr>
        <w:pStyle w:val="Subsection"/>
      </w:pPr>
      <w:r>
        <w:tab/>
        <w:t>(3)</w:t>
      </w:r>
      <w:r>
        <w:tab/>
        <w:t>The media manager must give permission if satisfied —</w:t>
      </w:r>
    </w:p>
    <w:p w:rsidR="00425758" w:rsidRDefault="00425758">
      <w:pPr>
        <w:pStyle w:val="Indenta"/>
      </w:pPr>
      <w:r>
        <w:tab/>
        <w:t>(a)</w:t>
      </w:r>
      <w:r>
        <w:tab/>
        <w:t>the applicant is a media representative; and</w:t>
      </w:r>
    </w:p>
    <w:p w:rsidR="00425758" w:rsidRDefault="00425758">
      <w:pPr>
        <w:pStyle w:val="Indenta"/>
      </w:pPr>
      <w:r>
        <w:tab/>
        <w:t>(b)</w:t>
      </w:r>
      <w:r>
        <w:tab/>
        <w:t>the Court has already given another media representative permission to have access to the information, record or other thing to which the applicant wants access; and</w:t>
      </w:r>
    </w:p>
    <w:p w:rsidR="00425758" w:rsidRDefault="00425758">
      <w:pPr>
        <w:pStyle w:val="Indenta"/>
      </w:pPr>
      <w:r>
        <w:tab/>
        <w:t>(c)</w:t>
      </w:r>
      <w:r>
        <w:tab/>
        <w:t>neither the other media representative nor the other media representative’s employer is a party to the proceeding in respect of which that information, record or other thing is held by the Court; and</w:t>
      </w:r>
    </w:p>
    <w:p w:rsidR="00425758" w:rsidRDefault="00425758">
      <w:pPr>
        <w:pStyle w:val="Indenta"/>
      </w:pPr>
      <w:r>
        <w:tab/>
        <w:t>(d)</w:t>
      </w:r>
      <w:r>
        <w:tab/>
        <w:t>neither the applicant nor the applicant’s employer is a party to that proceeding.</w:t>
      </w:r>
    </w:p>
    <w:p w:rsidR="00425758" w:rsidRDefault="00425758">
      <w:pPr>
        <w:pStyle w:val="Subsection"/>
      </w:pPr>
      <w:r>
        <w:tab/>
        <w:t>(4)</w:t>
      </w:r>
      <w:r>
        <w:tab/>
        <w:t>If the media manager gives permission under subrule (3), it must be on the same terms and conditions (if any) as those on which the Court gave permission to the other media representative.</w:t>
      </w:r>
    </w:p>
    <w:p w:rsidR="00425758" w:rsidRDefault="00425758">
      <w:pPr>
        <w:pStyle w:val="Footnotesection"/>
      </w:pPr>
      <w:r>
        <w:tab/>
        <w:t xml:space="preserve">[Rule 10 inserted: Gazette 27 Feb 2018 p. 609-10.] </w:t>
      </w:r>
    </w:p>
    <w:p w:rsidR="00425758" w:rsidRDefault="00425758">
      <w:pPr>
        <w:pStyle w:val="Heading3"/>
      </w:pPr>
      <w:bookmarkStart w:id="1083" w:name="_Toc75512583"/>
      <w:bookmarkStart w:id="1084" w:name="_Toc75863679"/>
      <w:r>
        <w:rPr>
          <w:rStyle w:val="CharDivNo"/>
        </w:rPr>
        <w:lastRenderedPageBreak/>
        <w:t>Division 5</w:t>
      </w:r>
      <w:r>
        <w:t> — </w:t>
      </w:r>
      <w:r>
        <w:rPr>
          <w:rStyle w:val="CharDivText"/>
        </w:rPr>
        <w:t>Applications for access</w:t>
      </w:r>
      <w:bookmarkEnd w:id="1083"/>
      <w:bookmarkEnd w:id="1084"/>
    </w:p>
    <w:p w:rsidR="00425758" w:rsidRDefault="00425758">
      <w:pPr>
        <w:pStyle w:val="Footnoteheading"/>
      </w:pPr>
      <w:r>
        <w:tab/>
        <w:t xml:space="preserve">[Heading inserted: Gazette 27 Feb 2018 p. 610.] </w:t>
      </w:r>
    </w:p>
    <w:p w:rsidR="00425758" w:rsidRDefault="00425758">
      <w:pPr>
        <w:pStyle w:val="Heading5"/>
      </w:pPr>
      <w:bookmarkStart w:id="1085" w:name="_Toc75863680"/>
      <w:r>
        <w:rPr>
          <w:rStyle w:val="CharSectno"/>
        </w:rPr>
        <w:t>11</w:t>
      </w:r>
      <w:r>
        <w:t>.</w:t>
      </w:r>
      <w:r>
        <w:tab/>
        <w:t>Applying for access</w:t>
      </w:r>
      <w:bookmarkEnd w:id="1085"/>
    </w:p>
    <w:p w:rsidR="00425758" w:rsidRDefault="00425758">
      <w:pPr>
        <w:pStyle w:val="Subsection"/>
      </w:pPr>
      <w:r>
        <w:tab/>
        <w:t>(1)</w:t>
      </w:r>
      <w:r>
        <w:tab/>
        <w:t>A person using the Court’s website —</w:t>
      </w:r>
    </w:p>
    <w:p w:rsidR="00425758" w:rsidRDefault="00425758">
      <w:pPr>
        <w:pStyle w:val="Indenta"/>
      </w:pPr>
      <w:r>
        <w:tab/>
        <w:t>(a)</w:t>
      </w:r>
      <w:r>
        <w:tab/>
        <w:t>may have access to any information or record to which the website, if used lawfully, allows the user to have access; and</w:t>
      </w:r>
    </w:p>
    <w:p w:rsidR="00425758" w:rsidRDefault="00425758">
      <w:pPr>
        <w:pStyle w:val="Indenta"/>
      </w:pPr>
      <w:r>
        <w:tab/>
        <w:t>(b)</w:t>
      </w:r>
      <w:r>
        <w:tab/>
        <w:t>need not apply under this rule for access to the information or record.</w:t>
      </w:r>
    </w:p>
    <w:p w:rsidR="00425758" w:rsidRDefault="00425758">
      <w:pPr>
        <w:pStyle w:val="Subsection"/>
      </w:pPr>
      <w:r>
        <w:tab/>
        <w:t>(2)</w:t>
      </w:r>
      <w:r>
        <w:tab/>
        <w:t>A person who is an authorised user of the ECMS —</w:t>
      </w:r>
    </w:p>
    <w:p w:rsidR="00425758" w:rsidRDefault="00425758">
      <w:pPr>
        <w:pStyle w:val="Indenta"/>
      </w:pPr>
      <w:r>
        <w:tab/>
        <w:t>(a)</w:t>
      </w:r>
      <w:r>
        <w:tab/>
        <w:t>may have access to any information or record related to proceedings to which that system, if used lawfully, allows the person to have access; and</w:t>
      </w:r>
    </w:p>
    <w:p w:rsidR="00425758" w:rsidRDefault="00425758">
      <w:pPr>
        <w:pStyle w:val="Indenta"/>
      </w:pPr>
      <w:r>
        <w:tab/>
        <w:t>(b)</w:t>
      </w:r>
      <w:r>
        <w:tab/>
        <w:t>need not apply under this rule for access to the information or record.</w:t>
      </w:r>
    </w:p>
    <w:p w:rsidR="00425758" w:rsidRDefault="00425758">
      <w:pPr>
        <w:pStyle w:val="Subsection"/>
      </w:pPr>
      <w:r>
        <w:tab/>
        <w:t>(3)</w:t>
      </w:r>
      <w:r>
        <w:tab/>
        <w:t>A person who, under Division 3 or 4, wants access to information or a record or other thing must apply under this rule.</w:t>
      </w:r>
    </w:p>
    <w:p w:rsidR="00425758" w:rsidRDefault="00425758">
      <w:pPr>
        <w:pStyle w:val="Subsection"/>
      </w:pPr>
      <w:r>
        <w:tab/>
        <w:t>(4)</w:t>
      </w:r>
      <w:r>
        <w:tab/>
        <w:t>The application is taken to be an interlocutory application in the proceeding in respect of which the information, record or other thing is held by the Court, whether or not the applicant is a party to that proceeding.</w:t>
      </w:r>
    </w:p>
    <w:p w:rsidR="00425758" w:rsidRDefault="00425758">
      <w:pPr>
        <w:pStyle w:val="Subsection"/>
      </w:pPr>
      <w:r>
        <w:tab/>
        <w:t>(5)</w:t>
      </w:r>
      <w:r>
        <w:tab/>
        <w:t>Despite subrule (4), Order 4A rule 4A does not apply to the application.</w:t>
      </w:r>
    </w:p>
    <w:p w:rsidR="00425758" w:rsidRDefault="00425758">
      <w:pPr>
        <w:pStyle w:val="Subsection"/>
      </w:pPr>
      <w:r>
        <w:tab/>
        <w:t>(6)</w:t>
      </w:r>
      <w:r>
        <w:tab/>
        <w:t>Despite Order 59 rules 1(1) and 3, the application may be made by letter to the Principal Registrar.</w:t>
      </w:r>
    </w:p>
    <w:p w:rsidR="00425758" w:rsidRDefault="00425758">
      <w:pPr>
        <w:pStyle w:val="Subsection"/>
      </w:pPr>
      <w:r>
        <w:tab/>
        <w:t>(7)</w:t>
      </w:r>
      <w:r>
        <w:tab/>
        <w:t>If an application is made under subrule (6), the Principal Registrar may require the applicant to file a motion or summons in accordance with Order 59 rule 3(1)(b).</w:t>
      </w:r>
    </w:p>
    <w:p w:rsidR="00425758" w:rsidRDefault="00425758">
      <w:pPr>
        <w:pStyle w:val="Subsection"/>
      </w:pPr>
      <w:r>
        <w:lastRenderedPageBreak/>
        <w:tab/>
        <w:t>(8)</w:t>
      </w:r>
      <w:r>
        <w:tab/>
        <w:t>A person may apply orally to the Court for access to information or a record or thing if —</w:t>
      </w:r>
    </w:p>
    <w:p w:rsidR="00425758" w:rsidRDefault="00425758">
      <w:pPr>
        <w:pStyle w:val="Indenta"/>
      </w:pPr>
      <w:r>
        <w:tab/>
        <w:t>(a)</w:t>
      </w:r>
      <w:r>
        <w:tab/>
        <w:t>the person is entitled under Division 3 to have access to the information, record or other thing; and</w:t>
      </w:r>
    </w:p>
    <w:p w:rsidR="00425758" w:rsidRDefault="00425758">
      <w:pPr>
        <w:pStyle w:val="Indenta"/>
      </w:pPr>
      <w:r>
        <w:tab/>
        <w:t>(b)</w:t>
      </w:r>
      <w:r>
        <w:tab/>
        <w:t>no fee is payable in respect of the application.</w:t>
      </w:r>
    </w:p>
    <w:p w:rsidR="00425758" w:rsidRDefault="00425758">
      <w:pPr>
        <w:pStyle w:val="Subsection"/>
      </w:pPr>
      <w:r>
        <w:tab/>
        <w:t>(9)</w:t>
      </w:r>
      <w:r>
        <w:tab/>
        <w:t>A media representative may apply orally to the media manager for access to information if the media representative —</w:t>
      </w:r>
    </w:p>
    <w:p w:rsidR="00425758" w:rsidRDefault="00425758">
      <w:pPr>
        <w:pStyle w:val="Indenta"/>
      </w:pPr>
      <w:r>
        <w:tab/>
        <w:t>(a)</w:t>
      </w:r>
      <w:r>
        <w:tab/>
        <w:t>is entitled under rule 6 to have access to the information; and</w:t>
      </w:r>
    </w:p>
    <w:p w:rsidR="00425758" w:rsidRDefault="00425758">
      <w:pPr>
        <w:pStyle w:val="Indenta"/>
      </w:pPr>
      <w:r>
        <w:tab/>
        <w:t>(b)</w:t>
      </w:r>
      <w:r>
        <w:tab/>
        <w:t>gives the media manager the case number of the proceeding in respect of which the information is held by the Court.</w:t>
      </w:r>
    </w:p>
    <w:p w:rsidR="00425758" w:rsidRDefault="00425758">
      <w:pPr>
        <w:pStyle w:val="Subsection"/>
      </w:pPr>
      <w:r>
        <w:tab/>
        <w:t>(10)</w:t>
      </w:r>
      <w:r>
        <w:tab/>
        <w:t>Every written application must be accompanied by the prescribed fee (if any).</w:t>
      </w:r>
    </w:p>
    <w:p w:rsidR="00425758" w:rsidRDefault="00425758">
      <w:pPr>
        <w:pStyle w:val="Subsection"/>
      </w:pPr>
      <w:r>
        <w:tab/>
        <w:t>(11)</w:t>
      </w:r>
      <w:r>
        <w:tab/>
        <w:t>Every application must —</w:t>
      </w:r>
    </w:p>
    <w:p w:rsidR="00425758" w:rsidRDefault="00425758">
      <w:pPr>
        <w:pStyle w:val="Indenta"/>
      </w:pPr>
      <w:r>
        <w:tab/>
        <w:t>(a)</w:t>
      </w:r>
      <w:r>
        <w:tab/>
        <w:t>describe clearly —</w:t>
      </w:r>
    </w:p>
    <w:p w:rsidR="00425758" w:rsidRDefault="00425758">
      <w:pPr>
        <w:pStyle w:val="Indenti"/>
      </w:pPr>
      <w:r>
        <w:tab/>
        <w:t>(i)</w:t>
      </w:r>
      <w:r>
        <w:tab/>
        <w:t>the information, record or other thing to which access is wanted; and</w:t>
      </w:r>
    </w:p>
    <w:p w:rsidR="00425758" w:rsidRDefault="00425758">
      <w:pPr>
        <w:pStyle w:val="Indenti"/>
      </w:pPr>
      <w:r>
        <w:tab/>
        <w:t>(ii)</w:t>
      </w:r>
      <w:r>
        <w:tab/>
        <w:t>the proceeding in respect of which the information, record or other thing is held by the Court;</w:t>
      </w:r>
    </w:p>
    <w:p w:rsidR="00425758" w:rsidRDefault="00425758">
      <w:pPr>
        <w:pStyle w:val="Indenta"/>
      </w:pPr>
      <w:r>
        <w:tab/>
      </w:r>
      <w:r>
        <w:tab/>
        <w:t>and</w:t>
      </w:r>
    </w:p>
    <w:p w:rsidR="00425758" w:rsidRDefault="00425758">
      <w:pPr>
        <w:pStyle w:val="Indenta"/>
      </w:pPr>
      <w:r>
        <w:tab/>
        <w:t>(b)</w:t>
      </w:r>
      <w:r>
        <w:tab/>
        <w:t>if the applicant is a media representative, must state —</w:t>
      </w:r>
    </w:p>
    <w:p w:rsidR="00425758" w:rsidRDefault="00425758">
      <w:pPr>
        <w:pStyle w:val="Indenti"/>
      </w:pPr>
      <w:r>
        <w:tab/>
        <w:t>(i)</w:t>
      </w:r>
      <w:r>
        <w:tab/>
        <w:t>that fact; and</w:t>
      </w:r>
    </w:p>
    <w:p w:rsidR="00425758" w:rsidRDefault="00425758">
      <w:pPr>
        <w:pStyle w:val="Indenti"/>
      </w:pPr>
      <w:r>
        <w:tab/>
        <w:t>(ii)</w:t>
      </w:r>
      <w:r>
        <w:tab/>
        <w:t>whether the applicant or the applicant’s employer is a party to the proceeding in respect of which the information, record or other thing is held by the Court;</w:t>
      </w:r>
    </w:p>
    <w:p w:rsidR="00425758" w:rsidRDefault="00425758">
      <w:pPr>
        <w:pStyle w:val="Indenta"/>
      </w:pPr>
      <w:r>
        <w:tab/>
      </w:r>
      <w:r>
        <w:tab/>
        <w:t>and</w:t>
      </w:r>
    </w:p>
    <w:p w:rsidR="00425758" w:rsidRDefault="00425758">
      <w:pPr>
        <w:pStyle w:val="Indenta"/>
      </w:pPr>
      <w:r>
        <w:tab/>
        <w:t>(c)</w:t>
      </w:r>
      <w:r>
        <w:tab/>
        <w:t xml:space="preserve">if it is for access to information or a record, state the format (such as paper or digital) in which the applicant, </w:t>
      </w:r>
      <w:r>
        <w:lastRenderedPageBreak/>
        <w:t>if allowed access, would prefer to be given the information or record.</w:t>
      </w:r>
    </w:p>
    <w:p w:rsidR="00425758" w:rsidRDefault="00425758">
      <w:pPr>
        <w:pStyle w:val="Subsection"/>
      </w:pPr>
      <w:r>
        <w:tab/>
        <w:t>(12)</w:t>
      </w:r>
      <w:r>
        <w:tab/>
        <w:t>Every application for permission to have access must state the reasons why access is wanted.</w:t>
      </w:r>
    </w:p>
    <w:p w:rsidR="00425758" w:rsidRDefault="00425758">
      <w:pPr>
        <w:pStyle w:val="Subsection"/>
      </w:pPr>
      <w:r>
        <w:tab/>
        <w:t>(13)</w:t>
      </w:r>
      <w:r>
        <w:tab/>
        <w:t>The applicant need not serve the application on, or give notice of it to, any person unless the Court orders otherwise under rule 12.</w:t>
      </w:r>
    </w:p>
    <w:p w:rsidR="00425758" w:rsidRDefault="00425758">
      <w:pPr>
        <w:pStyle w:val="Footnotesection"/>
      </w:pPr>
      <w:r>
        <w:tab/>
        <w:t xml:space="preserve">[Rule 11 inserted: Gazette 27 Feb 2018 p. 610-13; amended: Gazette 31 Dec 2019 p. 4677-8.] </w:t>
      </w:r>
    </w:p>
    <w:p w:rsidR="00425758" w:rsidRDefault="00425758">
      <w:pPr>
        <w:pStyle w:val="Heading5"/>
      </w:pPr>
      <w:bookmarkStart w:id="1086" w:name="_Toc75863681"/>
      <w:r>
        <w:rPr>
          <w:rStyle w:val="CharSectno"/>
        </w:rPr>
        <w:t>12</w:t>
      </w:r>
      <w:r>
        <w:t>.</w:t>
      </w:r>
      <w:r>
        <w:tab/>
        <w:t>Court’s powers as to applications for permission</w:t>
      </w:r>
      <w:bookmarkEnd w:id="1086"/>
    </w:p>
    <w:p w:rsidR="00425758" w:rsidRDefault="00425758">
      <w:pPr>
        <w:pStyle w:val="Subsection"/>
      </w:pPr>
      <w:r>
        <w:tab/>
        <w:t>(1)</w:t>
      </w:r>
      <w:r>
        <w:tab/>
        <w:t>This rule applies if a written application is made to the Court under rule 11 for permission to have access.</w:t>
      </w:r>
    </w:p>
    <w:p w:rsidR="00425758" w:rsidRDefault="00425758">
      <w:pPr>
        <w:pStyle w:val="Subsection"/>
      </w:pPr>
      <w:r>
        <w:tab/>
        <w:t>(2)</w:t>
      </w:r>
      <w:r>
        <w:tab/>
        <w:t>The Court —</w:t>
      </w:r>
    </w:p>
    <w:p w:rsidR="00425758" w:rsidRDefault="00425758">
      <w:pPr>
        <w:pStyle w:val="Indenta"/>
      </w:pPr>
      <w:r>
        <w:tab/>
        <w:t>(a)</w:t>
      </w:r>
      <w:r>
        <w:tab/>
        <w:t>may order the applicant to provide additional information in the form of an affidavit;</w:t>
      </w:r>
    </w:p>
    <w:p w:rsidR="00425758" w:rsidRDefault="00425758">
      <w:pPr>
        <w:pStyle w:val="Indenta"/>
      </w:pPr>
      <w:r>
        <w:tab/>
        <w:t>(b)</w:t>
      </w:r>
      <w:r>
        <w:tab/>
        <w:t>may order the applicant to serve on a person specified in the order —</w:t>
      </w:r>
    </w:p>
    <w:p w:rsidR="00425758" w:rsidRDefault="00425758">
      <w:pPr>
        <w:pStyle w:val="Indenti"/>
      </w:pPr>
      <w:r>
        <w:tab/>
        <w:t>(i)</w:t>
      </w:r>
      <w:r>
        <w:tab/>
        <w:t>the application; and</w:t>
      </w:r>
    </w:p>
    <w:p w:rsidR="00425758" w:rsidRDefault="00425758">
      <w:pPr>
        <w:pStyle w:val="Indenti"/>
      </w:pPr>
      <w:r>
        <w:tab/>
        <w:t>(ii)</w:t>
      </w:r>
      <w:r>
        <w:tab/>
        <w:t>a notice giving the person an opportunity to give the Court submissions about the application;</w:t>
      </w:r>
    </w:p>
    <w:p w:rsidR="00425758" w:rsidRDefault="00425758">
      <w:pPr>
        <w:pStyle w:val="Indenta"/>
      </w:pPr>
      <w:r>
        <w:tab/>
        <w:t>(c)</w:t>
      </w:r>
      <w:r>
        <w:tab/>
        <w:t>may request any person to give it submissions about the application;</w:t>
      </w:r>
    </w:p>
    <w:p w:rsidR="00425758" w:rsidRDefault="00425758">
      <w:pPr>
        <w:pStyle w:val="Indenta"/>
      </w:pPr>
      <w:r>
        <w:tab/>
        <w:t>(d)</w:t>
      </w:r>
      <w:r>
        <w:tab/>
        <w:t>may decide the application on the basis of the documents filed without requiring the applicant to attend a hearing.</w:t>
      </w:r>
    </w:p>
    <w:p w:rsidR="00425758" w:rsidRDefault="00425758">
      <w:pPr>
        <w:pStyle w:val="Subsection"/>
      </w:pPr>
      <w:r>
        <w:tab/>
        <w:t>(3)</w:t>
      </w:r>
      <w:r>
        <w:tab/>
        <w:t>The Court is not required to determine an application until after the applicant complies with an order made under subrule (2).</w:t>
      </w:r>
    </w:p>
    <w:p w:rsidR="00425758" w:rsidRDefault="00425758">
      <w:pPr>
        <w:pStyle w:val="Footnotesection"/>
      </w:pPr>
      <w:r>
        <w:tab/>
        <w:t xml:space="preserve">[Rule 12 inserted: Gazette 27 Feb 2018 p. 613.] </w:t>
      </w:r>
    </w:p>
    <w:p w:rsidR="00425758" w:rsidRDefault="00425758">
      <w:pPr>
        <w:pStyle w:val="Heading5"/>
      </w:pPr>
      <w:bookmarkStart w:id="1087" w:name="_Toc75863682"/>
      <w:r>
        <w:rPr>
          <w:rStyle w:val="CharSectno"/>
        </w:rPr>
        <w:t>13</w:t>
      </w:r>
      <w:r>
        <w:t>.</w:t>
      </w:r>
      <w:r>
        <w:tab/>
        <w:t>How applications are determined</w:t>
      </w:r>
      <w:bookmarkEnd w:id="1087"/>
    </w:p>
    <w:p w:rsidR="00425758" w:rsidRDefault="00425758">
      <w:pPr>
        <w:pStyle w:val="Subsection"/>
      </w:pPr>
      <w:r>
        <w:tab/>
        <w:t>(1)</w:t>
      </w:r>
      <w:r>
        <w:tab/>
        <w:t>This rule applies to every application made under rule 11.</w:t>
      </w:r>
    </w:p>
    <w:p w:rsidR="00425758" w:rsidRDefault="00425758">
      <w:pPr>
        <w:pStyle w:val="Subsection"/>
      </w:pPr>
      <w:r>
        <w:lastRenderedPageBreak/>
        <w:tab/>
        <w:t>(2)</w:t>
      </w:r>
      <w:r>
        <w:tab/>
        <w:t>The Court or the media manager, as the case may be, may grant the application —</w:t>
      </w:r>
    </w:p>
    <w:p w:rsidR="00425758" w:rsidRDefault="00425758">
      <w:pPr>
        <w:pStyle w:val="Indenta"/>
      </w:pPr>
      <w:r>
        <w:tab/>
        <w:t>(a)</w:t>
      </w:r>
      <w:r>
        <w:tab/>
        <w:t>in whole or in part; and</w:t>
      </w:r>
    </w:p>
    <w:p w:rsidR="00425758" w:rsidRDefault="00425758">
      <w:pPr>
        <w:pStyle w:val="Indenta"/>
      </w:pPr>
      <w:r>
        <w:tab/>
        <w:t>(b)</w:t>
      </w:r>
      <w:r>
        <w:tab/>
        <w:t>with or without conditions.</w:t>
      </w:r>
    </w:p>
    <w:p w:rsidR="00425758" w:rsidRDefault="00425758">
      <w:pPr>
        <w:pStyle w:val="Subsection"/>
      </w:pPr>
      <w:r>
        <w:tab/>
        <w:t>(3)</w:t>
      </w:r>
      <w:r>
        <w:tab/>
        <w:t>If the Court or the media manager, as the case may be, is satisfied the applicant is entitled under Division 3 to have the access wanted, the Court or media manager must grant the application.</w:t>
      </w:r>
    </w:p>
    <w:p w:rsidR="00425758" w:rsidRDefault="00425758">
      <w:pPr>
        <w:pStyle w:val="Subsection"/>
      </w:pPr>
      <w:r>
        <w:tab/>
        <w:t>(4)</w:t>
      </w:r>
      <w:r>
        <w:tab/>
        <w:t>If the Court is satisfied the applicant needs permission to have the access wanted, it must determine the application in accordance with rule 9.</w:t>
      </w:r>
    </w:p>
    <w:p w:rsidR="00425758" w:rsidRDefault="00425758">
      <w:pPr>
        <w:pStyle w:val="Subsection"/>
      </w:pPr>
      <w:r>
        <w:tab/>
        <w:t>(5)</w:t>
      </w:r>
      <w:r>
        <w:tab/>
        <w:t>If the media manager is satisfied the applicant needs permission to have the access wanted, the media manager must determine the application in accordance with rule 10.</w:t>
      </w:r>
    </w:p>
    <w:p w:rsidR="00425758" w:rsidRDefault="00425758">
      <w:pPr>
        <w:pStyle w:val="Subsection"/>
      </w:pPr>
      <w:r>
        <w:tab/>
        <w:t>(6)</w:t>
      </w:r>
      <w:r>
        <w:tab/>
        <w:t>If the media manager refuses a written application —</w:t>
      </w:r>
    </w:p>
    <w:p w:rsidR="00425758" w:rsidRDefault="00425758">
      <w:pPr>
        <w:pStyle w:val="Indenta"/>
      </w:pPr>
      <w:r>
        <w:tab/>
        <w:t>(a)</w:t>
      </w:r>
      <w:r>
        <w:tab/>
        <w:t>the media manager may refer it to the Court to determine afresh; and</w:t>
      </w:r>
    </w:p>
    <w:p w:rsidR="00425758" w:rsidRDefault="00425758">
      <w:pPr>
        <w:pStyle w:val="Indenta"/>
      </w:pPr>
      <w:r>
        <w:tab/>
        <w:t>(b)</w:t>
      </w:r>
      <w:r>
        <w:tab/>
        <w:t>the refusal does not affect the applicant’s right to apply to the Court for access.</w:t>
      </w:r>
    </w:p>
    <w:p w:rsidR="00425758" w:rsidRDefault="00425758">
      <w:pPr>
        <w:pStyle w:val="Footnotesection"/>
      </w:pPr>
      <w:r>
        <w:tab/>
        <w:t>[Rule 13 inserted: Gazette 27 Feb 2018 p. 613</w:t>
      </w:r>
      <w:r>
        <w:noBreakHyphen/>
        <w:t xml:space="preserve">14.] </w:t>
      </w:r>
    </w:p>
    <w:p w:rsidR="00425758" w:rsidRDefault="00425758">
      <w:pPr>
        <w:pStyle w:val="Heading3"/>
      </w:pPr>
      <w:bookmarkStart w:id="1088" w:name="_Toc75512587"/>
      <w:bookmarkStart w:id="1089" w:name="_Toc75863683"/>
      <w:r>
        <w:rPr>
          <w:rStyle w:val="CharDivNo"/>
        </w:rPr>
        <w:t>Division 6</w:t>
      </w:r>
      <w:r>
        <w:t> — </w:t>
      </w:r>
      <w:r>
        <w:rPr>
          <w:rStyle w:val="CharDivText"/>
        </w:rPr>
        <w:t>How access is given</w:t>
      </w:r>
      <w:bookmarkEnd w:id="1088"/>
      <w:bookmarkEnd w:id="1089"/>
    </w:p>
    <w:p w:rsidR="00425758" w:rsidRDefault="00425758">
      <w:pPr>
        <w:pStyle w:val="Footnoteheading"/>
      </w:pPr>
      <w:r>
        <w:tab/>
        <w:t xml:space="preserve">[Heading inserted: Gazette 27 Feb 2018 p. 614.] </w:t>
      </w:r>
    </w:p>
    <w:p w:rsidR="00425758" w:rsidRDefault="00425758">
      <w:pPr>
        <w:pStyle w:val="Heading5"/>
      </w:pPr>
      <w:bookmarkStart w:id="1090" w:name="_Toc75863684"/>
      <w:r>
        <w:rPr>
          <w:rStyle w:val="CharSectno"/>
        </w:rPr>
        <w:t>14</w:t>
      </w:r>
      <w:r>
        <w:t>.</w:t>
      </w:r>
      <w:r>
        <w:tab/>
        <w:t>How and when the Court gives access</w:t>
      </w:r>
      <w:bookmarkEnd w:id="1090"/>
    </w:p>
    <w:p w:rsidR="00425758" w:rsidRDefault="00425758">
      <w:pPr>
        <w:pStyle w:val="Subsection"/>
      </w:pPr>
      <w:r>
        <w:tab/>
        <w:t>(1)</w:t>
      </w:r>
      <w:r>
        <w:tab/>
        <w:t>For the purposes of this rule, an applicant is allowed access to information or a record or other thing if, on an application made under Division 5 —</w:t>
      </w:r>
    </w:p>
    <w:p w:rsidR="00425758" w:rsidRDefault="00425758">
      <w:pPr>
        <w:pStyle w:val="Indenta"/>
      </w:pPr>
      <w:r>
        <w:tab/>
        <w:t>(a)</w:t>
      </w:r>
      <w:r>
        <w:tab/>
        <w:t>it is determined the applicant is entitled to have access to the information, record or other thing; or</w:t>
      </w:r>
    </w:p>
    <w:p w:rsidR="00425758" w:rsidRDefault="00425758">
      <w:pPr>
        <w:pStyle w:val="Indenta"/>
      </w:pPr>
      <w:r>
        <w:tab/>
        <w:t>(b)</w:t>
      </w:r>
      <w:r>
        <w:tab/>
        <w:t>the applicant is given permission to have access to the information, record or other thing.</w:t>
      </w:r>
    </w:p>
    <w:p w:rsidR="00425758" w:rsidRDefault="00425758">
      <w:pPr>
        <w:pStyle w:val="Subsection"/>
      </w:pPr>
      <w:r>
        <w:lastRenderedPageBreak/>
        <w:tab/>
        <w:t>(2)</w:t>
      </w:r>
      <w:r>
        <w:tab/>
        <w:t>If an applicant is allowed access to information, the Court may give the applicant the information either orally or in writing.</w:t>
      </w:r>
    </w:p>
    <w:p w:rsidR="00425758" w:rsidRDefault="00425758">
      <w:pPr>
        <w:pStyle w:val="Subsection"/>
      </w:pPr>
      <w:r>
        <w:tab/>
        <w:t>(3)</w:t>
      </w:r>
      <w:r>
        <w:tab/>
        <w:t>If an applicant is allowed access to a record, the Court must give the applicant —</w:t>
      </w:r>
    </w:p>
    <w:p w:rsidR="00425758" w:rsidRDefault="00425758">
      <w:pPr>
        <w:pStyle w:val="Indenta"/>
      </w:pPr>
      <w:r>
        <w:tab/>
        <w:t>(a)</w:t>
      </w:r>
      <w:r>
        <w:tab/>
        <w:t>a reasonable opportunity to view or listen to it or both and, if necessary, the means by which to do so; and</w:t>
      </w:r>
    </w:p>
    <w:p w:rsidR="00425758" w:rsidRDefault="00425758">
      <w:pPr>
        <w:pStyle w:val="Indenta"/>
      </w:pPr>
      <w:r>
        <w:tab/>
        <w:t>(b)</w:t>
      </w:r>
      <w:r>
        <w:tab/>
        <w:t>a copy of it in, if practicable, the format preferred by the applicant.</w:t>
      </w:r>
    </w:p>
    <w:p w:rsidR="00425758" w:rsidRDefault="00425758">
      <w:pPr>
        <w:pStyle w:val="Subsection"/>
      </w:pPr>
      <w:r>
        <w:tab/>
        <w:t>(4)</w:t>
      </w:r>
      <w:r>
        <w:tab/>
        <w:t>If an applicant is allowed access to a thing that is not a record, the Court must give the applicant a reasonable opportunity —</w:t>
      </w:r>
    </w:p>
    <w:p w:rsidR="00425758" w:rsidRDefault="00425758">
      <w:pPr>
        <w:pStyle w:val="Indenta"/>
      </w:pPr>
      <w:r>
        <w:tab/>
        <w:t>(a)</w:t>
      </w:r>
      <w:r>
        <w:tab/>
        <w:t>to inspect it; and</w:t>
      </w:r>
    </w:p>
    <w:p w:rsidR="00425758" w:rsidRDefault="00425758">
      <w:pPr>
        <w:pStyle w:val="Indenta"/>
      </w:pPr>
      <w:r>
        <w:tab/>
        <w:t>(b)</w:t>
      </w:r>
      <w:r>
        <w:tab/>
        <w:t>to record an image of it.</w:t>
      </w:r>
    </w:p>
    <w:p w:rsidR="00425758" w:rsidRDefault="00425758">
      <w:pPr>
        <w:pStyle w:val="Subsection"/>
      </w:pPr>
      <w:r>
        <w:tab/>
        <w:t>(5)</w:t>
      </w:r>
      <w:r>
        <w:tab/>
        <w:t>Any physical access given under this rule must be given during office hours at the Central Office.</w:t>
      </w:r>
    </w:p>
    <w:p w:rsidR="00425758" w:rsidRDefault="00425758">
      <w:pPr>
        <w:pStyle w:val="Subsection"/>
      </w:pPr>
      <w:r>
        <w:tab/>
        <w:t>(6)</w:t>
      </w:r>
      <w:r>
        <w:tab/>
        <w:t>This rule does not prevent the Court from giving access to information or a record by electronic means.</w:t>
      </w:r>
    </w:p>
    <w:p w:rsidR="00425758" w:rsidRDefault="00425758">
      <w:pPr>
        <w:pStyle w:val="Footnotesection"/>
      </w:pPr>
      <w:r>
        <w:tab/>
        <w:t>[Rule 14 inserted: Gazette 27 Feb 2018 p. 614</w:t>
      </w:r>
      <w:r>
        <w:noBreakHyphen/>
        <w:t xml:space="preserve">15.] </w:t>
      </w:r>
    </w:p>
    <w:p w:rsidR="00425758" w:rsidRDefault="00425758">
      <w:pPr>
        <w:pStyle w:val="Heading3"/>
      </w:pPr>
      <w:bookmarkStart w:id="1091" w:name="_Toc75512589"/>
      <w:bookmarkStart w:id="1092" w:name="_Toc75863685"/>
      <w:r>
        <w:rPr>
          <w:rStyle w:val="CharDivNo"/>
        </w:rPr>
        <w:t>Division 7</w:t>
      </w:r>
      <w:r>
        <w:t> — </w:t>
      </w:r>
      <w:r>
        <w:rPr>
          <w:rStyle w:val="CharDivText"/>
        </w:rPr>
        <w:t>Access by non</w:t>
      </w:r>
      <w:r>
        <w:rPr>
          <w:rStyle w:val="CharDivText"/>
        </w:rPr>
        <w:noBreakHyphen/>
        <w:t>parties to documents in cases commenced before 1 March 2018</w:t>
      </w:r>
      <w:bookmarkEnd w:id="1091"/>
      <w:bookmarkEnd w:id="1092"/>
    </w:p>
    <w:p w:rsidR="00425758" w:rsidRDefault="00425758">
      <w:pPr>
        <w:pStyle w:val="Footnoteheading"/>
      </w:pPr>
      <w:r>
        <w:tab/>
        <w:t xml:space="preserve">[Heading inserted: Gazette 27 Feb 2018 p. 615.] </w:t>
      </w:r>
    </w:p>
    <w:p w:rsidR="00425758" w:rsidRDefault="00425758">
      <w:pPr>
        <w:pStyle w:val="Heading5"/>
      </w:pPr>
      <w:bookmarkStart w:id="1093" w:name="_Toc75863686"/>
      <w:r>
        <w:rPr>
          <w:rStyle w:val="CharSectno"/>
        </w:rPr>
        <w:t>15</w:t>
      </w:r>
      <w:r>
        <w:t>.</w:t>
      </w:r>
      <w:r>
        <w:tab/>
        <w:t>Application of this Division</w:t>
      </w:r>
      <w:bookmarkEnd w:id="1093"/>
    </w:p>
    <w:p w:rsidR="00425758" w:rsidRDefault="00425758">
      <w:pPr>
        <w:pStyle w:val="Subsection"/>
      </w:pPr>
      <w:r>
        <w:tab/>
      </w:r>
      <w:r>
        <w:tab/>
        <w:t>This Division applies to a person, other than a party to a proceeding, who wants access to information or a record or other thing held by the Court in respect of a proceeding commenced before 1 March 2018.</w:t>
      </w:r>
    </w:p>
    <w:p w:rsidR="00425758" w:rsidRDefault="00425758">
      <w:pPr>
        <w:pStyle w:val="Footnotesection"/>
      </w:pPr>
      <w:r>
        <w:tab/>
        <w:t xml:space="preserve">[Rule 15 inserted: Gazette 27 Feb 2018 p. 615.] </w:t>
      </w:r>
    </w:p>
    <w:p w:rsidR="00425758" w:rsidRDefault="00425758">
      <w:pPr>
        <w:pStyle w:val="Heading5"/>
      </w:pPr>
      <w:bookmarkStart w:id="1094" w:name="_Toc75863687"/>
      <w:r>
        <w:rPr>
          <w:rStyle w:val="CharSectno"/>
        </w:rPr>
        <w:lastRenderedPageBreak/>
        <w:t>16</w:t>
      </w:r>
      <w:r>
        <w:t>.</w:t>
      </w:r>
      <w:r>
        <w:tab/>
        <w:t>Documents that can be inspected or copied</w:t>
      </w:r>
      <w:bookmarkEnd w:id="1094"/>
    </w:p>
    <w:p w:rsidR="00425758" w:rsidRDefault="00425758">
      <w:pPr>
        <w:pStyle w:val="Subsection"/>
      </w:pPr>
      <w:r>
        <w:tab/>
        <w:t>(1)</w:t>
      </w:r>
      <w:r>
        <w:tab/>
        <w:t>Any person referred to in rule 15 is, on payment of the prescribed fee, entitled during office hours to inspect and be given a copy of any of these filed documents —</w:t>
      </w:r>
    </w:p>
    <w:p w:rsidR="00425758" w:rsidRDefault="00425758">
      <w:pPr>
        <w:pStyle w:val="Indenta"/>
      </w:pPr>
      <w:r>
        <w:tab/>
        <w:t>(a)</w:t>
      </w:r>
      <w:r>
        <w:tab/>
        <w:t>any writ, and the statement of claim (if any) indorsed on the writ under Order 6 rule 3;</w:t>
      </w:r>
    </w:p>
    <w:p w:rsidR="00425758" w:rsidRDefault="00425758">
      <w:pPr>
        <w:pStyle w:val="Indenta"/>
      </w:pPr>
      <w:r>
        <w:tab/>
        <w:t>(b)</w:t>
      </w:r>
      <w:r>
        <w:tab/>
        <w:t xml:space="preserve">any originating application made under the </w:t>
      </w:r>
      <w:r>
        <w:rPr>
          <w:i/>
        </w:rPr>
        <w:t>Corporations Act 2001</w:t>
      </w:r>
      <w:r>
        <w:t xml:space="preserve"> (Commonwealth);</w:t>
      </w:r>
    </w:p>
    <w:p w:rsidR="00425758" w:rsidRDefault="00425758">
      <w:pPr>
        <w:pStyle w:val="Indenta"/>
      </w:pPr>
      <w:r>
        <w:tab/>
        <w:t>(c)</w:t>
      </w:r>
      <w:r>
        <w:tab/>
        <w:t xml:space="preserve">any appeal notice filed under the </w:t>
      </w:r>
      <w:r>
        <w:rPr>
          <w:i/>
        </w:rPr>
        <w:t>Supreme Court (Court of Appeal) Rules 2005</w:t>
      </w:r>
      <w:r>
        <w:t>;</w:t>
      </w:r>
    </w:p>
    <w:p w:rsidR="00425758" w:rsidRDefault="00425758">
      <w:pPr>
        <w:pStyle w:val="Indenta"/>
      </w:pPr>
      <w:r>
        <w:tab/>
        <w:t>(d)</w:t>
      </w:r>
      <w:r>
        <w:tab/>
        <w:t>any judgment or order given or made in court;</w:t>
      </w:r>
    </w:p>
    <w:p w:rsidR="00425758" w:rsidRDefault="00425758">
      <w:pPr>
        <w:pStyle w:val="Indenta"/>
      </w:pPr>
      <w:r>
        <w:tab/>
        <w:t>(e)</w:t>
      </w:r>
      <w:r>
        <w:tab/>
        <w:t>with the leave of the Court or a registrar, any other document.</w:t>
      </w:r>
    </w:p>
    <w:p w:rsidR="00425758" w:rsidRDefault="00425758">
      <w:pPr>
        <w:pStyle w:val="Subsection"/>
      </w:pPr>
      <w:r>
        <w:tab/>
        <w:t>(2)</w:t>
      </w:r>
      <w:r>
        <w:tab/>
        <w:t>An application for leave made under subrule (1)(e) need not be served on any person.</w:t>
      </w:r>
    </w:p>
    <w:p w:rsidR="00425758" w:rsidRDefault="00425758">
      <w:pPr>
        <w:pStyle w:val="Subsection"/>
      </w:pPr>
      <w:r>
        <w:tab/>
        <w:t>(3)</w:t>
      </w:r>
      <w:r>
        <w:tab/>
        <w:t>This rule does not entitle a person to search, inspect or take a copy of any part of a document that contains information that the person is prevented by an Act from possessing.</w:t>
      </w:r>
    </w:p>
    <w:p w:rsidR="00425758" w:rsidRDefault="00425758">
      <w:pPr>
        <w:pStyle w:val="Footnotesection"/>
      </w:pPr>
      <w:r>
        <w:tab/>
        <w:t>[Rule 16 inserted: Gazette 27 Feb 2018 p. 615</w:t>
      </w:r>
      <w:r>
        <w:noBreakHyphen/>
        <w:t xml:space="preserve">16.] </w:t>
      </w:r>
    </w:p>
    <w:p w:rsidR="00425758" w:rsidRDefault="00425758">
      <w:pPr>
        <w:pStyle w:val="Heading3"/>
      </w:pPr>
      <w:bookmarkStart w:id="1095" w:name="_Toc75512592"/>
      <w:bookmarkStart w:id="1096" w:name="_Toc75863688"/>
      <w:r>
        <w:rPr>
          <w:rStyle w:val="CharDivNo"/>
        </w:rPr>
        <w:t>Division 8</w:t>
      </w:r>
      <w:r>
        <w:t> — </w:t>
      </w:r>
      <w:r>
        <w:rPr>
          <w:rStyle w:val="CharDivText"/>
        </w:rPr>
        <w:t>Miscellaneous matters</w:t>
      </w:r>
      <w:bookmarkEnd w:id="1095"/>
      <w:bookmarkEnd w:id="1096"/>
    </w:p>
    <w:p w:rsidR="00425758" w:rsidRDefault="00425758">
      <w:pPr>
        <w:pStyle w:val="Footnoteheading"/>
      </w:pPr>
      <w:r>
        <w:tab/>
        <w:t xml:space="preserve">[Heading inserted: Gazette 27 Feb 2018 p. 616.] </w:t>
      </w:r>
    </w:p>
    <w:p w:rsidR="00425758" w:rsidRDefault="00425758">
      <w:pPr>
        <w:pStyle w:val="Heading5"/>
      </w:pPr>
      <w:bookmarkStart w:id="1097" w:name="_Toc75863689"/>
      <w:r>
        <w:rPr>
          <w:rStyle w:val="CharSectno"/>
        </w:rPr>
        <w:t>17</w:t>
      </w:r>
      <w:r>
        <w:t>.</w:t>
      </w:r>
      <w:r>
        <w:tab/>
        <w:t>Registrars’ decisions may be dealt with by judge or master</w:t>
      </w:r>
      <w:bookmarkEnd w:id="1097"/>
    </w:p>
    <w:p w:rsidR="00425758" w:rsidRDefault="00425758">
      <w:pPr>
        <w:pStyle w:val="Subsection"/>
      </w:pPr>
      <w:r>
        <w:tab/>
        <w:t>(1)</w:t>
      </w:r>
      <w:r>
        <w:tab/>
        <w:t>In this rule —</w:t>
      </w:r>
    </w:p>
    <w:p w:rsidR="00425758" w:rsidRDefault="00425758">
      <w:pPr>
        <w:pStyle w:val="Defstart"/>
      </w:pPr>
      <w:r>
        <w:tab/>
      </w:r>
      <w:r>
        <w:rPr>
          <w:rStyle w:val="CharDefText"/>
        </w:rPr>
        <w:t>access application</w:t>
      </w:r>
      <w:r>
        <w:t xml:space="preserve"> means an application made under rule 11.</w:t>
      </w:r>
    </w:p>
    <w:p w:rsidR="00425758" w:rsidRDefault="00425758">
      <w:pPr>
        <w:pStyle w:val="Subsection"/>
      </w:pPr>
      <w:r>
        <w:tab/>
        <w:t>(2)</w:t>
      </w:r>
      <w:r>
        <w:tab/>
        <w:t>A person dissatisfied by a decision made under this Order by a registrar on an access application may ask the registrar for the access application to be dealt with in a new hearing by a judge or master.</w:t>
      </w:r>
    </w:p>
    <w:p w:rsidR="00425758" w:rsidRDefault="00425758">
      <w:pPr>
        <w:pStyle w:val="Subsection"/>
      </w:pPr>
      <w:r>
        <w:lastRenderedPageBreak/>
        <w:tab/>
        <w:t>(3)</w:t>
      </w:r>
      <w:r>
        <w:tab/>
        <w:t>If a registrar receives a request made under subrule (1), the registrar must refer the matter concerned to a judge or master.</w:t>
      </w:r>
    </w:p>
    <w:p w:rsidR="00425758" w:rsidRDefault="00425758">
      <w:pPr>
        <w:pStyle w:val="Footnotesection"/>
      </w:pPr>
      <w:r>
        <w:tab/>
        <w:t>[Rule 17 inserted: Gazette 27 Feb 2018 p. 616.]</w:t>
      </w:r>
    </w:p>
    <w:p w:rsidR="00425758" w:rsidRDefault="00425758">
      <w:pPr>
        <w:pStyle w:val="Heading2"/>
        <w:rPr>
          <w:b w:val="0"/>
        </w:rPr>
      </w:pPr>
      <w:bookmarkStart w:id="1098" w:name="_Toc75512594"/>
      <w:bookmarkStart w:id="1099" w:name="_Toc75863690"/>
      <w:r>
        <w:rPr>
          <w:rStyle w:val="CharPartNo"/>
        </w:rPr>
        <w:lastRenderedPageBreak/>
        <w:t>Order 68</w:t>
      </w:r>
      <w:r>
        <w:rPr>
          <w:rStyle w:val="CharDivNo"/>
        </w:rPr>
        <w:t> </w:t>
      </w:r>
      <w:r>
        <w:t>—</w:t>
      </w:r>
      <w:r>
        <w:rPr>
          <w:rStyle w:val="CharDivText"/>
        </w:rPr>
        <w:t> </w:t>
      </w:r>
      <w:r>
        <w:rPr>
          <w:rStyle w:val="CharPartText"/>
        </w:rPr>
        <w:t>Sittings, vacations and office hours</w:t>
      </w:r>
      <w:bookmarkEnd w:id="1098"/>
      <w:bookmarkEnd w:id="1099"/>
    </w:p>
    <w:p w:rsidR="00425758" w:rsidRDefault="00425758">
      <w:pPr>
        <w:pStyle w:val="Heading5"/>
        <w:rPr>
          <w:snapToGrid w:val="0"/>
        </w:rPr>
      </w:pPr>
      <w:bookmarkStart w:id="1100" w:name="_Toc75863691"/>
      <w:r>
        <w:rPr>
          <w:rStyle w:val="CharSectno"/>
        </w:rPr>
        <w:t>1</w:t>
      </w:r>
      <w:r>
        <w:rPr>
          <w:snapToGrid w:val="0"/>
        </w:rPr>
        <w:t>.</w:t>
      </w:r>
      <w:r>
        <w:rPr>
          <w:snapToGrid w:val="0"/>
        </w:rPr>
        <w:tab/>
        <w:t>Civil sittings</w:t>
      </w:r>
      <w:bookmarkEnd w:id="1100"/>
    </w:p>
    <w:p w:rsidR="00425758" w:rsidRDefault="00425758">
      <w:pPr>
        <w:pStyle w:val="Subsection"/>
        <w:rPr>
          <w:snapToGrid w:val="0"/>
        </w:rPr>
      </w:pPr>
      <w:r>
        <w:rPr>
          <w:snapToGrid w:val="0"/>
        </w:rPr>
        <w:tab/>
        <w:t>(1)</w:t>
      </w:r>
      <w:r>
        <w:rPr>
          <w:snapToGrid w:val="0"/>
        </w:rPr>
        <w:tab/>
        <w:t>The civil sittings of the Court shall be held at times fixed by rule of court, from year to year.</w:t>
      </w:r>
    </w:p>
    <w:p w:rsidR="00425758" w:rsidRDefault="00425758">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rsidR="00425758" w:rsidRDefault="00425758">
      <w:pPr>
        <w:pStyle w:val="Footnotesection"/>
      </w:pPr>
      <w:r>
        <w:tab/>
        <w:t>[Rule 1 amended: Gazette 29 Apr 2005 p. 1793.]</w:t>
      </w:r>
    </w:p>
    <w:p w:rsidR="00425758" w:rsidRDefault="00425758">
      <w:pPr>
        <w:pStyle w:val="Heading5"/>
        <w:rPr>
          <w:snapToGrid w:val="0"/>
        </w:rPr>
      </w:pPr>
      <w:bookmarkStart w:id="1101" w:name="_Toc75863692"/>
      <w:r>
        <w:rPr>
          <w:rStyle w:val="CharSectno"/>
        </w:rPr>
        <w:t>2</w:t>
      </w:r>
      <w:r>
        <w:rPr>
          <w:snapToGrid w:val="0"/>
        </w:rPr>
        <w:t>.</w:t>
      </w:r>
      <w:r>
        <w:rPr>
          <w:snapToGrid w:val="0"/>
        </w:rPr>
        <w:tab/>
        <w:t>Criminal sittings</w:t>
      </w:r>
      <w:bookmarkEnd w:id="1101"/>
    </w:p>
    <w:p w:rsidR="00425758" w:rsidRDefault="00425758">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rsidR="00425758" w:rsidRDefault="00425758">
      <w:pPr>
        <w:pStyle w:val="Heading5"/>
        <w:rPr>
          <w:snapToGrid w:val="0"/>
        </w:rPr>
      </w:pPr>
      <w:bookmarkStart w:id="1102" w:name="_Toc75863693"/>
      <w:r>
        <w:rPr>
          <w:rStyle w:val="CharSectno"/>
        </w:rPr>
        <w:t>3</w:t>
      </w:r>
      <w:r>
        <w:rPr>
          <w:snapToGrid w:val="0"/>
        </w:rPr>
        <w:t>.</w:t>
      </w:r>
      <w:r>
        <w:rPr>
          <w:snapToGrid w:val="0"/>
        </w:rPr>
        <w:tab/>
        <w:t>Court vacations</w:t>
      </w:r>
      <w:bookmarkEnd w:id="1102"/>
    </w:p>
    <w:p w:rsidR="00425758" w:rsidRDefault="00425758">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rsidR="00425758" w:rsidRDefault="00425758">
      <w:pPr>
        <w:pStyle w:val="Footnotesection"/>
        <w:ind w:left="890" w:hanging="890"/>
      </w:pPr>
      <w:r>
        <w:tab/>
        <w:t>[Rule 3</w:t>
      </w:r>
      <w:r>
        <w:rPr>
          <w:vertAlign w:val="superscript"/>
        </w:rPr>
        <w:t> 2</w:t>
      </w:r>
      <w:r>
        <w:t xml:space="preserve"> amended: Gazette 23 Sep 1983 p. 3798; 26 Aug 1994 p. 4413.] </w:t>
      </w:r>
    </w:p>
    <w:p w:rsidR="00425758" w:rsidRDefault="00425758">
      <w:pPr>
        <w:pStyle w:val="Heading5"/>
        <w:keepLines w:val="0"/>
        <w:rPr>
          <w:snapToGrid w:val="0"/>
        </w:rPr>
      </w:pPr>
      <w:bookmarkStart w:id="1103" w:name="_Toc75863694"/>
      <w:r>
        <w:rPr>
          <w:rStyle w:val="CharSectno"/>
        </w:rPr>
        <w:lastRenderedPageBreak/>
        <w:t>4</w:t>
      </w:r>
      <w:r>
        <w:rPr>
          <w:snapToGrid w:val="0"/>
        </w:rPr>
        <w:t>.</w:t>
      </w:r>
      <w:r>
        <w:rPr>
          <w:snapToGrid w:val="0"/>
        </w:rPr>
        <w:tab/>
        <w:t>Days included in sitting and vacation</w:t>
      </w:r>
      <w:bookmarkEnd w:id="1103"/>
    </w:p>
    <w:p w:rsidR="00425758" w:rsidRDefault="00425758">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rsidR="00425758" w:rsidRDefault="00425758">
      <w:pPr>
        <w:pStyle w:val="Heading5"/>
        <w:rPr>
          <w:snapToGrid w:val="0"/>
        </w:rPr>
      </w:pPr>
      <w:bookmarkStart w:id="1104" w:name="_Toc75863695"/>
      <w:r>
        <w:rPr>
          <w:rStyle w:val="CharSectno"/>
        </w:rPr>
        <w:t>5</w:t>
      </w:r>
      <w:r>
        <w:rPr>
          <w:snapToGrid w:val="0"/>
        </w:rPr>
        <w:t>.</w:t>
      </w:r>
      <w:r>
        <w:rPr>
          <w:snapToGrid w:val="0"/>
        </w:rPr>
        <w:tab/>
        <w:t>When Court’s offices are open</w:t>
      </w:r>
      <w:bookmarkEnd w:id="1104"/>
    </w:p>
    <w:p w:rsidR="00425758" w:rsidRDefault="00425758">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rsidR="00425758" w:rsidRDefault="00425758">
      <w:pPr>
        <w:pStyle w:val="Footnotesection"/>
      </w:pPr>
      <w:r>
        <w:tab/>
        <w:t xml:space="preserve">[Rule 5 amended: Gazette 9 Nov 1973 p. 4165; 26 Aug 1994 p. 4413.] </w:t>
      </w:r>
    </w:p>
    <w:p w:rsidR="00425758" w:rsidRDefault="00425758">
      <w:pPr>
        <w:pStyle w:val="Heading5"/>
        <w:rPr>
          <w:snapToGrid w:val="0"/>
        </w:rPr>
      </w:pPr>
      <w:bookmarkStart w:id="1105" w:name="_Toc75863696"/>
      <w:r>
        <w:rPr>
          <w:rStyle w:val="CharSectno"/>
        </w:rPr>
        <w:t>6</w:t>
      </w:r>
      <w:r>
        <w:rPr>
          <w:snapToGrid w:val="0"/>
        </w:rPr>
        <w:t>.</w:t>
      </w:r>
      <w:r>
        <w:rPr>
          <w:snapToGrid w:val="0"/>
        </w:rPr>
        <w:tab/>
        <w:t>Office hours</w:t>
      </w:r>
      <w:bookmarkEnd w:id="1105"/>
      <w:r>
        <w:rPr>
          <w:snapToGrid w:val="0"/>
        </w:rPr>
        <w:t xml:space="preserve"> </w:t>
      </w:r>
    </w:p>
    <w:p w:rsidR="00425758" w:rsidRDefault="00425758">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rsidR="00425758" w:rsidRDefault="00425758">
      <w:pPr>
        <w:pStyle w:val="Footnotesection"/>
      </w:pPr>
      <w:r>
        <w:tab/>
        <w:t xml:space="preserve">[Rule 6 amended: Gazette 10 Nov 1995 p. 5247.] </w:t>
      </w:r>
    </w:p>
    <w:p w:rsidR="00425758" w:rsidRDefault="00425758">
      <w:pPr>
        <w:pStyle w:val="Heading5"/>
        <w:rPr>
          <w:snapToGrid w:val="0"/>
        </w:rPr>
      </w:pPr>
      <w:bookmarkStart w:id="1106" w:name="_Toc75863697"/>
      <w:r>
        <w:rPr>
          <w:rStyle w:val="CharSectno"/>
        </w:rPr>
        <w:t>7</w:t>
      </w:r>
      <w:r>
        <w:rPr>
          <w:snapToGrid w:val="0"/>
        </w:rPr>
        <w:t>.</w:t>
      </w:r>
      <w:r>
        <w:rPr>
          <w:snapToGrid w:val="0"/>
        </w:rPr>
        <w:tab/>
        <w:t>Vacation Judge</w:t>
      </w:r>
      <w:bookmarkEnd w:id="1106"/>
    </w:p>
    <w:p w:rsidR="00425758" w:rsidRDefault="00425758">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rsidR="00425758" w:rsidRDefault="00425758">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rsidR="00425758" w:rsidRDefault="00425758">
      <w:pPr>
        <w:pStyle w:val="Heading2"/>
        <w:rPr>
          <w:b w:val="0"/>
        </w:rPr>
      </w:pPr>
      <w:bookmarkStart w:id="1107" w:name="_Toc75512602"/>
      <w:bookmarkStart w:id="1108" w:name="_Toc75863698"/>
      <w:r>
        <w:rPr>
          <w:rStyle w:val="CharPartNo"/>
        </w:rPr>
        <w:lastRenderedPageBreak/>
        <w:t>Order 69</w:t>
      </w:r>
      <w:r>
        <w:rPr>
          <w:rStyle w:val="CharDivNo"/>
        </w:rPr>
        <w:t> </w:t>
      </w:r>
      <w:r>
        <w:t>—</w:t>
      </w:r>
      <w:r>
        <w:rPr>
          <w:rStyle w:val="CharDivText"/>
        </w:rPr>
        <w:t> </w:t>
      </w:r>
      <w:r>
        <w:rPr>
          <w:rStyle w:val="CharPartText"/>
        </w:rPr>
        <w:t>Paper, printing, notice, and copies</w:t>
      </w:r>
      <w:bookmarkEnd w:id="1107"/>
      <w:bookmarkEnd w:id="1108"/>
    </w:p>
    <w:p w:rsidR="00425758" w:rsidRDefault="00425758">
      <w:pPr>
        <w:pStyle w:val="Heading5"/>
        <w:rPr>
          <w:snapToGrid w:val="0"/>
        </w:rPr>
      </w:pPr>
      <w:bookmarkStart w:id="1109" w:name="_Toc75863699"/>
      <w:r>
        <w:rPr>
          <w:rStyle w:val="CharSectno"/>
        </w:rPr>
        <w:t>1</w:t>
      </w:r>
      <w:r>
        <w:rPr>
          <w:snapToGrid w:val="0"/>
        </w:rPr>
        <w:t>.</w:t>
      </w:r>
      <w:r>
        <w:rPr>
          <w:snapToGrid w:val="0"/>
        </w:rPr>
        <w:tab/>
        <w:t>Printing of documents, rules as to</w:t>
      </w:r>
      <w:bookmarkEnd w:id="1109"/>
    </w:p>
    <w:p w:rsidR="00425758" w:rsidRDefault="00425758">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rsidR="00425758" w:rsidRDefault="00425758">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pages of clear sharp and legible type.</w:t>
      </w:r>
    </w:p>
    <w:p w:rsidR="00425758" w:rsidRDefault="00425758">
      <w:pPr>
        <w:pStyle w:val="Subsection"/>
        <w:rPr>
          <w:snapToGrid w:val="0"/>
        </w:rPr>
      </w:pPr>
      <w:r>
        <w:rPr>
          <w:snapToGrid w:val="0"/>
        </w:rPr>
        <w:tab/>
        <w:t>(3)</w:t>
      </w:r>
      <w:r>
        <w:rPr>
          <w:snapToGrid w:val="0"/>
        </w:rPr>
        <w:tab/>
        <w:t xml:space="preserve">Any document produced by a photographic or similar process giving a positive, clear, and permanent representation free from blemishes, shall to the extent that it contains a </w:t>
      </w:r>
      <w:r>
        <w:t>copy</w:t>
      </w:r>
      <w:r>
        <w:rPr>
          <w:snapToGrid w:val="0"/>
        </w:rPr>
        <w:t xml:space="preserve"> of any printed or typewritten matter be treated for the purpose of these rules as if it were printed.</w:t>
      </w:r>
    </w:p>
    <w:p w:rsidR="00425758" w:rsidRDefault="00425758">
      <w:pPr>
        <w:pStyle w:val="Footnotesection"/>
      </w:pPr>
      <w:r>
        <w:tab/>
        <w:t>[Rule 1 amended: Gazette 27 Feb 2018 p. 616</w:t>
      </w:r>
      <w:r>
        <w:noBreakHyphen/>
        <w:t>17.]</w:t>
      </w:r>
    </w:p>
    <w:p w:rsidR="00425758" w:rsidRDefault="00425758">
      <w:pPr>
        <w:pStyle w:val="Heading5"/>
        <w:rPr>
          <w:snapToGrid w:val="0"/>
        </w:rPr>
      </w:pPr>
      <w:bookmarkStart w:id="1110" w:name="_Toc75863700"/>
      <w:r>
        <w:rPr>
          <w:rStyle w:val="CharSectno"/>
        </w:rPr>
        <w:t>2</w:t>
      </w:r>
      <w:r>
        <w:rPr>
          <w:snapToGrid w:val="0"/>
        </w:rPr>
        <w:t>.</w:t>
      </w:r>
      <w:r>
        <w:rPr>
          <w:snapToGrid w:val="0"/>
        </w:rPr>
        <w:tab/>
        <w:t>Requirements as to documents prepared by parties</w:t>
      </w:r>
      <w:bookmarkEnd w:id="1110"/>
    </w:p>
    <w:p w:rsidR="00425758" w:rsidRDefault="00425758">
      <w:pPr>
        <w:pStyle w:val="Subsection"/>
      </w:pPr>
      <w:r>
        <w:tab/>
        <w:t>(1A)</w:t>
      </w:r>
      <w:r>
        <w:tab/>
        <w:t>For the purposes of documents filed electronically, this rule applies with any necessary changes.</w:t>
      </w:r>
    </w:p>
    <w:p w:rsidR="00425758" w:rsidRDefault="00425758">
      <w:pPr>
        <w:pStyle w:val="Subsection"/>
        <w:rPr>
          <w:snapToGrid w:val="0"/>
        </w:rPr>
      </w:pPr>
      <w:r>
        <w:rPr>
          <w:snapToGrid w:val="0"/>
        </w:rPr>
        <w:tab/>
        <w:t>(1)</w:t>
      </w:r>
      <w:r>
        <w:rPr>
          <w:snapToGrid w:val="0"/>
        </w:rPr>
        <w:tab/>
        <w:t xml:space="preserve">Unless the nature of the document renders it impracticable, every document prepared by a party for use in the Supreme Court </w:t>
      </w:r>
      <w:r>
        <w:t xml:space="preserve">must, </w:t>
      </w:r>
      <w:r>
        <w:rPr>
          <w:snapToGrid w:val="0"/>
        </w:rPr>
        <w:t xml:space="preserve">subject to any directions given from time to time by the </w:t>
      </w:r>
      <w:r>
        <w:t xml:space="preserve">Principal Registrar — </w:t>
      </w:r>
    </w:p>
    <w:p w:rsidR="00425758" w:rsidRDefault="00425758">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rsidR="00425758" w:rsidRDefault="00425758">
      <w:pPr>
        <w:pStyle w:val="Indenta"/>
        <w:rPr>
          <w:snapToGrid w:val="0"/>
        </w:rPr>
      </w:pPr>
      <w:r>
        <w:rPr>
          <w:snapToGrid w:val="0"/>
        </w:rPr>
        <w:tab/>
        <w:t>(b)</w:t>
      </w:r>
      <w:r>
        <w:rPr>
          <w:snapToGrid w:val="0"/>
        </w:rPr>
        <w:tab/>
        <w:t>have a space of not less than 6 mm between each line; and</w:t>
      </w:r>
    </w:p>
    <w:p w:rsidR="00425758" w:rsidRDefault="00425758">
      <w:pPr>
        <w:pStyle w:val="Indenta"/>
        <w:rPr>
          <w:snapToGrid w:val="0"/>
        </w:rPr>
      </w:pPr>
      <w:r>
        <w:rPr>
          <w:snapToGrid w:val="0"/>
        </w:rPr>
        <w:tab/>
        <w:t>(c)</w:t>
      </w:r>
      <w:r>
        <w:rPr>
          <w:snapToGrid w:val="0"/>
        </w:rPr>
        <w:tab/>
        <w:t xml:space="preserve">be upon white paper of good and durable quality and capable of receiving ink </w:t>
      </w:r>
      <w:r>
        <w:t>writing; and</w:t>
      </w:r>
    </w:p>
    <w:p w:rsidR="00425758" w:rsidRDefault="00425758">
      <w:pPr>
        <w:pStyle w:val="Indenta"/>
      </w:pPr>
      <w:r>
        <w:lastRenderedPageBreak/>
        <w:tab/>
        <w:t>(ca)</w:t>
      </w:r>
      <w:r>
        <w:tab/>
        <w:t>comply with subrule (1AA); and</w:t>
      </w:r>
    </w:p>
    <w:p w:rsidR="00425758" w:rsidRDefault="00425758">
      <w:pPr>
        <w:pStyle w:val="Indenta"/>
        <w:keepNext/>
        <w:rPr>
          <w:snapToGrid w:val="0"/>
        </w:rPr>
      </w:pPr>
      <w:r>
        <w:rPr>
          <w:snapToGrid w:val="0"/>
        </w:rPr>
        <w:tab/>
        <w:t>(d)</w:t>
      </w:r>
      <w:r>
        <w:rPr>
          <w:snapToGrid w:val="0"/>
        </w:rPr>
        <w:tab/>
        <w:t>be on either — </w:t>
      </w:r>
    </w:p>
    <w:p w:rsidR="00425758" w:rsidRDefault="00425758">
      <w:pPr>
        <w:pStyle w:val="Indenti"/>
        <w:rPr>
          <w:snapToGrid w:val="0"/>
        </w:rPr>
      </w:pPr>
      <w:r>
        <w:rPr>
          <w:snapToGrid w:val="0"/>
        </w:rPr>
        <w:tab/>
        <w:t>(i)</w:t>
      </w:r>
      <w:r>
        <w:rPr>
          <w:snapToGrid w:val="0"/>
        </w:rPr>
        <w:tab/>
        <w:t xml:space="preserve">one side only of the paper with a margin of not less than </w:t>
      </w:r>
      <w:r>
        <w:t>30 </w:t>
      </w:r>
      <w:r>
        <w:rPr>
          <w:snapToGrid w:val="0"/>
        </w:rPr>
        <w:t>mm on the left hand side of each sheet; or</w:t>
      </w:r>
    </w:p>
    <w:p w:rsidR="00425758" w:rsidRDefault="00425758">
      <w:pPr>
        <w:pStyle w:val="Indenti"/>
        <w:rPr>
          <w:snapToGrid w:val="0"/>
        </w:rPr>
      </w:pPr>
      <w:r>
        <w:rPr>
          <w:snapToGrid w:val="0"/>
        </w:rPr>
        <w:tab/>
        <w:t>(ii)</w:t>
      </w:r>
      <w:r>
        <w:rPr>
          <w:snapToGrid w:val="0"/>
        </w:rPr>
        <w:tab/>
        <w:t xml:space="preserve">both sides of the paper with a margin of not less than </w:t>
      </w:r>
      <w:r>
        <w:t>30 </w:t>
      </w:r>
      <w:r>
        <w:rPr>
          <w:snapToGrid w:val="0"/>
        </w:rPr>
        <w:t xml:space="preserve">mm on the left hand side of the front of each sheet and not less than </w:t>
      </w:r>
      <w:r>
        <w:t>30 </w:t>
      </w:r>
      <w:r>
        <w:rPr>
          <w:snapToGrid w:val="0"/>
        </w:rPr>
        <w:t>mm on the right hand side of the back of each sheet;</w:t>
      </w:r>
    </w:p>
    <w:p w:rsidR="00425758" w:rsidRDefault="00425758">
      <w:pPr>
        <w:pStyle w:val="Indenta"/>
        <w:rPr>
          <w:snapToGrid w:val="0"/>
        </w:rPr>
      </w:pPr>
      <w:r>
        <w:rPr>
          <w:snapToGrid w:val="0"/>
        </w:rPr>
        <w:tab/>
      </w:r>
      <w:r>
        <w:rPr>
          <w:snapToGrid w:val="0"/>
        </w:rPr>
        <w:tab/>
        <w:t>and</w:t>
      </w:r>
    </w:p>
    <w:p w:rsidR="00425758" w:rsidRDefault="00425758">
      <w:pPr>
        <w:pStyle w:val="Indenta"/>
        <w:rPr>
          <w:snapToGrid w:val="0"/>
        </w:rPr>
      </w:pPr>
      <w:r>
        <w:rPr>
          <w:snapToGrid w:val="0"/>
        </w:rPr>
        <w:tab/>
        <w:t>(da)</w:t>
      </w:r>
      <w:r>
        <w:rPr>
          <w:snapToGrid w:val="0"/>
        </w:rPr>
        <w:tab/>
        <w:t>commence on a fresh sheet; and</w:t>
      </w:r>
    </w:p>
    <w:p w:rsidR="00425758" w:rsidRDefault="00425758">
      <w:pPr>
        <w:pStyle w:val="Indenta"/>
        <w:rPr>
          <w:snapToGrid w:val="0"/>
        </w:rPr>
      </w:pPr>
      <w:r>
        <w:rPr>
          <w:snapToGrid w:val="0"/>
        </w:rPr>
        <w:tab/>
        <w:t>(e)</w:t>
      </w:r>
      <w:r>
        <w:rPr>
          <w:snapToGrid w:val="0"/>
        </w:rPr>
        <w:tab/>
        <w:t>have each page numbered; and</w:t>
      </w:r>
    </w:p>
    <w:p w:rsidR="00425758" w:rsidRDefault="00425758">
      <w:pPr>
        <w:pStyle w:val="Indenta"/>
        <w:rPr>
          <w:snapToGrid w:val="0"/>
        </w:rPr>
      </w:pPr>
      <w:r>
        <w:rPr>
          <w:snapToGrid w:val="0"/>
        </w:rPr>
        <w:tab/>
        <w:t>(f)</w:t>
      </w:r>
      <w:r>
        <w:rPr>
          <w:snapToGrid w:val="0"/>
        </w:rPr>
        <w:tab/>
        <w:t>have the sheets fastened only at the top left hand corner; and</w:t>
      </w:r>
    </w:p>
    <w:p w:rsidR="00425758" w:rsidRDefault="00425758">
      <w:pPr>
        <w:pStyle w:val="Indenta"/>
        <w:rPr>
          <w:snapToGrid w:val="0"/>
        </w:rPr>
      </w:pPr>
      <w:r>
        <w:rPr>
          <w:snapToGrid w:val="0"/>
        </w:rPr>
        <w:tab/>
        <w:t>(g)</w:t>
      </w:r>
      <w:r>
        <w:rPr>
          <w:snapToGrid w:val="0"/>
        </w:rPr>
        <w:tab/>
        <w:t>not have the sheets folded; and</w:t>
      </w:r>
    </w:p>
    <w:p w:rsidR="00425758" w:rsidRDefault="00425758">
      <w:pPr>
        <w:pStyle w:val="Indenta"/>
        <w:rPr>
          <w:snapToGrid w:val="0"/>
        </w:rPr>
      </w:pPr>
      <w:r>
        <w:rPr>
          <w:snapToGrid w:val="0"/>
        </w:rPr>
        <w:tab/>
        <w:t>(h)</w:t>
      </w:r>
      <w:r>
        <w:rPr>
          <w:snapToGrid w:val="0"/>
        </w:rPr>
        <w:tab/>
      </w:r>
      <w:r>
        <w:t xml:space="preserve">unless the document is in a prescribed form, </w:t>
      </w:r>
      <w:r>
        <w:rPr>
          <w:snapToGrid w:val="0"/>
        </w:rPr>
        <w:t>have shown on the first sheet, immediately following each other — </w:t>
      </w:r>
    </w:p>
    <w:p w:rsidR="00425758" w:rsidRDefault="00425758">
      <w:pPr>
        <w:pStyle w:val="Indenti"/>
        <w:rPr>
          <w:snapToGrid w:val="0"/>
        </w:rPr>
      </w:pPr>
      <w:r>
        <w:rPr>
          <w:snapToGrid w:val="0"/>
        </w:rPr>
        <w:tab/>
        <w:t>(i)</w:t>
      </w:r>
      <w:r>
        <w:rPr>
          <w:snapToGrid w:val="0"/>
        </w:rPr>
        <w:tab/>
        <w:t>at the top across the full width from the left hand margin, the heading and title of the proceeding; and</w:t>
      </w:r>
    </w:p>
    <w:p w:rsidR="00425758" w:rsidRDefault="00425758">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rsidR="00425758" w:rsidRDefault="00425758">
      <w:pPr>
        <w:pStyle w:val="Indenta"/>
        <w:rPr>
          <w:snapToGrid w:val="0"/>
        </w:rPr>
      </w:pPr>
      <w:r>
        <w:rPr>
          <w:snapToGrid w:val="0"/>
        </w:rPr>
        <w:tab/>
      </w:r>
      <w:r>
        <w:rPr>
          <w:snapToGrid w:val="0"/>
        </w:rPr>
        <w:tab/>
        <w:t>and in a space not longer than 50 mm — </w:t>
      </w:r>
    </w:p>
    <w:p w:rsidR="00425758" w:rsidRDefault="00425758">
      <w:pPr>
        <w:pStyle w:val="Indenti"/>
        <w:rPr>
          <w:snapToGrid w:val="0"/>
        </w:rPr>
      </w:pPr>
      <w:r>
        <w:rPr>
          <w:snapToGrid w:val="0"/>
        </w:rPr>
        <w:tab/>
        <w:t>(iii)</w:t>
      </w:r>
      <w:r>
        <w:rPr>
          <w:snapToGrid w:val="0"/>
        </w:rPr>
        <w:tab/>
        <w:t>the date of the document; and</w:t>
      </w:r>
    </w:p>
    <w:p w:rsidR="00425758" w:rsidRDefault="00425758">
      <w:pPr>
        <w:pStyle w:val="Indenti"/>
      </w:pPr>
      <w:r>
        <w:tab/>
        <w:t>(iv)</w:t>
      </w:r>
      <w:r>
        <w:tab/>
        <w:t>the name of the party; and</w:t>
      </w:r>
    </w:p>
    <w:p w:rsidR="00425758" w:rsidRDefault="00425758">
      <w:pPr>
        <w:pStyle w:val="Indenti"/>
      </w:pPr>
      <w:r>
        <w:tab/>
        <w:t>(v)</w:t>
      </w:r>
      <w:r>
        <w:tab/>
        <w:t>if the document is required to state it, the party’s geographical address in accordance with Order 71A; and</w:t>
      </w:r>
    </w:p>
    <w:p w:rsidR="00425758" w:rsidRDefault="00425758">
      <w:pPr>
        <w:pStyle w:val="Indenti"/>
      </w:pPr>
      <w:r>
        <w:tab/>
        <w:t>(vi)</w:t>
      </w:r>
      <w:r>
        <w:tab/>
        <w:t>the party’s service details in accordance with Order 71A.</w:t>
      </w:r>
    </w:p>
    <w:p w:rsidR="00425758" w:rsidRDefault="00425758">
      <w:pPr>
        <w:pStyle w:val="Subsection"/>
      </w:pPr>
      <w:r>
        <w:lastRenderedPageBreak/>
        <w:tab/>
        <w:t>(1AA)</w:t>
      </w:r>
      <w:r>
        <w:tab/>
        <w:t>The textual content of a document, including any endnotes, footnotes and quotations, must be typewritten or printed using at least the size of print used for these rules (12 point Times New Roman).</w:t>
      </w:r>
    </w:p>
    <w:p w:rsidR="00425758" w:rsidRDefault="00425758">
      <w:pPr>
        <w:pStyle w:val="Subsection"/>
      </w:pPr>
      <w:r>
        <w:tab/>
        <w:t>(1AB)</w:t>
      </w:r>
      <w:r>
        <w:tab/>
        <w:t>Except as provided in subrule (1AC), a document may show an abbreviation of the title of the proceeding which is sufficient to identify the proceeding.</w:t>
      </w:r>
    </w:p>
    <w:p w:rsidR="00425758" w:rsidRDefault="00425758">
      <w:pPr>
        <w:pStyle w:val="Subsection"/>
      </w:pPr>
      <w:r>
        <w:tab/>
        <w:t>(1AC)</w:t>
      </w:r>
      <w:r>
        <w:tab/>
        <w:t xml:space="preserve">Subrule (1AB) does not apply to the following documents — </w:t>
      </w:r>
    </w:p>
    <w:p w:rsidR="00425758" w:rsidRDefault="00425758">
      <w:pPr>
        <w:pStyle w:val="Indenta"/>
      </w:pPr>
      <w:r>
        <w:tab/>
        <w:t>(a)</w:t>
      </w:r>
      <w:r>
        <w:tab/>
        <w:t>an originating process;</w:t>
      </w:r>
    </w:p>
    <w:p w:rsidR="00425758" w:rsidRDefault="00425758">
      <w:pPr>
        <w:pStyle w:val="Indenta"/>
      </w:pPr>
      <w:r>
        <w:tab/>
        <w:t>(b)</w:t>
      </w:r>
      <w:r>
        <w:tab/>
        <w:t>a document to be served on a person who is not a party to a proceeding;</w:t>
      </w:r>
    </w:p>
    <w:p w:rsidR="00425758" w:rsidRDefault="00425758">
      <w:pPr>
        <w:pStyle w:val="Indenta"/>
      </w:pPr>
      <w:r>
        <w:tab/>
        <w:t>(c)</w:t>
      </w:r>
      <w:r>
        <w:tab/>
        <w:t>a final judgment or order.</w:t>
      </w:r>
    </w:p>
    <w:p w:rsidR="00425758" w:rsidRDefault="00425758">
      <w:pPr>
        <w:pStyle w:val="Ednotesubsection"/>
      </w:pPr>
      <w:r>
        <w:tab/>
        <w:t>[(1a)</w:t>
      </w:r>
      <w:r>
        <w:tab/>
        <w:t>deleted]</w:t>
      </w:r>
    </w:p>
    <w:p w:rsidR="00425758" w:rsidRDefault="00425758">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rsidR="00425758" w:rsidRDefault="00425758">
      <w:pPr>
        <w:pStyle w:val="Ednotesubsection"/>
      </w:pPr>
      <w:r>
        <w:tab/>
        <w:t>[(3)</w:t>
      </w:r>
      <w:r>
        <w:tab/>
        <w:t>deleted]</w:t>
      </w:r>
    </w:p>
    <w:p w:rsidR="00425758" w:rsidRDefault="00425758">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rsidR="00425758" w:rsidRDefault="00425758">
      <w:pPr>
        <w:pStyle w:val="Subsection"/>
        <w:keepNext/>
      </w:pPr>
      <w:r>
        <w:tab/>
        <w:t>(5)</w:t>
      </w:r>
      <w:r>
        <w:tab/>
        <w:t xml:space="preserve">The Court may require — </w:t>
      </w:r>
    </w:p>
    <w:p w:rsidR="00425758" w:rsidRDefault="00425758">
      <w:pPr>
        <w:pStyle w:val="Indenta"/>
      </w:pPr>
      <w:r>
        <w:tab/>
        <w:t>(a)</w:t>
      </w:r>
      <w:r>
        <w:tab/>
        <w:t>any document required for use in the Court to be printed or otherwise produced in any particular manner that it thinks fit; or</w:t>
      </w:r>
    </w:p>
    <w:p w:rsidR="00425758" w:rsidRDefault="00425758">
      <w:pPr>
        <w:pStyle w:val="Indenta"/>
      </w:pPr>
      <w:r>
        <w:tab/>
        <w:t>(b)</w:t>
      </w:r>
      <w:r>
        <w:tab/>
        <w:t>1 or more paper versions of any document that has been filed electronically to be delivered to the Central Office.</w:t>
      </w:r>
    </w:p>
    <w:p w:rsidR="00425758" w:rsidRDefault="00425758">
      <w:pPr>
        <w:pStyle w:val="Footnotesection"/>
      </w:pPr>
      <w:r>
        <w:tab/>
        <w:t>[Rule 2 amended: Gazette 7 Dec 1973 p. 4489; 30 Nov 1984 p. 3952; 15 Dec 1989 p. 4520; 24 Oct 1995 p. 4919; 21 Feb 2007 p. 575</w:t>
      </w:r>
      <w:r>
        <w:noBreakHyphen/>
        <w:t xml:space="preserve">6; 28 Jun 2011 p. 2552; 24 May 2017 p. 2607; 27 Feb 2018 p. 617; SL 2020/242 r. 8.] </w:t>
      </w:r>
    </w:p>
    <w:p w:rsidR="00425758" w:rsidRDefault="00425758">
      <w:pPr>
        <w:pStyle w:val="Ednotesection"/>
      </w:pPr>
      <w:r>
        <w:lastRenderedPageBreak/>
        <w:t>[</w:t>
      </w:r>
      <w:r>
        <w:rPr>
          <w:b/>
        </w:rPr>
        <w:t>3.</w:t>
      </w:r>
      <w:r>
        <w:tab/>
        <w:t>Deleted: Gazette 27 Feb 2018 p. 617.]</w:t>
      </w:r>
    </w:p>
    <w:p w:rsidR="00425758" w:rsidRDefault="00425758">
      <w:pPr>
        <w:pStyle w:val="Heading5"/>
        <w:rPr>
          <w:snapToGrid w:val="0"/>
        </w:rPr>
      </w:pPr>
      <w:bookmarkStart w:id="1111" w:name="_Toc75863701"/>
      <w:r>
        <w:rPr>
          <w:rStyle w:val="CharSectno"/>
        </w:rPr>
        <w:t>4</w:t>
      </w:r>
      <w:r>
        <w:rPr>
          <w:snapToGrid w:val="0"/>
        </w:rPr>
        <w:t>.</w:t>
      </w:r>
      <w:r>
        <w:rPr>
          <w:snapToGrid w:val="0"/>
        </w:rPr>
        <w:tab/>
        <w:t>Copies of documents for other parties</w:t>
      </w:r>
      <w:bookmarkEnd w:id="1111"/>
    </w:p>
    <w:p w:rsidR="00425758" w:rsidRDefault="00425758">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rsidR="00425758" w:rsidRDefault="00425758">
      <w:pPr>
        <w:pStyle w:val="Subsection"/>
        <w:rPr>
          <w:snapToGrid w:val="0"/>
        </w:rPr>
      </w:pPr>
      <w:r>
        <w:rPr>
          <w:snapToGrid w:val="0"/>
        </w:rPr>
        <w:tab/>
        <w:t>(2)</w:t>
      </w:r>
      <w:r>
        <w:rPr>
          <w:snapToGrid w:val="0"/>
        </w:rPr>
        <w:tab/>
        <w:t>The proper charges for printed copies shall be calculated at the rate of fifty cents ($0.50) per page.</w:t>
      </w:r>
    </w:p>
    <w:p w:rsidR="00425758" w:rsidRDefault="00425758">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rsidR="00425758" w:rsidRDefault="00425758">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rsidR="00425758" w:rsidRDefault="00425758">
      <w:pPr>
        <w:pStyle w:val="Heading5"/>
        <w:rPr>
          <w:snapToGrid w:val="0"/>
        </w:rPr>
      </w:pPr>
      <w:bookmarkStart w:id="1112" w:name="_Toc75863702"/>
      <w:r>
        <w:rPr>
          <w:rStyle w:val="CharSectno"/>
        </w:rPr>
        <w:t>5</w:t>
      </w:r>
      <w:r>
        <w:rPr>
          <w:snapToGrid w:val="0"/>
        </w:rPr>
        <w:t>.</w:t>
      </w:r>
      <w:r>
        <w:rPr>
          <w:snapToGrid w:val="0"/>
        </w:rPr>
        <w:tab/>
        <w:t>Requirements as to copies</w:t>
      </w:r>
      <w:bookmarkEnd w:id="1112"/>
    </w:p>
    <w:p w:rsidR="00425758" w:rsidRDefault="00425758">
      <w:pPr>
        <w:pStyle w:val="Subsection"/>
      </w:pPr>
      <w:r>
        <w:tab/>
        <w:t>(1)</w:t>
      </w:r>
      <w:r>
        <w:tab/>
        <w:t>A party who supplies a copy of a document under this Order must indorse the copy with the party’s service details before supplying it.</w:t>
      </w:r>
    </w:p>
    <w:p w:rsidR="00425758" w:rsidRDefault="00425758">
      <w:pPr>
        <w:pStyle w:val="Subsection"/>
        <w:rPr>
          <w:snapToGrid w:val="0"/>
        </w:rPr>
      </w:pPr>
      <w:r>
        <w:rPr>
          <w:snapToGrid w:val="0"/>
        </w:rPr>
        <w:tab/>
        <w:t>(2)</w:t>
      </w:r>
      <w:r>
        <w:rPr>
          <w:snapToGrid w:val="0"/>
        </w:rPr>
        <w:tab/>
        <w:t xml:space="preserve">The party by whom a copy is supplied under this Order, or if he sues or appears by a solicitor, his solicitor shall be answerable for the copy being a true copy of the </w:t>
      </w:r>
      <w:r>
        <w:t>original.</w:t>
      </w:r>
    </w:p>
    <w:p w:rsidR="00425758" w:rsidRDefault="00425758">
      <w:pPr>
        <w:pStyle w:val="Footnotesection"/>
      </w:pPr>
      <w:r>
        <w:tab/>
        <w:t>[Rule 5 amended: Gazette 21 Feb 2007 p. 576; 27 Feb 2018 p. 617.]</w:t>
      </w:r>
    </w:p>
    <w:p w:rsidR="00425758" w:rsidRDefault="00425758">
      <w:pPr>
        <w:pStyle w:val="Heading5"/>
        <w:rPr>
          <w:snapToGrid w:val="0"/>
        </w:rPr>
      </w:pPr>
      <w:bookmarkStart w:id="1113" w:name="_Toc75863703"/>
      <w:r>
        <w:rPr>
          <w:rStyle w:val="CharSectno"/>
        </w:rPr>
        <w:lastRenderedPageBreak/>
        <w:t>6</w:t>
      </w:r>
      <w:r>
        <w:rPr>
          <w:snapToGrid w:val="0"/>
        </w:rPr>
        <w:t>.</w:t>
      </w:r>
      <w:r>
        <w:rPr>
          <w:snapToGrid w:val="0"/>
        </w:rPr>
        <w:tab/>
        <w:t xml:space="preserve">Copies of affidavits on certain </w:t>
      </w:r>
      <w:r>
        <w:rPr>
          <w:i/>
          <w:snapToGrid w:val="0"/>
        </w:rPr>
        <w:t>ex parte</w:t>
      </w:r>
      <w:r>
        <w:rPr>
          <w:snapToGrid w:val="0"/>
        </w:rPr>
        <w:t xml:space="preserve"> applications</w:t>
      </w:r>
      <w:bookmarkEnd w:id="1113"/>
    </w:p>
    <w:p w:rsidR="00425758" w:rsidRDefault="00425758">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rsidR="00425758" w:rsidRDefault="00425758">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rsidR="00425758" w:rsidRDefault="00425758">
      <w:pPr>
        <w:pStyle w:val="Footnotesection"/>
      </w:pPr>
      <w:r>
        <w:tab/>
        <w:t>[Rule 6 amended: Gazette 28 Jun 2011 p. 2552.]</w:t>
      </w:r>
    </w:p>
    <w:p w:rsidR="00425758" w:rsidRDefault="00425758">
      <w:pPr>
        <w:pStyle w:val="Heading2"/>
        <w:rPr>
          <w:b w:val="0"/>
        </w:rPr>
      </w:pPr>
      <w:bookmarkStart w:id="1114" w:name="_Toc75512608"/>
      <w:bookmarkStart w:id="1115" w:name="_Toc75863704"/>
      <w:r>
        <w:rPr>
          <w:rStyle w:val="CharPartNo"/>
        </w:rPr>
        <w:lastRenderedPageBreak/>
        <w:t>Order 70</w:t>
      </w:r>
      <w:r>
        <w:rPr>
          <w:rStyle w:val="CharDivNo"/>
        </w:rPr>
        <w:t> </w:t>
      </w:r>
      <w:r>
        <w:t>—</w:t>
      </w:r>
      <w:r>
        <w:rPr>
          <w:rStyle w:val="CharDivText"/>
        </w:rPr>
        <w:t> </w:t>
      </w:r>
      <w:r>
        <w:rPr>
          <w:rStyle w:val="CharPartText"/>
        </w:rPr>
        <w:t>Disability</w:t>
      </w:r>
      <w:bookmarkEnd w:id="1114"/>
      <w:bookmarkEnd w:id="1115"/>
    </w:p>
    <w:p w:rsidR="00425758" w:rsidRDefault="00425758">
      <w:pPr>
        <w:pStyle w:val="Heading5"/>
        <w:rPr>
          <w:snapToGrid w:val="0"/>
        </w:rPr>
      </w:pPr>
      <w:bookmarkStart w:id="1116" w:name="_Toc75863705"/>
      <w:r>
        <w:rPr>
          <w:rStyle w:val="CharSectno"/>
        </w:rPr>
        <w:t>1</w:t>
      </w:r>
      <w:r>
        <w:rPr>
          <w:snapToGrid w:val="0"/>
        </w:rPr>
        <w:t>.</w:t>
      </w:r>
      <w:r>
        <w:rPr>
          <w:snapToGrid w:val="0"/>
        </w:rPr>
        <w:tab/>
        <w:t>Terms used</w:t>
      </w:r>
      <w:bookmarkEnd w:id="1116"/>
    </w:p>
    <w:p w:rsidR="00425758" w:rsidRDefault="00425758">
      <w:pPr>
        <w:pStyle w:val="Subsection"/>
        <w:rPr>
          <w:snapToGrid w:val="0"/>
        </w:rPr>
      </w:pPr>
      <w:r>
        <w:rPr>
          <w:snapToGrid w:val="0"/>
        </w:rPr>
        <w:tab/>
      </w:r>
      <w:r>
        <w:rPr>
          <w:snapToGrid w:val="0"/>
        </w:rPr>
        <w:tab/>
        <w:t>In this Order unless the contrary intention appears — </w:t>
      </w:r>
    </w:p>
    <w:p w:rsidR="00425758" w:rsidRDefault="00425758">
      <w:pPr>
        <w:pStyle w:val="Defstart"/>
      </w:pPr>
      <w:r>
        <w:tab/>
      </w:r>
      <w:r>
        <w:rPr>
          <w:rStyle w:val="CharDefText"/>
        </w:rPr>
        <w:t>GAA Act</w:t>
      </w:r>
      <w:r>
        <w:t xml:space="preserve"> means the </w:t>
      </w:r>
      <w:r>
        <w:rPr>
          <w:i/>
        </w:rPr>
        <w:t>Guardianship and Administration Act 1990</w:t>
      </w:r>
      <w:r>
        <w:t>;</w:t>
      </w:r>
    </w:p>
    <w:p w:rsidR="00425758" w:rsidRDefault="00425758">
      <w:pPr>
        <w:pStyle w:val="Defstart"/>
      </w:pPr>
      <w:r>
        <w:rPr>
          <w:b/>
        </w:rPr>
        <w:tab/>
      </w:r>
      <w:r>
        <w:rPr>
          <w:rStyle w:val="CharDefText"/>
        </w:rPr>
        <w:t>person under disability</w:t>
      </w:r>
      <w:r>
        <w:t xml:space="preserve"> means — </w:t>
      </w:r>
    </w:p>
    <w:p w:rsidR="00425758" w:rsidRDefault="00425758">
      <w:pPr>
        <w:pStyle w:val="Defpara"/>
      </w:pPr>
      <w:r>
        <w:tab/>
        <w:t>(a)</w:t>
      </w:r>
      <w:r>
        <w:tab/>
        <w:t>a person who is an infant; or</w:t>
      </w:r>
    </w:p>
    <w:p w:rsidR="00425758" w:rsidRDefault="00425758">
      <w:pPr>
        <w:pStyle w:val="Defpara"/>
      </w:pPr>
      <w:r>
        <w:tab/>
        <w:t>(b)</w:t>
      </w:r>
      <w:r>
        <w:tab/>
        <w:t>a represented person; or</w:t>
      </w:r>
    </w:p>
    <w:p w:rsidR="00425758" w:rsidRDefault="00425758">
      <w:pPr>
        <w:pStyle w:val="Defpara"/>
      </w:pPr>
      <w:r>
        <w:tab/>
        <w:t>(c)</w:t>
      </w:r>
      <w:r>
        <w:tab/>
        <w:t>a person not being a person referred to in paragraph (a) or (b), who, by reason of mental illness, defect or infirmity, however occasioned, is declared by the Court to be incapable of managing their affairs in respect of any proceedings to which the declaration relates;</w:t>
      </w:r>
    </w:p>
    <w:p w:rsidR="00425758" w:rsidRDefault="00425758">
      <w:pPr>
        <w:pStyle w:val="Defstart"/>
      </w:pPr>
      <w:r>
        <w:tab/>
      </w:r>
      <w:r>
        <w:rPr>
          <w:rStyle w:val="CharDefText"/>
        </w:rPr>
        <w:t>represented person</w:t>
      </w:r>
      <w:r>
        <w:t xml:space="preserve"> means a person in respect of whom a guardian or administrator has been appointed under the GAA Act with authority to do either or both of the following — </w:t>
      </w:r>
    </w:p>
    <w:p w:rsidR="00425758" w:rsidRDefault="00425758">
      <w:pPr>
        <w:pStyle w:val="Defpara"/>
      </w:pPr>
      <w:r>
        <w:tab/>
        <w:t>(a)</w:t>
      </w:r>
      <w:r>
        <w:tab/>
        <w:t>as the next friend of the represented person, to commence, conduct or settle on behalf of the represented person specified proceedings, some proceedings or all proceedings;</w:t>
      </w:r>
    </w:p>
    <w:p w:rsidR="00425758" w:rsidRDefault="00425758">
      <w:pPr>
        <w:pStyle w:val="Defpara"/>
      </w:pPr>
      <w:r>
        <w:tab/>
        <w:t>(b)</w:t>
      </w:r>
      <w:r>
        <w:tab/>
        <w:t xml:space="preserve">as the guardian </w:t>
      </w:r>
      <w:r>
        <w:rPr>
          <w:i/>
        </w:rPr>
        <w:t>ad litem</w:t>
      </w:r>
      <w:r>
        <w:t xml:space="preserve"> of the represented person, to defend or settle specified proceedings, some proceedings, or all proceedings, that are taken against the represented person.</w:t>
      </w:r>
    </w:p>
    <w:p w:rsidR="00425758" w:rsidRDefault="00425758">
      <w:pPr>
        <w:pStyle w:val="Footnotesection"/>
      </w:pPr>
      <w:r>
        <w:tab/>
        <w:t xml:space="preserve">[Rule 1 inserted: Gazette 22 Jul 1994 p. 3746; amended: SL 2020/242 r. 9(1)-(3).] </w:t>
      </w:r>
    </w:p>
    <w:p w:rsidR="00425758" w:rsidRDefault="00425758">
      <w:pPr>
        <w:pStyle w:val="Heading5"/>
        <w:rPr>
          <w:snapToGrid w:val="0"/>
        </w:rPr>
      </w:pPr>
      <w:bookmarkStart w:id="1117" w:name="_Toc75863706"/>
      <w:r>
        <w:rPr>
          <w:rStyle w:val="CharSectno"/>
        </w:rPr>
        <w:t>2</w:t>
      </w:r>
      <w:r>
        <w:rPr>
          <w:snapToGrid w:val="0"/>
        </w:rPr>
        <w:t>.</w:t>
      </w:r>
      <w:r>
        <w:rPr>
          <w:snapToGrid w:val="0"/>
        </w:rPr>
        <w:tab/>
        <w:t>Persons under disability suing or defending</w:t>
      </w:r>
      <w:bookmarkEnd w:id="1117"/>
    </w:p>
    <w:p w:rsidR="00425758" w:rsidRDefault="00425758">
      <w:pPr>
        <w:pStyle w:val="Subsection"/>
        <w:keepNext/>
      </w:pPr>
      <w:r>
        <w:tab/>
        <w:t>(1)</w:t>
      </w:r>
      <w:r>
        <w:tab/>
        <w:t xml:space="preserve">Except as provided in subrule (4) a person under disability — </w:t>
      </w:r>
    </w:p>
    <w:p w:rsidR="00425758" w:rsidRDefault="00425758">
      <w:pPr>
        <w:pStyle w:val="Indenta"/>
      </w:pPr>
      <w:r>
        <w:tab/>
        <w:t>(a)</w:t>
      </w:r>
      <w:r>
        <w:tab/>
        <w:t>cannot bring, or make a claim in, any proceedings except by the person’s next friend; and</w:t>
      </w:r>
    </w:p>
    <w:p w:rsidR="00425758" w:rsidRDefault="00425758">
      <w:pPr>
        <w:pStyle w:val="Indenta"/>
      </w:pPr>
      <w:r>
        <w:tab/>
        <w:t>(b)</w:t>
      </w:r>
      <w:r>
        <w:tab/>
        <w:t xml:space="preserve">cannot defend, make a counterclaim or intervene in any proceedings, or appear in any proceedings under a </w:t>
      </w:r>
      <w:r>
        <w:lastRenderedPageBreak/>
        <w:t xml:space="preserve">judgment or order, notice of which has been served on the person, except by the person’s guardian </w:t>
      </w:r>
      <w:r>
        <w:rPr>
          <w:i/>
        </w:rPr>
        <w:t>ad litem</w:t>
      </w:r>
      <w:r>
        <w:t>.</w:t>
      </w:r>
    </w:p>
    <w:p w:rsidR="00425758" w:rsidRDefault="00425758">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w:t>
      </w:r>
      <w:r>
        <w:t>must</w:t>
      </w:r>
      <w:r>
        <w:rPr>
          <w:snapToGrid w:val="0"/>
        </w:rPr>
        <w:t xml:space="preserve"> or may, if the party is a person under disability, be done by </w:t>
      </w:r>
      <w:r>
        <w:t>the person’s</w:t>
      </w:r>
      <w:r>
        <w:rPr>
          <w:snapToGrid w:val="0"/>
        </w:rPr>
        <w:t xml:space="preserve"> next friend or guardian </w:t>
      </w:r>
      <w:r>
        <w:rPr>
          <w:i/>
          <w:snapToGrid w:val="0"/>
        </w:rPr>
        <w:t>ad litem</w:t>
      </w:r>
      <w:r>
        <w:rPr>
          <w:snapToGrid w:val="0"/>
        </w:rPr>
        <w:t>.</w:t>
      </w:r>
    </w:p>
    <w:p w:rsidR="00425758" w:rsidRDefault="00425758">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rsidR="00425758" w:rsidRDefault="00425758">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rsidR="00425758" w:rsidRDefault="00425758">
      <w:pPr>
        <w:pStyle w:val="Subsection"/>
      </w:pPr>
      <w:r>
        <w:tab/>
        <w:t>(5)</w:t>
      </w:r>
      <w:r>
        <w:tab/>
        <w:t xml:space="preserve">If a person under disability is a represented person, the next friend or guardian </w:t>
      </w:r>
      <w:r>
        <w:rPr>
          <w:i/>
        </w:rPr>
        <w:t>ad litem</w:t>
      </w:r>
      <w:r>
        <w:t xml:space="preserve"> of the represented person in any proceedings must be — </w:t>
      </w:r>
    </w:p>
    <w:p w:rsidR="00425758" w:rsidRDefault="00425758">
      <w:pPr>
        <w:pStyle w:val="Indenta"/>
      </w:pPr>
      <w:r>
        <w:tab/>
        <w:t>(a)</w:t>
      </w:r>
      <w:r>
        <w:tab/>
        <w:t xml:space="preserve">a guardian or administrator of the represented person authorised under the GAA Act Part 5 or 6 to act as next friend or guardian </w:t>
      </w:r>
      <w:r>
        <w:rPr>
          <w:i/>
        </w:rPr>
        <w:t>ad litem</w:t>
      </w:r>
      <w:r>
        <w:t>, as the case may be, in those proceedings; or</w:t>
      </w:r>
    </w:p>
    <w:p w:rsidR="00425758" w:rsidRDefault="00425758">
      <w:pPr>
        <w:pStyle w:val="Indenta"/>
      </w:pPr>
      <w:r>
        <w:tab/>
        <w:t>(b)</w:t>
      </w:r>
      <w:r>
        <w:tab/>
        <w:t xml:space="preserve">some other person appointed by the Court to be the next friend or guardian </w:t>
      </w:r>
      <w:r>
        <w:rPr>
          <w:i/>
        </w:rPr>
        <w:t>ad litem</w:t>
      </w:r>
      <w:r>
        <w:t>, as the case may be, in those proceedings.</w:t>
      </w:r>
    </w:p>
    <w:p w:rsidR="00425758" w:rsidRDefault="00425758">
      <w:pPr>
        <w:pStyle w:val="Subsection"/>
      </w:pPr>
      <w:r>
        <w:tab/>
        <w:t>(6)</w:t>
      </w:r>
      <w:r>
        <w:tab/>
        <w:t xml:space="preserve">An appointment by the Court under subrule (5)(b) may be — </w:t>
      </w:r>
    </w:p>
    <w:p w:rsidR="00425758" w:rsidRDefault="00425758">
      <w:pPr>
        <w:pStyle w:val="Indenta"/>
      </w:pPr>
      <w:r>
        <w:tab/>
        <w:t>(a)</w:t>
      </w:r>
      <w:r>
        <w:tab/>
        <w:t>of its own motion; or</w:t>
      </w:r>
    </w:p>
    <w:p w:rsidR="00425758" w:rsidRDefault="00425758">
      <w:pPr>
        <w:pStyle w:val="Indenta"/>
      </w:pPr>
      <w:r>
        <w:tab/>
        <w:t>(b)</w:t>
      </w:r>
      <w:r>
        <w:tab/>
        <w:t>on an application made under rule 5.</w:t>
      </w:r>
    </w:p>
    <w:p w:rsidR="00425758" w:rsidRDefault="00425758">
      <w:pPr>
        <w:pStyle w:val="Subsection"/>
      </w:pPr>
      <w:r>
        <w:tab/>
        <w:t>(7)</w:t>
      </w:r>
      <w:r>
        <w:tab/>
        <w:t>For the purposes of subrule (6)(b) the Court may vary the requirements of rule 5 as it considers appropriate in the circumstances.</w:t>
      </w:r>
    </w:p>
    <w:p w:rsidR="00425758" w:rsidRDefault="00425758">
      <w:pPr>
        <w:pStyle w:val="Footnotesection"/>
      </w:pPr>
      <w:r>
        <w:tab/>
        <w:t>[Rule 2 amended: Gazette 28 Jun 2011 p. 2552; SL 2020/242 r. 9(4)-(6).]</w:t>
      </w:r>
    </w:p>
    <w:p w:rsidR="00425758" w:rsidRDefault="00425758">
      <w:pPr>
        <w:pStyle w:val="Heading5"/>
        <w:rPr>
          <w:snapToGrid w:val="0"/>
        </w:rPr>
      </w:pPr>
      <w:bookmarkStart w:id="1118" w:name="_Toc75863707"/>
      <w:r>
        <w:rPr>
          <w:rStyle w:val="CharSectno"/>
        </w:rPr>
        <w:lastRenderedPageBreak/>
        <w:t>3</w:t>
      </w:r>
      <w:r>
        <w:rPr>
          <w:snapToGrid w:val="0"/>
        </w:rPr>
        <w:t>.</w:t>
      </w:r>
      <w:r>
        <w:rPr>
          <w:snapToGrid w:val="0"/>
        </w:rPr>
        <w:tab/>
        <w:t xml:space="preserve">Appointment of next friend or guardian </w:t>
      </w:r>
      <w:r>
        <w:rPr>
          <w:i/>
          <w:snapToGrid w:val="0"/>
        </w:rPr>
        <w:t>ad litem</w:t>
      </w:r>
      <w:bookmarkEnd w:id="1118"/>
    </w:p>
    <w:p w:rsidR="00425758" w:rsidRDefault="00425758">
      <w:pPr>
        <w:pStyle w:val="Subsection"/>
        <w:rPr>
          <w:snapToGrid w:val="0"/>
        </w:rPr>
      </w:pPr>
      <w:r>
        <w:rPr>
          <w:snapToGrid w:val="0"/>
        </w:rPr>
        <w:tab/>
        <w:t>(1)</w:t>
      </w:r>
      <w:r>
        <w:rPr>
          <w:snapToGrid w:val="0"/>
        </w:rPr>
        <w:tab/>
        <w:t>This rule does not apply in relation to a probate action.</w:t>
      </w:r>
    </w:p>
    <w:p w:rsidR="00425758" w:rsidRDefault="00425758">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w:t>
      </w:r>
      <w:r>
        <w:t>necessary for the purpose of a proceeding to which this rule applies.</w:t>
      </w:r>
    </w:p>
    <w:p w:rsidR="00425758" w:rsidRDefault="00425758">
      <w:pPr>
        <w:pStyle w:val="Subsection"/>
        <w:rPr>
          <w:snapToGrid w:val="0"/>
        </w:rPr>
      </w:pPr>
      <w:r>
        <w:rPr>
          <w:snapToGrid w:val="0"/>
        </w:rPr>
        <w:tab/>
        <w:t>(3)</w:t>
      </w:r>
      <w:r>
        <w:rPr>
          <w:snapToGrid w:val="0"/>
        </w:rPr>
        <w:tab/>
        <w:t xml:space="preserve">If a person under disability is a represented person, a guardian or administrator authorised under the GAA Act Part 5 or 6 to act as next friend or guardian </w:t>
      </w:r>
      <w:r>
        <w:rPr>
          <w:i/>
          <w:snapToGrid w:val="0"/>
        </w:rPr>
        <w:t>ad litem</w:t>
      </w:r>
      <w:r>
        <w:rPr>
          <w:snapToGrid w:val="0"/>
        </w:rPr>
        <w:t xml:space="preserve">, as the case may be, of the represented person in the proceedings is the next friend or guardian </w:t>
      </w:r>
      <w:r>
        <w:rPr>
          <w:i/>
          <w:snapToGrid w:val="0"/>
        </w:rPr>
        <w:t>ad litem</w:t>
      </w:r>
      <w:r>
        <w:rPr>
          <w:snapToGrid w:val="0"/>
        </w:rPr>
        <w:t>, as the case may be.</w:t>
      </w:r>
    </w:p>
    <w:p w:rsidR="00425758" w:rsidRDefault="00425758">
      <w:pPr>
        <w:pStyle w:val="Subsection"/>
        <w:rPr>
          <w:snapToGrid w:val="0"/>
        </w:rPr>
      </w:pPr>
      <w:r>
        <w:tab/>
        <w:t>(4)</w:t>
      </w:r>
      <w:r>
        <w:tab/>
        <w:t>Subrule (3) does not apply</w:t>
      </w:r>
      <w:r>
        <w:rPr>
          <w:snapToGrid w:val="0"/>
        </w:rPr>
        <w:t xml:space="preserve">, in a case to which </w:t>
      </w:r>
      <w:r>
        <w:t>subrule</w:t>
      </w:r>
      <w:r>
        <w:rPr>
          <w:snapToGrid w:val="0"/>
        </w:rPr>
        <w:t xml:space="preserve"> (5) or (6) or rule 6 applies, if some other person is appointed by the Court to be the next friend or guardian </w:t>
      </w:r>
      <w:r>
        <w:rPr>
          <w:i/>
          <w:snapToGrid w:val="0"/>
        </w:rPr>
        <w:t>ad litem</w:t>
      </w:r>
      <w:r>
        <w:rPr>
          <w:snapToGrid w:val="0"/>
        </w:rPr>
        <w:t>, as the case may be, of the represented person in those proceedings.</w:t>
      </w:r>
    </w:p>
    <w:p w:rsidR="00425758" w:rsidRDefault="00425758">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w:t>
      </w:r>
      <w:r>
        <w:t>is</w:t>
      </w:r>
      <w:r>
        <w:rPr>
          <w:snapToGrid w:val="0"/>
        </w:rPr>
        <w:t xml:space="preserve"> entitled to act as such friend or guardian, as the case may be, of the person under disability in those proceedings unless the Court makes an order appointing </w:t>
      </w:r>
      <w:r>
        <w:t>another person</w:t>
      </w:r>
      <w:r>
        <w:rPr>
          <w:snapToGrid w:val="0"/>
        </w:rPr>
        <w:t xml:space="preserve"> such friend or guardian in substitution for the person previously acting in that capacity.</w:t>
      </w:r>
    </w:p>
    <w:p w:rsidR="00425758" w:rsidRDefault="00425758">
      <w:pPr>
        <w:pStyle w:val="Subsection"/>
        <w:rPr>
          <w:snapToGrid w:val="0"/>
        </w:rPr>
      </w:pPr>
      <w:r>
        <w:rPr>
          <w:snapToGrid w:val="0"/>
        </w:rPr>
        <w:tab/>
        <w:t>(6)</w:t>
      </w:r>
      <w:r>
        <w:rPr>
          <w:snapToGrid w:val="0"/>
        </w:rPr>
        <w:tab/>
        <w:t xml:space="preserve">Where, after the commencement of any proceedings, a party </w:t>
      </w:r>
      <w:r>
        <w:t>to the proceedings</w:t>
      </w:r>
      <w:r>
        <w:rPr>
          <w:snapToGrid w:val="0"/>
        </w:rPr>
        <w:t xml:space="preserve"> becomes a person under a disability, an application </w:t>
      </w:r>
      <w:r>
        <w:t>must</w:t>
      </w:r>
      <w:r>
        <w:rPr>
          <w:snapToGrid w:val="0"/>
        </w:rPr>
        <w:t xml:space="preserve"> be made to the Court for the appointment of a next friend or guardian </w:t>
      </w:r>
      <w:r>
        <w:rPr>
          <w:i/>
          <w:snapToGrid w:val="0"/>
        </w:rPr>
        <w:t>ad litem</w:t>
      </w:r>
      <w:r>
        <w:rPr>
          <w:snapToGrid w:val="0"/>
        </w:rPr>
        <w:t>, as the case may be, of that party.</w:t>
      </w:r>
    </w:p>
    <w:p w:rsidR="00425758" w:rsidRDefault="00425758">
      <w:pPr>
        <w:pStyle w:val="Subsection"/>
        <w:keepNext/>
        <w:rPr>
          <w:snapToGrid w:val="0"/>
        </w:rPr>
      </w:pPr>
      <w:r>
        <w:rPr>
          <w:snapToGrid w:val="0"/>
        </w:rPr>
        <w:tab/>
        <w:t>(7)</w:t>
      </w:r>
      <w:r>
        <w:rPr>
          <w:snapToGrid w:val="0"/>
        </w:rPr>
        <w:tab/>
        <w:t xml:space="preserve">Except where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xml:space="preserve"> (3), or is the Public </w:t>
      </w:r>
      <w:r>
        <w:rPr>
          <w:snapToGrid w:val="0"/>
        </w:rPr>
        <w:lastRenderedPageBreak/>
        <w:t xml:space="preserve">Trustee, the documents specified in subrule (8) must be filed before — </w:t>
      </w:r>
    </w:p>
    <w:p w:rsidR="00425758" w:rsidRDefault="00425758">
      <w:pPr>
        <w:pStyle w:val="Indenta"/>
        <w:rPr>
          <w:snapToGrid w:val="0"/>
        </w:rPr>
      </w:pPr>
      <w:r>
        <w:rPr>
          <w:snapToGrid w:val="0"/>
        </w:rPr>
        <w:tab/>
        <w:t>(a)</w:t>
      </w:r>
      <w:r>
        <w:rPr>
          <w:snapToGrid w:val="0"/>
        </w:rPr>
        <w:tab/>
        <w:t>the name of any person can be used in a cause or matter as next friend of the person under disability; and</w:t>
      </w:r>
    </w:p>
    <w:p w:rsidR="00425758" w:rsidRDefault="00425758">
      <w:pPr>
        <w:pStyle w:val="Indenta"/>
        <w:rPr>
          <w:snapToGrid w:val="0"/>
        </w:rPr>
      </w:pPr>
      <w:r>
        <w:rPr>
          <w:snapToGrid w:val="0"/>
        </w:rPr>
        <w:tab/>
        <w:t>(b)</w:t>
      </w:r>
      <w:r>
        <w:rPr>
          <w:snapToGrid w:val="0"/>
        </w:rPr>
        <w:tab/>
        <w:t>an appearance can be entered in a cause or matter for the person under disability; and</w:t>
      </w:r>
    </w:p>
    <w:p w:rsidR="00425758" w:rsidRDefault="00425758">
      <w:pPr>
        <w:pStyle w:val="Indenta"/>
      </w:pPr>
      <w:r>
        <w:rPr>
          <w:snapToGrid w:val="0"/>
        </w:rPr>
        <w:tab/>
        <w:t>(c)</w:t>
      </w:r>
      <w:r>
        <w:rPr>
          <w:snapToGrid w:val="0"/>
        </w:rPr>
        <w:tab/>
        <w:t xml:space="preserve">the person under disability is entitled to appear by the person’s guardian </w:t>
      </w:r>
      <w:r>
        <w:rPr>
          <w:i/>
          <w:snapToGrid w:val="0"/>
        </w:rPr>
        <w:t>ad litem</w:t>
      </w:r>
      <w:r>
        <w:rPr>
          <w:snapToGrid w:val="0"/>
        </w:rPr>
        <w:t xml:space="preserve"> on the hearing of a petition, summons or motion which, or notice of which, has been served on the person.</w:t>
      </w:r>
    </w:p>
    <w:p w:rsidR="00425758" w:rsidRDefault="00425758">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rsidR="00425758" w:rsidRDefault="00425758">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rsidR="00425758" w:rsidRDefault="00425758">
      <w:pPr>
        <w:pStyle w:val="Indenta"/>
        <w:rPr>
          <w:snapToGrid w:val="0"/>
        </w:rPr>
      </w:pPr>
      <w:r>
        <w:tab/>
        <w:t>(b)</w:t>
      </w:r>
      <w:r>
        <w:tab/>
      </w:r>
      <w:r>
        <w:rPr>
          <w:snapToGrid w:val="0"/>
        </w:rPr>
        <w:t>an affidavit by the solicitor for the person under disability deposing — </w:t>
      </w:r>
    </w:p>
    <w:p w:rsidR="00425758" w:rsidRDefault="00425758">
      <w:pPr>
        <w:pStyle w:val="Indenti"/>
        <w:rPr>
          <w:snapToGrid w:val="0"/>
        </w:rPr>
      </w:pPr>
      <w:r>
        <w:rPr>
          <w:snapToGrid w:val="0"/>
        </w:rPr>
        <w:tab/>
        <w:t>(i)</w:t>
      </w:r>
      <w:r>
        <w:rPr>
          <w:snapToGrid w:val="0"/>
        </w:rPr>
        <w:tab/>
        <w:t>that the solicitor knows or believes, as the case may be, that the person to whom the affidavit relates is an infant or a represented person, stating (in the case of a represented person) the grounds of that knowledge or belief; and</w:t>
      </w:r>
    </w:p>
    <w:p w:rsidR="00425758" w:rsidRDefault="00425758">
      <w:pPr>
        <w:pStyle w:val="Indenti"/>
        <w:rPr>
          <w:snapToGrid w:val="0"/>
        </w:rPr>
      </w:pPr>
      <w:r>
        <w:rPr>
          <w:snapToGrid w:val="0"/>
        </w:rPr>
        <w:tab/>
        <w:t>(ii)</w:t>
      </w:r>
      <w:r>
        <w:rPr>
          <w:snapToGrid w:val="0"/>
        </w:rPr>
        <w:tab/>
        <w:t xml:space="preserve">that the person named in the affidavit as next friend or guardian </w:t>
      </w:r>
      <w:r>
        <w:rPr>
          <w:i/>
          <w:snapToGrid w:val="0"/>
        </w:rPr>
        <w:t>ad litem</w:t>
      </w:r>
      <w:r>
        <w:rPr>
          <w:snapToGrid w:val="0"/>
        </w:rPr>
        <w:t>, as the case may be, has no interest in the cause or matter in question adverse to that of the person under disability; and</w:t>
      </w:r>
    </w:p>
    <w:p w:rsidR="00425758" w:rsidRDefault="00425758">
      <w:pPr>
        <w:pStyle w:val="Indenti"/>
        <w:rPr>
          <w:snapToGrid w:val="0"/>
        </w:rPr>
      </w:pPr>
      <w:r>
        <w:rPr>
          <w:snapToGrid w:val="0"/>
        </w:rPr>
        <w:tab/>
        <w:t>(iii)</w:t>
      </w:r>
      <w:r>
        <w:rPr>
          <w:snapToGrid w:val="0"/>
        </w:rPr>
        <w:tab/>
        <w:t xml:space="preserve">that in the case of an infant (who is not a represented person) who has attained the age of 14 years, the infant consents to the person named in the affidavit acting as next friend or guardian </w:t>
      </w:r>
      <w:r>
        <w:rPr>
          <w:i/>
          <w:snapToGrid w:val="0"/>
        </w:rPr>
        <w:t>ad litem</w:t>
      </w:r>
      <w:r>
        <w:rPr>
          <w:snapToGrid w:val="0"/>
        </w:rPr>
        <w:t>, as the case may be.</w:t>
      </w:r>
    </w:p>
    <w:p w:rsidR="00425758" w:rsidRDefault="00425758">
      <w:pPr>
        <w:pStyle w:val="Ednotepara"/>
      </w:pPr>
      <w:r>
        <w:tab/>
        <w:t>[(c)</w:t>
      </w:r>
      <w:r>
        <w:tab/>
        <w:t>deleted]</w:t>
      </w:r>
    </w:p>
    <w:p w:rsidR="00425758" w:rsidRDefault="00425758">
      <w:pPr>
        <w:pStyle w:val="Subsection"/>
        <w:rPr>
          <w:snapToGrid w:val="0"/>
        </w:rPr>
      </w:pPr>
      <w:r>
        <w:lastRenderedPageBreak/>
        <w:tab/>
        <w:t>(9)</w:t>
      </w:r>
      <w:r>
        <w:tab/>
        <w:t>If</w:t>
      </w:r>
      <w:r>
        <w:rPr>
          <w:snapToGrid w:val="0"/>
        </w:rPr>
        <w:t xml:space="preserve"> the person who is the next friend or guardian </w:t>
      </w:r>
      <w:r>
        <w:rPr>
          <w:i/>
          <w:snapToGrid w:val="0"/>
        </w:rPr>
        <w:t>ad litem</w:t>
      </w:r>
      <w:r>
        <w:rPr>
          <w:snapToGrid w:val="0"/>
        </w:rPr>
        <w:t xml:space="preserve">, as the case may be, of a represented person and is authorised under the GAA Act Part 5 or 6 to conduct proceedings in a cause or matter in the name of the represented person or on behalf of the represented person, a copy of the order made under the GAA Act Part 5 or 6 giving the authority must be filed before — </w:t>
      </w:r>
    </w:p>
    <w:p w:rsidR="00425758" w:rsidRDefault="00425758">
      <w:pPr>
        <w:pStyle w:val="Indenta"/>
        <w:rPr>
          <w:snapToGrid w:val="0"/>
        </w:rPr>
      </w:pPr>
      <w:r>
        <w:rPr>
          <w:snapToGrid w:val="0"/>
        </w:rPr>
        <w:tab/>
        <w:t>(a)</w:t>
      </w:r>
      <w:r>
        <w:rPr>
          <w:snapToGrid w:val="0"/>
        </w:rPr>
        <w:tab/>
        <w:t>the name of any person can be used in the cause or matter as next friend of the represented person; and</w:t>
      </w:r>
    </w:p>
    <w:p w:rsidR="00425758" w:rsidRDefault="00425758">
      <w:pPr>
        <w:pStyle w:val="Indenta"/>
        <w:rPr>
          <w:snapToGrid w:val="0"/>
        </w:rPr>
      </w:pPr>
      <w:r>
        <w:rPr>
          <w:snapToGrid w:val="0"/>
        </w:rPr>
        <w:tab/>
        <w:t>(b)</w:t>
      </w:r>
      <w:r>
        <w:rPr>
          <w:snapToGrid w:val="0"/>
        </w:rPr>
        <w:tab/>
        <w:t>an appearance can be entered in a cause or matter for the represented person; and</w:t>
      </w:r>
    </w:p>
    <w:p w:rsidR="00425758" w:rsidRDefault="00425758">
      <w:pPr>
        <w:pStyle w:val="Indenta"/>
      </w:pPr>
      <w:r>
        <w:rPr>
          <w:snapToGrid w:val="0"/>
        </w:rPr>
        <w:tab/>
        <w:t>(c)</w:t>
      </w:r>
      <w:r>
        <w:rPr>
          <w:snapToGrid w:val="0"/>
        </w:rPr>
        <w:tab/>
        <w:t xml:space="preserve">the represented person is entitled to appear by the person’s guardian </w:t>
      </w:r>
      <w:r>
        <w:rPr>
          <w:i/>
          <w:snapToGrid w:val="0"/>
        </w:rPr>
        <w:t>ad litem</w:t>
      </w:r>
      <w:r>
        <w:rPr>
          <w:snapToGrid w:val="0"/>
        </w:rPr>
        <w:t xml:space="preserve"> on the hearing of a petition, summons or motion which, or notice of which, has been served on the person.</w:t>
      </w:r>
    </w:p>
    <w:p w:rsidR="00425758" w:rsidRDefault="00425758">
      <w:pPr>
        <w:pStyle w:val="Footnotesection"/>
      </w:pPr>
      <w:r>
        <w:tab/>
        <w:t>[Rule 3 amended: Gazette 22 Jul 1994 p. 3746</w:t>
      </w:r>
      <w:r>
        <w:noBreakHyphen/>
        <w:t>8; 28 Jun 2011 p. 2552</w:t>
      </w:r>
      <w:r>
        <w:noBreakHyphen/>
        <w:t xml:space="preserve">3; SL 2020/242 r. 9(7)-(13).] </w:t>
      </w:r>
    </w:p>
    <w:p w:rsidR="00425758" w:rsidRDefault="00425758">
      <w:pPr>
        <w:pStyle w:val="Heading5"/>
        <w:rPr>
          <w:snapToGrid w:val="0"/>
        </w:rPr>
      </w:pPr>
      <w:bookmarkStart w:id="1119" w:name="_Toc75863708"/>
      <w:r>
        <w:rPr>
          <w:rStyle w:val="CharSectno"/>
        </w:rPr>
        <w:t>4</w:t>
      </w:r>
      <w:r>
        <w:rPr>
          <w:snapToGrid w:val="0"/>
        </w:rPr>
        <w:t>.</w:t>
      </w:r>
      <w:r>
        <w:rPr>
          <w:snapToGrid w:val="0"/>
        </w:rPr>
        <w:tab/>
        <w:t>Special provisions for probate actions</w:t>
      </w:r>
      <w:bookmarkEnd w:id="1119"/>
    </w:p>
    <w:p w:rsidR="00425758" w:rsidRDefault="00425758">
      <w:pPr>
        <w:pStyle w:val="Subsection"/>
        <w:rPr>
          <w:snapToGrid w:val="0"/>
        </w:rPr>
      </w:pPr>
      <w:r>
        <w:rPr>
          <w:snapToGrid w:val="0"/>
        </w:rPr>
        <w:tab/>
        <w:t>(1)</w:t>
      </w:r>
      <w:r>
        <w:rPr>
          <w:snapToGrid w:val="0"/>
        </w:rPr>
        <w:tab/>
        <w:t>This rule applies in relation to a probate action.</w:t>
      </w:r>
    </w:p>
    <w:p w:rsidR="00425758" w:rsidRDefault="00425758">
      <w:pPr>
        <w:pStyle w:val="Subsection"/>
      </w:pPr>
      <w:r>
        <w:tab/>
        <w:t>(2)</w:t>
      </w:r>
      <w:r>
        <w:tab/>
        <w:t xml:space="preserve">Except as provided in subrule (3), a person must not act in a probate action as next friend or guardian </w:t>
      </w:r>
      <w:r>
        <w:rPr>
          <w:i/>
        </w:rPr>
        <w:t>ad litem</w:t>
      </w:r>
      <w:r>
        <w:t xml:space="preserve"> of a person under disability unless appointed to so act by the Court.</w:t>
      </w:r>
    </w:p>
    <w:p w:rsidR="00425758" w:rsidRDefault="00425758">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rsidR="00425758" w:rsidRDefault="00425758">
      <w:pPr>
        <w:pStyle w:val="Indenta"/>
      </w:pPr>
      <w:r>
        <w:tab/>
        <w:t>(a)</w:t>
      </w:r>
      <w:r>
        <w:tab/>
      </w:r>
      <w:r>
        <w:rPr>
          <w:snapToGrid w:val="0"/>
        </w:rPr>
        <w:t>in the case of a represented person, the person is the guardian or administrator authorised under the GAA Act Part 5 or 6 to conduct legal proceedings in the name of the represented person;</w:t>
      </w:r>
    </w:p>
    <w:p w:rsidR="00425758" w:rsidRDefault="00425758">
      <w:pPr>
        <w:pStyle w:val="Indenta"/>
        <w:rPr>
          <w:snapToGrid w:val="0"/>
        </w:rPr>
      </w:pPr>
      <w:r>
        <w:rPr>
          <w:snapToGrid w:val="0"/>
        </w:rPr>
        <w:tab/>
        <w:t>(b)</w:t>
      </w:r>
      <w:r>
        <w:rPr>
          <w:snapToGrid w:val="0"/>
        </w:rPr>
        <w:tab/>
        <w:t xml:space="preserve">in the case of an infant (who is not also a represented person) </w:t>
      </w:r>
      <w:r>
        <w:t>the person</w:t>
      </w:r>
      <w:r>
        <w:rPr>
          <w:snapToGrid w:val="0"/>
        </w:rPr>
        <w:t xml:space="preserve"> is the statutory or testamentary guardian of the infant;</w:t>
      </w:r>
    </w:p>
    <w:p w:rsidR="00425758" w:rsidRDefault="00425758">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w:t>
      </w:r>
      <w:r>
        <w:rPr>
          <w:snapToGrid w:val="0"/>
        </w:rPr>
        <w:lastRenderedPageBreak/>
        <w:t xml:space="preserve">paragraph (b) and the person is one of the next of kin of the infant and has been appointed by </w:t>
      </w:r>
      <w:r>
        <w:t>the infant to act as the infant’s</w:t>
      </w:r>
      <w:r>
        <w:rPr>
          <w:snapToGrid w:val="0"/>
        </w:rPr>
        <w:t xml:space="preserve"> next friend or guardian </w:t>
      </w:r>
      <w:r>
        <w:rPr>
          <w:i/>
          <w:snapToGrid w:val="0"/>
        </w:rPr>
        <w:t>ad litem</w:t>
      </w:r>
      <w:r>
        <w:rPr>
          <w:snapToGrid w:val="0"/>
        </w:rPr>
        <w:t>.</w:t>
      </w:r>
    </w:p>
    <w:p w:rsidR="00425758" w:rsidRDefault="00425758">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w:t>
      </w:r>
      <w:r>
        <w:t>the person</w:t>
      </w:r>
      <w:r>
        <w:rPr>
          <w:snapToGrid w:val="0"/>
        </w:rPr>
        <w:t xml:space="preserve"> in the action (where </w:t>
      </w:r>
      <w:r>
        <w:t>the person</w:t>
      </w:r>
      <w:r>
        <w:rPr>
          <w:snapToGrid w:val="0"/>
        </w:rPr>
        <w:t xml:space="preserve"> is a defendant, intervener or person cited) without the consent of a master.</w:t>
      </w:r>
    </w:p>
    <w:p w:rsidR="00425758" w:rsidRDefault="00425758">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w:t>
      </w:r>
      <w:r>
        <w:t xml:space="preserve">the GAA Act Part 5 or 6 </w:t>
      </w:r>
      <w:r>
        <w:rPr>
          <w:snapToGrid w:val="0"/>
        </w:rPr>
        <w:t xml:space="preserve">authorising the next friend or guardian </w:t>
      </w:r>
      <w:r>
        <w:rPr>
          <w:i/>
          <w:snapToGrid w:val="0"/>
        </w:rPr>
        <w:t>ad litem</w:t>
      </w:r>
      <w:r>
        <w:rPr>
          <w:snapToGrid w:val="0"/>
        </w:rPr>
        <w:t xml:space="preserve"> to conduct legal proceedings in the name of the represented person, and in the case of an infant — </w:t>
      </w:r>
    </w:p>
    <w:p w:rsidR="00425758" w:rsidRDefault="00425758">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rsidR="00425758" w:rsidRDefault="00425758">
      <w:pPr>
        <w:pStyle w:val="Indenta"/>
        <w:keepNext/>
        <w:rPr>
          <w:snapToGrid w:val="0"/>
        </w:rPr>
      </w:pPr>
      <w:r>
        <w:rPr>
          <w:snapToGrid w:val="0"/>
        </w:rPr>
        <w:tab/>
        <w:t>(b)</w:t>
      </w:r>
      <w:r>
        <w:rPr>
          <w:snapToGrid w:val="0"/>
        </w:rPr>
        <w:tab/>
        <w:t>where paragraph (a) does not apply — </w:t>
      </w:r>
    </w:p>
    <w:p w:rsidR="00425758" w:rsidRDefault="00425758">
      <w:pPr>
        <w:pStyle w:val="Indenti"/>
        <w:rPr>
          <w:snapToGrid w:val="0"/>
        </w:rPr>
      </w:pPr>
      <w:r>
        <w:rPr>
          <w:snapToGrid w:val="0"/>
        </w:rPr>
        <w:tab/>
        <w:t>(i)</w:t>
      </w:r>
      <w:r>
        <w:rPr>
          <w:snapToGrid w:val="0"/>
        </w:rPr>
        <w:tab/>
        <w:t>the appointment by the infant;</w:t>
      </w:r>
    </w:p>
    <w:p w:rsidR="00425758" w:rsidRDefault="00425758">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rsidR="00425758" w:rsidRDefault="00425758">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w:t>
      </w:r>
      <w:r>
        <w:t xml:space="preserve">the proposed next friend or guardian </w:t>
      </w:r>
      <w:r>
        <w:rPr>
          <w:i/>
        </w:rPr>
        <w:t>ad litem</w:t>
      </w:r>
      <w:r>
        <w:rPr>
          <w:snapToGrid w:val="0"/>
        </w:rPr>
        <w:t xml:space="preserve"> has no interest in the action adverse to that of the infant, and is a next</w:t>
      </w:r>
      <w:r>
        <w:rPr>
          <w:snapToGrid w:val="0"/>
        </w:rPr>
        <w:noBreakHyphen/>
        <w:t>of</w:t>
      </w:r>
      <w:r>
        <w:rPr>
          <w:snapToGrid w:val="0"/>
        </w:rPr>
        <w:noBreakHyphen/>
        <w:t>kin of the infant.</w:t>
      </w:r>
    </w:p>
    <w:p w:rsidR="00425758" w:rsidRDefault="00425758">
      <w:pPr>
        <w:pStyle w:val="Footnotesection"/>
      </w:pPr>
      <w:r>
        <w:lastRenderedPageBreak/>
        <w:tab/>
        <w:t xml:space="preserve">[Rule 4 amended: Gazette 30 Nov 1984 p. 3952; 22 Jul 1994 p. 3748; 30 Jun 2003 p. 2631; 28 Jun 2011 p. 2552 and 2555; SL 2020/242 r. 9(14)-(17).] </w:t>
      </w:r>
    </w:p>
    <w:p w:rsidR="00425758" w:rsidRDefault="00425758">
      <w:pPr>
        <w:pStyle w:val="Heading5"/>
        <w:rPr>
          <w:snapToGrid w:val="0"/>
        </w:rPr>
      </w:pPr>
      <w:bookmarkStart w:id="1120" w:name="_Toc75863709"/>
      <w:r>
        <w:rPr>
          <w:rStyle w:val="CharSectno"/>
        </w:rPr>
        <w:t>5</w:t>
      </w:r>
      <w:r>
        <w:rPr>
          <w:snapToGrid w:val="0"/>
        </w:rPr>
        <w:t>.</w:t>
      </w:r>
      <w:r>
        <w:rPr>
          <w:snapToGrid w:val="0"/>
        </w:rPr>
        <w:tab/>
        <w:t>Procedure on no appearance by person under disability</w:t>
      </w:r>
      <w:bookmarkEnd w:id="1120"/>
    </w:p>
    <w:p w:rsidR="00425758" w:rsidRDefault="00425758">
      <w:pPr>
        <w:pStyle w:val="Subsection"/>
        <w:rPr>
          <w:snapToGrid w:val="0"/>
        </w:rPr>
      </w:pPr>
      <w:r>
        <w:rPr>
          <w:snapToGrid w:val="0"/>
        </w:rPr>
        <w:tab/>
        <w:t>(1)</w:t>
      </w:r>
      <w:r>
        <w:rPr>
          <w:snapToGrid w:val="0"/>
        </w:rPr>
        <w:tab/>
        <w:t>Where — </w:t>
      </w:r>
    </w:p>
    <w:p w:rsidR="00425758" w:rsidRDefault="00425758">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rsidR="00425758" w:rsidRDefault="00425758">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rsidR="00425758" w:rsidRDefault="00425758">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rsidR="00425758" w:rsidRDefault="00425758">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w:t>
      </w:r>
      <w:r>
        <w:t xml:space="preserve">(as respects the person under disability) </w:t>
      </w:r>
      <w:r>
        <w:rPr>
          <w:snapToGrid w:val="0"/>
        </w:rPr>
        <w:t xml:space="preserve">for appearing for an order appointing a guardian </w:t>
      </w:r>
      <w:r>
        <w:rPr>
          <w:i/>
          <w:snapToGrid w:val="0"/>
        </w:rPr>
        <w:t>ad litem</w:t>
      </w:r>
      <w:r>
        <w:rPr>
          <w:snapToGrid w:val="0"/>
        </w:rPr>
        <w:t xml:space="preserve"> of that person and giving consequential directions.</w:t>
      </w:r>
    </w:p>
    <w:p w:rsidR="00425758" w:rsidRDefault="00425758">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w:t>
      </w:r>
      <w:r>
        <w:rPr>
          <w:snapToGrid w:val="0"/>
        </w:rPr>
        <w:lastRenderedPageBreak/>
        <w:t>in the proceedings, or direct that an application be made for the appointment of such a guardian.</w:t>
      </w:r>
    </w:p>
    <w:p w:rsidR="00425758" w:rsidRDefault="00425758">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rsidR="00425758" w:rsidRDefault="00425758">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rsidR="00425758" w:rsidRDefault="00425758">
      <w:pPr>
        <w:pStyle w:val="Indenta"/>
        <w:rPr>
          <w:snapToGrid w:val="0"/>
        </w:rPr>
      </w:pPr>
      <w:r>
        <w:rPr>
          <w:snapToGrid w:val="0"/>
        </w:rPr>
        <w:tab/>
        <w:t>(a)</w:t>
      </w:r>
      <w:r>
        <w:rPr>
          <w:snapToGrid w:val="0"/>
        </w:rPr>
        <w:tab/>
        <w:t>that the person to whom the application relates is a person under disability; and</w:t>
      </w:r>
    </w:p>
    <w:p w:rsidR="00425758" w:rsidRDefault="00425758">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rsidR="00425758" w:rsidRDefault="00425758">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rsidR="00425758" w:rsidRDefault="00425758">
      <w:pPr>
        <w:pStyle w:val="Indenta"/>
        <w:rPr>
          <w:snapToGrid w:val="0"/>
        </w:rPr>
      </w:pPr>
      <w:r>
        <w:rPr>
          <w:snapToGrid w:val="0"/>
        </w:rPr>
        <w:tab/>
        <w:t>(d)</w:t>
      </w:r>
      <w:r>
        <w:rPr>
          <w:snapToGrid w:val="0"/>
        </w:rPr>
        <w:tab/>
        <w:t xml:space="preserve">subject to </w:t>
      </w:r>
      <w:r>
        <w:t>subrule</w:t>
      </w:r>
      <w:r>
        <w:rPr>
          <w:snapToGrid w:val="0"/>
        </w:rPr>
        <w:t xml:space="preserve"> (6) that notice of the application was, after the expiration of the time limited for appearance, and at least 7 days before the day named in the notice for hearing the application, duly served on </w:t>
      </w:r>
      <w:r>
        <w:t>the person under disability.</w:t>
      </w:r>
    </w:p>
    <w:p w:rsidR="00425758" w:rsidRDefault="00425758">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rsidR="00425758" w:rsidRDefault="00425758">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rsidR="00425758" w:rsidRDefault="00425758">
      <w:pPr>
        <w:pStyle w:val="Footnotesection"/>
      </w:pPr>
      <w:r>
        <w:tab/>
        <w:t>[Rule 5 amended: Gazette 28 Jun 2011 p. 2552</w:t>
      </w:r>
      <w:r>
        <w:noBreakHyphen/>
        <w:t>3; SL 2020/242 r. 9(18) and (19).]</w:t>
      </w:r>
    </w:p>
    <w:p w:rsidR="00425758" w:rsidRDefault="00425758">
      <w:pPr>
        <w:pStyle w:val="Heading5"/>
        <w:rPr>
          <w:snapToGrid w:val="0"/>
        </w:rPr>
      </w:pPr>
      <w:bookmarkStart w:id="1121" w:name="_Toc75863710"/>
      <w:r>
        <w:rPr>
          <w:rStyle w:val="CharSectno"/>
        </w:rPr>
        <w:lastRenderedPageBreak/>
        <w:t>6</w:t>
      </w:r>
      <w:r>
        <w:rPr>
          <w:snapToGrid w:val="0"/>
        </w:rPr>
        <w:t>.</w:t>
      </w:r>
      <w:r>
        <w:rPr>
          <w:snapToGrid w:val="0"/>
        </w:rPr>
        <w:tab/>
        <w:t>Time for application by person under disability to discharge or vary order under O. 18 r. 7</w:t>
      </w:r>
      <w:bookmarkEnd w:id="1121"/>
    </w:p>
    <w:p w:rsidR="00425758" w:rsidRDefault="00425758">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rsidR="00425758" w:rsidRDefault="00425758">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rsidR="00425758" w:rsidRDefault="00425758">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w:t>
      </w:r>
      <w:r>
        <w:t>that person.</w:t>
      </w:r>
    </w:p>
    <w:p w:rsidR="00425758" w:rsidRDefault="00425758">
      <w:pPr>
        <w:pStyle w:val="Footnotesection"/>
      </w:pPr>
      <w:r>
        <w:tab/>
        <w:t>[Rule 6 amended: SL 2020/242 r. 9(20).]</w:t>
      </w:r>
    </w:p>
    <w:p w:rsidR="00425758" w:rsidRDefault="00425758">
      <w:pPr>
        <w:pStyle w:val="Heading5"/>
        <w:rPr>
          <w:snapToGrid w:val="0"/>
        </w:rPr>
      </w:pPr>
      <w:bookmarkStart w:id="1122" w:name="_Toc75863711"/>
      <w:r>
        <w:rPr>
          <w:rStyle w:val="CharSectno"/>
        </w:rPr>
        <w:t>7</w:t>
      </w:r>
      <w:r>
        <w:rPr>
          <w:snapToGrid w:val="0"/>
        </w:rPr>
        <w:t>.</w:t>
      </w:r>
      <w:r>
        <w:rPr>
          <w:snapToGrid w:val="0"/>
        </w:rPr>
        <w:tab/>
        <w:t>Removal of next friend or guardian</w:t>
      </w:r>
      <w:bookmarkEnd w:id="1122"/>
      <w:r>
        <w:rPr>
          <w:snapToGrid w:val="0"/>
        </w:rPr>
        <w:t xml:space="preserve"> </w:t>
      </w:r>
    </w:p>
    <w:p w:rsidR="00425758" w:rsidRDefault="00425758">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rsidR="00425758" w:rsidRDefault="00425758">
      <w:pPr>
        <w:pStyle w:val="Subsection"/>
        <w:rPr>
          <w:snapToGrid w:val="0"/>
        </w:rPr>
      </w:pPr>
      <w:r>
        <w:rPr>
          <w:snapToGrid w:val="0"/>
        </w:rPr>
        <w:tab/>
        <w:t>(2)</w:t>
      </w:r>
      <w:r>
        <w:rPr>
          <w:snapToGrid w:val="0"/>
        </w:rPr>
        <w:tab/>
        <w:t xml:space="preserve">An application under this rule </w:t>
      </w:r>
      <w:r>
        <w:t>must</w:t>
      </w:r>
      <w:r>
        <w:rPr>
          <w:snapToGrid w:val="0"/>
        </w:rPr>
        <w:t xml:space="preserve"> be by summons which, unless the Court otherwise orders, must be served on the next friend or guardian </w:t>
      </w:r>
      <w:r>
        <w:rPr>
          <w:i/>
          <w:snapToGrid w:val="0"/>
        </w:rPr>
        <w:t>ad litem</w:t>
      </w:r>
      <w:r>
        <w:rPr>
          <w:snapToGrid w:val="0"/>
        </w:rPr>
        <w:t xml:space="preserve"> whose removal is sought and on the person under disability.</w:t>
      </w:r>
    </w:p>
    <w:p w:rsidR="00425758" w:rsidRDefault="00425758">
      <w:pPr>
        <w:pStyle w:val="Footnotesection"/>
      </w:pPr>
      <w:r>
        <w:tab/>
        <w:t>[Rule 7 amended: SL 2020/242 r. 9(21).]</w:t>
      </w:r>
    </w:p>
    <w:p w:rsidR="00425758" w:rsidRDefault="00425758">
      <w:pPr>
        <w:pStyle w:val="Heading5"/>
      </w:pPr>
      <w:bookmarkStart w:id="1123" w:name="_Toc75863712"/>
      <w:r>
        <w:rPr>
          <w:rStyle w:val="CharSectno"/>
        </w:rPr>
        <w:t>8</w:t>
      </w:r>
      <w:r>
        <w:t>.</w:t>
      </w:r>
      <w:r>
        <w:tab/>
        <w:t>No implied admission from pleading</w:t>
      </w:r>
      <w:bookmarkEnd w:id="1123"/>
    </w:p>
    <w:p w:rsidR="00425758" w:rsidRDefault="00425758">
      <w:pPr>
        <w:pStyle w:val="Subsection"/>
      </w:pPr>
      <w:r>
        <w:tab/>
      </w:r>
      <w:r>
        <w:tab/>
        <w:t>Despite anything in Order 20 rule 14(1), a person under disability is not taken to admit the truth of any allegation of fact made in the pleading of the opposite party by reason only that the allegation was not traversed in the pleadings of the person under disability.</w:t>
      </w:r>
    </w:p>
    <w:p w:rsidR="00425758" w:rsidRDefault="00425758">
      <w:pPr>
        <w:pStyle w:val="Footnotesection"/>
      </w:pPr>
      <w:r>
        <w:lastRenderedPageBreak/>
        <w:tab/>
        <w:t>[Rule 8 inserted: SL 2020/242 r. 9(22).]</w:t>
      </w:r>
    </w:p>
    <w:p w:rsidR="00425758" w:rsidRDefault="00425758">
      <w:pPr>
        <w:pStyle w:val="Heading5"/>
        <w:rPr>
          <w:snapToGrid w:val="0"/>
        </w:rPr>
      </w:pPr>
      <w:bookmarkStart w:id="1124" w:name="_Toc75863713"/>
      <w:r>
        <w:rPr>
          <w:rStyle w:val="CharSectno"/>
        </w:rPr>
        <w:t>9</w:t>
      </w:r>
      <w:r>
        <w:rPr>
          <w:snapToGrid w:val="0"/>
        </w:rPr>
        <w:t>.</w:t>
      </w:r>
      <w:r>
        <w:rPr>
          <w:snapToGrid w:val="0"/>
        </w:rPr>
        <w:tab/>
        <w:t>Discovery and interrogatories</w:t>
      </w:r>
      <w:bookmarkEnd w:id="1124"/>
    </w:p>
    <w:p w:rsidR="00425758" w:rsidRDefault="00425758">
      <w:pPr>
        <w:pStyle w:val="Subsection"/>
        <w:rPr>
          <w:snapToGrid w:val="0"/>
        </w:rPr>
      </w:pPr>
      <w:r>
        <w:rPr>
          <w:snapToGrid w:val="0"/>
        </w:rPr>
        <w:tab/>
      </w:r>
      <w:r>
        <w:rPr>
          <w:snapToGrid w:val="0"/>
        </w:rPr>
        <w:tab/>
        <w:t xml:space="preserve">Orders 26 and 27 apply to a person under disability and to </w:t>
      </w:r>
      <w:r>
        <w:t>the person’s</w:t>
      </w:r>
      <w:r>
        <w:rPr>
          <w:snapToGrid w:val="0"/>
        </w:rPr>
        <w:t xml:space="preserve"> next friend or guardian </w:t>
      </w:r>
      <w:r>
        <w:rPr>
          <w:i/>
          <w:snapToGrid w:val="0"/>
        </w:rPr>
        <w:t>ad litem</w:t>
      </w:r>
      <w:r>
        <w:rPr>
          <w:snapToGrid w:val="0"/>
        </w:rPr>
        <w:t>.</w:t>
      </w:r>
    </w:p>
    <w:p w:rsidR="00425758" w:rsidRDefault="00425758">
      <w:pPr>
        <w:pStyle w:val="Footnotesection"/>
      </w:pPr>
      <w:r>
        <w:tab/>
        <w:t>[Rule 9 amended: SL 2020/242 r. 9(23).]</w:t>
      </w:r>
    </w:p>
    <w:p w:rsidR="00425758" w:rsidRDefault="00425758">
      <w:pPr>
        <w:pStyle w:val="Heading5"/>
        <w:rPr>
          <w:snapToGrid w:val="0"/>
        </w:rPr>
      </w:pPr>
      <w:bookmarkStart w:id="1125" w:name="_Toc75863714"/>
      <w:r>
        <w:rPr>
          <w:rStyle w:val="CharSectno"/>
        </w:rPr>
        <w:t>10</w:t>
      </w:r>
      <w:r>
        <w:rPr>
          <w:snapToGrid w:val="0"/>
        </w:rPr>
        <w:t>.</w:t>
      </w:r>
      <w:r>
        <w:rPr>
          <w:snapToGrid w:val="0"/>
        </w:rPr>
        <w:tab/>
        <w:t>Settlement etc. of action by person under disability</w:t>
      </w:r>
      <w:bookmarkEnd w:id="1125"/>
      <w:r>
        <w:rPr>
          <w:snapToGrid w:val="0"/>
        </w:rPr>
        <w:t xml:space="preserve"> </w:t>
      </w:r>
    </w:p>
    <w:p w:rsidR="00425758" w:rsidRDefault="00425758">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xml:space="preserve">) in which there is a claim by or on behalf of or against a person under disability, </w:t>
      </w:r>
      <w:r>
        <w:t>is</w:t>
      </w:r>
      <w:r>
        <w:rPr>
          <w:snapToGrid w:val="0"/>
        </w:rPr>
        <w:t xml:space="preserve"> valid unless it is approved by the Court.</w:t>
      </w:r>
    </w:p>
    <w:p w:rsidR="00425758" w:rsidRDefault="00425758">
      <w:pPr>
        <w:pStyle w:val="Subsection"/>
        <w:rPr>
          <w:snapToGrid w:val="0"/>
        </w:rPr>
      </w:pPr>
      <w:r>
        <w:rPr>
          <w:snapToGrid w:val="0"/>
        </w:rPr>
        <w:tab/>
        <w:t>(2)</w:t>
      </w:r>
      <w:r>
        <w:rPr>
          <w:snapToGrid w:val="0"/>
        </w:rPr>
        <w:tab/>
        <w:t xml:space="preserve">An application for approval under </w:t>
      </w:r>
      <w:r>
        <w:t>subrule</w:t>
      </w:r>
      <w:r>
        <w:rPr>
          <w:snapToGrid w:val="0"/>
        </w:rPr>
        <w:t> (1) — </w:t>
      </w:r>
    </w:p>
    <w:p w:rsidR="00425758" w:rsidRDefault="00425758">
      <w:pPr>
        <w:pStyle w:val="Indenta"/>
        <w:rPr>
          <w:snapToGrid w:val="0"/>
        </w:rPr>
      </w:pPr>
      <w:r>
        <w:rPr>
          <w:snapToGrid w:val="0"/>
        </w:rPr>
        <w:tab/>
        <w:t>(a)</w:t>
      </w:r>
      <w:r>
        <w:rPr>
          <w:snapToGrid w:val="0"/>
        </w:rPr>
        <w:tab/>
        <w:t xml:space="preserve">if made before the hearing of a cause or matter, </w:t>
      </w:r>
      <w:r>
        <w:t>must</w:t>
      </w:r>
      <w:r>
        <w:rPr>
          <w:snapToGrid w:val="0"/>
        </w:rPr>
        <w:t xml:space="preserve"> be by summons in chambers;</w:t>
      </w:r>
    </w:p>
    <w:p w:rsidR="00425758" w:rsidRDefault="00425758">
      <w:pPr>
        <w:pStyle w:val="Indenta"/>
        <w:rPr>
          <w:snapToGrid w:val="0"/>
        </w:rPr>
      </w:pPr>
      <w:r>
        <w:rPr>
          <w:snapToGrid w:val="0"/>
        </w:rPr>
        <w:tab/>
        <w:t>(b)</w:t>
      </w:r>
      <w:r>
        <w:rPr>
          <w:snapToGrid w:val="0"/>
        </w:rPr>
        <w:tab/>
        <w:t xml:space="preserve">if made during the trial of an action or issue, </w:t>
      </w:r>
      <w:r>
        <w:t>must</w:t>
      </w:r>
      <w:r>
        <w:rPr>
          <w:snapToGrid w:val="0"/>
        </w:rPr>
        <w:t xml:space="preserve"> be to the trial judge on motion,</w:t>
      </w:r>
    </w:p>
    <w:p w:rsidR="00425758" w:rsidRDefault="00425758">
      <w:pPr>
        <w:pStyle w:val="Subsection"/>
        <w:rPr>
          <w:snapToGrid w:val="0"/>
        </w:rPr>
      </w:pPr>
      <w:r>
        <w:rPr>
          <w:snapToGrid w:val="0"/>
        </w:rPr>
        <w:tab/>
      </w:r>
      <w:r>
        <w:rPr>
          <w:snapToGrid w:val="0"/>
        </w:rPr>
        <w:tab/>
        <w:t xml:space="preserve">and </w:t>
      </w:r>
      <w:r>
        <w:t>must</w:t>
      </w:r>
      <w:r>
        <w:rPr>
          <w:snapToGrid w:val="0"/>
        </w:rPr>
        <w:t xml:space="preserve"> be supported by affidavit and by the opinion of an independent counsel; but the Court may dispense with the necessity of obtaining counsel’s opinion.</w:t>
      </w:r>
    </w:p>
    <w:p w:rsidR="00425758" w:rsidRDefault="00425758">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rsidR="00425758" w:rsidRDefault="00425758">
      <w:pPr>
        <w:pStyle w:val="Footnotesection"/>
      </w:pPr>
      <w:r>
        <w:tab/>
        <w:t xml:space="preserve">[Rule 10 inserted: Gazette 7 Oct 1977 p. 3602; amended: Gazette 29 Apr 2005 p. 1795; 28 Jun 2011 p. 2552; SL 2020/242 r. 9(24) and (25).] </w:t>
      </w:r>
    </w:p>
    <w:p w:rsidR="00425758" w:rsidRDefault="00425758">
      <w:pPr>
        <w:pStyle w:val="Heading5"/>
      </w:pPr>
      <w:bookmarkStart w:id="1126" w:name="_Toc75863715"/>
      <w:r>
        <w:rPr>
          <w:rStyle w:val="CharSectno"/>
        </w:rPr>
        <w:t>10A</w:t>
      </w:r>
      <w:r>
        <w:t>.</w:t>
      </w:r>
      <w:r>
        <w:tab/>
        <w:t>Settlement etc. of appeal by person under disability</w:t>
      </w:r>
      <w:bookmarkEnd w:id="1126"/>
    </w:p>
    <w:p w:rsidR="00425758" w:rsidRDefault="00425758">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rsidR="00425758" w:rsidRDefault="00425758">
      <w:pPr>
        <w:pStyle w:val="Footnotesection"/>
      </w:pPr>
      <w:r>
        <w:tab/>
        <w:t xml:space="preserve">[Rule 10A inserted: Gazette 29 Apr 2005 p. 1793.] </w:t>
      </w:r>
    </w:p>
    <w:p w:rsidR="00425758" w:rsidRDefault="00425758">
      <w:pPr>
        <w:pStyle w:val="Heading5"/>
        <w:rPr>
          <w:snapToGrid w:val="0"/>
        </w:rPr>
      </w:pPr>
      <w:bookmarkStart w:id="1127" w:name="_Toc75863716"/>
      <w:r>
        <w:rPr>
          <w:rStyle w:val="CharSectno"/>
        </w:rPr>
        <w:lastRenderedPageBreak/>
        <w:t>11</w:t>
      </w:r>
      <w:r>
        <w:rPr>
          <w:snapToGrid w:val="0"/>
        </w:rPr>
        <w:t>.</w:t>
      </w:r>
      <w:r>
        <w:rPr>
          <w:snapToGrid w:val="0"/>
        </w:rPr>
        <w:tab/>
        <w:t>Settlement etc. before action commenced</w:t>
      </w:r>
      <w:bookmarkEnd w:id="1127"/>
    </w:p>
    <w:p w:rsidR="00425758" w:rsidRDefault="00425758">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rsidR="00425758" w:rsidRDefault="00425758">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rsidR="00425758" w:rsidRDefault="00425758">
      <w:pPr>
        <w:pStyle w:val="Indenta"/>
        <w:rPr>
          <w:snapToGrid w:val="0"/>
        </w:rPr>
      </w:pPr>
      <w:r>
        <w:rPr>
          <w:snapToGrid w:val="0"/>
        </w:rPr>
        <w:tab/>
        <w:t>(b)</w:t>
      </w:r>
      <w:r>
        <w:rPr>
          <w:snapToGrid w:val="0"/>
        </w:rPr>
        <w:tab/>
        <w:t>alternatively, directions as to the further prosecution of the claim.</w:t>
      </w:r>
    </w:p>
    <w:p w:rsidR="00425758" w:rsidRDefault="00425758">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rsidR="00425758" w:rsidRDefault="00425758">
      <w:pPr>
        <w:pStyle w:val="Heading5"/>
        <w:rPr>
          <w:snapToGrid w:val="0"/>
        </w:rPr>
      </w:pPr>
      <w:bookmarkStart w:id="1128" w:name="_Toc75863717"/>
      <w:r>
        <w:rPr>
          <w:rStyle w:val="CharSectno"/>
        </w:rPr>
        <w:t>12</w:t>
      </w:r>
      <w:r>
        <w:rPr>
          <w:snapToGrid w:val="0"/>
        </w:rPr>
        <w:t>.</w:t>
      </w:r>
      <w:r>
        <w:rPr>
          <w:snapToGrid w:val="0"/>
        </w:rPr>
        <w:tab/>
        <w:t>Control of money recovered for person under disability</w:t>
      </w:r>
      <w:bookmarkEnd w:id="1128"/>
    </w:p>
    <w:p w:rsidR="00425758" w:rsidRDefault="00425758">
      <w:pPr>
        <w:pStyle w:val="Subsection"/>
        <w:rPr>
          <w:snapToGrid w:val="0"/>
        </w:rPr>
      </w:pPr>
      <w:r>
        <w:rPr>
          <w:snapToGrid w:val="0"/>
        </w:rPr>
        <w:tab/>
        <w:t>(1)</w:t>
      </w:r>
      <w:r>
        <w:rPr>
          <w:snapToGrid w:val="0"/>
        </w:rPr>
        <w:tab/>
        <w:t>Where — </w:t>
      </w:r>
    </w:p>
    <w:p w:rsidR="00425758" w:rsidRDefault="00425758">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rsidR="00425758" w:rsidRDefault="00425758">
      <w:pPr>
        <w:pStyle w:val="Indenta"/>
        <w:rPr>
          <w:snapToGrid w:val="0"/>
        </w:rPr>
      </w:pPr>
      <w:r>
        <w:rPr>
          <w:snapToGrid w:val="0"/>
        </w:rPr>
        <w:tab/>
        <w:t>(b)</w:t>
      </w:r>
      <w:r>
        <w:rPr>
          <w:snapToGrid w:val="0"/>
        </w:rPr>
        <w:tab/>
        <w:t>in any proceedings money paid into court is accepted by or on behalf of a plaintiff who is a person under disability; or</w:t>
      </w:r>
    </w:p>
    <w:p w:rsidR="00425758" w:rsidRDefault="00425758">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rsidR="00425758" w:rsidRDefault="00425758">
      <w:pPr>
        <w:pStyle w:val="Subsection"/>
        <w:rPr>
          <w:snapToGrid w:val="0"/>
        </w:rPr>
      </w:pPr>
      <w:r>
        <w:rPr>
          <w:snapToGrid w:val="0"/>
        </w:rPr>
        <w:lastRenderedPageBreak/>
        <w:tab/>
      </w:r>
      <w:r>
        <w:rPr>
          <w:snapToGrid w:val="0"/>
        </w:rPr>
        <w:tab/>
        <w:t xml:space="preserve">the money </w:t>
      </w:r>
      <w:r>
        <w:t xml:space="preserve">must, </w:t>
      </w:r>
      <w:r>
        <w:rPr>
          <w:snapToGrid w:val="0"/>
        </w:rPr>
        <w:t>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rsidR="00425758" w:rsidRDefault="00425758">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rsidR="00425758" w:rsidRDefault="00425758">
      <w:pPr>
        <w:pStyle w:val="Footnotesection"/>
      </w:pPr>
      <w:r>
        <w:tab/>
        <w:t>[Rule 12 amended: Gazette 12 Jun 2012 p. 2452; SL 2020/242 r. 9(26).]</w:t>
      </w:r>
    </w:p>
    <w:p w:rsidR="00425758" w:rsidRDefault="00425758">
      <w:pPr>
        <w:pStyle w:val="Heading5"/>
        <w:rPr>
          <w:snapToGrid w:val="0"/>
        </w:rPr>
      </w:pPr>
      <w:bookmarkStart w:id="1129" w:name="_Toc75863718"/>
      <w:r>
        <w:rPr>
          <w:rStyle w:val="CharSectno"/>
        </w:rPr>
        <w:t>13</w:t>
      </w:r>
      <w:r>
        <w:rPr>
          <w:snapToGrid w:val="0"/>
        </w:rPr>
        <w:t>.</w:t>
      </w:r>
      <w:r>
        <w:rPr>
          <w:snapToGrid w:val="0"/>
        </w:rPr>
        <w:tab/>
        <w:t>Personal service on person under disability</w:t>
      </w:r>
      <w:bookmarkEnd w:id="1129"/>
    </w:p>
    <w:p w:rsidR="00425758" w:rsidRDefault="00425758">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rsidR="00425758" w:rsidRDefault="00425758">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rsidR="00425758" w:rsidRDefault="00425758">
      <w:pPr>
        <w:pStyle w:val="Subsection"/>
        <w:rPr>
          <w:snapToGrid w:val="0"/>
        </w:rPr>
      </w:pPr>
      <w:r>
        <w:tab/>
        <w:t>(3)</w:t>
      </w:r>
      <w:r>
        <w:tab/>
        <w:t xml:space="preserve">If the person to be served is a person under disability only because of infancy and has </w:t>
      </w:r>
      <w:r>
        <w:rPr>
          <w:snapToGrid w:val="0"/>
        </w:rPr>
        <w:t xml:space="preserve">no next friend or guardian </w:t>
      </w:r>
      <w:r>
        <w:rPr>
          <w:i/>
          <w:snapToGrid w:val="0"/>
        </w:rPr>
        <w:t>ad litem</w:t>
      </w:r>
      <w:r>
        <w:rPr>
          <w:snapToGrid w:val="0"/>
        </w:rPr>
        <w:t xml:space="preserve"> in the proceedings, the document may be served — </w:t>
      </w:r>
    </w:p>
    <w:p w:rsidR="00425758" w:rsidRDefault="00425758">
      <w:pPr>
        <w:pStyle w:val="Indenta"/>
      </w:pPr>
      <w:r>
        <w:tab/>
        <w:t>(a)</w:t>
      </w:r>
      <w:r>
        <w:tab/>
        <w:t>if the person is aged 16 years or upwards, on the person; or</w:t>
      </w:r>
    </w:p>
    <w:p w:rsidR="00425758" w:rsidRDefault="00425758">
      <w:pPr>
        <w:pStyle w:val="Indenta"/>
      </w:pPr>
      <w:r>
        <w:tab/>
        <w:t>(b)</w:t>
      </w:r>
      <w:r>
        <w:tab/>
        <w:t>on one of the person’s parents or the person’s guardian; or</w:t>
      </w:r>
    </w:p>
    <w:p w:rsidR="00425758" w:rsidRDefault="00425758">
      <w:pPr>
        <w:pStyle w:val="Indenta"/>
      </w:pPr>
      <w:r>
        <w:tab/>
        <w:t>(c)</w:t>
      </w:r>
      <w:r>
        <w:tab/>
        <w:t>if the person has no parent or guardian, on the person with whom the person resides or in whose care the person is.</w:t>
      </w:r>
    </w:p>
    <w:p w:rsidR="00425758" w:rsidRDefault="00425758">
      <w:pPr>
        <w:pStyle w:val="Subsection"/>
      </w:pPr>
      <w:r>
        <w:lastRenderedPageBreak/>
        <w:tab/>
        <w:t>(4)</w:t>
      </w:r>
      <w:r>
        <w:tab/>
        <w:t xml:space="preserve">If the person to be served is a represented person as defined in the GAA Act section 3(1) and has no next friend or guardian </w:t>
      </w:r>
      <w:r>
        <w:rPr>
          <w:i/>
        </w:rPr>
        <w:t>ad litem</w:t>
      </w:r>
      <w:r>
        <w:t xml:space="preserve"> in the proceedings, the document may be served — </w:t>
      </w:r>
    </w:p>
    <w:p w:rsidR="00425758" w:rsidRDefault="00425758">
      <w:pPr>
        <w:pStyle w:val="Indenta"/>
        <w:rPr>
          <w:snapToGrid w:val="0"/>
        </w:rPr>
      </w:pPr>
      <w:r>
        <w:rPr>
          <w:snapToGrid w:val="0"/>
        </w:rPr>
        <w:tab/>
        <w:t>(a)</w:t>
      </w:r>
      <w:r>
        <w:rPr>
          <w:snapToGrid w:val="0"/>
        </w:rPr>
        <w:tab/>
        <w:t xml:space="preserve">on the Public Trustee if the person is a represented person as defined in the </w:t>
      </w:r>
      <w:r>
        <w:rPr>
          <w:i/>
          <w:snapToGrid w:val="0"/>
        </w:rPr>
        <w:t>Public Trustee Act 1941</w:t>
      </w:r>
      <w:r>
        <w:rPr>
          <w:snapToGrid w:val="0"/>
        </w:rPr>
        <w:t xml:space="preserve"> section 2; or</w:t>
      </w:r>
    </w:p>
    <w:p w:rsidR="00425758" w:rsidRDefault="00425758">
      <w:pPr>
        <w:pStyle w:val="Indenta"/>
      </w:pPr>
      <w:r>
        <w:tab/>
        <w:t>(b)</w:t>
      </w:r>
      <w:r>
        <w:tab/>
        <w:t>on the person with whom the represented person resides or in whose care the person is.</w:t>
      </w:r>
    </w:p>
    <w:p w:rsidR="00425758" w:rsidRDefault="00425758">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w:t>
      </w:r>
      <w:r>
        <w:t>is taken</w:t>
      </w:r>
      <w:r>
        <w:rPr>
          <w:snapToGrid w:val="0"/>
        </w:rPr>
        <w:t xml:space="preserve"> to be duly served on the person under disability.</w:t>
      </w:r>
    </w:p>
    <w:p w:rsidR="00425758" w:rsidRDefault="00425758">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rsidR="00425758" w:rsidRDefault="00425758">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xml:space="preserve"> (2) to (5), be served personally on </w:t>
      </w:r>
      <w:r>
        <w:t xml:space="preserve">the person, </w:t>
      </w:r>
      <w:r>
        <w:rPr>
          <w:snapToGrid w:val="0"/>
        </w:rPr>
        <w:t>unless the Court otherwise orders.</w:t>
      </w:r>
    </w:p>
    <w:p w:rsidR="00425758" w:rsidRDefault="00425758">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rsidR="00425758" w:rsidRDefault="00425758">
      <w:pPr>
        <w:pStyle w:val="Footnotesection"/>
      </w:pPr>
      <w:r>
        <w:tab/>
        <w:t>[Rule 13 amended: Gazette 15 Jun 1973 p. 2250; 22 Jul 1994 p. 3748; 21 Feb 2007 p. 576; 28 Jun 2011 p. 2552</w:t>
      </w:r>
      <w:r>
        <w:noBreakHyphen/>
        <w:t xml:space="preserve">3 and 2555; SL 2020/242 r. 9(27)-(30).] </w:t>
      </w:r>
    </w:p>
    <w:p w:rsidR="00425758" w:rsidRDefault="00425758">
      <w:pPr>
        <w:pStyle w:val="Heading2"/>
        <w:rPr>
          <w:b w:val="0"/>
        </w:rPr>
      </w:pPr>
      <w:bookmarkStart w:id="1130" w:name="_Toc75512623"/>
      <w:bookmarkStart w:id="1131" w:name="_Toc75863719"/>
      <w:r>
        <w:rPr>
          <w:rStyle w:val="CharPartNo"/>
        </w:rPr>
        <w:lastRenderedPageBreak/>
        <w:t>Order 71</w:t>
      </w:r>
      <w:r>
        <w:rPr>
          <w:rStyle w:val="CharDivNo"/>
        </w:rPr>
        <w:t> </w:t>
      </w:r>
      <w:r>
        <w:t>—</w:t>
      </w:r>
      <w:r>
        <w:rPr>
          <w:rStyle w:val="CharDivText"/>
        </w:rPr>
        <w:t> </w:t>
      </w:r>
      <w:r>
        <w:rPr>
          <w:rStyle w:val="CharPartText"/>
        </w:rPr>
        <w:t>Partners, business names</w:t>
      </w:r>
      <w:bookmarkEnd w:id="1130"/>
      <w:bookmarkEnd w:id="1131"/>
    </w:p>
    <w:p w:rsidR="00425758" w:rsidRDefault="00425758">
      <w:pPr>
        <w:pStyle w:val="Heading5"/>
        <w:rPr>
          <w:snapToGrid w:val="0"/>
        </w:rPr>
      </w:pPr>
      <w:bookmarkStart w:id="1132" w:name="_Toc75863720"/>
      <w:r>
        <w:rPr>
          <w:rStyle w:val="CharSectno"/>
        </w:rPr>
        <w:t>1</w:t>
      </w:r>
      <w:r>
        <w:rPr>
          <w:snapToGrid w:val="0"/>
        </w:rPr>
        <w:t>.</w:t>
      </w:r>
      <w:r>
        <w:rPr>
          <w:snapToGrid w:val="0"/>
        </w:rPr>
        <w:tab/>
        <w:t>Partners may sue or be sued in name of firm</w:t>
      </w:r>
      <w:bookmarkEnd w:id="1132"/>
    </w:p>
    <w:p w:rsidR="00425758" w:rsidRDefault="00425758">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rsidR="00425758" w:rsidRDefault="00425758">
      <w:pPr>
        <w:pStyle w:val="Heading5"/>
        <w:rPr>
          <w:snapToGrid w:val="0"/>
        </w:rPr>
      </w:pPr>
      <w:bookmarkStart w:id="1133" w:name="_Toc75863721"/>
      <w:r>
        <w:rPr>
          <w:rStyle w:val="CharSectno"/>
        </w:rPr>
        <w:t>2</w:t>
      </w:r>
      <w:r>
        <w:rPr>
          <w:snapToGrid w:val="0"/>
        </w:rPr>
        <w:t>.</w:t>
      </w:r>
      <w:r>
        <w:rPr>
          <w:snapToGrid w:val="0"/>
        </w:rPr>
        <w:tab/>
        <w:t>Disclosure of partners’ names</w:t>
      </w:r>
      <w:bookmarkEnd w:id="1133"/>
    </w:p>
    <w:p w:rsidR="00425758" w:rsidRDefault="00425758">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rsidR="00425758" w:rsidRDefault="00425758">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rsidR="00425758" w:rsidRDefault="00425758">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rsidR="00425758" w:rsidRDefault="00425758">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xml:space="preserve">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w:t>
      </w:r>
      <w:r>
        <w:rPr>
          <w:snapToGrid w:val="0"/>
        </w:rPr>
        <w:lastRenderedPageBreak/>
        <w:t>power to the Court to strike out any defence by the firm in its firm name.</w:t>
      </w:r>
    </w:p>
    <w:p w:rsidR="00425758" w:rsidRDefault="00425758">
      <w:pPr>
        <w:pStyle w:val="Footnotesection"/>
      </w:pPr>
      <w:r>
        <w:tab/>
        <w:t>[Rule 2 amended: Gazette 28 Jun 2011 p. 2552</w:t>
      </w:r>
      <w:r>
        <w:noBreakHyphen/>
        <w:t>3.]</w:t>
      </w:r>
    </w:p>
    <w:p w:rsidR="00425758" w:rsidRDefault="00425758">
      <w:pPr>
        <w:pStyle w:val="Heading5"/>
        <w:rPr>
          <w:snapToGrid w:val="0"/>
        </w:rPr>
      </w:pPr>
      <w:bookmarkStart w:id="1134" w:name="_Toc75863722"/>
      <w:r>
        <w:rPr>
          <w:rStyle w:val="CharSectno"/>
        </w:rPr>
        <w:t>3</w:t>
      </w:r>
      <w:r>
        <w:rPr>
          <w:snapToGrid w:val="0"/>
        </w:rPr>
        <w:t>.</w:t>
      </w:r>
      <w:r>
        <w:rPr>
          <w:snapToGrid w:val="0"/>
        </w:rPr>
        <w:tab/>
        <w:t>Service on firm</w:t>
      </w:r>
      <w:bookmarkEnd w:id="1134"/>
    </w:p>
    <w:p w:rsidR="00425758" w:rsidRDefault="00425758">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rsidR="00425758" w:rsidRDefault="00425758">
      <w:pPr>
        <w:pStyle w:val="Indenta"/>
        <w:rPr>
          <w:snapToGrid w:val="0"/>
        </w:rPr>
      </w:pPr>
      <w:r>
        <w:rPr>
          <w:snapToGrid w:val="0"/>
        </w:rPr>
        <w:tab/>
        <w:t>(a)</w:t>
      </w:r>
      <w:r>
        <w:rPr>
          <w:snapToGrid w:val="0"/>
        </w:rPr>
        <w:tab/>
        <w:t>on any one or more of the partners; or</w:t>
      </w:r>
    </w:p>
    <w:p w:rsidR="00425758" w:rsidRDefault="00425758">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rsidR="00425758" w:rsidRDefault="00425758">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rsidR="00425758" w:rsidRDefault="00425758">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rsidR="00425758" w:rsidRDefault="00425758">
      <w:pPr>
        <w:pStyle w:val="Footnotesection"/>
      </w:pPr>
      <w:r>
        <w:tab/>
        <w:t>[Rule 3 amended: Gazette 28 Jun 2011 p. 2552.]</w:t>
      </w:r>
    </w:p>
    <w:p w:rsidR="00425758" w:rsidRDefault="00425758">
      <w:pPr>
        <w:pStyle w:val="Heading5"/>
        <w:rPr>
          <w:snapToGrid w:val="0"/>
        </w:rPr>
      </w:pPr>
      <w:bookmarkStart w:id="1135" w:name="_Toc75863723"/>
      <w:r>
        <w:rPr>
          <w:rStyle w:val="CharSectno"/>
        </w:rPr>
        <w:t>4</w:t>
      </w:r>
      <w:r>
        <w:rPr>
          <w:snapToGrid w:val="0"/>
        </w:rPr>
        <w:t>.</w:t>
      </w:r>
      <w:r>
        <w:rPr>
          <w:snapToGrid w:val="0"/>
        </w:rPr>
        <w:tab/>
        <w:t>Person served under r. 3 to be notified of character in which he is served</w:t>
      </w:r>
      <w:bookmarkEnd w:id="1135"/>
    </w:p>
    <w:p w:rsidR="00425758" w:rsidRDefault="00425758">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rsidR="00425758" w:rsidRDefault="00425758">
      <w:pPr>
        <w:pStyle w:val="Heading5"/>
        <w:rPr>
          <w:snapToGrid w:val="0"/>
        </w:rPr>
      </w:pPr>
      <w:bookmarkStart w:id="1136" w:name="_Toc75863724"/>
      <w:r>
        <w:rPr>
          <w:rStyle w:val="CharSectno"/>
        </w:rPr>
        <w:lastRenderedPageBreak/>
        <w:t>5</w:t>
      </w:r>
      <w:r>
        <w:rPr>
          <w:snapToGrid w:val="0"/>
        </w:rPr>
        <w:t>.</w:t>
      </w:r>
      <w:r>
        <w:rPr>
          <w:snapToGrid w:val="0"/>
        </w:rPr>
        <w:tab/>
        <w:t>Appearance of partners</w:t>
      </w:r>
      <w:bookmarkEnd w:id="1136"/>
    </w:p>
    <w:p w:rsidR="00425758" w:rsidRDefault="00425758">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rsidR="00425758" w:rsidRDefault="00425758">
      <w:pPr>
        <w:pStyle w:val="Heading5"/>
        <w:rPr>
          <w:snapToGrid w:val="0"/>
        </w:rPr>
      </w:pPr>
      <w:bookmarkStart w:id="1137" w:name="_Toc75863725"/>
      <w:r>
        <w:rPr>
          <w:rStyle w:val="CharSectno"/>
        </w:rPr>
        <w:t>6</w:t>
      </w:r>
      <w:r>
        <w:rPr>
          <w:snapToGrid w:val="0"/>
        </w:rPr>
        <w:t>.</w:t>
      </w:r>
      <w:r>
        <w:rPr>
          <w:snapToGrid w:val="0"/>
        </w:rPr>
        <w:tab/>
        <w:t>No appearance except by partners</w:t>
      </w:r>
      <w:bookmarkEnd w:id="1137"/>
    </w:p>
    <w:p w:rsidR="00425758" w:rsidRDefault="00425758">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rsidR="00425758" w:rsidRDefault="00425758">
      <w:pPr>
        <w:pStyle w:val="Heading5"/>
        <w:rPr>
          <w:snapToGrid w:val="0"/>
        </w:rPr>
      </w:pPr>
      <w:bookmarkStart w:id="1138" w:name="_Toc75863726"/>
      <w:r>
        <w:rPr>
          <w:rStyle w:val="CharSectno"/>
        </w:rPr>
        <w:t>7</w:t>
      </w:r>
      <w:r>
        <w:rPr>
          <w:snapToGrid w:val="0"/>
        </w:rPr>
        <w:t>.</w:t>
      </w:r>
      <w:r>
        <w:rPr>
          <w:snapToGrid w:val="0"/>
        </w:rPr>
        <w:tab/>
        <w:t>Appearance under protest of person served as partner</w:t>
      </w:r>
      <w:bookmarkEnd w:id="1138"/>
    </w:p>
    <w:p w:rsidR="00425758" w:rsidRDefault="00425758">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rsidR="00425758" w:rsidRDefault="00425758">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rsidR="00425758" w:rsidRDefault="00425758">
      <w:pPr>
        <w:pStyle w:val="Subsection"/>
        <w:rPr>
          <w:snapToGrid w:val="0"/>
        </w:rPr>
      </w:pPr>
      <w:r>
        <w:rPr>
          <w:snapToGrid w:val="0"/>
        </w:rPr>
        <w:tab/>
        <w:t>(3)</w:t>
      </w:r>
      <w:r>
        <w:rPr>
          <w:snapToGrid w:val="0"/>
        </w:rPr>
        <w:tab/>
        <w:t>Where an appearance to which this rule applies is entered — </w:t>
      </w:r>
    </w:p>
    <w:p w:rsidR="00425758" w:rsidRDefault="00425758">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rsidR="00425758" w:rsidRDefault="00425758">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rsidR="00425758" w:rsidRDefault="00425758">
      <w:pPr>
        <w:pStyle w:val="Subsection"/>
        <w:rPr>
          <w:snapToGrid w:val="0"/>
        </w:rPr>
      </w:pPr>
      <w:r>
        <w:rPr>
          <w:snapToGrid w:val="0"/>
        </w:rPr>
        <w:lastRenderedPageBreak/>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rsidR="00425758" w:rsidRDefault="00425758">
      <w:pPr>
        <w:pStyle w:val="Footnotesection"/>
      </w:pPr>
      <w:r>
        <w:tab/>
        <w:t>[Rule 7 amended: Gazette 28 Jun 2011 p. 2552.]</w:t>
      </w:r>
    </w:p>
    <w:p w:rsidR="00425758" w:rsidRDefault="00425758">
      <w:pPr>
        <w:pStyle w:val="Ednotesection"/>
      </w:pPr>
      <w:r>
        <w:t>[</w:t>
      </w:r>
      <w:r>
        <w:rPr>
          <w:b/>
          <w:bCs/>
        </w:rPr>
        <w:t>8.</w:t>
      </w:r>
      <w:r>
        <w:tab/>
        <w:t>Deleted: Gazette 22 Feb 2008 p. 641.]</w:t>
      </w:r>
    </w:p>
    <w:p w:rsidR="00425758" w:rsidRDefault="00425758">
      <w:pPr>
        <w:pStyle w:val="Heading5"/>
      </w:pPr>
      <w:bookmarkStart w:id="1139" w:name="_Toc75863727"/>
      <w:r>
        <w:rPr>
          <w:rStyle w:val="CharSectno"/>
        </w:rPr>
        <w:t>9</w:t>
      </w:r>
      <w:r>
        <w:t>.</w:t>
      </w:r>
      <w:r>
        <w:tab/>
        <w:t>Rules 1 to 7 apply also to some actions between firm and its members etc.</w:t>
      </w:r>
      <w:bookmarkEnd w:id="1139"/>
    </w:p>
    <w:p w:rsidR="00425758" w:rsidRDefault="00425758">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rsidR="00425758" w:rsidRDefault="00425758">
      <w:pPr>
        <w:pStyle w:val="Footnotesection"/>
      </w:pPr>
      <w:r>
        <w:tab/>
        <w:t>[Rule 9 inserted: Gazette 22 Feb 2008 p. 642.]</w:t>
      </w:r>
    </w:p>
    <w:p w:rsidR="00425758" w:rsidRDefault="00425758">
      <w:pPr>
        <w:pStyle w:val="Ednotesection"/>
      </w:pPr>
      <w:r>
        <w:t>[</w:t>
      </w:r>
      <w:r>
        <w:rPr>
          <w:b/>
          <w:bCs/>
        </w:rPr>
        <w:t>10.</w:t>
      </w:r>
      <w:r>
        <w:tab/>
        <w:t>Deleted: Gazette 22 Feb 2008 p. 642.]</w:t>
      </w:r>
    </w:p>
    <w:p w:rsidR="00425758" w:rsidRDefault="00425758">
      <w:pPr>
        <w:pStyle w:val="Heading5"/>
        <w:rPr>
          <w:snapToGrid w:val="0"/>
        </w:rPr>
      </w:pPr>
      <w:bookmarkStart w:id="1140" w:name="_Toc75863728"/>
      <w:r>
        <w:rPr>
          <w:rStyle w:val="CharSectno"/>
        </w:rPr>
        <w:t>11</w:t>
      </w:r>
      <w:r>
        <w:rPr>
          <w:snapToGrid w:val="0"/>
        </w:rPr>
        <w:t>.</w:t>
      </w:r>
      <w:r>
        <w:rPr>
          <w:snapToGrid w:val="0"/>
        </w:rPr>
        <w:tab/>
        <w:t>Rules 2 to 9 apply to proceedings begun by originating summons</w:t>
      </w:r>
      <w:bookmarkEnd w:id="1140"/>
    </w:p>
    <w:p w:rsidR="00425758" w:rsidRDefault="00425758">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rsidR="00425758" w:rsidRDefault="00425758">
      <w:pPr>
        <w:pStyle w:val="Footnotesection"/>
      </w:pPr>
      <w:r>
        <w:tab/>
        <w:t xml:space="preserve">[Rule 11 amended: Gazette 22 Feb 2008 p. 642.] </w:t>
      </w:r>
    </w:p>
    <w:p w:rsidR="00425758" w:rsidRDefault="00425758">
      <w:pPr>
        <w:pStyle w:val="Heading5"/>
        <w:rPr>
          <w:snapToGrid w:val="0"/>
        </w:rPr>
      </w:pPr>
      <w:bookmarkStart w:id="1141" w:name="_Toc75863729"/>
      <w:r>
        <w:rPr>
          <w:rStyle w:val="CharSectno"/>
        </w:rPr>
        <w:t>12</w:t>
      </w:r>
      <w:r>
        <w:rPr>
          <w:snapToGrid w:val="0"/>
        </w:rPr>
        <w:t>.</w:t>
      </w:r>
      <w:r>
        <w:rPr>
          <w:snapToGrid w:val="0"/>
        </w:rPr>
        <w:tab/>
        <w:t>Application to person using business name</w:t>
      </w:r>
      <w:bookmarkEnd w:id="1141"/>
    </w:p>
    <w:p w:rsidR="00425758" w:rsidRDefault="00425758">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rsidR="00425758" w:rsidRDefault="00425758">
      <w:pPr>
        <w:pStyle w:val="Heading5"/>
        <w:rPr>
          <w:snapToGrid w:val="0"/>
        </w:rPr>
      </w:pPr>
      <w:bookmarkStart w:id="1142" w:name="_Toc75863730"/>
      <w:r>
        <w:rPr>
          <w:rStyle w:val="CharSectno"/>
        </w:rPr>
        <w:lastRenderedPageBreak/>
        <w:t>13</w:t>
      </w:r>
      <w:r>
        <w:rPr>
          <w:snapToGrid w:val="0"/>
        </w:rPr>
        <w:t>.</w:t>
      </w:r>
      <w:r>
        <w:rPr>
          <w:snapToGrid w:val="0"/>
        </w:rPr>
        <w:tab/>
        <w:t>Application to charge partner’s interest in partnership etc.</w:t>
      </w:r>
      <w:bookmarkEnd w:id="1142"/>
    </w:p>
    <w:p w:rsidR="00425758" w:rsidRDefault="00425758">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3</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rsidR="00425758" w:rsidRDefault="00425758">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rsidR="00425758" w:rsidRDefault="00425758">
      <w:pPr>
        <w:pStyle w:val="Subsection"/>
        <w:rPr>
          <w:snapToGrid w:val="0"/>
        </w:rPr>
      </w:pPr>
      <w:r>
        <w:rPr>
          <w:snapToGrid w:val="0"/>
        </w:rPr>
        <w:tab/>
        <w:t>(3)</w:t>
      </w:r>
      <w:r>
        <w:rPr>
          <w:snapToGrid w:val="0"/>
        </w:rPr>
        <w:tab/>
        <w:t>A summons issued by a partner of a judgment debtor under this rule and an order made on such summons must be served — </w:t>
      </w:r>
    </w:p>
    <w:p w:rsidR="00425758" w:rsidRDefault="00425758">
      <w:pPr>
        <w:pStyle w:val="Indenta"/>
        <w:rPr>
          <w:snapToGrid w:val="0"/>
        </w:rPr>
      </w:pPr>
      <w:r>
        <w:rPr>
          <w:snapToGrid w:val="0"/>
        </w:rPr>
        <w:tab/>
        <w:t>(a)</w:t>
      </w:r>
      <w:r>
        <w:rPr>
          <w:snapToGrid w:val="0"/>
        </w:rPr>
        <w:tab/>
        <w:t>on the judgment creditor; and</w:t>
      </w:r>
    </w:p>
    <w:p w:rsidR="00425758" w:rsidRDefault="00425758">
      <w:pPr>
        <w:pStyle w:val="Indenta"/>
        <w:rPr>
          <w:snapToGrid w:val="0"/>
        </w:rPr>
      </w:pPr>
      <w:r>
        <w:rPr>
          <w:snapToGrid w:val="0"/>
        </w:rPr>
        <w:tab/>
        <w:t>(b)</w:t>
      </w:r>
      <w:r>
        <w:rPr>
          <w:snapToGrid w:val="0"/>
        </w:rPr>
        <w:tab/>
        <w:t>on the judgment debtor; and</w:t>
      </w:r>
    </w:p>
    <w:p w:rsidR="00425758" w:rsidRDefault="00425758">
      <w:pPr>
        <w:pStyle w:val="Indenta"/>
        <w:rPr>
          <w:snapToGrid w:val="0"/>
        </w:rPr>
      </w:pPr>
      <w:r>
        <w:rPr>
          <w:snapToGrid w:val="0"/>
        </w:rPr>
        <w:tab/>
        <w:t>(c)</w:t>
      </w:r>
      <w:r>
        <w:rPr>
          <w:snapToGrid w:val="0"/>
        </w:rPr>
        <w:tab/>
        <w:t>on such of the other partners of the judgment debtor as do not join in the application and are within the jurisdiction.</w:t>
      </w:r>
    </w:p>
    <w:p w:rsidR="00425758" w:rsidRDefault="00425758">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rsidR="00425758" w:rsidRDefault="00425758">
      <w:pPr>
        <w:pStyle w:val="Heading2"/>
      </w:pPr>
      <w:bookmarkStart w:id="1143" w:name="_Toc75512635"/>
      <w:bookmarkStart w:id="1144" w:name="_Toc75863731"/>
      <w:r>
        <w:rPr>
          <w:rStyle w:val="CharPartNo"/>
        </w:rPr>
        <w:lastRenderedPageBreak/>
        <w:t>Order 71A</w:t>
      </w:r>
      <w:r>
        <w:rPr>
          <w:b w:val="0"/>
        </w:rPr>
        <w:t> </w:t>
      </w:r>
      <w:r>
        <w:t>—</w:t>
      </w:r>
      <w:r>
        <w:rPr>
          <w:b w:val="0"/>
        </w:rPr>
        <w:t> </w:t>
      </w:r>
      <w:r>
        <w:rPr>
          <w:rStyle w:val="CharPartText"/>
        </w:rPr>
        <w:t>Contact details of parties and others</w:t>
      </w:r>
      <w:bookmarkEnd w:id="1143"/>
      <w:bookmarkEnd w:id="1144"/>
    </w:p>
    <w:p w:rsidR="00425758" w:rsidRDefault="00425758">
      <w:pPr>
        <w:pStyle w:val="Footnoteheading"/>
      </w:pPr>
      <w:r>
        <w:tab/>
        <w:t>[Heading inserted: Gazette 21 Feb 2007 p. 576.]</w:t>
      </w:r>
    </w:p>
    <w:p w:rsidR="00425758" w:rsidRDefault="00425758">
      <w:pPr>
        <w:pStyle w:val="Heading5"/>
      </w:pPr>
      <w:bookmarkStart w:id="1145" w:name="_Toc75863732"/>
      <w:r>
        <w:rPr>
          <w:rStyle w:val="CharSectno"/>
        </w:rPr>
        <w:t>1</w:t>
      </w:r>
      <w:r>
        <w:t>.</w:t>
      </w:r>
      <w:r>
        <w:tab/>
        <w:t>Addresses of places, requirements for</w:t>
      </w:r>
      <w:bookmarkEnd w:id="1145"/>
    </w:p>
    <w:p w:rsidR="00425758" w:rsidRDefault="00425758">
      <w:pPr>
        <w:pStyle w:val="Subsection"/>
      </w:pPr>
      <w:r>
        <w:tab/>
        <w:t>(1)</w:t>
      </w:r>
      <w:r>
        <w:tab/>
        <w:t>The address of a place stated under this Order must contain enough information to enable an individual to go to the place.</w:t>
      </w:r>
    </w:p>
    <w:p w:rsidR="00425758" w:rsidRDefault="00425758">
      <w:pPr>
        <w:pStyle w:val="Subsection"/>
      </w:pPr>
      <w:r>
        <w:tab/>
        <w:t>(2)</w:t>
      </w:r>
      <w:r>
        <w:tab/>
        <w:t>For the purposes of, but without limiting, subrule (1) —</w:t>
      </w:r>
    </w:p>
    <w:p w:rsidR="00425758" w:rsidRDefault="00425758">
      <w:pPr>
        <w:pStyle w:val="Indenta"/>
      </w:pPr>
      <w:r>
        <w:tab/>
        <w:t>(a)</w:t>
      </w:r>
      <w:r>
        <w:tab/>
        <w:t>the information must include any floor or level number, and any room, flat, suite or apartment number, necessary to enable an individual to go to the place;</w:t>
      </w:r>
    </w:p>
    <w:p w:rsidR="00425758" w:rsidRDefault="00425758">
      <w:pPr>
        <w:pStyle w:val="Indenta"/>
      </w:pPr>
      <w:r>
        <w:tab/>
        <w:t>(b)</w:t>
      </w:r>
      <w:r>
        <w:tab/>
        <w:t>a post box number or road mail box or bag number is not enough information.</w:t>
      </w:r>
    </w:p>
    <w:p w:rsidR="00425758" w:rsidRDefault="00425758">
      <w:pPr>
        <w:pStyle w:val="Footnotesection"/>
      </w:pPr>
      <w:r>
        <w:tab/>
        <w:t>[Rule 1 inserted: Gazette 21 Feb 2007 p. 576.]</w:t>
      </w:r>
    </w:p>
    <w:p w:rsidR="00425758" w:rsidRDefault="00425758">
      <w:pPr>
        <w:pStyle w:val="Heading5"/>
      </w:pPr>
      <w:bookmarkStart w:id="1146" w:name="_Toc75863733"/>
      <w:r>
        <w:rPr>
          <w:rStyle w:val="CharSectno"/>
        </w:rPr>
        <w:t>2</w:t>
      </w:r>
      <w:r>
        <w:t>.</w:t>
      </w:r>
      <w:r>
        <w:tab/>
        <w:t>Geographical addresses</w:t>
      </w:r>
      <w:bookmarkEnd w:id="1146"/>
    </w:p>
    <w:p w:rsidR="00425758" w:rsidRDefault="00425758">
      <w:pPr>
        <w:pStyle w:val="Subsection"/>
      </w:pPr>
      <w:r>
        <w:tab/>
      </w:r>
      <w:r>
        <w:tab/>
        <w:t xml:space="preserve">For the purposes of these rules the geographical address of a person is — </w:t>
      </w:r>
    </w:p>
    <w:p w:rsidR="00425758" w:rsidRDefault="00425758">
      <w:pPr>
        <w:pStyle w:val="Indenta"/>
      </w:pPr>
      <w:r>
        <w:tab/>
        <w:t>(a)</w:t>
      </w:r>
      <w:r>
        <w:tab/>
        <w:t>if the person is an individual —</w:t>
      </w:r>
    </w:p>
    <w:p w:rsidR="00425758" w:rsidRDefault="00425758">
      <w:pPr>
        <w:pStyle w:val="Indenti"/>
      </w:pPr>
      <w:r>
        <w:tab/>
        <w:t>(i)</w:t>
      </w:r>
      <w:r>
        <w:tab/>
        <w:t>the address of the place where he or she usually lives; or</w:t>
      </w:r>
    </w:p>
    <w:p w:rsidR="00425758" w:rsidRDefault="00425758">
      <w:pPr>
        <w:pStyle w:val="Indenti"/>
      </w:pPr>
      <w:r>
        <w:tab/>
        <w:t>(ii)</w:t>
      </w:r>
      <w:r>
        <w:tab/>
        <w:t>if the person has no such address, the address of the place where he or she usually works;</w:t>
      </w:r>
    </w:p>
    <w:p w:rsidR="00425758" w:rsidRDefault="00425758">
      <w:pPr>
        <w:pStyle w:val="Indenta"/>
      </w:pPr>
      <w:r>
        <w:tab/>
        <w:t>(b)</w:t>
      </w:r>
      <w:r>
        <w:tab/>
        <w:t>if the person is a partnership, the address of the place that is the partnership’s main place of business;</w:t>
      </w:r>
    </w:p>
    <w:p w:rsidR="00425758" w:rsidRDefault="00425758">
      <w:pPr>
        <w:pStyle w:val="Indenta"/>
      </w:pPr>
      <w:r>
        <w:tab/>
        <w:t>(c)</w:t>
      </w:r>
      <w:r>
        <w:tab/>
        <w:t>if the person is a body corporate —</w:t>
      </w:r>
    </w:p>
    <w:p w:rsidR="00425758" w:rsidRDefault="00425758">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rsidR="00425758" w:rsidRDefault="00425758">
      <w:pPr>
        <w:pStyle w:val="Indenti"/>
      </w:pPr>
      <w:r>
        <w:tab/>
        <w:t>(ii)</w:t>
      </w:r>
      <w:r>
        <w:tab/>
        <w:t xml:space="preserve">if the body is incorporated under the </w:t>
      </w:r>
      <w:r>
        <w:rPr>
          <w:i/>
        </w:rPr>
        <w:t>Associations Incorporation Act 2015</w:t>
      </w:r>
      <w:r>
        <w:t xml:space="preserve"> — the address of the </w:t>
      </w:r>
      <w:r>
        <w:lastRenderedPageBreak/>
        <w:t>place where a member of the body’s committee usually lives;</w:t>
      </w:r>
    </w:p>
    <w:p w:rsidR="00425758" w:rsidRDefault="00425758">
      <w:pPr>
        <w:pStyle w:val="Indenti"/>
      </w:pPr>
      <w:r>
        <w:tab/>
        <w:t>(iii)</w:t>
      </w:r>
      <w:r>
        <w:tab/>
        <w:t>in any other case — the address of the place that is the body’s main place of business;</w:t>
      </w:r>
    </w:p>
    <w:p w:rsidR="00425758" w:rsidRDefault="00425758">
      <w:pPr>
        <w:pStyle w:val="Indenta"/>
      </w:pPr>
      <w:r>
        <w:tab/>
        <w:t>(d)</w:t>
      </w:r>
      <w:r>
        <w:tab/>
        <w:t>if the person is the State, a Territory or the Commonwealth — the address of the place in Australia where the practitioner representing the person conducts business as a practitioner.</w:t>
      </w:r>
    </w:p>
    <w:p w:rsidR="00425758" w:rsidRDefault="00425758">
      <w:pPr>
        <w:pStyle w:val="Footnotesection"/>
      </w:pPr>
      <w:r>
        <w:tab/>
        <w:t>[Rule 2 inserted: Gazette 21 Feb 2007 p. 577; amended: Gazette 22 Feb 2008 p. 653; 16 Nov 2016 p. 5200.]</w:t>
      </w:r>
    </w:p>
    <w:p w:rsidR="00425758" w:rsidRDefault="00425758">
      <w:pPr>
        <w:pStyle w:val="Heading5"/>
      </w:pPr>
      <w:bookmarkStart w:id="1147" w:name="_Toc75863734"/>
      <w:r>
        <w:t>3A.</w:t>
      </w:r>
      <w:r>
        <w:tab/>
        <w:t>Court may dispense with requirement to state geographical address</w:t>
      </w:r>
      <w:bookmarkEnd w:id="1147"/>
    </w:p>
    <w:p w:rsidR="00425758" w:rsidRDefault="00425758">
      <w:pPr>
        <w:pStyle w:val="Subsection"/>
      </w:pPr>
      <w:r>
        <w:tab/>
        <w:t>(1)</w:t>
      </w:r>
      <w:r>
        <w:tab/>
        <w:t>The Court may, on the application of a person or on its own initiative, order that the person’s geographical address does not have to be stated in a document that is otherwise required under these rules to state the person’s geographical address.</w:t>
      </w:r>
    </w:p>
    <w:p w:rsidR="00425758" w:rsidRDefault="00425758">
      <w:pPr>
        <w:pStyle w:val="Subsection"/>
      </w:pPr>
      <w:r>
        <w:tab/>
        <w:t>(2)</w:t>
      </w:r>
      <w:r>
        <w:tab/>
        <w:t xml:space="preserve">Subject to subrule (3), the Court must not make an order under subrule (1) in relation to a person unless the person — </w:t>
      </w:r>
    </w:p>
    <w:p w:rsidR="00425758" w:rsidRDefault="00425758">
      <w:pPr>
        <w:pStyle w:val="Indenta"/>
      </w:pPr>
      <w:r>
        <w:tab/>
        <w:t>(a)</w:t>
      </w:r>
      <w:r>
        <w:tab/>
        <w:t>is an individual; and</w:t>
      </w:r>
    </w:p>
    <w:p w:rsidR="00425758" w:rsidRDefault="00425758">
      <w:pPr>
        <w:pStyle w:val="Indenta"/>
      </w:pPr>
      <w:r>
        <w:tab/>
        <w:t>(b)</w:t>
      </w:r>
      <w:r>
        <w:tab/>
        <w:t>has provided an address for service; and</w:t>
      </w:r>
    </w:p>
    <w:p w:rsidR="00425758" w:rsidRDefault="00425758">
      <w:pPr>
        <w:pStyle w:val="Indenta"/>
      </w:pPr>
      <w:r>
        <w:tab/>
        <w:t>(c)</w:t>
      </w:r>
      <w:r>
        <w:tab/>
        <w:t>has provided his or her geographical address to the Court on a confidential basis.</w:t>
      </w:r>
    </w:p>
    <w:p w:rsidR="00425758" w:rsidRDefault="00425758">
      <w:pPr>
        <w:pStyle w:val="Subsection"/>
      </w:pPr>
      <w:r>
        <w:tab/>
        <w:t>(3)</w:t>
      </w:r>
      <w:r>
        <w:tab/>
        <w:t>In exceptional circumstances, the Court may make an order under subrule (1) even though the person has not provided his or her geographical address to the Court.</w:t>
      </w:r>
    </w:p>
    <w:p w:rsidR="00425758" w:rsidRDefault="00425758">
      <w:pPr>
        <w:pStyle w:val="Subsection"/>
      </w:pPr>
      <w:r>
        <w:tab/>
        <w:t>(4)</w:t>
      </w:r>
      <w:r>
        <w:tab/>
        <w:t>The Court may, on the application of any person or on its own initiative, do one or more of the following —</w:t>
      </w:r>
    </w:p>
    <w:p w:rsidR="00425758" w:rsidRDefault="00425758">
      <w:pPr>
        <w:pStyle w:val="Indenta"/>
      </w:pPr>
      <w:r>
        <w:tab/>
        <w:t>(a)</w:t>
      </w:r>
      <w:r>
        <w:tab/>
        <w:t>amend or cancel an order made under subrule (1);</w:t>
      </w:r>
    </w:p>
    <w:p w:rsidR="00425758" w:rsidRDefault="00425758">
      <w:pPr>
        <w:pStyle w:val="Indenta"/>
      </w:pPr>
      <w:r>
        <w:tab/>
        <w:t>(b)</w:t>
      </w:r>
      <w:r>
        <w:tab/>
        <w:t>order that the person’s geographical address be given to another person.</w:t>
      </w:r>
    </w:p>
    <w:p w:rsidR="00425758" w:rsidRDefault="00425758">
      <w:pPr>
        <w:pStyle w:val="Footnotesection"/>
      </w:pPr>
      <w:r>
        <w:tab/>
        <w:t>[Rule 3A inserted: Gazette 13 Nov 2015 p. 4649-50.]</w:t>
      </w:r>
    </w:p>
    <w:p w:rsidR="00425758" w:rsidRDefault="00425758">
      <w:pPr>
        <w:pStyle w:val="Heading5"/>
      </w:pPr>
      <w:bookmarkStart w:id="1148" w:name="_Toc75863735"/>
      <w:r>
        <w:rPr>
          <w:rStyle w:val="CharSectno"/>
        </w:rPr>
        <w:lastRenderedPageBreak/>
        <w:t>3</w:t>
      </w:r>
      <w:r>
        <w:t>.</w:t>
      </w:r>
      <w:r>
        <w:tab/>
        <w:t>Service details, meaning of</w:t>
      </w:r>
      <w:bookmarkEnd w:id="1148"/>
    </w:p>
    <w:p w:rsidR="00425758" w:rsidRDefault="00425758">
      <w:pPr>
        <w:pStyle w:val="Subsection"/>
      </w:pPr>
      <w:r>
        <w:tab/>
        <w:t>(1)</w:t>
      </w:r>
      <w:r>
        <w:tab/>
        <w:t>If these rules require a document to state a person’s service details and the person is self</w:t>
      </w:r>
      <w:r>
        <w:noBreakHyphen/>
        <w:t>represented, the document —</w:t>
      </w:r>
    </w:p>
    <w:p w:rsidR="00425758" w:rsidRDefault="00425758">
      <w:pPr>
        <w:pStyle w:val="Indenta"/>
      </w:pPr>
      <w:r>
        <w:tab/>
        <w:t>(a)</w:t>
      </w:r>
      <w:r>
        <w:tab/>
        <w:t>must state a postal address in Australia that can be used to serve documents on the person; and</w:t>
      </w:r>
    </w:p>
    <w:p w:rsidR="00425758" w:rsidRDefault="00425758">
      <w:pPr>
        <w:pStyle w:val="Indenta"/>
      </w:pPr>
      <w:r>
        <w:tab/>
        <w:t>(b)</w:t>
      </w:r>
      <w:r>
        <w:tab/>
        <w:t>may state one fax number that can be used to serve documents on the person; and</w:t>
      </w:r>
    </w:p>
    <w:p w:rsidR="00425758" w:rsidRDefault="00425758">
      <w:pPr>
        <w:pStyle w:val="Indenta"/>
      </w:pPr>
      <w:r>
        <w:tab/>
        <w:t>(c)</w:t>
      </w:r>
      <w:r>
        <w:tab/>
        <w:t>may state one email address that can be used to serve documents on the person.</w:t>
      </w:r>
    </w:p>
    <w:p w:rsidR="00425758" w:rsidRDefault="00425758">
      <w:pPr>
        <w:pStyle w:val="Subsection"/>
      </w:pPr>
      <w:r>
        <w:tab/>
        <w:t>(2)</w:t>
      </w:r>
      <w:r>
        <w:tab/>
        <w:t>If these rules require a document to state a person’s service details and the person is represented by a practitioner, the document —</w:t>
      </w:r>
    </w:p>
    <w:p w:rsidR="00425758" w:rsidRDefault="00425758">
      <w:pPr>
        <w:pStyle w:val="Indenta"/>
      </w:pPr>
      <w:r>
        <w:tab/>
        <w:t>(a)</w:t>
      </w:r>
      <w:r>
        <w:tab/>
        <w:t>must state the name of the practitioner; and</w:t>
      </w:r>
    </w:p>
    <w:p w:rsidR="00425758" w:rsidRDefault="00425758">
      <w:pPr>
        <w:pStyle w:val="Indenta"/>
      </w:pPr>
      <w:r>
        <w:tab/>
        <w:t>(b)</w:t>
      </w:r>
      <w:r>
        <w:tab/>
        <w:t>must state the address of the place in Australia where the practitioner conducts business as a practitioner; and</w:t>
      </w:r>
    </w:p>
    <w:p w:rsidR="00425758" w:rsidRDefault="00425758">
      <w:pPr>
        <w:pStyle w:val="Indenta"/>
      </w:pPr>
      <w:r>
        <w:tab/>
        <w:t>(c)</w:t>
      </w:r>
      <w:r>
        <w:tab/>
        <w:t>must state the practitioner’s postal address in Australia; and</w:t>
      </w:r>
    </w:p>
    <w:p w:rsidR="00425758" w:rsidRDefault="00425758">
      <w:pPr>
        <w:pStyle w:val="Indenta"/>
      </w:pPr>
      <w:r>
        <w:tab/>
        <w:t>(d)</w:t>
      </w:r>
      <w:r>
        <w:tab/>
        <w:t>with the practitioner’s consent, may state any or all of the following —</w:t>
      </w:r>
    </w:p>
    <w:p w:rsidR="00425758" w:rsidRDefault="00425758">
      <w:pPr>
        <w:pStyle w:val="Indenti"/>
      </w:pPr>
      <w:r>
        <w:tab/>
        <w:t>(i)</w:t>
      </w:r>
      <w:r>
        <w:tab/>
        <w:t>one fax number;</w:t>
      </w:r>
    </w:p>
    <w:p w:rsidR="00425758" w:rsidRDefault="00425758">
      <w:pPr>
        <w:pStyle w:val="Indenti"/>
      </w:pPr>
      <w:r>
        <w:tab/>
        <w:t>(ii)</w:t>
      </w:r>
      <w:r>
        <w:tab/>
        <w:t>one email address;</w:t>
      </w:r>
    </w:p>
    <w:p w:rsidR="00425758" w:rsidRDefault="00425758">
      <w:pPr>
        <w:pStyle w:val="Indenti"/>
        <w:keepNext/>
      </w:pPr>
      <w:r>
        <w:tab/>
        <w:t>(iii)</w:t>
      </w:r>
      <w:r>
        <w:tab/>
        <w:t>the details of a document exchange approved by the Chief Justice,</w:t>
      </w:r>
    </w:p>
    <w:p w:rsidR="00425758" w:rsidRDefault="00425758">
      <w:pPr>
        <w:pStyle w:val="Indenta"/>
        <w:spacing w:before="70"/>
      </w:pPr>
      <w:r>
        <w:tab/>
      </w:r>
      <w:r>
        <w:tab/>
        <w:t>in Australia that can be used to serve documents on the practitioner.</w:t>
      </w:r>
    </w:p>
    <w:p w:rsidR="00425758" w:rsidRDefault="00425758">
      <w:pPr>
        <w:pStyle w:val="Ednotepara"/>
      </w:pPr>
      <w:r>
        <w:tab/>
        <w:t>[(e)</w:t>
      </w:r>
      <w:r>
        <w:tab/>
        <w:t>deleted]</w:t>
      </w:r>
    </w:p>
    <w:p w:rsidR="00425758" w:rsidRDefault="00425758">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rsidR="00425758" w:rsidRDefault="00425758">
      <w:pPr>
        <w:pStyle w:val="Subsection"/>
      </w:pPr>
      <w:r>
        <w:lastRenderedPageBreak/>
        <w:tab/>
        <w:t>(4)</w:t>
      </w:r>
      <w:r>
        <w:tab/>
        <w:t xml:space="preserve">If a practitioner practises in a business with one or more other practitioners or people — </w:t>
      </w:r>
    </w:p>
    <w:p w:rsidR="00425758" w:rsidRDefault="00425758">
      <w:pPr>
        <w:pStyle w:val="Indenta"/>
        <w:spacing w:before="70"/>
      </w:pPr>
      <w:r>
        <w:tab/>
        <w:t>(a)</w:t>
      </w:r>
      <w:r>
        <w:tab/>
        <w:t>a fax number stated under subrule (2) must be the fax number of the business and not that of the practitioner personally; and</w:t>
      </w:r>
    </w:p>
    <w:p w:rsidR="00425758" w:rsidRDefault="00425758">
      <w:pPr>
        <w:pStyle w:val="Indenta"/>
        <w:spacing w:before="70"/>
      </w:pPr>
      <w:r>
        <w:tab/>
        <w:t>(b)</w:t>
      </w:r>
      <w:r>
        <w:tab/>
        <w:t>an email address stated under subrule (2) must be the email address of the business and not that of the practitioner personally.</w:t>
      </w:r>
    </w:p>
    <w:p w:rsidR="00425758" w:rsidRDefault="00425758">
      <w:pPr>
        <w:pStyle w:val="Subsection"/>
      </w:pPr>
      <w:r>
        <w:tab/>
        <w:t>(5)</w:t>
      </w:r>
      <w:r>
        <w:tab/>
        <w:t>If a party who is self</w:t>
      </w:r>
      <w:r>
        <w:noBreakHyphen/>
        <w:t>represented is an authorised user of the ECMS, any email address stated under subrule (1) must be the email address of the party recorded on the ECMS.</w:t>
      </w:r>
    </w:p>
    <w:p w:rsidR="00425758" w:rsidRDefault="00425758">
      <w:pPr>
        <w:pStyle w:val="Subsection"/>
      </w:pPr>
      <w:r>
        <w:tab/>
        <w:t>(6)</w:t>
      </w:r>
      <w:r>
        <w:tab/>
        <w:t>If a practitioner is an authorised user of the ECMS, any email address stated under subrule (2) must be the email address of the practitioner recorded on the ECMS.</w:t>
      </w:r>
    </w:p>
    <w:p w:rsidR="00425758" w:rsidRDefault="00425758">
      <w:pPr>
        <w:pStyle w:val="Footnotesection"/>
      </w:pPr>
      <w:r>
        <w:tab/>
        <w:t>[Rule 3 inserted: Gazette 21 Feb 2007 p. 577</w:t>
      </w:r>
      <w:r>
        <w:noBreakHyphen/>
        <w:t>8; amended: Gazette 22 Feb 2008 p. 654; 27 Feb 2018 p. 618; 31 Dec 2019 p. 4677-8.]</w:t>
      </w:r>
    </w:p>
    <w:p w:rsidR="00425758" w:rsidRDefault="00425758">
      <w:pPr>
        <w:pStyle w:val="Heading5"/>
      </w:pPr>
      <w:bookmarkStart w:id="1149" w:name="_Toc75863736"/>
      <w:r>
        <w:rPr>
          <w:rStyle w:val="CharSectno"/>
        </w:rPr>
        <w:t>4</w:t>
      </w:r>
      <w:r>
        <w:t>.</w:t>
      </w:r>
      <w:r>
        <w:tab/>
        <w:t>Documents without contact details to be rejected</w:t>
      </w:r>
      <w:bookmarkEnd w:id="1149"/>
    </w:p>
    <w:p w:rsidR="00425758" w:rsidRDefault="00425758">
      <w:pPr>
        <w:pStyle w:val="Subsection"/>
      </w:pPr>
      <w:r>
        <w:tab/>
        <w:t>(1)</w:t>
      </w:r>
      <w:r>
        <w:tab/>
        <w:t>The Central Office must reject a document submitted for filing or issuing if these rules require the document to state —</w:t>
      </w:r>
    </w:p>
    <w:p w:rsidR="00425758" w:rsidRDefault="00425758">
      <w:pPr>
        <w:pStyle w:val="Indenta"/>
      </w:pPr>
      <w:r>
        <w:tab/>
        <w:t>(a)</w:t>
      </w:r>
      <w:r>
        <w:tab/>
        <w:t>a person’s geographical address; or</w:t>
      </w:r>
    </w:p>
    <w:p w:rsidR="00425758" w:rsidRDefault="00425758">
      <w:pPr>
        <w:pStyle w:val="Indenta"/>
      </w:pPr>
      <w:r>
        <w:tab/>
        <w:t>(b)</w:t>
      </w:r>
      <w:r>
        <w:tab/>
        <w:t>a person’s service details,</w:t>
      </w:r>
    </w:p>
    <w:p w:rsidR="00425758" w:rsidRDefault="00425758">
      <w:pPr>
        <w:pStyle w:val="Subsection"/>
      </w:pPr>
      <w:r>
        <w:tab/>
      </w:r>
      <w:r>
        <w:tab/>
        <w:t>and it does not do so in accordance with this Order.</w:t>
      </w:r>
    </w:p>
    <w:p w:rsidR="00425758" w:rsidRDefault="00425758">
      <w:pPr>
        <w:pStyle w:val="Subsection"/>
      </w:pPr>
      <w:r>
        <w:tab/>
        <w:t>(2)</w:t>
      </w:r>
      <w:r>
        <w:tab/>
        <w:t>A document is not to be rejected on the basis that it does not state a person’s geographical address if the Court has ordered, under rule 3A, that it is not required to be stated.</w:t>
      </w:r>
    </w:p>
    <w:p w:rsidR="00425758" w:rsidRDefault="00425758">
      <w:pPr>
        <w:pStyle w:val="Footnotesection"/>
      </w:pPr>
      <w:r>
        <w:tab/>
        <w:t>[Rule 4 inserted: Gazette 21 Feb 2007 p. 578; amended: Gazette 13 Nov 2015 p. 4650.]</w:t>
      </w:r>
    </w:p>
    <w:p w:rsidR="00425758" w:rsidRDefault="00425758">
      <w:pPr>
        <w:pStyle w:val="Heading5"/>
      </w:pPr>
      <w:bookmarkStart w:id="1150" w:name="_Toc75863737"/>
      <w:r>
        <w:rPr>
          <w:rStyle w:val="CharSectno"/>
        </w:rPr>
        <w:lastRenderedPageBreak/>
        <w:t>5</w:t>
      </w:r>
      <w:r>
        <w:t>.</w:t>
      </w:r>
      <w:r>
        <w:tab/>
        <w:t>Changes of information to be notified</w:t>
      </w:r>
      <w:bookmarkEnd w:id="1150"/>
    </w:p>
    <w:p w:rsidR="00425758" w:rsidRDefault="00425758">
      <w:pPr>
        <w:pStyle w:val="Subsection"/>
        <w:keepNext/>
      </w:pPr>
      <w:r>
        <w:tab/>
        <w:t>(1)</w:t>
      </w:r>
      <w:r>
        <w:tab/>
        <w:t>If a document states information required or permitted by rule 2 or 3, the person who filed the document —</w:t>
      </w:r>
    </w:p>
    <w:p w:rsidR="00425758" w:rsidRDefault="00425758">
      <w:pPr>
        <w:pStyle w:val="Indenta"/>
      </w:pPr>
      <w:r>
        <w:tab/>
        <w:t>(a)</w:t>
      </w:r>
      <w:r>
        <w:tab/>
        <w:t>must promptly give notice of any change to the information; and</w:t>
      </w:r>
    </w:p>
    <w:p w:rsidR="00425758" w:rsidRDefault="00425758">
      <w:pPr>
        <w:pStyle w:val="Indenta"/>
      </w:pPr>
      <w:r>
        <w:tab/>
        <w:t>(b)</w:t>
      </w:r>
      <w:r>
        <w:tab/>
        <w:t>may, in respect of any of the information that does not have to be stated under those rules, give notice that the information can no longer be used to serve documents; and</w:t>
      </w:r>
    </w:p>
    <w:p w:rsidR="00425758" w:rsidRDefault="00425758">
      <w:pPr>
        <w:pStyle w:val="Indenta"/>
      </w:pPr>
      <w:r>
        <w:tab/>
        <w:t>(c)</w:t>
      </w:r>
      <w:r>
        <w:tab/>
        <w:t>may, in respect of any of the information that does not have to be, and has not been, stated under those rules, give notice of the information.</w:t>
      </w:r>
    </w:p>
    <w:p w:rsidR="00425758" w:rsidRDefault="00425758">
      <w:pPr>
        <w:pStyle w:val="Subsection"/>
      </w:pPr>
      <w:r>
        <w:tab/>
        <w:t>(2)</w:t>
      </w:r>
      <w:r>
        <w:tab/>
        <w:t xml:space="preserve">Notice under subrule (1) — </w:t>
      </w:r>
    </w:p>
    <w:p w:rsidR="00425758" w:rsidRDefault="00425758">
      <w:pPr>
        <w:pStyle w:val="Indenta"/>
      </w:pPr>
      <w:r>
        <w:tab/>
        <w:t>(aa)</w:t>
      </w:r>
      <w:r>
        <w:tab/>
        <w:t>must be in Form 5AA; and</w:t>
      </w:r>
    </w:p>
    <w:p w:rsidR="00425758" w:rsidRDefault="00425758">
      <w:pPr>
        <w:pStyle w:val="Indenta"/>
      </w:pPr>
      <w:r>
        <w:tab/>
        <w:t>(a)</w:t>
      </w:r>
      <w:r>
        <w:tab/>
        <w:t>must be given by filing a notice and serving it on any person who has been given the information; and</w:t>
      </w:r>
    </w:p>
    <w:p w:rsidR="00425758" w:rsidRDefault="00425758">
      <w:pPr>
        <w:pStyle w:val="Indenta"/>
        <w:keepNext/>
      </w:pPr>
      <w:r>
        <w:tab/>
        <w:t>(b)</w:t>
      </w:r>
      <w:r>
        <w:tab/>
        <w:t>may be given as part of a notice given under Order 8.</w:t>
      </w:r>
    </w:p>
    <w:p w:rsidR="00425758" w:rsidRDefault="00425758">
      <w:pPr>
        <w:pStyle w:val="Footnotesection"/>
      </w:pPr>
      <w:r>
        <w:tab/>
        <w:t>[Rule 5 inserted: Gazette 21 Feb 2007 p. 579; amended: Gazette 13 Nov 2015 p. 4650; 27 Feb 2018 p. 618.]</w:t>
      </w:r>
    </w:p>
    <w:p w:rsidR="00425758" w:rsidRDefault="00425758">
      <w:pPr>
        <w:pStyle w:val="Heading5"/>
      </w:pPr>
      <w:bookmarkStart w:id="1151" w:name="_Toc75863738"/>
      <w:r>
        <w:rPr>
          <w:rStyle w:val="CharSectno"/>
        </w:rPr>
        <w:t>6</w:t>
      </w:r>
      <w:r>
        <w:t>.</w:t>
      </w:r>
      <w:r>
        <w:tab/>
        <w:t>Fictitious details in documents, court powers as to</w:t>
      </w:r>
      <w:bookmarkEnd w:id="1151"/>
    </w:p>
    <w:p w:rsidR="00425758" w:rsidRDefault="00425758">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rsidR="00425758" w:rsidRDefault="00425758">
      <w:pPr>
        <w:pStyle w:val="Footnotesection"/>
      </w:pPr>
      <w:r>
        <w:tab/>
        <w:t>[Rule 6 inserted: Gazette 21 Feb 2007 p. 579.]</w:t>
      </w:r>
    </w:p>
    <w:p w:rsidR="00425758" w:rsidRDefault="00425758">
      <w:pPr>
        <w:pStyle w:val="Heading2"/>
        <w:rPr>
          <w:b w:val="0"/>
        </w:rPr>
      </w:pPr>
      <w:bookmarkStart w:id="1152" w:name="_Toc75512643"/>
      <w:bookmarkStart w:id="1153" w:name="_Toc75863739"/>
      <w:r>
        <w:rPr>
          <w:rStyle w:val="CharPartNo"/>
        </w:rPr>
        <w:lastRenderedPageBreak/>
        <w:t>Order 72</w:t>
      </w:r>
      <w:r>
        <w:rPr>
          <w:rStyle w:val="CharDivNo"/>
        </w:rPr>
        <w:t> </w:t>
      </w:r>
      <w:r>
        <w:t>—</w:t>
      </w:r>
      <w:r>
        <w:rPr>
          <w:rStyle w:val="CharDivText"/>
        </w:rPr>
        <w:t> </w:t>
      </w:r>
      <w:r>
        <w:rPr>
          <w:rStyle w:val="CharPartText"/>
        </w:rPr>
        <w:t>Service of documents</w:t>
      </w:r>
      <w:bookmarkEnd w:id="1152"/>
      <w:bookmarkEnd w:id="1153"/>
    </w:p>
    <w:p w:rsidR="00425758" w:rsidRDefault="00425758">
      <w:pPr>
        <w:pStyle w:val="Heading5"/>
        <w:rPr>
          <w:snapToGrid w:val="0"/>
        </w:rPr>
      </w:pPr>
      <w:bookmarkStart w:id="1154" w:name="_Toc75863740"/>
      <w:r>
        <w:rPr>
          <w:rStyle w:val="CharSectno"/>
        </w:rPr>
        <w:t>1</w:t>
      </w:r>
      <w:r>
        <w:rPr>
          <w:snapToGrid w:val="0"/>
        </w:rPr>
        <w:t>.</w:t>
      </w:r>
      <w:r>
        <w:rPr>
          <w:snapToGrid w:val="0"/>
        </w:rPr>
        <w:tab/>
        <w:t>When personal service required</w:t>
      </w:r>
      <w:bookmarkEnd w:id="1154"/>
    </w:p>
    <w:p w:rsidR="00425758" w:rsidRDefault="00425758">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rsidR="00425758" w:rsidRDefault="00425758">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rsidR="00425758" w:rsidRDefault="00425758">
      <w:pPr>
        <w:pStyle w:val="Footnotesection"/>
        <w:spacing w:before="100"/>
        <w:ind w:left="890" w:hanging="890"/>
      </w:pPr>
      <w:r>
        <w:tab/>
        <w:t>[Rule 1 amended: Gazette 28 Jun 2011 p. 2552.]</w:t>
      </w:r>
    </w:p>
    <w:p w:rsidR="00425758" w:rsidRDefault="00425758">
      <w:pPr>
        <w:pStyle w:val="Heading5"/>
        <w:rPr>
          <w:snapToGrid w:val="0"/>
        </w:rPr>
      </w:pPr>
      <w:bookmarkStart w:id="1155" w:name="_Toc75863741"/>
      <w:r>
        <w:rPr>
          <w:rStyle w:val="CharSectno"/>
        </w:rPr>
        <w:t>2</w:t>
      </w:r>
      <w:r>
        <w:rPr>
          <w:snapToGrid w:val="0"/>
        </w:rPr>
        <w:t>.</w:t>
      </w:r>
      <w:r>
        <w:rPr>
          <w:snapToGrid w:val="0"/>
        </w:rPr>
        <w:tab/>
        <w:t>Personal service on individual</w:t>
      </w:r>
      <w:bookmarkEnd w:id="1155"/>
    </w:p>
    <w:p w:rsidR="00425758" w:rsidRDefault="00425758">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rsidR="00425758" w:rsidRDefault="00425758">
      <w:pPr>
        <w:pStyle w:val="Indenta"/>
        <w:spacing w:before="60"/>
        <w:rPr>
          <w:snapToGrid w:val="0"/>
        </w:rPr>
      </w:pPr>
      <w:r>
        <w:rPr>
          <w:snapToGrid w:val="0"/>
        </w:rPr>
        <w:tab/>
        <w:t>(a)</w:t>
      </w:r>
      <w:r>
        <w:rPr>
          <w:snapToGrid w:val="0"/>
        </w:rPr>
        <w:tab/>
        <w:t>in the case where the document is a writ or other originating process, the original; and</w:t>
      </w:r>
    </w:p>
    <w:p w:rsidR="00425758" w:rsidRDefault="00425758">
      <w:pPr>
        <w:pStyle w:val="Indenta"/>
        <w:spacing w:before="60"/>
        <w:rPr>
          <w:snapToGrid w:val="0"/>
        </w:rPr>
      </w:pPr>
      <w:r>
        <w:rPr>
          <w:snapToGrid w:val="0"/>
        </w:rPr>
        <w:tab/>
        <w:t>(b)</w:t>
      </w:r>
      <w:r>
        <w:rPr>
          <w:snapToGrid w:val="0"/>
        </w:rPr>
        <w:tab/>
        <w:t xml:space="preserve">in any other case the original or </w:t>
      </w:r>
      <w:r>
        <w:t>a true</w:t>
      </w:r>
      <w:r>
        <w:rPr>
          <w:snapToGrid w:val="0"/>
        </w:rPr>
        <w:t xml:space="preserve"> copy.</w:t>
      </w:r>
    </w:p>
    <w:p w:rsidR="00425758" w:rsidRDefault="00425758">
      <w:pPr>
        <w:pStyle w:val="Footnotesection"/>
      </w:pPr>
      <w:r>
        <w:tab/>
        <w:t>[Rule 2 amended: Gazette 27 Feb 2018 p. 618.]</w:t>
      </w:r>
    </w:p>
    <w:p w:rsidR="00425758" w:rsidRDefault="00425758">
      <w:pPr>
        <w:pStyle w:val="Heading5"/>
        <w:rPr>
          <w:snapToGrid w:val="0"/>
        </w:rPr>
      </w:pPr>
      <w:bookmarkStart w:id="1156" w:name="_Toc75863742"/>
      <w:r>
        <w:rPr>
          <w:rStyle w:val="CharSectno"/>
        </w:rPr>
        <w:t>3</w:t>
      </w:r>
      <w:r>
        <w:rPr>
          <w:snapToGrid w:val="0"/>
        </w:rPr>
        <w:t>.</w:t>
      </w:r>
      <w:r>
        <w:rPr>
          <w:snapToGrid w:val="0"/>
        </w:rPr>
        <w:tab/>
        <w:t>Personal service on body corporate</w:t>
      </w:r>
      <w:bookmarkEnd w:id="1156"/>
    </w:p>
    <w:p w:rsidR="00425758" w:rsidRDefault="00425758">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rsidR="00425758" w:rsidRDefault="00425758">
      <w:pPr>
        <w:pStyle w:val="Footnotesection"/>
        <w:spacing w:before="100"/>
        <w:ind w:left="890" w:hanging="890"/>
      </w:pPr>
      <w:r>
        <w:tab/>
        <w:t xml:space="preserve">[Rule 3 amended: Gazette 22 Feb 2008 p. 654.] </w:t>
      </w:r>
    </w:p>
    <w:p w:rsidR="00425758" w:rsidRDefault="00425758">
      <w:pPr>
        <w:pStyle w:val="Heading5"/>
      </w:pPr>
      <w:bookmarkStart w:id="1157" w:name="_Toc75863743"/>
      <w:r>
        <w:rPr>
          <w:rStyle w:val="CharSectno"/>
        </w:rPr>
        <w:lastRenderedPageBreak/>
        <w:t>3A</w:t>
      </w:r>
      <w:r>
        <w:t>.</w:t>
      </w:r>
      <w:r>
        <w:tab/>
        <w:t>Personal service on State</w:t>
      </w:r>
      <w:bookmarkEnd w:id="1157"/>
    </w:p>
    <w:p w:rsidR="00425758" w:rsidRDefault="00425758">
      <w:pPr>
        <w:pStyle w:val="Subsection"/>
      </w:pPr>
      <w:r>
        <w:tab/>
      </w:r>
      <w:r>
        <w:tab/>
        <w:t>Personal service of a document on the State may be effected by serving it in accordance with rule 2 on the person in charge of administrative matters at the office of —</w:t>
      </w:r>
    </w:p>
    <w:p w:rsidR="00425758" w:rsidRDefault="00425758">
      <w:pPr>
        <w:pStyle w:val="Indenta"/>
        <w:spacing w:before="60"/>
      </w:pPr>
      <w:r>
        <w:tab/>
        <w:t>(a)</w:t>
      </w:r>
      <w:r>
        <w:tab/>
        <w:t>the Attorney General; or</w:t>
      </w:r>
    </w:p>
    <w:p w:rsidR="00425758" w:rsidRDefault="00425758">
      <w:pPr>
        <w:pStyle w:val="Indenta"/>
      </w:pPr>
      <w:r>
        <w:tab/>
        <w:t>(b)</w:t>
      </w:r>
      <w:r>
        <w:tab/>
        <w:t>if there is no Attorney General appointed, the Minister for Justice; or</w:t>
      </w:r>
    </w:p>
    <w:p w:rsidR="00425758" w:rsidRDefault="00425758">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rsidR="00425758" w:rsidRDefault="00425758">
      <w:pPr>
        <w:pStyle w:val="Footnotesection"/>
      </w:pPr>
      <w:r>
        <w:tab/>
        <w:t>[Rule 3A inserted: Gazette 21 Feb 2007 p. 579; amended: Gazette 22 Feb 2008 p. 654.]</w:t>
      </w:r>
    </w:p>
    <w:p w:rsidR="00425758" w:rsidRDefault="00425758">
      <w:pPr>
        <w:pStyle w:val="Heading5"/>
        <w:rPr>
          <w:snapToGrid w:val="0"/>
        </w:rPr>
      </w:pPr>
      <w:bookmarkStart w:id="1158" w:name="_Toc75863744"/>
      <w:r>
        <w:rPr>
          <w:rStyle w:val="CharSectno"/>
        </w:rPr>
        <w:t>4</w:t>
      </w:r>
      <w:r>
        <w:rPr>
          <w:snapToGrid w:val="0"/>
        </w:rPr>
        <w:t>.</w:t>
      </w:r>
      <w:r>
        <w:rPr>
          <w:snapToGrid w:val="0"/>
        </w:rPr>
        <w:tab/>
        <w:t>Substituted service</w:t>
      </w:r>
      <w:bookmarkEnd w:id="1158"/>
    </w:p>
    <w:p w:rsidR="00425758" w:rsidRDefault="00425758">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rsidR="00425758" w:rsidRDefault="00425758">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rsidR="00425758" w:rsidRDefault="00425758">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rsidR="00425758" w:rsidRDefault="00425758">
      <w:pPr>
        <w:pStyle w:val="Footnotesection"/>
      </w:pPr>
      <w:r>
        <w:tab/>
        <w:t xml:space="preserve">[Rule 4 amended: Gazette 14 May 1976 p. 1431; 12 Nov 1976 p. 4277.] </w:t>
      </w:r>
    </w:p>
    <w:p w:rsidR="00425758" w:rsidRDefault="00425758">
      <w:pPr>
        <w:pStyle w:val="Heading5"/>
      </w:pPr>
      <w:bookmarkStart w:id="1159" w:name="_Toc75863745"/>
      <w:r>
        <w:rPr>
          <w:rStyle w:val="CharSectno"/>
        </w:rPr>
        <w:t>5</w:t>
      </w:r>
      <w:r>
        <w:t>.</w:t>
      </w:r>
      <w:r>
        <w:tab/>
        <w:t>Ordinary service, how effected</w:t>
      </w:r>
      <w:bookmarkEnd w:id="1159"/>
    </w:p>
    <w:p w:rsidR="00425758" w:rsidRDefault="00425758">
      <w:pPr>
        <w:pStyle w:val="Subsection"/>
      </w:pPr>
      <w:r>
        <w:tab/>
        <w:t>(1)</w:t>
      </w:r>
      <w:r>
        <w:tab/>
        <w:t>This rule does not apply to a document that, under these rules, has to be served personally.</w:t>
      </w:r>
    </w:p>
    <w:p w:rsidR="00425758" w:rsidRDefault="00425758">
      <w:pPr>
        <w:pStyle w:val="Subsection"/>
      </w:pPr>
      <w:r>
        <w:lastRenderedPageBreak/>
        <w:tab/>
        <w:t>(2)</w:t>
      </w:r>
      <w:r>
        <w:tab/>
        <w:t xml:space="preserve">This rule — </w:t>
      </w:r>
    </w:p>
    <w:p w:rsidR="00425758" w:rsidRDefault="00425758">
      <w:pPr>
        <w:pStyle w:val="Indenta"/>
      </w:pPr>
      <w:r>
        <w:tab/>
        <w:t>(a)</w:t>
      </w:r>
      <w:r>
        <w:tab/>
        <w:t>does not prohibit personal service of a document to which it applies; and</w:t>
      </w:r>
    </w:p>
    <w:p w:rsidR="00425758" w:rsidRDefault="00425758">
      <w:pPr>
        <w:pStyle w:val="Indenta"/>
      </w:pPr>
      <w:r>
        <w:tab/>
        <w:t>(b)</w:t>
      </w:r>
      <w:r>
        <w:tab/>
        <w:t>does not affect any written law that provides for how a document may be served on a body corporate.</w:t>
      </w:r>
    </w:p>
    <w:p w:rsidR="00425758" w:rsidRDefault="00425758">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rsidR="00425758" w:rsidRDefault="00425758">
      <w:pPr>
        <w:pStyle w:val="Indenta"/>
      </w:pPr>
      <w:r>
        <w:tab/>
        <w:t>(a)</w:t>
      </w:r>
      <w:r>
        <w:tab/>
        <w:t>delivering it, or posting it by pre</w:t>
      </w:r>
      <w:r>
        <w:noBreakHyphen/>
        <w:t>paid post, to the postal address stated in the service details; or</w:t>
      </w:r>
    </w:p>
    <w:p w:rsidR="00425758" w:rsidRDefault="00425758">
      <w:pPr>
        <w:pStyle w:val="Indenta"/>
      </w:pPr>
      <w:r>
        <w:tab/>
        <w:t>(b)</w:t>
      </w:r>
      <w:r>
        <w:tab/>
        <w:t>if some other method of serving the person is stated in the service details, using that method to serve it on the person.</w:t>
      </w:r>
    </w:p>
    <w:p w:rsidR="00425758" w:rsidRDefault="00425758">
      <w:pPr>
        <w:pStyle w:val="Subsection"/>
      </w:pPr>
      <w:r>
        <w:tab/>
        <w:t>(4)</w:t>
      </w:r>
      <w:r>
        <w:tab/>
        <w:t xml:space="preserve">A document to be served on a person under subrule (3) must — </w:t>
      </w:r>
    </w:p>
    <w:p w:rsidR="00425758" w:rsidRDefault="00425758">
      <w:pPr>
        <w:pStyle w:val="Indenta"/>
      </w:pPr>
      <w:r>
        <w:tab/>
        <w:t>(a)</w:t>
      </w:r>
      <w:r>
        <w:tab/>
        <w:t>if the person is self</w:t>
      </w:r>
      <w:r>
        <w:noBreakHyphen/>
        <w:t>represented, be addressed to the person;</w:t>
      </w:r>
    </w:p>
    <w:p w:rsidR="00425758" w:rsidRDefault="00425758">
      <w:pPr>
        <w:pStyle w:val="Indenta"/>
      </w:pPr>
      <w:r>
        <w:tab/>
        <w:t>(b)</w:t>
      </w:r>
      <w:r>
        <w:tab/>
        <w:t>if the person is represented by a practitioner, be addressed to the practitioner;</w:t>
      </w:r>
    </w:p>
    <w:p w:rsidR="00425758" w:rsidRDefault="00425758">
      <w:pPr>
        <w:pStyle w:val="Indenta"/>
      </w:pPr>
      <w:r>
        <w:tab/>
        <w:t>(c)</w:t>
      </w:r>
      <w:r>
        <w:tab/>
        <w:t>if the document is being served by fax, be sent with a cover page that states —</w:t>
      </w:r>
    </w:p>
    <w:p w:rsidR="00425758" w:rsidRDefault="00425758">
      <w:pPr>
        <w:pStyle w:val="Indenti"/>
      </w:pPr>
      <w:r>
        <w:tab/>
        <w:t>(i)</w:t>
      </w:r>
      <w:r>
        <w:tab/>
        <w:t>the person to whom the fax is addressed; and</w:t>
      </w:r>
    </w:p>
    <w:p w:rsidR="00425758" w:rsidRDefault="00425758">
      <w:pPr>
        <w:pStyle w:val="Indenti"/>
      </w:pPr>
      <w:r>
        <w:tab/>
        <w:t>(ii)</w:t>
      </w:r>
      <w:r>
        <w:tab/>
        <w:t>the sender’s name and postal address; and</w:t>
      </w:r>
    </w:p>
    <w:p w:rsidR="00425758" w:rsidRDefault="00425758">
      <w:pPr>
        <w:pStyle w:val="Indenti"/>
      </w:pPr>
      <w:r>
        <w:tab/>
        <w:t>(iii)</w:t>
      </w:r>
      <w:r>
        <w:tab/>
        <w:t>those of the sender’s document exchange number, telephone number and fax number that can be used to contact the sender; and</w:t>
      </w:r>
    </w:p>
    <w:p w:rsidR="00425758" w:rsidRDefault="00425758">
      <w:pPr>
        <w:pStyle w:val="Indenti"/>
      </w:pPr>
      <w:r>
        <w:tab/>
        <w:t>(iv)</w:t>
      </w:r>
      <w:r>
        <w:tab/>
        <w:t>the number of pages (including the cover page) being sent.</w:t>
      </w:r>
    </w:p>
    <w:p w:rsidR="00425758" w:rsidRDefault="00425758">
      <w:pPr>
        <w:pStyle w:val="Subsection"/>
        <w:keepNext/>
      </w:pPr>
      <w:r>
        <w:lastRenderedPageBreak/>
        <w:tab/>
        <w:t>(5)</w:t>
      </w:r>
      <w:r>
        <w:tab/>
        <w:t>If under these rules a person has not filed a document that, in accordance with Order 71A, states the person’s service details, a document may be served on the person —</w:t>
      </w:r>
    </w:p>
    <w:p w:rsidR="00425758" w:rsidRDefault="00425758">
      <w:pPr>
        <w:pStyle w:val="Indenta"/>
      </w:pPr>
      <w:r>
        <w:tab/>
        <w:t>(a)</w:t>
      </w:r>
      <w:r>
        <w:tab/>
        <w:t>by delivering it, or posting it by pre</w:t>
      </w:r>
      <w:r>
        <w:noBreakHyphen/>
        <w:t>paid post, to the person’s geographical address or last known geographical address; or</w:t>
      </w:r>
    </w:p>
    <w:p w:rsidR="00425758" w:rsidRDefault="00425758">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rsidR="00425758" w:rsidRDefault="00425758">
      <w:pPr>
        <w:pStyle w:val="Indenta"/>
      </w:pPr>
      <w:r>
        <w:tab/>
        <w:t>(c)</w:t>
      </w:r>
      <w:r>
        <w:tab/>
        <w:t>by the means that the Court directs in a particular case.</w:t>
      </w:r>
    </w:p>
    <w:p w:rsidR="00425758" w:rsidRDefault="00425758">
      <w:pPr>
        <w:pStyle w:val="Footnotesection"/>
      </w:pPr>
      <w:r>
        <w:tab/>
        <w:t>[Rule 5 inserted: Gazette 21 Feb 2007 p. 580</w:t>
      </w:r>
      <w:r>
        <w:noBreakHyphen/>
        <w:t>1.]</w:t>
      </w:r>
    </w:p>
    <w:p w:rsidR="00425758" w:rsidRDefault="00425758">
      <w:pPr>
        <w:pStyle w:val="Heading5"/>
      </w:pPr>
      <w:bookmarkStart w:id="1160" w:name="_Toc75863746"/>
      <w:r>
        <w:rPr>
          <w:rStyle w:val="CharSectno"/>
        </w:rPr>
        <w:t>5A</w:t>
      </w:r>
      <w:r>
        <w:t>.</w:t>
      </w:r>
      <w:r>
        <w:tab/>
        <w:t>Ordinary service, when effected</w:t>
      </w:r>
      <w:bookmarkEnd w:id="1160"/>
    </w:p>
    <w:p w:rsidR="00425758" w:rsidRDefault="00425758">
      <w:pPr>
        <w:pStyle w:val="Ednotesubsection"/>
      </w:pPr>
      <w:r>
        <w:tab/>
        <w:t>[(1)</w:t>
      </w:r>
      <w:r>
        <w:tab/>
        <w:t>deleted]</w:t>
      </w:r>
    </w:p>
    <w:p w:rsidR="00425758" w:rsidRDefault="00425758">
      <w:pPr>
        <w:pStyle w:val="Subsection"/>
      </w:pPr>
      <w:r>
        <w:tab/>
        <w:t>(2)</w:t>
      </w:r>
      <w:r>
        <w:tab/>
        <w:t>A document that is sent to a person by a method in the Table to this rule is to be taken to be served on the person at the time stated opposite the method in the Table, unless the contrary is proved.</w:t>
      </w:r>
    </w:p>
    <w:p w:rsidR="00425758" w:rsidRDefault="00425758">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rsidR="00425758">
        <w:trPr>
          <w:cantSplit/>
          <w:tblHeader/>
        </w:trPr>
        <w:tc>
          <w:tcPr>
            <w:tcW w:w="516" w:type="dxa"/>
            <w:tcBorders>
              <w:top w:val="single" w:sz="4" w:space="0" w:color="auto"/>
              <w:bottom w:val="single" w:sz="4" w:space="0" w:color="auto"/>
            </w:tcBorders>
          </w:tcPr>
          <w:p w:rsidR="00425758" w:rsidRDefault="00425758">
            <w:pPr>
              <w:pStyle w:val="TableNAm"/>
              <w:rPr>
                <w:b/>
                <w:bCs/>
              </w:rPr>
            </w:pPr>
            <w:r>
              <w:rPr>
                <w:b/>
                <w:bCs/>
              </w:rPr>
              <w:t>No.</w:t>
            </w:r>
          </w:p>
        </w:tc>
        <w:tc>
          <w:tcPr>
            <w:tcW w:w="2127" w:type="dxa"/>
            <w:tcBorders>
              <w:top w:val="single" w:sz="4" w:space="0" w:color="auto"/>
              <w:bottom w:val="single" w:sz="4" w:space="0" w:color="auto"/>
            </w:tcBorders>
          </w:tcPr>
          <w:p w:rsidR="00425758" w:rsidRDefault="00425758">
            <w:pPr>
              <w:pStyle w:val="TableNAm"/>
              <w:rPr>
                <w:b/>
                <w:bCs/>
              </w:rPr>
            </w:pPr>
            <w:r>
              <w:rPr>
                <w:b/>
                <w:bCs/>
              </w:rPr>
              <w:t>Method of serving a document</w:t>
            </w:r>
          </w:p>
        </w:tc>
        <w:tc>
          <w:tcPr>
            <w:tcW w:w="3819" w:type="dxa"/>
            <w:tcBorders>
              <w:top w:val="single" w:sz="4" w:space="0" w:color="auto"/>
              <w:bottom w:val="single" w:sz="4" w:space="0" w:color="auto"/>
            </w:tcBorders>
          </w:tcPr>
          <w:p w:rsidR="00425758" w:rsidRDefault="00425758">
            <w:pPr>
              <w:pStyle w:val="TableNAm"/>
              <w:rPr>
                <w:b/>
                <w:bCs/>
              </w:rPr>
            </w:pPr>
            <w:r>
              <w:rPr>
                <w:b/>
                <w:bCs/>
              </w:rPr>
              <w:t>When the document is to be taken to be served</w:t>
            </w:r>
          </w:p>
        </w:tc>
      </w:tr>
      <w:tr w:rsidR="00425758">
        <w:trPr>
          <w:cantSplit/>
        </w:trPr>
        <w:tc>
          <w:tcPr>
            <w:tcW w:w="516" w:type="dxa"/>
          </w:tcPr>
          <w:p w:rsidR="00425758" w:rsidRDefault="00425758">
            <w:pPr>
              <w:pStyle w:val="TableNAm"/>
            </w:pPr>
            <w:r>
              <w:t>1.</w:t>
            </w:r>
          </w:p>
        </w:tc>
        <w:tc>
          <w:tcPr>
            <w:tcW w:w="2127" w:type="dxa"/>
          </w:tcPr>
          <w:p w:rsidR="00425758" w:rsidRDefault="00425758">
            <w:pPr>
              <w:pStyle w:val="TableNAm"/>
            </w:pPr>
            <w:r>
              <w:t>Delivering it to a place.</w:t>
            </w:r>
          </w:p>
        </w:tc>
        <w:tc>
          <w:tcPr>
            <w:tcW w:w="3819" w:type="dxa"/>
          </w:tcPr>
          <w:p w:rsidR="00425758" w:rsidRDefault="00425758">
            <w:pPr>
              <w:pStyle w:val="TableNAm"/>
            </w:pPr>
            <w:r>
              <w:t>If it is delivered before 4.00 p.m. on a working day, on that day.</w:t>
            </w:r>
          </w:p>
          <w:p w:rsidR="00425758" w:rsidRDefault="00425758">
            <w:pPr>
              <w:pStyle w:val="TableNAm"/>
            </w:pPr>
            <w:r>
              <w:t>Otherwise on the first working day after it is delivered.</w:t>
            </w:r>
          </w:p>
        </w:tc>
      </w:tr>
      <w:tr w:rsidR="00425758">
        <w:trPr>
          <w:cantSplit/>
        </w:trPr>
        <w:tc>
          <w:tcPr>
            <w:tcW w:w="516" w:type="dxa"/>
          </w:tcPr>
          <w:p w:rsidR="00425758" w:rsidRDefault="00425758">
            <w:pPr>
              <w:pStyle w:val="TableNAm"/>
            </w:pPr>
            <w:r>
              <w:t>2.</w:t>
            </w:r>
          </w:p>
        </w:tc>
        <w:tc>
          <w:tcPr>
            <w:tcW w:w="2127" w:type="dxa"/>
          </w:tcPr>
          <w:p w:rsidR="00425758" w:rsidRDefault="00425758">
            <w:pPr>
              <w:pStyle w:val="TableNAm"/>
            </w:pPr>
            <w:r>
              <w:t>Posting it by pre</w:t>
            </w:r>
            <w:r>
              <w:noBreakHyphen/>
              <w:t>paid post to an address.</w:t>
            </w:r>
          </w:p>
        </w:tc>
        <w:tc>
          <w:tcPr>
            <w:tcW w:w="3819" w:type="dxa"/>
          </w:tcPr>
          <w:p w:rsidR="00425758" w:rsidRDefault="00425758">
            <w:pPr>
              <w:pStyle w:val="TableNAm"/>
            </w:pPr>
            <w:r>
              <w:t>When it would be delivered to the address in the ordinary course of post.</w:t>
            </w:r>
          </w:p>
        </w:tc>
      </w:tr>
      <w:tr w:rsidR="00425758">
        <w:trPr>
          <w:cantSplit/>
        </w:trPr>
        <w:tc>
          <w:tcPr>
            <w:tcW w:w="516" w:type="dxa"/>
          </w:tcPr>
          <w:p w:rsidR="00425758" w:rsidRDefault="00425758">
            <w:pPr>
              <w:pStyle w:val="TableNAm"/>
            </w:pPr>
            <w:r>
              <w:lastRenderedPageBreak/>
              <w:t>3.</w:t>
            </w:r>
          </w:p>
        </w:tc>
        <w:tc>
          <w:tcPr>
            <w:tcW w:w="2127" w:type="dxa"/>
          </w:tcPr>
          <w:p w:rsidR="00425758" w:rsidRDefault="00425758">
            <w:pPr>
              <w:pStyle w:val="TableNAm"/>
            </w:pPr>
            <w:r>
              <w:t>Sending it by fax.</w:t>
            </w:r>
          </w:p>
        </w:tc>
        <w:tc>
          <w:tcPr>
            <w:tcW w:w="3819" w:type="dxa"/>
          </w:tcPr>
          <w:p w:rsidR="00425758" w:rsidRDefault="00425758">
            <w:pPr>
              <w:pStyle w:val="TableNAm"/>
            </w:pPr>
            <w:r>
              <w:t>If it is sent by fax before 4.00 p.m. on a working day, on that day.</w:t>
            </w:r>
          </w:p>
          <w:p w:rsidR="00425758" w:rsidRDefault="00425758">
            <w:pPr>
              <w:pStyle w:val="TableNAm"/>
            </w:pPr>
            <w:r>
              <w:t>Otherwise, on the first working day after the fax is sent.</w:t>
            </w:r>
          </w:p>
        </w:tc>
      </w:tr>
      <w:tr w:rsidR="00425758">
        <w:trPr>
          <w:cantSplit/>
        </w:trPr>
        <w:tc>
          <w:tcPr>
            <w:tcW w:w="516" w:type="dxa"/>
          </w:tcPr>
          <w:p w:rsidR="00425758" w:rsidRDefault="00425758">
            <w:pPr>
              <w:pStyle w:val="TableNAm"/>
            </w:pPr>
            <w:r>
              <w:t>4.</w:t>
            </w:r>
          </w:p>
        </w:tc>
        <w:tc>
          <w:tcPr>
            <w:tcW w:w="2127" w:type="dxa"/>
          </w:tcPr>
          <w:p w:rsidR="00425758" w:rsidRDefault="00425758">
            <w:pPr>
              <w:pStyle w:val="TableNAm"/>
            </w:pPr>
            <w:r>
              <w:t>Sending it by email.</w:t>
            </w:r>
          </w:p>
        </w:tc>
        <w:tc>
          <w:tcPr>
            <w:tcW w:w="3819" w:type="dxa"/>
          </w:tcPr>
          <w:p w:rsidR="00425758" w:rsidRDefault="00425758">
            <w:pPr>
              <w:pStyle w:val="TableNAm"/>
            </w:pPr>
            <w:r>
              <w:t>If it is sent by email before 4.00 p.m. on a working day, on that day.</w:t>
            </w:r>
          </w:p>
          <w:p w:rsidR="00425758" w:rsidRDefault="00425758">
            <w:pPr>
              <w:pStyle w:val="TableNAm"/>
            </w:pPr>
            <w:r>
              <w:t>Otherwise, on the first working day after the email is sent.</w:t>
            </w:r>
          </w:p>
        </w:tc>
      </w:tr>
      <w:tr w:rsidR="00425758">
        <w:trPr>
          <w:cantSplit/>
        </w:trPr>
        <w:tc>
          <w:tcPr>
            <w:tcW w:w="516" w:type="dxa"/>
            <w:tcBorders>
              <w:bottom w:val="single" w:sz="4" w:space="0" w:color="auto"/>
            </w:tcBorders>
          </w:tcPr>
          <w:p w:rsidR="00425758" w:rsidRDefault="00425758">
            <w:pPr>
              <w:pStyle w:val="TableNAm"/>
            </w:pPr>
            <w:r>
              <w:t>5.</w:t>
            </w:r>
          </w:p>
        </w:tc>
        <w:tc>
          <w:tcPr>
            <w:tcW w:w="2127" w:type="dxa"/>
            <w:tcBorders>
              <w:bottom w:val="single" w:sz="4" w:space="0" w:color="auto"/>
            </w:tcBorders>
          </w:tcPr>
          <w:p w:rsidR="00425758" w:rsidRDefault="00425758">
            <w:pPr>
              <w:pStyle w:val="TableNAm"/>
            </w:pPr>
            <w:r>
              <w:t>Delivering it to a document exchange.</w:t>
            </w:r>
          </w:p>
        </w:tc>
        <w:tc>
          <w:tcPr>
            <w:tcW w:w="3819" w:type="dxa"/>
            <w:tcBorders>
              <w:bottom w:val="single" w:sz="4" w:space="0" w:color="auto"/>
            </w:tcBorders>
          </w:tcPr>
          <w:p w:rsidR="00425758" w:rsidRDefault="00425758">
            <w:pPr>
              <w:pStyle w:val="TableNAm"/>
            </w:pPr>
            <w:r>
              <w:t>On the first working day after it is delivered.</w:t>
            </w:r>
          </w:p>
        </w:tc>
      </w:tr>
    </w:tbl>
    <w:p w:rsidR="00425758" w:rsidRDefault="00425758">
      <w:pPr>
        <w:pStyle w:val="Subsection"/>
        <w:keepLines/>
      </w:pPr>
      <w:r>
        <w:tab/>
        <w:t>(3)</w:t>
      </w:r>
      <w:r>
        <w:tab/>
        <w:t>If a document is served on a person in accordance with the Court’s directions given in a particular case, the document is to be taken to be served on the person at the time directed by the Court.</w:t>
      </w:r>
    </w:p>
    <w:p w:rsidR="00425758" w:rsidRDefault="00425758">
      <w:pPr>
        <w:pStyle w:val="Footnotesection"/>
      </w:pPr>
      <w:r>
        <w:tab/>
        <w:t>[Rule 5A inserted: Gazette 21 Feb 2007 p. 581; amended: Gazette 22 Feb 2008 p. 654; 28 Jul 2010 p. 3468.]</w:t>
      </w:r>
    </w:p>
    <w:p w:rsidR="00425758" w:rsidRDefault="00425758">
      <w:pPr>
        <w:pStyle w:val="Heading5"/>
      </w:pPr>
      <w:bookmarkStart w:id="1161" w:name="_Toc75863747"/>
      <w:r>
        <w:rPr>
          <w:rStyle w:val="CharSectno"/>
        </w:rPr>
        <w:t>6</w:t>
      </w:r>
      <w:r>
        <w:t>.</w:t>
      </w:r>
      <w:r>
        <w:tab/>
        <w:t>Service of documents by Court</w:t>
      </w:r>
      <w:bookmarkEnd w:id="1161"/>
    </w:p>
    <w:p w:rsidR="00425758" w:rsidRDefault="00425758">
      <w:pPr>
        <w:pStyle w:val="Subsection"/>
      </w:pPr>
      <w:r>
        <w:tab/>
        <w:t>(1)</w:t>
      </w:r>
      <w:r>
        <w:tab/>
        <w:t>If service of a document on a person by the Court is required, the proper officer must —</w:t>
      </w:r>
    </w:p>
    <w:p w:rsidR="00425758" w:rsidRDefault="00425758">
      <w:pPr>
        <w:pStyle w:val="Indenta"/>
      </w:pPr>
      <w:r>
        <w:tab/>
        <w:t>(a)</w:t>
      </w:r>
      <w:r>
        <w:tab/>
        <w:t>serve it on the person under rule 5; or</w:t>
      </w:r>
    </w:p>
    <w:p w:rsidR="00425758" w:rsidRDefault="00425758">
      <w:pPr>
        <w:pStyle w:val="Indenta"/>
      </w:pPr>
      <w:r>
        <w:tab/>
        <w:t>(b)</w:t>
      </w:r>
      <w:r>
        <w:tab/>
        <w:t>if the person is an authorised user of the ECMS —</w:t>
      </w:r>
    </w:p>
    <w:p w:rsidR="00425758" w:rsidRDefault="00425758">
      <w:pPr>
        <w:pStyle w:val="Indenti"/>
      </w:pPr>
      <w:r>
        <w:tab/>
        <w:t>(i)</w:t>
      </w:r>
      <w:r>
        <w:tab/>
        <w:t>put it in an electronic mailbox maintained by the Court; and</w:t>
      </w:r>
    </w:p>
    <w:p w:rsidR="00425758" w:rsidRDefault="00425758">
      <w:pPr>
        <w:pStyle w:val="Indenti"/>
      </w:pPr>
      <w:r>
        <w:tab/>
        <w:t>(ii)</w:t>
      </w:r>
      <w:r>
        <w:tab/>
        <w:t>send to the person’s email address recorded on the ECMS an email that says the document is in the mailbox,</w:t>
      </w:r>
    </w:p>
    <w:p w:rsidR="00425758" w:rsidRDefault="00425758">
      <w:pPr>
        <w:pStyle w:val="Indenta"/>
      </w:pPr>
      <w:r>
        <w:tab/>
      </w:r>
      <w:r>
        <w:tab/>
        <w:t>or serve it on the person under rule 5; or</w:t>
      </w:r>
    </w:p>
    <w:p w:rsidR="00425758" w:rsidRDefault="00425758">
      <w:pPr>
        <w:pStyle w:val="Indenta"/>
      </w:pPr>
      <w:r>
        <w:lastRenderedPageBreak/>
        <w:tab/>
        <w:t>(c)</w:t>
      </w:r>
      <w:r>
        <w:tab/>
        <w:t>if the Court has directed how the document is to be served — obey the directions.</w:t>
      </w:r>
    </w:p>
    <w:p w:rsidR="00425758" w:rsidRDefault="00425758">
      <w:pPr>
        <w:pStyle w:val="Subsection"/>
      </w:pPr>
      <w:r>
        <w:tab/>
        <w:t>(2)</w:t>
      </w:r>
      <w:r>
        <w:tab/>
        <w:t>Rule 5A applies to a document served under subrule (1).</w:t>
      </w:r>
    </w:p>
    <w:p w:rsidR="00425758" w:rsidRDefault="00425758">
      <w:pPr>
        <w:pStyle w:val="Footnotesection"/>
      </w:pPr>
      <w:r>
        <w:tab/>
        <w:t>[Rule 6 inserted: Gazette 22 Feb 2008 p. 655; amended: Gazette 27 Feb 2018 p. 618</w:t>
      </w:r>
      <w:r>
        <w:noBreakHyphen/>
        <w:t>19; 31 Dec 2019 p. 4677-8.]</w:t>
      </w:r>
    </w:p>
    <w:p w:rsidR="00425758" w:rsidRDefault="00425758">
      <w:pPr>
        <w:pStyle w:val="Heading5"/>
      </w:pPr>
      <w:bookmarkStart w:id="1162" w:name="_Toc75863748"/>
      <w:r>
        <w:rPr>
          <w:rStyle w:val="CharSectno"/>
        </w:rPr>
        <w:t>6A</w:t>
      </w:r>
      <w:r>
        <w:t>.</w:t>
      </w:r>
      <w:r>
        <w:tab/>
        <w:t>Serving documents by email</w:t>
      </w:r>
      <w:bookmarkEnd w:id="1162"/>
    </w:p>
    <w:p w:rsidR="00425758" w:rsidRDefault="00425758">
      <w:pPr>
        <w:pStyle w:val="Subsection"/>
      </w:pPr>
      <w:r>
        <w:tab/>
      </w:r>
      <w:r>
        <w:tab/>
        <w:t>Order 67A rule 4(4) to (7), with any necessary changes, apply to a document being served by email in the same way as they apply to a document being filed by email.</w:t>
      </w:r>
    </w:p>
    <w:p w:rsidR="00425758" w:rsidRDefault="00425758">
      <w:pPr>
        <w:pStyle w:val="Footnotesection"/>
      </w:pPr>
      <w:r>
        <w:tab/>
        <w:t>[Rule 6A inserted: Gazette 22 Feb 2008 p. 655; amended: Gazette 27 Feb 2018 p. 619.]</w:t>
      </w:r>
    </w:p>
    <w:p w:rsidR="00425758" w:rsidRDefault="00425758">
      <w:pPr>
        <w:pStyle w:val="Heading5"/>
        <w:rPr>
          <w:snapToGrid w:val="0"/>
        </w:rPr>
      </w:pPr>
      <w:bookmarkStart w:id="1163" w:name="_Toc75863749"/>
      <w:r>
        <w:rPr>
          <w:rStyle w:val="CharSectno"/>
        </w:rPr>
        <w:t>7</w:t>
      </w:r>
      <w:r>
        <w:rPr>
          <w:snapToGrid w:val="0"/>
        </w:rPr>
        <w:t>.</w:t>
      </w:r>
      <w:r>
        <w:rPr>
          <w:snapToGrid w:val="0"/>
        </w:rPr>
        <w:tab/>
        <w:t>Affidavits of service, content of</w:t>
      </w:r>
      <w:bookmarkEnd w:id="1163"/>
    </w:p>
    <w:p w:rsidR="00425758" w:rsidRDefault="00425758">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rsidR="00425758" w:rsidRDefault="00425758">
      <w:pPr>
        <w:pStyle w:val="Heading5"/>
        <w:rPr>
          <w:snapToGrid w:val="0"/>
        </w:rPr>
      </w:pPr>
      <w:bookmarkStart w:id="1164" w:name="_Toc75863750"/>
      <w:r>
        <w:rPr>
          <w:rStyle w:val="CharSectno"/>
        </w:rPr>
        <w:t>8</w:t>
      </w:r>
      <w:r>
        <w:rPr>
          <w:snapToGrid w:val="0"/>
        </w:rPr>
        <w:t>.</w:t>
      </w:r>
      <w:r>
        <w:rPr>
          <w:snapToGrid w:val="0"/>
        </w:rPr>
        <w:tab/>
        <w:t>No service required in certain cases</w:t>
      </w:r>
      <w:bookmarkEnd w:id="1164"/>
    </w:p>
    <w:p w:rsidR="00425758" w:rsidRDefault="00425758">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rsidR="00425758" w:rsidRDefault="00425758">
      <w:pPr>
        <w:pStyle w:val="Heading2"/>
        <w:rPr>
          <w:b w:val="0"/>
        </w:rPr>
      </w:pPr>
      <w:bookmarkStart w:id="1165" w:name="_Toc75512655"/>
      <w:bookmarkStart w:id="1166" w:name="_Toc75863751"/>
      <w:r>
        <w:rPr>
          <w:rStyle w:val="CharPartNo"/>
        </w:rPr>
        <w:lastRenderedPageBreak/>
        <w:t>Order 73</w:t>
      </w:r>
      <w:r>
        <w:rPr>
          <w:rStyle w:val="CharDivNo"/>
        </w:rPr>
        <w:t> </w:t>
      </w:r>
      <w:r>
        <w:t>—</w:t>
      </w:r>
      <w:r>
        <w:rPr>
          <w:rStyle w:val="CharDivText"/>
        </w:rPr>
        <w:t> </w:t>
      </w:r>
      <w:r>
        <w:rPr>
          <w:rStyle w:val="CharPartText"/>
        </w:rPr>
        <w:t>Probate proceedings</w:t>
      </w:r>
      <w:bookmarkEnd w:id="1165"/>
      <w:bookmarkEnd w:id="1166"/>
    </w:p>
    <w:p w:rsidR="00425758" w:rsidRDefault="00425758">
      <w:pPr>
        <w:pStyle w:val="Heading5"/>
        <w:rPr>
          <w:snapToGrid w:val="0"/>
        </w:rPr>
      </w:pPr>
      <w:bookmarkStart w:id="1167" w:name="_Toc75863752"/>
      <w:r>
        <w:rPr>
          <w:rStyle w:val="CharSectno"/>
        </w:rPr>
        <w:t>1</w:t>
      </w:r>
      <w:r>
        <w:rPr>
          <w:snapToGrid w:val="0"/>
        </w:rPr>
        <w:t>.</w:t>
      </w:r>
      <w:r>
        <w:rPr>
          <w:snapToGrid w:val="0"/>
        </w:rPr>
        <w:tab/>
        <w:t>Application of this Order and terms used</w:t>
      </w:r>
      <w:bookmarkEnd w:id="1167"/>
    </w:p>
    <w:p w:rsidR="00425758" w:rsidRDefault="00425758">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rsidR="00425758" w:rsidRDefault="00425758">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rsidR="00425758" w:rsidRDefault="00425758">
      <w:pPr>
        <w:pStyle w:val="Subsection"/>
        <w:rPr>
          <w:snapToGrid w:val="0"/>
        </w:rPr>
      </w:pPr>
      <w:r>
        <w:rPr>
          <w:snapToGrid w:val="0"/>
        </w:rPr>
        <w:tab/>
        <w:t>(3)</w:t>
      </w:r>
      <w:r>
        <w:rPr>
          <w:snapToGrid w:val="0"/>
        </w:rPr>
        <w:tab/>
        <w:t>In this Order — </w:t>
      </w:r>
    </w:p>
    <w:p w:rsidR="00425758" w:rsidRDefault="00425758">
      <w:pPr>
        <w:pStyle w:val="Defstart"/>
      </w:pPr>
      <w:r>
        <w:rPr>
          <w:b/>
        </w:rPr>
        <w:tab/>
      </w:r>
      <w:r>
        <w:rPr>
          <w:rStyle w:val="CharDefText"/>
        </w:rPr>
        <w:t>Registry</w:t>
      </w:r>
      <w:r>
        <w:t xml:space="preserve"> means the Probate Office of the Supreme Court;</w:t>
      </w:r>
    </w:p>
    <w:p w:rsidR="00425758" w:rsidRDefault="00425758">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rsidR="00425758" w:rsidRDefault="00425758">
      <w:pPr>
        <w:pStyle w:val="Defstart"/>
      </w:pPr>
      <w:r>
        <w:rPr>
          <w:b/>
        </w:rPr>
        <w:tab/>
      </w:r>
      <w:r>
        <w:rPr>
          <w:rStyle w:val="CharDefText"/>
        </w:rPr>
        <w:t>will</w:t>
      </w:r>
      <w:r>
        <w:t xml:space="preserve"> has the same meaning as in the </w:t>
      </w:r>
      <w:r>
        <w:rPr>
          <w:i/>
        </w:rPr>
        <w:t>Administration Act 1903</w:t>
      </w:r>
      <w:r>
        <w:t>.</w:t>
      </w:r>
    </w:p>
    <w:p w:rsidR="00425758" w:rsidRDefault="00425758">
      <w:pPr>
        <w:pStyle w:val="Heading5"/>
        <w:rPr>
          <w:snapToGrid w:val="0"/>
        </w:rPr>
      </w:pPr>
      <w:bookmarkStart w:id="1168" w:name="_Toc75863753"/>
      <w:r>
        <w:rPr>
          <w:rStyle w:val="CharSectno"/>
        </w:rPr>
        <w:t>2</w:t>
      </w:r>
      <w:r>
        <w:rPr>
          <w:snapToGrid w:val="0"/>
        </w:rPr>
        <w:t>.</w:t>
      </w:r>
      <w:r>
        <w:rPr>
          <w:snapToGrid w:val="0"/>
        </w:rPr>
        <w:tab/>
        <w:t>Commencing probate action</w:t>
      </w:r>
      <w:bookmarkEnd w:id="1168"/>
    </w:p>
    <w:p w:rsidR="00425758" w:rsidRDefault="00425758">
      <w:pPr>
        <w:pStyle w:val="Subsection"/>
      </w:pPr>
      <w:r>
        <w:tab/>
        <w:t>(1)</w:t>
      </w:r>
      <w:r>
        <w:tab/>
        <w:t>A probate action must be begun by writ.</w:t>
      </w:r>
    </w:p>
    <w:p w:rsidR="00425758" w:rsidRDefault="00425758">
      <w:pPr>
        <w:pStyle w:val="Subsection"/>
        <w:rPr>
          <w:snapToGrid w:val="0"/>
        </w:rPr>
      </w:pPr>
      <w:r>
        <w:rPr>
          <w:snapToGrid w:val="0"/>
        </w:rPr>
        <w:tab/>
        <w:t>(2)</w:t>
      </w:r>
      <w:r>
        <w:rPr>
          <w:snapToGrid w:val="0"/>
        </w:rPr>
        <w:tab/>
        <w:t xml:space="preserve">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w:t>
      </w:r>
      <w:r>
        <w:t>filed.</w:t>
      </w:r>
    </w:p>
    <w:p w:rsidR="00425758" w:rsidRDefault="00425758">
      <w:pPr>
        <w:pStyle w:val="Footnotesection"/>
      </w:pPr>
      <w:r>
        <w:tab/>
        <w:t>[Rule 2 amended: Gazette 27 Feb 2018 p. 619.]</w:t>
      </w:r>
    </w:p>
    <w:p w:rsidR="00425758" w:rsidRDefault="00425758">
      <w:pPr>
        <w:pStyle w:val="Ednotesection"/>
      </w:pPr>
      <w:r>
        <w:t>[</w:t>
      </w:r>
      <w:r>
        <w:rPr>
          <w:b/>
        </w:rPr>
        <w:t>3.</w:t>
      </w:r>
      <w:r>
        <w:tab/>
        <w:t>Deleted: Gazette 12 Jun 2012 p. 2452.]</w:t>
      </w:r>
    </w:p>
    <w:p w:rsidR="00425758" w:rsidRDefault="00425758">
      <w:pPr>
        <w:pStyle w:val="Heading5"/>
        <w:rPr>
          <w:snapToGrid w:val="0"/>
        </w:rPr>
      </w:pPr>
      <w:bookmarkStart w:id="1169" w:name="_Toc75863754"/>
      <w:r>
        <w:rPr>
          <w:rStyle w:val="CharSectno"/>
        </w:rPr>
        <w:lastRenderedPageBreak/>
        <w:t>4</w:t>
      </w:r>
      <w:r>
        <w:rPr>
          <w:snapToGrid w:val="0"/>
        </w:rPr>
        <w:t>.</w:t>
      </w:r>
      <w:r>
        <w:rPr>
          <w:snapToGrid w:val="0"/>
        </w:rPr>
        <w:tab/>
        <w:t>Intervention by person who is not defendant</w:t>
      </w:r>
      <w:bookmarkEnd w:id="1169"/>
    </w:p>
    <w:p w:rsidR="00425758" w:rsidRDefault="00425758">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rsidR="00425758" w:rsidRDefault="00425758">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rsidR="00425758" w:rsidRDefault="00425758">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rsidR="00425758" w:rsidRDefault="00425758">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rsidR="00425758" w:rsidRDefault="00425758">
      <w:pPr>
        <w:pStyle w:val="Heading5"/>
        <w:rPr>
          <w:snapToGrid w:val="0"/>
        </w:rPr>
      </w:pPr>
      <w:bookmarkStart w:id="1170" w:name="_Toc75863755"/>
      <w:r>
        <w:rPr>
          <w:rStyle w:val="CharSectno"/>
        </w:rPr>
        <w:t>5</w:t>
      </w:r>
      <w:r>
        <w:rPr>
          <w:snapToGrid w:val="0"/>
        </w:rPr>
        <w:t>.</w:t>
      </w:r>
      <w:r>
        <w:rPr>
          <w:snapToGrid w:val="0"/>
        </w:rPr>
        <w:tab/>
        <w:t>Citation against non-party with adverse interest</w:t>
      </w:r>
      <w:bookmarkEnd w:id="1170"/>
      <w:r>
        <w:rPr>
          <w:snapToGrid w:val="0"/>
        </w:rPr>
        <w:t xml:space="preserve"> </w:t>
      </w:r>
    </w:p>
    <w:p w:rsidR="00425758" w:rsidRDefault="00425758">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rsidR="00425758" w:rsidRDefault="00425758">
      <w:pPr>
        <w:pStyle w:val="Heading5"/>
        <w:rPr>
          <w:snapToGrid w:val="0"/>
        </w:rPr>
      </w:pPr>
      <w:bookmarkStart w:id="1171" w:name="_Toc75863756"/>
      <w:r>
        <w:rPr>
          <w:rStyle w:val="CharSectno"/>
        </w:rPr>
        <w:t>6</w:t>
      </w:r>
      <w:r>
        <w:rPr>
          <w:snapToGrid w:val="0"/>
        </w:rPr>
        <w:t>.</w:t>
      </w:r>
      <w:r>
        <w:rPr>
          <w:snapToGrid w:val="0"/>
        </w:rPr>
        <w:tab/>
        <w:t>Person cited failing to appear</w:t>
      </w:r>
      <w:bookmarkEnd w:id="1171"/>
    </w:p>
    <w:p w:rsidR="00425758" w:rsidRDefault="00425758">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rsidR="00425758" w:rsidRDefault="00425758">
      <w:pPr>
        <w:pStyle w:val="Heading5"/>
        <w:rPr>
          <w:snapToGrid w:val="0"/>
        </w:rPr>
      </w:pPr>
      <w:bookmarkStart w:id="1172" w:name="_Toc75863757"/>
      <w:r>
        <w:rPr>
          <w:rStyle w:val="CharSectno"/>
        </w:rPr>
        <w:t>7</w:t>
      </w:r>
      <w:r>
        <w:rPr>
          <w:snapToGrid w:val="0"/>
        </w:rPr>
        <w:t>.</w:t>
      </w:r>
      <w:r>
        <w:rPr>
          <w:snapToGrid w:val="0"/>
        </w:rPr>
        <w:tab/>
        <w:t>Entry of appearance</w:t>
      </w:r>
      <w:bookmarkEnd w:id="1172"/>
    </w:p>
    <w:p w:rsidR="00425758" w:rsidRDefault="00425758">
      <w:pPr>
        <w:pStyle w:val="Subsection"/>
        <w:rPr>
          <w:snapToGrid w:val="0"/>
        </w:rPr>
      </w:pPr>
      <w:r>
        <w:rPr>
          <w:snapToGrid w:val="0"/>
        </w:rPr>
        <w:tab/>
      </w:r>
      <w:r>
        <w:rPr>
          <w:snapToGrid w:val="0"/>
        </w:rPr>
        <w:tab/>
        <w:t xml:space="preserve">An </w:t>
      </w:r>
      <w:r>
        <w:t>entry of</w:t>
      </w:r>
      <w:r>
        <w:rPr>
          <w:snapToGrid w:val="0"/>
        </w:rPr>
        <w:t xml:space="preserve"> appearance in a probate action must be </w:t>
      </w:r>
      <w:r>
        <w:t>filed</w:t>
      </w:r>
      <w:r>
        <w:rPr>
          <w:snapToGrid w:val="0"/>
        </w:rPr>
        <w:t xml:space="preserve"> and Order 12 rules 1 to 7 apply to an entry of appearance by a </w:t>
      </w:r>
      <w:r>
        <w:rPr>
          <w:snapToGrid w:val="0"/>
        </w:rPr>
        <w:lastRenderedPageBreak/>
        <w:t>person authorised to intervene in such an action, and by a person cited under rule 5, as if — </w:t>
      </w:r>
    </w:p>
    <w:p w:rsidR="00425758" w:rsidRDefault="00425758">
      <w:pPr>
        <w:pStyle w:val="Indenta"/>
        <w:rPr>
          <w:snapToGrid w:val="0"/>
        </w:rPr>
      </w:pPr>
      <w:r>
        <w:rPr>
          <w:snapToGrid w:val="0"/>
        </w:rPr>
        <w:tab/>
        <w:t>(a)</w:t>
      </w:r>
      <w:r>
        <w:rPr>
          <w:snapToGrid w:val="0"/>
        </w:rPr>
        <w:tab/>
        <w:t>that person were a defendant; and</w:t>
      </w:r>
    </w:p>
    <w:p w:rsidR="00425758" w:rsidRDefault="00425758">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rsidR="00425758" w:rsidRDefault="00425758">
      <w:pPr>
        <w:pStyle w:val="Footnotesection"/>
      </w:pPr>
      <w:r>
        <w:tab/>
        <w:t>[Rule 7 amended: Gazette 27 Feb 2018 p. 619</w:t>
      </w:r>
      <w:r>
        <w:noBreakHyphen/>
        <w:t>20.]</w:t>
      </w:r>
    </w:p>
    <w:p w:rsidR="00425758" w:rsidRDefault="00425758">
      <w:pPr>
        <w:pStyle w:val="Heading5"/>
        <w:rPr>
          <w:snapToGrid w:val="0"/>
        </w:rPr>
      </w:pPr>
      <w:bookmarkStart w:id="1173" w:name="_Toc75863758"/>
      <w:r>
        <w:rPr>
          <w:rStyle w:val="CharSectno"/>
        </w:rPr>
        <w:t>8</w:t>
      </w:r>
      <w:r>
        <w:rPr>
          <w:snapToGrid w:val="0"/>
        </w:rPr>
        <w:t>.</w:t>
      </w:r>
      <w:r>
        <w:rPr>
          <w:snapToGrid w:val="0"/>
        </w:rPr>
        <w:tab/>
        <w:t>Citation to executor etc. to bring in probate etc.</w:t>
      </w:r>
      <w:bookmarkEnd w:id="1173"/>
    </w:p>
    <w:p w:rsidR="00425758" w:rsidRDefault="00425758">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rsidR="00425758" w:rsidRDefault="00425758">
      <w:pPr>
        <w:pStyle w:val="Heading5"/>
      </w:pPr>
      <w:bookmarkStart w:id="1174" w:name="_Toc75863759"/>
      <w:r>
        <w:rPr>
          <w:rStyle w:val="CharSectno"/>
        </w:rPr>
        <w:t>8A</w:t>
      </w:r>
      <w:r>
        <w:t>.</w:t>
      </w:r>
      <w:r>
        <w:tab/>
        <w:t>Applications to include draft citation</w:t>
      </w:r>
      <w:bookmarkEnd w:id="1174"/>
    </w:p>
    <w:p w:rsidR="00425758" w:rsidRDefault="00425758">
      <w:pPr>
        <w:pStyle w:val="Subsection"/>
      </w:pPr>
      <w:r>
        <w:tab/>
      </w:r>
      <w:r>
        <w:tab/>
        <w:t>An application under rule 5 or 8 must include a draft citation.</w:t>
      </w:r>
    </w:p>
    <w:p w:rsidR="00425758" w:rsidRDefault="00425758">
      <w:pPr>
        <w:pStyle w:val="Footnotesection"/>
      </w:pPr>
      <w:r>
        <w:tab/>
        <w:t>[Rule 8A inserted: Gazette 27 Feb 2018 p. 620.]</w:t>
      </w:r>
    </w:p>
    <w:p w:rsidR="00425758" w:rsidRDefault="00425758">
      <w:pPr>
        <w:pStyle w:val="Heading5"/>
        <w:rPr>
          <w:snapToGrid w:val="0"/>
        </w:rPr>
      </w:pPr>
      <w:bookmarkStart w:id="1175" w:name="_Toc75863760"/>
      <w:r>
        <w:rPr>
          <w:rStyle w:val="CharSectno"/>
        </w:rPr>
        <w:t>9</w:t>
      </w:r>
      <w:r>
        <w:rPr>
          <w:snapToGrid w:val="0"/>
        </w:rPr>
        <w:t>.</w:t>
      </w:r>
      <w:r>
        <w:rPr>
          <w:snapToGrid w:val="0"/>
        </w:rPr>
        <w:tab/>
        <w:t>Citations, issue of</w:t>
      </w:r>
      <w:bookmarkEnd w:id="1175"/>
    </w:p>
    <w:p w:rsidR="00425758" w:rsidRDefault="00425758">
      <w:pPr>
        <w:pStyle w:val="Subsection"/>
        <w:rPr>
          <w:snapToGrid w:val="0"/>
        </w:rPr>
      </w:pPr>
      <w:r>
        <w:rPr>
          <w:snapToGrid w:val="0"/>
        </w:rPr>
        <w:tab/>
        <w:t>(1)</w:t>
      </w:r>
      <w:r>
        <w:rPr>
          <w:snapToGrid w:val="0"/>
        </w:rPr>
        <w:tab/>
        <w:t>A citation must not be issued unless — </w:t>
      </w:r>
    </w:p>
    <w:p w:rsidR="00425758" w:rsidRDefault="00425758">
      <w:pPr>
        <w:pStyle w:val="Indenta"/>
        <w:rPr>
          <w:snapToGrid w:val="0"/>
        </w:rPr>
      </w:pPr>
      <w:r>
        <w:rPr>
          <w:snapToGrid w:val="0"/>
        </w:rPr>
        <w:tab/>
        <w:t>(a)</w:t>
      </w:r>
      <w:r>
        <w:rPr>
          <w:snapToGrid w:val="0"/>
        </w:rPr>
        <w:tab/>
        <w:t>the citation is settled by a registrar; and</w:t>
      </w:r>
    </w:p>
    <w:p w:rsidR="00425758" w:rsidRDefault="00425758">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rsidR="00425758" w:rsidRDefault="00425758">
      <w:pPr>
        <w:pStyle w:val="Subsection"/>
        <w:rPr>
          <w:snapToGrid w:val="0"/>
        </w:rPr>
      </w:pPr>
      <w:r>
        <w:rPr>
          <w:snapToGrid w:val="0"/>
        </w:rPr>
        <w:tab/>
        <w:t>(2)</w:t>
      </w:r>
      <w:r>
        <w:rPr>
          <w:snapToGrid w:val="0"/>
        </w:rPr>
        <w:tab/>
        <w:t>A citation is issued upon its being sealed by the proper officer.</w:t>
      </w:r>
    </w:p>
    <w:p w:rsidR="00425758" w:rsidRDefault="00425758">
      <w:pPr>
        <w:pStyle w:val="Footnotesection"/>
      </w:pPr>
      <w:r>
        <w:tab/>
        <w:t xml:space="preserve">[Rule 9 amended: Gazette 14 Dec 1979 p. 3872; 27 Feb 2018 p. 620.] </w:t>
      </w:r>
    </w:p>
    <w:p w:rsidR="00425758" w:rsidRDefault="00425758">
      <w:pPr>
        <w:pStyle w:val="Heading5"/>
        <w:rPr>
          <w:snapToGrid w:val="0"/>
        </w:rPr>
      </w:pPr>
      <w:bookmarkStart w:id="1176" w:name="_Toc75863761"/>
      <w:r>
        <w:rPr>
          <w:rStyle w:val="CharSectno"/>
        </w:rPr>
        <w:lastRenderedPageBreak/>
        <w:t>10</w:t>
      </w:r>
      <w:r>
        <w:rPr>
          <w:snapToGrid w:val="0"/>
        </w:rPr>
        <w:t>.</w:t>
      </w:r>
      <w:r>
        <w:rPr>
          <w:snapToGrid w:val="0"/>
        </w:rPr>
        <w:tab/>
        <w:t>Citations, service of</w:t>
      </w:r>
      <w:bookmarkEnd w:id="1176"/>
    </w:p>
    <w:p w:rsidR="00425758" w:rsidRDefault="00425758">
      <w:pPr>
        <w:pStyle w:val="Subsection"/>
        <w:rPr>
          <w:snapToGrid w:val="0"/>
        </w:rPr>
      </w:pPr>
      <w:r>
        <w:rPr>
          <w:snapToGrid w:val="0"/>
        </w:rPr>
        <w:tab/>
        <w:t>(1)</w:t>
      </w:r>
      <w:r>
        <w:rPr>
          <w:snapToGrid w:val="0"/>
        </w:rPr>
        <w:tab/>
        <w:t>Without prejudice to Order 72 rule 4, a citation must be served personally on the person cited.</w:t>
      </w:r>
    </w:p>
    <w:p w:rsidR="00425758" w:rsidRDefault="00425758">
      <w:pPr>
        <w:pStyle w:val="Subsection"/>
        <w:rPr>
          <w:snapToGrid w:val="0"/>
        </w:rPr>
      </w:pPr>
      <w:r>
        <w:rPr>
          <w:snapToGrid w:val="0"/>
        </w:rPr>
        <w:tab/>
        <w:t>(2)</w:t>
      </w:r>
      <w:r>
        <w:rPr>
          <w:snapToGrid w:val="0"/>
        </w:rPr>
        <w:tab/>
        <w:t>A citation may be served out of the jurisdiction but, if it is issued pursuant to rule 8, only with the leave of the Court.</w:t>
      </w:r>
    </w:p>
    <w:p w:rsidR="00425758" w:rsidRDefault="00425758">
      <w:pPr>
        <w:pStyle w:val="Subsection"/>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rsidR="00425758" w:rsidRDefault="00425758">
      <w:pPr>
        <w:pStyle w:val="Subsection"/>
        <w:rPr>
          <w:snapToGrid w:val="0"/>
        </w:rPr>
      </w:pPr>
      <w:r>
        <w:rPr>
          <w:snapToGrid w:val="0"/>
        </w:rPr>
        <w:tab/>
        <w:t>(4)</w:t>
      </w:r>
      <w:r>
        <w:rPr>
          <w:snapToGrid w:val="0"/>
        </w:rPr>
        <w:tab/>
        <w:t>The order granting leave must fix the time within which the person to be served must comply with the citation.</w:t>
      </w:r>
    </w:p>
    <w:p w:rsidR="00425758" w:rsidRDefault="00425758">
      <w:pPr>
        <w:pStyle w:val="Subsection"/>
      </w:pPr>
      <w:r>
        <w:tab/>
        <w:t>(5)</w:t>
      </w:r>
      <w:r>
        <w:tab/>
        <w:t>Order 10 rules 9, 10 and 11 apply to a citation issued pursuant to rule 8 as they apply to a writ.</w:t>
      </w:r>
    </w:p>
    <w:p w:rsidR="00425758" w:rsidRDefault="00425758">
      <w:pPr>
        <w:pStyle w:val="Footnotesection"/>
      </w:pPr>
      <w:r>
        <w:tab/>
        <w:t>[Rule 10 amended: Gazette 28 Jun 2011 p. 2552; 12 Jun 2012 p. 2452.]</w:t>
      </w:r>
    </w:p>
    <w:p w:rsidR="00425758" w:rsidRDefault="00425758">
      <w:pPr>
        <w:pStyle w:val="Heading5"/>
        <w:spacing w:before="240"/>
        <w:rPr>
          <w:snapToGrid w:val="0"/>
        </w:rPr>
      </w:pPr>
      <w:bookmarkStart w:id="1177" w:name="_Toc75863762"/>
      <w:r>
        <w:rPr>
          <w:rStyle w:val="CharSectno"/>
        </w:rPr>
        <w:t>11</w:t>
      </w:r>
      <w:r>
        <w:rPr>
          <w:snapToGrid w:val="0"/>
        </w:rPr>
        <w:t>.</w:t>
      </w:r>
      <w:r>
        <w:rPr>
          <w:snapToGrid w:val="0"/>
        </w:rPr>
        <w:tab/>
        <w:t>Affidavit of scripts</w:t>
      </w:r>
      <w:bookmarkEnd w:id="1177"/>
    </w:p>
    <w:p w:rsidR="00425758" w:rsidRDefault="00425758">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rsidR="00425758" w:rsidRDefault="00425758">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rsidR="00425758" w:rsidRDefault="00425758">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rsidR="00425758" w:rsidRDefault="00425758">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rsidR="00425758" w:rsidRDefault="00425758">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w:t>
      </w:r>
      <w:r>
        <w:rPr>
          <w:snapToGrid w:val="0"/>
        </w:rPr>
        <w:lastRenderedPageBreak/>
        <w:t>appearance by a defendant, or if no defendant enters an appearance and the Court does not otherwise direct, before the action is set down for trial.</w:t>
      </w:r>
    </w:p>
    <w:p w:rsidR="00425758" w:rsidRDefault="00425758">
      <w:pPr>
        <w:pStyle w:val="Footnotesection"/>
      </w:pPr>
      <w:r>
        <w:tab/>
        <w:t>[Rule 11 amended: Gazette 21 Feb 2007 p. 582.]</w:t>
      </w:r>
    </w:p>
    <w:p w:rsidR="00425758" w:rsidRDefault="00425758">
      <w:pPr>
        <w:pStyle w:val="Heading5"/>
        <w:rPr>
          <w:snapToGrid w:val="0"/>
        </w:rPr>
      </w:pPr>
      <w:bookmarkStart w:id="1178" w:name="_Toc75863763"/>
      <w:r>
        <w:rPr>
          <w:rStyle w:val="CharSectno"/>
        </w:rPr>
        <w:t>12</w:t>
      </w:r>
      <w:r>
        <w:rPr>
          <w:snapToGrid w:val="0"/>
        </w:rPr>
        <w:t>.</w:t>
      </w:r>
      <w:r>
        <w:rPr>
          <w:snapToGrid w:val="0"/>
        </w:rPr>
        <w:tab/>
        <w:t>Scripts in pencil, affidavits as to; inspecting affidavits of scripts</w:t>
      </w:r>
      <w:bookmarkEnd w:id="1178"/>
    </w:p>
    <w:p w:rsidR="00425758" w:rsidRDefault="00425758">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copy of the script or the page or pages of it containing the part written in pencil showing </w:t>
      </w:r>
      <w:r>
        <w:t>in bold type</w:t>
      </w:r>
      <w:r>
        <w:rPr>
          <w:snapToGrid w:val="0"/>
        </w:rPr>
        <w:t xml:space="preserve"> the words which appear in pencil in the original.</w:t>
      </w:r>
    </w:p>
    <w:p w:rsidR="00425758" w:rsidRDefault="00425758">
      <w:pPr>
        <w:pStyle w:val="MiscellaneousFootnotes"/>
        <w:tabs>
          <w:tab w:val="left" w:pos="868"/>
        </w:tabs>
        <w:ind w:left="882" w:hanging="882"/>
        <w:rPr>
          <w:i/>
          <w:iCs/>
        </w:rPr>
      </w:pPr>
      <w:r>
        <w:rPr>
          <w:i/>
          <w:iCs/>
        </w:rPr>
        <w:tab/>
        <w:t xml:space="preserve">[Heading deleted: Gazette 22 Feb 2008 p. 642.] </w:t>
      </w:r>
    </w:p>
    <w:p w:rsidR="00425758" w:rsidRDefault="00425758">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rsidR="00425758" w:rsidRDefault="00425758">
      <w:pPr>
        <w:pStyle w:val="Footnotesection"/>
      </w:pPr>
      <w:r>
        <w:tab/>
        <w:t>[Rule 12 amended: Gazette 21 Feb 2007 p. 582; 27 Feb 2018 p. 620.]</w:t>
      </w:r>
    </w:p>
    <w:p w:rsidR="00425758" w:rsidRDefault="00425758">
      <w:pPr>
        <w:pStyle w:val="Heading5"/>
        <w:rPr>
          <w:snapToGrid w:val="0"/>
        </w:rPr>
      </w:pPr>
      <w:bookmarkStart w:id="1179" w:name="_Toc75863764"/>
      <w:r>
        <w:rPr>
          <w:rStyle w:val="CharSectno"/>
        </w:rPr>
        <w:t>13</w:t>
      </w:r>
      <w:r>
        <w:rPr>
          <w:snapToGrid w:val="0"/>
        </w:rPr>
        <w:t>.</w:t>
      </w:r>
      <w:r>
        <w:rPr>
          <w:snapToGrid w:val="0"/>
        </w:rPr>
        <w:tab/>
        <w:t>Default of appearance</w:t>
      </w:r>
      <w:bookmarkEnd w:id="1179"/>
    </w:p>
    <w:p w:rsidR="00425758" w:rsidRDefault="00425758">
      <w:pPr>
        <w:pStyle w:val="Subsection"/>
        <w:rPr>
          <w:snapToGrid w:val="0"/>
        </w:rPr>
      </w:pPr>
      <w:r>
        <w:rPr>
          <w:snapToGrid w:val="0"/>
        </w:rPr>
        <w:tab/>
        <w:t>(1)</w:t>
      </w:r>
      <w:r>
        <w:rPr>
          <w:snapToGrid w:val="0"/>
        </w:rPr>
        <w:tab/>
        <w:t>Order 13 does not apply to a probate action.</w:t>
      </w:r>
    </w:p>
    <w:p w:rsidR="00425758" w:rsidRDefault="00425758">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rsidR="00425758" w:rsidRDefault="00425758">
      <w:pPr>
        <w:pStyle w:val="Subsection"/>
        <w:rPr>
          <w:snapToGrid w:val="0"/>
        </w:rPr>
      </w:pPr>
      <w:r>
        <w:rPr>
          <w:snapToGrid w:val="0"/>
        </w:rPr>
        <w:tab/>
        <w:t>(3)</w:t>
      </w:r>
      <w:r>
        <w:rPr>
          <w:snapToGrid w:val="0"/>
        </w:rPr>
        <w:tab/>
        <w:t xml:space="preserve">Where the defendant or none of the defendants in a probate action and none of the persons (if any) cited under rule 5, enters an appearance, and the Court has not, on the application of the </w:t>
      </w:r>
      <w:r>
        <w:rPr>
          <w:snapToGrid w:val="0"/>
        </w:rPr>
        <w:lastRenderedPageBreak/>
        <w:t>plaintiff, ordered discontinuance of the action, the plaintiff may, after the time limited for appearance, apply to the Court for leave to set down the action for trial.</w:t>
      </w:r>
    </w:p>
    <w:p w:rsidR="00425758" w:rsidRDefault="00425758">
      <w:pPr>
        <w:pStyle w:val="Subsection"/>
      </w:pPr>
      <w:r>
        <w:tab/>
        <w:t>(4)</w:t>
      </w:r>
      <w:r>
        <w:tab/>
        <w:t>Before applying for leave under subrule (3), the plaintiff must file an affidavit proving due service of the writ and of the citation (if any).</w:t>
      </w:r>
    </w:p>
    <w:p w:rsidR="00425758" w:rsidRDefault="00425758">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rsidR="00425758" w:rsidRDefault="00425758">
      <w:pPr>
        <w:pStyle w:val="Footnotesection"/>
      </w:pPr>
      <w:r>
        <w:tab/>
        <w:t>[Rule 13 amended: Gazette 28 Jun 2011 p. 2552; 12 Jun 2012 p. 2452.]</w:t>
      </w:r>
    </w:p>
    <w:p w:rsidR="00425758" w:rsidRDefault="00425758">
      <w:pPr>
        <w:pStyle w:val="Heading5"/>
        <w:rPr>
          <w:snapToGrid w:val="0"/>
        </w:rPr>
      </w:pPr>
      <w:bookmarkStart w:id="1180" w:name="_Toc75863765"/>
      <w:r>
        <w:rPr>
          <w:rStyle w:val="CharSectno"/>
        </w:rPr>
        <w:t>14</w:t>
      </w:r>
      <w:r>
        <w:rPr>
          <w:snapToGrid w:val="0"/>
        </w:rPr>
        <w:t>.</w:t>
      </w:r>
      <w:r>
        <w:rPr>
          <w:snapToGrid w:val="0"/>
        </w:rPr>
        <w:tab/>
        <w:t>Counterclaim</w:t>
      </w:r>
      <w:bookmarkEnd w:id="1180"/>
    </w:p>
    <w:p w:rsidR="00425758" w:rsidRDefault="00425758">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rsidR="00425758" w:rsidRDefault="00425758">
      <w:pPr>
        <w:pStyle w:val="Heading5"/>
        <w:rPr>
          <w:snapToGrid w:val="0"/>
        </w:rPr>
      </w:pPr>
      <w:bookmarkStart w:id="1181" w:name="_Toc75863766"/>
      <w:r>
        <w:rPr>
          <w:rStyle w:val="CharSectno"/>
        </w:rPr>
        <w:t>15</w:t>
      </w:r>
      <w:r>
        <w:rPr>
          <w:snapToGrid w:val="0"/>
        </w:rPr>
        <w:t>.</w:t>
      </w:r>
      <w:r>
        <w:rPr>
          <w:snapToGrid w:val="0"/>
        </w:rPr>
        <w:tab/>
        <w:t>Defendant may require only proof in solemn form</w:t>
      </w:r>
      <w:bookmarkEnd w:id="1181"/>
    </w:p>
    <w:p w:rsidR="00425758" w:rsidRDefault="00425758">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rsidR="00425758" w:rsidRDefault="00425758">
      <w:pPr>
        <w:pStyle w:val="Heading5"/>
        <w:keepLines w:val="0"/>
        <w:rPr>
          <w:snapToGrid w:val="0"/>
        </w:rPr>
      </w:pPr>
      <w:bookmarkStart w:id="1182" w:name="_Toc75863767"/>
      <w:r>
        <w:rPr>
          <w:rStyle w:val="CharSectno"/>
        </w:rPr>
        <w:t>16</w:t>
      </w:r>
      <w:r>
        <w:rPr>
          <w:snapToGrid w:val="0"/>
        </w:rPr>
        <w:t>.</w:t>
      </w:r>
      <w:r>
        <w:rPr>
          <w:snapToGrid w:val="0"/>
        </w:rPr>
        <w:tab/>
        <w:t>Pleadings</w:t>
      </w:r>
      <w:bookmarkEnd w:id="1182"/>
    </w:p>
    <w:p w:rsidR="00425758" w:rsidRDefault="00425758">
      <w:pPr>
        <w:pStyle w:val="Subsection"/>
        <w:rPr>
          <w:snapToGrid w:val="0"/>
        </w:rPr>
      </w:pPr>
      <w:r>
        <w:rPr>
          <w:snapToGrid w:val="0"/>
        </w:rPr>
        <w:tab/>
        <w:t>(1)</w:t>
      </w:r>
      <w:r>
        <w:rPr>
          <w:snapToGrid w:val="0"/>
        </w:rPr>
        <w:tab/>
        <w:t>Where a plaintiff disputes the interest of a defendant he shall so allege in his claim.</w:t>
      </w:r>
    </w:p>
    <w:p w:rsidR="00425758" w:rsidRDefault="00425758">
      <w:pPr>
        <w:pStyle w:val="Subsection"/>
        <w:rPr>
          <w:snapToGrid w:val="0"/>
        </w:rPr>
      </w:pPr>
      <w:r>
        <w:rPr>
          <w:snapToGrid w:val="0"/>
        </w:rPr>
        <w:tab/>
        <w:t>(2)</w:t>
      </w:r>
      <w:r>
        <w:rPr>
          <w:snapToGrid w:val="0"/>
        </w:rPr>
        <w:tab/>
        <w:t xml:space="preserve">Where by virtue of an interest a party claims to be entitled to a grant of letters of administration another party shall not dispute </w:t>
      </w:r>
      <w:r>
        <w:rPr>
          <w:snapToGrid w:val="0"/>
        </w:rPr>
        <w:lastRenderedPageBreak/>
        <w:t>that interest unless he shows in his pleading that if the allegations in it are proved he would be entitled to an interest in the estate.</w:t>
      </w:r>
    </w:p>
    <w:p w:rsidR="00425758" w:rsidRDefault="00425758">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rsidR="00425758" w:rsidRDefault="00425758">
      <w:pPr>
        <w:pStyle w:val="Indenta"/>
        <w:rPr>
          <w:snapToGrid w:val="0"/>
        </w:rPr>
      </w:pPr>
      <w:r>
        <w:rPr>
          <w:snapToGrid w:val="0"/>
        </w:rPr>
        <w:tab/>
        <w:t>(a)</w:t>
      </w:r>
      <w:r>
        <w:rPr>
          <w:snapToGrid w:val="0"/>
        </w:rPr>
        <w:tab/>
        <w:t>the will was not duly executed; or</w:t>
      </w:r>
    </w:p>
    <w:p w:rsidR="00425758" w:rsidRDefault="00425758">
      <w:pPr>
        <w:pStyle w:val="Indenta"/>
        <w:rPr>
          <w:snapToGrid w:val="0"/>
        </w:rPr>
      </w:pPr>
      <w:r>
        <w:rPr>
          <w:snapToGrid w:val="0"/>
        </w:rPr>
        <w:tab/>
        <w:t>(b)</w:t>
      </w:r>
      <w:r>
        <w:rPr>
          <w:snapToGrid w:val="0"/>
        </w:rPr>
        <w:tab/>
        <w:t>at the time of the execution of the will the testator was not of sound mind, memory and understanding; or</w:t>
      </w:r>
    </w:p>
    <w:p w:rsidR="00425758" w:rsidRDefault="00425758">
      <w:pPr>
        <w:pStyle w:val="Indenta"/>
        <w:rPr>
          <w:snapToGrid w:val="0"/>
        </w:rPr>
      </w:pPr>
      <w:r>
        <w:rPr>
          <w:snapToGrid w:val="0"/>
        </w:rPr>
        <w:tab/>
        <w:t>(c)</w:t>
      </w:r>
      <w:r>
        <w:rPr>
          <w:snapToGrid w:val="0"/>
        </w:rPr>
        <w:tab/>
        <w:t>the execution of the will was obtained by undue influence or fraud,</w:t>
      </w:r>
    </w:p>
    <w:p w:rsidR="00425758" w:rsidRDefault="00425758">
      <w:pPr>
        <w:pStyle w:val="Subsection"/>
        <w:rPr>
          <w:snapToGrid w:val="0"/>
        </w:rPr>
      </w:pPr>
      <w:r>
        <w:rPr>
          <w:snapToGrid w:val="0"/>
        </w:rPr>
        <w:tab/>
      </w:r>
      <w:r>
        <w:rPr>
          <w:snapToGrid w:val="0"/>
        </w:rPr>
        <w:tab/>
        <w:t>unless he also makes that other plea.</w:t>
      </w:r>
    </w:p>
    <w:p w:rsidR="00425758" w:rsidRDefault="00425758">
      <w:pPr>
        <w:pStyle w:val="Heading5"/>
        <w:rPr>
          <w:snapToGrid w:val="0"/>
        </w:rPr>
      </w:pPr>
      <w:bookmarkStart w:id="1183" w:name="_Toc75863768"/>
      <w:r>
        <w:rPr>
          <w:rStyle w:val="CharSectno"/>
        </w:rPr>
        <w:t>17</w:t>
      </w:r>
      <w:r>
        <w:rPr>
          <w:snapToGrid w:val="0"/>
        </w:rPr>
        <w:t>.</w:t>
      </w:r>
      <w:r>
        <w:rPr>
          <w:snapToGrid w:val="0"/>
        </w:rPr>
        <w:tab/>
        <w:t>Default of pleadings</w:t>
      </w:r>
      <w:bookmarkEnd w:id="1183"/>
    </w:p>
    <w:p w:rsidR="00425758" w:rsidRDefault="00425758">
      <w:pPr>
        <w:pStyle w:val="Ednotesubsection"/>
      </w:pPr>
      <w:r>
        <w:tab/>
        <w:t>[(1)</w:t>
      </w:r>
      <w:r>
        <w:tab/>
        <w:t>deleted]</w:t>
      </w:r>
    </w:p>
    <w:p w:rsidR="00425758" w:rsidRDefault="00425758">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rsidR="00425758" w:rsidRDefault="00425758">
      <w:pPr>
        <w:pStyle w:val="Footnotesection"/>
      </w:pPr>
      <w:r>
        <w:tab/>
        <w:t>[Rule 17 amended: Gazette 16 Nov 2016 p. 5200.]</w:t>
      </w:r>
    </w:p>
    <w:p w:rsidR="00425758" w:rsidRDefault="00425758">
      <w:pPr>
        <w:pStyle w:val="Heading5"/>
        <w:rPr>
          <w:snapToGrid w:val="0"/>
        </w:rPr>
      </w:pPr>
      <w:bookmarkStart w:id="1184" w:name="_Toc75863769"/>
      <w:r>
        <w:rPr>
          <w:rStyle w:val="CharSectno"/>
        </w:rPr>
        <w:t>18</w:t>
      </w:r>
      <w:r>
        <w:rPr>
          <w:snapToGrid w:val="0"/>
        </w:rPr>
        <w:t>.</w:t>
      </w:r>
      <w:r>
        <w:rPr>
          <w:snapToGrid w:val="0"/>
        </w:rPr>
        <w:tab/>
        <w:t>Discontinuance</w:t>
      </w:r>
      <w:bookmarkEnd w:id="1184"/>
    </w:p>
    <w:p w:rsidR="00425758" w:rsidRDefault="00425758">
      <w:pPr>
        <w:pStyle w:val="Subsection"/>
        <w:rPr>
          <w:snapToGrid w:val="0"/>
        </w:rPr>
      </w:pPr>
      <w:r>
        <w:rPr>
          <w:snapToGrid w:val="0"/>
        </w:rPr>
        <w:tab/>
        <w:t>(1)</w:t>
      </w:r>
      <w:r>
        <w:rPr>
          <w:snapToGrid w:val="0"/>
        </w:rPr>
        <w:tab/>
        <w:t>Order 23 does not apply to a probate action.</w:t>
      </w:r>
    </w:p>
    <w:p w:rsidR="00425758" w:rsidRDefault="00425758">
      <w:pPr>
        <w:pStyle w:val="Subsection"/>
        <w:rPr>
          <w:snapToGrid w:val="0"/>
        </w:rPr>
      </w:pPr>
      <w:r>
        <w:rPr>
          <w:snapToGrid w:val="0"/>
        </w:rPr>
        <w:tab/>
        <w:t>(2)</w:t>
      </w:r>
      <w:r>
        <w:rPr>
          <w:snapToGrid w:val="0"/>
        </w:rPr>
        <w:tab/>
        <w:t xml:space="preserve">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w:t>
      </w:r>
      <w:r>
        <w:rPr>
          <w:snapToGrid w:val="0"/>
        </w:rPr>
        <w:lastRenderedPageBreak/>
        <w:t>probate of the will or letters of administration of the estate of the deceased person, which is the subject of the action be made to the person entitled thereto.</w:t>
      </w:r>
    </w:p>
    <w:p w:rsidR="00425758" w:rsidRDefault="00425758">
      <w:pPr>
        <w:pStyle w:val="Heading5"/>
        <w:spacing w:before="180"/>
        <w:rPr>
          <w:snapToGrid w:val="0"/>
        </w:rPr>
      </w:pPr>
      <w:bookmarkStart w:id="1185" w:name="_Toc75863770"/>
      <w:r>
        <w:rPr>
          <w:rStyle w:val="CharSectno"/>
        </w:rPr>
        <w:t>19</w:t>
      </w:r>
      <w:r>
        <w:rPr>
          <w:snapToGrid w:val="0"/>
        </w:rPr>
        <w:t>.</w:t>
      </w:r>
      <w:r>
        <w:rPr>
          <w:snapToGrid w:val="0"/>
        </w:rPr>
        <w:tab/>
        <w:t>Compromise</w:t>
      </w:r>
      <w:bookmarkEnd w:id="1185"/>
    </w:p>
    <w:p w:rsidR="00425758" w:rsidRDefault="00425758">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rsidR="00425758" w:rsidRDefault="00425758">
      <w:pPr>
        <w:pStyle w:val="Heading5"/>
        <w:rPr>
          <w:snapToGrid w:val="0"/>
        </w:rPr>
      </w:pPr>
      <w:bookmarkStart w:id="1186" w:name="_Toc75863771"/>
      <w:r>
        <w:rPr>
          <w:rStyle w:val="CharSectno"/>
        </w:rPr>
        <w:t>20</w:t>
      </w:r>
      <w:r>
        <w:rPr>
          <w:snapToGrid w:val="0"/>
        </w:rPr>
        <w:t>.</w:t>
      </w:r>
      <w:r>
        <w:rPr>
          <w:snapToGrid w:val="0"/>
        </w:rPr>
        <w:tab/>
        <w:t>Orders etc. to bring in will etc.</w:t>
      </w:r>
      <w:bookmarkEnd w:id="1186"/>
    </w:p>
    <w:p w:rsidR="00425758" w:rsidRDefault="00425758">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rsidR="00425758" w:rsidRDefault="00425758">
      <w:pPr>
        <w:pStyle w:val="Subsection"/>
        <w:rPr>
          <w:snapToGrid w:val="0"/>
        </w:rPr>
      </w:pPr>
      <w:r>
        <w:rPr>
          <w:snapToGrid w:val="0"/>
        </w:rPr>
        <w:tab/>
        <w:t>(2)</w:t>
      </w:r>
      <w:r>
        <w:rPr>
          <w:snapToGrid w:val="0"/>
        </w:rPr>
        <w:tab/>
        <w:t>An application for the issue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rsidR="00425758" w:rsidRDefault="00425758">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an affidavit to that effect.</w:t>
      </w:r>
    </w:p>
    <w:p w:rsidR="00425758" w:rsidRDefault="00425758">
      <w:pPr>
        <w:pStyle w:val="Footnotesection"/>
      </w:pPr>
      <w:r>
        <w:tab/>
        <w:t xml:space="preserve">[Rule 20 amended: Gazette 30 Nov 1984 p. 3952; 28 Jun 2011 p. 2552; 24 May 2017 p. 2577; 27 Feb 2018 p. 620.] </w:t>
      </w:r>
    </w:p>
    <w:p w:rsidR="00425758" w:rsidRDefault="00425758">
      <w:pPr>
        <w:pStyle w:val="Heading5"/>
        <w:spacing w:before="180"/>
        <w:rPr>
          <w:snapToGrid w:val="0"/>
        </w:rPr>
      </w:pPr>
      <w:bookmarkStart w:id="1187" w:name="_Toc75863772"/>
      <w:r>
        <w:rPr>
          <w:rStyle w:val="CharSectno"/>
        </w:rPr>
        <w:t>21</w:t>
      </w:r>
      <w:r>
        <w:rPr>
          <w:snapToGrid w:val="0"/>
        </w:rPr>
        <w:t>.</w:t>
      </w:r>
      <w:r>
        <w:rPr>
          <w:snapToGrid w:val="0"/>
        </w:rPr>
        <w:tab/>
        <w:t>Applications, making</w:t>
      </w:r>
      <w:bookmarkEnd w:id="1187"/>
    </w:p>
    <w:p w:rsidR="00425758" w:rsidRDefault="00425758">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rsidR="00425758" w:rsidRDefault="00425758">
      <w:pPr>
        <w:pStyle w:val="Subsection"/>
        <w:spacing w:before="180"/>
        <w:rPr>
          <w:snapToGrid w:val="0"/>
        </w:rPr>
      </w:pPr>
      <w:r>
        <w:rPr>
          <w:snapToGrid w:val="0"/>
        </w:rPr>
        <w:lastRenderedPageBreak/>
        <w:tab/>
        <w:t>(2)</w:t>
      </w:r>
      <w:r>
        <w:rPr>
          <w:snapToGrid w:val="0"/>
        </w:rPr>
        <w:tab/>
        <w:t>The Court may direct that an application in a probate cause or matter be made to the Court by motion.</w:t>
      </w:r>
    </w:p>
    <w:p w:rsidR="00425758" w:rsidRDefault="00425758">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rsidR="00425758" w:rsidRDefault="00425758">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rsidR="00425758" w:rsidRDefault="00425758">
      <w:pPr>
        <w:pStyle w:val="Footnotesection"/>
      </w:pPr>
      <w:r>
        <w:tab/>
        <w:t>[Rule 21 amended: Gazette 28 Jun 2011 p. 2552.]</w:t>
      </w:r>
    </w:p>
    <w:p w:rsidR="00425758" w:rsidRDefault="00425758">
      <w:pPr>
        <w:pStyle w:val="Heading5"/>
        <w:spacing w:before="300"/>
        <w:rPr>
          <w:snapToGrid w:val="0"/>
        </w:rPr>
      </w:pPr>
      <w:bookmarkStart w:id="1188" w:name="_Toc75863773"/>
      <w:r>
        <w:rPr>
          <w:rStyle w:val="CharSectno"/>
        </w:rPr>
        <w:t>22</w:t>
      </w:r>
      <w:r>
        <w:rPr>
          <w:snapToGrid w:val="0"/>
        </w:rPr>
        <w:t>.</w:t>
      </w:r>
      <w:r>
        <w:rPr>
          <w:snapToGrid w:val="0"/>
        </w:rPr>
        <w:tab/>
        <w:t>Administrator or receiver appointed pending litigation</w:t>
      </w:r>
      <w:bookmarkEnd w:id="1188"/>
    </w:p>
    <w:p w:rsidR="00425758" w:rsidRDefault="00425758">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rsidR="00425758" w:rsidRDefault="00425758">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rsidR="00425758" w:rsidRDefault="00425758">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rsidR="00425758" w:rsidRDefault="00425758">
      <w:pPr>
        <w:pStyle w:val="Footnotesection"/>
        <w:spacing w:before="100"/>
        <w:ind w:left="890" w:hanging="890"/>
      </w:pPr>
      <w:r>
        <w:tab/>
        <w:t xml:space="preserve">[Rule 22 amended: Gazette 30 Nov 1984 p. 3952.] </w:t>
      </w:r>
    </w:p>
    <w:p w:rsidR="00425758" w:rsidRDefault="00425758">
      <w:pPr>
        <w:pStyle w:val="Ednotepart"/>
      </w:pPr>
      <w:r>
        <w:t>[Order 74 deleted: Gazette 30 Oct 1992 p. 5310.]</w:t>
      </w:r>
    </w:p>
    <w:p w:rsidR="00425758" w:rsidRDefault="00425758">
      <w:pPr>
        <w:pStyle w:val="Heading2"/>
      </w:pPr>
      <w:bookmarkStart w:id="1189" w:name="_Toc75512678"/>
      <w:bookmarkStart w:id="1190" w:name="_Toc75863774"/>
      <w:r>
        <w:rPr>
          <w:rStyle w:val="CharPartNo"/>
        </w:rPr>
        <w:lastRenderedPageBreak/>
        <w:t>Order 75</w:t>
      </w:r>
      <w:r>
        <w:rPr>
          <w:rStyle w:val="CharDivNo"/>
        </w:rPr>
        <w:t> </w:t>
      </w:r>
      <w:r>
        <w:t>—</w:t>
      </w:r>
      <w:r>
        <w:rPr>
          <w:rStyle w:val="CharDivText"/>
        </w:rPr>
        <w:t> </w:t>
      </w:r>
      <w:r>
        <w:rPr>
          <w:rStyle w:val="CharPartText"/>
          <w:i/>
          <w:iCs/>
        </w:rPr>
        <w:t xml:space="preserve">Family Provision Act 1972 </w:t>
      </w:r>
      <w:r>
        <w:rPr>
          <w:rStyle w:val="CharPartText"/>
        </w:rPr>
        <w:t>rules</w:t>
      </w:r>
      <w:r>
        <w:t> </w:t>
      </w:r>
      <w:r>
        <w:rPr>
          <w:rFonts w:ascii="Times New Roman Bold" w:hAnsi="Times New Roman Bold"/>
          <w:vertAlign w:val="superscript"/>
        </w:rPr>
        <w:t>4</w:t>
      </w:r>
      <w:bookmarkEnd w:id="1189"/>
      <w:bookmarkEnd w:id="1190"/>
    </w:p>
    <w:p w:rsidR="00425758" w:rsidRDefault="00425758">
      <w:pPr>
        <w:pStyle w:val="Footnoteheading"/>
      </w:pPr>
      <w:r>
        <w:tab/>
        <w:t xml:space="preserve">[Heading inserted: Gazette 22 Feb 2008 p. 642.] </w:t>
      </w:r>
    </w:p>
    <w:p w:rsidR="00425758" w:rsidRDefault="00425758">
      <w:pPr>
        <w:pStyle w:val="Heading5"/>
        <w:rPr>
          <w:snapToGrid w:val="0"/>
        </w:rPr>
      </w:pPr>
      <w:bookmarkStart w:id="1191" w:name="_Toc75863775"/>
      <w:r>
        <w:rPr>
          <w:rStyle w:val="CharSectno"/>
        </w:rPr>
        <w:t>1</w:t>
      </w:r>
      <w:r>
        <w:rPr>
          <w:snapToGrid w:val="0"/>
        </w:rPr>
        <w:t>.</w:t>
      </w:r>
      <w:r>
        <w:rPr>
          <w:snapToGrid w:val="0"/>
        </w:rPr>
        <w:tab/>
        <w:t>Terms used</w:t>
      </w:r>
      <w:bookmarkEnd w:id="1191"/>
    </w:p>
    <w:p w:rsidR="00425758" w:rsidRDefault="00425758">
      <w:pPr>
        <w:pStyle w:val="Subsection"/>
        <w:rPr>
          <w:snapToGrid w:val="0"/>
        </w:rPr>
      </w:pPr>
      <w:r>
        <w:rPr>
          <w:snapToGrid w:val="0"/>
        </w:rPr>
        <w:tab/>
      </w:r>
      <w:r>
        <w:rPr>
          <w:snapToGrid w:val="0"/>
        </w:rPr>
        <w:tab/>
        <w:t>In this Order unless the contrary intention appears — </w:t>
      </w:r>
    </w:p>
    <w:p w:rsidR="00425758" w:rsidRDefault="00425758">
      <w:pPr>
        <w:pStyle w:val="Defstart"/>
      </w:pPr>
      <w:r>
        <w:rPr>
          <w:b/>
        </w:rPr>
        <w:tab/>
      </w:r>
      <w:r>
        <w:rPr>
          <w:rStyle w:val="CharDefText"/>
        </w:rPr>
        <w:t>Act</w:t>
      </w:r>
      <w:r>
        <w:t xml:space="preserve"> means the </w:t>
      </w:r>
      <w:r>
        <w:rPr>
          <w:i/>
        </w:rPr>
        <w:t>Family Provision Act 1972</w:t>
      </w:r>
      <w:r>
        <w:rPr>
          <w:vertAlign w:val="superscript"/>
        </w:rPr>
        <w:t> 4</w:t>
      </w:r>
      <w:r>
        <w:t>; and</w:t>
      </w:r>
    </w:p>
    <w:p w:rsidR="00425758" w:rsidRDefault="00425758">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rsidR="00425758" w:rsidRDefault="00425758">
      <w:pPr>
        <w:pStyle w:val="Defstart"/>
      </w:pPr>
      <w:r>
        <w:rPr>
          <w:b/>
        </w:rPr>
        <w:tab/>
      </w:r>
      <w:r>
        <w:rPr>
          <w:rStyle w:val="CharDefText"/>
        </w:rPr>
        <w:t>Registry</w:t>
      </w:r>
      <w:r>
        <w:t xml:space="preserve"> means the Probate Office of the Supreme Court; and</w:t>
      </w:r>
    </w:p>
    <w:p w:rsidR="00425758" w:rsidRDefault="00425758">
      <w:pPr>
        <w:pStyle w:val="Subsection"/>
        <w:rPr>
          <w:snapToGrid w:val="0"/>
        </w:rPr>
      </w:pPr>
      <w:r>
        <w:rPr>
          <w:snapToGrid w:val="0"/>
        </w:rPr>
        <w:tab/>
      </w:r>
      <w:r>
        <w:rPr>
          <w:snapToGrid w:val="0"/>
        </w:rPr>
        <w:tab/>
        <w:t>words defined in section 4 of the Act and used in this Order have the same respective meanings as in the Act.</w:t>
      </w:r>
    </w:p>
    <w:p w:rsidR="00425758" w:rsidRDefault="00425758">
      <w:pPr>
        <w:pStyle w:val="Footnotesection"/>
      </w:pPr>
      <w:r>
        <w:tab/>
        <w:t xml:space="preserve">[Rule 1 inserted: Gazette 15 Jun 1973 p. 2250.] </w:t>
      </w:r>
    </w:p>
    <w:p w:rsidR="00425758" w:rsidRDefault="00425758">
      <w:pPr>
        <w:pStyle w:val="Heading5"/>
        <w:rPr>
          <w:snapToGrid w:val="0"/>
        </w:rPr>
      </w:pPr>
      <w:bookmarkStart w:id="1192" w:name="_Toc75863776"/>
      <w:r>
        <w:rPr>
          <w:rStyle w:val="CharSectno"/>
        </w:rPr>
        <w:t>2</w:t>
      </w:r>
      <w:r>
        <w:rPr>
          <w:snapToGrid w:val="0"/>
        </w:rPr>
        <w:t>.</w:t>
      </w:r>
      <w:r>
        <w:rPr>
          <w:snapToGrid w:val="0"/>
        </w:rPr>
        <w:tab/>
        <w:t>Applications under Act, making of</w:t>
      </w:r>
      <w:bookmarkEnd w:id="1192"/>
    </w:p>
    <w:p w:rsidR="00425758" w:rsidRDefault="00425758">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rsidR="00425758" w:rsidRDefault="00425758">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rsidR="00425758" w:rsidRDefault="00425758">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Family Provision Act 1972</w:t>
      </w:r>
      <w:r>
        <w:rPr>
          <w:snapToGrid w:val="0"/>
          <w:vertAlign w:val="superscript"/>
        </w:rPr>
        <w:t> 4</w:t>
      </w:r>
      <w:r>
        <w:rPr>
          <w:snapToGrid w:val="0"/>
        </w:rPr>
        <w:t>, and in the matter of the will or estate of the deceased person to which the proceedings relate.</w:t>
      </w:r>
    </w:p>
    <w:p w:rsidR="00425758" w:rsidRDefault="00425758">
      <w:pPr>
        <w:pStyle w:val="Footnotesection"/>
      </w:pPr>
      <w:r>
        <w:tab/>
        <w:t xml:space="preserve">[Rule 2 inserted: Gazette 15 Jun 1973 p. 2250.] </w:t>
      </w:r>
    </w:p>
    <w:p w:rsidR="00425758" w:rsidRDefault="00425758">
      <w:pPr>
        <w:pStyle w:val="Heading5"/>
      </w:pPr>
      <w:bookmarkStart w:id="1193" w:name="_Toc75863777"/>
      <w:r>
        <w:rPr>
          <w:rStyle w:val="CharSectno"/>
        </w:rPr>
        <w:t>3</w:t>
      </w:r>
      <w:r>
        <w:t>.</w:t>
      </w:r>
      <w:r>
        <w:tab/>
        <w:t>Copy of summons to be placed on probate file or linked to electronic file</w:t>
      </w:r>
      <w:bookmarkEnd w:id="1193"/>
    </w:p>
    <w:p w:rsidR="00425758" w:rsidRDefault="00425758">
      <w:pPr>
        <w:pStyle w:val="Subsection"/>
        <w:rPr>
          <w:snapToGrid w:val="0"/>
        </w:rPr>
      </w:pPr>
      <w:r>
        <w:rPr>
          <w:snapToGrid w:val="0"/>
        </w:rPr>
        <w:tab/>
        <w:t>(1)</w:t>
      </w:r>
      <w:r>
        <w:rPr>
          <w:snapToGrid w:val="0"/>
        </w:rPr>
        <w:tab/>
        <w:t xml:space="preserve">Upon the issue of an originating summons under this Order, the person presenting the summons for sealing must deliver to the Principal Registrar or file electronically a copy of the will of the </w:t>
      </w:r>
      <w:r>
        <w:rPr>
          <w:snapToGrid w:val="0"/>
        </w:rPr>
        <w:lastRenderedPageBreak/>
        <w:t>testator as admitted to probate or annexed to letters of administration of the testator’s estate.</w:t>
      </w:r>
    </w:p>
    <w:p w:rsidR="00425758" w:rsidRDefault="00425758">
      <w:pPr>
        <w:pStyle w:val="Subsection"/>
        <w:keepNext/>
      </w:pPr>
      <w:r>
        <w:tab/>
        <w:t>(2)</w:t>
      </w:r>
      <w:r>
        <w:tab/>
        <w:t xml:space="preserve">The Principal Registrar must — </w:t>
      </w:r>
    </w:p>
    <w:p w:rsidR="00425758" w:rsidRDefault="00425758">
      <w:pPr>
        <w:pStyle w:val="Indenta"/>
        <w:rPr>
          <w:snapToGrid w:val="0"/>
        </w:rPr>
      </w:pPr>
      <w:r>
        <w:rPr>
          <w:snapToGrid w:val="0"/>
        </w:rPr>
        <w:tab/>
        <w:t>(a)</w:t>
      </w:r>
      <w:r>
        <w:rPr>
          <w:snapToGrid w:val="0"/>
        </w:rPr>
        <w:tab/>
        <w:t>cause a copy of the summons to be placed on the probate file in the Registry; or</w:t>
      </w:r>
    </w:p>
    <w:p w:rsidR="00425758" w:rsidRDefault="00425758">
      <w:pPr>
        <w:pStyle w:val="Indenta"/>
        <w:rPr>
          <w:snapToGrid w:val="0"/>
        </w:rPr>
      </w:pPr>
      <w:r>
        <w:rPr>
          <w:snapToGrid w:val="0"/>
        </w:rPr>
        <w:tab/>
        <w:t>(b)</w:t>
      </w:r>
      <w:r>
        <w:rPr>
          <w:snapToGrid w:val="0"/>
        </w:rPr>
        <w:tab/>
        <w:t>link an electronic copy of the summons to the Court’s electronic file for the probate matter.</w:t>
      </w:r>
    </w:p>
    <w:p w:rsidR="00425758" w:rsidRDefault="00425758">
      <w:pPr>
        <w:pStyle w:val="Subsection"/>
      </w:pPr>
      <w:r>
        <w:tab/>
        <w:t>(3)</w:t>
      </w:r>
      <w:r>
        <w:tab/>
        <w:t>The Principal Registrar, in writing, may delegate the Principal Registrar’s functions under subrule (2) to 1 or more officers of the Court.</w:t>
      </w:r>
    </w:p>
    <w:p w:rsidR="00425758" w:rsidRDefault="00425758">
      <w:pPr>
        <w:pStyle w:val="Footnotesection"/>
      </w:pPr>
      <w:r>
        <w:tab/>
        <w:t>[Rule 3 inserted: SL 2020/242 r. 10(1).]</w:t>
      </w:r>
    </w:p>
    <w:p w:rsidR="00425758" w:rsidRDefault="00425758">
      <w:pPr>
        <w:pStyle w:val="Ednotesection"/>
      </w:pPr>
      <w:r>
        <w:t>[</w:t>
      </w:r>
      <w:r>
        <w:rPr>
          <w:b/>
        </w:rPr>
        <w:t>4.</w:t>
      </w:r>
      <w:r>
        <w:tab/>
        <w:t>Deleted: Gazette 21 Feb 2007 p. 582.]</w:t>
      </w:r>
    </w:p>
    <w:p w:rsidR="00425758" w:rsidRDefault="00425758">
      <w:pPr>
        <w:pStyle w:val="Heading5"/>
        <w:rPr>
          <w:snapToGrid w:val="0"/>
        </w:rPr>
      </w:pPr>
      <w:bookmarkStart w:id="1194" w:name="_Toc75863778"/>
      <w:r>
        <w:rPr>
          <w:rStyle w:val="CharSectno"/>
        </w:rPr>
        <w:t>5</w:t>
      </w:r>
      <w:r>
        <w:rPr>
          <w:snapToGrid w:val="0"/>
        </w:rPr>
        <w:t>.</w:t>
      </w:r>
      <w:r>
        <w:rPr>
          <w:snapToGrid w:val="0"/>
        </w:rPr>
        <w:tab/>
        <w:t>Court may make inquiries etc.</w:t>
      </w:r>
      <w:bookmarkEnd w:id="1194"/>
      <w:r>
        <w:rPr>
          <w:snapToGrid w:val="0"/>
        </w:rPr>
        <w:t xml:space="preserve"> </w:t>
      </w:r>
    </w:p>
    <w:p w:rsidR="00425758" w:rsidRDefault="00425758">
      <w:pPr>
        <w:pStyle w:val="Subsection"/>
        <w:rPr>
          <w:snapToGrid w:val="0"/>
        </w:rPr>
      </w:pPr>
      <w:r>
        <w:rPr>
          <w:snapToGrid w:val="0"/>
        </w:rPr>
        <w:tab/>
      </w:r>
      <w:r>
        <w:rPr>
          <w:snapToGrid w:val="0"/>
        </w:rPr>
        <w:tab/>
      </w:r>
      <w:r>
        <w:t xml:space="preserve">At a case management conference held under Order 4A rule 18 </w:t>
      </w:r>
      <w:r>
        <w:rPr>
          <w:snapToGrid w:val="0"/>
        </w:rPr>
        <w:t>or upon later application the Court may — </w:t>
      </w:r>
    </w:p>
    <w:p w:rsidR="00425758" w:rsidRDefault="00425758">
      <w:pPr>
        <w:pStyle w:val="Indenta"/>
        <w:rPr>
          <w:snapToGrid w:val="0"/>
        </w:rPr>
      </w:pPr>
      <w:r>
        <w:rPr>
          <w:snapToGrid w:val="0"/>
        </w:rPr>
        <w:tab/>
        <w:t>(a)</w:t>
      </w:r>
      <w:r>
        <w:rPr>
          <w:snapToGrid w:val="0"/>
        </w:rPr>
        <w:tab/>
        <w:t>inquire as to — </w:t>
      </w:r>
    </w:p>
    <w:p w:rsidR="00425758" w:rsidRDefault="00425758">
      <w:pPr>
        <w:pStyle w:val="Indenti"/>
        <w:rPr>
          <w:snapToGrid w:val="0"/>
        </w:rPr>
      </w:pPr>
      <w:r>
        <w:rPr>
          <w:snapToGrid w:val="0"/>
        </w:rPr>
        <w:tab/>
        <w:t>(i)</w:t>
      </w:r>
      <w:r>
        <w:rPr>
          <w:snapToGrid w:val="0"/>
        </w:rPr>
        <w:tab/>
        <w:t>the nature of the relief that the plaintiff seeks; and</w:t>
      </w:r>
    </w:p>
    <w:p w:rsidR="00425758" w:rsidRDefault="00425758">
      <w:pPr>
        <w:pStyle w:val="Indenti"/>
        <w:rPr>
          <w:snapToGrid w:val="0"/>
        </w:rPr>
      </w:pPr>
      <w:r>
        <w:rPr>
          <w:snapToGrid w:val="0"/>
        </w:rPr>
        <w:tab/>
        <w:t>(ii)</w:t>
      </w:r>
      <w:r>
        <w:rPr>
          <w:snapToGrid w:val="0"/>
        </w:rPr>
        <w:tab/>
        <w:t>the persons or classes of persons who will be affected by that relief if granted;</w:t>
      </w:r>
    </w:p>
    <w:p w:rsidR="00425758" w:rsidRDefault="00425758">
      <w:pPr>
        <w:pStyle w:val="Indenta"/>
        <w:rPr>
          <w:snapToGrid w:val="0"/>
        </w:rPr>
      </w:pPr>
      <w:r>
        <w:rPr>
          <w:snapToGrid w:val="0"/>
        </w:rPr>
        <w:tab/>
        <w:t>(b)</w:t>
      </w:r>
      <w:r>
        <w:rPr>
          <w:snapToGrid w:val="0"/>
        </w:rPr>
        <w:tab/>
        <w:t>for the purpose of the inquiry, direct the plaintiff and defendant to supply such information as the Court may require;</w:t>
      </w:r>
    </w:p>
    <w:p w:rsidR="00425758" w:rsidRDefault="00425758">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rsidR="00425758" w:rsidRDefault="00425758">
      <w:pPr>
        <w:pStyle w:val="Indenta"/>
        <w:rPr>
          <w:snapToGrid w:val="0"/>
        </w:rPr>
      </w:pPr>
      <w:r>
        <w:rPr>
          <w:snapToGrid w:val="0"/>
        </w:rPr>
        <w:tab/>
        <w:t>(d)</w:t>
      </w:r>
      <w:r>
        <w:rPr>
          <w:snapToGrid w:val="0"/>
        </w:rPr>
        <w:tab/>
        <w:t>make an order under rule 7;</w:t>
      </w:r>
    </w:p>
    <w:p w:rsidR="00425758" w:rsidRDefault="00425758">
      <w:pPr>
        <w:pStyle w:val="Indenta"/>
        <w:rPr>
          <w:snapToGrid w:val="0"/>
        </w:rPr>
      </w:pPr>
      <w:r>
        <w:rPr>
          <w:snapToGrid w:val="0"/>
        </w:rPr>
        <w:tab/>
        <w:t>(e)</w:t>
      </w:r>
      <w:r>
        <w:rPr>
          <w:snapToGrid w:val="0"/>
        </w:rPr>
        <w:tab/>
        <w:t>direct that notice of the application be served on any person;</w:t>
      </w:r>
    </w:p>
    <w:p w:rsidR="00425758" w:rsidRDefault="00425758">
      <w:pPr>
        <w:pStyle w:val="Indenta"/>
        <w:rPr>
          <w:snapToGrid w:val="0"/>
        </w:rPr>
      </w:pPr>
      <w:r>
        <w:rPr>
          <w:snapToGrid w:val="0"/>
        </w:rPr>
        <w:lastRenderedPageBreak/>
        <w:tab/>
        <w:t>(f)</w:t>
      </w:r>
      <w:r>
        <w:rPr>
          <w:snapToGrid w:val="0"/>
        </w:rPr>
        <w:tab/>
        <w:t>give such other directions as the Court thinks fit as to the evidence to be filed, the persons to be served and the hearing of the application.</w:t>
      </w:r>
    </w:p>
    <w:p w:rsidR="00425758" w:rsidRDefault="00425758">
      <w:pPr>
        <w:pStyle w:val="Footnotesection"/>
        <w:spacing w:before="80"/>
        <w:ind w:left="890" w:hanging="890"/>
      </w:pPr>
      <w:r>
        <w:tab/>
        <w:t>[Rule 5 inserted: Gazette 15 Jun 1973 p. 2250</w:t>
      </w:r>
      <w:r>
        <w:noBreakHyphen/>
        <w:t xml:space="preserve">1; amended: Gazette 21 Feb 2007 p. 582; 28 Jul 2010 p. 3468; 16 Aug 2017 p. 4420.] </w:t>
      </w:r>
    </w:p>
    <w:p w:rsidR="00425758" w:rsidRDefault="00425758">
      <w:pPr>
        <w:pStyle w:val="Heading5"/>
        <w:rPr>
          <w:snapToGrid w:val="0"/>
        </w:rPr>
      </w:pPr>
      <w:bookmarkStart w:id="1195" w:name="_Toc75863779"/>
      <w:r>
        <w:rPr>
          <w:rStyle w:val="CharSectno"/>
        </w:rPr>
        <w:t>6</w:t>
      </w:r>
      <w:r>
        <w:rPr>
          <w:snapToGrid w:val="0"/>
        </w:rPr>
        <w:t>.</w:t>
      </w:r>
      <w:r>
        <w:rPr>
          <w:snapToGrid w:val="0"/>
        </w:rPr>
        <w:tab/>
        <w:t>Parties may be added</w:t>
      </w:r>
      <w:bookmarkEnd w:id="1195"/>
      <w:r>
        <w:rPr>
          <w:snapToGrid w:val="0"/>
        </w:rPr>
        <w:t xml:space="preserve"> </w:t>
      </w:r>
    </w:p>
    <w:p w:rsidR="00425758" w:rsidRDefault="00425758">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rsidR="00425758" w:rsidRDefault="00425758">
      <w:pPr>
        <w:pStyle w:val="Footnotesection"/>
      </w:pPr>
      <w:r>
        <w:tab/>
        <w:t xml:space="preserve">[Rule 6 inserted: Gazette 15 Jun 1973 p. 2251.] </w:t>
      </w:r>
    </w:p>
    <w:p w:rsidR="00425758" w:rsidRDefault="00425758">
      <w:pPr>
        <w:pStyle w:val="Heading5"/>
        <w:spacing w:before="200"/>
        <w:rPr>
          <w:snapToGrid w:val="0"/>
        </w:rPr>
      </w:pPr>
      <w:bookmarkStart w:id="1196" w:name="_Toc75863780"/>
      <w:r>
        <w:rPr>
          <w:rStyle w:val="CharSectno"/>
        </w:rPr>
        <w:t>7</w:t>
      </w:r>
      <w:r>
        <w:rPr>
          <w:snapToGrid w:val="0"/>
        </w:rPr>
        <w:t>.</w:t>
      </w:r>
      <w:r>
        <w:rPr>
          <w:snapToGrid w:val="0"/>
        </w:rPr>
        <w:tab/>
        <w:t>Representative defendant</w:t>
      </w:r>
      <w:bookmarkEnd w:id="1196"/>
      <w:r>
        <w:rPr>
          <w:snapToGrid w:val="0"/>
        </w:rPr>
        <w:t xml:space="preserve"> </w:t>
      </w:r>
    </w:p>
    <w:p w:rsidR="00425758" w:rsidRDefault="00425758">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rsidR="00425758" w:rsidRDefault="00425758">
      <w:pPr>
        <w:pStyle w:val="Footnotesection"/>
      </w:pPr>
      <w:r>
        <w:tab/>
        <w:t xml:space="preserve">[Rule 7 inserted: Gazette 15 Jun 1973 p. 2251.] </w:t>
      </w:r>
    </w:p>
    <w:p w:rsidR="00425758" w:rsidRDefault="00425758">
      <w:pPr>
        <w:pStyle w:val="Heading5"/>
        <w:spacing w:before="200"/>
        <w:rPr>
          <w:snapToGrid w:val="0"/>
        </w:rPr>
      </w:pPr>
      <w:bookmarkStart w:id="1197" w:name="_Toc75863781"/>
      <w:r>
        <w:rPr>
          <w:rStyle w:val="CharSectno"/>
        </w:rPr>
        <w:t>8</w:t>
      </w:r>
      <w:r>
        <w:rPr>
          <w:snapToGrid w:val="0"/>
        </w:rPr>
        <w:t>.</w:t>
      </w:r>
      <w:r>
        <w:rPr>
          <w:snapToGrid w:val="0"/>
        </w:rPr>
        <w:tab/>
        <w:t>Probate etc. to be lodged at Registry if judgment for plaintiff</w:t>
      </w:r>
      <w:bookmarkEnd w:id="1197"/>
    </w:p>
    <w:p w:rsidR="00425758" w:rsidRDefault="00425758">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rsidR="00425758" w:rsidRDefault="00425758">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rsidR="00425758" w:rsidRDefault="00425758">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rsidR="00425758" w:rsidRDefault="00425758">
      <w:pPr>
        <w:pStyle w:val="Footnotesection"/>
      </w:pPr>
      <w:r>
        <w:tab/>
        <w:t xml:space="preserve">[Rule 8 inserted: Gazette 15 Jun 1973 p. 2251.] </w:t>
      </w:r>
    </w:p>
    <w:p w:rsidR="00425758" w:rsidRDefault="00425758">
      <w:pPr>
        <w:pStyle w:val="Heading5"/>
        <w:spacing w:before="200"/>
        <w:rPr>
          <w:snapToGrid w:val="0"/>
        </w:rPr>
      </w:pPr>
      <w:bookmarkStart w:id="1198" w:name="_Toc75863782"/>
      <w:r>
        <w:rPr>
          <w:rStyle w:val="CharSectno"/>
        </w:rPr>
        <w:lastRenderedPageBreak/>
        <w:t>9</w:t>
      </w:r>
      <w:r>
        <w:rPr>
          <w:snapToGrid w:val="0"/>
        </w:rPr>
        <w:t>.</w:t>
      </w:r>
      <w:r>
        <w:rPr>
          <w:snapToGrid w:val="0"/>
        </w:rPr>
        <w:tab/>
        <w:t>Appearance to originating summons for extension of time not required</w:t>
      </w:r>
      <w:bookmarkEnd w:id="1198"/>
      <w:r>
        <w:rPr>
          <w:snapToGrid w:val="0"/>
        </w:rPr>
        <w:t xml:space="preserve"> </w:t>
      </w:r>
    </w:p>
    <w:p w:rsidR="00425758" w:rsidRDefault="00425758">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rsidR="00425758" w:rsidRDefault="00425758">
      <w:pPr>
        <w:pStyle w:val="Footnotesection"/>
      </w:pPr>
      <w:r>
        <w:tab/>
        <w:t xml:space="preserve">[Rule 9 inserted: Gazette 15 Jun 1973 p. 2251.] </w:t>
      </w:r>
    </w:p>
    <w:p w:rsidR="00425758" w:rsidRDefault="00425758">
      <w:pPr>
        <w:pStyle w:val="Ednotesection"/>
      </w:pPr>
      <w:r>
        <w:t>[</w:t>
      </w:r>
      <w:r>
        <w:rPr>
          <w:b/>
        </w:rPr>
        <w:t>10.</w:t>
      </w:r>
      <w:r>
        <w:tab/>
        <w:t>Deleted: SL 2020/242 r. 10(2).]</w:t>
      </w:r>
    </w:p>
    <w:p w:rsidR="00425758" w:rsidRDefault="00425758">
      <w:pPr>
        <w:pStyle w:val="Heading2"/>
      </w:pPr>
      <w:bookmarkStart w:id="1199" w:name="_Toc75512687"/>
      <w:bookmarkStart w:id="1200" w:name="_Toc75863783"/>
      <w:r>
        <w:rPr>
          <w:rStyle w:val="CharPartNo"/>
        </w:rPr>
        <w:lastRenderedPageBreak/>
        <w:t>Order 75A</w:t>
      </w:r>
      <w:r>
        <w:rPr>
          <w:b w:val="0"/>
        </w:rPr>
        <w:t> </w:t>
      </w:r>
      <w:r>
        <w:t>—</w:t>
      </w:r>
      <w:r>
        <w:rPr>
          <w:b w:val="0"/>
        </w:rPr>
        <w:t> </w:t>
      </w:r>
      <w:r>
        <w:rPr>
          <w:rStyle w:val="CharPartText"/>
          <w:i/>
          <w:iCs/>
        </w:rPr>
        <w:t xml:space="preserve">Legal Profession Act 2008 </w:t>
      </w:r>
      <w:r>
        <w:rPr>
          <w:rStyle w:val="CharPartText"/>
        </w:rPr>
        <w:t>rules</w:t>
      </w:r>
      <w:bookmarkEnd w:id="1199"/>
      <w:bookmarkEnd w:id="1200"/>
    </w:p>
    <w:p w:rsidR="00425758" w:rsidRDefault="00425758">
      <w:pPr>
        <w:pStyle w:val="Footnoteheading"/>
      </w:pPr>
      <w:r>
        <w:tab/>
        <w:t>[Heading inserted: Gazette 6 Feb 2009 p. 244.]</w:t>
      </w:r>
    </w:p>
    <w:p w:rsidR="00425758" w:rsidRDefault="00425758">
      <w:pPr>
        <w:pStyle w:val="Heading5"/>
        <w:rPr>
          <w:snapToGrid w:val="0"/>
        </w:rPr>
      </w:pPr>
      <w:bookmarkStart w:id="1201" w:name="_Toc75863784"/>
      <w:r>
        <w:rPr>
          <w:rStyle w:val="CharSectno"/>
        </w:rPr>
        <w:t>1</w:t>
      </w:r>
      <w:r>
        <w:rPr>
          <w:snapToGrid w:val="0"/>
        </w:rPr>
        <w:t>.</w:t>
      </w:r>
      <w:r>
        <w:rPr>
          <w:snapToGrid w:val="0"/>
        </w:rPr>
        <w:tab/>
        <w:t>Terms used</w:t>
      </w:r>
      <w:bookmarkEnd w:id="1201"/>
    </w:p>
    <w:p w:rsidR="00425758" w:rsidRDefault="00425758">
      <w:pPr>
        <w:pStyle w:val="Subsection"/>
        <w:rPr>
          <w:snapToGrid w:val="0"/>
        </w:rPr>
      </w:pPr>
      <w:r>
        <w:rPr>
          <w:snapToGrid w:val="0"/>
        </w:rPr>
        <w:tab/>
      </w:r>
      <w:r>
        <w:rPr>
          <w:snapToGrid w:val="0"/>
        </w:rPr>
        <w:tab/>
        <w:t>In this Order —</w:t>
      </w:r>
    </w:p>
    <w:p w:rsidR="00425758" w:rsidRDefault="00425758">
      <w:pPr>
        <w:pStyle w:val="Defstart"/>
      </w:pPr>
      <w:r>
        <w:tab/>
      </w:r>
      <w:r>
        <w:rPr>
          <w:rStyle w:val="CharDefText"/>
        </w:rPr>
        <w:t>interstate lawyer</w:t>
      </w:r>
      <w:r>
        <w:t xml:space="preserve"> has the meaning given in the </w:t>
      </w:r>
      <w:r>
        <w:rPr>
          <w:i/>
          <w:iCs/>
        </w:rPr>
        <w:t>Legal Profession Act 2008</w:t>
      </w:r>
      <w:r>
        <w:t xml:space="preserve"> section 4;</w:t>
      </w:r>
    </w:p>
    <w:p w:rsidR="00425758" w:rsidRDefault="00425758">
      <w:pPr>
        <w:pStyle w:val="Defstart"/>
      </w:pPr>
      <w:r>
        <w:tab/>
      </w:r>
      <w:r>
        <w:rPr>
          <w:rStyle w:val="CharDefText"/>
        </w:rPr>
        <w:t>local roll</w:t>
      </w:r>
      <w:r>
        <w:t xml:space="preserve"> has the meaning given in the </w:t>
      </w:r>
      <w:r>
        <w:rPr>
          <w:i/>
          <w:iCs/>
        </w:rPr>
        <w:t>Legal Profession Act 2008</w:t>
      </w:r>
      <w:r>
        <w:t xml:space="preserve"> section 28;</w:t>
      </w:r>
    </w:p>
    <w:p w:rsidR="00425758" w:rsidRDefault="00425758">
      <w:pPr>
        <w:pStyle w:val="Defstart"/>
      </w:pPr>
      <w:r>
        <w:tab/>
      </w:r>
      <w:r>
        <w:rPr>
          <w:rStyle w:val="CharDefText"/>
        </w:rPr>
        <w:t>Supreme Court (full bench)</w:t>
      </w:r>
      <w:r>
        <w:t xml:space="preserve"> has the meaning given in the </w:t>
      </w:r>
      <w:r>
        <w:rPr>
          <w:i/>
          <w:iCs/>
        </w:rPr>
        <w:t>Legal Profession Act 2008</w:t>
      </w:r>
      <w:r>
        <w:t xml:space="preserve"> section 3.</w:t>
      </w:r>
    </w:p>
    <w:p w:rsidR="00425758" w:rsidRDefault="00425758">
      <w:pPr>
        <w:pStyle w:val="Footnotesection"/>
      </w:pPr>
      <w:r>
        <w:tab/>
        <w:t>[Rule 1 inserted: Gazette 6 Feb 2009 p. 244.]</w:t>
      </w:r>
    </w:p>
    <w:p w:rsidR="00425758" w:rsidRDefault="00425758">
      <w:pPr>
        <w:pStyle w:val="Heading5"/>
      </w:pPr>
      <w:bookmarkStart w:id="1202" w:name="_Toc75863785"/>
      <w:r>
        <w:rPr>
          <w:rStyle w:val="CharSectno"/>
        </w:rPr>
        <w:t>2</w:t>
      </w:r>
      <w:r>
        <w:t>.</w:t>
      </w:r>
      <w:r>
        <w:tab/>
        <w:t>Application for admission</w:t>
      </w:r>
      <w:bookmarkEnd w:id="1202"/>
    </w:p>
    <w:p w:rsidR="00425758" w:rsidRDefault="00425758">
      <w:pPr>
        <w:pStyle w:val="Subsection"/>
      </w:pPr>
      <w:r>
        <w:tab/>
        <w:t>(1)</w:t>
      </w:r>
      <w:r>
        <w:tab/>
        <w:t xml:space="preserve">An application under the </w:t>
      </w:r>
      <w:r>
        <w:rPr>
          <w:i/>
          <w:iCs/>
        </w:rPr>
        <w:t>Legal Profession Act 2008</w:t>
      </w:r>
      <w:r>
        <w:t xml:space="preserve"> section 25 for admission to the legal profession must be made to the Supreme Court (full bench) by motion.</w:t>
      </w:r>
    </w:p>
    <w:p w:rsidR="00425758" w:rsidRDefault="00425758">
      <w:pPr>
        <w:pStyle w:val="Subsection"/>
        <w:rPr>
          <w:snapToGrid w:val="0"/>
        </w:rPr>
      </w:pPr>
      <w:r>
        <w:rPr>
          <w:snapToGrid w:val="0"/>
        </w:rPr>
        <w:tab/>
        <w:t>(2)</w:t>
      </w:r>
      <w:r>
        <w:rPr>
          <w:snapToGrid w:val="0"/>
        </w:rPr>
        <w:tab/>
        <w:t>The application must be filed at least 2 months before the proposed date of admission.</w:t>
      </w:r>
    </w:p>
    <w:p w:rsidR="00425758" w:rsidRDefault="00425758">
      <w:pPr>
        <w:pStyle w:val="Subsection"/>
      </w:pPr>
      <w:r>
        <w:tab/>
        <w:t>(2A)</w:t>
      </w:r>
      <w:r>
        <w:tab/>
        <w:t>The application cannot be filed electronically.</w:t>
      </w:r>
    </w:p>
    <w:p w:rsidR="00425758" w:rsidRDefault="00425758">
      <w:pPr>
        <w:pStyle w:val="Subsection"/>
        <w:rPr>
          <w:snapToGrid w:val="0"/>
        </w:rPr>
      </w:pPr>
      <w:r>
        <w:rPr>
          <w:snapToGrid w:val="0"/>
        </w:rPr>
        <w:tab/>
        <w:t>(3)</w:t>
      </w:r>
      <w:r>
        <w:rPr>
          <w:snapToGrid w:val="0"/>
        </w:rPr>
        <w:tab/>
        <w:t>When the application is filed a notice of motion must be served on the Legal Practice Board.</w:t>
      </w:r>
    </w:p>
    <w:p w:rsidR="00425758" w:rsidRDefault="00425758">
      <w:pPr>
        <w:pStyle w:val="Footnotesection"/>
      </w:pPr>
      <w:r>
        <w:tab/>
        <w:t>[Rule 2 inserted: Gazette 6 Feb 2009 p. 244; amended: Gazette 16 Aug 2017 p. 4420; 27 Feb 2018 p. 620</w:t>
      </w:r>
      <w:r>
        <w:noBreakHyphen/>
        <w:t>1.]</w:t>
      </w:r>
    </w:p>
    <w:p w:rsidR="00425758" w:rsidRDefault="00425758">
      <w:pPr>
        <w:pStyle w:val="Heading5"/>
      </w:pPr>
      <w:bookmarkStart w:id="1203" w:name="_Toc75863786"/>
      <w:r>
        <w:rPr>
          <w:rStyle w:val="CharSectno"/>
        </w:rPr>
        <w:t>3</w:t>
      </w:r>
      <w:r>
        <w:t>.</w:t>
      </w:r>
      <w:r>
        <w:tab/>
        <w:t>Attendance at hearing of application for admission</w:t>
      </w:r>
      <w:bookmarkEnd w:id="1203"/>
    </w:p>
    <w:p w:rsidR="00425758" w:rsidRDefault="00425758">
      <w:pPr>
        <w:pStyle w:val="Subsection"/>
      </w:pPr>
      <w:r>
        <w:tab/>
        <w:t>(1)</w:t>
      </w:r>
      <w:r>
        <w:tab/>
        <w:t>Subject to subrule (2) an applicant for admission must attend in person before the Supreme Court (full bench) when the application is heard.</w:t>
      </w:r>
    </w:p>
    <w:p w:rsidR="00425758" w:rsidRDefault="00425758">
      <w:pPr>
        <w:pStyle w:val="Subsection"/>
      </w:pPr>
      <w:r>
        <w:lastRenderedPageBreak/>
        <w:tab/>
        <w:t>(2)</w:t>
      </w:r>
      <w:r>
        <w:tab/>
        <w:t>If the applicant is an interstate lawyer he or she may be represented at the hearing of the application by counsel and, if represented, is not required to attend in person.</w:t>
      </w:r>
    </w:p>
    <w:p w:rsidR="00425758" w:rsidRDefault="00425758">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rsidR="00425758" w:rsidRDefault="00425758">
      <w:pPr>
        <w:pStyle w:val="Indenta"/>
        <w:rPr>
          <w:snapToGrid w:val="0"/>
        </w:rPr>
      </w:pPr>
      <w:r>
        <w:rPr>
          <w:snapToGrid w:val="0"/>
        </w:rPr>
        <w:tab/>
        <w:t>(a)</w:t>
      </w:r>
      <w:r>
        <w:rPr>
          <w:snapToGrid w:val="0"/>
        </w:rPr>
        <w:tab/>
        <w:t>take an oath or affirmation in the form set out in rule 4; and</w:t>
      </w:r>
    </w:p>
    <w:p w:rsidR="00425758" w:rsidRDefault="00425758">
      <w:pPr>
        <w:pStyle w:val="Indenta"/>
        <w:rPr>
          <w:snapToGrid w:val="0"/>
        </w:rPr>
      </w:pPr>
      <w:r>
        <w:rPr>
          <w:snapToGrid w:val="0"/>
        </w:rPr>
        <w:tab/>
        <w:t>(b)</w:t>
      </w:r>
      <w:r>
        <w:rPr>
          <w:snapToGrid w:val="0"/>
        </w:rPr>
        <w:tab/>
        <w:t>sign the supplementary roll,</w:t>
      </w:r>
    </w:p>
    <w:p w:rsidR="00425758" w:rsidRDefault="00425758">
      <w:pPr>
        <w:pStyle w:val="Subsection"/>
        <w:rPr>
          <w:snapToGrid w:val="0"/>
        </w:rPr>
      </w:pPr>
      <w:r>
        <w:rPr>
          <w:snapToGrid w:val="0"/>
        </w:rPr>
        <w:tab/>
      </w:r>
      <w:r>
        <w:rPr>
          <w:snapToGrid w:val="0"/>
        </w:rPr>
        <w:tab/>
        <w:t>before the Principal Registrar, a registrar, a deputy registrar or the prothonotary of that court.</w:t>
      </w:r>
    </w:p>
    <w:p w:rsidR="00425758" w:rsidRDefault="00425758">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rsidR="00425758" w:rsidRDefault="00425758">
      <w:pPr>
        <w:pStyle w:val="Footnotesection"/>
      </w:pPr>
      <w:r>
        <w:tab/>
        <w:t>[Rule 3 inserted: Gazette 6 Feb 2009 p. 244-5.]</w:t>
      </w:r>
    </w:p>
    <w:p w:rsidR="00425758" w:rsidRDefault="00425758">
      <w:pPr>
        <w:pStyle w:val="Heading5"/>
      </w:pPr>
      <w:bookmarkStart w:id="1204" w:name="_Toc75863787"/>
      <w:r>
        <w:rPr>
          <w:rStyle w:val="CharSectno"/>
        </w:rPr>
        <w:t>4</w:t>
      </w:r>
      <w:r>
        <w:t>.</w:t>
      </w:r>
      <w:r>
        <w:tab/>
        <w:t>Oath or affirmation</w:t>
      </w:r>
      <w:bookmarkEnd w:id="1204"/>
    </w:p>
    <w:p w:rsidR="00425758" w:rsidRDefault="00425758">
      <w:pPr>
        <w:pStyle w:val="Subsection"/>
      </w:pPr>
      <w:r>
        <w:tab/>
      </w:r>
      <w:r>
        <w:tab/>
        <w:t xml:space="preserve">The form of the oath or affirmation required under the </w:t>
      </w:r>
      <w:r>
        <w:rPr>
          <w:i/>
          <w:iCs/>
        </w:rPr>
        <w:t>Legal Profession Act 2008</w:t>
      </w:r>
      <w:r>
        <w:t xml:space="preserve"> section 26(1)(b) is —</w:t>
      </w:r>
    </w:p>
    <w:p w:rsidR="00425758" w:rsidRDefault="00425758">
      <w:pPr>
        <w:pStyle w:val="Subsection"/>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rsidR="00425758" w:rsidRDefault="00425758">
      <w:pPr>
        <w:pStyle w:val="Footnotesection"/>
      </w:pPr>
      <w:r>
        <w:tab/>
        <w:t>[Rule 4 inserted: Gazette 6 Feb 2009 p. 245; amended: Gazette 3 May 2013 p. 1719.]</w:t>
      </w:r>
    </w:p>
    <w:p w:rsidR="00425758" w:rsidRDefault="00425758">
      <w:pPr>
        <w:pStyle w:val="Heading2"/>
      </w:pPr>
      <w:bookmarkStart w:id="1205" w:name="_Toc75512692"/>
      <w:bookmarkStart w:id="1206" w:name="_Toc75863788"/>
      <w:r>
        <w:rPr>
          <w:rStyle w:val="CharPartNo"/>
        </w:rPr>
        <w:lastRenderedPageBreak/>
        <w:t>Order 76</w:t>
      </w:r>
      <w:r>
        <w:rPr>
          <w:b w:val="0"/>
        </w:rPr>
        <w:t> </w:t>
      </w:r>
      <w:r>
        <w:t>—</w:t>
      </w:r>
      <w:r>
        <w:rPr>
          <w:b w:val="0"/>
        </w:rPr>
        <w:t> </w:t>
      </w:r>
      <w:r>
        <w:rPr>
          <w:rStyle w:val="CharPartText"/>
          <w:i/>
        </w:rPr>
        <w:t>Public Notaries Act 1979</w:t>
      </w:r>
      <w:r>
        <w:rPr>
          <w:rStyle w:val="CharPartText"/>
        </w:rPr>
        <w:t xml:space="preserve"> rules</w:t>
      </w:r>
      <w:bookmarkEnd w:id="1205"/>
      <w:bookmarkEnd w:id="1206"/>
    </w:p>
    <w:p w:rsidR="00425758" w:rsidRDefault="00425758">
      <w:pPr>
        <w:pStyle w:val="Footnoteheading"/>
      </w:pPr>
      <w:r>
        <w:tab/>
        <w:t>[Heading inserted: Gazette 21 Feb 2007 p. 582.]</w:t>
      </w:r>
    </w:p>
    <w:p w:rsidR="00425758" w:rsidRDefault="00425758">
      <w:pPr>
        <w:pStyle w:val="Heading5"/>
        <w:rPr>
          <w:snapToGrid w:val="0"/>
        </w:rPr>
      </w:pPr>
      <w:bookmarkStart w:id="1207" w:name="_Toc75863789"/>
      <w:r>
        <w:rPr>
          <w:rStyle w:val="CharSectno"/>
        </w:rPr>
        <w:t>1</w:t>
      </w:r>
      <w:r>
        <w:rPr>
          <w:snapToGrid w:val="0"/>
        </w:rPr>
        <w:t>.</w:t>
      </w:r>
      <w:r>
        <w:rPr>
          <w:snapToGrid w:val="0"/>
        </w:rPr>
        <w:tab/>
        <w:t>Terms used</w:t>
      </w:r>
      <w:bookmarkEnd w:id="1207"/>
    </w:p>
    <w:p w:rsidR="00425758" w:rsidRDefault="00425758">
      <w:pPr>
        <w:pStyle w:val="Subsection"/>
        <w:rPr>
          <w:snapToGrid w:val="0"/>
        </w:rPr>
      </w:pPr>
      <w:r>
        <w:rPr>
          <w:snapToGrid w:val="0"/>
        </w:rPr>
        <w:tab/>
      </w:r>
      <w:r>
        <w:rPr>
          <w:snapToGrid w:val="0"/>
        </w:rPr>
        <w:tab/>
        <w:t>In this Order, unless the contrary intention appears — </w:t>
      </w:r>
    </w:p>
    <w:p w:rsidR="00425758" w:rsidRDefault="00425758">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rsidR="00425758" w:rsidRDefault="00425758">
      <w:pPr>
        <w:pStyle w:val="Footnotesection"/>
      </w:pPr>
      <w:r>
        <w:tab/>
        <w:t xml:space="preserve">[Rule 1 inserted: Gazette 18 Jul 1980 p. 2384.] </w:t>
      </w:r>
    </w:p>
    <w:p w:rsidR="00425758" w:rsidRDefault="00425758">
      <w:pPr>
        <w:pStyle w:val="Heading5"/>
      </w:pPr>
      <w:bookmarkStart w:id="1208" w:name="_Toc75863790"/>
      <w:r>
        <w:rPr>
          <w:rStyle w:val="CharSectno"/>
        </w:rPr>
        <w:t>1A</w:t>
      </w:r>
      <w:r>
        <w:t>.</w:t>
      </w:r>
      <w:r>
        <w:tab/>
        <w:t>Districts prescribed for Act</w:t>
      </w:r>
      <w:bookmarkEnd w:id="1208"/>
    </w:p>
    <w:p w:rsidR="00425758" w:rsidRDefault="00425758">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rsidR="00425758" w:rsidRDefault="00425758">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rsidR="00425758">
        <w:trPr>
          <w:tblHeader/>
        </w:trPr>
        <w:tc>
          <w:tcPr>
            <w:tcW w:w="1500" w:type="dxa"/>
            <w:tcBorders>
              <w:top w:val="single" w:sz="4" w:space="0" w:color="auto"/>
              <w:bottom w:val="single" w:sz="4" w:space="0" w:color="auto"/>
            </w:tcBorders>
          </w:tcPr>
          <w:p w:rsidR="00425758" w:rsidRDefault="00425758">
            <w:pPr>
              <w:pStyle w:val="TableNAm"/>
              <w:rPr>
                <w:b/>
                <w:bCs/>
              </w:rPr>
            </w:pPr>
            <w:r>
              <w:rPr>
                <w:b/>
                <w:bCs/>
              </w:rPr>
              <w:t>Name of district</w:t>
            </w:r>
          </w:p>
        </w:tc>
        <w:tc>
          <w:tcPr>
            <w:tcW w:w="4560" w:type="dxa"/>
            <w:tcBorders>
              <w:top w:val="single" w:sz="4" w:space="0" w:color="auto"/>
              <w:bottom w:val="single" w:sz="4" w:space="0" w:color="auto"/>
            </w:tcBorders>
          </w:tcPr>
          <w:p w:rsidR="00425758" w:rsidRDefault="00425758">
            <w:pPr>
              <w:pStyle w:val="TableNAm"/>
              <w:rPr>
                <w:b/>
                <w:bCs/>
              </w:rPr>
            </w:pPr>
            <w:r>
              <w:rPr>
                <w:b/>
                <w:bCs/>
              </w:rPr>
              <w:t>Local government districts that comprise the district</w:t>
            </w:r>
          </w:p>
        </w:tc>
      </w:tr>
      <w:tr w:rsidR="00425758">
        <w:tc>
          <w:tcPr>
            <w:tcW w:w="1500" w:type="dxa"/>
          </w:tcPr>
          <w:p w:rsidR="00425758" w:rsidRDefault="00425758">
            <w:pPr>
              <w:pStyle w:val="TableNAm"/>
            </w:pPr>
            <w:r>
              <w:t>Gascoyne District</w:t>
            </w:r>
          </w:p>
        </w:tc>
        <w:tc>
          <w:tcPr>
            <w:tcW w:w="4560" w:type="dxa"/>
          </w:tcPr>
          <w:p w:rsidR="00425758" w:rsidRDefault="00425758">
            <w:pPr>
              <w:pStyle w:val="TableNAm"/>
              <w:tabs>
                <w:tab w:val="left" w:pos="2223"/>
              </w:tabs>
            </w:pPr>
            <w:r>
              <w:t>Carnarvon</w:t>
            </w:r>
            <w:r>
              <w:tab/>
              <w:t>Shark Bay</w:t>
            </w:r>
          </w:p>
          <w:p w:rsidR="00425758" w:rsidRDefault="00425758">
            <w:pPr>
              <w:pStyle w:val="TableNAm"/>
              <w:tabs>
                <w:tab w:val="left" w:pos="2223"/>
              </w:tabs>
              <w:spacing w:before="0"/>
            </w:pPr>
            <w:r>
              <w:t>Exmouth</w:t>
            </w:r>
            <w:r>
              <w:tab/>
              <w:t>Upper Gascoyne</w:t>
            </w:r>
          </w:p>
        </w:tc>
      </w:tr>
      <w:tr w:rsidR="00425758">
        <w:tc>
          <w:tcPr>
            <w:tcW w:w="1500" w:type="dxa"/>
          </w:tcPr>
          <w:p w:rsidR="00425758" w:rsidRDefault="00425758">
            <w:pPr>
              <w:pStyle w:val="TableNAm"/>
            </w:pPr>
            <w:r>
              <w:t>Goldfields</w:t>
            </w:r>
            <w:r>
              <w:noBreakHyphen/>
            </w:r>
            <w:r>
              <w:br/>
              <w:t>Esperance District</w:t>
            </w:r>
          </w:p>
        </w:tc>
        <w:tc>
          <w:tcPr>
            <w:tcW w:w="4560" w:type="dxa"/>
          </w:tcPr>
          <w:p w:rsidR="00425758" w:rsidRDefault="00425758">
            <w:pPr>
              <w:pStyle w:val="TableNAm"/>
              <w:tabs>
                <w:tab w:val="left" w:pos="2223"/>
              </w:tabs>
            </w:pPr>
            <w:r>
              <w:t>Coolgardie</w:t>
            </w:r>
            <w:r>
              <w:tab/>
              <w:t>Leonora</w:t>
            </w:r>
          </w:p>
          <w:p w:rsidR="00425758" w:rsidRDefault="00425758">
            <w:pPr>
              <w:pStyle w:val="TableNAm"/>
              <w:tabs>
                <w:tab w:val="left" w:pos="2223"/>
              </w:tabs>
              <w:spacing w:before="0"/>
            </w:pPr>
            <w:r>
              <w:t>Dundas</w:t>
            </w:r>
            <w:r>
              <w:tab/>
              <w:t>Menzies</w:t>
            </w:r>
          </w:p>
          <w:p w:rsidR="00425758" w:rsidRDefault="00425758">
            <w:pPr>
              <w:pStyle w:val="TableNAm"/>
              <w:tabs>
                <w:tab w:val="left" w:pos="2223"/>
              </w:tabs>
              <w:spacing w:before="0"/>
            </w:pPr>
            <w:r>
              <w:t>Esperance</w:t>
            </w:r>
            <w:r>
              <w:tab/>
              <w:t>Ngaanyatjarraku</w:t>
            </w:r>
          </w:p>
          <w:p w:rsidR="00425758" w:rsidRDefault="00425758">
            <w:pPr>
              <w:pStyle w:val="TableNAm"/>
              <w:tabs>
                <w:tab w:val="left" w:pos="2223"/>
              </w:tabs>
              <w:spacing w:before="0"/>
            </w:pPr>
            <w:r>
              <w:t>Kalgoorlie</w:t>
            </w:r>
            <w:r>
              <w:noBreakHyphen/>
              <w:t>Boulder</w:t>
            </w:r>
            <w:r>
              <w:tab/>
              <w:t>Ravensthorpe</w:t>
            </w:r>
          </w:p>
          <w:p w:rsidR="00425758" w:rsidRDefault="00425758">
            <w:pPr>
              <w:pStyle w:val="TableNAm"/>
              <w:tabs>
                <w:tab w:val="left" w:pos="2223"/>
              </w:tabs>
              <w:spacing w:before="0"/>
            </w:pPr>
            <w:r>
              <w:t>Laverton</w:t>
            </w:r>
            <w:r>
              <w:tab/>
              <w:t>Wiluna</w:t>
            </w:r>
          </w:p>
        </w:tc>
      </w:tr>
      <w:tr w:rsidR="00425758">
        <w:tc>
          <w:tcPr>
            <w:tcW w:w="1500" w:type="dxa"/>
          </w:tcPr>
          <w:p w:rsidR="00425758" w:rsidRDefault="00425758">
            <w:pPr>
              <w:pStyle w:val="TableNAm"/>
            </w:pPr>
            <w:r>
              <w:t>Great Southern District</w:t>
            </w:r>
          </w:p>
        </w:tc>
        <w:tc>
          <w:tcPr>
            <w:tcW w:w="4560" w:type="dxa"/>
          </w:tcPr>
          <w:p w:rsidR="00425758" w:rsidRDefault="00425758">
            <w:pPr>
              <w:pStyle w:val="TableNAm"/>
              <w:tabs>
                <w:tab w:val="left" w:pos="2223"/>
              </w:tabs>
            </w:pPr>
            <w:r>
              <w:t>Albany (Town)</w:t>
            </w:r>
            <w:r>
              <w:tab/>
              <w:t>Katanning</w:t>
            </w:r>
          </w:p>
          <w:p w:rsidR="00425758" w:rsidRDefault="00425758">
            <w:pPr>
              <w:pStyle w:val="TableNAm"/>
              <w:tabs>
                <w:tab w:val="left" w:pos="2223"/>
              </w:tabs>
              <w:spacing w:before="0"/>
            </w:pPr>
            <w:r>
              <w:t>Albany (Shire)</w:t>
            </w:r>
            <w:r>
              <w:tab/>
              <w:t>Kent</w:t>
            </w:r>
          </w:p>
          <w:p w:rsidR="00425758" w:rsidRDefault="00425758">
            <w:pPr>
              <w:pStyle w:val="TableNAm"/>
              <w:tabs>
                <w:tab w:val="left" w:pos="2223"/>
              </w:tabs>
              <w:spacing w:before="0"/>
            </w:pPr>
            <w:r>
              <w:t>Broomehill</w:t>
            </w:r>
            <w:r>
              <w:tab/>
              <w:t>Kojonup</w:t>
            </w:r>
          </w:p>
          <w:p w:rsidR="00425758" w:rsidRDefault="00425758">
            <w:pPr>
              <w:pStyle w:val="TableNAm"/>
              <w:tabs>
                <w:tab w:val="left" w:pos="2223"/>
              </w:tabs>
              <w:spacing w:before="0"/>
            </w:pPr>
            <w:r>
              <w:t>Cranbrook</w:t>
            </w:r>
            <w:r>
              <w:tab/>
              <w:t>Plantagenet</w:t>
            </w:r>
          </w:p>
          <w:p w:rsidR="00425758" w:rsidRDefault="00425758">
            <w:pPr>
              <w:pStyle w:val="TableNAm"/>
              <w:tabs>
                <w:tab w:val="left" w:pos="2223"/>
              </w:tabs>
              <w:spacing w:before="0"/>
            </w:pPr>
            <w:r>
              <w:t>Denmark</w:t>
            </w:r>
            <w:r>
              <w:tab/>
              <w:t>Tambellup</w:t>
            </w:r>
          </w:p>
          <w:p w:rsidR="00425758" w:rsidRDefault="00425758">
            <w:pPr>
              <w:pStyle w:val="TableNAm"/>
              <w:tabs>
                <w:tab w:val="left" w:pos="2223"/>
              </w:tabs>
              <w:spacing w:before="0"/>
            </w:pPr>
            <w:r>
              <w:t>Gnowangerup</w:t>
            </w:r>
            <w:r>
              <w:tab/>
              <w:t>Woodanilling</w:t>
            </w:r>
          </w:p>
          <w:p w:rsidR="00425758" w:rsidRDefault="00425758">
            <w:pPr>
              <w:pStyle w:val="TableNAm"/>
              <w:tabs>
                <w:tab w:val="left" w:pos="2223"/>
              </w:tabs>
              <w:spacing w:before="0"/>
            </w:pPr>
            <w:r>
              <w:t>Jerramungup</w:t>
            </w:r>
          </w:p>
        </w:tc>
      </w:tr>
      <w:tr w:rsidR="00425758">
        <w:trPr>
          <w:cantSplit/>
        </w:trPr>
        <w:tc>
          <w:tcPr>
            <w:tcW w:w="1500" w:type="dxa"/>
          </w:tcPr>
          <w:p w:rsidR="00425758" w:rsidRDefault="00425758">
            <w:pPr>
              <w:pStyle w:val="TableNAm"/>
            </w:pPr>
            <w:r>
              <w:lastRenderedPageBreak/>
              <w:t>Kimberley District</w:t>
            </w:r>
          </w:p>
        </w:tc>
        <w:tc>
          <w:tcPr>
            <w:tcW w:w="4560" w:type="dxa"/>
          </w:tcPr>
          <w:p w:rsidR="00425758" w:rsidRDefault="00425758">
            <w:pPr>
              <w:pStyle w:val="TableNAm"/>
              <w:tabs>
                <w:tab w:val="left" w:pos="2223"/>
              </w:tabs>
            </w:pPr>
            <w:r>
              <w:t>Broome</w:t>
            </w:r>
          </w:p>
          <w:p w:rsidR="00425758" w:rsidRDefault="00425758">
            <w:pPr>
              <w:pStyle w:val="TableNAm"/>
              <w:tabs>
                <w:tab w:val="left" w:pos="2223"/>
              </w:tabs>
              <w:spacing w:before="0"/>
            </w:pPr>
            <w:r>
              <w:t>Derby</w:t>
            </w:r>
            <w:r>
              <w:noBreakHyphen/>
              <w:t>West Kimberley</w:t>
            </w:r>
          </w:p>
          <w:p w:rsidR="00425758" w:rsidRDefault="00425758">
            <w:pPr>
              <w:pStyle w:val="TableNAm"/>
              <w:tabs>
                <w:tab w:val="left" w:pos="2223"/>
              </w:tabs>
              <w:spacing w:before="0"/>
            </w:pPr>
            <w:r>
              <w:t>Halls Creek</w:t>
            </w:r>
          </w:p>
          <w:p w:rsidR="00425758" w:rsidRDefault="00425758">
            <w:pPr>
              <w:pStyle w:val="TableNAm"/>
              <w:tabs>
                <w:tab w:val="left" w:pos="2223"/>
              </w:tabs>
              <w:spacing w:before="0"/>
            </w:pPr>
            <w:r>
              <w:t>Wyndham</w:t>
            </w:r>
            <w:r>
              <w:noBreakHyphen/>
              <w:t>East Kimberley</w:t>
            </w:r>
          </w:p>
        </w:tc>
      </w:tr>
      <w:tr w:rsidR="00425758">
        <w:tc>
          <w:tcPr>
            <w:tcW w:w="1500" w:type="dxa"/>
          </w:tcPr>
          <w:p w:rsidR="00425758" w:rsidRDefault="00425758">
            <w:pPr>
              <w:pStyle w:val="TableNAm"/>
            </w:pPr>
            <w:r>
              <w:t>Mid West District</w:t>
            </w:r>
          </w:p>
        </w:tc>
        <w:tc>
          <w:tcPr>
            <w:tcW w:w="4560" w:type="dxa"/>
          </w:tcPr>
          <w:p w:rsidR="00425758" w:rsidRDefault="00425758">
            <w:pPr>
              <w:pStyle w:val="TableNAm"/>
              <w:tabs>
                <w:tab w:val="clear" w:pos="567"/>
                <w:tab w:val="left" w:pos="2223"/>
              </w:tabs>
            </w:pPr>
            <w:r>
              <w:t>Carnamah</w:t>
            </w:r>
            <w:r>
              <w:tab/>
              <w:t>Morawa</w:t>
            </w:r>
          </w:p>
          <w:p w:rsidR="00425758" w:rsidRDefault="00425758">
            <w:pPr>
              <w:pStyle w:val="TableNAm"/>
              <w:tabs>
                <w:tab w:val="clear" w:pos="567"/>
                <w:tab w:val="left" w:pos="2223"/>
              </w:tabs>
              <w:spacing w:before="0"/>
            </w:pPr>
            <w:r>
              <w:t>Chapman Valley</w:t>
            </w:r>
            <w:r>
              <w:tab/>
              <w:t>Mt. Magnet</w:t>
            </w:r>
          </w:p>
          <w:p w:rsidR="00425758" w:rsidRDefault="00425758">
            <w:pPr>
              <w:pStyle w:val="TableNAm"/>
              <w:tabs>
                <w:tab w:val="clear" w:pos="567"/>
                <w:tab w:val="left" w:pos="2223"/>
              </w:tabs>
              <w:spacing w:before="0"/>
            </w:pPr>
            <w:r>
              <w:t>Coorow</w:t>
            </w:r>
            <w:r>
              <w:tab/>
              <w:t>Mullewa</w:t>
            </w:r>
          </w:p>
          <w:p w:rsidR="00425758" w:rsidRDefault="00425758">
            <w:pPr>
              <w:pStyle w:val="TableNAm"/>
              <w:tabs>
                <w:tab w:val="clear" w:pos="567"/>
                <w:tab w:val="left" w:pos="2223"/>
              </w:tabs>
              <w:spacing w:before="0"/>
            </w:pPr>
            <w:r>
              <w:t>Cue</w:t>
            </w:r>
            <w:r>
              <w:tab/>
              <w:t>Murchison</w:t>
            </w:r>
          </w:p>
          <w:p w:rsidR="00425758" w:rsidRDefault="00425758">
            <w:pPr>
              <w:pStyle w:val="TableNAm"/>
              <w:tabs>
                <w:tab w:val="clear" w:pos="567"/>
                <w:tab w:val="left" w:pos="2223"/>
              </w:tabs>
              <w:spacing w:before="0"/>
            </w:pPr>
            <w:r>
              <w:t>Geraldton</w:t>
            </w:r>
            <w:r>
              <w:tab/>
              <w:t>Northampton</w:t>
            </w:r>
          </w:p>
          <w:p w:rsidR="00425758" w:rsidRDefault="00425758">
            <w:pPr>
              <w:pStyle w:val="TableNAm"/>
              <w:tabs>
                <w:tab w:val="clear" w:pos="567"/>
                <w:tab w:val="left" w:pos="2223"/>
              </w:tabs>
              <w:spacing w:before="0"/>
            </w:pPr>
            <w:r>
              <w:t>Greenough</w:t>
            </w:r>
            <w:r>
              <w:tab/>
              <w:t>Perenjori</w:t>
            </w:r>
          </w:p>
          <w:p w:rsidR="00425758" w:rsidRDefault="00425758">
            <w:pPr>
              <w:pStyle w:val="TableNAm"/>
              <w:tabs>
                <w:tab w:val="clear" w:pos="567"/>
                <w:tab w:val="left" w:pos="2223"/>
              </w:tabs>
              <w:spacing w:before="0"/>
            </w:pPr>
            <w:r>
              <w:t>Irwin</w:t>
            </w:r>
            <w:r>
              <w:tab/>
              <w:t>Sandstone</w:t>
            </w:r>
          </w:p>
          <w:p w:rsidR="00425758" w:rsidRDefault="00425758">
            <w:pPr>
              <w:pStyle w:val="TableNAm"/>
              <w:tabs>
                <w:tab w:val="clear" w:pos="567"/>
                <w:tab w:val="left" w:pos="2223"/>
              </w:tabs>
              <w:spacing w:before="0"/>
            </w:pPr>
            <w:r>
              <w:t>Meekatharra</w:t>
            </w:r>
            <w:r>
              <w:tab/>
              <w:t>Three Springs</w:t>
            </w:r>
          </w:p>
          <w:p w:rsidR="00425758" w:rsidRDefault="00425758">
            <w:pPr>
              <w:pStyle w:val="TableNAm"/>
              <w:tabs>
                <w:tab w:val="clear" w:pos="567"/>
                <w:tab w:val="left" w:pos="2223"/>
              </w:tabs>
              <w:spacing w:before="0"/>
            </w:pPr>
            <w:r>
              <w:t>Mingenew</w:t>
            </w:r>
            <w:r>
              <w:tab/>
              <w:t>Yalgoo</w:t>
            </w:r>
          </w:p>
        </w:tc>
      </w:tr>
      <w:tr w:rsidR="00425758">
        <w:tc>
          <w:tcPr>
            <w:tcW w:w="1500" w:type="dxa"/>
          </w:tcPr>
          <w:p w:rsidR="00425758" w:rsidRDefault="00425758">
            <w:pPr>
              <w:pStyle w:val="TableNAm"/>
            </w:pPr>
            <w:r>
              <w:t>Peel District</w:t>
            </w:r>
          </w:p>
        </w:tc>
        <w:tc>
          <w:tcPr>
            <w:tcW w:w="4560" w:type="dxa"/>
          </w:tcPr>
          <w:p w:rsidR="00425758" w:rsidRDefault="00425758">
            <w:pPr>
              <w:pStyle w:val="TableNAm"/>
              <w:tabs>
                <w:tab w:val="clear" w:pos="567"/>
                <w:tab w:val="left" w:pos="2223"/>
              </w:tabs>
            </w:pPr>
            <w:r>
              <w:t>Boddington</w:t>
            </w:r>
            <w:r>
              <w:tab/>
              <w:t>Serpentine</w:t>
            </w:r>
            <w:r>
              <w:noBreakHyphen/>
              <w:t>Jarrahdale</w:t>
            </w:r>
          </w:p>
          <w:p w:rsidR="00425758" w:rsidRDefault="00425758">
            <w:pPr>
              <w:pStyle w:val="TableNAm"/>
              <w:tabs>
                <w:tab w:val="clear" w:pos="567"/>
                <w:tab w:val="left" w:pos="2223"/>
              </w:tabs>
              <w:spacing w:before="0"/>
            </w:pPr>
            <w:r>
              <w:t>Mandurah</w:t>
            </w:r>
            <w:r>
              <w:tab/>
              <w:t>Waroona</w:t>
            </w:r>
          </w:p>
          <w:p w:rsidR="00425758" w:rsidRDefault="00425758">
            <w:pPr>
              <w:pStyle w:val="TableNAm"/>
              <w:tabs>
                <w:tab w:val="clear" w:pos="567"/>
                <w:tab w:val="left" w:pos="2223"/>
              </w:tabs>
              <w:spacing w:before="0"/>
            </w:pPr>
            <w:r>
              <w:t>Murray</w:t>
            </w:r>
          </w:p>
        </w:tc>
      </w:tr>
      <w:tr w:rsidR="00425758">
        <w:tc>
          <w:tcPr>
            <w:tcW w:w="1500" w:type="dxa"/>
          </w:tcPr>
          <w:p w:rsidR="00425758" w:rsidRDefault="00425758">
            <w:pPr>
              <w:pStyle w:val="TableNAm"/>
            </w:pPr>
            <w:r>
              <w:t>Pilbara District</w:t>
            </w:r>
          </w:p>
        </w:tc>
        <w:tc>
          <w:tcPr>
            <w:tcW w:w="4560" w:type="dxa"/>
          </w:tcPr>
          <w:p w:rsidR="00425758" w:rsidRDefault="00425758">
            <w:pPr>
              <w:pStyle w:val="TableNAm"/>
              <w:tabs>
                <w:tab w:val="clear" w:pos="567"/>
                <w:tab w:val="left" w:pos="2223"/>
              </w:tabs>
            </w:pPr>
            <w:r>
              <w:t>Ashburton</w:t>
            </w:r>
            <w:r>
              <w:tab/>
              <w:t>Port Hedland</w:t>
            </w:r>
          </w:p>
          <w:p w:rsidR="00425758" w:rsidRDefault="00425758">
            <w:pPr>
              <w:pStyle w:val="TableNAm"/>
              <w:tabs>
                <w:tab w:val="clear" w:pos="567"/>
                <w:tab w:val="left" w:pos="2223"/>
              </w:tabs>
              <w:spacing w:before="0"/>
            </w:pPr>
            <w:r>
              <w:t>East Pilbara</w:t>
            </w:r>
            <w:r>
              <w:tab/>
              <w:t>Roebourne</w:t>
            </w:r>
          </w:p>
        </w:tc>
      </w:tr>
      <w:tr w:rsidR="00425758">
        <w:tc>
          <w:tcPr>
            <w:tcW w:w="1500" w:type="dxa"/>
          </w:tcPr>
          <w:p w:rsidR="00425758" w:rsidRDefault="00425758">
            <w:pPr>
              <w:pStyle w:val="TableNAm"/>
            </w:pPr>
            <w:r>
              <w:t>South West District</w:t>
            </w:r>
          </w:p>
        </w:tc>
        <w:tc>
          <w:tcPr>
            <w:tcW w:w="4560" w:type="dxa"/>
          </w:tcPr>
          <w:p w:rsidR="00425758" w:rsidRDefault="00425758">
            <w:pPr>
              <w:pStyle w:val="TableNAm"/>
              <w:tabs>
                <w:tab w:val="left" w:pos="2223"/>
              </w:tabs>
            </w:pPr>
            <w:r>
              <w:t>Augusta</w:t>
            </w:r>
            <w:r>
              <w:noBreakHyphen/>
              <w:t>Margaret River</w:t>
            </w:r>
          </w:p>
          <w:p w:rsidR="00425758" w:rsidRDefault="00425758">
            <w:pPr>
              <w:pStyle w:val="TableNAm"/>
              <w:tabs>
                <w:tab w:val="left" w:pos="2223"/>
              </w:tabs>
              <w:spacing w:before="0"/>
            </w:pPr>
            <w:r>
              <w:t>Bridgetown</w:t>
            </w:r>
            <w:r>
              <w:noBreakHyphen/>
              <w:t>Greenbushes</w:t>
            </w:r>
          </w:p>
          <w:p w:rsidR="00425758" w:rsidRDefault="00425758">
            <w:pPr>
              <w:pStyle w:val="TableNAm"/>
              <w:tabs>
                <w:tab w:val="left" w:pos="2223"/>
              </w:tabs>
              <w:spacing w:before="0"/>
            </w:pPr>
            <w:r>
              <w:t>Donnybrook</w:t>
            </w:r>
            <w:r>
              <w:noBreakHyphen/>
              <w:t>Balingup</w:t>
            </w:r>
          </w:p>
          <w:p w:rsidR="00425758" w:rsidRDefault="00425758">
            <w:pPr>
              <w:pStyle w:val="TableNAm"/>
              <w:tabs>
                <w:tab w:val="clear" w:pos="567"/>
                <w:tab w:val="left" w:pos="2223"/>
              </w:tabs>
              <w:spacing w:before="0"/>
            </w:pPr>
            <w:r>
              <w:t>Boyup Brook</w:t>
            </w:r>
            <w:r>
              <w:tab/>
              <w:t>Dardanup</w:t>
            </w:r>
          </w:p>
          <w:p w:rsidR="00425758" w:rsidRDefault="00425758">
            <w:pPr>
              <w:pStyle w:val="TableNAm"/>
              <w:tabs>
                <w:tab w:val="clear" w:pos="567"/>
                <w:tab w:val="left" w:pos="2223"/>
              </w:tabs>
              <w:spacing w:before="0"/>
            </w:pPr>
            <w:r>
              <w:t>Bunbury</w:t>
            </w:r>
            <w:r>
              <w:tab/>
              <w:t>Harvey</w:t>
            </w:r>
          </w:p>
          <w:p w:rsidR="00425758" w:rsidRDefault="00425758">
            <w:pPr>
              <w:pStyle w:val="TableNAm"/>
              <w:tabs>
                <w:tab w:val="clear" w:pos="567"/>
                <w:tab w:val="left" w:pos="2223"/>
              </w:tabs>
              <w:spacing w:before="0"/>
            </w:pPr>
            <w:r>
              <w:t>Busselton</w:t>
            </w:r>
            <w:r>
              <w:tab/>
              <w:t>Manjimup</w:t>
            </w:r>
          </w:p>
          <w:p w:rsidR="00425758" w:rsidRDefault="00425758">
            <w:pPr>
              <w:pStyle w:val="TableNAm"/>
              <w:tabs>
                <w:tab w:val="clear" w:pos="567"/>
                <w:tab w:val="left" w:pos="2223"/>
              </w:tabs>
              <w:spacing w:before="0"/>
            </w:pPr>
            <w:r>
              <w:t>Capel</w:t>
            </w:r>
            <w:r>
              <w:tab/>
              <w:t>Nannup</w:t>
            </w:r>
          </w:p>
          <w:p w:rsidR="00425758" w:rsidRDefault="00425758">
            <w:pPr>
              <w:pStyle w:val="TableNAm"/>
              <w:tabs>
                <w:tab w:val="left" w:pos="2223"/>
              </w:tabs>
              <w:spacing w:before="0"/>
            </w:pPr>
            <w:r>
              <w:t>Collie</w:t>
            </w:r>
          </w:p>
        </w:tc>
      </w:tr>
      <w:tr w:rsidR="00425758">
        <w:trPr>
          <w:cantSplit/>
        </w:trPr>
        <w:tc>
          <w:tcPr>
            <w:tcW w:w="1500" w:type="dxa"/>
            <w:tcBorders>
              <w:bottom w:val="single" w:sz="4" w:space="0" w:color="auto"/>
            </w:tcBorders>
          </w:tcPr>
          <w:p w:rsidR="00425758" w:rsidRDefault="00425758">
            <w:pPr>
              <w:pStyle w:val="TableNAm"/>
            </w:pPr>
            <w:r>
              <w:lastRenderedPageBreak/>
              <w:t>Wheatbelt District</w:t>
            </w:r>
          </w:p>
        </w:tc>
        <w:tc>
          <w:tcPr>
            <w:tcW w:w="4560" w:type="dxa"/>
            <w:tcBorders>
              <w:bottom w:val="single" w:sz="4" w:space="0" w:color="auto"/>
            </w:tcBorders>
          </w:tcPr>
          <w:p w:rsidR="00425758" w:rsidRDefault="00425758">
            <w:pPr>
              <w:pStyle w:val="TableNAm"/>
              <w:tabs>
                <w:tab w:val="clear" w:pos="567"/>
                <w:tab w:val="left" w:pos="2223"/>
              </w:tabs>
            </w:pPr>
            <w:r>
              <w:t>Beverley</w:t>
            </w:r>
            <w:r>
              <w:tab/>
              <w:t>Narembeen</w:t>
            </w:r>
          </w:p>
          <w:p w:rsidR="00425758" w:rsidRDefault="00425758">
            <w:pPr>
              <w:pStyle w:val="TableNAm"/>
              <w:tabs>
                <w:tab w:val="clear" w:pos="567"/>
                <w:tab w:val="left" w:pos="2223"/>
              </w:tabs>
              <w:spacing w:before="0"/>
            </w:pPr>
            <w:r>
              <w:t>Brookton</w:t>
            </w:r>
            <w:r>
              <w:tab/>
              <w:t>Narrogin (Town)</w:t>
            </w:r>
          </w:p>
          <w:p w:rsidR="00425758" w:rsidRDefault="00425758">
            <w:pPr>
              <w:pStyle w:val="TableNAm"/>
              <w:tabs>
                <w:tab w:val="clear" w:pos="567"/>
                <w:tab w:val="left" w:pos="2223"/>
              </w:tabs>
              <w:spacing w:before="0"/>
            </w:pPr>
            <w:r>
              <w:t>Bruce Rock</w:t>
            </w:r>
            <w:r>
              <w:tab/>
              <w:t>Narrogin (Shire)</w:t>
            </w:r>
          </w:p>
          <w:p w:rsidR="00425758" w:rsidRDefault="00425758">
            <w:pPr>
              <w:pStyle w:val="TableNAm"/>
              <w:tabs>
                <w:tab w:val="clear" w:pos="567"/>
                <w:tab w:val="left" w:pos="2223"/>
              </w:tabs>
              <w:spacing w:before="0"/>
            </w:pPr>
            <w:r>
              <w:t>Chittering</w:t>
            </w:r>
            <w:r>
              <w:tab/>
              <w:t>Northam (Town)</w:t>
            </w:r>
          </w:p>
          <w:p w:rsidR="00425758" w:rsidRDefault="00425758">
            <w:pPr>
              <w:pStyle w:val="TableNAm"/>
              <w:tabs>
                <w:tab w:val="clear" w:pos="567"/>
                <w:tab w:val="left" w:pos="2223"/>
              </w:tabs>
              <w:spacing w:before="0"/>
            </w:pPr>
            <w:r>
              <w:t>Corrigin</w:t>
            </w:r>
            <w:r>
              <w:tab/>
              <w:t>Northam (Shire)</w:t>
            </w:r>
          </w:p>
          <w:p w:rsidR="00425758" w:rsidRDefault="00425758">
            <w:pPr>
              <w:pStyle w:val="TableNAm"/>
              <w:tabs>
                <w:tab w:val="clear" w:pos="567"/>
                <w:tab w:val="left" w:pos="2223"/>
              </w:tabs>
              <w:spacing w:before="0"/>
            </w:pPr>
            <w:r>
              <w:t>Cuballing</w:t>
            </w:r>
            <w:r>
              <w:tab/>
              <w:t>Nungarin</w:t>
            </w:r>
          </w:p>
          <w:p w:rsidR="00425758" w:rsidRDefault="00425758">
            <w:pPr>
              <w:pStyle w:val="TableNAm"/>
              <w:tabs>
                <w:tab w:val="clear" w:pos="567"/>
                <w:tab w:val="left" w:pos="2223"/>
              </w:tabs>
              <w:spacing w:before="0"/>
            </w:pPr>
            <w:r>
              <w:t>Cunderdin</w:t>
            </w:r>
            <w:r>
              <w:tab/>
              <w:t>Pingelly</w:t>
            </w:r>
          </w:p>
          <w:p w:rsidR="00425758" w:rsidRDefault="00425758">
            <w:pPr>
              <w:pStyle w:val="TableNAm"/>
              <w:tabs>
                <w:tab w:val="clear" w:pos="567"/>
                <w:tab w:val="left" w:pos="2223"/>
              </w:tabs>
              <w:spacing w:before="0"/>
            </w:pPr>
            <w:r>
              <w:t>Dandaragan</w:t>
            </w:r>
            <w:r>
              <w:tab/>
              <w:t>Quairading</w:t>
            </w:r>
          </w:p>
          <w:p w:rsidR="00425758" w:rsidRDefault="00425758">
            <w:pPr>
              <w:pStyle w:val="TableNAm"/>
              <w:tabs>
                <w:tab w:val="clear" w:pos="567"/>
                <w:tab w:val="left" w:pos="2223"/>
              </w:tabs>
              <w:spacing w:before="0"/>
            </w:pPr>
            <w:r>
              <w:t>Dalwallinu</w:t>
            </w:r>
            <w:r>
              <w:tab/>
              <w:t>Tammin</w:t>
            </w:r>
          </w:p>
          <w:p w:rsidR="00425758" w:rsidRDefault="00425758">
            <w:pPr>
              <w:pStyle w:val="TableNAm"/>
              <w:tabs>
                <w:tab w:val="clear" w:pos="567"/>
                <w:tab w:val="left" w:pos="2223"/>
              </w:tabs>
              <w:spacing w:before="0"/>
            </w:pPr>
            <w:r>
              <w:t>Dowerin</w:t>
            </w:r>
            <w:r>
              <w:tab/>
              <w:t>Toodyay</w:t>
            </w:r>
          </w:p>
          <w:p w:rsidR="00425758" w:rsidRDefault="00425758">
            <w:pPr>
              <w:pStyle w:val="TableNAm"/>
              <w:tabs>
                <w:tab w:val="clear" w:pos="567"/>
                <w:tab w:val="left" w:pos="2223"/>
              </w:tabs>
              <w:spacing w:before="0"/>
            </w:pPr>
            <w:r>
              <w:t>Dumbleyung</w:t>
            </w:r>
            <w:r>
              <w:tab/>
              <w:t>Trayning</w:t>
            </w:r>
          </w:p>
          <w:p w:rsidR="00425758" w:rsidRDefault="00425758">
            <w:pPr>
              <w:pStyle w:val="TableNAm"/>
              <w:tabs>
                <w:tab w:val="clear" w:pos="567"/>
                <w:tab w:val="left" w:pos="2223"/>
              </w:tabs>
              <w:spacing w:before="0"/>
            </w:pPr>
            <w:r>
              <w:t>Gingin</w:t>
            </w:r>
            <w:r>
              <w:tab/>
              <w:t>Victoria Plains</w:t>
            </w:r>
          </w:p>
          <w:p w:rsidR="00425758" w:rsidRDefault="00425758">
            <w:pPr>
              <w:pStyle w:val="TableNAm"/>
              <w:tabs>
                <w:tab w:val="clear" w:pos="567"/>
                <w:tab w:val="left" w:pos="2223"/>
              </w:tabs>
              <w:spacing w:before="0"/>
            </w:pPr>
            <w:r>
              <w:t>Goomalling</w:t>
            </w:r>
            <w:r>
              <w:tab/>
              <w:t>Wagin</w:t>
            </w:r>
          </w:p>
          <w:p w:rsidR="00425758" w:rsidRDefault="00425758">
            <w:pPr>
              <w:pStyle w:val="TableNAm"/>
              <w:tabs>
                <w:tab w:val="clear" w:pos="567"/>
                <w:tab w:val="left" w:pos="2223"/>
              </w:tabs>
              <w:spacing w:before="0"/>
            </w:pPr>
            <w:r>
              <w:t>Kellerberrin</w:t>
            </w:r>
            <w:r>
              <w:tab/>
              <w:t>Wandering</w:t>
            </w:r>
          </w:p>
          <w:p w:rsidR="00425758" w:rsidRDefault="00425758">
            <w:pPr>
              <w:pStyle w:val="TableNAm"/>
              <w:tabs>
                <w:tab w:val="clear" w:pos="567"/>
                <w:tab w:val="left" w:pos="2223"/>
              </w:tabs>
              <w:spacing w:before="0"/>
            </w:pPr>
            <w:r>
              <w:t>Kondinin</w:t>
            </w:r>
            <w:r>
              <w:tab/>
              <w:t>West Arthur</w:t>
            </w:r>
          </w:p>
          <w:p w:rsidR="00425758" w:rsidRDefault="00425758">
            <w:pPr>
              <w:pStyle w:val="TableNAm"/>
              <w:tabs>
                <w:tab w:val="clear" w:pos="567"/>
                <w:tab w:val="left" w:pos="2223"/>
              </w:tabs>
              <w:spacing w:before="0"/>
            </w:pPr>
            <w:r>
              <w:t>Koorda</w:t>
            </w:r>
            <w:r>
              <w:tab/>
              <w:t>Westonia</w:t>
            </w:r>
          </w:p>
          <w:p w:rsidR="00425758" w:rsidRDefault="00425758">
            <w:pPr>
              <w:pStyle w:val="TableNAm"/>
              <w:tabs>
                <w:tab w:val="clear" w:pos="567"/>
                <w:tab w:val="left" w:pos="2223"/>
              </w:tabs>
              <w:spacing w:before="0"/>
            </w:pPr>
            <w:r>
              <w:t>Kulin</w:t>
            </w:r>
            <w:r>
              <w:tab/>
              <w:t>Wickepin</w:t>
            </w:r>
          </w:p>
          <w:p w:rsidR="00425758" w:rsidRDefault="00425758">
            <w:pPr>
              <w:pStyle w:val="TableNAm"/>
              <w:tabs>
                <w:tab w:val="clear" w:pos="567"/>
                <w:tab w:val="left" w:pos="2223"/>
              </w:tabs>
              <w:spacing w:before="0"/>
            </w:pPr>
            <w:r>
              <w:t>Lake Grace</w:t>
            </w:r>
            <w:r>
              <w:tab/>
              <w:t>Williams</w:t>
            </w:r>
          </w:p>
          <w:p w:rsidR="00425758" w:rsidRDefault="00425758">
            <w:pPr>
              <w:pStyle w:val="TableNAm"/>
              <w:tabs>
                <w:tab w:val="clear" w:pos="567"/>
                <w:tab w:val="left" w:pos="2223"/>
              </w:tabs>
              <w:spacing w:before="0"/>
            </w:pPr>
            <w:r>
              <w:t>Merredin</w:t>
            </w:r>
            <w:r>
              <w:tab/>
              <w:t>Wongan</w:t>
            </w:r>
            <w:r>
              <w:noBreakHyphen/>
              <w:t>Ballidu</w:t>
            </w:r>
          </w:p>
          <w:p w:rsidR="00425758" w:rsidRDefault="00425758">
            <w:pPr>
              <w:pStyle w:val="TableNAm"/>
              <w:tabs>
                <w:tab w:val="clear" w:pos="567"/>
                <w:tab w:val="left" w:pos="2223"/>
              </w:tabs>
              <w:spacing w:before="0"/>
            </w:pPr>
            <w:r>
              <w:t>Moora</w:t>
            </w:r>
            <w:r>
              <w:tab/>
              <w:t>Wyalkatchem</w:t>
            </w:r>
          </w:p>
          <w:p w:rsidR="00425758" w:rsidRDefault="00425758">
            <w:pPr>
              <w:pStyle w:val="TableNAm"/>
              <w:tabs>
                <w:tab w:val="clear" w:pos="567"/>
                <w:tab w:val="left" w:pos="2223"/>
              </w:tabs>
              <w:spacing w:before="0"/>
            </w:pPr>
            <w:r>
              <w:t>Mt. Marshall</w:t>
            </w:r>
            <w:r>
              <w:tab/>
              <w:t>Yilgarn</w:t>
            </w:r>
          </w:p>
          <w:p w:rsidR="00425758" w:rsidRDefault="00425758">
            <w:pPr>
              <w:pStyle w:val="TableNAm"/>
              <w:tabs>
                <w:tab w:val="clear" w:pos="567"/>
                <w:tab w:val="left" w:pos="2223"/>
              </w:tabs>
              <w:spacing w:before="0"/>
            </w:pPr>
            <w:r>
              <w:t>Mukinbudin</w:t>
            </w:r>
            <w:r>
              <w:tab/>
              <w:t>York</w:t>
            </w:r>
          </w:p>
        </w:tc>
      </w:tr>
    </w:tbl>
    <w:p w:rsidR="00425758" w:rsidRDefault="00425758">
      <w:pPr>
        <w:pStyle w:val="Footnotesection"/>
      </w:pPr>
      <w:r>
        <w:tab/>
        <w:t>[Rule 1A inserted: Gazette 21 Feb 2007 p. 583</w:t>
      </w:r>
      <w:r>
        <w:noBreakHyphen/>
        <w:t>4; amended: SL 2020/228 r. 4.]</w:t>
      </w:r>
    </w:p>
    <w:p w:rsidR="00425758" w:rsidRDefault="00425758">
      <w:pPr>
        <w:pStyle w:val="Heading5"/>
        <w:rPr>
          <w:snapToGrid w:val="0"/>
        </w:rPr>
      </w:pPr>
      <w:bookmarkStart w:id="1209" w:name="_Toc75863791"/>
      <w:r>
        <w:rPr>
          <w:rStyle w:val="CharSectno"/>
        </w:rPr>
        <w:t>2</w:t>
      </w:r>
      <w:r>
        <w:rPr>
          <w:snapToGrid w:val="0"/>
        </w:rPr>
        <w:t>.</w:t>
      </w:r>
      <w:r>
        <w:rPr>
          <w:snapToGrid w:val="0"/>
        </w:rPr>
        <w:tab/>
        <w:t>Application for certificate of fitness (Act s. 8)</w:t>
      </w:r>
      <w:bookmarkEnd w:id="1209"/>
    </w:p>
    <w:p w:rsidR="00425758" w:rsidRDefault="00425758">
      <w:pPr>
        <w:pStyle w:val="Subsection"/>
        <w:rPr>
          <w:snapToGrid w:val="0"/>
        </w:rPr>
      </w:pPr>
      <w:r>
        <w:rPr>
          <w:snapToGrid w:val="0"/>
        </w:rPr>
        <w:tab/>
        <w:t>(1)</w:t>
      </w:r>
      <w:r>
        <w:rPr>
          <w:snapToGrid w:val="0"/>
        </w:rPr>
        <w:tab/>
        <w:t>An application to the Chief Justice for a certificate under section 8 of the Act shall be made on affidavit — </w:t>
      </w:r>
    </w:p>
    <w:p w:rsidR="00425758" w:rsidRDefault="00425758">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rsidR="00425758" w:rsidRDefault="00425758">
      <w:pPr>
        <w:pStyle w:val="Indenta"/>
        <w:rPr>
          <w:snapToGrid w:val="0"/>
        </w:rPr>
      </w:pPr>
      <w:r>
        <w:rPr>
          <w:snapToGrid w:val="0"/>
        </w:rPr>
        <w:lastRenderedPageBreak/>
        <w:tab/>
        <w:t>(b)</w:t>
      </w:r>
      <w:r>
        <w:rPr>
          <w:snapToGrid w:val="0"/>
        </w:rPr>
        <w:tab/>
        <w:t>exhibiting a certificate from the Chairman of the Legal Practice Board that the applicant is not, pursuant to an order of the Board, under suspension from practice; and</w:t>
      </w:r>
    </w:p>
    <w:p w:rsidR="00425758" w:rsidRDefault="00425758">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rsidR="00425758" w:rsidRDefault="00425758">
      <w:pPr>
        <w:pStyle w:val="Indenta"/>
        <w:rPr>
          <w:snapToGrid w:val="0"/>
        </w:rPr>
      </w:pPr>
      <w:r>
        <w:rPr>
          <w:snapToGrid w:val="0"/>
        </w:rPr>
        <w:tab/>
        <w:t>(d)</w:t>
      </w:r>
      <w:r>
        <w:rPr>
          <w:snapToGrid w:val="0"/>
        </w:rPr>
        <w:tab/>
        <w:t>setting out details of any professional experience as a practitioner that is relevant to the application; and</w:t>
      </w:r>
    </w:p>
    <w:p w:rsidR="00425758" w:rsidRDefault="00425758">
      <w:pPr>
        <w:pStyle w:val="Indenta"/>
        <w:rPr>
          <w:snapToGrid w:val="0"/>
        </w:rPr>
      </w:pPr>
      <w:r>
        <w:rPr>
          <w:snapToGrid w:val="0"/>
        </w:rPr>
        <w:tab/>
        <w:t>(e)</w:t>
      </w:r>
      <w:r>
        <w:rPr>
          <w:snapToGrid w:val="0"/>
        </w:rPr>
        <w:tab/>
        <w:t>containing the other information required by section 7 of the Act.</w:t>
      </w:r>
    </w:p>
    <w:p w:rsidR="00425758" w:rsidRDefault="00425758">
      <w:pPr>
        <w:pStyle w:val="Subsection"/>
        <w:keepNext/>
        <w:rPr>
          <w:snapToGrid w:val="0"/>
        </w:rPr>
      </w:pPr>
      <w:r>
        <w:rPr>
          <w:snapToGrid w:val="0"/>
        </w:rPr>
        <w:tab/>
        <w:t>(2)</w:t>
      </w:r>
      <w:r>
        <w:rPr>
          <w:snapToGrid w:val="0"/>
        </w:rPr>
        <w:tab/>
        <w:t>A certificate granted under section 8 of the Act shall be in accordance with Form No. 93A.</w:t>
      </w:r>
    </w:p>
    <w:p w:rsidR="00425758" w:rsidRDefault="00425758">
      <w:pPr>
        <w:pStyle w:val="Footnotesection"/>
      </w:pPr>
      <w:r>
        <w:tab/>
        <w:t xml:space="preserve">[Rule 2 inserted: Gazette 18 Jul 1980 p. 2384; amended: Gazette 19 Apr 2005 p. 1300; 29 Apr 2005 p. 1794; 3 Jul 2009 p. 2699.] </w:t>
      </w:r>
    </w:p>
    <w:p w:rsidR="00425758" w:rsidRDefault="00425758">
      <w:pPr>
        <w:pStyle w:val="Heading5"/>
        <w:rPr>
          <w:snapToGrid w:val="0"/>
        </w:rPr>
      </w:pPr>
      <w:bookmarkStart w:id="1210" w:name="_Toc75863792"/>
      <w:r>
        <w:rPr>
          <w:rStyle w:val="CharSectno"/>
        </w:rPr>
        <w:t>3</w:t>
      </w:r>
      <w:r>
        <w:rPr>
          <w:snapToGrid w:val="0"/>
        </w:rPr>
        <w:t>.</w:t>
      </w:r>
      <w:r>
        <w:rPr>
          <w:snapToGrid w:val="0"/>
        </w:rPr>
        <w:tab/>
        <w:t>Notice of intention to apply to be appointed Public Notary (Act s. 9)</w:t>
      </w:r>
      <w:bookmarkEnd w:id="1210"/>
    </w:p>
    <w:p w:rsidR="00425758" w:rsidRDefault="00425758">
      <w:pPr>
        <w:pStyle w:val="Subsection"/>
        <w:rPr>
          <w:snapToGrid w:val="0"/>
        </w:rPr>
      </w:pPr>
      <w:r>
        <w:rPr>
          <w:snapToGrid w:val="0"/>
        </w:rPr>
        <w:tab/>
        <w:t>(1)</w:t>
      </w:r>
      <w:r>
        <w:rPr>
          <w:snapToGrid w:val="0"/>
        </w:rPr>
        <w:tab/>
        <w:t xml:space="preserve">An applicant shall on 2 occasions advertise in a morning daily newspaper published in Perth notice of his intention to apply to the </w:t>
      </w:r>
      <w:r>
        <w:t xml:space="preserve">Supreme Court (full bench) </w:t>
      </w:r>
      <w:r>
        <w:rPr>
          <w:snapToGrid w:val="0"/>
        </w:rPr>
        <w:t>for appointment as a Public Notary.</w:t>
      </w:r>
    </w:p>
    <w:p w:rsidR="00425758" w:rsidRDefault="00425758">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rsidR="00425758" w:rsidRDefault="00425758">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rsidR="00425758" w:rsidRDefault="00425758">
      <w:pPr>
        <w:pStyle w:val="Subsection"/>
        <w:keepNext/>
        <w:rPr>
          <w:snapToGrid w:val="0"/>
        </w:rPr>
      </w:pPr>
      <w:r>
        <w:rPr>
          <w:snapToGrid w:val="0"/>
        </w:rPr>
        <w:lastRenderedPageBreak/>
        <w:tab/>
        <w:t>(3)</w:t>
      </w:r>
      <w:r>
        <w:rPr>
          <w:snapToGrid w:val="0"/>
        </w:rPr>
        <w:tab/>
        <w:t xml:space="preserve">The notice referred to in </w:t>
      </w:r>
      <w:r>
        <w:t>subrules</w:t>
      </w:r>
      <w:r>
        <w:rPr>
          <w:snapToGrid w:val="0"/>
        </w:rPr>
        <w:t> (1) and (2) shall be in accordance with Form No. 93B.</w:t>
      </w:r>
    </w:p>
    <w:p w:rsidR="00425758" w:rsidRDefault="00425758">
      <w:pPr>
        <w:pStyle w:val="Footnotesection"/>
      </w:pPr>
      <w:r>
        <w:tab/>
        <w:t>[Rule 3 inserted: Gazette 18 Jul 1980 p. 2384</w:t>
      </w:r>
      <w:r>
        <w:noBreakHyphen/>
        <w:t>5; amended: Gazette 30 Nov 1984 p. 3954; 29 Apr 2005 p. 1794; 28 Jun 2011 p. 2552</w:t>
      </w:r>
      <w:r>
        <w:noBreakHyphen/>
        <w:t xml:space="preserve">3.] </w:t>
      </w:r>
    </w:p>
    <w:p w:rsidR="00425758" w:rsidRDefault="00425758">
      <w:pPr>
        <w:pStyle w:val="Heading5"/>
        <w:rPr>
          <w:snapToGrid w:val="0"/>
        </w:rPr>
      </w:pPr>
      <w:bookmarkStart w:id="1211" w:name="_Toc75863793"/>
      <w:r>
        <w:rPr>
          <w:rStyle w:val="CharSectno"/>
        </w:rPr>
        <w:t>4</w:t>
      </w:r>
      <w:r>
        <w:rPr>
          <w:snapToGrid w:val="0"/>
        </w:rPr>
        <w:t>.</w:t>
      </w:r>
      <w:r>
        <w:rPr>
          <w:snapToGrid w:val="0"/>
        </w:rPr>
        <w:tab/>
        <w:t>Application to be appointed Public Notary</w:t>
      </w:r>
      <w:bookmarkEnd w:id="1211"/>
    </w:p>
    <w:p w:rsidR="00425758" w:rsidRDefault="00425758">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rsidR="00425758" w:rsidRDefault="00425758">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rsidR="00425758" w:rsidRDefault="00425758">
      <w:pPr>
        <w:pStyle w:val="Subsection"/>
        <w:keepNext/>
        <w:rPr>
          <w:snapToGrid w:val="0"/>
        </w:rPr>
      </w:pPr>
      <w:r>
        <w:rPr>
          <w:snapToGrid w:val="0"/>
        </w:rPr>
        <w:tab/>
        <w:t>(3)</w:t>
      </w:r>
      <w:r>
        <w:rPr>
          <w:snapToGrid w:val="0"/>
        </w:rPr>
        <w:tab/>
        <w:t>Not less than 2 days before the application is heard, the applicant shall file an affidavit — </w:t>
      </w:r>
    </w:p>
    <w:p w:rsidR="00425758" w:rsidRDefault="00425758">
      <w:pPr>
        <w:pStyle w:val="Indenta"/>
        <w:rPr>
          <w:snapToGrid w:val="0"/>
        </w:rPr>
      </w:pPr>
      <w:r>
        <w:rPr>
          <w:snapToGrid w:val="0"/>
        </w:rPr>
        <w:tab/>
        <w:t>(a)</w:t>
      </w:r>
      <w:r>
        <w:rPr>
          <w:snapToGrid w:val="0"/>
        </w:rPr>
        <w:tab/>
        <w:t>stating whether any notice of objection has been given under section 11 of the Act, and if so, exhibiting a copy thereof; and</w:t>
      </w:r>
    </w:p>
    <w:p w:rsidR="00425758" w:rsidRDefault="00425758">
      <w:pPr>
        <w:pStyle w:val="Indenta"/>
        <w:rPr>
          <w:snapToGrid w:val="0"/>
        </w:rPr>
      </w:pPr>
      <w:r>
        <w:rPr>
          <w:snapToGrid w:val="0"/>
        </w:rPr>
        <w:tab/>
        <w:t>(b)</w:t>
      </w:r>
      <w:r>
        <w:rPr>
          <w:snapToGrid w:val="0"/>
        </w:rPr>
        <w:tab/>
        <w:t>exhibiting extracts from the newspapers containing the advertisements required by rule 3; and</w:t>
      </w:r>
    </w:p>
    <w:p w:rsidR="00425758" w:rsidRDefault="00425758">
      <w:pPr>
        <w:pStyle w:val="Indenta"/>
        <w:rPr>
          <w:snapToGrid w:val="0"/>
        </w:rPr>
      </w:pPr>
      <w:r>
        <w:rPr>
          <w:snapToGrid w:val="0"/>
        </w:rPr>
        <w:tab/>
        <w:t>(c)</w:t>
      </w:r>
      <w:r>
        <w:rPr>
          <w:snapToGrid w:val="0"/>
        </w:rPr>
        <w:tab/>
        <w:t>proving compliance with subrule (2).</w:t>
      </w:r>
    </w:p>
    <w:p w:rsidR="00425758" w:rsidRDefault="00425758">
      <w:pPr>
        <w:pStyle w:val="Subsection"/>
        <w:rPr>
          <w:snapToGrid w:val="0"/>
        </w:rPr>
      </w:pPr>
      <w:r>
        <w:rPr>
          <w:snapToGrid w:val="0"/>
        </w:rPr>
        <w:tab/>
        <w:t>(4)</w:t>
      </w:r>
      <w:r>
        <w:rPr>
          <w:snapToGrid w:val="0"/>
        </w:rPr>
        <w:tab/>
        <w:t>The applicant shall be present in Court when the application is heard.</w:t>
      </w:r>
    </w:p>
    <w:p w:rsidR="00425758" w:rsidRDefault="00425758">
      <w:pPr>
        <w:pStyle w:val="Footnotesection"/>
      </w:pPr>
      <w:r>
        <w:tab/>
        <w:t xml:space="preserve">[Rule 4 inserted: Gazette 18 Jul 1980 p. 2385; amended: Gazette 29 Apr 2005 p. 1794; 28 Jun 2011 p. 2552.] </w:t>
      </w:r>
    </w:p>
    <w:p w:rsidR="00425758" w:rsidRDefault="00425758">
      <w:pPr>
        <w:pStyle w:val="Heading5"/>
        <w:rPr>
          <w:snapToGrid w:val="0"/>
        </w:rPr>
      </w:pPr>
      <w:bookmarkStart w:id="1212" w:name="_Toc75863794"/>
      <w:r>
        <w:rPr>
          <w:rStyle w:val="CharSectno"/>
        </w:rPr>
        <w:t>5</w:t>
      </w:r>
      <w:r>
        <w:rPr>
          <w:snapToGrid w:val="0"/>
        </w:rPr>
        <w:t>.</w:t>
      </w:r>
      <w:r>
        <w:rPr>
          <w:snapToGrid w:val="0"/>
        </w:rPr>
        <w:tab/>
        <w:t>Certificates of appointment, form of</w:t>
      </w:r>
      <w:bookmarkEnd w:id="1212"/>
    </w:p>
    <w:p w:rsidR="00425758" w:rsidRDefault="00425758">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rsidR="00425758" w:rsidRDefault="00425758">
      <w:pPr>
        <w:pStyle w:val="Subsection"/>
        <w:rPr>
          <w:snapToGrid w:val="0"/>
        </w:rPr>
      </w:pPr>
      <w:r>
        <w:rPr>
          <w:snapToGrid w:val="0"/>
        </w:rPr>
        <w:lastRenderedPageBreak/>
        <w:tab/>
        <w:t>(2)</w:t>
      </w:r>
      <w:r>
        <w:rPr>
          <w:snapToGrid w:val="0"/>
        </w:rPr>
        <w:tab/>
        <w:t>The certificate referred to in section 14(3) of the Act shall be in accordance with Form No. 93D with such variations as the circumstances may require.</w:t>
      </w:r>
    </w:p>
    <w:p w:rsidR="00425758" w:rsidRDefault="00425758">
      <w:pPr>
        <w:pStyle w:val="Footnotesection"/>
      </w:pPr>
      <w:r>
        <w:tab/>
        <w:t xml:space="preserve">[Rule 5 inserted: Gazette 18 Jul 1980 p. 2385.] </w:t>
      </w:r>
    </w:p>
    <w:p w:rsidR="00425758" w:rsidRDefault="00425758">
      <w:pPr>
        <w:pStyle w:val="Heading5"/>
        <w:rPr>
          <w:snapToGrid w:val="0"/>
        </w:rPr>
      </w:pPr>
      <w:bookmarkStart w:id="1213" w:name="_Toc75863795"/>
      <w:r>
        <w:rPr>
          <w:rStyle w:val="CharSectno"/>
        </w:rPr>
        <w:t>6</w:t>
      </w:r>
      <w:r>
        <w:rPr>
          <w:snapToGrid w:val="0"/>
        </w:rPr>
        <w:t>.</w:t>
      </w:r>
      <w:r>
        <w:rPr>
          <w:snapToGrid w:val="0"/>
        </w:rPr>
        <w:tab/>
        <w:t>Applications to suspend or strike off Public Notaries</w:t>
      </w:r>
      <w:bookmarkEnd w:id="1213"/>
      <w:r>
        <w:rPr>
          <w:snapToGrid w:val="0"/>
        </w:rPr>
        <w:t xml:space="preserve"> </w:t>
      </w:r>
    </w:p>
    <w:p w:rsidR="00425758" w:rsidRDefault="00425758">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rsidR="00425758" w:rsidRDefault="00425758">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rsidR="00425758" w:rsidRDefault="00425758">
      <w:pPr>
        <w:pStyle w:val="Footnotesection"/>
      </w:pPr>
      <w:r>
        <w:tab/>
        <w:t xml:space="preserve">[Rule 6 inserted: Gazette 18 Jul 1980 p. 2385; amended: Gazette 29 Apr 2005 p. 1794.] </w:t>
      </w:r>
    </w:p>
    <w:p w:rsidR="00425758" w:rsidRDefault="00425758">
      <w:pPr>
        <w:pStyle w:val="Heading5"/>
        <w:rPr>
          <w:snapToGrid w:val="0"/>
        </w:rPr>
      </w:pPr>
      <w:bookmarkStart w:id="1214" w:name="_Toc75863796"/>
      <w:r>
        <w:rPr>
          <w:rStyle w:val="CharSectno"/>
        </w:rPr>
        <w:t>7</w:t>
      </w:r>
      <w:r>
        <w:rPr>
          <w:snapToGrid w:val="0"/>
        </w:rPr>
        <w:t>.</w:t>
      </w:r>
      <w:r>
        <w:rPr>
          <w:snapToGrid w:val="0"/>
        </w:rPr>
        <w:tab/>
        <w:t>Fees payable on application for appointment</w:t>
      </w:r>
      <w:bookmarkEnd w:id="1214"/>
      <w:r>
        <w:rPr>
          <w:snapToGrid w:val="0"/>
        </w:rPr>
        <w:t xml:space="preserve"> </w:t>
      </w:r>
    </w:p>
    <w:p w:rsidR="00425758" w:rsidRDefault="00425758">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rsidR="00425758">
        <w:tc>
          <w:tcPr>
            <w:tcW w:w="4851" w:type="dxa"/>
          </w:tcPr>
          <w:p w:rsidR="00425758" w:rsidRDefault="00425758">
            <w:pPr>
              <w:pStyle w:val="TableNAm"/>
            </w:pPr>
            <w:r>
              <w:t>On appointment as a General Public Notary</w:t>
            </w:r>
          </w:p>
        </w:tc>
        <w:tc>
          <w:tcPr>
            <w:tcW w:w="1386" w:type="dxa"/>
          </w:tcPr>
          <w:p w:rsidR="00425758" w:rsidRDefault="00425758">
            <w:pPr>
              <w:pStyle w:val="TableNAm"/>
            </w:pPr>
            <w:r>
              <w:t>$150.00</w:t>
            </w:r>
          </w:p>
        </w:tc>
      </w:tr>
      <w:tr w:rsidR="00425758">
        <w:tc>
          <w:tcPr>
            <w:tcW w:w="4851" w:type="dxa"/>
          </w:tcPr>
          <w:p w:rsidR="00425758" w:rsidRDefault="00425758">
            <w:pPr>
              <w:pStyle w:val="TableNAm"/>
            </w:pPr>
            <w:r>
              <w:t xml:space="preserve">On appointment as a District Public Notary </w:t>
            </w:r>
          </w:p>
        </w:tc>
        <w:tc>
          <w:tcPr>
            <w:tcW w:w="1386" w:type="dxa"/>
          </w:tcPr>
          <w:p w:rsidR="00425758" w:rsidRDefault="00425758">
            <w:pPr>
              <w:pStyle w:val="TableNAm"/>
            </w:pPr>
            <w:r>
              <w:t>$75.00</w:t>
            </w:r>
          </w:p>
        </w:tc>
      </w:tr>
    </w:tbl>
    <w:p w:rsidR="00425758" w:rsidRDefault="00425758">
      <w:pPr>
        <w:pStyle w:val="Footnotesection"/>
      </w:pPr>
      <w:r>
        <w:tab/>
        <w:t xml:space="preserve">[Rule 7 inserted: Gazette 18 Apr 1980 p. 2385; amended: Gazette 30 Nov 1984 p. 3954.] </w:t>
      </w:r>
    </w:p>
    <w:p w:rsidR="00425758" w:rsidRDefault="00425758">
      <w:pPr>
        <w:pStyle w:val="Ednotesection"/>
      </w:pPr>
      <w:r>
        <w:t>[</w:t>
      </w:r>
      <w:r>
        <w:rPr>
          <w:b/>
        </w:rPr>
        <w:t>8.</w:t>
      </w:r>
      <w:r>
        <w:rPr>
          <w:b/>
        </w:rPr>
        <w:tab/>
      </w:r>
      <w:r>
        <w:t>Deleted: Gazette 16 Jul 1999 p. 3201.]</w:t>
      </w:r>
    </w:p>
    <w:p w:rsidR="00425758" w:rsidRDefault="00425758">
      <w:pPr>
        <w:pStyle w:val="Ednotepart"/>
      </w:pPr>
      <w:r>
        <w:t>[Order 77 deleted: Gazette 29 Apr 2005 p. 1794.]</w:t>
      </w:r>
    </w:p>
    <w:p w:rsidR="00425758" w:rsidRDefault="00425758">
      <w:pPr>
        <w:pStyle w:val="Ednotepart"/>
      </w:pPr>
      <w:r>
        <w:t>[Order 78 deleted: Gazette 21 Feb 2007 p. 584.]</w:t>
      </w:r>
    </w:p>
    <w:p w:rsidR="00425758" w:rsidRDefault="00425758">
      <w:pPr>
        <w:pStyle w:val="Ednotepart"/>
      </w:pPr>
      <w:r>
        <w:t>[Order 79 deleted: Gazette 29 Apr 2005 p. 1801.]</w:t>
      </w:r>
    </w:p>
    <w:p w:rsidR="00425758" w:rsidRDefault="00425758">
      <w:pPr>
        <w:pStyle w:val="Heading2"/>
      </w:pPr>
      <w:bookmarkStart w:id="1215" w:name="_Toc75512701"/>
      <w:bookmarkStart w:id="1216" w:name="_Toc75863797"/>
      <w:r>
        <w:rPr>
          <w:rStyle w:val="CharPartNo"/>
        </w:rPr>
        <w:lastRenderedPageBreak/>
        <w:t>Order 80</w:t>
      </w:r>
      <w:r>
        <w:rPr>
          <w:b w:val="0"/>
        </w:rPr>
        <w:t> </w:t>
      </w:r>
      <w:r>
        <w:t>—</w:t>
      </w:r>
      <w:r>
        <w:rPr>
          <w:b w:val="0"/>
        </w:rPr>
        <w:t> </w:t>
      </w:r>
      <w:r>
        <w:rPr>
          <w:rStyle w:val="CharPartText"/>
          <w:i/>
          <w:iCs/>
        </w:rPr>
        <w:t>Escheat (Procedure) Act 1940</w:t>
      </w:r>
      <w:r>
        <w:rPr>
          <w:rStyle w:val="CharPartText"/>
        </w:rPr>
        <w:t xml:space="preserve"> rules</w:t>
      </w:r>
      <w:bookmarkEnd w:id="1215"/>
      <w:bookmarkEnd w:id="1216"/>
    </w:p>
    <w:p w:rsidR="00425758" w:rsidRDefault="00425758">
      <w:pPr>
        <w:pStyle w:val="Footnoteheading"/>
      </w:pPr>
      <w:r>
        <w:tab/>
        <w:t xml:space="preserve">[Heading inserted: Gazette 22 Feb 2008 p. 643.] </w:t>
      </w:r>
    </w:p>
    <w:p w:rsidR="00425758" w:rsidRDefault="00425758">
      <w:pPr>
        <w:pStyle w:val="Heading5"/>
        <w:rPr>
          <w:snapToGrid w:val="0"/>
        </w:rPr>
      </w:pPr>
      <w:bookmarkStart w:id="1217" w:name="_Toc75863798"/>
      <w:r>
        <w:rPr>
          <w:rStyle w:val="CharSectno"/>
        </w:rPr>
        <w:t>1</w:t>
      </w:r>
      <w:r>
        <w:rPr>
          <w:snapToGrid w:val="0"/>
        </w:rPr>
        <w:t>.</w:t>
      </w:r>
      <w:r>
        <w:rPr>
          <w:snapToGrid w:val="0"/>
        </w:rPr>
        <w:tab/>
        <w:t>Term used: said Act</w:t>
      </w:r>
      <w:bookmarkEnd w:id="1217"/>
    </w:p>
    <w:p w:rsidR="00425758" w:rsidRDefault="00425758">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rsidR="00425758" w:rsidRDefault="00425758">
      <w:pPr>
        <w:pStyle w:val="Heading5"/>
        <w:rPr>
          <w:snapToGrid w:val="0"/>
        </w:rPr>
      </w:pPr>
      <w:bookmarkStart w:id="1218" w:name="_Toc75863799"/>
      <w:r>
        <w:rPr>
          <w:rStyle w:val="CharSectno"/>
        </w:rPr>
        <w:t>2</w:t>
      </w:r>
      <w:r>
        <w:rPr>
          <w:snapToGrid w:val="0"/>
        </w:rPr>
        <w:t>.</w:t>
      </w:r>
      <w:r>
        <w:rPr>
          <w:snapToGrid w:val="0"/>
        </w:rPr>
        <w:tab/>
        <w:t>Applications for Order of Escheat, making</w:t>
      </w:r>
      <w:bookmarkEnd w:id="1218"/>
    </w:p>
    <w:p w:rsidR="00425758" w:rsidRDefault="00425758">
      <w:pPr>
        <w:pStyle w:val="Subsection"/>
        <w:rPr>
          <w:snapToGrid w:val="0"/>
        </w:rPr>
      </w:pPr>
      <w:r>
        <w:rPr>
          <w:snapToGrid w:val="0"/>
        </w:rPr>
        <w:tab/>
        <w:t>(1)</w:t>
      </w:r>
      <w:r>
        <w:rPr>
          <w:snapToGrid w:val="0"/>
        </w:rPr>
        <w:tab/>
        <w:t>Subject to subrule (2), an application for an Order of Escheat shall be commenced by originating motion.</w:t>
      </w:r>
    </w:p>
    <w:p w:rsidR="00425758" w:rsidRDefault="00425758">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rsidR="00425758" w:rsidRDefault="00425758">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rsidR="00425758" w:rsidRDefault="00425758">
      <w:pPr>
        <w:pStyle w:val="Footnotesection"/>
      </w:pPr>
      <w:r>
        <w:tab/>
        <w:t xml:space="preserve">[Rule 2 inserted: Gazette 15 Jun 1973 p. 2252; amended: Gazette 19 Apr 2005 p. 1300; 28 Jun 2011 p. 2552.] </w:t>
      </w:r>
    </w:p>
    <w:p w:rsidR="00425758" w:rsidRDefault="00425758">
      <w:pPr>
        <w:pStyle w:val="Heading5"/>
        <w:rPr>
          <w:snapToGrid w:val="0"/>
        </w:rPr>
      </w:pPr>
      <w:bookmarkStart w:id="1219" w:name="_Toc75863800"/>
      <w:r>
        <w:rPr>
          <w:rStyle w:val="CharSectno"/>
        </w:rPr>
        <w:t>3</w:t>
      </w:r>
      <w:r>
        <w:rPr>
          <w:snapToGrid w:val="0"/>
        </w:rPr>
        <w:t>.</w:t>
      </w:r>
      <w:r>
        <w:rPr>
          <w:snapToGrid w:val="0"/>
        </w:rPr>
        <w:tab/>
        <w:t>Notice of applications, form of</w:t>
      </w:r>
      <w:bookmarkEnd w:id="1219"/>
    </w:p>
    <w:p w:rsidR="00425758" w:rsidRDefault="00425758">
      <w:pPr>
        <w:pStyle w:val="Subsection"/>
        <w:rPr>
          <w:snapToGrid w:val="0"/>
        </w:rPr>
      </w:pPr>
      <w:r>
        <w:rPr>
          <w:snapToGrid w:val="0"/>
        </w:rPr>
        <w:tab/>
      </w:r>
      <w:r>
        <w:rPr>
          <w:snapToGrid w:val="0"/>
        </w:rPr>
        <w:tab/>
        <w:t>The notice referred to in section 5 of the said Act shall be in Form No. 99.</w:t>
      </w:r>
    </w:p>
    <w:p w:rsidR="00425758" w:rsidRDefault="00425758">
      <w:pPr>
        <w:pStyle w:val="Heading5"/>
        <w:rPr>
          <w:snapToGrid w:val="0"/>
        </w:rPr>
      </w:pPr>
      <w:bookmarkStart w:id="1220" w:name="_Toc75863801"/>
      <w:r>
        <w:rPr>
          <w:rStyle w:val="CharSectno"/>
        </w:rPr>
        <w:t>4</w:t>
      </w:r>
      <w:r>
        <w:rPr>
          <w:snapToGrid w:val="0"/>
        </w:rPr>
        <w:t>.</w:t>
      </w:r>
      <w:r>
        <w:rPr>
          <w:snapToGrid w:val="0"/>
        </w:rPr>
        <w:tab/>
        <w:t>Evidence; judge may direct inquiry</w:t>
      </w:r>
      <w:bookmarkEnd w:id="1220"/>
    </w:p>
    <w:p w:rsidR="00425758" w:rsidRDefault="00425758">
      <w:pPr>
        <w:pStyle w:val="Subsection"/>
        <w:rPr>
          <w:snapToGrid w:val="0"/>
        </w:rPr>
      </w:pPr>
      <w:r>
        <w:rPr>
          <w:snapToGrid w:val="0"/>
        </w:rPr>
        <w:tab/>
        <w:t>(1)</w:t>
      </w:r>
      <w:r>
        <w:rPr>
          <w:snapToGrid w:val="0"/>
        </w:rPr>
        <w:tab/>
        <w:t>Upon the hearing of an application for an Order of Escheat, such evidence shall be adduced as the judge may require.</w:t>
      </w:r>
    </w:p>
    <w:p w:rsidR="00425758" w:rsidRDefault="00425758">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rsidR="00425758" w:rsidRDefault="00425758">
      <w:pPr>
        <w:pStyle w:val="Heading5"/>
        <w:rPr>
          <w:snapToGrid w:val="0"/>
        </w:rPr>
      </w:pPr>
      <w:bookmarkStart w:id="1221" w:name="_Toc75863802"/>
      <w:r>
        <w:rPr>
          <w:rStyle w:val="CharSectno"/>
        </w:rPr>
        <w:lastRenderedPageBreak/>
        <w:t>5</w:t>
      </w:r>
      <w:r>
        <w:rPr>
          <w:snapToGrid w:val="0"/>
        </w:rPr>
        <w:t>.</w:t>
      </w:r>
      <w:r>
        <w:rPr>
          <w:snapToGrid w:val="0"/>
        </w:rPr>
        <w:tab/>
        <w:t>Claimants to file affidavit verifying claim and may be heard</w:t>
      </w:r>
      <w:bookmarkEnd w:id="1221"/>
    </w:p>
    <w:p w:rsidR="00425758" w:rsidRDefault="00425758">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rsidR="00425758" w:rsidRDefault="00425758">
      <w:pPr>
        <w:pStyle w:val="Heading5"/>
        <w:rPr>
          <w:snapToGrid w:val="0"/>
        </w:rPr>
      </w:pPr>
      <w:bookmarkStart w:id="1222" w:name="_Toc75863803"/>
      <w:r>
        <w:rPr>
          <w:rStyle w:val="CharSectno"/>
        </w:rPr>
        <w:t>6</w:t>
      </w:r>
      <w:r>
        <w:rPr>
          <w:snapToGrid w:val="0"/>
        </w:rPr>
        <w:t>.</w:t>
      </w:r>
      <w:r>
        <w:rPr>
          <w:snapToGrid w:val="0"/>
        </w:rPr>
        <w:tab/>
        <w:t>Judge may order issue to be tried</w:t>
      </w:r>
      <w:bookmarkEnd w:id="1222"/>
    </w:p>
    <w:p w:rsidR="00425758" w:rsidRDefault="00425758">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rsidR="00425758" w:rsidRDefault="00425758">
      <w:pPr>
        <w:pStyle w:val="Heading5"/>
        <w:rPr>
          <w:snapToGrid w:val="0"/>
        </w:rPr>
      </w:pPr>
      <w:bookmarkStart w:id="1223" w:name="_Toc75863804"/>
      <w:r>
        <w:rPr>
          <w:rStyle w:val="CharSectno"/>
        </w:rPr>
        <w:t>7</w:t>
      </w:r>
      <w:r>
        <w:rPr>
          <w:snapToGrid w:val="0"/>
        </w:rPr>
        <w:t>.</w:t>
      </w:r>
      <w:r>
        <w:rPr>
          <w:snapToGrid w:val="0"/>
        </w:rPr>
        <w:tab/>
        <w:t>Order of Escheat, form of</w:t>
      </w:r>
      <w:bookmarkEnd w:id="1223"/>
    </w:p>
    <w:p w:rsidR="00425758" w:rsidRDefault="00425758">
      <w:pPr>
        <w:pStyle w:val="Subsection"/>
        <w:rPr>
          <w:snapToGrid w:val="0"/>
        </w:rPr>
      </w:pPr>
      <w:r>
        <w:rPr>
          <w:snapToGrid w:val="0"/>
        </w:rPr>
        <w:tab/>
      </w:r>
      <w:r>
        <w:rPr>
          <w:snapToGrid w:val="0"/>
        </w:rPr>
        <w:tab/>
        <w:t>An Order of Escheat shall be in Form No. 100, and shall be sealed and marked with the name of the judge by whom it is made.</w:t>
      </w:r>
    </w:p>
    <w:p w:rsidR="00425758" w:rsidRDefault="00425758">
      <w:pPr>
        <w:pStyle w:val="Heading5"/>
        <w:rPr>
          <w:snapToGrid w:val="0"/>
        </w:rPr>
      </w:pPr>
      <w:bookmarkStart w:id="1224" w:name="_Toc75863805"/>
      <w:r>
        <w:rPr>
          <w:rStyle w:val="CharSectno"/>
        </w:rPr>
        <w:t>8</w:t>
      </w:r>
      <w:r>
        <w:rPr>
          <w:snapToGrid w:val="0"/>
        </w:rPr>
        <w:t>.</w:t>
      </w:r>
      <w:r>
        <w:rPr>
          <w:snapToGrid w:val="0"/>
        </w:rPr>
        <w:tab/>
        <w:t>Costs</w:t>
      </w:r>
      <w:bookmarkEnd w:id="1224"/>
    </w:p>
    <w:p w:rsidR="00425758" w:rsidRDefault="00425758">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rsidR="00425758" w:rsidRDefault="00425758">
      <w:pPr>
        <w:pStyle w:val="Heading2"/>
      </w:pPr>
      <w:bookmarkStart w:id="1225" w:name="_Toc75512710"/>
      <w:bookmarkStart w:id="1226" w:name="_Toc75863806"/>
      <w:r>
        <w:rPr>
          <w:rStyle w:val="CharPartNo"/>
        </w:rPr>
        <w:lastRenderedPageBreak/>
        <w:t>Order 80A</w:t>
      </w:r>
      <w:r>
        <w:rPr>
          <w:b w:val="0"/>
        </w:rPr>
        <w:t> </w:t>
      </w:r>
      <w:r>
        <w:t>—</w:t>
      </w:r>
      <w:r>
        <w:rPr>
          <w:b w:val="0"/>
        </w:rPr>
        <w:t> </w:t>
      </w:r>
      <w:r>
        <w:rPr>
          <w:rStyle w:val="CharPartText"/>
          <w:i/>
          <w:iCs/>
        </w:rPr>
        <w:t>Royal Commission (Custody of Records) Act 1992</w:t>
      </w:r>
      <w:r>
        <w:rPr>
          <w:rStyle w:val="CharPartText"/>
        </w:rPr>
        <w:t xml:space="preserve"> rules</w:t>
      </w:r>
      <w:bookmarkEnd w:id="1225"/>
      <w:bookmarkEnd w:id="1226"/>
    </w:p>
    <w:p w:rsidR="00425758" w:rsidRDefault="00425758">
      <w:pPr>
        <w:pStyle w:val="Footnoteheading"/>
      </w:pPr>
      <w:r>
        <w:tab/>
        <w:t xml:space="preserve">[Heading inserted: Gazette 22 Feb 2008 p. 643.] </w:t>
      </w:r>
    </w:p>
    <w:p w:rsidR="00425758" w:rsidRDefault="00425758">
      <w:pPr>
        <w:pStyle w:val="Heading5"/>
        <w:rPr>
          <w:snapToGrid w:val="0"/>
        </w:rPr>
      </w:pPr>
      <w:bookmarkStart w:id="1227" w:name="_Toc75863807"/>
      <w:r>
        <w:rPr>
          <w:rStyle w:val="CharSectno"/>
        </w:rPr>
        <w:t>1</w:t>
      </w:r>
      <w:r>
        <w:rPr>
          <w:snapToGrid w:val="0"/>
        </w:rPr>
        <w:t>.</w:t>
      </w:r>
      <w:r>
        <w:rPr>
          <w:snapToGrid w:val="0"/>
        </w:rPr>
        <w:tab/>
        <w:t>Terms used</w:t>
      </w:r>
      <w:bookmarkEnd w:id="1227"/>
    </w:p>
    <w:p w:rsidR="00425758" w:rsidRDefault="00425758">
      <w:pPr>
        <w:pStyle w:val="Subsection"/>
        <w:rPr>
          <w:snapToGrid w:val="0"/>
        </w:rPr>
      </w:pPr>
      <w:r>
        <w:rPr>
          <w:snapToGrid w:val="0"/>
        </w:rPr>
        <w:tab/>
      </w:r>
      <w:r>
        <w:rPr>
          <w:snapToGrid w:val="0"/>
        </w:rPr>
        <w:tab/>
        <w:t>In this Order unless the contrary intention appears — </w:t>
      </w:r>
    </w:p>
    <w:p w:rsidR="00425758" w:rsidRDefault="00425758">
      <w:pPr>
        <w:pStyle w:val="Defstart"/>
      </w:pPr>
      <w:r>
        <w:rPr>
          <w:b/>
        </w:rPr>
        <w:tab/>
      </w:r>
      <w:r>
        <w:rPr>
          <w:rStyle w:val="CharDefText"/>
        </w:rPr>
        <w:t>Act</w:t>
      </w:r>
      <w:r>
        <w:t xml:space="preserve"> means the </w:t>
      </w:r>
      <w:r>
        <w:rPr>
          <w:i/>
        </w:rPr>
        <w:t>Royal Commission (Custody of Records) Act 1992</w:t>
      </w:r>
      <w:r>
        <w:t>,</w:t>
      </w:r>
    </w:p>
    <w:p w:rsidR="00425758" w:rsidRDefault="00425758">
      <w:pPr>
        <w:pStyle w:val="Subsection"/>
        <w:rPr>
          <w:snapToGrid w:val="0"/>
        </w:rPr>
      </w:pPr>
      <w:r>
        <w:rPr>
          <w:snapToGrid w:val="0"/>
        </w:rPr>
        <w:tab/>
      </w:r>
      <w:r>
        <w:rPr>
          <w:snapToGrid w:val="0"/>
        </w:rPr>
        <w:tab/>
        <w:t>and words defined in section 4 of the Act and used in this Order have the same respective meanings as in the Act.</w:t>
      </w:r>
    </w:p>
    <w:p w:rsidR="00425758" w:rsidRDefault="00425758">
      <w:pPr>
        <w:pStyle w:val="Footnotesection"/>
      </w:pPr>
      <w:r>
        <w:tab/>
        <w:t xml:space="preserve">[Rule 1 inserted: Gazette 26 Jan 1993 p. 828.] </w:t>
      </w:r>
    </w:p>
    <w:p w:rsidR="00425758" w:rsidRDefault="00425758">
      <w:pPr>
        <w:pStyle w:val="Heading5"/>
        <w:rPr>
          <w:snapToGrid w:val="0"/>
        </w:rPr>
      </w:pPr>
      <w:bookmarkStart w:id="1228" w:name="_Toc75863808"/>
      <w:r>
        <w:rPr>
          <w:rStyle w:val="CharSectno"/>
        </w:rPr>
        <w:t>2</w:t>
      </w:r>
      <w:r>
        <w:rPr>
          <w:snapToGrid w:val="0"/>
        </w:rPr>
        <w:t>.</w:t>
      </w:r>
      <w:r>
        <w:rPr>
          <w:snapToGrid w:val="0"/>
        </w:rPr>
        <w:tab/>
        <w:t>Applications for leave to have access (Act s. 14)</w:t>
      </w:r>
      <w:bookmarkEnd w:id="1228"/>
      <w:r>
        <w:rPr>
          <w:snapToGrid w:val="0"/>
        </w:rPr>
        <w:t xml:space="preserve"> </w:t>
      </w:r>
    </w:p>
    <w:p w:rsidR="00425758" w:rsidRDefault="00425758">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rsidR="00425758" w:rsidRDefault="00425758">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rsidR="00425758" w:rsidRDefault="00425758">
      <w:pPr>
        <w:pStyle w:val="Ednotesubsection"/>
      </w:pPr>
      <w:r>
        <w:tab/>
        <w:t>[(3)</w:t>
      </w:r>
      <w:r>
        <w:tab/>
        <w:t>deleted]</w:t>
      </w:r>
    </w:p>
    <w:p w:rsidR="00425758" w:rsidRDefault="00425758">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rsidR="00425758" w:rsidRDefault="00425758">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rsidR="00425758" w:rsidRDefault="00425758">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rsidR="00425758" w:rsidRDefault="00425758">
      <w:pPr>
        <w:pStyle w:val="Subsection"/>
        <w:rPr>
          <w:snapToGrid w:val="0"/>
        </w:rPr>
      </w:pPr>
      <w:r>
        <w:rPr>
          <w:snapToGrid w:val="0"/>
        </w:rPr>
        <w:lastRenderedPageBreak/>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rsidR="00425758" w:rsidRDefault="00425758">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rsidR="00425758" w:rsidRDefault="00425758">
      <w:pPr>
        <w:pStyle w:val="Footnotesection"/>
      </w:pPr>
      <w:r>
        <w:tab/>
        <w:t xml:space="preserve">[Rule 2 inserted: Gazette 26 Jan 1993 p. 829; amended: Gazette 28 Jun 2011 p. 2552; 27 Feb 2018 p. 621.] </w:t>
      </w:r>
    </w:p>
    <w:p w:rsidR="00425758" w:rsidRDefault="00425758">
      <w:pPr>
        <w:pStyle w:val="Heading5"/>
        <w:rPr>
          <w:snapToGrid w:val="0"/>
        </w:rPr>
      </w:pPr>
      <w:bookmarkStart w:id="1229" w:name="_Toc75863809"/>
      <w:r>
        <w:rPr>
          <w:rStyle w:val="CharSectno"/>
        </w:rPr>
        <w:t>3</w:t>
      </w:r>
      <w:r>
        <w:rPr>
          <w:snapToGrid w:val="0"/>
        </w:rPr>
        <w:t>.</w:t>
      </w:r>
      <w:r>
        <w:rPr>
          <w:snapToGrid w:val="0"/>
        </w:rPr>
        <w:tab/>
        <w:t>Order granting leave, form of</w:t>
      </w:r>
      <w:bookmarkEnd w:id="1229"/>
    </w:p>
    <w:p w:rsidR="00425758" w:rsidRDefault="00425758">
      <w:pPr>
        <w:pStyle w:val="Subsection"/>
        <w:rPr>
          <w:snapToGrid w:val="0"/>
        </w:rPr>
      </w:pPr>
      <w:r>
        <w:rPr>
          <w:snapToGrid w:val="0"/>
        </w:rPr>
        <w:tab/>
        <w:t>(1)</w:t>
      </w:r>
      <w:r>
        <w:rPr>
          <w:snapToGrid w:val="0"/>
        </w:rPr>
        <w:tab/>
        <w:t>The Court may grant leave on such conditions as it thinks fit.</w:t>
      </w:r>
    </w:p>
    <w:p w:rsidR="00425758" w:rsidRDefault="00425758">
      <w:pPr>
        <w:pStyle w:val="Subsection"/>
        <w:rPr>
          <w:snapToGrid w:val="0"/>
        </w:rPr>
      </w:pPr>
      <w:r>
        <w:rPr>
          <w:snapToGrid w:val="0"/>
        </w:rPr>
        <w:tab/>
        <w:t>(2)</w:t>
      </w:r>
      <w:r>
        <w:rPr>
          <w:snapToGrid w:val="0"/>
        </w:rPr>
        <w:tab/>
        <w:t>Orders made under this Order may be made in respect of the whole or a part of the record.</w:t>
      </w:r>
    </w:p>
    <w:p w:rsidR="00425758" w:rsidRDefault="00425758">
      <w:pPr>
        <w:pStyle w:val="Footnotesection"/>
      </w:pPr>
      <w:r>
        <w:tab/>
        <w:t xml:space="preserve">[Rule 3 inserted: Gazette 26 Jan 1993 p. 829.] </w:t>
      </w:r>
    </w:p>
    <w:p w:rsidR="00425758" w:rsidRDefault="00425758">
      <w:pPr>
        <w:pStyle w:val="Ednotepart"/>
      </w:pPr>
      <w:r>
        <w:t>[Order 81 deleted: Gazette 29 Apr 2005 p. 1801.]</w:t>
      </w:r>
    </w:p>
    <w:p w:rsidR="00425758" w:rsidRDefault="00425758">
      <w:pPr>
        <w:pStyle w:val="Ednotepart"/>
      </w:pPr>
      <w:r>
        <w:t>[Order 81A deleted: Gazette 21 Feb 2007 p. 584.]</w:t>
      </w:r>
    </w:p>
    <w:p w:rsidR="00425758" w:rsidRDefault="00425758">
      <w:pPr>
        <w:pStyle w:val="Heading2"/>
      </w:pPr>
      <w:bookmarkStart w:id="1230" w:name="_Toc75512714"/>
      <w:bookmarkStart w:id="1231" w:name="_Toc75863810"/>
      <w:r>
        <w:rPr>
          <w:rStyle w:val="CharPartNo"/>
        </w:rPr>
        <w:lastRenderedPageBreak/>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1230"/>
      <w:bookmarkEnd w:id="1231"/>
    </w:p>
    <w:p w:rsidR="00425758" w:rsidRDefault="00425758">
      <w:pPr>
        <w:pStyle w:val="Footnoteheading"/>
      </w:pPr>
      <w:r>
        <w:tab/>
        <w:t xml:space="preserve">[Heading inserted: Gazette 22 Feb 2008 p. 644.] </w:t>
      </w:r>
    </w:p>
    <w:p w:rsidR="00425758" w:rsidRDefault="00425758">
      <w:pPr>
        <w:pStyle w:val="Heading5"/>
        <w:spacing w:before="260"/>
        <w:rPr>
          <w:snapToGrid w:val="0"/>
        </w:rPr>
      </w:pPr>
      <w:bookmarkStart w:id="1232" w:name="_Toc75863811"/>
      <w:r>
        <w:rPr>
          <w:rStyle w:val="CharSectno"/>
        </w:rPr>
        <w:t>1</w:t>
      </w:r>
      <w:r>
        <w:rPr>
          <w:snapToGrid w:val="0"/>
        </w:rPr>
        <w:t>.</w:t>
      </w:r>
      <w:r>
        <w:rPr>
          <w:snapToGrid w:val="0"/>
        </w:rPr>
        <w:tab/>
        <w:t>Terms used; how applications to be made</w:t>
      </w:r>
      <w:bookmarkEnd w:id="1232"/>
    </w:p>
    <w:p w:rsidR="00425758" w:rsidRDefault="00425758">
      <w:pPr>
        <w:pStyle w:val="Subsection"/>
        <w:spacing w:before="200"/>
        <w:rPr>
          <w:snapToGrid w:val="0"/>
        </w:rPr>
      </w:pPr>
      <w:r>
        <w:rPr>
          <w:snapToGrid w:val="0"/>
        </w:rPr>
        <w:tab/>
        <w:t>(1)</w:t>
      </w:r>
      <w:r>
        <w:rPr>
          <w:snapToGrid w:val="0"/>
        </w:rPr>
        <w:tab/>
        <w:t>In this Order — </w:t>
      </w:r>
    </w:p>
    <w:p w:rsidR="00425758" w:rsidRDefault="00425758">
      <w:pPr>
        <w:pStyle w:val="Defstart"/>
      </w:pPr>
      <w:r>
        <w:tab/>
      </w:r>
      <w:r>
        <w:rPr>
          <w:rStyle w:val="CharDefText"/>
        </w:rPr>
        <w:t>Act</w:t>
      </w:r>
      <w:r>
        <w:t xml:space="preserve"> means the </w:t>
      </w:r>
      <w:r>
        <w:rPr>
          <w:i/>
        </w:rPr>
        <w:t>Service and Execution of Process Act 1992</w:t>
      </w:r>
      <w:r>
        <w:t xml:space="preserve"> of the Commonwealth;</w:t>
      </w:r>
    </w:p>
    <w:p w:rsidR="00425758" w:rsidRDefault="00425758">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rsidR="00425758" w:rsidRDefault="00425758">
      <w:pPr>
        <w:pStyle w:val="Subsection"/>
        <w:spacing w:before="200"/>
        <w:rPr>
          <w:snapToGrid w:val="0"/>
        </w:rPr>
      </w:pPr>
      <w:r>
        <w:rPr>
          <w:snapToGrid w:val="0"/>
        </w:rPr>
        <w:tab/>
        <w:t>(2)</w:t>
      </w:r>
      <w:r>
        <w:rPr>
          <w:snapToGrid w:val="0"/>
        </w:rPr>
        <w:tab/>
        <w:t>All applications under the Act must be made pursuant to these rules.</w:t>
      </w:r>
    </w:p>
    <w:p w:rsidR="00425758" w:rsidRDefault="00425758">
      <w:pPr>
        <w:pStyle w:val="Footnotesection"/>
      </w:pPr>
      <w:r>
        <w:tab/>
        <w:t xml:space="preserve">[Rule 1 inserted: Gazette 1 Mar 1994 p. 788.] </w:t>
      </w:r>
    </w:p>
    <w:p w:rsidR="00425758" w:rsidRDefault="00425758">
      <w:pPr>
        <w:pStyle w:val="Heading5"/>
        <w:spacing w:before="260"/>
        <w:rPr>
          <w:snapToGrid w:val="0"/>
        </w:rPr>
      </w:pPr>
      <w:bookmarkStart w:id="1233" w:name="_Toc75863812"/>
      <w:r>
        <w:rPr>
          <w:rStyle w:val="CharSectno"/>
        </w:rPr>
        <w:t>2</w:t>
      </w:r>
      <w:r>
        <w:rPr>
          <w:snapToGrid w:val="0"/>
        </w:rPr>
        <w:t>.</w:t>
      </w:r>
      <w:r>
        <w:rPr>
          <w:snapToGrid w:val="0"/>
        </w:rPr>
        <w:tab/>
        <w:t>Enforcing judgments under Act s. 105, procedure for</w:t>
      </w:r>
      <w:bookmarkEnd w:id="1233"/>
      <w:r>
        <w:rPr>
          <w:snapToGrid w:val="0"/>
        </w:rPr>
        <w:t xml:space="preserve"> </w:t>
      </w:r>
    </w:p>
    <w:p w:rsidR="00425758" w:rsidRDefault="00425758">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rsidR="00425758" w:rsidRDefault="00425758">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rsidR="00425758" w:rsidRDefault="00425758">
      <w:pPr>
        <w:pStyle w:val="Indenta"/>
        <w:rPr>
          <w:snapToGrid w:val="0"/>
        </w:rPr>
      </w:pPr>
      <w:r>
        <w:rPr>
          <w:snapToGrid w:val="0"/>
        </w:rPr>
        <w:tab/>
        <w:t>(a)</w:t>
      </w:r>
      <w:r>
        <w:rPr>
          <w:snapToGrid w:val="0"/>
        </w:rPr>
        <w:tab/>
        <w:t>the court of rendition; or</w:t>
      </w:r>
    </w:p>
    <w:p w:rsidR="00425758" w:rsidRDefault="00425758">
      <w:pPr>
        <w:pStyle w:val="Indenta"/>
        <w:rPr>
          <w:snapToGrid w:val="0"/>
        </w:rPr>
      </w:pPr>
      <w:r>
        <w:rPr>
          <w:snapToGrid w:val="0"/>
        </w:rPr>
        <w:tab/>
        <w:t>(b)</w:t>
      </w:r>
      <w:r>
        <w:rPr>
          <w:snapToGrid w:val="0"/>
        </w:rPr>
        <w:tab/>
        <w:t>a court in the place of rendition,</w:t>
      </w:r>
    </w:p>
    <w:p w:rsidR="00425758" w:rsidRDefault="00425758">
      <w:pPr>
        <w:pStyle w:val="Subsection"/>
        <w:spacing w:before="200"/>
        <w:rPr>
          <w:snapToGrid w:val="0"/>
        </w:rPr>
      </w:pPr>
      <w:r>
        <w:rPr>
          <w:snapToGrid w:val="0"/>
        </w:rPr>
        <w:tab/>
      </w:r>
      <w:r>
        <w:rPr>
          <w:snapToGrid w:val="0"/>
        </w:rPr>
        <w:tab/>
        <w:t>and the extent to which it is capable of being enforced in that jurisdiction.</w:t>
      </w:r>
    </w:p>
    <w:p w:rsidR="00425758" w:rsidRDefault="00425758">
      <w:pPr>
        <w:pStyle w:val="Footnotesection"/>
      </w:pPr>
      <w:r>
        <w:tab/>
        <w:t xml:space="preserve">[Rule 2 inserted: Gazette 1 Mar 1994 p. 788.] </w:t>
      </w:r>
    </w:p>
    <w:p w:rsidR="00425758" w:rsidRDefault="00425758">
      <w:pPr>
        <w:pStyle w:val="Heading5"/>
        <w:rPr>
          <w:snapToGrid w:val="0"/>
        </w:rPr>
      </w:pPr>
      <w:bookmarkStart w:id="1234" w:name="_Toc75863813"/>
      <w:r>
        <w:rPr>
          <w:rStyle w:val="CharSectno"/>
        </w:rPr>
        <w:lastRenderedPageBreak/>
        <w:t>3</w:t>
      </w:r>
      <w:r>
        <w:rPr>
          <w:snapToGrid w:val="0"/>
        </w:rPr>
        <w:t>.</w:t>
      </w:r>
      <w:r>
        <w:rPr>
          <w:snapToGrid w:val="0"/>
        </w:rPr>
        <w:tab/>
        <w:t>Claiming interest under Act s. 108, procedure for</w:t>
      </w:r>
      <w:bookmarkEnd w:id="1234"/>
    </w:p>
    <w:p w:rsidR="00425758" w:rsidRDefault="00425758">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rsidR="00425758" w:rsidRDefault="00425758">
      <w:pPr>
        <w:pStyle w:val="Indenta"/>
        <w:rPr>
          <w:snapToGrid w:val="0"/>
        </w:rPr>
      </w:pPr>
      <w:r>
        <w:rPr>
          <w:snapToGrid w:val="0"/>
        </w:rPr>
        <w:tab/>
        <w:t>(a)</w:t>
      </w:r>
      <w:r>
        <w:rPr>
          <w:snapToGrid w:val="0"/>
        </w:rPr>
        <w:tab/>
        <w:t>the rate or rates payable in respect of the same period or periods as are applicable in the court of rendition; and</w:t>
      </w:r>
    </w:p>
    <w:p w:rsidR="00425758" w:rsidRDefault="00425758">
      <w:pPr>
        <w:pStyle w:val="Indenta"/>
        <w:rPr>
          <w:snapToGrid w:val="0"/>
        </w:rPr>
      </w:pPr>
      <w:r>
        <w:rPr>
          <w:snapToGrid w:val="0"/>
        </w:rPr>
        <w:tab/>
        <w:t>(b)</w:t>
      </w:r>
      <w:r>
        <w:rPr>
          <w:snapToGrid w:val="0"/>
        </w:rPr>
        <w:tab/>
        <w:t>the total amount of interest to be recovered based on those rates and periods.</w:t>
      </w:r>
    </w:p>
    <w:p w:rsidR="00425758" w:rsidRDefault="00425758">
      <w:pPr>
        <w:pStyle w:val="Footnotesection"/>
      </w:pPr>
      <w:r>
        <w:tab/>
        <w:t xml:space="preserve">[Rule 3 inserted: Gazette 1 Mar 1994 p. 789.] </w:t>
      </w:r>
    </w:p>
    <w:p w:rsidR="00425758" w:rsidRDefault="00425758">
      <w:pPr>
        <w:pStyle w:val="Heading5"/>
      </w:pPr>
      <w:bookmarkStart w:id="1235" w:name="_Toc75863814"/>
      <w:r>
        <w:rPr>
          <w:rStyle w:val="CharSectno"/>
        </w:rPr>
        <w:t>4</w:t>
      </w:r>
      <w:r>
        <w:t>.</w:t>
      </w:r>
      <w:r>
        <w:tab/>
        <w:t>Appeals under Act</w:t>
      </w:r>
      <w:bookmarkEnd w:id="1235"/>
    </w:p>
    <w:p w:rsidR="00425758" w:rsidRDefault="00425758">
      <w:pPr>
        <w:pStyle w:val="Subsection"/>
      </w:pPr>
      <w:r>
        <w:tab/>
      </w:r>
      <w:r>
        <w:tab/>
        <w:t xml:space="preserve">The </w:t>
      </w:r>
      <w:r>
        <w:rPr>
          <w:i/>
        </w:rPr>
        <w:t xml:space="preserve">Criminal Procedure Rules 2005 </w:t>
      </w:r>
      <w:r>
        <w:t>apply to and in respect of reviews and appeals under Part 5 of the Act.</w:t>
      </w:r>
    </w:p>
    <w:p w:rsidR="00425758" w:rsidRDefault="00425758">
      <w:pPr>
        <w:pStyle w:val="Footnotesection"/>
      </w:pPr>
      <w:r>
        <w:tab/>
        <w:t>[Rule 4 inserted: Gazette 21 Feb 2007 p. 585.]</w:t>
      </w:r>
    </w:p>
    <w:p w:rsidR="00425758" w:rsidRDefault="00425758">
      <w:pPr>
        <w:pStyle w:val="Heading2"/>
      </w:pPr>
      <w:bookmarkStart w:id="1236" w:name="_Toc75512719"/>
      <w:bookmarkStart w:id="1237" w:name="_Toc75863815"/>
      <w:r>
        <w:rPr>
          <w:rStyle w:val="CharPartNo"/>
        </w:rPr>
        <w:lastRenderedPageBreak/>
        <w:t>Order 81C</w:t>
      </w:r>
      <w:r>
        <w:rPr>
          <w:b w:val="0"/>
        </w:rPr>
        <w:t> </w:t>
      </w:r>
      <w:r>
        <w:t>—</w:t>
      </w:r>
      <w:r>
        <w:rPr>
          <w:b w:val="0"/>
        </w:rPr>
        <w:t> </w:t>
      </w:r>
      <w:r>
        <w:rPr>
          <w:rStyle w:val="CharPartText"/>
        </w:rPr>
        <w:t>Road traffic legislation</w:t>
      </w:r>
      <w:r>
        <w:rPr>
          <w:rStyle w:val="CharPartText"/>
          <w:i/>
        </w:rPr>
        <w:t xml:space="preserve"> </w:t>
      </w:r>
      <w:r>
        <w:rPr>
          <w:rStyle w:val="CharPartText"/>
        </w:rPr>
        <w:t>rules</w:t>
      </w:r>
      <w:bookmarkEnd w:id="1236"/>
      <w:bookmarkEnd w:id="1237"/>
    </w:p>
    <w:p w:rsidR="00425758" w:rsidRDefault="00425758">
      <w:pPr>
        <w:pStyle w:val="Footnoteheading"/>
      </w:pPr>
      <w:r>
        <w:tab/>
        <w:t>[Heading inserted: Gazette 21 Feb 2007 p. 585; amended: Gazette 19 Dec 2014 p. 4845.]</w:t>
      </w:r>
    </w:p>
    <w:p w:rsidR="00425758" w:rsidRDefault="00425758">
      <w:pPr>
        <w:pStyle w:val="Heading5"/>
      </w:pPr>
      <w:bookmarkStart w:id="1238" w:name="_Toc75863816"/>
      <w:r>
        <w:rPr>
          <w:rStyle w:val="CharSectno"/>
        </w:rPr>
        <w:t>1</w:t>
      </w:r>
      <w:r>
        <w:t>.</w:t>
      </w:r>
      <w:r>
        <w:tab/>
        <w:t>Terms used</w:t>
      </w:r>
      <w:bookmarkEnd w:id="1238"/>
    </w:p>
    <w:p w:rsidR="00425758" w:rsidRDefault="00425758">
      <w:pPr>
        <w:pStyle w:val="Subsection"/>
      </w:pPr>
      <w:r>
        <w:tab/>
      </w:r>
      <w:r>
        <w:tab/>
        <w:t xml:space="preserve">In this Order — </w:t>
      </w:r>
    </w:p>
    <w:p w:rsidR="00425758" w:rsidRDefault="00425758">
      <w:pPr>
        <w:pStyle w:val="Defstart"/>
      </w:pPr>
      <w:r>
        <w:tab/>
      </w:r>
      <w:r>
        <w:rPr>
          <w:rStyle w:val="CharDefText"/>
        </w:rPr>
        <w:t>CEO</w:t>
      </w:r>
      <w:r>
        <w:t xml:space="preserve"> has the meaning given in the </w:t>
      </w:r>
      <w:r>
        <w:rPr>
          <w:i/>
        </w:rPr>
        <w:t>Road Traffic (Administration) Act 2008</w:t>
      </w:r>
      <w:r>
        <w:t xml:space="preserve"> section 4;</w:t>
      </w:r>
    </w:p>
    <w:p w:rsidR="00425758" w:rsidRDefault="00425758">
      <w:pPr>
        <w:pStyle w:val="Defstart"/>
      </w:pPr>
      <w:r>
        <w:tab/>
      </w:r>
      <w:r>
        <w:rPr>
          <w:rStyle w:val="CharDefText"/>
        </w:rPr>
        <w:t>RT (AD) Act</w:t>
      </w:r>
      <w:r>
        <w:t xml:space="preserve"> means the </w:t>
      </w:r>
      <w:r>
        <w:rPr>
          <w:i/>
        </w:rPr>
        <w:t>Road Traffic (Authorisation to Drive) Act 2008</w:t>
      </w:r>
      <w:r>
        <w:t>.</w:t>
      </w:r>
    </w:p>
    <w:p w:rsidR="00425758" w:rsidRDefault="00425758">
      <w:pPr>
        <w:pStyle w:val="Footnotesection"/>
      </w:pPr>
      <w:r>
        <w:tab/>
        <w:t>[Rule 1 inserted: Gazette 19 Dec 2014 p. 4846.]</w:t>
      </w:r>
    </w:p>
    <w:p w:rsidR="00425758" w:rsidRDefault="00425758">
      <w:pPr>
        <w:pStyle w:val="Heading5"/>
      </w:pPr>
      <w:bookmarkStart w:id="1239" w:name="_Toc75863817"/>
      <w:r>
        <w:rPr>
          <w:rStyle w:val="CharSectno"/>
        </w:rPr>
        <w:t>2</w:t>
      </w:r>
      <w:r>
        <w:t>.</w:t>
      </w:r>
      <w:r>
        <w:tab/>
        <w:t>Applications under RT (AD) Act s. 24, 27 or 35, how to be made</w:t>
      </w:r>
      <w:bookmarkEnd w:id="1239"/>
    </w:p>
    <w:p w:rsidR="00425758" w:rsidRDefault="00425758">
      <w:pPr>
        <w:pStyle w:val="Subsection"/>
      </w:pPr>
      <w:r>
        <w:tab/>
        <w:t>(1)</w:t>
      </w:r>
      <w:r>
        <w:tab/>
        <w:t>An application under the RT (AD) Act section 27 must be made by filing a Form No. 101 and any affidavit that the applicant proposes to tender at the hearing of the application.</w:t>
      </w:r>
    </w:p>
    <w:p w:rsidR="00425758" w:rsidRDefault="00425758">
      <w:pPr>
        <w:pStyle w:val="Subsection"/>
      </w:pPr>
      <w:r>
        <w:tab/>
        <w:t>(2)</w:t>
      </w:r>
      <w:r>
        <w:tab/>
        <w:t>An application under the RT (AD) Act section 35(1) must be made by filing a Form No. 102 and any affidavit that the applicant proposes to tender at the hearing of the application.</w:t>
      </w:r>
    </w:p>
    <w:p w:rsidR="00425758" w:rsidRDefault="00425758">
      <w:pPr>
        <w:pStyle w:val="Subsection"/>
      </w:pPr>
      <w:r>
        <w:tab/>
        <w:t>(3)</w:t>
      </w:r>
      <w:r>
        <w:tab/>
        <w:t xml:space="preserve">An application under the RT (AD) Act section 35(2) must be made by filing — </w:t>
      </w:r>
    </w:p>
    <w:p w:rsidR="00425758" w:rsidRDefault="00425758">
      <w:pPr>
        <w:pStyle w:val="Indenta"/>
      </w:pPr>
      <w:r>
        <w:tab/>
        <w:t>(a)</w:t>
      </w:r>
      <w:r>
        <w:tab/>
        <w:t>a Form No. 103 and any affidavit that the applicant proposes to tender at the hearing of the application; and</w:t>
      </w:r>
    </w:p>
    <w:p w:rsidR="00425758" w:rsidRDefault="00425758">
      <w:pPr>
        <w:pStyle w:val="Indenta"/>
      </w:pPr>
      <w:r>
        <w:tab/>
        <w:t>(b)</w:t>
      </w:r>
      <w:r>
        <w:tab/>
        <w:t>a copy of the record of the convictions of the holder of the extraordinary licence to which the application relates.</w:t>
      </w:r>
    </w:p>
    <w:p w:rsidR="00425758" w:rsidRDefault="00425758">
      <w:pPr>
        <w:pStyle w:val="Subsection"/>
      </w:pPr>
      <w:r>
        <w:tab/>
        <w:t>(4)</w:t>
      </w:r>
      <w:r>
        <w:tab/>
        <w:t>An application under the RT (AD) Act section 24(1) must be made by filing a Form No. 104 and any affidavit that the applicant proposes to tender at the hearing of the application.</w:t>
      </w:r>
    </w:p>
    <w:p w:rsidR="00425758" w:rsidRDefault="00425758">
      <w:pPr>
        <w:pStyle w:val="Subsection"/>
        <w:keepNext/>
      </w:pPr>
      <w:r>
        <w:lastRenderedPageBreak/>
        <w:tab/>
        <w:t>(5)</w:t>
      </w:r>
      <w:r>
        <w:tab/>
        <w:t>When a form and any affidavit is filed under this rule, 3 copies must also be filed.</w:t>
      </w:r>
    </w:p>
    <w:p w:rsidR="00425758" w:rsidRDefault="00425758">
      <w:pPr>
        <w:pStyle w:val="Footnotesection"/>
      </w:pPr>
      <w:r>
        <w:tab/>
        <w:t>[Rule 2 inserted: Gazette 21 Feb 2007 p. 585</w:t>
      </w:r>
      <w:r>
        <w:noBreakHyphen/>
        <w:t>6; amended: Gazette 19 Dec 2014 p. 4846.]</w:t>
      </w:r>
    </w:p>
    <w:p w:rsidR="00425758" w:rsidRDefault="00425758">
      <w:pPr>
        <w:pStyle w:val="Heading5"/>
      </w:pPr>
      <w:bookmarkStart w:id="1240" w:name="_Toc75863818"/>
      <w:r>
        <w:rPr>
          <w:rStyle w:val="CharSectno"/>
        </w:rPr>
        <w:t>3</w:t>
      </w:r>
      <w:r>
        <w:t>.</w:t>
      </w:r>
      <w:r>
        <w:tab/>
        <w:t>Registrar’s functions when application is made</w:t>
      </w:r>
      <w:bookmarkEnd w:id="1240"/>
    </w:p>
    <w:p w:rsidR="00425758" w:rsidRDefault="00425758">
      <w:pPr>
        <w:pStyle w:val="Subsection"/>
      </w:pPr>
      <w:r>
        <w:tab/>
        <w:t>(1)</w:t>
      </w:r>
      <w:r>
        <w:tab/>
        <w:t>A registrar may reject an application made under rule 2 if the registrar has reason to believe that the application cannot be made to or heard by the Court under the RT (AD) Act section 29 or 35(3).</w:t>
      </w:r>
    </w:p>
    <w:p w:rsidR="00425758" w:rsidRDefault="00425758">
      <w:pPr>
        <w:pStyle w:val="Subsection"/>
      </w:pPr>
      <w:r>
        <w:tab/>
        <w:t>(2)</w:t>
      </w:r>
      <w:r>
        <w:tab/>
        <w:t>On accepting a Form No. 101, 103 or 104, a registrar must —</w:t>
      </w:r>
    </w:p>
    <w:p w:rsidR="00425758" w:rsidRDefault="00425758">
      <w:pPr>
        <w:pStyle w:val="Indenta"/>
      </w:pPr>
      <w:r>
        <w:tab/>
        <w:t>(a)</w:t>
      </w:r>
      <w:r>
        <w:tab/>
        <w:t>list the application for hearing on the earliest convenient date that is at least 14 clear days after the date on which the form is filed; and</w:t>
      </w:r>
    </w:p>
    <w:p w:rsidR="00425758" w:rsidRDefault="00425758">
      <w:pPr>
        <w:pStyle w:val="Indenta"/>
      </w:pPr>
      <w:r>
        <w:tab/>
        <w:t>(b)</w:t>
      </w:r>
      <w:r>
        <w:tab/>
        <w:t>insert the hearing details on the form and its 3 copies; and</w:t>
      </w:r>
    </w:p>
    <w:p w:rsidR="00425758" w:rsidRDefault="00425758">
      <w:pPr>
        <w:pStyle w:val="Indenta"/>
      </w:pPr>
      <w:r>
        <w:tab/>
        <w:t>(c)</w:t>
      </w:r>
      <w:r>
        <w:tab/>
        <w:t>return 3 copies of the form and any accompanying affidavit to the applicant.</w:t>
      </w:r>
    </w:p>
    <w:p w:rsidR="00425758" w:rsidRDefault="00425758">
      <w:pPr>
        <w:pStyle w:val="Subsection"/>
      </w:pPr>
      <w:r>
        <w:tab/>
        <w:t>(3)</w:t>
      </w:r>
      <w:r>
        <w:tab/>
        <w:t>On accepting a Form No. 102, a registrar must —</w:t>
      </w:r>
    </w:p>
    <w:p w:rsidR="00425758" w:rsidRDefault="00425758">
      <w:pPr>
        <w:pStyle w:val="Indenta"/>
      </w:pPr>
      <w:r>
        <w:tab/>
        <w:t>(a)</w:t>
      </w:r>
      <w:r>
        <w:tab/>
        <w:t>list the application for hearing on the earliest convenient date; and</w:t>
      </w:r>
    </w:p>
    <w:p w:rsidR="00425758" w:rsidRDefault="00425758">
      <w:pPr>
        <w:pStyle w:val="Indenta"/>
      </w:pPr>
      <w:r>
        <w:tab/>
        <w:t>(b)</w:t>
      </w:r>
      <w:r>
        <w:tab/>
        <w:t>insert the hearing details on the form and its 3 copies; and</w:t>
      </w:r>
    </w:p>
    <w:p w:rsidR="00425758" w:rsidRDefault="00425758">
      <w:pPr>
        <w:pStyle w:val="Indenta"/>
      </w:pPr>
      <w:r>
        <w:tab/>
        <w:t>(c)</w:t>
      </w:r>
      <w:r>
        <w:tab/>
        <w:t>return 3 copies of the form and any accompanying affidavit to the applicant.</w:t>
      </w:r>
    </w:p>
    <w:p w:rsidR="00425758" w:rsidRDefault="00425758">
      <w:pPr>
        <w:pStyle w:val="Footnotesection"/>
      </w:pPr>
      <w:r>
        <w:tab/>
        <w:t>[Rule 3 inserted: Gazette 21 Feb 2007 p. 586; amended: Gazette 19 Dec 2014 p. 4846.]</w:t>
      </w:r>
    </w:p>
    <w:p w:rsidR="00425758" w:rsidRDefault="00425758">
      <w:pPr>
        <w:pStyle w:val="Heading5"/>
      </w:pPr>
      <w:bookmarkStart w:id="1241" w:name="_Toc75863819"/>
      <w:r>
        <w:rPr>
          <w:rStyle w:val="CharSectno"/>
        </w:rPr>
        <w:t>4</w:t>
      </w:r>
      <w:r>
        <w:t>.</w:t>
      </w:r>
      <w:r>
        <w:tab/>
        <w:t>Applicant to serve application etc.</w:t>
      </w:r>
      <w:bookmarkEnd w:id="1241"/>
    </w:p>
    <w:p w:rsidR="00425758" w:rsidRDefault="00425758">
      <w:pPr>
        <w:pStyle w:val="Subsection"/>
      </w:pPr>
      <w:r>
        <w:tab/>
        <w:t>(1)</w:t>
      </w:r>
      <w:r>
        <w:tab/>
        <w:t>On receiving the copies of a Form No. 101, 102 or 104 and any accompanying affidavit from a registrar, the applicant must serve one copy of the form and any accompanying affidavit on the CEO.</w:t>
      </w:r>
    </w:p>
    <w:p w:rsidR="00425758" w:rsidRDefault="00425758">
      <w:pPr>
        <w:pStyle w:val="Subsection"/>
      </w:pPr>
      <w:r>
        <w:lastRenderedPageBreak/>
        <w:tab/>
        <w:t>(2)</w:t>
      </w:r>
      <w:r>
        <w:tab/>
        <w:t>On receiving the copies of a Form No. 103 and any accompanying affidavit from a registrar, the CEO must serve one copy on the holder of the extraordinary licence to which the application relates.</w:t>
      </w:r>
    </w:p>
    <w:p w:rsidR="00425758" w:rsidRDefault="00425758">
      <w:pPr>
        <w:pStyle w:val="Footnotesection"/>
      </w:pPr>
      <w:r>
        <w:tab/>
        <w:t>[Rule 4 inserted: Gazette 28 Jul 2010 p. 3484-5; amended: Gazette 19 Dec 2014 p. 4846</w:t>
      </w:r>
      <w:r>
        <w:noBreakHyphen/>
        <w:t>7.]</w:t>
      </w:r>
    </w:p>
    <w:p w:rsidR="00425758" w:rsidRDefault="00425758">
      <w:pPr>
        <w:pStyle w:val="Heading5"/>
      </w:pPr>
      <w:bookmarkStart w:id="1242" w:name="_Toc75863820"/>
      <w:r>
        <w:rPr>
          <w:rStyle w:val="CharSectno"/>
        </w:rPr>
        <w:t>5</w:t>
      </w:r>
      <w:r>
        <w:t>.</w:t>
      </w:r>
      <w:r>
        <w:tab/>
        <w:t>Hearing of application, appearance at</w:t>
      </w:r>
      <w:bookmarkEnd w:id="1242"/>
    </w:p>
    <w:p w:rsidR="00425758" w:rsidRDefault="00425758">
      <w:pPr>
        <w:pStyle w:val="Subsection"/>
      </w:pPr>
      <w:r>
        <w:tab/>
        <w:t>(1)</w:t>
      </w:r>
      <w:r>
        <w:tab/>
        <w:t>The CEO is entitled to be heard on an application made under the RT (AD) Act section 24(1), 27 or 35(1).</w:t>
      </w:r>
    </w:p>
    <w:p w:rsidR="00425758" w:rsidRDefault="00425758">
      <w:pPr>
        <w:pStyle w:val="Subsection"/>
      </w:pPr>
      <w:r>
        <w:tab/>
        <w:t>(2)</w:t>
      </w:r>
      <w:r>
        <w:tab/>
        <w:t>If the Court is satisfied that the CEO has been served with an application made under the RT (AD) Act section 24(1), 27 or 35(1), the Court may deal with it in the absence of the CEO.</w:t>
      </w:r>
    </w:p>
    <w:p w:rsidR="00425758" w:rsidRDefault="00425758">
      <w:pPr>
        <w:pStyle w:val="Ednotesubsection"/>
      </w:pPr>
      <w:r>
        <w:tab/>
        <w:t>[(3), (4)</w:t>
      </w:r>
      <w:r>
        <w:tab/>
        <w:t>deleted]</w:t>
      </w:r>
    </w:p>
    <w:p w:rsidR="00425758" w:rsidRDefault="00425758">
      <w:pPr>
        <w:pStyle w:val="Subsection"/>
      </w:pPr>
      <w:r>
        <w:tab/>
        <w:t>(5)</w:t>
      </w:r>
      <w:r>
        <w:tab/>
        <w:t>If the Court is satisfied that the holder of the extraordinary licence to which an application made under the RT (AD) Act section 35(2) relates has been served with it, the Court may deal with it in the absence of the holder.</w:t>
      </w:r>
    </w:p>
    <w:p w:rsidR="00425758" w:rsidRDefault="00425758">
      <w:pPr>
        <w:pStyle w:val="Footnotesection"/>
      </w:pPr>
      <w:r>
        <w:tab/>
        <w:t>[Rule 5 inserted: Gazette 21 Feb 2007 p. 587; amended: Gazette 28 Jul 2010 p. 3485; 19 Dec 2014 p. 4847; 4 Sep 2015 p. 3698.]</w:t>
      </w:r>
    </w:p>
    <w:p w:rsidR="00425758" w:rsidRDefault="00425758">
      <w:pPr>
        <w:pStyle w:val="Heading5"/>
      </w:pPr>
      <w:bookmarkStart w:id="1243" w:name="_Toc75863821"/>
      <w:r>
        <w:rPr>
          <w:rStyle w:val="CharSectno"/>
        </w:rPr>
        <w:t>6</w:t>
      </w:r>
      <w:r>
        <w:t>.</w:t>
      </w:r>
      <w:r>
        <w:tab/>
        <w:t>Hearing of application, procedure on</w:t>
      </w:r>
      <w:bookmarkEnd w:id="1243"/>
    </w:p>
    <w:p w:rsidR="00425758" w:rsidRDefault="00425758">
      <w:pPr>
        <w:pStyle w:val="Subsection"/>
      </w:pPr>
      <w:r>
        <w:tab/>
        <w:t>(1)</w:t>
      </w:r>
      <w:r>
        <w:tab/>
        <w:t>At the hearing of an application made under the RT (AD) Act section 27 or 35(1) or (2) —</w:t>
      </w:r>
    </w:p>
    <w:p w:rsidR="00425758" w:rsidRDefault="00425758">
      <w:pPr>
        <w:pStyle w:val="Indenta"/>
      </w:pPr>
      <w:r>
        <w:tab/>
        <w:t>(a)</w:t>
      </w:r>
      <w:r>
        <w:tab/>
        <w:t>the applicant bears the onus of proof; and</w:t>
      </w:r>
    </w:p>
    <w:p w:rsidR="00425758" w:rsidRDefault="00425758">
      <w:pPr>
        <w:pStyle w:val="Indenta"/>
      </w:pPr>
      <w:r>
        <w:tab/>
        <w:t>(b)</w:t>
      </w:r>
      <w:r>
        <w:tab/>
        <w:t>the standard of proof is on the balance of probabilities.</w:t>
      </w:r>
    </w:p>
    <w:p w:rsidR="00425758" w:rsidRDefault="00425758">
      <w:pPr>
        <w:pStyle w:val="Subsection"/>
      </w:pPr>
      <w:r>
        <w:tab/>
        <w:t>(2)</w:t>
      </w:r>
      <w:r>
        <w:tab/>
        <w:t>At the hearing of an application made under the RT (AD) Act section 24(1), 27 or 35(1) or (2), affidavit evidence may be adduced by a party if the maker of the affidavit is present.</w:t>
      </w:r>
    </w:p>
    <w:p w:rsidR="00425758" w:rsidRDefault="00425758">
      <w:pPr>
        <w:pStyle w:val="Footnotesection"/>
      </w:pPr>
      <w:r>
        <w:tab/>
        <w:t>[Rule 6 inserted: Gazette 21 Feb 2007 p. 587; amended: Gazette 19 Dec 2014 p. 4847.]</w:t>
      </w:r>
    </w:p>
    <w:p w:rsidR="00425758" w:rsidRDefault="00425758">
      <w:pPr>
        <w:pStyle w:val="Heading5"/>
      </w:pPr>
      <w:bookmarkStart w:id="1244" w:name="_Toc75863822"/>
      <w:r>
        <w:rPr>
          <w:rStyle w:val="CharSectno"/>
        </w:rPr>
        <w:lastRenderedPageBreak/>
        <w:t>7</w:t>
      </w:r>
      <w:r>
        <w:t>.</w:t>
      </w:r>
      <w:r>
        <w:tab/>
        <w:t>CEO to be notified of decision</w:t>
      </w:r>
      <w:bookmarkEnd w:id="1244"/>
    </w:p>
    <w:p w:rsidR="00425758" w:rsidRDefault="00425758">
      <w:pPr>
        <w:pStyle w:val="Subsection"/>
      </w:pPr>
      <w:r>
        <w:tab/>
      </w:r>
      <w:r>
        <w:tab/>
        <w:t>As soon as practicable after the Court decides an application made under the RT (AD) Act section 24(1), 27 or 35(1) or (2), a registrar must give the CEO notice of the decision including the details of any order made.</w:t>
      </w:r>
    </w:p>
    <w:p w:rsidR="00425758" w:rsidRDefault="00425758">
      <w:pPr>
        <w:pStyle w:val="Footnotesection"/>
      </w:pPr>
      <w:r>
        <w:tab/>
        <w:t>[Rule 7 inserted: Gazette 21 Feb 2007 p. 587; amended: Gazette 19 Dec 2014 p. 4848.]</w:t>
      </w:r>
    </w:p>
    <w:p w:rsidR="00425758" w:rsidRDefault="00425758">
      <w:pPr>
        <w:pStyle w:val="Ednotepart"/>
      </w:pPr>
      <w:r>
        <w:t>[Order 81D deleted: Gazette 20 Dec 2016 p. 5842.]</w:t>
      </w:r>
    </w:p>
    <w:p w:rsidR="00425758" w:rsidRDefault="00425758">
      <w:pPr>
        <w:pStyle w:val="Heading2"/>
        <w:rPr>
          <w:b w:val="0"/>
        </w:rPr>
      </w:pPr>
      <w:bookmarkStart w:id="1245" w:name="_Toc75512727"/>
      <w:bookmarkStart w:id="1246" w:name="_Toc75863823"/>
      <w:r>
        <w:rPr>
          <w:rStyle w:val="CharPartNo"/>
        </w:rPr>
        <w:lastRenderedPageBreak/>
        <w:t>Order 81E</w:t>
      </w:r>
      <w:r>
        <w:rPr>
          <w:rStyle w:val="CharDivNo"/>
        </w:rPr>
        <w:t> </w:t>
      </w:r>
      <w:r>
        <w:t>—</w:t>
      </w:r>
      <w:r>
        <w:rPr>
          <w:rStyle w:val="CharDivText"/>
        </w:rPr>
        <w:t> </w:t>
      </w:r>
      <w:r>
        <w:rPr>
          <w:rStyle w:val="CharPartText"/>
        </w:rPr>
        <w:t>Cross</w:t>
      </w:r>
      <w:r>
        <w:rPr>
          <w:rStyle w:val="CharPartText"/>
        </w:rPr>
        <w:noBreakHyphen/>
        <w:t>vesting</w:t>
      </w:r>
      <w:bookmarkEnd w:id="1245"/>
      <w:bookmarkEnd w:id="1246"/>
    </w:p>
    <w:p w:rsidR="00425758" w:rsidRDefault="00425758">
      <w:pPr>
        <w:pStyle w:val="Footnoteheading"/>
        <w:ind w:left="890"/>
        <w:rPr>
          <w:snapToGrid w:val="0"/>
        </w:rPr>
      </w:pPr>
      <w:r>
        <w:rPr>
          <w:snapToGrid w:val="0"/>
        </w:rPr>
        <w:tab/>
        <w:t>[Heading inserted: Gazette 1 Jul 1988 p. 2140.]</w:t>
      </w:r>
    </w:p>
    <w:p w:rsidR="00425758" w:rsidRDefault="00425758">
      <w:pPr>
        <w:pStyle w:val="Heading5"/>
        <w:rPr>
          <w:snapToGrid w:val="0"/>
        </w:rPr>
      </w:pPr>
      <w:bookmarkStart w:id="1247" w:name="_Toc75863824"/>
      <w:r>
        <w:rPr>
          <w:rStyle w:val="CharSectno"/>
        </w:rPr>
        <w:t>1</w:t>
      </w:r>
      <w:r>
        <w:rPr>
          <w:snapToGrid w:val="0"/>
        </w:rPr>
        <w:t>.</w:t>
      </w:r>
      <w:r>
        <w:rPr>
          <w:snapToGrid w:val="0"/>
        </w:rPr>
        <w:tab/>
        <w:t>Terms used</w:t>
      </w:r>
      <w:bookmarkEnd w:id="1247"/>
    </w:p>
    <w:p w:rsidR="00425758" w:rsidRDefault="00425758">
      <w:pPr>
        <w:pStyle w:val="Subsection"/>
        <w:rPr>
          <w:snapToGrid w:val="0"/>
        </w:rPr>
      </w:pPr>
      <w:r>
        <w:rPr>
          <w:snapToGrid w:val="0"/>
        </w:rPr>
        <w:tab/>
      </w:r>
      <w:r>
        <w:rPr>
          <w:snapToGrid w:val="0"/>
        </w:rPr>
        <w:tab/>
        <w:t>In this Order, unless the contrary intention appears — </w:t>
      </w:r>
    </w:p>
    <w:p w:rsidR="00425758" w:rsidRDefault="00425758">
      <w:pPr>
        <w:pStyle w:val="Defstart"/>
      </w:pPr>
      <w:r>
        <w:rPr>
          <w:b/>
        </w:rPr>
        <w:tab/>
      </w:r>
      <w:r>
        <w:rPr>
          <w:rStyle w:val="CharDefText"/>
        </w:rPr>
        <w:t>Act</w:t>
      </w:r>
      <w:r>
        <w:t xml:space="preserve"> means the </w:t>
      </w:r>
      <w:r>
        <w:rPr>
          <w:i/>
        </w:rPr>
        <w:t>Jurisdiction of Courts (Cross</w:t>
      </w:r>
      <w:r>
        <w:rPr>
          <w:i/>
        </w:rPr>
        <w:noBreakHyphen/>
        <w:t>vesting) Act 1987</w:t>
      </w:r>
      <w:r>
        <w:t xml:space="preserve"> of Western Australia;</w:t>
      </w:r>
    </w:p>
    <w:p w:rsidR="00425758" w:rsidRDefault="00425758">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rsidR="00425758" w:rsidRDefault="00425758">
      <w:pPr>
        <w:pStyle w:val="Defstart"/>
      </w:pPr>
      <w:r>
        <w:rPr>
          <w:b/>
        </w:rPr>
        <w:tab/>
      </w:r>
      <w:r>
        <w:rPr>
          <w:rStyle w:val="CharDefText"/>
        </w:rPr>
        <w:t>proceeding</w:t>
      </w:r>
      <w:r>
        <w:t xml:space="preserve"> includes an action, cause or matter;</w:t>
      </w:r>
    </w:p>
    <w:p w:rsidR="00425758" w:rsidRDefault="00425758">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rsidR="00425758" w:rsidRDefault="00425758">
      <w:pPr>
        <w:pStyle w:val="Footnotesection"/>
      </w:pPr>
      <w:r>
        <w:tab/>
        <w:t xml:space="preserve">[Rule 1 inserted: Gazette 1 Jul 1988 p. 2140.] </w:t>
      </w:r>
    </w:p>
    <w:p w:rsidR="00425758" w:rsidRDefault="00425758">
      <w:pPr>
        <w:pStyle w:val="Heading5"/>
        <w:rPr>
          <w:snapToGrid w:val="0"/>
        </w:rPr>
      </w:pPr>
      <w:bookmarkStart w:id="1248" w:name="_Toc75863825"/>
      <w:r>
        <w:rPr>
          <w:rStyle w:val="CharSectno"/>
        </w:rPr>
        <w:t>2</w:t>
      </w:r>
      <w:r>
        <w:rPr>
          <w:snapToGrid w:val="0"/>
        </w:rPr>
        <w:t>.</w:t>
      </w:r>
      <w:r>
        <w:rPr>
          <w:snapToGrid w:val="0"/>
        </w:rPr>
        <w:tab/>
        <w:t>Application of this Order</w:t>
      </w:r>
      <w:bookmarkEnd w:id="1248"/>
      <w:r>
        <w:rPr>
          <w:snapToGrid w:val="0"/>
        </w:rPr>
        <w:t xml:space="preserve"> </w:t>
      </w:r>
    </w:p>
    <w:p w:rsidR="00425758" w:rsidRDefault="00425758">
      <w:pPr>
        <w:pStyle w:val="Subsection"/>
        <w:rPr>
          <w:snapToGrid w:val="0"/>
        </w:rPr>
      </w:pPr>
      <w:r>
        <w:rPr>
          <w:snapToGrid w:val="0"/>
        </w:rPr>
        <w:tab/>
      </w:r>
      <w:r>
        <w:rPr>
          <w:snapToGrid w:val="0"/>
        </w:rPr>
        <w:tab/>
        <w:t>This Order applies to proceedings to which cross</w:t>
      </w:r>
      <w:r>
        <w:rPr>
          <w:snapToGrid w:val="0"/>
        </w:rPr>
        <w:noBreakHyphen/>
        <w:t>vesting laws apply.</w:t>
      </w:r>
    </w:p>
    <w:p w:rsidR="00425758" w:rsidRDefault="00425758">
      <w:pPr>
        <w:pStyle w:val="Footnotesection"/>
      </w:pPr>
      <w:r>
        <w:tab/>
        <w:t xml:space="preserve">[Rule 2 inserted: Gazette 1 Jul 1988 p. 2140.] </w:t>
      </w:r>
    </w:p>
    <w:p w:rsidR="00425758" w:rsidRDefault="00425758">
      <w:pPr>
        <w:pStyle w:val="Heading5"/>
        <w:rPr>
          <w:snapToGrid w:val="0"/>
        </w:rPr>
      </w:pPr>
      <w:bookmarkStart w:id="1249" w:name="_Toc75863826"/>
      <w:r>
        <w:rPr>
          <w:rStyle w:val="CharSectno"/>
        </w:rPr>
        <w:t>3</w:t>
      </w:r>
      <w:r>
        <w:rPr>
          <w:snapToGrid w:val="0"/>
        </w:rPr>
        <w:t>.</w:t>
      </w:r>
      <w:r>
        <w:rPr>
          <w:snapToGrid w:val="0"/>
        </w:rPr>
        <w:tab/>
        <w:t>Commencing proceedings that rely on cross-vesting laws</w:t>
      </w:r>
      <w:bookmarkEnd w:id="1249"/>
    </w:p>
    <w:p w:rsidR="00425758" w:rsidRDefault="00425758">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rsidR="00425758" w:rsidRDefault="00425758">
      <w:pPr>
        <w:pStyle w:val="Subsection"/>
        <w:rPr>
          <w:snapToGrid w:val="0"/>
        </w:rPr>
      </w:pPr>
      <w:r>
        <w:rPr>
          <w:snapToGrid w:val="0"/>
        </w:rPr>
        <w:tab/>
        <w:t>(2)</w:t>
      </w:r>
      <w:r>
        <w:rPr>
          <w:snapToGrid w:val="0"/>
        </w:rPr>
        <w:tab/>
        <w:t>In a case of doubt or difficulty as to the manner of commencement of a proceeding the Court may give directions.</w:t>
      </w:r>
    </w:p>
    <w:p w:rsidR="00425758" w:rsidRDefault="00425758">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rsidR="00425758" w:rsidRDefault="00425758">
      <w:pPr>
        <w:pStyle w:val="Subsection"/>
        <w:rPr>
          <w:snapToGrid w:val="0"/>
        </w:rPr>
      </w:pPr>
      <w:r>
        <w:rPr>
          <w:snapToGrid w:val="0"/>
        </w:rPr>
        <w:tab/>
        <w:t>(4)</w:t>
      </w:r>
      <w:r>
        <w:rPr>
          <w:snapToGrid w:val="0"/>
        </w:rPr>
        <w:tab/>
        <w:t>A party who relies on cross</w:t>
      </w:r>
      <w:r>
        <w:rPr>
          <w:snapToGrid w:val="0"/>
        </w:rPr>
        <w:noBreakHyphen/>
        <w:t xml:space="preserve">vesting laws shall indorse the process by which those laws are invoked with a statement </w:t>
      </w:r>
      <w:r>
        <w:rPr>
          <w:snapToGrid w:val="0"/>
        </w:rPr>
        <w:lastRenderedPageBreak/>
        <w:t>identifying each claim or ground of defence, as the case may be, in respect of which cross</w:t>
      </w:r>
      <w:r>
        <w:rPr>
          <w:snapToGrid w:val="0"/>
        </w:rPr>
        <w:noBreakHyphen/>
        <w:t>vesting laws are invoked.</w:t>
      </w:r>
    </w:p>
    <w:p w:rsidR="00425758" w:rsidRDefault="00425758">
      <w:pPr>
        <w:pStyle w:val="Subsection"/>
        <w:rPr>
          <w:snapToGrid w:val="0"/>
        </w:rPr>
      </w:pPr>
      <w:r>
        <w:rPr>
          <w:snapToGrid w:val="0"/>
        </w:rPr>
        <w:tab/>
        <w:t>(5)</w:t>
      </w:r>
      <w:r>
        <w:rPr>
          <w:snapToGrid w:val="0"/>
        </w:rPr>
        <w:tab/>
        <w:t>A failure to comply with subrule (4) does not invalidate the process.</w:t>
      </w:r>
    </w:p>
    <w:p w:rsidR="00425758" w:rsidRDefault="00425758">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rsidR="00425758" w:rsidRDefault="00425758">
      <w:pPr>
        <w:pStyle w:val="Footnotesection"/>
      </w:pPr>
      <w:r>
        <w:tab/>
        <w:t xml:space="preserve">[Rule 3 inserted: Gazette 1 Jul 1988 p. 2141; amended: Gazette 28 Jun 2011 p. 2552.] </w:t>
      </w:r>
    </w:p>
    <w:p w:rsidR="00425758" w:rsidRDefault="00425758">
      <w:pPr>
        <w:pStyle w:val="Heading5"/>
        <w:rPr>
          <w:snapToGrid w:val="0"/>
        </w:rPr>
      </w:pPr>
      <w:bookmarkStart w:id="1250" w:name="_Toc75863827"/>
      <w:r>
        <w:rPr>
          <w:rStyle w:val="CharSectno"/>
        </w:rPr>
        <w:t>4</w:t>
      </w:r>
      <w:r>
        <w:rPr>
          <w:snapToGrid w:val="0"/>
        </w:rPr>
        <w:t>.</w:t>
      </w:r>
      <w:r>
        <w:rPr>
          <w:snapToGrid w:val="0"/>
        </w:rPr>
        <w:tab/>
        <w:t>Special federal matters</w:t>
      </w:r>
      <w:bookmarkEnd w:id="1250"/>
      <w:r>
        <w:rPr>
          <w:snapToGrid w:val="0"/>
        </w:rPr>
        <w:t xml:space="preserve"> </w:t>
      </w:r>
    </w:p>
    <w:p w:rsidR="00425758" w:rsidRDefault="00425758">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rsidR="00425758" w:rsidRDefault="00425758">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rsidR="00425758" w:rsidRDefault="00425758">
      <w:pPr>
        <w:pStyle w:val="Footnotesection"/>
      </w:pPr>
      <w:r>
        <w:tab/>
        <w:t xml:space="preserve">[Rule 4 inserted: Gazette 1 Jul 1988 p. 2141.] </w:t>
      </w:r>
    </w:p>
    <w:p w:rsidR="00425758" w:rsidRDefault="00425758">
      <w:pPr>
        <w:pStyle w:val="Ednotesection"/>
      </w:pPr>
      <w:r>
        <w:t>[</w:t>
      </w:r>
      <w:r>
        <w:rPr>
          <w:b/>
        </w:rPr>
        <w:t>5.</w:t>
      </w:r>
      <w:r>
        <w:rPr>
          <w:b/>
        </w:rPr>
        <w:tab/>
      </w:r>
      <w:r>
        <w:t xml:space="preserve">Deleted: Gazette 26 Aug 1994 p. 4413.] </w:t>
      </w:r>
    </w:p>
    <w:p w:rsidR="00425758" w:rsidRDefault="00425758">
      <w:pPr>
        <w:pStyle w:val="Heading5"/>
        <w:rPr>
          <w:snapToGrid w:val="0"/>
        </w:rPr>
      </w:pPr>
      <w:bookmarkStart w:id="1251" w:name="_Toc75863828"/>
      <w:r>
        <w:rPr>
          <w:rStyle w:val="CharSectno"/>
        </w:rPr>
        <w:t>6</w:t>
      </w:r>
      <w:r>
        <w:rPr>
          <w:snapToGrid w:val="0"/>
        </w:rPr>
        <w:t>.</w:t>
      </w:r>
      <w:r>
        <w:rPr>
          <w:snapToGrid w:val="0"/>
        </w:rPr>
        <w:tab/>
        <w:t>Directions for conduct of proceedings</w:t>
      </w:r>
      <w:bookmarkEnd w:id="1251"/>
    </w:p>
    <w:p w:rsidR="00425758" w:rsidRDefault="00425758">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rsidR="00425758" w:rsidRDefault="00425758">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rsidR="00425758" w:rsidRDefault="00425758">
      <w:pPr>
        <w:pStyle w:val="Subsection"/>
        <w:keepLines/>
        <w:rPr>
          <w:snapToGrid w:val="0"/>
        </w:rPr>
      </w:pPr>
      <w:r>
        <w:rPr>
          <w:snapToGrid w:val="0"/>
        </w:rPr>
        <w:lastRenderedPageBreak/>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rsidR="00425758" w:rsidRDefault="00425758">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rsidR="00425758" w:rsidRDefault="00425758">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rsidR="00425758" w:rsidRDefault="00425758">
      <w:pPr>
        <w:pStyle w:val="Subsection"/>
        <w:rPr>
          <w:snapToGrid w:val="0"/>
        </w:rPr>
      </w:pPr>
      <w:r>
        <w:rPr>
          <w:snapToGrid w:val="0"/>
        </w:rPr>
        <w:tab/>
        <w:t>(6)</w:t>
      </w:r>
      <w:r>
        <w:rPr>
          <w:snapToGrid w:val="0"/>
        </w:rPr>
        <w:tab/>
        <w:t>The Court may at the trial or hearing of the proceeding vary an order or decision made on the summons for directions.</w:t>
      </w:r>
    </w:p>
    <w:p w:rsidR="00425758" w:rsidRDefault="00425758">
      <w:pPr>
        <w:pStyle w:val="Footnotesection"/>
      </w:pPr>
      <w:r>
        <w:tab/>
        <w:t xml:space="preserve">[Rule 6 inserted: Gazette 1 Jul 1988 p. 2141.] </w:t>
      </w:r>
    </w:p>
    <w:p w:rsidR="00425758" w:rsidRDefault="00425758">
      <w:pPr>
        <w:pStyle w:val="Heading5"/>
        <w:rPr>
          <w:snapToGrid w:val="0"/>
        </w:rPr>
      </w:pPr>
      <w:bookmarkStart w:id="1252" w:name="_Toc75863829"/>
      <w:r>
        <w:rPr>
          <w:rStyle w:val="CharSectno"/>
        </w:rPr>
        <w:t>7</w:t>
      </w:r>
      <w:r>
        <w:rPr>
          <w:snapToGrid w:val="0"/>
        </w:rPr>
        <w:t>.</w:t>
      </w:r>
      <w:r>
        <w:rPr>
          <w:snapToGrid w:val="0"/>
        </w:rPr>
        <w:tab/>
        <w:t>Transfer of proceedings</w:t>
      </w:r>
      <w:bookmarkEnd w:id="1252"/>
      <w:r>
        <w:rPr>
          <w:snapToGrid w:val="0"/>
        </w:rPr>
        <w:t xml:space="preserve"> </w:t>
      </w:r>
    </w:p>
    <w:p w:rsidR="00425758" w:rsidRDefault="00425758">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rsidR="00425758" w:rsidRDefault="00425758">
      <w:pPr>
        <w:pStyle w:val="Subsection"/>
        <w:rPr>
          <w:snapToGrid w:val="0"/>
        </w:rPr>
      </w:pPr>
      <w:r>
        <w:rPr>
          <w:snapToGrid w:val="0"/>
        </w:rPr>
        <w:tab/>
        <w:t>(2)</w:t>
      </w:r>
      <w:r>
        <w:rPr>
          <w:snapToGrid w:val="0"/>
        </w:rPr>
        <w:tab/>
        <w:t>When a proceeding is transferred to the Court from another court a registrar shall give it a number or title.</w:t>
      </w:r>
    </w:p>
    <w:p w:rsidR="00425758" w:rsidRDefault="00425758">
      <w:pPr>
        <w:pStyle w:val="Footnotesection"/>
      </w:pPr>
      <w:r>
        <w:tab/>
        <w:t xml:space="preserve">[Rule 7 inserted: Gazette 1 Jul 1988 p. 2141.] </w:t>
      </w:r>
    </w:p>
    <w:p w:rsidR="00425758" w:rsidRDefault="00425758">
      <w:pPr>
        <w:pStyle w:val="Heading5"/>
        <w:rPr>
          <w:snapToGrid w:val="0"/>
        </w:rPr>
      </w:pPr>
      <w:bookmarkStart w:id="1253" w:name="_Toc75863830"/>
      <w:r>
        <w:rPr>
          <w:rStyle w:val="CharSectno"/>
        </w:rPr>
        <w:t>8</w:t>
      </w:r>
      <w:r>
        <w:rPr>
          <w:snapToGrid w:val="0"/>
        </w:rPr>
        <w:t>.</w:t>
      </w:r>
      <w:r>
        <w:rPr>
          <w:snapToGrid w:val="0"/>
        </w:rPr>
        <w:tab/>
        <w:t>Applications to be dealt with by judge</w:t>
      </w:r>
      <w:bookmarkEnd w:id="1253"/>
      <w:r>
        <w:rPr>
          <w:snapToGrid w:val="0"/>
        </w:rPr>
        <w:t xml:space="preserve"> </w:t>
      </w:r>
    </w:p>
    <w:p w:rsidR="00425758" w:rsidRDefault="00425758">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rsidR="00425758" w:rsidRDefault="00425758">
      <w:pPr>
        <w:pStyle w:val="Footnotesection"/>
      </w:pPr>
      <w:r>
        <w:tab/>
        <w:t xml:space="preserve">[Rule 8 inserted: Gazette 1 Jul 1988 p. 2142.] </w:t>
      </w:r>
    </w:p>
    <w:p w:rsidR="00425758" w:rsidRDefault="00425758">
      <w:pPr>
        <w:pStyle w:val="Heading5"/>
        <w:rPr>
          <w:snapToGrid w:val="0"/>
        </w:rPr>
      </w:pPr>
      <w:bookmarkStart w:id="1254" w:name="_Toc75863831"/>
      <w:r>
        <w:rPr>
          <w:rStyle w:val="CharSectno"/>
        </w:rPr>
        <w:lastRenderedPageBreak/>
        <w:t>9</w:t>
      </w:r>
      <w:r>
        <w:rPr>
          <w:snapToGrid w:val="0"/>
        </w:rPr>
        <w:t>.</w:t>
      </w:r>
      <w:r>
        <w:rPr>
          <w:snapToGrid w:val="0"/>
        </w:rPr>
        <w:tab/>
        <w:t>Transfer on Attorney General’s application (Act s. 5 or 6)</w:t>
      </w:r>
      <w:bookmarkEnd w:id="1254"/>
    </w:p>
    <w:p w:rsidR="00425758" w:rsidRDefault="00425758">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rsidR="00425758" w:rsidRDefault="00425758">
      <w:pPr>
        <w:pStyle w:val="Footnotesection"/>
      </w:pPr>
      <w:r>
        <w:tab/>
        <w:t xml:space="preserve">[Rule 9 inserted: Gazette 1 Jul 1988 p. 2142.] </w:t>
      </w:r>
    </w:p>
    <w:p w:rsidR="00425758" w:rsidRDefault="00425758">
      <w:pPr>
        <w:pStyle w:val="Heading5"/>
        <w:rPr>
          <w:snapToGrid w:val="0"/>
        </w:rPr>
      </w:pPr>
      <w:bookmarkStart w:id="1255" w:name="_Toc75863832"/>
      <w:r>
        <w:rPr>
          <w:rStyle w:val="CharSectno"/>
        </w:rPr>
        <w:t>10</w:t>
      </w:r>
      <w:r>
        <w:rPr>
          <w:snapToGrid w:val="0"/>
        </w:rPr>
        <w:t>.</w:t>
      </w:r>
      <w:r>
        <w:rPr>
          <w:snapToGrid w:val="0"/>
        </w:rPr>
        <w:tab/>
        <w:t>Transfer under Act s. 8, Court’s powers on</w:t>
      </w:r>
      <w:bookmarkEnd w:id="1255"/>
      <w:r>
        <w:rPr>
          <w:snapToGrid w:val="0"/>
        </w:rPr>
        <w:t xml:space="preserve"> </w:t>
      </w:r>
    </w:p>
    <w:p w:rsidR="00425758" w:rsidRDefault="00425758">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rsidR="00425758" w:rsidRDefault="00425758">
      <w:pPr>
        <w:pStyle w:val="Subsection"/>
        <w:rPr>
          <w:snapToGrid w:val="0"/>
        </w:rPr>
      </w:pPr>
      <w:r>
        <w:rPr>
          <w:snapToGrid w:val="0"/>
        </w:rPr>
        <w:tab/>
        <w:t>(2)</w:t>
      </w:r>
      <w:r>
        <w:rPr>
          <w:snapToGrid w:val="0"/>
        </w:rPr>
        <w:tab/>
        <w:t>The powers exercisable under subrule (1) — </w:t>
      </w:r>
    </w:p>
    <w:p w:rsidR="00425758" w:rsidRDefault="00425758">
      <w:pPr>
        <w:pStyle w:val="Indenta"/>
        <w:rPr>
          <w:snapToGrid w:val="0"/>
        </w:rPr>
      </w:pPr>
      <w:r>
        <w:rPr>
          <w:snapToGrid w:val="0"/>
        </w:rPr>
        <w:tab/>
        <w:t>(a)</w:t>
      </w:r>
      <w:r>
        <w:rPr>
          <w:snapToGrid w:val="0"/>
        </w:rPr>
        <w:tab/>
        <w:t>are in addition to the powers exercisable under rule 6; and</w:t>
      </w:r>
    </w:p>
    <w:p w:rsidR="00425758" w:rsidRDefault="00425758">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rsidR="00425758" w:rsidRDefault="00425758">
      <w:pPr>
        <w:pStyle w:val="Footnotesection"/>
      </w:pPr>
      <w:r>
        <w:tab/>
        <w:t xml:space="preserve">[Rule 10 inserted: Gazette 1 Jul 1988 p. 2142; amended: Gazette 28 Jun 2011 p. 2552.] </w:t>
      </w:r>
    </w:p>
    <w:p w:rsidR="00425758" w:rsidRDefault="00425758">
      <w:pPr>
        <w:pStyle w:val="Heading5"/>
        <w:rPr>
          <w:snapToGrid w:val="0"/>
        </w:rPr>
      </w:pPr>
      <w:bookmarkStart w:id="1256" w:name="_Toc75863833"/>
      <w:r>
        <w:rPr>
          <w:rStyle w:val="CharSectno"/>
        </w:rPr>
        <w:t>11</w:t>
      </w:r>
      <w:r>
        <w:rPr>
          <w:snapToGrid w:val="0"/>
        </w:rPr>
        <w:t>.</w:t>
      </w:r>
      <w:r>
        <w:rPr>
          <w:snapToGrid w:val="0"/>
        </w:rPr>
        <w:tab/>
        <w:t>Procedure if laws etc. of other place to apply under Act s. 11(1)</w:t>
      </w:r>
      <w:bookmarkEnd w:id="1256"/>
      <w:r>
        <w:rPr>
          <w:snapToGrid w:val="0"/>
        </w:rPr>
        <w:t xml:space="preserve"> </w:t>
      </w:r>
    </w:p>
    <w:p w:rsidR="00425758" w:rsidRDefault="00425758">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rsidR="00425758" w:rsidRDefault="00425758">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rsidR="00425758" w:rsidRDefault="00425758">
      <w:pPr>
        <w:pStyle w:val="Subsection"/>
        <w:keepLines/>
        <w:rPr>
          <w:snapToGrid w:val="0"/>
        </w:rPr>
      </w:pPr>
      <w:r>
        <w:rPr>
          <w:snapToGrid w:val="0"/>
        </w:rPr>
        <w:lastRenderedPageBreak/>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rsidR="00425758" w:rsidRDefault="00425758">
      <w:pPr>
        <w:pStyle w:val="Indenta"/>
        <w:rPr>
          <w:snapToGrid w:val="0"/>
        </w:rPr>
      </w:pPr>
      <w:r>
        <w:rPr>
          <w:snapToGrid w:val="0"/>
        </w:rPr>
        <w:tab/>
        <w:t>(a)</w:t>
      </w:r>
      <w:r>
        <w:rPr>
          <w:snapToGrid w:val="0"/>
        </w:rPr>
        <w:tab/>
        <w:t>the party shall apply to the Court for directions on that matter before the proceeding is set down for trial;</w:t>
      </w:r>
    </w:p>
    <w:p w:rsidR="00425758" w:rsidRDefault="00425758">
      <w:pPr>
        <w:pStyle w:val="Indenta"/>
        <w:rPr>
          <w:snapToGrid w:val="0"/>
        </w:rPr>
      </w:pPr>
      <w:r>
        <w:rPr>
          <w:snapToGrid w:val="0"/>
        </w:rPr>
        <w:tab/>
        <w:t>(b)</w:t>
      </w:r>
      <w:r>
        <w:rPr>
          <w:snapToGrid w:val="0"/>
        </w:rPr>
        <w:tab/>
        <w:t>the Court may give directions in relation to that matter — </w:t>
      </w:r>
    </w:p>
    <w:p w:rsidR="00425758" w:rsidRDefault="00425758">
      <w:pPr>
        <w:pStyle w:val="Indenti"/>
        <w:rPr>
          <w:snapToGrid w:val="0"/>
        </w:rPr>
      </w:pPr>
      <w:r>
        <w:rPr>
          <w:snapToGrid w:val="0"/>
        </w:rPr>
        <w:tab/>
        <w:t>(i)</w:t>
      </w:r>
      <w:r>
        <w:rPr>
          <w:snapToGrid w:val="0"/>
        </w:rPr>
        <w:tab/>
        <w:t>on application being made under paragraph (a); or</w:t>
      </w:r>
    </w:p>
    <w:p w:rsidR="00425758" w:rsidRDefault="00425758">
      <w:pPr>
        <w:pStyle w:val="Indenti"/>
        <w:rPr>
          <w:snapToGrid w:val="0"/>
        </w:rPr>
      </w:pPr>
      <w:r>
        <w:rPr>
          <w:snapToGrid w:val="0"/>
        </w:rPr>
        <w:tab/>
        <w:t>(ii)</w:t>
      </w:r>
      <w:r>
        <w:rPr>
          <w:snapToGrid w:val="0"/>
        </w:rPr>
        <w:tab/>
        <w:t>at any time of its own motion,</w:t>
      </w:r>
    </w:p>
    <w:p w:rsidR="00425758" w:rsidRDefault="00425758">
      <w:pPr>
        <w:pStyle w:val="Indenta"/>
        <w:rPr>
          <w:snapToGrid w:val="0"/>
        </w:rPr>
      </w:pPr>
      <w:r>
        <w:rPr>
          <w:snapToGrid w:val="0"/>
        </w:rPr>
        <w:tab/>
      </w:r>
      <w:r>
        <w:rPr>
          <w:snapToGrid w:val="0"/>
        </w:rPr>
        <w:tab/>
        <w:t>and may revoke or vary any direction given by it in relation to that matter.</w:t>
      </w:r>
    </w:p>
    <w:p w:rsidR="00425758" w:rsidRDefault="00425758">
      <w:pPr>
        <w:pStyle w:val="Footnotesection"/>
      </w:pPr>
      <w:r>
        <w:tab/>
        <w:t xml:space="preserve">[Rule 11 inserted: Gazette 1 Jul 1988 p. 2142; amended: Gazette 28 Jun 2011 p. 2555.] </w:t>
      </w:r>
    </w:p>
    <w:p w:rsidR="00425758" w:rsidRDefault="00425758">
      <w:pPr>
        <w:pStyle w:val="Heading2"/>
      </w:pPr>
      <w:bookmarkStart w:id="1257" w:name="_Toc75512738"/>
      <w:bookmarkStart w:id="1258" w:name="_Toc75863834"/>
      <w:r>
        <w:rPr>
          <w:rStyle w:val="CharPartNo"/>
        </w:rPr>
        <w:lastRenderedPageBreak/>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1257"/>
      <w:bookmarkEnd w:id="1258"/>
    </w:p>
    <w:p w:rsidR="00425758" w:rsidRDefault="00425758">
      <w:pPr>
        <w:pStyle w:val="Footnoteheading"/>
      </w:pPr>
      <w:r>
        <w:tab/>
        <w:t>[Heading inserted: Gazette 21 Feb 2007 p. 592.]</w:t>
      </w:r>
    </w:p>
    <w:p w:rsidR="00425758" w:rsidRDefault="00425758">
      <w:pPr>
        <w:pStyle w:val="Heading5"/>
      </w:pPr>
      <w:bookmarkStart w:id="1259" w:name="_Toc75863835"/>
      <w:r>
        <w:rPr>
          <w:rStyle w:val="CharSectno"/>
        </w:rPr>
        <w:t>1</w:t>
      </w:r>
      <w:r>
        <w:t>.</w:t>
      </w:r>
      <w:r>
        <w:tab/>
        <w:t>Terms used</w:t>
      </w:r>
      <w:bookmarkEnd w:id="1259"/>
    </w:p>
    <w:p w:rsidR="00425758" w:rsidRDefault="00425758">
      <w:pPr>
        <w:pStyle w:val="Subsection"/>
      </w:pPr>
      <w:r>
        <w:tab/>
        <w:t>(1)</w:t>
      </w:r>
      <w:r>
        <w:tab/>
        <w:t xml:space="preserve">In this Order, unless the contrary intention appears — </w:t>
      </w:r>
    </w:p>
    <w:p w:rsidR="00425758" w:rsidRDefault="00425758">
      <w:pPr>
        <w:pStyle w:val="Defstart"/>
      </w:pPr>
      <w:r>
        <w:rPr>
          <w:b/>
        </w:rPr>
        <w:tab/>
      </w:r>
      <w:r>
        <w:rPr>
          <w:rStyle w:val="CharDefText"/>
        </w:rPr>
        <w:t>Act</w:t>
      </w:r>
      <w:r>
        <w:t xml:space="preserve"> means the </w:t>
      </w:r>
      <w:r>
        <w:rPr>
          <w:i/>
        </w:rPr>
        <w:t>Proceeds of Crime Act 2002</w:t>
      </w:r>
      <w:r>
        <w:t xml:space="preserve"> of the Commonwealth;</w:t>
      </w:r>
    </w:p>
    <w:p w:rsidR="00425758" w:rsidRDefault="00425758">
      <w:pPr>
        <w:pStyle w:val="Defstart"/>
      </w:pPr>
      <w:r>
        <w:rPr>
          <w:b/>
        </w:rPr>
        <w:tab/>
      </w:r>
      <w:r>
        <w:rPr>
          <w:rStyle w:val="CharDefText"/>
        </w:rPr>
        <w:t>section</w:t>
      </w:r>
      <w:r>
        <w:t xml:space="preserve"> means a section of the Act.</w:t>
      </w:r>
    </w:p>
    <w:p w:rsidR="00425758" w:rsidRDefault="00425758">
      <w:pPr>
        <w:pStyle w:val="Subsection"/>
      </w:pPr>
      <w:r>
        <w:tab/>
        <w:t>(2)</w:t>
      </w:r>
      <w:r>
        <w:tab/>
        <w:t>If a term used in this Order is defined in the Act, it has the same meaning in this Order as it has in the Act, unless the contrary intention appears.</w:t>
      </w:r>
    </w:p>
    <w:p w:rsidR="00425758" w:rsidRDefault="00425758">
      <w:pPr>
        <w:pStyle w:val="Footnotesection"/>
      </w:pPr>
      <w:r>
        <w:tab/>
        <w:t>[Rule 1 inserted: Gazette 21 Feb 2007 p. 592.]</w:t>
      </w:r>
    </w:p>
    <w:p w:rsidR="00425758" w:rsidRDefault="00425758">
      <w:pPr>
        <w:pStyle w:val="Heading5"/>
      </w:pPr>
      <w:bookmarkStart w:id="1260" w:name="_Toc75863836"/>
      <w:r>
        <w:rPr>
          <w:rStyle w:val="CharSectno"/>
        </w:rPr>
        <w:t>2</w:t>
      </w:r>
      <w:r>
        <w:t>.</w:t>
      </w:r>
      <w:r>
        <w:tab/>
        <w:t>Applications under Act, how to be made</w:t>
      </w:r>
      <w:bookmarkEnd w:id="1260"/>
    </w:p>
    <w:p w:rsidR="00425758" w:rsidRDefault="00425758">
      <w:pPr>
        <w:pStyle w:val="Subsection"/>
      </w:pPr>
      <w:r>
        <w:tab/>
        <w:t>(1)</w:t>
      </w:r>
      <w:r>
        <w:tab/>
        <w:t>Any application that may be made under the Act must be made in accordance with this rule.</w:t>
      </w:r>
    </w:p>
    <w:p w:rsidR="00425758" w:rsidRDefault="00425758">
      <w:pPr>
        <w:pStyle w:val="Subsection"/>
      </w:pPr>
      <w:r>
        <w:tab/>
        <w:t>(2)</w:t>
      </w:r>
      <w:r>
        <w:tab/>
        <w:t>This rule is subject to and does not affect the operation of section 17, 18, 19, 20, 26, 61, 136 or 163.</w:t>
      </w:r>
    </w:p>
    <w:p w:rsidR="00425758" w:rsidRDefault="00425758">
      <w:pPr>
        <w:pStyle w:val="Subsection"/>
      </w:pPr>
      <w:r>
        <w:tab/>
        <w:t>(3)</w:t>
      </w:r>
      <w:r>
        <w:tab/>
        <w:t>An application that initiates proceedings in the Court in relation to a suspect or particular property —</w:t>
      </w:r>
    </w:p>
    <w:p w:rsidR="00425758" w:rsidRDefault="00425758">
      <w:pPr>
        <w:pStyle w:val="Indenta"/>
      </w:pPr>
      <w:r>
        <w:tab/>
        <w:t>(a)</w:t>
      </w:r>
      <w:r>
        <w:tab/>
        <w:t>must be made —</w:t>
      </w:r>
    </w:p>
    <w:p w:rsidR="00425758" w:rsidRDefault="00425758">
      <w:pPr>
        <w:pStyle w:val="Indenti"/>
      </w:pPr>
      <w:r>
        <w:tab/>
        <w:t>(i)</w:t>
      </w:r>
      <w:r>
        <w:tab/>
        <w:t>by notice of motion (Form No. 65) if no notice of the application is required to be given; or</w:t>
      </w:r>
    </w:p>
    <w:p w:rsidR="00425758" w:rsidRDefault="00425758">
      <w:pPr>
        <w:pStyle w:val="Indenti"/>
      </w:pPr>
      <w:r>
        <w:tab/>
        <w:t>(ii)</w:t>
      </w:r>
      <w:r>
        <w:tab/>
        <w:t>otherwise by originating summons (Form No. 74);</w:t>
      </w:r>
    </w:p>
    <w:p w:rsidR="00425758" w:rsidRDefault="00425758">
      <w:pPr>
        <w:pStyle w:val="Indenta"/>
      </w:pPr>
      <w:r>
        <w:tab/>
      </w:r>
      <w:r>
        <w:tab/>
        <w:t>and</w:t>
      </w:r>
    </w:p>
    <w:p w:rsidR="00425758" w:rsidRDefault="00425758">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rsidR="00425758" w:rsidRDefault="00425758">
      <w:pPr>
        <w:pStyle w:val="Indenta"/>
      </w:pPr>
      <w:r>
        <w:lastRenderedPageBreak/>
        <w:tab/>
        <w:t>(c)</w:t>
      </w:r>
      <w:r>
        <w:tab/>
        <w:t>must call the person making the application the ‘applicant’; and</w:t>
      </w:r>
    </w:p>
    <w:p w:rsidR="00425758" w:rsidRDefault="00425758">
      <w:pPr>
        <w:pStyle w:val="Indenta"/>
      </w:pPr>
      <w:r>
        <w:tab/>
        <w:t>(d)</w:t>
      </w:r>
      <w:r>
        <w:tab/>
        <w:t>must call the person against whom the proceedings are initiated the ‘respondent’.</w:t>
      </w:r>
    </w:p>
    <w:p w:rsidR="00425758" w:rsidRDefault="00425758">
      <w:pPr>
        <w:pStyle w:val="Subsection"/>
      </w:pPr>
      <w:r>
        <w:tab/>
        <w:t>(3A)</w:t>
      </w:r>
      <w:r>
        <w:tab/>
        <w:t>An application that initiates proceedings in the Court cannot be filed electronically.</w:t>
      </w:r>
    </w:p>
    <w:p w:rsidR="00425758" w:rsidRDefault="00425758">
      <w:pPr>
        <w:pStyle w:val="Subsection"/>
      </w:pPr>
      <w:r>
        <w:tab/>
        <w:t>(4)</w:t>
      </w:r>
      <w:r>
        <w:tab/>
        <w:t>An application in proceedings under the Act that have been initiated under subrule (3) —</w:t>
      </w:r>
    </w:p>
    <w:p w:rsidR="00425758" w:rsidRDefault="00425758">
      <w:pPr>
        <w:pStyle w:val="Indenta"/>
      </w:pPr>
      <w:r>
        <w:tab/>
        <w:t>(a)</w:t>
      </w:r>
      <w:r>
        <w:tab/>
        <w:t>must be made by summons (Form No. 77); and</w:t>
      </w:r>
    </w:p>
    <w:p w:rsidR="00425758" w:rsidRDefault="00425758">
      <w:pPr>
        <w:pStyle w:val="Indenta"/>
      </w:pPr>
      <w:r>
        <w:tab/>
        <w:t>(b)</w:t>
      </w:r>
      <w:r>
        <w:tab/>
        <w:t>must call the person making the application the ‘applicant’; and</w:t>
      </w:r>
    </w:p>
    <w:p w:rsidR="00425758" w:rsidRDefault="00425758">
      <w:pPr>
        <w:pStyle w:val="Indenta"/>
      </w:pPr>
      <w:r>
        <w:tab/>
        <w:t>(c)</w:t>
      </w:r>
      <w:r>
        <w:tab/>
        <w:t>must call the person entitled to respond to the application the ‘respondent’.</w:t>
      </w:r>
    </w:p>
    <w:p w:rsidR="00425758" w:rsidRDefault="00425758">
      <w:pPr>
        <w:pStyle w:val="Subsection"/>
      </w:pPr>
      <w:r>
        <w:tab/>
        <w:t>(5)</w:t>
      </w:r>
      <w:r>
        <w:tab/>
        <w:t>Unless the Court orders otherwise —</w:t>
      </w:r>
    </w:p>
    <w:p w:rsidR="00425758" w:rsidRDefault="00425758">
      <w:pPr>
        <w:pStyle w:val="Indenta"/>
      </w:pPr>
      <w:r>
        <w:tab/>
        <w:t>(a)</w:t>
      </w:r>
      <w:r>
        <w:tab/>
        <w:t>an application for an order under the Act must be accompanied by an affidavit that states the facts and circumstances on which the application is based; and</w:t>
      </w:r>
    </w:p>
    <w:p w:rsidR="00425758" w:rsidRDefault="00425758">
      <w:pPr>
        <w:pStyle w:val="Indenta"/>
      </w:pPr>
      <w:r>
        <w:tab/>
        <w:t>(b)</w:t>
      </w:r>
      <w:r>
        <w:tab/>
        <w:t>the application and the affidavit must be filed and served on the person against whom the order is sought.</w:t>
      </w:r>
    </w:p>
    <w:p w:rsidR="00425758" w:rsidRDefault="00425758">
      <w:pPr>
        <w:pStyle w:val="Subsection"/>
      </w:pPr>
      <w:r>
        <w:tab/>
        <w:t>(6)</w:t>
      </w:r>
      <w:r>
        <w:tab/>
        <w:t>Subrule (5) does not apply to —</w:t>
      </w:r>
    </w:p>
    <w:p w:rsidR="00425758" w:rsidRDefault="00425758">
      <w:pPr>
        <w:pStyle w:val="Indenta"/>
      </w:pPr>
      <w:r>
        <w:tab/>
        <w:t>(a)</w:t>
      </w:r>
      <w:r>
        <w:tab/>
        <w:t>an application under section 17, 18, 19 or 20 for a restraining order; or</w:t>
      </w:r>
    </w:p>
    <w:p w:rsidR="00425758" w:rsidRDefault="00425758">
      <w:pPr>
        <w:pStyle w:val="Indenta"/>
      </w:pPr>
      <w:r>
        <w:tab/>
        <w:t>(b)</w:t>
      </w:r>
      <w:r>
        <w:tab/>
        <w:t>an application under section 48 for a forfeiture order; or</w:t>
      </w:r>
    </w:p>
    <w:p w:rsidR="00425758" w:rsidRDefault="00425758">
      <w:pPr>
        <w:pStyle w:val="Indenta"/>
      </w:pPr>
      <w:r>
        <w:tab/>
        <w:t>(c)</w:t>
      </w:r>
      <w:r>
        <w:tab/>
        <w:t>an application under section 116 for a pecuniary penalty order; or</w:t>
      </w:r>
    </w:p>
    <w:p w:rsidR="00425758" w:rsidRDefault="00425758">
      <w:pPr>
        <w:pStyle w:val="Indenta"/>
      </w:pPr>
      <w:r>
        <w:tab/>
        <w:t>(d)</w:t>
      </w:r>
      <w:r>
        <w:tab/>
        <w:t>an application under section 152 for a literary proceeds order,</w:t>
      </w:r>
    </w:p>
    <w:p w:rsidR="00425758" w:rsidRDefault="00425758">
      <w:pPr>
        <w:pStyle w:val="Subsection"/>
      </w:pPr>
      <w:r>
        <w:tab/>
      </w:r>
      <w:r>
        <w:tab/>
        <w:t>against a person if the application is made at the time the person is convicted.</w:t>
      </w:r>
    </w:p>
    <w:p w:rsidR="00425758" w:rsidRDefault="00425758">
      <w:pPr>
        <w:pStyle w:val="Subsection"/>
      </w:pPr>
      <w:r>
        <w:tab/>
        <w:t>(7)</w:t>
      </w:r>
      <w:r>
        <w:tab/>
        <w:t xml:space="preserve">Subrule (5) does not apply to an application for an order under the Act that is filed together with the written consent to the </w:t>
      </w:r>
      <w:r>
        <w:lastRenderedPageBreak/>
        <w:t>making of the order of every person whose consent the Court needs in order to make the order by consent.</w:t>
      </w:r>
    </w:p>
    <w:p w:rsidR="00425758" w:rsidRDefault="00425758">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rsidR="00425758" w:rsidRDefault="00425758">
      <w:pPr>
        <w:pStyle w:val="Footnotesection"/>
      </w:pPr>
      <w:r>
        <w:tab/>
        <w:t>[Rule 2 inserted: Gazette 21 Feb 2007 p. 592</w:t>
      </w:r>
      <w:r>
        <w:noBreakHyphen/>
        <w:t>3; amended: Gazette 27 Feb 2018 p. 621.]</w:t>
      </w:r>
    </w:p>
    <w:p w:rsidR="00425758" w:rsidRDefault="00425758">
      <w:pPr>
        <w:pStyle w:val="Heading5"/>
        <w:spacing w:before="240"/>
      </w:pPr>
      <w:bookmarkStart w:id="1261" w:name="_Toc75863837"/>
      <w:r>
        <w:rPr>
          <w:rStyle w:val="CharSectno"/>
        </w:rPr>
        <w:t>3</w:t>
      </w:r>
      <w:r>
        <w:t>.</w:t>
      </w:r>
      <w:r>
        <w:tab/>
        <w:t>Service on DPP (Cwlth) in Perth</w:t>
      </w:r>
      <w:bookmarkEnd w:id="1261"/>
    </w:p>
    <w:p w:rsidR="00425758" w:rsidRDefault="00425758">
      <w:pPr>
        <w:pStyle w:val="Subsection"/>
        <w:spacing w:before="180"/>
      </w:pPr>
      <w:r>
        <w:tab/>
      </w:r>
      <w:r>
        <w:tab/>
        <w:t>Service of an application under the Act and any document required to accompany the application on the DPP is effected if the application and document are served on the DPP’s office in Perth.</w:t>
      </w:r>
    </w:p>
    <w:p w:rsidR="00425758" w:rsidRDefault="00425758">
      <w:pPr>
        <w:pStyle w:val="Footnotesection"/>
      </w:pPr>
      <w:r>
        <w:tab/>
        <w:t>[Rule 3 inserted: Gazette 21 Feb 2007 p. 593.]</w:t>
      </w:r>
    </w:p>
    <w:p w:rsidR="00425758" w:rsidRDefault="00425758">
      <w:pPr>
        <w:pStyle w:val="Heading5"/>
      </w:pPr>
      <w:bookmarkStart w:id="1262" w:name="_Toc75863838"/>
      <w:r>
        <w:rPr>
          <w:rStyle w:val="CharSectno"/>
        </w:rPr>
        <w:t>4</w:t>
      </w:r>
      <w:r>
        <w:t>.</w:t>
      </w:r>
      <w:r>
        <w:tab/>
        <w:t>DPP to file grounds for contesting application</w:t>
      </w:r>
      <w:bookmarkEnd w:id="1262"/>
    </w:p>
    <w:p w:rsidR="00425758" w:rsidRDefault="00425758">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rsidR="00425758" w:rsidRDefault="00425758">
      <w:pPr>
        <w:pStyle w:val="Footnotesection"/>
      </w:pPr>
      <w:r>
        <w:tab/>
        <w:t>[Rule 4 inserted: Gazette 21 Feb 2007 p. 594.]</w:t>
      </w:r>
    </w:p>
    <w:p w:rsidR="00425758" w:rsidRDefault="00425758">
      <w:pPr>
        <w:pStyle w:val="Heading5"/>
        <w:spacing w:before="240"/>
      </w:pPr>
      <w:bookmarkStart w:id="1263" w:name="_Toc75863839"/>
      <w:r>
        <w:rPr>
          <w:rStyle w:val="CharSectno"/>
        </w:rPr>
        <w:t>5</w:t>
      </w:r>
      <w:r>
        <w:t>.</w:t>
      </w:r>
      <w:r>
        <w:tab/>
        <w:t>Summons for directions</w:t>
      </w:r>
      <w:bookmarkEnd w:id="1263"/>
    </w:p>
    <w:p w:rsidR="00425758" w:rsidRDefault="00425758">
      <w:pPr>
        <w:pStyle w:val="Subsection"/>
        <w:spacing w:before="180"/>
      </w:pPr>
      <w:r>
        <w:tab/>
        <w:t>(1)</w:t>
      </w:r>
      <w:r>
        <w:tab/>
        <w:t>If an application under the Act is made by originating summons, the applicant must apply by summons to the Court for directions within 7 days after the time limited for appearance.</w:t>
      </w:r>
    </w:p>
    <w:p w:rsidR="00425758" w:rsidRDefault="00425758">
      <w:pPr>
        <w:pStyle w:val="Subsection"/>
        <w:spacing w:before="180"/>
      </w:pPr>
      <w:r>
        <w:tab/>
        <w:t>(2)</w:t>
      </w:r>
      <w:r>
        <w:tab/>
        <w:t>If the applicant does not comply with subrule (1), a respondent may apply to the Court for directions.</w:t>
      </w:r>
    </w:p>
    <w:p w:rsidR="00425758" w:rsidRDefault="00425758">
      <w:pPr>
        <w:pStyle w:val="Footnotesection"/>
      </w:pPr>
      <w:r>
        <w:tab/>
        <w:t>[Rule 5 inserted: Gazette 21 Feb 2007 p. 594.]</w:t>
      </w:r>
    </w:p>
    <w:p w:rsidR="00425758" w:rsidRDefault="00425758">
      <w:pPr>
        <w:pStyle w:val="Heading5"/>
        <w:spacing w:before="240"/>
      </w:pPr>
      <w:bookmarkStart w:id="1264" w:name="_Toc75863840"/>
      <w:r>
        <w:rPr>
          <w:rStyle w:val="CharSectno"/>
        </w:rPr>
        <w:lastRenderedPageBreak/>
        <w:t>6</w:t>
      </w:r>
      <w:r>
        <w:t>.</w:t>
      </w:r>
      <w:r>
        <w:tab/>
        <w:t>Court may give directions at any time</w:t>
      </w:r>
      <w:bookmarkEnd w:id="1264"/>
    </w:p>
    <w:p w:rsidR="00425758" w:rsidRDefault="00425758">
      <w:pPr>
        <w:pStyle w:val="Subsection"/>
      </w:pPr>
      <w:r>
        <w:tab/>
      </w:r>
      <w:r>
        <w:tab/>
        <w:t xml:space="preserve">On the hearing of a summons for directions, or on any other application, or on its own initiative at any time, the Court may — </w:t>
      </w:r>
    </w:p>
    <w:p w:rsidR="00425758" w:rsidRDefault="00425758">
      <w:pPr>
        <w:pStyle w:val="Indenta"/>
      </w:pPr>
      <w:r>
        <w:tab/>
        <w:t>(a)</w:t>
      </w:r>
      <w:r>
        <w:tab/>
        <w:t>inquire as to the persons who may be affected by the relief claimed and for the purpose of that inquiry direct any party to supply any information which the Court may require;</w:t>
      </w:r>
    </w:p>
    <w:p w:rsidR="00425758" w:rsidRDefault="00425758">
      <w:pPr>
        <w:pStyle w:val="Indenta"/>
      </w:pPr>
      <w:r>
        <w:tab/>
        <w:t>(b)</w:t>
      </w:r>
      <w:r>
        <w:tab/>
        <w:t>give directions as to the persons to be added as parties as being interested in the relief claimed or to represent classes of persons so interested;</w:t>
      </w:r>
    </w:p>
    <w:p w:rsidR="00425758" w:rsidRDefault="00425758">
      <w:pPr>
        <w:pStyle w:val="Indenta"/>
      </w:pPr>
      <w:r>
        <w:tab/>
        <w:t>(c)</w:t>
      </w:r>
      <w:r>
        <w:tab/>
        <w:t>direct that notice of the application be served on any person;</w:t>
      </w:r>
    </w:p>
    <w:p w:rsidR="00425758" w:rsidRDefault="00425758">
      <w:pPr>
        <w:pStyle w:val="Indenta"/>
      </w:pPr>
      <w:r>
        <w:tab/>
        <w:t>(d)</w:t>
      </w:r>
      <w:r>
        <w:tab/>
        <w:t>give any other directions or make any other orders as may be necessary for the just and expeditious disposal of the proceedings.</w:t>
      </w:r>
    </w:p>
    <w:p w:rsidR="00425758" w:rsidRDefault="00425758">
      <w:pPr>
        <w:pStyle w:val="Footnotesection"/>
      </w:pPr>
      <w:r>
        <w:tab/>
        <w:t>[Rule 6 inserted: Gazette 21 Feb 2007 p. 594.]</w:t>
      </w:r>
    </w:p>
    <w:p w:rsidR="00425758" w:rsidRDefault="00425758">
      <w:pPr>
        <w:pStyle w:val="Heading5"/>
        <w:spacing w:before="240"/>
      </w:pPr>
      <w:bookmarkStart w:id="1265" w:name="_Toc75863841"/>
      <w:r>
        <w:rPr>
          <w:rStyle w:val="CharSectno"/>
        </w:rPr>
        <w:t>7</w:t>
      </w:r>
      <w:r>
        <w:t>.</w:t>
      </w:r>
      <w:r>
        <w:tab/>
        <w:t>Representative respondent</w:t>
      </w:r>
      <w:bookmarkEnd w:id="1265"/>
    </w:p>
    <w:p w:rsidR="00425758" w:rsidRDefault="00425758">
      <w:pPr>
        <w:pStyle w:val="Subsection"/>
      </w:pPr>
      <w:r>
        <w:tab/>
      </w:r>
      <w:r>
        <w:tab/>
        <w:t>If a person is added as a respondent and other persons have the same or a similar interest as that respondent, the Court may order that —</w:t>
      </w:r>
    </w:p>
    <w:p w:rsidR="00425758" w:rsidRDefault="00425758">
      <w:pPr>
        <w:pStyle w:val="Indenta"/>
      </w:pPr>
      <w:r>
        <w:tab/>
        <w:t>(a)</w:t>
      </w:r>
      <w:r>
        <w:tab/>
        <w:t>that respondent be authorised to defend the proceedings on behalf of or for the benefit of all persons so interested; and</w:t>
      </w:r>
    </w:p>
    <w:p w:rsidR="00425758" w:rsidRDefault="00425758">
      <w:pPr>
        <w:pStyle w:val="Indenta"/>
      </w:pPr>
      <w:r>
        <w:tab/>
        <w:t>(b)</w:t>
      </w:r>
      <w:r>
        <w:tab/>
        <w:t>all persons so interested shall be bound by any order made in the proceedings.</w:t>
      </w:r>
    </w:p>
    <w:p w:rsidR="00425758" w:rsidRDefault="00425758">
      <w:pPr>
        <w:pStyle w:val="Footnotesection"/>
      </w:pPr>
      <w:r>
        <w:rPr>
          <w:i w:val="0"/>
        </w:rPr>
        <w:tab/>
      </w:r>
      <w:r>
        <w:t>[Rule 7 inserted as rule 6: Gazette 21 Feb 2007 p. 594; renumbered as rule 7: Gazette 22 Feb 2008 p. 644.]</w:t>
      </w:r>
    </w:p>
    <w:p w:rsidR="00425758" w:rsidRDefault="00425758">
      <w:pPr>
        <w:pStyle w:val="Heading5"/>
      </w:pPr>
      <w:bookmarkStart w:id="1266" w:name="_Toc75863842"/>
      <w:r>
        <w:rPr>
          <w:rStyle w:val="CharSectno"/>
        </w:rPr>
        <w:lastRenderedPageBreak/>
        <w:t>8</w:t>
      </w:r>
      <w:r>
        <w:t>.</w:t>
      </w:r>
      <w:r>
        <w:tab/>
        <w:t>Evidence on applications</w:t>
      </w:r>
      <w:bookmarkEnd w:id="1266"/>
    </w:p>
    <w:p w:rsidR="00425758" w:rsidRDefault="00425758">
      <w:pPr>
        <w:pStyle w:val="Subsection"/>
        <w:keepNext/>
        <w:keepLines/>
      </w:pPr>
      <w:r>
        <w:tab/>
      </w:r>
      <w:r>
        <w:tab/>
        <w:t>Evidence in support of or opposing an application for an order under the Act is to be by affidavit unless the Court orders otherwise.</w:t>
      </w:r>
    </w:p>
    <w:p w:rsidR="00425758" w:rsidRDefault="00425758">
      <w:pPr>
        <w:pStyle w:val="Footnotesection"/>
      </w:pPr>
      <w:r>
        <w:rPr>
          <w:rStyle w:val="Emphasis"/>
        </w:rPr>
        <w:tab/>
      </w:r>
      <w:r>
        <w:t>[Rule 8 inserted as rule 7: Gazette 21 Feb 2007 p. 594; renumbered as rule 8: Gazette 22 Feb 2008 p. 644.]</w:t>
      </w:r>
    </w:p>
    <w:p w:rsidR="00425758" w:rsidRDefault="00425758">
      <w:pPr>
        <w:pStyle w:val="Heading5"/>
      </w:pPr>
      <w:bookmarkStart w:id="1267" w:name="_Toc75863843"/>
      <w:r>
        <w:rPr>
          <w:rStyle w:val="CharSectno"/>
        </w:rPr>
        <w:t>9</w:t>
      </w:r>
      <w:r>
        <w:t>.</w:t>
      </w:r>
      <w:r>
        <w:tab/>
        <w:t>Court may order separate hearing</w:t>
      </w:r>
      <w:bookmarkEnd w:id="1267"/>
    </w:p>
    <w:p w:rsidR="00425758" w:rsidRDefault="00425758">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rsidR="00425758" w:rsidRDefault="00425758">
      <w:pPr>
        <w:pStyle w:val="Footnotesection"/>
      </w:pPr>
      <w:r>
        <w:rPr>
          <w:rStyle w:val="Emphasis"/>
        </w:rPr>
        <w:tab/>
      </w:r>
      <w:r>
        <w:t>[Rule 9 inserted as rule 8: Gazette 21 Feb 2007 p. 595; renumbered as rule 9: Gazette 22 Feb 2008 p. 644.]</w:t>
      </w:r>
    </w:p>
    <w:p w:rsidR="00425758" w:rsidRDefault="00425758">
      <w:pPr>
        <w:pStyle w:val="Heading2"/>
      </w:pPr>
      <w:bookmarkStart w:id="1268" w:name="_Toc75512748"/>
      <w:bookmarkStart w:id="1269" w:name="_Toc75863844"/>
      <w:r>
        <w:rPr>
          <w:rStyle w:val="CharPartNo"/>
        </w:rPr>
        <w:lastRenderedPageBreak/>
        <w:t>Order 81FA</w:t>
      </w:r>
      <w:r>
        <w:rPr>
          <w:b w:val="0"/>
        </w:rPr>
        <w:t> </w:t>
      </w:r>
      <w:r>
        <w:t>—</w:t>
      </w:r>
      <w:r>
        <w:rPr>
          <w:b w:val="0"/>
        </w:rPr>
        <w:t> </w:t>
      </w:r>
      <w:r>
        <w:rPr>
          <w:rStyle w:val="CharPartText"/>
          <w:i/>
          <w:iCs/>
        </w:rPr>
        <w:t>Criminal Property Confiscation Act 2000</w:t>
      </w:r>
      <w:r>
        <w:rPr>
          <w:rStyle w:val="CharPartText"/>
        </w:rPr>
        <w:t xml:space="preserve"> rules</w:t>
      </w:r>
      <w:bookmarkEnd w:id="1268"/>
      <w:bookmarkEnd w:id="1269"/>
    </w:p>
    <w:p w:rsidR="00425758" w:rsidRDefault="00425758">
      <w:pPr>
        <w:pStyle w:val="Footnoteheading"/>
        <w:ind w:left="890"/>
        <w:rPr>
          <w:snapToGrid w:val="0"/>
        </w:rPr>
      </w:pPr>
      <w:r>
        <w:rPr>
          <w:snapToGrid w:val="0"/>
        </w:rPr>
        <w:tab/>
        <w:t>[Heading inserted: Gazette 22 Feb 2008 p. 644.]</w:t>
      </w:r>
    </w:p>
    <w:p w:rsidR="00425758" w:rsidRDefault="00425758">
      <w:pPr>
        <w:pStyle w:val="Heading3"/>
        <w:rPr>
          <w:b w:val="0"/>
        </w:rPr>
      </w:pPr>
      <w:bookmarkStart w:id="1270" w:name="_Toc75512749"/>
      <w:bookmarkStart w:id="1271" w:name="_Toc75863845"/>
      <w:r>
        <w:rPr>
          <w:rStyle w:val="CharDivNo"/>
        </w:rPr>
        <w:t>Part 1</w:t>
      </w:r>
      <w:r>
        <w:t> —</w:t>
      </w:r>
      <w:r>
        <w:rPr>
          <w:b w:val="0"/>
        </w:rPr>
        <w:t> </w:t>
      </w:r>
      <w:r>
        <w:rPr>
          <w:rStyle w:val="CharDivText"/>
        </w:rPr>
        <w:t>Preliminary</w:t>
      </w:r>
      <w:bookmarkEnd w:id="1270"/>
      <w:bookmarkEnd w:id="1271"/>
    </w:p>
    <w:p w:rsidR="00425758" w:rsidRDefault="00425758">
      <w:pPr>
        <w:pStyle w:val="Footnoteheading"/>
        <w:ind w:left="890"/>
        <w:rPr>
          <w:snapToGrid w:val="0"/>
        </w:rPr>
      </w:pPr>
      <w:r>
        <w:rPr>
          <w:snapToGrid w:val="0"/>
        </w:rPr>
        <w:tab/>
        <w:t>[Heading inserted: Gazette 27 Sep 2002 p. 4830.]</w:t>
      </w:r>
    </w:p>
    <w:p w:rsidR="00425758" w:rsidRDefault="00425758">
      <w:pPr>
        <w:pStyle w:val="Heading5"/>
      </w:pPr>
      <w:bookmarkStart w:id="1272" w:name="_Toc75863846"/>
      <w:r>
        <w:rPr>
          <w:rStyle w:val="CharSectno"/>
        </w:rPr>
        <w:t>1</w:t>
      </w:r>
      <w:r>
        <w:t>.</w:t>
      </w:r>
      <w:r>
        <w:tab/>
        <w:t>Terms used</w:t>
      </w:r>
      <w:bookmarkEnd w:id="1272"/>
    </w:p>
    <w:p w:rsidR="00425758" w:rsidRDefault="00425758">
      <w:pPr>
        <w:pStyle w:val="Subsection"/>
      </w:pPr>
      <w:r>
        <w:tab/>
      </w:r>
      <w:r>
        <w:tab/>
        <w:t>In this Order, unless the contrary intention appears —</w:t>
      </w:r>
    </w:p>
    <w:p w:rsidR="00425758" w:rsidRDefault="00425758">
      <w:pPr>
        <w:pStyle w:val="Defstart"/>
      </w:pPr>
      <w:r>
        <w:tab/>
      </w:r>
      <w:r>
        <w:rPr>
          <w:rStyle w:val="CharDefText"/>
        </w:rPr>
        <w:t>CCC</w:t>
      </w:r>
      <w:r>
        <w:t xml:space="preserve"> means the Corruption and Crime Commission established under the </w:t>
      </w:r>
      <w:r>
        <w:rPr>
          <w:i/>
        </w:rPr>
        <w:t>Corruption, Crime and Misconduct Act 2003</w:t>
      </w:r>
      <w:r>
        <w:t xml:space="preserve"> section 8(1);</w:t>
      </w:r>
    </w:p>
    <w:p w:rsidR="00425758" w:rsidRDefault="00425758">
      <w:pPr>
        <w:pStyle w:val="Defstart"/>
      </w:pPr>
      <w:r>
        <w:rPr>
          <w:b/>
        </w:rPr>
        <w:tab/>
      </w:r>
      <w:r>
        <w:rPr>
          <w:rStyle w:val="CharDefText"/>
        </w:rPr>
        <w:t>confiscable property declaration</w:t>
      </w:r>
      <w:r>
        <w:t xml:space="preserve"> means a declaration under section 28 of the Confiscation Act 2000;</w:t>
      </w:r>
    </w:p>
    <w:p w:rsidR="00425758" w:rsidRDefault="00425758">
      <w:pPr>
        <w:pStyle w:val="Defstart"/>
      </w:pPr>
      <w:r>
        <w:rPr>
          <w:b/>
        </w:rPr>
        <w:tab/>
      </w:r>
      <w:r>
        <w:rPr>
          <w:rStyle w:val="CharDefText"/>
        </w:rPr>
        <w:t>Confiscation Act 2000</w:t>
      </w:r>
      <w:r>
        <w:t xml:space="preserve"> means the </w:t>
      </w:r>
      <w:r>
        <w:rPr>
          <w:i/>
          <w:iCs/>
        </w:rPr>
        <w:t>Criminal Property Confiscation Act 2000</w:t>
      </w:r>
      <w:r>
        <w:t>;</w:t>
      </w:r>
    </w:p>
    <w:p w:rsidR="00425758" w:rsidRDefault="00425758">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rsidR="00425758" w:rsidRDefault="00425758">
      <w:pPr>
        <w:pStyle w:val="Defstart"/>
      </w:pPr>
      <w:r>
        <w:rPr>
          <w:b/>
        </w:rPr>
        <w:tab/>
      </w:r>
      <w:r>
        <w:rPr>
          <w:rStyle w:val="CharDefText"/>
        </w:rPr>
        <w:t>criminal benefits declaration</w:t>
      </w:r>
      <w:r>
        <w:t xml:space="preserve"> means a declaration under section 16 or 17 of the Confiscation Act 2000;</w:t>
      </w:r>
    </w:p>
    <w:p w:rsidR="00425758" w:rsidRDefault="00425758">
      <w:pPr>
        <w:pStyle w:val="Defstart"/>
      </w:pPr>
      <w:r>
        <w:rPr>
          <w:b/>
        </w:rPr>
        <w:tab/>
      </w:r>
      <w:r>
        <w:rPr>
          <w:rStyle w:val="CharDefText"/>
        </w:rPr>
        <w:t>examination order</w:t>
      </w:r>
      <w:r>
        <w:t xml:space="preserve"> means an order made by the court under section 58(1) of the Confiscation Act 2000;</w:t>
      </w:r>
    </w:p>
    <w:p w:rsidR="00425758" w:rsidRDefault="00425758">
      <w:pPr>
        <w:pStyle w:val="Defstart"/>
      </w:pPr>
      <w:r>
        <w:rPr>
          <w:b/>
        </w:rPr>
        <w:tab/>
      </w:r>
      <w:r>
        <w:rPr>
          <w:rStyle w:val="CharDefText"/>
        </w:rPr>
        <w:t>freezing notice</w:t>
      </w:r>
      <w:r>
        <w:t xml:space="preserve"> means a freezing notice issued under section 34 of the Confiscation Act 2000;</w:t>
      </w:r>
    </w:p>
    <w:p w:rsidR="00425758" w:rsidRDefault="00425758">
      <w:pPr>
        <w:pStyle w:val="Defstart"/>
      </w:pPr>
      <w:r>
        <w:rPr>
          <w:b/>
        </w:rPr>
        <w:tab/>
      </w:r>
      <w:r>
        <w:rPr>
          <w:rStyle w:val="CharDefText"/>
        </w:rPr>
        <w:t>freezing order</w:t>
      </w:r>
      <w:r>
        <w:t xml:space="preserve"> means an order under section 43 of the Confiscation Act 2000;</w:t>
      </w:r>
    </w:p>
    <w:p w:rsidR="00425758" w:rsidRDefault="00425758">
      <w:pPr>
        <w:pStyle w:val="Defstart"/>
      </w:pPr>
      <w:r>
        <w:rPr>
          <w:b/>
        </w:rPr>
        <w:tab/>
      </w:r>
      <w:r>
        <w:rPr>
          <w:rStyle w:val="CharDefText"/>
        </w:rPr>
        <w:t>interstate confiscation declaration</w:t>
      </w:r>
      <w:r>
        <w:t xml:space="preserve"> has the same meaning as in the Confiscation Act 2000;</w:t>
      </w:r>
    </w:p>
    <w:p w:rsidR="00425758" w:rsidRDefault="00425758">
      <w:pPr>
        <w:pStyle w:val="Defstart"/>
      </w:pPr>
      <w:r>
        <w:rPr>
          <w:b/>
        </w:rPr>
        <w:tab/>
      </w:r>
      <w:r>
        <w:rPr>
          <w:rStyle w:val="CharDefText"/>
        </w:rPr>
        <w:t>interstate freezing order</w:t>
      </w:r>
      <w:r>
        <w:t xml:space="preserve"> has the same meaning as in the Confiscation Act 2000;</w:t>
      </w:r>
    </w:p>
    <w:p w:rsidR="00425758" w:rsidRDefault="00425758">
      <w:pPr>
        <w:pStyle w:val="Defstart"/>
        <w:keepNext/>
      </w:pPr>
      <w:r>
        <w:rPr>
          <w:b/>
        </w:rPr>
        <w:lastRenderedPageBreak/>
        <w:tab/>
      </w:r>
      <w:r>
        <w:rPr>
          <w:rStyle w:val="CharDefText"/>
        </w:rPr>
        <w:t>monitoring order</w:t>
      </w:r>
      <w:r>
        <w:t xml:space="preserve"> means an order under section 68(1) of the Confiscation Act 2000;</w:t>
      </w:r>
    </w:p>
    <w:p w:rsidR="00425758" w:rsidRDefault="00425758">
      <w:pPr>
        <w:pStyle w:val="Defstart"/>
      </w:pPr>
      <w:r>
        <w:rPr>
          <w:b/>
        </w:rPr>
        <w:tab/>
      </w:r>
      <w:r>
        <w:rPr>
          <w:rStyle w:val="CharDefText"/>
        </w:rPr>
        <w:t>objection</w:t>
      </w:r>
      <w:r>
        <w:t xml:space="preserve"> means an objection under section 79 of the Confiscation Act 2000 to the confiscation of property;</w:t>
      </w:r>
    </w:p>
    <w:p w:rsidR="00425758" w:rsidRDefault="00425758">
      <w:pPr>
        <w:pStyle w:val="Defstart"/>
      </w:pPr>
      <w:r>
        <w:rPr>
          <w:b/>
        </w:rPr>
        <w:tab/>
      </w:r>
      <w:r>
        <w:rPr>
          <w:rStyle w:val="CharDefText"/>
        </w:rPr>
        <w:t>production order</w:t>
      </w:r>
      <w:r>
        <w:t xml:space="preserve"> means an order under section 63 of the Confiscation Act 2000;</w:t>
      </w:r>
    </w:p>
    <w:p w:rsidR="00425758" w:rsidRDefault="00425758">
      <w:pPr>
        <w:pStyle w:val="Defstart"/>
      </w:pPr>
      <w:r>
        <w:rPr>
          <w:b/>
        </w:rPr>
        <w:tab/>
      </w:r>
      <w:r>
        <w:rPr>
          <w:rStyle w:val="CharDefText"/>
        </w:rPr>
        <w:t>sham transaction order</w:t>
      </w:r>
      <w:r>
        <w:t xml:space="preserve"> means an order under section 135(2) of the Confiscation Act 2000;</w:t>
      </w:r>
    </w:p>
    <w:p w:rsidR="00425758" w:rsidRDefault="00425758">
      <w:pPr>
        <w:pStyle w:val="Defstart"/>
      </w:pPr>
      <w:r>
        <w:rPr>
          <w:b/>
        </w:rPr>
        <w:tab/>
      </w:r>
      <w:r>
        <w:rPr>
          <w:rStyle w:val="CharDefText"/>
        </w:rPr>
        <w:t>suspension order</w:t>
      </w:r>
      <w:r>
        <w:t xml:space="preserve"> means an order under section 68(2) of the Confiscation Act 2000;</w:t>
      </w:r>
    </w:p>
    <w:p w:rsidR="00425758" w:rsidRDefault="00425758">
      <w:pPr>
        <w:pStyle w:val="Defstart"/>
      </w:pPr>
      <w:r>
        <w:rPr>
          <w:b/>
        </w:rPr>
        <w:tab/>
      </w:r>
      <w:r>
        <w:rPr>
          <w:rStyle w:val="CharDefText"/>
        </w:rPr>
        <w:t>unexplained wealth declaration</w:t>
      </w:r>
      <w:r>
        <w:t xml:space="preserve"> means a declaration under section 12 of the Confiscation Act 2000.</w:t>
      </w:r>
    </w:p>
    <w:p w:rsidR="00425758" w:rsidRDefault="00425758">
      <w:pPr>
        <w:pStyle w:val="Footnotesection"/>
      </w:pPr>
      <w:r>
        <w:tab/>
        <w:t>[Rule 1 inserted: Gazette 27 Sep 2002 p. 4830</w:t>
      </w:r>
      <w:r>
        <w:noBreakHyphen/>
        <w:t>1; amended: Gazette 28 Aug 2018 p. 2992.]</w:t>
      </w:r>
    </w:p>
    <w:p w:rsidR="00425758" w:rsidRDefault="00425758">
      <w:pPr>
        <w:pStyle w:val="Heading3"/>
      </w:pPr>
      <w:bookmarkStart w:id="1273" w:name="_Toc75512751"/>
      <w:bookmarkStart w:id="1274" w:name="_Toc75863847"/>
      <w:r>
        <w:rPr>
          <w:rStyle w:val="CharDivNo"/>
        </w:rPr>
        <w:t>Part 2</w:t>
      </w:r>
      <w:r>
        <w:t> — </w:t>
      </w:r>
      <w:r>
        <w:rPr>
          <w:rStyle w:val="CharDivText"/>
        </w:rPr>
        <w:t>Proceedings under the Confiscation Act 2000</w:t>
      </w:r>
      <w:bookmarkEnd w:id="1273"/>
      <w:bookmarkEnd w:id="1274"/>
    </w:p>
    <w:p w:rsidR="00425758" w:rsidRDefault="00425758">
      <w:pPr>
        <w:pStyle w:val="Footnoteheading"/>
        <w:ind w:left="890"/>
        <w:rPr>
          <w:snapToGrid w:val="0"/>
        </w:rPr>
      </w:pPr>
      <w:r>
        <w:rPr>
          <w:snapToGrid w:val="0"/>
        </w:rPr>
        <w:tab/>
        <w:t>[Heading inserted: Gazette 27 Sep 2002 p. 4831.]</w:t>
      </w:r>
    </w:p>
    <w:p w:rsidR="00425758" w:rsidRDefault="00425758">
      <w:pPr>
        <w:pStyle w:val="Heading5"/>
      </w:pPr>
      <w:bookmarkStart w:id="1275" w:name="_Toc75863848"/>
      <w:r>
        <w:rPr>
          <w:rStyle w:val="CharSectno"/>
        </w:rPr>
        <w:t>2</w:t>
      </w:r>
      <w:r>
        <w:t>.</w:t>
      </w:r>
      <w:r>
        <w:tab/>
        <w:t>Declarations under Act s. 30, applications for</w:t>
      </w:r>
      <w:bookmarkEnd w:id="1275"/>
    </w:p>
    <w:p w:rsidR="00425758" w:rsidRDefault="00425758">
      <w:pPr>
        <w:pStyle w:val="Subsection"/>
      </w:pPr>
      <w:r>
        <w:tab/>
        <w:t>(1)</w:t>
      </w:r>
      <w:r>
        <w:tab/>
        <w:t xml:space="preserve">An application by the DPP or the CCC under section 30(1) of the Confiscation Act 2000 for a declaration that property has been confiscated may be made </w:t>
      </w:r>
      <w:r>
        <w:rPr>
          <w:i/>
        </w:rPr>
        <w:t>ex parte</w:t>
      </w:r>
      <w:r>
        <w:t>.</w:t>
      </w:r>
    </w:p>
    <w:p w:rsidR="00425758" w:rsidRDefault="00425758">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rsidR="00425758" w:rsidRDefault="00425758">
      <w:pPr>
        <w:pStyle w:val="Subsection"/>
      </w:pPr>
      <w:r>
        <w:tab/>
        <w:t>(3)</w:t>
      </w:r>
      <w:r>
        <w:tab/>
        <w:t>If no proceedings were on foot as mentioned in subrule (2), an application is made by originating motion of Form 64.</w:t>
      </w:r>
    </w:p>
    <w:p w:rsidR="00425758" w:rsidRDefault="00425758">
      <w:pPr>
        <w:pStyle w:val="Subsection"/>
        <w:keepNext/>
      </w:pPr>
      <w:r>
        <w:lastRenderedPageBreak/>
        <w:tab/>
        <w:t>(4)</w:t>
      </w:r>
      <w:r>
        <w:tab/>
        <w:t>On hearing an application, the court may give any directions it thinks fit, whether or not it finds that the property has been confiscated.</w:t>
      </w:r>
    </w:p>
    <w:p w:rsidR="00425758" w:rsidRDefault="00425758">
      <w:pPr>
        <w:pStyle w:val="Footnotesection"/>
      </w:pPr>
      <w:r>
        <w:tab/>
        <w:t>[Rule 2 inserted: Gazette 27 Sep 2002 p. 4831; amended: Gazette 28 Aug 2018 p. 2992.]</w:t>
      </w:r>
    </w:p>
    <w:p w:rsidR="00425758" w:rsidRDefault="00425758">
      <w:pPr>
        <w:pStyle w:val="Heading5"/>
      </w:pPr>
      <w:bookmarkStart w:id="1276" w:name="_Toc75863849"/>
      <w:r>
        <w:rPr>
          <w:rStyle w:val="CharSectno"/>
        </w:rPr>
        <w:t>3</w:t>
      </w:r>
      <w:r>
        <w:t>.</w:t>
      </w:r>
      <w:r>
        <w:tab/>
        <w:t>Other declarations or orders, applications for</w:t>
      </w:r>
      <w:bookmarkEnd w:id="1276"/>
    </w:p>
    <w:p w:rsidR="00425758" w:rsidRDefault="00425758">
      <w:pPr>
        <w:pStyle w:val="Subsection"/>
      </w:pPr>
      <w:r>
        <w:tab/>
        <w:t>(1)</w:t>
      </w:r>
      <w:r>
        <w:tab/>
        <w:t xml:space="preserve">Subject to subrules (2) and (3), an application under the Confiscation Act 2000 for any of the following declarations or orders is made by filing an originating summons in Form 75 — </w:t>
      </w:r>
    </w:p>
    <w:p w:rsidR="00425758" w:rsidRDefault="00425758">
      <w:pPr>
        <w:pStyle w:val="Indenta"/>
      </w:pPr>
      <w:r>
        <w:tab/>
        <w:t>(a)</w:t>
      </w:r>
      <w:r>
        <w:tab/>
        <w:t>an unexplained wealth declaration;</w:t>
      </w:r>
    </w:p>
    <w:p w:rsidR="00425758" w:rsidRDefault="00425758">
      <w:pPr>
        <w:pStyle w:val="Indenta"/>
      </w:pPr>
      <w:r>
        <w:tab/>
        <w:t>(b)</w:t>
      </w:r>
      <w:r>
        <w:tab/>
        <w:t>a criminal benefits declaration;</w:t>
      </w:r>
    </w:p>
    <w:p w:rsidR="00425758" w:rsidRDefault="00425758">
      <w:pPr>
        <w:pStyle w:val="Indenta"/>
      </w:pPr>
      <w:r>
        <w:tab/>
        <w:t>(c)</w:t>
      </w:r>
      <w:r>
        <w:tab/>
        <w:t>a crime</w:t>
      </w:r>
      <w:r>
        <w:noBreakHyphen/>
        <w:t>used property substitution declaration;</w:t>
      </w:r>
    </w:p>
    <w:p w:rsidR="00425758" w:rsidRDefault="00425758">
      <w:pPr>
        <w:pStyle w:val="Indenta"/>
      </w:pPr>
      <w:r>
        <w:tab/>
        <w:t>(d)</w:t>
      </w:r>
      <w:r>
        <w:tab/>
        <w:t>a confiscable property declaration;</w:t>
      </w:r>
    </w:p>
    <w:p w:rsidR="00425758" w:rsidRDefault="00425758">
      <w:pPr>
        <w:pStyle w:val="Indenta"/>
      </w:pPr>
      <w:r>
        <w:tab/>
        <w:t>(e)</w:t>
      </w:r>
      <w:r>
        <w:tab/>
        <w:t xml:space="preserve">a freezing order, except an </w:t>
      </w:r>
      <w:r>
        <w:rPr>
          <w:i/>
        </w:rPr>
        <w:t>ex parte</w:t>
      </w:r>
      <w:r>
        <w:t xml:space="preserve"> application;</w:t>
      </w:r>
    </w:p>
    <w:p w:rsidR="00425758" w:rsidRDefault="00425758">
      <w:pPr>
        <w:pStyle w:val="Indenta"/>
      </w:pPr>
      <w:r>
        <w:tab/>
        <w:t>(f)</w:t>
      </w:r>
      <w:r>
        <w:tab/>
        <w:t>a sham transaction order;</w:t>
      </w:r>
    </w:p>
    <w:p w:rsidR="00425758" w:rsidRDefault="00425758">
      <w:pPr>
        <w:pStyle w:val="Indenta"/>
      </w:pPr>
      <w:r>
        <w:tab/>
        <w:t>(g)</w:t>
      </w:r>
      <w:r>
        <w:tab/>
        <w:t>an examination order;</w:t>
      </w:r>
    </w:p>
    <w:p w:rsidR="00425758" w:rsidRDefault="00425758">
      <w:pPr>
        <w:pStyle w:val="Indenta"/>
      </w:pPr>
      <w:r>
        <w:tab/>
        <w:t>(h)</w:t>
      </w:r>
      <w:r>
        <w:tab/>
        <w:t>a production order;</w:t>
      </w:r>
    </w:p>
    <w:p w:rsidR="00425758" w:rsidRDefault="00425758">
      <w:pPr>
        <w:pStyle w:val="Indenta"/>
      </w:pPr>
      <w:r>
        <w:tab/>
        <w:t>(i)</w:t>
      </w:r>
      <w:r>
        <w:tab/>
        <w:t>a monitoring order;</w:t>
      </w:r>
    </w:p>
    <w:p w:rsidR="00425758" w:rsidRDefault="00425758">
      <w:pPr>
        <w:pStyle w:val="Indenta"/>
      </w:pPr>
      <w:r>
        <w:tab/>
        <w:t>(j)</w:t>
      </w:r>
      <w:r>
        <w:tab/>
        <w:t>a suspension order;</w:t>
      </w:r>
    </w:p>
    <w:p w:rsidR="00425758" w:rsidRDefault="00425758">
      <w:pPr>
        <w:pStyle w:val="Indenta"/>
      </w:pPr>
      <w:r>
        <w:tab/>
        <w:t>(k)</w:t>
      </w:r>
      <w:r>
        <w:tab/>
        <w:t>an order under section 85, 91, 93 or 94 of the Confiscation Act 2000.</w:t>
      </w:r>
    </w:p>
    <w:p w:rsidR="00425758" w:rsidRDefault="00425758">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rsidR="00425758" w:rsidRDefault="00425758">
      <w:pPr>
        <w:pStyle w:val="Indenta"/>
      </w:pPr>
      <w:r>
        <w:tab/>
        <w:t>(a)</w:t>
      </w:r>
      <w:r>
        <w:tab/>
        <w:t>an unexplained wealth declaration;</w:t>
      </w:r>
    </w:p>
    <w:p w:rsidR="00425758" w:rsidRDefault="00425758">
      <w:pPr>
        <w:pStyle w:val="Indenta"/>
      </w:pPr>
      <w:r>
        <w:tab/>
        <w:t>(b)</w:t>
      </w:r>
      <w:r>
        <w:tab/>
        <w:t>a criminal benefits declaration;</w:t>
      </w:r>
    </w:p>
    <w:p w:rsidR="00425758" w:rsidRDefault="00425758">
      <w:pPr>
        <w:pStyle w:val="Indenta"/>
      </w:pPr>
      <w:r>
        <w:tab/>
        <w:t>(c)</w:t>
      </w:r>
      <w:r>
        <w:tab/>
        <w:t>a crime</w:t>
      </w:r>
      <w:r>
        <w:noBreakHyphen/>
        <w:t>used property substitution declaration;</w:t>
      </w:r>
    </w:p>
    <w:p w:rsidR="00425758" w:rsidRDefault="00425758">
      <w:pPr>
        <w:pStyle w:val="Indenta"/>
      </w:pPr>
      <w:r>
        <w:tab/>
        <w:t>(d)</w:t>
      </w:r>
      <w:r>
        <w:tab/>
        <w:t>a confiscable property declaration;</w:t>
      </w:r>
    </w:p>
    <w:p w:rsidR="00425758" w:rsidRDefault="00425758">
      <w:pPr>
        <w:pStyle w:val="Indenta"/>
        <w:keepNext/>
      </w:pPr>
      <w:r>
        <w:lastRenderedPageBreak/>
        <w:tab/>
        <w:t>(e)</w:t>
      </w:r>
      <w:r>
        <w:tab/>
        <w:t>an examination order;</w:t>
      </w:r>
    </w:p>
    <w:p w:rsidR="00425758" w:rsidRDefault="00425758">
      <w:pPr>
        <w:pStyle w:val="Indenta"/>
      </w:pPr>
      <w:r>
        <w:tab/>
        <w:t>(f)</w:t>
      </w:r>
      <w:r>
        <w:tab/>
        <w:t>a production order;</w:t>
      </w:r>
    </w:p>
    <w:p w:rsidR="00425758" w:rsidRDefault="00425758">
      <w:pPr>
        <w:pStyle w:val="Indenta"/>
      </w:pPr>
      <w:r>
        <w:tab/>
        <w:t>(g)</w:t>
      </w:r>
      <w:r>
        <w:tab/>
        <w:t>an order under section 85, 91, 93 or 94 of the Confiscation Act 2000.</w:t>
      </w:r>
    </w:p>
    <w:p w:rsidR="00425758" w:rsidRDefault="00425758">
      <w:pPr>
        <w:pStyle w:val="Subsection"/>
        <w:keepNext/>
      </w:pPr>
      <w:r>
        <w:tab/>
        <w:t>(3)</w:t>
      </w:r>
      <w:r>
        <w:tab/>
        <w:t xml:space="preserve">An </w:t>
      </w:r>
      <w:r>
        <w:rPr>
          <w:i/>
        </w:rPr>
        <w:t>ex parte</w:t>
      </w:r>
      <w:r>
        <w:t xml:space="preserve"> application for any of the following orders is made by originating motion in Form 64 — </w:t>
      </w:r>
    </w:p>
    <w:p w:rsidR="00425758" w:rsidRDefault="00425758">
      <w:pPr>
        <w:pStyle w:val="Indenta"/>
      </w:pPr>
      <w:r>
        <w:tab/>
        <w:t>(a)</w:t>
      </w:r>
      <w:r>
        <w:tab/>
        <w:t>a freezing order;</w:t>
      </w:r>
    </w:p>
    <w:p w:rsidR="00425758" w:rsidRDefault="00425758">
      <w:pPr>
        <w:pStyle w:val="Indenta"/>
      </w:pPr>
      <w:r>
        <w:tab/>
        <w:t>(b)</w:t>
      </w:r>
      <w:r>
        <w:tab/>
        <w:t>an examination order;</w:t>
      </w:r>
    </w:p>
    <w:p w:rsidR="00425758" w:rsidRDefault="00425758">
      <w:pPr>
        <w:pStyle w:val="Indenta"/>
      </w:pPr>
      <w:r>
        <w:tab/>
        <w:t>(c)</w:t>
      </w:r>
      <w:r>
        <w:tab/>
        <w:t>a production order;</w:t>
      </w:r>
    </w:p>
    <w:p w:rsidR="00425758" w:rsidRDefault="00425758">
      <w:pPr>
        <w:pStyle w:val="Indenta"/>
      </w:pPr>
      <w:r>
        <w:tab/>
        <w:t>(d)</w:t>
      </w:r>
      <w:r>
        <w:tab/>
        <w:t>a monitoring order;</w:t>
      </w:r>
    </w:p>
    <w:p w:rsidR="00425758" w:rsidRDefault="00425758">
      <w:pPr>
        <w:pStyle w:val="Indenta"/>
      </w:pPr>
      <w:r>
        <w:tab/>
        <w:t>(e)</w:t>
      </w:r>
      <w:r>
        <w:tab/>
        <w:t>a suspension order.</w:t>
      </w:r>
    </w:p>
    <w:p w:rsidR="00425758" w:rsidRDefault="00425758">
      <w:pPr>
        <w:pStyle w:val="Footnotesection"/>
        <w:spacing w:before="80"/>
        <w:ind w:left="890" w:hanging="890"/>
      </w:pPr>
      <w:r>
        <w:tab/>
        <w:t>[Rule 3 inserted: Gazette 27 Sep 2002 p. 4831</w:t>
      </w:r>
      <w:r>
        <w:noBreakHyphen/>
        <w:t>2; amended: Gazette 10 Aug 2004 p. 3185.]</w:t>
      </w:r>
    </w:p>
    <w:p w:rsidR="00425758" w:rsidRDefault="00425758">
      <w:pPr>
        <w:pStyle w:val="Heading5"/>
      </w:pPr>
      <w:bookmarkStart w:id="1277" w:name="_Toc75863850"/>
      <w:r>
        <w:rPr>
          <w:rStyle w:val="CharSectno"/>
        </w:rPr>
        <w:t>4</w:t>
      </w:r>
      <w:r>
        <w:t>.</w:t>
      </w:r>
      <w:r>
        <w:tab/>
        <w:t>Affidavit in support required for some applications</w:t>
      </w:r>
      <w:bookmarkEnd w:id="1277"/>
    </w:p>
    <w:p w:rsidR="00425758" w:rsidRDefault="00425758">
      <w:pPr>
        <w:pStyle w:val="Subsection"/>
      </w:pPr>
      <w:r>
        <w:tab/>
      </w:r>
      <w:r>
        <w:tab/>
        <w:t>When an application is made in accordance with rule 3(1) or (3), the applicant must file with the application an affidavit setting out the facts and circumstances on which the application is based.</w:t>
      </w:r>
    </w:p>
    <w:p w:rsidR="00425758" w:rsidRDefault="00425758">
      <w:pPr>
        <w:pStyle w:val="Footnotesection"/>
      </w:pPr>
      <w:r>
        <w:tab/>
        <w:t>[Rule 4 inserted: Gazette 27 Sep 2002 p. 4832.]</w:t>
      </w:r>
    </w:p>
    <w:p w:rsidR="00425758" w:rsidRDefault="00425758">
      <w:pPr>
        <w:pStyle w:val="Heading5"/>
      </w:pPr>
      <w:bookmarkStart w:id="1278" w:name="_Toc75863851"/>
      <w:r>
        <w:rPr>
          <w:rStyle w:val="CharSectno"/>
        </w:rPr>
        <w:t>5</w:t>
      </w:r>
      <w:r>
        <w:t>.</w:t>
      </w:r>
      <w:r>
        <w:tab/>
        <w:t>Objections to confiscation of property, making of</w:t>
      </w:r>
      <w:bookmarkEnd w:id="1278"/>
    </w:p>
    <w:p w:rsidR="00425758" w:rsidRDefault="00425758">
      <w:pPr>
        <w:pStyle w:val="Subsection"/>
      </w:pPr>
      <w:r>
        <w:tab/>
        <w:t>(1)</w:t>
      </w:r>
      <w:r>
        <w:tab/>
        <w:t>An objection to the confiscation of property frozen under a freezing notice is made by filing an originating summons in Form 75.</w:t>
      </w:r>
    </w:p>
    <w:p w:rsidR="00425758" w:rsidRDefault="00425758">
      <w:pPr>
        <w:pStyle w:val="Subsection"/>
      </w:pPr>
      <w:r>
        <w:tab/>
        <w:t>(2)</w:t>
      </w:r>
      <w:r>
        <w:tab/>
        <w:t>An objection to the confiscation of property frozen under a freezing order is made by summons in the proceedings on the application for the freezing order.</w:t>
      </w:r>
    </w:p>
    <w:p w:rsidR="00425758" w:rsidRDefault="00425758">
      <w:pPr>
        <w:pStyle w:val="Footnotesection"/>
      </w:pPr>
      <w:r>
        <w:tab/>
        <w:t>[Rule 5 inserted: Gazette 27 Sep 2002 p. 4832.]</w:t>
      </w:r>
    </w:p>
    <w:p w:rsidR="00425758" w:rsidRDefault="00425758">
      <w:pPr>
        <w:pStyle w:val="Heading5"/>
      </w:pPr>
      <w:bookmarkStart w:id="1279" w:name="_Toc75863852"/>
      <w:r>
        <w:rPr>
          <w:rStyle w:val="CharSectno"/>
        </w:rPr>
        <w:lastRenderedPageBreak/>
        <w:t>6</w:t>
      </w:r>
      <w:r>
        <w:t>.</w:t>
      </w:r>
      <w:r>
        <w:tab/>
        <w:t>DPP or CCC to be served</w:t>
      </w:r>
      <w:bookmarkEnd w:id="1279"/>
    </w:p>
    <w:p w:rsidR="00425758" w:rsidRDefault="00425758">
      <w:pPr>
        <w:pStyle w:val="Subsection"/>
        <w:keepNext/>
        <w:keepLines/>
      </w:pPr>
      <w:r>
        <w:tab/>
      </w:r>
      <w:r>
        <w:tab/>
        <w:t>When a party (other than the DPP or the CCC) files an objection or makes an application under this Order, the party is to serve a copy of the objection or application on the DPP or the CCC, as the case requires.</w:t>
      </w:r>
    </w:p>
    <w:p w:rsidR="00425758" w:rsidRDefault="00425758">
      <w:pPr>
        <w:pStyle w:val="Footnotesection"/>
      </w:pPr>
      <w:r>
        <w:tab/>
        <w:t>[Rule 6 inserted: Gazette 27 Sep 2002 p. 4832; amended: Gazette 28 Aug 2018 p. 2992.]</w:t>
      </w:r>
    </w:p>
    <w:p w:rsidR="00425758" w:rsidRDefault="00425758">
      <w:pPr>
        <w:pStyle w:val="Heading5"/>
      </w:pPr>
      <w:bookmarkStart w:id="1280" w:name="_Toc75863853"/>
      <w:r>
        <w:rPr>
          <w:rStyle w:val="CharSectno"/>
        </w:rPr>
        <w:t>7</w:t>
      </w:r>
      <w:r>
        <w:t>.</w:t>
      </w:r>
      <w:r>
        <w:tab/>
        <w:t>Directions</w:t>
      </w:r>
      <w:bookmarkEnd w:id="1280"/>
    </w:p>
    <w:p w:rsidR="00425758" w:rsidRDefault="00425758">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rsidR="00425758" w:rsidRDefault="00425758">
      <w:pPr>
        <w:pStyle w:val="Subsection"/>
      </w:pPr>
      <w:r>
        <w:tab/>
        <w:t>(2)</w:t>
      </w:r>
      <w:r>
        <w:tab/>
        <w:t xml:space="preserve">On the hearing of the application and summons for directions, or on any other application, or of its own motion at any time, the Court may do any or all of the following — </w:t>
      </w:r>
    </w:p>
    <w:p w:rsidR="00425758" w:rsidRDefault="00425758">
      <w:pPr>
        <w:pStyle w:val="Indenta"/>
      </w:pPr>
      <w:r>
        <w:tab/>
        <w:t>(a)</w:t>
      </w:r>
      <w:r>
        <w:tab/>
        <w:t>inquire as to the persons who may be affected by the relief the plaintiff seeks;</w:t>
      </w:r>
    </w:p>
    <w:p w:rsidR="00425758" w:rsidRDefault="00425758">
      <w:pPr>
        <w:pStyle w:val="Indenta"/>
      </w:pPr>
      <w:r>
        <w:tab/>
        <w:t>(b)</w:t>
      </w:r>
      <w:r>
        <w:tab/>
        <w:t>for the purpose of an inquiry under paragraph (a) direct the plaintiff and the defendant to give the Court any information it requires;</w:t>
      </w:r>
    </w:p>
    <w:p w:rsidR="00425758" w:rsidRDefault="00425758">
      <w:pPr>
        <w:pStyle w:val="Indenta"/>
      </w:pPr>
      <w:r>
        <w:tab/>
        <w:t>(c)</w:t>
      </w:r>
      <w:r>
        <w:tab/>
        <w:t>give directions as to the persons to be added as parties as being interested in the relief claimed or to represent classes of persons interested in the relief claimed.</w:t>
      </w:r>
    </w:p>
    <w:p w:rsidR="00425758" w:rsidRDefault="00425758">
      <w:pPr>
        <w:pStyle w:val="Footnotesection"/>
      </w:pPr>
      <w:r>
        <w:tab/>
        <w:t>[Rule 7 inserted: Gazette 27 Sep 2002 p. 4832</w:t>
      </w:r>
      <w:r>
        <w:noBreakHyphen/>
        <w:t>3.]</w:t>
      </w:r>
    </w:p>
    <w:p w:rsidR="00425758" w:rsidRDefault="00425758">
      <w:pPr>
        <w:pStyle w:val="Heading5"/>
      </w:pPr>
      <w:bookmarkStart w:id="1281" w:name="_Toc75863854"/>
      <w:r>
        <w:rPr>
          <w:rStyle w:val="CharSectno"/>
        </w:rPr>
        <w:t>8</w:t>
      </w:r>
      <w:r>
        <w:t>.</w:t>
      </w:r>
      <w:r>
        <w:tab/>
        <w:t>Conference not required</w:t>
      </w:r>
      <w:bookmarkEnd w:id="1281"/>
    </w:p>
    <w:p w:rsidR="00425758" w:rsidRDefault="00425758">
      <w:pPr>
        <w:pStyle w:val="Subsection"/>
      </w:pPr>
      <w:r>
        <w:tab/>
      </w:r>
      <w:r>
        <w:tab/>
        <w:t>Order 59 rule 9 does not apply to a summons in proceedings under the Confiscation Act 2000.</w:t>
      </w:r>
    </w:p>
    <w:p w:rsidR="00425758" w:rsidRDefault="00425758">
      <w:pPr>
        <w:pStyle w:val="Footnotesection"/>
      </w:pPr>
      <w:r>
        <w:tab/>
        <w:t>[Rule 8 inserted: Gazette 27 Sep 2002 p. 4833.]</w:t>
      </w:r>
    </w:p>
    <w:p w:rsidR="00425758" w:rsidRDefault="00425758">
      <w:pPr>
        <w:pStyle w:val="Heading5"/>
      </w:pPr>
      <w:bookmarkStart w:id="1282" w:name="_Toc75863855"/>
      <w:r>
        <w:rPr>
          <w:rStyle w:val="CharSectno"/>
        </w:rPr>
        <w:lastRenderedPageBreak/>
        <w:t>9</w:t>
      </w:r>
      <w:r>
        <w:t>.</w:t>
      </w:r>
      <w:r>
        <w:tab/>
        <w:t>Representative defendant</w:t>
      </w:r>
      <w:bookmarkEnd w:id="1282"/>
    </w:p>
    <w:p w:rsidR="00425758" w:rsidRDefault="00425758">
      <w:pPr>
        <w:pStyle w:val="Subsection"/>
        <w:keepNext/>
      </w:pPr>
      <w:r>
        <w:tab/>
      </w:r>
      <w:r>
        <w:tab/>
        <w:t xml:space="preserve">If a person has been added as a defendant in proceedings under the Confiscation Act 2000, and other persons (including unborn persons) have the same interest as the defendant or a similar interest, the Court may — </w:t>
      </w:r>
    </w:p>
    <w:p w:rsidR="00425758" w:rsidRDefault="00425758">
      <w:pPr>
        <w:pStyle w:val="Indenta"/>
      </w:pPr>
      <w:r>
        <w:tab/>
        <w:t>(a)</w:t>
      </w:r>
      <w:r>
        <w:tab/>
        <w:t>authorise the defendant to defend the proceedings on behalf of or for the benefit of all the interested persons; and</w:t>
      </w:r>
    </w:p>
    <w:p w:rsidR="00425758" w:rsidRDefault="00425758">
      <w:pPr>
        <w:pStyle w:val="Indenta"/>
        <w:keepNext/>
      </w:pPr>
      <w:r>
        <w:tab/>
        <w:t>(b)</w:t>
      </w:r>
      <w:r>
        <w:tab/>
        <w:t>order that all the interested persons are bound by any order made in the proceedings.</w:t>
      </w:r>
    </w:p>
    <w:p w:rsidR="00425758" w:rsidRDefault="00425758">
      <w:pPr>
        <w:pStyle w:val="Footnotesection"/>
      </w:pPr>
      <w:r>
        <w:tab/>
        <w:t>[Rule 9 inserted: Gazette 27 Sep 2002 p. 4833.]</w:t>
      </w:r>
    </w:p>
    <w:p w:rsidR="00425758" w:rsidRDefault="00425758">
      <w:pPr>
        <w:pStyle w:val="Heading3"/>
        <w:keepLines/>
      </w:pPr>
      <w:bookmarkStart w:id="1283" w:name="_Toc75512760"/>
      <w:bookmarkStart w:id="1284" w:name="_Toc75863856"/>
      <w:r>
        <w:rPr>
          <w:rStyle w:val="CharDivNo"/>
        </w:rPr>
        <w:t>Part 3</w:t>
      </w:r>
      <w:r>
        <w:t> — </w:t>
      </w:r>
      <w:r>
        <w:rPr>
          <w:rStyle w:val="CharDivText"/>
        </w:rPr>
        <w:t>Registration of freezing notices and interstate orders</w:t>
      </w:r>
      <w:bookmarkEnd w:id="1283"/>
      <w:bookmarkEnd w:id="1284"/>
    </w:p>
    <w:p w:rsidR="00425758" w:rsidRDefault="00425758">
      <w:pPr>
        <w:pStyle w:val="Footnoteheading"/>
        <w:keepNext/>
        <w:keepLines/>
        <w:ind w:left="890"/>
        <w:rPr>
          <w:snapToGrid w:val="0"/>
        </w:rPr>
      </w:pPr>
      <w:r>
        <w:rPr>
          <w:snapToGrid w:val="0"/>
        </w:rPr>
        <w:tab/>
        <w:t>[Heading inserted: Gazette 27 Sep 2002 p. 4833.]</w:t>
      </w:r>
    </w:p>
    <w:p w:rsidR="00425758" w:rsidRDefault="00425758">
      <w:pPr>
        <w:pStyle w:val="Heading5"/>
      </w:pPr>
      <w:bookmarkStart w:id="1285" w:name="_Toc75863857"/>
      <w:r>
        <w:rPr>
          <w:rStyle w:val="CharSectno"/>
        </w:rPr>
        <w:t>10</w:t>
      </w:r>
      <w:r>
        <w:t>.</w:t>
      </w:r>
      <w:r>
        <w:tab/>
        <w:t>Freezing notices, registration of etc.</w:t>
      </w:r>
      <w:bookmarkEnd w:id="1285"/>
    </w:p>
    <w:p w:rsidR="00425758" w:rsidRDefault="00425758">
      <w:pPr>
        <w:pStyle w:val="Subsection"/>
      </w:pPr>
      <w:r>
        <w:tab/>
        <w:t>(1)</w:t>
      </w:r>
      <w:r>
        <w:tab/>
        <w:t>A register called the Register of Freezing Notices is to be kept at the Central Office.</w:t>
      </w:r>
    </w:p>
    <w:p w:rsidR="00425758" w:rsidRDefault="00425758">
      <w:pPr>
        <w:pStyle w:val="Subsection"/>
        <w:keepNext/>
      </w:pPr>
      <w:r>
        <w:tab/>
        <w:t>(2)</w:t>
      </w:r>
      <w:r>
        <w:tab/>
        <w:t xml:space="preserve">When a freezing notice is filed in the court under section 36(6) of the Confiscation Act 2000, the proper officer must — </w:t>
      </w:r>
    </w:p>
    <w:p w:rsidR="00425758" w:rsidRDefault="00425758">
      <w:pPr>
        <w:pStyle w:val="Indenta"/>
      </w:pPr>
      <w:r>
        <w:tab/>
        <w:t>(a)</w:t>
      </w:r>
      <w:r>
        <w:tab/>
        <w:t>assign a number to it; and</w:t>
      </w:r>
    </w:p>
    <w:p w:rsidR="00425758" w:rsidRDefault="00425758">
      <w:pPr>
        <w:pStyle w:val="Indenta"/>
      </w:pPr>
      <w:r>
        <w:tab/>
        <w:t>(b)</w:t>
      </w:r>
      <w:r>
        <w:tab/>
        <w:t>enter particulars of the notice in the register; and</w:t>
      </w:r>
    </w:p>
    <w:p w:rsidR="00425758" w:rsidRDefault="00425758">
      <w:pPr>
        <w:pStyle w:val="Indenta"/>
      </w:pPr>
      <w:r>
        <w:tab/>
        <w:t>(c)</w:t>
      </w:r>
      <w:r>
        <w:tab/>
        <w:t>indorse the notice to the effect that it was registered on the day on which the particulars were entered.</w:t>
      </w:r>
    </w:p>
    <w:p w:rsidR="00425758" w:rsidRDefault="00425758">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rsidR="00425758" w:rsidRDefault="00425758">
      <w:pPr>
        <w:pStyle w:val="Footnotesection"/>
      </w:pPr>
      <w:r>
        <w:tab/>
        <w:t>[Rule 10 inserted: Gazette 27 Sep 2002 p. 4833</w:t>
      </w:r>
      <w:r>
        <w:noBreakHyphen/>
        <w:t>4.]</w:t>
      </w:r>
    </w:p>
    <w:p w:rsidR="00425758" w:rsidRDefault="00425758">
      <w:pPr>
        <w:pStyle w:val="Heading5"/>
      </w:pPr>
      <w:bookmarkStart w:id="1286" w:name="_Toc75863858"/>
      <w:r>
        <w:rPr>
          <w:rStyle w:val="CharSectno"/>
        </w:rPr>
        <w:lastRenderedPageBreak/>
        <w:t>11</w:t>
      </w:r>
      <w:r>
        <w:t>.</w:t>
      </w:r>
      <w:r>
        <w:tab/>
        <w:t>Interstate orders, registration of etc.</w:t>
      </w:r>
      <w:bookmarkEnd w:id="1286"/>
    </w:p>
    <w:p w:rsidR="00425758" w:rsidRDefault="00425758">
      <w:pPr>
        <w:pStyle w:val="Subsection"/>
      </w:pPr>
      <w:r>
        <w:tab/>
        <w:t>(1)</w:t>
      </w:r>
      <w:r>
        <w:tab/>
        <w:t>A person desiring to register an interstate freezing order or an interstate confiscation order may file a copy of the order sealed with the seal of the court that made the order.</w:t>
      </w:r>
    </w:p>
    <w:p w:rsidR="00425758" w:rsidRDefault="00425758">
      <w:pPr>
        <w:pStyle w:val="Subsection"/>
        <w:keepNext/>
      </w:pPr>
      <w:r>
        <w:tab/>
        <w:t>(2)</w:t>
      </w:r>
      <w:r>
        <w:tab/>
        <w:t xml:space="preserve">When a sealed copy of an interstate freezing order is filed, the proper officer must — </w:t>
      </w:r>
    </w:p>
    <w:p w:rsidR="00425758" w:rsidRDefault="00425758">
      <w:pPr>
        <w:pStyle w:val="Indenta"/>
      </w:pPr>
      <w:r>
        <w:tab/>
        <w:t>(a)</w:t>
      </w:r>
      <w:r>
        <w:tab/>
        <w:t>assign a number to it; and</w:t>
      </w:r>
    </w:p>
    <w:p w:rsidR="00425758" w:rsidRDefault="00425758">
      <w:pPr>
        <w:pStyle w:val="Indenta"/>
      </w:pPr>
      <w:r>
        <w:tab/>
        <w:t>(b)</w:t>
      </w:r>
      <w:r>
        <w:tab/>
        <w:t>enter the particulars of it in a register kept for the purpose; and</w:t>
      </w:r>
    </w:p>
    <w:p w:rsidR="00425758" w:rsidRDefault="00425758">
      <w:pPr>
        <w:pStyle w:val="Indenta"/>
      </w:pPr>
      <w:r>
        <w:tab/>
        <w:t>(c)</w:t>
      </w:r>
      <w:r>
        <w:tab/>
        <w:t>indorse the order to the effect that it was registered on the day on which the particulars were entered.</w:t>
      </w:r>
    </w:p>
    <w:p w:rsidR="00425758" w:rsidRDefault="00425758">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rsidR="00425758" w:rsidRDefault="00425758">
      <w:pPr>
        <w:pStyle w:val="Footnotesection"/>
      </w:pPr>
      <w:r>
        <w:tab/>
        <w:t>[Rule 11 inserted: Gazette 27 Sep 2002 p. 4834; amended: Gazette 22 Feb 2008 p. 645.]</w:t>
      </w:r>
    </w:p>
    <w:p w:rsidR="00425758" w:rsidRDefault="00425758">
      <w:pPr>
        <w:pStyle w:val="Heading2"/>
      </w:pPr>
      <w:bookmarkStart w:id="1287" w:name="_Toc75512763"/>
      <w:bookmarkStart w:id="1288" w:name="_Toc75863859"/>
      <w:r>
        <w:rPr>
          <w:rStyle w:val="CharPartNo"/>
        </w:rPr>
        <w:lastRenderedPageBreak/>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1287"/>
      <w:bookmarkEnd w:id="1288"/>
    </w:p>
    <w:p w:rsidR="00425758" w:rsidRDefault="00425758">
      <w:pPr>
        <w:pStyle w:val="Footnoteheading"/>
        <w:ind w:left="890"/>
        <w:rPr>
          <w:snapToGrid w:val="0"/>
        </w:rPr>
      </w:pPr>
      <w:r>
        <w:rPr>
          <w:snapToGrid w:val="0"/>
        </w:rPr>
        <w:tab/>
        <w:t>[Heading inserted: Gazette 22 Feb 2008 p. 645.]</w:t>
      </w:r>
    </w:p>
    <w:p w:rsidR="00425758" w:rsidRDefault="00425758">
      <w:pPr>
        <w:pStyle w:val="Heading5"/>
      </w:pPr>
      <w:bookmarkStart w:id="1289" w:name="_Toc75863860"/>
      <w:r>
        <w:rPr>
          <w:rStyle w:val="CharSectno"/>
        </w:rPr>
        <w:t>1</w:t>
      </w:r>
      <w:r>
        <w:t>.</w:t>
      </w:r>
      <w:r>
        <w:tab/>
        <w:t>Terms used</w:t>
      </w:r>
      <w:bookmarkEnd w:id="1289"/>
    </w:p>
    <w:p w:rsidR="00425758" w:rsidRDefault="00425758">
      <w:pPr>
        <w:pStyle w:val="Subsection"/>
      </w:pPr>
      <w:r>
        <w:tab/>
        <w:t>(1)</w:t>
      </w:r>
      <w:r>
        <w:tab/>
        <w:t xml:space="preserve">In this Order, unless the contrary intention appears — </w:t>
      </w:r>
    </w:p>
    <w:p w:rsidR="00425758" w:rsidRDefault="00425758">
      <w:pPr>
        <w:pStyle w:val="Defstart"/>
      </w:pPr>
      <w:r>
        <w:rPr>
          <w:b/>
        </w:rPr>
        <w:tab/>
      </w:r>
      <w:r>
        <w:rPr>
          <w:rStyle w:val="CharDefText"/>
        </w:rPr>
        <w:t>Act</w:t>
      </w:r>
      <w:r>
        <w:t xml:space="preserve"> means the </w:t>
      </w:r>
      <w:r>
        <w:rPr>
          <w:i/>
        </w:rPr>
        <w:t>Criminal and Found Property Disposal Act 2006</w:t>
      </w:r>
      <w:r>
        <w:t>;</w:t>
      </w:r>
    </w:p>
    <w:p w:rsidR="00425758" w:rsidRDefault="00425758">
      <w:pPr>
        <w:pStyle w:val="Defstart"/>
      </w:pPr>
      <w:r>
        <w:rPr>
          <w:b/>
        </w:rPr>
        <w:tab/>
      </w:r>
      <w:r>
        <w:rPr>
          <w:rStyle w:val="CharDefText"/>
        </w:rPr>
        <w:t>claim</w:t>
      </w:r>
      <w:r>
        <w:t xml:space="preserve"> means an application made under the Act to the Court for an order under the Act.</w:t>
      </w:r>
    </w:p>
    <w:p w:rsidR="00425758" w:rsidRDefault="00425758">
      <w:pPr>
        <w:pStyle w:val="Subsection"/>
      </w:pPr>
      <w:r>
        <w:tab/>
        <w:t>(2)</w:t>
      </w:r>
      <w:r>
        <w:tab/>
        <w:t>If a term is given a meaning in the Act, it has the same meaning in this Order, unless the contrary intention appears.</w:t>
      </w:r>
    </w:p>
    <w:p w:rsidR="00425758" w:rsidRDefault="00425758">
      <w:pPr>
        <w:pStyle w:val="Footnotesection"/>
      </w:pPr>
      <w:r>
        <w:tab/>
        <w:t>[Rule 1 inserted: Gazette 22 Feb 2008 p. 645.]</w:t>
      </w:r>
    </w:p>
    <w:p w:rsidR="00425758" w:rsidRDefault="00425758">
      <w:pPr>
        <w:pStyle w:val="Heading5"/>
      </w:pPr>
      <w:bookmarkStart w:id="1290" w:name="_Toc75863861"/>
      <w:r>
        <w:rPr>
          <w:rStyle w:val="CharSectno"/>
        </w:rPr>
        <w:t>2</w:t>
      </w:r>
      <w:r>
        <w:t>.</w:t>
      </w:r>
      <w:r>
        <w:tab/>
        <w:t>General matters</w:t>
      </w:r>
      <w:bookmarkEnd w:id="1290"/>
    </w:p>
    <w:p w:rsidR="00425758" w:rsidRDefault="00425758">
      <w:pPr>
        <w:pStyle w:val="Subsection"/>
      </w:pPr>
      <w:r>
        <w:tab/>
        <w:t>(1)</w:t>
      </w:r>
      <w:r>
        <w:tab/>
        <w:t>Proceedings on a claim are proceedings in the Court’s civil jurisdiction and the civil standard of proof applies.</w:t>
      </w:r>
    </w:p>
    <w:p w:rsidR="00425758" w:rsidRDefault="00425758">
      <w:pPr>
        <w:pStyle w:val="Subsection"/>
      </w:pPr>
      <w:r>
        <w:tab/>
        <w:t>(2)</w:t>
      </w:r>
      <w:r>
        <w:tab/>
        <w:t xml:space="preserve">Without otherwise affecting Order 37, an affidavit filed under this Order — </w:t>
      </w:r>
    </w:p>
    <w:p w:rsidR="00425758" w:rsidRDefault="00425758">
      <w:pPr>
        <w:pStyle w:val="Indenta"/>
      </w:pPr>
      <w:r>
        <w:tab/>
        <w:t>(a)</w:t>
      </w:r>
      <w:r>
        <w:tab/>
        <w:t>may include material other than evidence that the deponent could give orally in court, such as hearsay or a belief or opinion; but</w:t>
      </w:r>
    </w:p>
    <w:p w:rsidR="00425758" w:rsidRDefault="00425758">
      <w:pPr>
        <w:pStyle w:val="Indenta"/>
      </w:pPr>
      <w:r>
        <w:tab/>
        <w:t>(b)</w:t>
      </w:r>
      <w:r>
        <w:tab/>
        <w:t>must include the source of any hearsay or the grounds for any belief or opinion.</w:t>
      </w:r>
    </w:p>
    <w:p w:rsidR="00425758" w:rsidRDefault="00425758">
      <w:pPr>
        <w:pStyle w:val="Subsection"/>
      </w:pPr>
      <w:r>
        <w:tab/>
        <w:t>(3)</w:t>
      </w:r>
      <w:r>
        <w:tab/>
        <w:t xml:space="preserve">In proceedings on a claim, the Court, on an application by a party to the claim or on its own initiative — </w:t>
      </w:r>
    </w:p>
    <w:p w:rsidR="00425758" w:rsidRDefault="00425758">
      <w:pPr>
        <w:pStyle w:val="Indenta"/>
      </w:pPr>
      <w:r>
        <w:tab/>
        <w:t>(a)</w:t>
      </w:r>
      <w:r>
        <w:tab/>
        <w:t xml:space="preserve">may shorten any period in this Order; </w:t>
      </w:r>
    </w:p>
    <w:p w:rsidR="00425758" w:rsidRDefault="00425758">
      <w:pPr>
        <w:pStyle w:val="Indenta"/>
      </w:pPr>
      <w:r>
        <w:tab/>
        <w:t>(b)</w:t>
      </w:r>
      <w:r>
        <w:tab/>
        <w:t xml:space="preserve">may extend any period in this Order, even if the period has elapsed; </w:t>
      </w:r>
    </w:p>
    <w:p w:rsidR="00425758" w:rsidRDefault="00425758">
      <w:pPr>
        <w:pStyle w:val="Indenta"/>
      </w:pPr>
      <w:r>
        <w:tab/>
        <w:t>(c)</w:t>
      </w:r>
      <w:r>
        <w:tab/>
        <w:t xml:space="preserve">may modify or dispense with any requirement of this Order; </w:t>
      </w:r>
    </w:p>
    <w:p w:rsidR="00425758" w:rsidRDefault="00425758">
      <w:pPr>
        <w:pStyle w:val="Indenta"/>
      </w:pPr>
      <w:r>
        <w:lastRenderedPageBreak/>
        <w:tab/>
        <w:t>(d)</w:t>
      </w:r>
      <w:r>
        <w:tab/>
        <w:t xml:space="preserve">may, by order, give directions as to the conduct of the proceedings; </w:t>
      </w:r>
    </w:p>
    <w:p w:rsidR="00425758" w:rsidRDefault="00425758">
      <w:pPr>
        <w:pStyle w:val="Indenta"/>
      </w:pPr>
      <w:r>
        <w:tab/>
        <w:t>(e)</w:t>
      </w:r>
      <w:r>
        <w:tab/>
        <w:t>may adjourn the proceedings,</w:t>
      </w:r>
    </w:p>
    <w:p w:rsidR="00425758" w:rsidRDefault="00425758">
      <w:pPr>
        <w:pStyle w:val="Subsection"/>
      </w:pPr>
      <w:r>
        <w:tab/>
      </w:r>
      <w:r>
        <w:tab/>
        <w:t>and may do so on terms.</w:t>
      </w:r>
    </w:p>
    <w:p w:rsidR="00425758" w:rsidRDefault="00425758">
      <w:pPr>
        <w:pStyle w:val="Footnotesection"/>
        <w:rPr>
          <w:rStyle w:val="Emphasis"/>
          <w:i/>
        </w:rPr>
      </w:pPr>
      <w:r>
        <w:tab/>
        <w:t>[Rule 2 inserted: Gazette 22 Feb 2008 p. 645</w:t>
      </w:r>
      <w:r>
        <w:noBreakHyphen/>
        <w:t>6.]</w:t>
      </w:r>
    </w:p>
    <w:p w:rsidR="00425758" w:rsidRDefault="00425758">
      <w:pPr>
        <w:pStyle w:val="Heading5"/>
      </w:pPr>
      <w:bookmarkStart w:id="1291" w:name="_Toc75863862"/>
      <w:r>
        <w:rPr>
          <w:rStyle w:val="CharSectno"/>
        </w:rPr>
        <w:t>3</w:t>
      </w:r>
      <w:r>
        <w:t>.</w:t>
      </w:r>
      <w:r>
        <w:tab/>
        <w:t>Claims, how to be made</w:t>
      </w:r>
      <w:bookmarkEnd w:id="1291"/>
    </w:p>
    <w:p w:rsidR="00425758" w:rsidRDefault="00425758">
      <w:pPr>
        <w:pStyle w:val="Subsection"/>
      </w:pPr>
      <w:r>
        <w:tab/>
        <w:t>(1)</w:t>
      </w:r>
      <w:r>
        <w:tab/>
        <w:t>To make a claim, a person must file a Form No. 108.</w:t>
      </w:r>
    </w:p>
    <w:p w:rsidR="00425758" w:rsidRDefault="00425758">
      <w:pPr>
        <w:pStyle w:val="Subsection"/>
      </w:pPr>
      <w:r>
        <w:tab/>
        <w:t>(2)</w:t>
      </w:r>
      <w:r>
        <w:tab/>
        <w:t>A claim must name as a defendant any person who would be affected by any order stated in the claim.</w:t>
      </w:r>
    </w:p>
    <w:p w:rsidR="00425758" w:rsidRDefault="00425758">
      <w:pPr>
        <w:pStyle w:val="Subsection"/>
      </w:pPr>
      <w:r>
        <w:tab/>
        <w:t>(3)</w:t>
      </w:r>
      <w:r>
        <w:tab/>
        <w:t>The hearing date stated in a claim must be at least 21 days after the date on which it is filed.</w:t>
      </w:r>
    </w:p>
    <w:p w:rsidR="00425758" w:rsidRDefault="00425758">
      <w:pPr>
        <w:pStyle w:val="Subsection"/>
      </w:pPr>
      <w:r>
        <w:tab/>
        <w:t>(4)</w:t>
      </w:r>
      <w:r>
        <w:tab/>
        <w:t>A claim must be filed with one or more affidavits that state the facts and circumstances on which it is based.</w:t>
      </w:r>
    </w:p>
    <w:p w:rsidR="00425758" w:rsidRDefault="00425758">
      <w:pPr>
        <w:pStyle w:val="Subsection"/>
      </w:pPr>
      <w:r>
        <w:tab/>
        <w:t>(5)</w:t>
      </w:r>
      <w:r>
        <w:tab/>
        <w:t xml:space="preserve">A claim, and any affidavit filed with it, must be served by the claimant — </w:t>
      </w:r>
    </w:p>
    <w:p w:rsidR="00425758" w:rsidRDefault="00425758">
      <w:pPr>
        <w:pStyle w:val="Indenta"/>
      </w:pPr>
      <w:r>
        <w:tab/>
        <w:t>(a)</w:t>
      </w:r>
      <w:r>
        <w:tab/>
        <w:t>on each defendant to the claim; and</w:t>
      </w:r>
    </w:p>
    <w:p w:rsidR="00425758" w:rsidRDefault="00425758">
      <w:pPr>
        <w:pStyle w:val="Indenta"/>
      </w:pPr>
      <w:r>
        <w:tab/>
        <w:t>(b)</w:t>
      </w:r>
      <w:r>
        <w:tab/>
        <w:t xml:space="preserve">in accordance with the </w:t>
      </w:r>
      <w:r>
        <w:rPr>
          <w:i/>
        </w:rPr>
        <w:t>Interpretation Act 1984</w:t>
      </w:r>
      <w:r>
        <w:t xml:space="preserve"> section 76; and</w:t>
      </w:r>
    </w:p>
    <w:p w:rsidR="00425758" w:rsidRDefault="00425758">
      <w:pPr>
        <w:pStyle w:val="Indenta"/>
      </w:pPr>
      <w:r>
        <w:tab/>
        <w:t>(c)</w:t>
      </w:r>
      <w:r>
        <w:tab/>
        <w:t>within 7 days after the date on which the claim is filed.</w:t>
      </w:r>
    </w:p>
    <w:p w:rsidR="00425758" w:rsidRDefault="00425758">
      <w:pPr>
        <w:pStyle w:val="Footnotesection"/>
      </w:pPr>
      <w:r>
        <w:tab/>
        <w:t>[Rule 3 inserted: Gazette 22 Feb 2008 p. 646.]</w:t>
      </w:r>
    </w:p>
    <w:p w:rsidR="00425758" w:rsidRDefault="00425758">
      <w:pPr>
        <w:pStyle w:val="Heading5"/>
      </w:pPr>
      <w:bookmarkStart w:id="1292" w:name="_Toc75863863"/>
      <w:r>
        <w:rPr>
          <w:rStyle w:val="CharSectno"/>
        </w:rPr>
        <w:t>4</w:t>
      </w:r>
      <w:r>
        <w:t>.</w:t>
      </w:r>
      <w:r>
        <w:tab/>
        <w:t>Defendant may file memorandum of appearance</w:t>
      </w:r>
      <w:bookmarkEnd w:id="1292"/>
    </w:p>
    <w:p w:rsidR="00425758" w:rsidRDefault="00425758">
      <w:pPr>
        <w:pStyle w:val="Subsection"/>
      </w:pPr>
      <w:r>
        <w:tab/>
      </w:r>
      <w:r>
        <w:tab/>
        <w:t>A defendant who is served with a claim and who wants to respond to it or be heard at its hearing must enter an appearance under Order 12.</w:t>
      </w:r>
    </w:p>
    <w:p w:rsidR="00425758" w:rsidRDefault="00425758">
      <w:pPr>
        <w:pStyle w:val="Footnotesection"/>
      </w:pPr>
      <w:r>
        <w:tab/>
        <w:t>[Rule 4 inserted: Gazette 22 Feb 2008 p. 647.]</w:t>
      </w:r>
    </w:p>
    <w:p w:rsidR="00425758" w:rsidRDefault="00425758">
      <w:pPr>
        <w:pStyle w:val="Heading5"/>
      </w:pPr>
      <w:bookmarkStart w:id="1293" w:name="_Toc75863864"/>
      <w:r>
        <w:rPr>
          <w:rStyle w:val="CharSectno"/>
        </w:rPr>
        <w:lastRenderedPageBreak/>
        <w:t>5</w:t>
      </w:r>
      <w:r>
        <w:t>.</w:t>
      </w:r>
      <w:r>
        <w:tab/>
        <w:t>Defendant may file affidavit in response</w:t>
      </w:r>
      <w:bookmarkEnd w:id="1293"/>
    </w:p>
    <w:p w:rsidR="00425758" w:rsidRDefault="00425758">
      <w:pPr>
        <w:pStyle w:val="Subsection"/>
      </w:pPr>
      <w:r>
        <w:tab/>
        <w:t>(1)</w:t>
      </w:r>
      <w:r>
        <w:tab/>
        <w:t>A defendant who is served with a claim may file an affidavit that states the facts and circumstances on which the defendant relies.</w:t>
      </w:r>
    </w:p>
    <w:p w:rsidR="00425758" w:rsidRDefault="00425758">
      <w:pPr>
        <w:pStyle w:val="Subsection"/>
      </w:pPr>
      <w:r>
        <w:tab/>
        <w:t>(2)</w:t>
      </w:r>
      <w:r>
        <w:tab/>
        <w:t xml:space="preserve">Any such affidavit must — </w:t>
      </w:r>
    </w:p>
    <w:p w:rsidR="00425758" w:rsidRDefault="00425758">
      <w:pPr>
        <w:pStyle w:val="Indenta"/>
      </w:pPr>
      <w:r>
        <w:tab/>
        <w:t>(a)</w:t>
      </w:r>
      <w:r>
        <w:tab/>
        <w:t>be filed within 10 days after the date on which the defendant is served with the claim; and</w:t>
      </w:r>
    </w:p>
    <w:p w:rsidR="00425758" w:rsidRDefault="00425758">
      <w:pPr>
        <w:pStyle w:val="Indenta"/>
      </w:pPr>
      <w:r>
        <w:tab/>
        <w:t>(b)</w:t>
      </w:r>
      <w:r>
        <w:tab/>
        <w:t>be served on each other party to the claim in accordance with Order 72; and</w:t>
      </w:r>
    </w:p>
    <w:p w:rsidR="00425758" w:rsidRDefault="00425758">
      <w:pPr>
        <w:pStyle w:val="Indenta"/>
      </w:pPr>
      <w:r>
        <w:tab/>
        <w:t>(c)</w:t>
      </w:r>
      <w:r>
        <w:tab/>
        <w:t>be served within 3 working days after the date on which it is filed.</w:t>
      </w:r>
    </w:p>
    <w:p w:rsidR="00425758" w:rsidRDefault="00425758">
      <w:pPr>
        <w:pStyle w:val="Footnotesection"/>
      </w:pPr>
      <w:r>
        <w:tab/>
        <w:t>[Rule 5 inserted: Gazette 22 Feb 2008 p. 647.]</w:t>
      </w:r>
    </w:p>
    <w:p w:rsidR="00425758" w:rsidRDefault="00425758">
      <w:pPr>
        <w:pStyle w:val="Heading5"/>
      </w:pPr>
      <w:bookmarkStart w:id="1294" w:name="_Toc75863865"/>
      <w:r>
        <w:rPr>
          <w:rStyle w:val="CharSectno"/>
        </w:rPr>
        <w:t>6</w:t>
      </w:r>
      <w:r>
        <w:t>.</w:t>
      </w:r>
      <w:r>
        <w:tab/>
        <w:t>Applications in course of proceedings on claim</w:t>
      </w:r>
      <w:bookmarkEnd w:id="1294"/>
    </w:p>
    <w:p w:rsidR="00425758" w:rsidRDefault="00425758">
      <w:pPr>
        <w:pStyle w:val="Subsection"/>
      </w:pPr>
      <w:r>
        <w:tab/>
        <w:t>(1)</w:t>
      </w:r>
      <w:r>
        <w:tab/>
        <w:t>A party to a claim may at any time apply to the Court for an order that may be made under rule 2(3).</w:t>
      </w:r>
    </w:p>
    <w:p w:rsidR="00425758" w:rsidRDefault="00425758">
      <w:pPr>
        <w:pStyle w:val="Subsection"/>
      </w:pPr>
      <w:r>
        <w:tab/>
        <w:t>(2)</w:t>
      </w:r>
      <w:r>
        <w:tab/>
        <w:t>To make the application, the party must file a Form No. 86 with any necessary changes and any affidavit on which the party intends to rely.</w:t>
      </w:r>
    </w:p>
    <w:p w:rsidR="00425758" w:rsidRDefault="00425758">
      <w:pPr>
        <w:pStyle w:val="Subsection"/>
      </w:pPr>
      <w:r>
        <w:tab/>
        <w:t>(3)</w:t>
      </w:r>
      <w:r>
        <w:tab/>
        <w:t>The applicant must serve a copy of the filed documents on each other party to the claim at least 3 working days before the hearing date for the application.</w:t>
      </w:r>
    </w:p>
    <w:p w:rsidR="00425758" w:rsidRDefault="00425758">
      <w:pPr>
        <w:pStyle w:val="Footnotesection"/>
      </w:pPr>
      <w:r>
        <w:tab/>
        <w:t>[Rule 6 inserted: Gazette 22 Feb 2008 p. 647.]</w:t>
      </w:r>
    </w:p>
    <w:p w:rsidR="00425758" w:rsidRDefault="00425758">
      <w:pPr>
        <w:pStyle w:val="Heading5"/>
      </w:pPr>
      <w:bookmarkStart w:id="1295" w:name="_Toc75863866"/>
      <w:r>
        <w:rPr>
          <w:rStyle w:val="CharSectno"/>
        </w:rPr>
        <w:t>7</w:t>
      </w:r>
      <w:r>
        <w:t>.</w:t>
      </w:r>
      <w:r>
        <w:tab/>
        <w:t>Hearing claims</w:t>
      </w:r>
      <w:bookmarkEnd w:id="1295"/>
    </w:p>
    <w:p w:rsidR="00425758" w:rsidRDefault="00425758">
      <w:pPr>
        <w:pStyle w:val="Subsection"/>
      </w:pPr>
      <w:r>
        <w:tab/>
      </w:r>
      <w:r>
        <w:tab/>
        <w:t>At least 3 working days before the hearing date of a claim, the claimant must file and serve on each other party to the claim a draft of the final orders that the claimant wants the Court to make.</w:t>
      </w:r>
    </w:p>
    <w:p w:rsidR="00425758" w:rsidRDefault="00425758">
      <w:pPr>
        <w:pStyle w:val="Footnotesection"/>
      </w:pPr>
      <w:r>
        <w:tab/>
        <w:t>[Rule 7 inserted: Gazette 22 Feb 2008 p. 647.]</w:t>
      </w:r>
    </w:p>
    <w:p w:rsidR="00425758" w:rsidRDefault="00425758">
      <w:pPr>
        <w:pStyle w:val="Heading5"/>
      </w:pPr>
      <w:bookmarkStart w:id="1296" w:name="_Toc75863867"/>
      <w:r>
        <w:rPr>
          <w:rStyle w:val="CharSectno"/>
        </w:rPr>
        <w:lastRenderedPageBreak/>
        <w:t>8</w:t>
      </w:r>
      <w:r>
        <w:t>.</w:t>
      </w:r>
      <w:r>
        <w:tab/>
        <w:t>Costs</w:t>
      </w:r>
      <w:bookmarkEnd w:id="1296"/>
    </w:p>
    <w:p w:rsidR="00425758" w:rsidRDefault="00425758">
      <w:pPr>
        <w:pStyle w:val="Subsection"/>
      </w:pPr>
      <w:r>
        <w:tab/>
        <w:t>(1)</w:t>
      </w:r>
      <w:r>
        <w:tab/>
        <w:t>The Court may order a party to a claim to pay the whole or a part of another party’s costs of proceedings on the claim.</w:t>
      </w:r>
    </w:p>
    <w:p w:rsidR="00425758" w:rsidRDefault="00425758">
      <w:pPr>
        <w:pStyle w:val="Subsection"/>
      </w:pPr>
      <w:r>
        <w:tab/>
        <w:t>(2)</w:t>
      </w:r>
      <w:r>
        <w:tab/>
        <w:t>The Court may fix the amount of costs to be paid or may order the costs to be taxed.</w:t>
      </w:r>
    </w:p>
    <w:p w:rsidR="00425758" w:rsidRDefault="00425758">
      <w:pPr>
        <w:pStyle w:val="Subsection"/>
      </w:pPr>
      <w:r>
        <w:tab/>
        <w:t>(3)</w:t>
      </w:r>
      <w:r>
        <w:tab/>
        <w:t>The amount of any costs ordered to be paid must be in accordance with any relevant scale within the meaning given by Order 66 rule 11(1).</w:t>
      </w:r>
    </w:p>
    <w:p w:rsidR="00425758" w:rsidRDefault="00425758">
      <w:pPr>
        <w:pStyle w:val="Footnotesection"/>
      </w:pPr>
      <w:r>
        <w:tab/>
        <w:t>[Rule 8 inserted: Gazette 22 Feb 2008 p. 648.]</w:t>
      </w:r>
    </w:p>
    <w:p w:rsidR="00425758" w:rsidRDefault="00425758">
      <w:pPr>
        <w:pStyle w:val="Heading5"/>
      </w:pPr>
      <w:bookmarkStart w:id="1297" w:name="_Toc75863868"/>
      <w:r>
        <w:rPr>
          <w:rStyle w:val="CharSectno"/>
        </w:rPr>
        <w:t>9</w:t>
      </w:r>
      <w:r>
        <w:t>.</w:t>
      </w:r>
      <w:r>
        <w:tab/>
        <w:t>Documents cannot be filed electronically</w:t>
      </w:r>
      <w:bookmarkEnd w:id="1297"/>
    </w:p>
    <w:p w:rsidR="00425758" w:rsidRDefault="00425758">
      <w:pPr>
        <w:pStyle w:val="Subsection"/>
      </w:pPr>
      <w:r>
        <w:tab/>
      </w:r>
      <w:r>
        <w:tab/>
        <w:t>A claim, affidavit or other document to be filed under this Order cannot be filed electronically.</w:t>
      </w:r>
    </w:p>
    <w:p w:rsidR="00425758" w:rsidRDefault="00425758">
      <w:pPr>
        <w:pStyle w:val="Footnotesection"/>
      </w:pPr>
      <w:r>
        <w:tab/>
        <w:t xml:space="preserve">[Rule 9 inserted: Gazette 27 Feb 2018 p. 621.] </w:t>
      </w:r>
    </w:p>
    <w:p w:rsidR="00425758" w:rsidRDefault="00425758">
      <w:pPr>
        <w:pStyle w:val="Heading2"/>
      </w:pPr>
      <w:bookmarkStart w:id="1298" w:name="_Toc75512773"/>
      <w:bookmarkStart w:id="1299" w:name="_Toc75863869"/>
      <w:r>
        <w:rPr>
          <w:rStyle w:val="CharPartNo"/>
        </w:rPr>
        <w:lastRenderedPageBreak/>
        <w:t>Order 81H</w:t>
      </w:r>
      <w:r>
        <w:rPr>
          <w:b w:val="0"/>
        </w:rPr>
        <w:t> </w:t>
      </w:r>
      <w:r>
        <w:t>—</w:t>
      </w:r>
      <w:r>
        <w:rPr>
          <w:b w:val="0"/>
        </w:rPr>
        <w:t> </w:t>
      </w:r>
      <w:r>
        <w:rPr>
          <w:rStyle w:val="CharPartText"/>
          <w:i/>
          <w:iCs/>
        </w:rPr>
        <w:t xml:space="preserve">Surveillance Devices Act 1998 </w:t>
      </w:r>
      <w:r>
        <w:rPr>
          <w:rStyle w:val="CharPartText"/>
        </w:rPr>
        <w:t>rules</w:t>
      </w:r>
      <w:bookmarkEnd w:id="1298"/>
      <w:bookmarkEnd w:id="1299"/>
    </w:p>
    <w:p w:rsidR="00425758" w:rsidRDefault="00425758">
      <w:pPr>
        <w:pStyle w:val="Footnoteheading"/>
        <w:ind w:left="890"/>
        <w:rPr>
          <w:snapToGrid w:val="0"/>
        </w:rPr>
      </w:pPr>
      <w:r>
        <w:rPr>
          <w:snapToGrid w:val="0"/>
        </w:rPr>
        <w:tab/>
        <w:t>[Heading inserted: Gazette 22 Feb 2008 p. 649.]</w:t>
      </w:r>
    </w:p>
    <w:p w:rsidR="00425758" w:rsidRDefault="00425758">
      <w:pPr>
        <w:pStyle w:val="Heading5"/>
      </w:pPr>
      <w:bookmarkStart w:id="1300" w:name="_Toc75863870"/>
      <w:r>
        <w:rPr>
          <w:rStyle w:val="CharSectno"/>
        </w:rPr>
        <w:t>1</w:t>
      </w:r>
      <w:r>
        <w:t>.</w:t>
      </w:r>
      <w:r>
        <w:tab/>
        <w:t>Term used: Act</w:t>
      </w:r>
      <w:bookmarkEnd w:id="1300"/>
    </w:p>
    <w:p w:rsidR="00425758" w:rsidRDefault="00425758">
      <w:pPr>
        <w:pStyle w:val="Subsection"/>
      </w:pPr>
      <w:r>
        <w:tab/>
      </w:r>
      <w:r>
        <w:tab/>
        <w:t>In this Order —</w:t>
      </w:r>
    </w:p>
    <w:p w:rsidR="00425758" w:rsidRDefault="00425758">
      <w:pPr>
        <w:pStyle w:val="Defstart"/>
      </w:pPr>
      <w:r>
        <w:tab/>
      </w:r>
      <w:r>
        <w:rPr>
          <w:rStyle w:val="CharDefText"/>
        </w:rPr>
        <w:t>Act</w:t>
      </w:r>
      <w:r>
        <w:t xml:space="preserve"> means the </w:t>
      </w:r>
      <w:r>
        <w:rPr>
          <w:i/>
        </w:rPr>
        <w:t>Surveillance Devices Act 1998</w:t>
      </w:r>
      <w:r>
        <w:t>.</w:t>
      </w:r>
    </w:p>
    <w:p w:rsidR="00425758" w:rsidRDefault="00425758">
      <w:pPr>
        <w:pStyle w:val="Footnotesection"/>
      </w:pPr>
      <w:r>
        <w:tab/>
        <w:t>[Rule 1 inserted: Gazette 26 Nov 1999 p. 5903.]</w:t>
      </w:r>
    </w:p>
    <w:p w:rsidR="00425758" w:rsidRDefault="00425758">
      <w:pPr>
        <w:pStyle w:val="Heading5"/>
      </w:pPr>
      <w:bookmarkStart w:id="1301" w:name="_Toc75863871"/>
      <w:r>
        <w:rPr>
          <w:rStyle w:val="CharSectno"/>
        </w:rPr>
        <w:t>2</w:t>
      </w:r>
      <w:r>
        <w:t>.</w:t>
      </w:r>
      <w:r>
        <w:tab/>
        <w:t>Warrants, applications for</w:t>
      </w:r>
      <w:bookmarkEnd w:id="1301"/>
      <w:r>
        <w:t xml:space="preserve"> </w:t>
      </w:r>
    </w:p>
    <w:p w:rsidR="00425758" w:rsidRDefault="00425758">
      <w:pPr>
        <w:pStyle w:val="Subsection"/>
      </w:pPr>
      <w:r>
        <w:tab/>
        <w:t>(1)</w:t>
      </w:r>
      <w:r>
        <w:tab/>
        <w:t>An application under the Act for a warrant, other than an application under section 16 of the Act, is to be made by originating motion and accompanied by an affidavit in support.</w:t>
      </w:r>
    </w:p>
    <w:p w:rsidR="00425758" w:rsidRDefault="00425758">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rsidR="00425758" w:rsidRDefault="00425758">
      <w:pPr>
        <w:pStyle w:val="Footnotesection"/>
      </w:pPr>
      <w:r>
        <w:tab/>
        <w:t>[Rule 2 inserted: Gazette 26 Nov 1999 p. 5904.]</w:t>
      </w:r>
    </w:p>
    <w:p w:rsidR="00425758" w:rsidRDefault="00425758">
      <w:pPr>
        <w:pStyle w:val="Heading5"/>
      </w:pPr>
      <w:bookmarkStart w:id="1302" w:name="_Toc75863872"/>
      <w:r>
        <w:rPr>
          <w:rStyle w:val="CharSectno"/>
        </w:rPr>
        <w:t>3</w:t>
      </w:r>
      <w:r>
        <w:t>.</w:t>
      </w:r>
      <w:r>
        <w:tab/>
        <w:t>Report to judge (Act s. 21 or 30)</w:t>
      </w:r>
      <w:bookmarkEnd w:id="1302"/>
      <w:r>
        <w:t xml:space="preserve"> </w:t>
      </w:r>
    </w:p>
    <w:p w:rsidR="00425758" w:rsidRDefault="00425758">
      <w:pPr>
        <w:pStyle w:val="Subsection"/>
      </w:pPr>
      <w:r>
        <w:tab/>
      </w:r>
      <w:r>
        <w:tab/>
        <w:t>A report to a judge under section 21 or 30 of the Act is to be —</w:t>
      </w:r>
    </w:p>
    <w:p w:rsidR="00425758" w:rsidRDefault="00425758">
      <w:pPr>
        <w:pStyle w:val="Indenta"/>
      </w:pPr>
      <w:r>
        <w:tab/>
        <w:t>(a)</w:t>
      </w:r>
      <w:r>
        <w:tab/>
        <w:t>sworn as an affidavit in accordance with these rules; and</w:t>
      </w:r>
    </w:p>
    <w:p w:rsidR="00425758" w:rsidRDefault="00425758">
      <w:pPr>
        <w:pStyle w:val="Indenta"/>
      </w:pPr>
      <w:r>
        <w:tab/>
        <w:t>(b)</w:t>
      </w:r>
      <w:r>
        <w:tab/>
        <w:t>filed with an originating motion.</w:t>
      </w:r>
    </w:p>
    <w:p w:rsidR="00425758" w:rsidRDefault="00425758">
      <w:pPr>
        <w:pStyle w:val="Footnotesection"/>
      </w:pPr>
      <w:r>
        <w:tab/>
        <w:t>[Rule 3 inserted: Gazette 26 Nov 1999 p. 5904.]</w:t>
      </w:r>
    </w:p>
    <w:p w:rsidR="00425758" w:rsidRDefault="00425758">
      <w:pPr>
        <w:pStyle w:val="Heading5"/>
      </w:pPr>
      <w:bookmarkStart w:id="1303" w:name="_Toc75863873"/>
      <w:r>
        <w:rPr>
          <w:rStyle w:val="CharSectno"/>
        </w:rPr>
        <w:t>4</w:t>
      </w:r>
      <w:r>
        <w:t>.</w:t>
      </w:r>
      <w:r>
        <w:tab/>
        <w:t>Order allowing publication etc. (Act s. 31), application for</w:t>
      </w:r>
      <w:bookmarkEnd w:id="1303"/>
    </w:p>
    <w:p w:rsidR="00425758" w:rsidRDefault="00425758">
      <w:pPr>
        <w:pStyle w:val="Subsection"/>
      </w:pPr>
      <w:r>
        <w:tab/>
      </w:r>
      <w:r>
        <w:tab/>
        <w:t>An application for an order under section 31 of the Act is to be made by originating motion and accompanied by an affidavit in support.</w:t>
      </w:r>
    </w:p>
    <w:p w:rsidR="00425758" w:rsidRDefault="00425758">
      <w:pPr>
        <w:pStyle w:val="Footnotesection"/>
      </w:pPr>
      <w:r>
        <w:tab/>
        <w:t>[Rule 4 inserted: Gazette 26 Nov 1999 p. 5904.]</w:t>
      </w:r>
    </w:p>
    <w:p w:rsidR="00425758" w:rsidRDefault="00425758">
      <w:pPr>
        <w:pStyle w:val="Heading5"/>
      </w:pPr>
      <w:bookmarkStart w:id="1304" w:name="_Toc75863874"/>
      <w:r>
        <w:rPr>
          <w:rStyle w:val="CharSectno"/>
        </w:rPr>
        <w:lastRenderedPageBreak/>
        <w:t>5</w:t>
      </w:r>
      <w:r>
        <w:t>.</w:t>
      </w:r>
      <w:r>
        <w:tab/>
        <w:t>Identification of persons in documents</w:t>
      </w:r>
      <w:bookmarkEnd w:id="1304"/>
    </w:p>
    <w:p w:rsidR="00425758" w:rsidRDefault="00425758">
      <w:pPr>
        <w:pStyle w:val="Subsection"/>
      </w:pPr>
      <w:r>
        <w:tab/>
      </w:r>
      <w:r>
        <w:tab/>
        <w:t>In a document filed in a proceeding under the Act a person may be referred to by —</w:t>
      </w:r>
    </w:p>
    <w:p w:rsidR="00425758" w:rsidRDefault="00425758">
      <w:pPr>
        <w:pStyle w:val="Indenta"/>
      </w:pPr>
      <w:r>
        <w:tab/>
        <w:t>(a)</w:t>
      </w:r>
      <w:r>
        <w:tab/>
        <w:t>the person’s initials; or</w:t>
      </w:r>
    </w:p>
    <w:p w:rsidR="00425758" w:rsidRDefault="00425758">
      <w:pPr>
        <w:pStyle w:val="Indenta"/>
      </w:pPr>
      <w:r>
        <w:tab/>
        <w:t>(b)</w:t>
      </w:r>
      <w:r>
        <w:tab/>
        <w:t>a numerical reference identifying the law enforcement agency of which the applicant in the proceeding is a member or officer and the year in which the proceeding was commenced.</w:t>
      </w:r>
    </w:p>
    <w:p w:rsidR="00425758" w:rsidRDefault="00425758">
      <w:pPr>
        <w:pStyle w:val="Footnotesection"/>
      </w:pPr>
      <w:r>
        <w:tab/>
        <w:t>[Rule 5 inserted: Gazette 26 Nov 1999 p. 5904.]</w:t>
      </w:r>
    </w:p>
    <w:p w:rsidR="00425758" w:rsidRDefault="00425758">
      <w:pPr>
        <w:pStyle w:val="Heading5"/>
      </w:pPr>
      <w:bookmarkStart w:id="1305" w:name="_Toc75863875"/>
      <w:r>
        <w:rPr>
          <w:rStyle w:val="CharSectno"/>
        </w:rPr>
        <w:t>6</w:t>
      </w:r>
      <w:r>
        <w:t>.</w:t>
      </w:r>
      <w:r>
        <w:tab/>
        <w:t>Practice Directions</w:t>
      </w:r>
      <w:bookmarkEnd w:id="1305"/>
      <w:r>
        <w:t xml:space="preserve"> </w:t>
      </w:r>
    </w:p>
    <w:p w:rsidR="00425758" w:rsidRDefault="00425758">
      <w:pPr>
        <w:pStyle w:val="Subsection"/>
      </w:pPr>
      <w:r>
        <w:tab/>
        <w:t>(1)</w:t>
      </w:r>
      <w:r>
        <w:tab/>
        <w:t>The Court may from time to time issue Practice Directions —</w:t>
      </w:r>
    </w:p>
    <w:p w:rsidR="00425758" w:rsidRDefault="00425758">
      <w:pPr>
        <w:pStyle w:val="Indenta"/>
      </w:pPr>
      <w:r>
        <w:tab/>
        <w:t>(a)</w:t>
      </w:r>
      <w:r>
        <w:tab/>
        <w:t xml:space="preserve">to facilitate compliance with the confidentiality requirements of the Act; and </w:t>
      </w:r>
    </w:p>
    <w:p w:rsidR="00425758" w:rsidRDefault="00425758">
      <w:pPr>
        <w:pStyle w:val="Indenta"/>
      </w:pPr>
      <w:r>
        <w:tab/>
        <w:t>(b)</w:t>
      </w:r>
      <w:r>
        <w:tab/>
        <w:t>as to the practice and procedure applicable in proceedings under the Act.</w:t>
      </w:r>
    </w:p>
    <w:p w:rsidR="00425758" w:rsidRDefault="00425758">
      <w:pPr>
        <w:pStyle w:val="Subsection"/>
      </w:pPr>
      <w:r>
        <w:tab/>
        <w:t>(2)</w:t>
      </w:r>
      <w:r>
        <w:tab/>
        <w:t>All parties to proceedings under the Act must comply with any such Practice Directions.</w:t>
      </w:r>
    </w:p>
    <w:p w:rsidR="00425758" w:rsidRDefault="00425758">
      <w:pPr>
        <w:pStyle w:val="Footnotesection"/>
      </w:pPr>
      <w:r>
        <w:tab/>
        <w:t>[Rule 6 inserted: Gazette 26 Nov 1999 p. 5904; amended: Gazette 27 Feb 2018 p. 621.]</w:t>
      </w:r>
    </w:p>
    <w:p w:rsidR="00425758" w:rsidRDefault="00425758">
      <w:pPr>
        <w:pStyle w:val="Heading5"/>
      </w:pPr>
      <w:bookmarkStart w:id="1306" w:name="_Toc75863876"/>
      <w:r>
        <w:rPr>
          <w:rStyle w:val="CharSectno"/>
        </w:rPr>
        <w:t>7</w:t>
      </w:r>
      <w:r>
        <w:t>.</w:t>
      </w:r>
      <w:r>
        <w:tab/>
        <w:t>Documents cannot be filed electronically</w:t>
      </w:r>
      <w:bookmarkEnd w:id="1306"/>
    </w:p>
    <w:p w:rsidR="00425758" w:rsidRDefault="00425758">
      <w:pPr>
        <w:pStyle w:val="Subsection"/>
      </w:pPr>
      <w:r>
        <w:tab/>
      </w:r>
      <w:r>
        <w:tab/>
        <w:t>An originating summons, affidavit or other document to be filed under this Order cannot be filed electronically.</w:t>
      </w:r>
    </w:p>
    <w:p w:rsidR="00425758" w:rsidRDefault="00425758">
      <w:pPr>
        <w:pStyle w:val="Footnotesection"/>
      </w:pPr>
      <w:r>
        <w:tab/>
        <w:t>[Rule 7 inserted: Gazette 27 Feb 2018 p. 622.]</w:t>
      </w:r>
    </w:p>
    <w:p w:rsidR="00425758" w:rsidRDefault="00425758">
      <w:pPr>
        <w:pStyle w:val="Heading2"/>
        <w:rPr>
          <w:b w:val="0"/>
        </w:rPr>
      </w:pPr>
      <w:bookmarkStart w:id="1307" w:name="_Toc75512781"/>
      <w:bookmarkStart w:id="1308" w:name="_Toc75863877"/>
      <w:r>
        <w:rPr>
          <w:rStyle w:val="CharPartNo"/>
        </w:rPr>
        <w:lastRenderedPageBreak/>
        <w:t>Order 82</w:t>
      </w:r>
      <w:r>
        <w:rPr>
          <w:rStyle w:val="CharDivNo"/>
        </w:rPr>
        <w:t> </w:t>
      </w:r>
      <w:r>
        <w:t>—</w:t>
      </w:r>
      <w:r>
        <w:rPr>
          <w:rStyle w:val="CharDivText"/>
        </w:rPr>
        <w:t> </w:t>
      </w:r>
      <w:r>
        <w:rPr>
          <w:rStyle w:val="CharPartText"/>
        </w:rPr>
        <w:t>Sheriff’s rules</w:t>
      </w:r>
      <w:bookmarkEnd w:id="1307"/>
      <w:bookmarkEnd w:id="1308"/>
    </w:p>
    <w:p w:rsidR="00425758" w:rsidRDefault="00425758">
      <w:pPr>
        <w:pStyle w:val="Ednotesection"/>
      </w:pPr>
      <w:r>
        <w:t>[</w:t>
      </w:r>
      <w:r>
        <w:rPr>
          <w:b/>
        </w:rPr>
        <w:t>1</w:t>
      </w:r>
      <w:r>
        <w:rPr>
          <w:b/>
        </w:rPr>
        <w:noBreakHyphen/>
        <w:t>6.</w:t>
      </w:r>
      <w:r>
        <w:tab/>
        <w:t>Deleted: Gazette 21 Feb 2007 p. 595.]</w:t>
      </w:r>
    </w:p>
    <w:p w:rsidR="00425758" w:rsidRDefault="00425758">
      <w:pPr>
        <w:pStyle w:val="Heading5"/>
        <w:rPr>
          <w:snapToGrid w:val="0"/>
        </w:rPr>
      </w:pPr>
      <w:bookmarkStart w:id="1309" w:name="_Toc75863878"/>
      <w:r>
        <w:rPr>
          <w:rStyle w:val="CharSectno"/>
        </w:rPr>
        <w:t>7</w:t>
      </w:r>
      <w:r>
        <w:rPr>
          <w:snapToGrid w:val="0"/>
        </w:rPr>
        <w:t>.</w:t>
      </w:r>
      <w:r>
        <w:rPr>
          <w:snapToGrid w:val="0"/>
        </w:rPr>
        <w:tab/>
        <w:t>Service of process by sheriff</w:t>
      </w:r>
      <w:bookmarkEnd w:id="1309"/>
    </w:p>
    <w:p w:rsidR="00425758" w:rsidRDefault="00425758">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rsidR="00425758" w:rsidRDefault="00425758">
      <w:pPr>
        <w:pStyle w:val="Subsection"/>
        <w:rPr>
          <w:snapToGrid w:val="0"/>
        </w:rPr>
      </w:pPr>
      <w:r>
        <w:rPr>
          <w:snapToGrid w:val="0"/>
        </w:rPr>
        <w:tab/>
        <w:t>(2)</w:t>
      </w:r>
      <w:r>
        <w:rPr>
          <w:snapToGrid w:val="0"/>
        </w:rPr>
        <w:tab/>
        <w:t>Such request shall be in writing, and shall contain the instructions for service.</w:t>
      </w:r>
    </w:p>
    <w:p w:rsidR="00425758" w:rsidRDefault="00425758">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rsidR="00425758" w:rsidRDefault="00425758">
      <w:pPr>
        <w:pStyle w:val="Footnotesection"/>
      </w:pPr>
      <w:r>
        <w:tab/>
        <w:t xml:space="preserve">[Rule 7 amended: Gazette 30 Nov 1984 p. 3952.] </w:t>
      </w:r>
    </w:p>
    <w:p w:rsidR="00425758" w:rsidRDefault="00425758">
      <w:pPr>
        <w:pStyle w:val="Ednotesection"/>
      </w:pPr>
      <w:r>
        <w:t>[</w:t>
      </w:r>
      <w:r>
        <w:rPr>
          <w:b/>
        </w:rPr>
        <w:t>8.</w:t>
      </w:r>
      <w:r>
        <w:tab/>
        <w:t>Deleted: Gazette 21 Feb 2007 p. 595.]</w:t>
      </w:r>
    </w:p>
    <w:p w:rsidR="00425758" w:rsidRDefault="00425758">
      <w:pPr>
        <w:pStyle w:val="Heading5"/>
        <w:rPr>
          <w:snapToGrid w:val="0"/>
        </w:rPr>
      </w:pPr>
      <w:bookmarkStart w:id="1310" w:name="_Toc75863879"/>
      <w:r>
        <w:rPr>
          <w:rStyle w:val="CharSectno"/>
        </w:rPr>
        <w:t>9</w:t>
      </w:r>
      <w:r>
        <w:rPr>
          <w:snapToGrid w:val="0"/>
        </w:rPr>
        <w:t>.</w:t>
      </w:r>
      <w:r>
        <w:rPr>
          <w:snapToGrid w:val="0"/>
        </w:rPr>
        <w:tab/>
        <w:t>Fees etc. payable to sheriff, disputes as to</w:t>
      </w:r>
      <w:bookmarkEnd w:id="1310"/>
    </w:p>
    <w:p w:rsidR="00425758" w:rsidRDefault="00425758">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rsidR="00425758" w:rsidRDefault="00425758">
      <w:pPr>
        <w:pStyle w:val="Footnotesection"/>
      </w:pPr>
      <w:r>
        <w:tab/>
        <w:t xml:space="preserve">[Rule 9 amended: Gazette 30 Jul 1982 p. 2947.] </w:t>
      </w:r>
    </w:p>
    <w:p w:rsidR="00425758" w:rsidRDefault="00425758">
      <w:pPr>
        <w:pStyle w:val="Ednotesection"/>
      </w:pPr>
      <w:r>
        <w:t>[</w:t>
      </w:r>
      <w:r>
        <w:rPr>
          <w:b/>
        </w:rPr>
        <w:t>10.</w:t>
      </w:r>
      <w:r>
        <w:tab/>
        <w:t>Deleted: Gazette 21 Feb 2007 p. 595.]</w:t>
      </w:r>
    </w:p>
    <w:p w:rsidR="00425758" w:rsidRDefault="00425758">
      <w:pPr>
        <w:pStyle w:val="Heading5"/>
        <w:rPr>
          <w:snapToGrid w:val="0"/>
        </w:rPr>
      </w:pPr>
      <w:bookmarkStart w:id="1311" w:name="_Toc75863880"/>
      <w:r>
        <w:rPr>
          <w:rStyle w:val="CharSectno"/>
        </w:rPr>
        <w:lastRenderedPageBreak/>
        <w:t>11</w:t>
      </w:r>
      <w:r>
        <w:rPr>
          <w:snapToGrid w:val="0"/>
        </w:rPr>
        <w:t>.</w:t>
      </w:r>
      <w:r>
        <w:rPr>
          <w:snapToGrid w:val="0"/>
        </w:rPr>
        <w:tab/>
        <w:t>Deposit on account of sheriff’s fees</w:t>
      </w:r>
      <w:bookmarkEnd w:id="1311"/>
    </w:p>
    <w:p w:rsidR="00425758" w:rsidRDefault="00425758">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rsidR="00425758" w:rsidRDefault="00425758">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rsidR="00425758" w:rsidRDefault="00425758">
      <w:pPr>
        <w:pStyle w:val="Footnotesection"/>
      </w:pPr>
      <w:r>
        <w:tab/>
        <w:t>[Rule 11 amended: Gazette 21 Feb 2007 p. 595.]</w:t>
      </w:r>
    </w:p>
    <w:p w:rsidR="00425758" w:rsidRDefault="00425758">
      <w:pPr>
        <w:pStyle w:val="Ednotesection"/>
      </w:pPr>
      <w:r>
        <w:t>[</w:t>
      </w:r>
      <w:r>
        <w:rPr>
          <w:b/>
        </w:rPr>
        <w:t>12, 13.</w:t>
      </w:r>
      <w:r>
        <w:tab/>
        <w:t>Deleted: Gazette 21 Feb 2007 p. 595.]</w:t>
      </w:r>
    </w:p>
    <w:p w:rsidR="00425758" w:rsidRDefault="00425758">
      <w:pPr>
        <w:pStyle w:val="Heading5"/>
        <w:rPr>
          <w:snapToGrid w:val="0"/>
        </w:rPr>
      </w:pPr>
      <w:bookmarkStart w:id="1312" w:name="_Toc75863881"/>
      <w:r>
        <w:rPr>
          <w:rStyle w:val="CharSectno"/>
        </w:rPr>
        <w:t>14</w:t>
      </w:r>
      <w:r>
        <w:rPr>
          <w:snapToGrid w:val="0"/>
        </w:rPr>
        <w:t>.</w:t>
      </w:r>
      <w:r>
        <w:rPr>
          <w:snapToGrid w:val="0"/>
        </w:rPr>
        <w:tab/>
        <w:t>Travel distance by sheriff for service</w:t>
      </w:r>
      <w:bookmarkEnd w:id="1312"/>
    </w:p>
    <w:p w:rsidR="00425758" w:rsidRDefault="00425758">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rsidR="00425758" w:rsidRDefault="00425758">
      <w:pPr>
        <w:pStyle w:val="Footnotesection"/>
      </w:pPr>
      <w:r>
        <w:tab/>
        <w:t xml:space="preserve">[Rule 14 amended: Gazette 7 Dec 1973 p. 4489; 30 Nov 1984 p. 3952; 26 Aug 1994 p. 4415; 27 Jul 2001 p. 3895; 21 Feb 2007 p. 595.] </w:t>
      </w:r>
    </w:p>
    <w:p w:rsidR="00425758" w:rsidRDefault="00425758">
      <w:pPr>
        <w:pStyle w:val="Ednotesection"/>
      </w:pPr>
      <w:r>
        <w:t>[</w:t>
      </w:r>
      <w:r>
        <w:rPr>
          <w:b/>
        </w:rPr>
        <w:t>15.</w:t>
      </w:r>
      <w:r>
        <w:tab/>
        <w:t>Deleted: Gazette 21 Feb 2007 p. 595.]</w:t>
      </w:r>
    </w:p>
    <w:p w:rsidR="00425758" w:rsidRDefault="00425758">
      <w:pPr>
        <w:pStyle w:val="Heading5"/>
        <w:rPr>
          <w:snapToGrid w:val="0"/>
        </w:rPr>
      </w:pPr>
      <w:bookmarkStart w:id="1313" w:name="_Toc75863882"/>
      <w:r>
        <w:rPr>
          <w:rStyle w:val="CharSectno"/>
        </w:rPr>
        <w:t>16</w:t>
      </w:r>
      <w:r>
        <w:rPr>
          <w:snapToGrid w:val="0"/>
        </w:rPr>
        <w:t>.</w:t>
      </w:r>
      <w:r>
        <w:rPr>
          <w:snapToGrid w:val="0"/>
        </w:rPr>
        <w:tab/>
        <w:t>Non</w:t>
      </w:r>
      <w:r>
        <w:rPr>
          <w:snapToGrid w:val="0"/>
        </w:rPr>
        <w:noBreakHyphen/>
        <w:t>payment of sheriff’s fees, consequences of</w:t>
      </w:r>
      <w:bookmarkEnd w:id="1313"/>
    </w:p>
    <w:p w:rsidR="00425758" w:rsidRDefault="00425758">
      <w:pPr>
        <w:pStyle w:val="Subsection"/>
        <w:rPr>
          <w:snapToGrid w:val="0"/>
        </w:rPr>
      </w:pPr>
      <w:r>
        <w:rPr>
          <w:snapToGrid w:val="0"/>
        </w:rPr>
        <w:tab/>
      </w:r>
      <w:r>
        <w:rPr>
          <w:snapToGrid w:val="0"/>
        </w:rPr>
        <w:tab/>
        <w:t xml:space="preserve">If any solicitor, who has made a request for the service of any process or document, or for any work for which fees are properly chargeable in the sheriff’s office, makes default in </w:t>
      </w:r>
      <w:r>
        <w:rPr>
          <w:snapToGrid w:val="0"/>
        </w:rPr>
        <w:lastRenderedPageBreak/>
        <w:t>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rsidR="00425758" w:rsidRDefault="00425758">
      <w:pPr>
        <w:pStyle w:val="Footnotesection"/>
      </w:pPr>
      <w:r>
        <w:tab/>
        <w:t>[Rule 16 amended: Gazette 21 Feb 2007 p. 595.]</w:t>
      </w:r>
    </w:p>
    <w:p w:rsidR="00425758" w:rsidRDefault="00425758">
      <w:pPr>
        <w:pStyle w:val="Heading2"/>
        <w:rPr>
          <w:b w:val="0"/>
        </w:rPr>
      </w:pPr>
      <w:bookmarkStart w:id="1314" w:name="_Toc75512787"/>
      <w:bookmarkStart w:id="1315" w:name="_Toc75863883"/>
      <w:r>
        <w:rPr>
          <w:rStyle w:val="CharPartNo"/>
        </w:rPr>
        <w:lastRenderedPageBreak/>
        <w:t>Order 83</w:t>
      </w:r>
      <w:r>
        <w:rPr>
          <w:rStyle w:val="CharDivNo"/>
        </w:rPr>
        <w:t> </w:t>
      </w:r>
      <w:r>
        <w:t>—</w:t>
      </w:r>
      <w:r>
        <w:rPr>
          <w:rStyle w:val="CharDivText"/>
        </w:rPr>
        <w:t> </w:t>
      </w:r>
      <w:r>
        <w:rPr>
          <w:rStyle w:val="CharPartText"/>
        </w:rPr>
        <w:t>Consolidation of pending causes and matters</w:t>
      </w:r>
      <w:bookmarkEnd w:id="1314"/>
      <w:bookmarkEnd w:id="1315"/>
    </w:p>
    <w:p w:rsidR="00425758" w:rsidRDefault="00425758">
      <w:pPr>
        <w:pStyle w:val="Heading5"/>
        <w:rPr>
          <w:snapToGrid w:val="0"/>
        </w:rPr>
      </w:pPr>
      <w:bookmarkStart w:id="1316" w:name="_Toc75863884"/>
      <w:r>
        <w:rPr>
          <w:rStyle w:val="CharSectno"/>
        </w:rPr>
        <w:t>1</w:t>
      </w:r>
      <w:r>
        <w:rPr>
          <w:snapToGrid w:val="0"/>
        </w:rPr>
        <w:t>.</w:t>
      </w:r>
      <w:r>
        <w:rPr>
          <w:snapToGrid w:val="0"/>
        </w:rPr>
        <w:tab/>
        <w:t>Causes may be consolidated</w:t>
      </w:r>
      <w:bookmarkEnd w:id="1316"/>
    </w:p>
    <w:p w:rsidR="00425758" w:rsidRDefault="00425758">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rsidR="00425758" w:rsidRDefault="00425758">
      <w:pPr>
        <w:pStyle w:val="Heading5"/>
        <w:rPr>
          <w:snapToGrid w:val="0"/>
        </w:rPr>
      </w:pPr>
      <w:bookmarkStart w:id="1317" w:name="_Toc75863885"/>
      <w:r>
        <w:rPr>
          <w:rStyle w:val="CharSectno"/>
        </w:rPr>
        <w:t>2</w:t>
      </w:r>
      <w:r>
        <w:rPr>
          <w:snapToGrid w:val="0"/>
        </w:rPr>
        <w:t>.</w:t>
      </w:r>
      <w:r>
        <w:rPr>
          <w:snapToGrid w:val="0"/>
        </w:rPr>
        <w:tab/>
        <w:t>Consolidation with action removed from another court</w:t>
      </w:r>
      <w:bookmarkEnd w:id="1317"/>
    </w:p>
    <w:p w:rsidR="00425758" w:rsidRDefault="00425758">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rsidR="00425758" w:rsidRDefault="00425758">
      <w:pPr>
        <w:pStyle w:val="Heading5"/>
        <w:rPr>
          <w:snapToGrid w:val="0"/>
        </w:rPr>
      </w:pPr>
      <w:bookmarkStart w:id="1318" w:name="_Toc75863886"/>
      <w:r>
        <w:rPr>
          <w:rStyle w:val="CharSectno"/>
        </w:rPr>
        <w:t>3</w:t>
      </w:r>
      <w:r>
        <w:rPr>
          <w:snapToGrid w:val="0"/>
        </w:rPr>
        <w:t>.</w:t>
      </w:r>
      <w:r>
        <w:rPr>
          <w:snapToGrid w:val="0"/>
        </w:rPr>
        <w:tab/>
        <w:t>Directions</w:t>
      </w:r>
      <w:bookmarkEnd w:id="1318"/>
    </w:p>
    <w:p w:rsidR="00425758" w:rsidRDefault="00425758">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rsidR="00425758" w:rsidRDefault="00425758">
      <w:pPr>
        <w:pStyle w:val="Ednotepart"/>
      </w:pPr>
      <w:r>
        <w:t>[Order 83A deleted: Gazette 27 Jul 2001 p. 3895.]</w:t>
      </w:r>
    </w:p>
    <w:p w:rsidR="00425758" w:rsidRDefault="00425758">
      <w:pPr>
        <w:pStyle w:val="Heading2"/>
        <w:rPr>
          <w:b w:val="0"/>
        </w:rPr>
      </w:pPr>
      <w:bookmarkStart w:id="1319" w:name="_Toc75512791"/>
      <w:bookmarkStart w:id="1320" w:name="_Toc75863887"/>
      <w:r>
        <w:rPr>
          <w:rStyle w:val="CharPartNo"/>
        </w:rPr>
        <w:lastRenderedPageBreak/>
        <w:t>Order 84</w:t>
      </w:r>
      <w:r>
        <w:rPr>
          <w:rStyle w:val="CharDivNo"/>
        </w:rPr>
        <w:t> </w:t>
      </w:r>
      <w:r>
        <w:t>—</w:t>
      </w:r>
      <w:r>
        <w:rPr>
          <w:rStyle w:val="CharDivText"/>
        </w:rPr>
        <w:t> </w:t>
      </w:r>
      <w:r>
        <w:rPr>
          <w:rStyle w:val="CharPartText"/>
        </w:rPr>
        <w:t>General rules</w:t>
      </w:r>
      <w:bookmarkEnd w:id="1319"/>
      <w:bookmarkEnd w:id="1320"/>
    </w:p>
    <w:p w:rsidR="00425758" w:rsidRDefault="00425758">
      <w:pPr>
        <w:pStyle w:val="Heading5"/>
        <w:rPr>
          <w:snapToGrid w:val="0"/>
        </w:rPr>
      </w:pPr>
      <w:bookmarkStart w:id="1321" w:name="_Toc75863888"/>
      <w:r>
        <w:rPr>
          <w:rStyle w:val="CharSectno"/>
        </w:rPr>
        <w:t>1</w:t>
      </w:r>
      <w:r>
        <w:rPr>
          <w:snapToGrid w:val="0"/>
        </w:rPr>
        <w:t>.</w:t>
      </w:r>
      <w:r>
        <w:rPr>
          <w:snapToGrid w:val="0"/>
        </w:rPr>
        <w:tab/>
        <w:t>Repealed Orders not revived</w:t>
      </w:r>
      <w:bookmarkEnd w:id="1321"/>
    </w:p>
    <w:p w:rsidR="00425758" w:rsidRDefault="00425758">
      <w:pPr>
        <w:pStyle w:val="Subsection"/>
        <w:rPr>
          <w:snapToGrid w:val="0"/>
        </w:rPr>
      </w:pPr>
      <w:r>
        <w:rPr>
          <w:snapToGrid w:val="0"/>
        </w:rPr>
        <w:tab/>
      </w:r>
      <w:r>
        <w:rPr>
          <w:snapToGrid w:val="0"/>
        </w:rPr>
        <w:tab/>
        <w:t>No Order or rule annulled by any former Order shall be revived by any of these rules, unless expressly so declared.</w:t>
      </w:r>
    </w:p>
    <w:p w:rsidR="00425758" w:rsidRDefault="00425758">
      <w:pPr>
        <w:pStyle w:val="Heading5"/>
        <w:rPr>
          <w:snapToGrid w:val="0"/>
        </w:rPr>
      </w:pPr>
      <w:bookmarkStart w:id="1322" w:name="_Toc75863889"/>
      <w:r>
        <w:rPr>
          <w:rStyle w:val="CharSectno"/>
        </w:rPr>
        <w:t>2</w:t>
      </w:r>
      <w:r>
        <w:rPr>
          <w:snapToGrid w:val="0"/>
        </w:rPr>
        <w:t>.</w:t>
      </w:r>
      <w:r>
        <w:rPr>
          <w:snapToGrid w:val="0"/>
        </w:rPr>
        <w:tab/>
        <w:t>Cases not provided for</w:t>
      </w:r>
      <w:bookmarkEnd w:id="1322"/>
    </w:p>
    <w:p w:rsidR="00425758" w:rsidRDefault="00425758">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rsidR="00425758" w:rsidRDefault="00425758">
      <w:pPr>
        <w:pStyle w:val="Subsection"/>
        <w:rPr>
          <w:snapToGrid w:val="0"/>
        </w:rPr>
      </w:pPr>
      <w:r>
        <w:rPr>
          <w:snapToGrid w:val="0"/>
        </w:rPr>
        <w:tab/>
        <w:t>(2)</w:t>
      </w:r>
      <w:r>
        <w:rPr>
          <w:snapToGrid w:val="0"/>
        </w:rPr>
        <w:tab/>
        <w:t>A step taken in accordance with a direction given under subrule (1) shall be deemed to be regular and sufficient.</w:t>
      </w:r>
    </w:p>
    <w:p w:rsidR="00425758" w:rsidRDefault="00425758">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rsidR="00425758" w:rsidRDefault="00425758">
      <w:pPr>
        <w:pStyle w:val="Footnotesection"/>
      </w:pPr>
      <w:r>
        <w:tab/>
        <w:t>[Rule 2 amended: Gazette 28 Jun 2011 p. 2552.]</w:t>
      </w:r>
    </w:p>
    <w:p w:rsidR="00425758" w:rsidRDefault="00425758">
      <w:pPr>
        <w:pStyle w:val="Heading5"/>
        <w:rPr>
          <w:snapToGrid w:val="0"/>
        </w:rPr>
      </w:pPr>
      <w:bookmarkStart w:id="1323" w:name="_Toc75863890"/>
      <w:r>
        <w:rPr>
          <w:rStyle w:val="CharSectno"/>
        </w:rPr>
        <w:t>3</w:t>
      </w:r>
      <w:r>
        <w:rPr>
          <w:snapToGrid w:val="0"/>
        </w:rPr>
        <w:t>.</w:t>
      </w:r>
      <w:r>
        <w:rPr>
          <w:snapToGrid w:val="0"/>
        </w:rPr>
        <w:tab/>
        <w:t>Publication of written reasons for judgment</w:t>
      </w:r>
      <w:bookmarkEnd w:id="1323"/>
    </w:p>
    <w:p w:rsidR="00425758" w:rsidRDefault="00425758">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rsidR="00425758" w:rsidRDefault="00425758">
      <w:pPr>
        <w:pStyle w:val="Footnotesection"/>
      </w:pPr>
      <w:r>
        <w:tab/>
        <w:t>[Rule 3 amended: Gazette 29 Apr 2005 p. 1795.]</w:t>
      </w:r>
    </w:p>
    <w:p w:rsidR="00425758" w:rsidRDefault="00425758">
      <w:pPr>
        <w:pStyle w:val="Heading5"/>
        <w:rPr>
          <w:snapToGrid w:val="0"/>
        </w:rPr>
      </w:pPr>
      <w:bookmarkStart w:id="1324" w:name="_Toc75863891"/>
      <w:r>
        <w:rPr>
          <w:rStyle w:val="CharSectno"/>
        </w:rPr>
        <w:lastRenderedPageBreak/>
        <w:t>4</w:t>
      </w:r>
      <w:r>
        <w:rPr>
          <w:snapToGrid w:val="0"/>
        </w:rPr>
        <w:t>.</w:t>
      </w:r>
      <w:r>
        <w:rPr>
          <w:snapToGrid w:val="0"/>
        </w:rPr>
        <w:tab/>
        <w:t>Bankruptcy jurisdiction, duty of Registrar in Bankruptcy as to seals, records etc.</w:t>
      </w:r>
      <w:bookmarkEnd w:id="1324"/>
    </w:p>
    <w:p w:rsidR="00425758" w:rsidRDefault="00425758">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rsidR="00425758" w:rsidRDefault="00425758">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rsidR="00425758" w:rsidRDefault="00425758">
      <w:pPr>
        <w:pStyle w:val="Footnotesection"/>
      </w:pPr>
      <w:r>
        <w:tab/>
        <w:t xml:space="preserve">[Rule 4 amended: Gazette 26 Aug 1994 p. 4415; 19 Apr 2005 p. 1300.] </w:t>
      </w:r>
    </w:p>
    <w:p w:rsidR="00425758" w:rsidRDefault="00425758">
      <w:pPr>
        <w:pStyle w:val="Heading5"/>
        <w:spacing w:before="240"/>
        <w:rPr>
          <w:snapToGrid w:val="0"/>
        </w:rPr>
      </w:pPr>
      <w:bookmarkStart w:id="1325" w:name="_Toc75863892"/>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1325"/>
      <w:r>
        <w:rPr>
          <w:snapToGrid w:val="0"/>
        </w:rPr>
        <w:t xml:space="preserve"> </w:t>
      </w:r>
    </w:p>
    <w:p w:rsidR="00425758" w:rsidRDefault="00425758">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rsidR="00425758" w:rsidRDefault="00425758">
      <w:pPr>
        <w:pStyle w:val="Footnotesection"/>
      </w:pPr>
      <w:r>
        <w:tab/>
        <w:t xml:space="preserve">[Rule 5 amended: Gazette 12 Nov 1976 p. 4277.] </w:t>
      </w:r>
    </w:p>
    <w:p w:rsidR="00425758" w:rsidRDefault="00425758">
      <w:pPr>
        <w:pStyle w:val="Heading5"/>
        <w:spacing w:before="240"/>
        <w:rPr>
          <w:snapToGrid w:val="0"/>
        </w:rPr>
      </w:pPr>
      <w:bookmarkStart w:id="1326" w:name="_Toc75863893"/>
      <w:r>
        <w:rPr>
          <w:rStyle w:val="CharSectno"/>
        </w:rPr>
        <w:lastRenderedPageBreak/>
        <w:t>6</w:t>
      </w:r>
      <w:r>
        <w:rPr>
          <w:snapToGrid w:val="0"/>
        </w:rPr>
        <w:t>.</w:t>
      </w:r>
      <w:r>
        <w:rPr>
          <w:snapToGrid w:val="0"/>
        </w:rPr>
        <w:tab/>
        <w:t>Sale proceeds paid into court, claimants to must file affidavit</w:t>
      </w:r>
      <w:bookmarkEnd w:id="1326"/>
      <w:r>
        <w:rPr>
          <w:snapToGrid w:val="0"/>
        </w:rPr>
        <w:t xml:space="preserve"> </w:t>
      </w:r>
    </w:p>
    <w:p w:rsidR="00425758" w:rsidRDefault="00425758">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rsidR="00425758" w:rsidRDefault="00425758">
      <w:pPr>
        <w:pStyle w:val="Footnotesection"/>
      </w:pPr>
      <w:r>
        <w:tab/>
        <w:t xml:space="preserve">[Rule 6 amended: Gazette 26 Aug 1994 p. 4415.] </w:t>
      </w:r>
    </w:p>
    <w:p w:rsidR="00425758" w:rsidRDefault="00425758">
      <w:pPr>
        <w:pStyle w:val="Heading5"/>
        <w:rPr>
          <w:snapToGrid w:val="0"/>
        </w:rPr>
      </w:pPr>
      <w:bookmarkStart w:id="1327" w:name="_Toc75863894"/>
      <w:r>
        <w:rPr>
          <w:rStyle w:val="CharSectno"/>
        </w:rPr>
        <w:t>7</w:t>
      </w:r>
      <w:r>
        <w:rPr>
          <w:snapToGrid w:val="0"/>
        </w:rPr>
        <w:t>.</w:t>
      </w:r>
      <w:r>
        <w:rPr>
          <w:snapToGrid w:val="0"/>
        </w:rPr>
        <w:tab/>
        <w:t>Account by solicitor to client, applying for and order as to</w:t>
      </w:r>
      <w:bookmarkEnd w:id="1327"/>
    </w:p>
    <w:p w:rsidR="00425758" w:rsidRDefault="00425758">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rsidR="00425758" w:rsidRDefault="00425758">
      <w:pPr>
        <w:pStyle w:val="Heading5"/>
      </w:pPr>
      <w:bookmarkStart w:id="1328" w:name="_Toc75863895"/>
      <w:r>
        <w:rPr>
          <w:rStyle w:val="CharSectno"/>
        </w:rPr>
        <w:t>8</w:t>
      </w:r>
      <w:r>
        <w:t>.</w:t>
      </w:r>
      <w:r>
        <w:tab/>
        <w:t>Interest and apportionment, certification of</w:t>
      </w:r>
      <w:bookmarkEnd w:id="1328"/>
    </w:p>
    <w:p w:rsidR="00425758" w:rsidRDefault="00425758">
      <w:pPr>
        <w:pStyle w:val="Subsection"/>
      </w:pPr>
      <w:r>
        <w:tab/>
      </w:r>
      <w:r>
        <w:tab/>
        <w:t>The Court may order the calculation of interest, or the apportionment of a fund, to be certified by a registrar and to be acted upon by the Accountant or any other person without further order.</w:t>
      </w:r>
    </w:p>
    <w:p w:rsidR="00425758" w:rsidRDefault="00425758">
      <w:pPr>
        <w:pStyle w:val="Footnotesection"/>
      </w:pPr>
      <w:r>
        <w:tab/>
        <w:t>[Rule 8 inserted: Gazette 21 Feb 2007 p. 595.]</w:t>
      </w:r>
    </w:p>
    <w:p w:rsidR="00425758" w:rsidRDefault="00425758">
      <w:pPr>
        <w:pStyle w:val="Heading5"/>
        <w:rPr>
          <w:snapToGrid w:val="0"/>
        </w:rPr>
      </w:pPr>
      <w:bookmarkStart w:id="1329" w:name="_Toc75863896"/>
      <w:r>
        <w:rPr>
          <w:rStyle w:val="CharSectno"/>
        </w:rPr>
        <w:lastRenderedPageBreak/>
        <w:t>9</w:t>
      </w:r>
      <w:r>
        <w:rPr>
          <w:snapToGrid w:val="0"/>
        </w:rPr>
        <w:t>.</w:t>
      </w:r>
      <w:r>
        <w:rPr>
          <w:snapToGrid w:val="0"/>
        </w:rPr>
        <w:tab/>
      </w:r>
      <w:r>
        <w:rPr>
          <w:i/>
          <w:snapToGrid w:val="0"/>
        </w:rPr>
        <w:t>Admiralty Act 1988</w:t>
      </w:r>
      <w:r>
        <w:rPr>
          <w:snapToGrid w:val="0"/>
        </w:rPr>
        <w:t xml:space="preserve"> (Cwlth) rules, registrar etc. may exercise powers etc. under</w:t>
      </w:r>
      <w:bookmarkEnd w:id="1329"/>
    </w:p>
    <w:p w:rsidR="00425758" w:rsidRDefault="00425758">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rsidR="00425758" w:rsidRDefault="00425758">
      <w:pPr>
        <w:pStyle w:val="Subsection"/>
        <w:rPr>
          <w:snapToGrid w:val="0"/>
        </w:rPr>
      </w:pPr>
      <w:r>
        <w:rPr>
          <w:snapToGrid w:val="0"/>
        </w:rPr>
        <w:tab/>
        <w:t>(2)</w:t>
      </w:r>
      <w:r>
        <w:rPr>
          <w:snapToGrid w:val="0"/>
        </w:rPr>
        <w:tab/>
        <w:t>A registrar may exercise the powers or functions or perform the duties of the registrar under the Admiralty Rules.</w:t>
      </w:r>
    </w:p>
    <w:p w:rsidR="00425758" w:rsidRDefault="00425758">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rsidR="00425758" w:rsidRDefault="00425758">
      <w:pPr>
        <w:pStyle w:val="Footnotesection"/>
      </w:pPr>
      <w:r>
        <w:tab/>
        <w:t>[Rule 9 inserted: Gazette 30 Mar 1990 p. 1574; amended: Gazette 30 Oct 1992 p. 5310; 21 Feb 2007 p. 595.]</w:t>
      </w:r>
    </w:p>
    <w:p w:rsidR="00425758" w:rsidRDefault="00425758">
      <w:pPr>
        <w:pStyle w:val="Heading2"/>
      </w:pPr>
      <w:bookmarkStart w:id="1330" w:name="_Toc75512801"/>
      <w:bookmarkStart w:id="1331" w:name="_Toc75863897"/>
      <w:r>
        <w:rPr>
          <w:rStyle w:val="CharPartNo"/>
        </w:rPr>
        <w:lastRenderedPageBreak/>
        <w:t>Order 85</w:t>
      </w:r>
      <w:r>
        <w:rPr>
          <w:b w:val="0"/>
        </w:rPr>
        <w:t> </w:t>
      </w:r>
      <w:r>
        <w:t>—</w:t>
      </w:r>
      <w:r>
        <w:rPr>
          <w:b w:val="0"/>
        </w:rPr>
        <w:t> </w:t>
      </w:r>
      <w:r>
        <w:rPr>
          <w:rStyle w:val="CharPartText"/>
          <w:i/>
          <w:iCs/>
        </w:rPr>
        <w:t>Federal Courts (State Jurisdiction) Act 1999</w:t>
      </w:r>
      <w:r>
        <w:rPr>
          <w:rStyle w:val="CharPartText"/>
        </w:rPr>
        <w:t xml:space="preserve"> rules</w:t>
      </w:r>
      <w:bookmarkEnd w:id="1330"/>
      <w:bookmarkEnd w:id="1331"/>
    </w:p>
    <w:p w:rsidR="00425758" w:rsidRDefault="00425758">
      <w:pPr>
        <w:pStyle w:val="Footnoteheading"/>
        <w:ind w:left="890"/>
        <w:rPr>
          <w:snapToGrid w:val="0"/>
        </w:rPr>
      </w:pPr>
      <w:r>
        <w:rPr>
          <w:snapToGrid w:val="0"/>
        </w:rPr>
        <w:tab/>
        <w:t>[Heading inserted: Gazette 22 Feb 2008 p. 649.]</w:t>
      </w:r>
    </w:p>
    <w:p w:rsidR="00425758" w:rsidRDefault="00425758">
      <w:pPr>
        <w:pStyle w:val="Heading5"/>
      </w:pPr>
      <w:bookmarkStart w:id="1332" w:name="_Toc75863898"/>
      <w:r>
        <w:rPr>
          <w:rStyle w:val="CharSectno"/>
        </w:rPr>
        <w:t>1</w:t>
      </w:r>
      <w:r>
        <w:t>.</w:t>
      </w:r>
      <w:r>
        <w:tab/>
        <w:t>Terms used</w:t>
      </w:r>
      <w:bookmarkEnd w:id="1332"/>
    </w:p>
    <w:p w:rsidR="00425758" w:rsidRDefault="00425758">
      <w:pPr>
        <w:pStyle w:val="Subsection"/>
      </w:pPr>
      <w:r>
        <w:tab/>
        <w:t>(1)</w:t>
      </w:r>
      <w:r>
        <w:tab/>
        <w:t>In this Order, unless the contrary intention appears —</w:t>
      </w:r>
    </w:p>
    <w:p w:rsidR="00425758" w:rsidRDefault="00425758">
      <w:pPr>
        <w:pStyle w:val="Defstart"/>
      </w:pPr>
      <w:r>
        <w:tab/>
      </w:r>
      <w:r>
        <w:rPr>
          <w:rStyle w:val="CharDefText"/>
        </w:rPr>
        <w:t>Act</w:t>
      </w:r>
      <w:r>
        <w:t xml:space="preserve"> means the </w:t>
      </w:r>
      <w:r>
        <w:rPr>
          <w:i/>
        </w:rPr>
        <w:t>Federal Courts (State Jurisdiction) Act 1999</w:t>
      </w:r>
      <w:r>
        <w:t>;</w:t>
      </w:r>
    </w:p>
    <w:p w:rsidR="00425758" w:rsidRDefault="00425758">
      <w:pPr>
        <w:pStyle w:val="Defstart"/>
      </w:pPr>
      <w:r>
        <w:tab/>
      </w:r>
      <w:r>
        <w:rPr>
          <w:rStyle w:val="CharDefText"/>
        </w:rPr>
        <w:t>section</w:t>
      </w:r>
      <w:r>
        <w:t xml:space="preserve"> means a section of the Act.</w:t>
      </w:r>
    </w:p>
    <w:p w:rsidR="00425758" w:rsidRDefault="00425758">
      <w:pPr>
        <w:pStyle w:val="Subsection"/>
      </w:pPr>
      <w:r>
        <w:tab/>
        <w:t>(2)</w:t>
      </w:r>
      <w:r>
        <w:tab/>
        <w:t>Unless the contrary intention appears, words defined in the Act and used in this Order have the same respective meanings as in the Act.</w:t>
      </w:r>
    </w:p>
    <w:p w:rsidR="00425758" w:rsidRDefault="00425758">
      <w:pPr>
        <w:pStyle w:val="Footnotesection"/>
      </w:pPr>
      <w:r>
        <w:tab/>
        <w:t>[Rule 1 inserted: Gazette 5 Nov 1999 p. 5629.]</w:t>
      </w:r>
    </w:p>
    <w:p w:rsidR="00425758" w:rsidRDefault="00425758">
      <w:pPr>
        <w:pStyle w:val="Heading5"/>
      </w:pPr>
      <w:bookmarkStart w:id="1333" w:name="_Toc75863899"/>
      <w:r>
        <w:rPr>
          <w:rStyle w:val="CharSectno"/>
        </w:rPr>
        <w:t>2</w:t>
      </w:r>
      <w:r>
        <w:t>.</w:t>
      </w:r>
      <w:r>
        <w:tab/>
        <w:t>Title of proceedings</w:t>
      </w:r>
      <w:bookmarkEnd w:id="1333"/>
    </w:p>
    <w:p w:rsidR="00425758" w:rsidRDefault="00425758">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rsidR="00425758" w:rsidRDefault="00425758">
      <w:pPr>
        <w:pStyle w:val="Footnotesection"/>
      </w:pPr>
      <w:r>
        <w:tab/>
        <w:t>[Rule 2 inserted: Gazette 5 Nov 1999 p. 5629.]</w:t>
      </w:r>
    </w:p>
    <w:p w:rsidR="00425758" w:rsidRDefault="00425758">
      <w:pPr>
        <w:pStyle w:val="Heading5"/>
      </w:pPr>
      <w:bookmarkStart w:id="1334" w:name="_Toc75863900"/>
      <w:r>
        <w:rPr>
          <w:rStyle w:val="CharSectno"/>
        </w:rPr>
        <w:t>3</w:t>
      </w:r>
      <w:r>
        <w:t>.</w:t>
      </w:r>
      <w:r>
        <w:tab/>
        <w:t>No proceedings on ineffective judgment before application to have it registered</w:t>
      </w:r>
      <w:bookmarkEnd w:id="1334"/>
    </w:p>
    <w:p w:rsidR="00425758" w:rsidRDefault="00425758">
      <w:pPr>
        <w:pStyle w:val="Subsection"/>
      </w:pPr>
      <w:r>
        <w:tab/>
        <w:t>(1)</w:t>
      </w:r>
      <w:r>
        <w:tab/>
        <w:t>If a person wants to take any proceedings in the Supreme Court in respect of an ineffective judgment, the person must first apply to have the judgment registered in the Supreme Court.</w:t>
      </w:r>
    </w:p>
    <w:p w:rsidR="00425758" w:rsidRDefault="00425758">
      <w:pPr>
        <w:pStyle w:val="Subsection"/>
      </w:pPr>
      <w:r>
        <w:tab/>
        <w:t>(2)</w:t>
      </w:r>
      <w:r>
        <w:tab/>
        <w:t>Subrule (1) does not apply to an ineffective judgment that is —</w:t>
      </w:r>
    </w:p>
    <w:p w:rsidR="00425758" w:rsidRDefault="00425758">
      <w:pPr>
        <w:pStyle w:val="Indenta"/>
      </w:pPr>
      <w:r>
        <w:tab/>
        <w:t>(a)</w:t>
      </w:r>
      <w:r>
        <w:tab/>
        <w:t>an interlocutory judgment or order; or</w:t>
      </w:r>
    </w:p>
    <w:p w:rsidR="00425758" w:rsidRDefault="00425758">
      <w:pPr>
        <w:pStyle w:val="Indenta"/>
      </w:pPr>
      <w:r>
        <w:tab/>
        <w:t>(b)</w:t>
      </w:r>
      <w:r>
        <w:tab/>
        <w:t>a relevant order in a proceeding that is the subject of an application under section 11(2).</w:t>
      </w:r>
    </w:p>
    <w:p w:rsidR="00425758" w:rsidRDefault="00425758">
      <w:pPr>
        <w:pStyle w:val="Subsection"/>
      </w:pPr>
      <w:r>
        <w:lastRenderedPageBreak/>
        <w:tab/>
        <w:t>(3)</w:t>
      </w:r>
      <w:r>
        <w:tab/>
        <w:t>An application to have an ineffective judgment registered may be made at the same time as an application referred to in rule 6(1)(a).</w:t>
      </w:r>
    </w:p>
    <w:p w:rsidR="00425758" w:rsidRDefault="00425758">
      <w:pPr>
        <w:pStyle w:val="Footnotesection"/>
      </w:pPr>
      <w:r>
        <w:tab/>
        <w:t>[Rule 3 inserted: Gazette 5 Nov 1999 p. 5629</w:t>
      </w:r>
      <w:r>
        <w:noBreakHyphen/>
        <w:t>30; amended: Gazette 28 Jun 2011 p. 2552.]</w:t>
      </w:r>
    </w:p>
    <w:p w:rsidR="00425758" w:rsidRDefault="00425758">
      <w:pPr>
        <w:pStyle w:val="Heading5"/>
      </w:pPr>
      <w:bookmarkStart w:id="1335" w:name="_Toc75863901"/>
      <w:r>
        <w:rPr>
          <w:rStyle w:val="CharSectno"/>
        </w:rPr>
        <w:t>4</w:t>
      </w:r>
      <w:r>
        <w:t>.</w:t>
      </w:r>
      <w:r>
        <w:tab/>
        <w:t>Ineffective judgment, application for registration of</w:t>
      </w:r>
      <w:bookmarkEnd w:id="1335"/>
    </w:p>
    <w:p w:rsidR="00425758" w:rsidRDefault="00425758">
      <w:pPr>
        <w:pStyle w:val="Subsection"/>
      </w:pPr>
      <w:r>
        <w:tab/>
        <w:t>(1)</w:t>
      </w:r>
      <w:r>
        <w:tab/>
        <w:t>An application for the registration of an ineffective judgment must be made by originating summons to —</w:t>
      </w:r>
    </w:p>
    <w:p w:rsidR="00425758" w:rsidRDefault="00425758">
      <w:pPr>
        <w:pStyle w:val="Indenta"/>
      </w:pPr>
      <w:r>
        <w:tab/>
        <w:t>(a)</w:t>
      </w:r>
      <w:r>
        <w:tab/>
        <w:t>a master in chambers; or</w:t>
      </w:r>
    </w:p>
    <w:p w:rsidR="00425758" w:rsidRDefault="00425758">
      <w:pPr>
        <w:pStyle w:val="Indenta"/>
      </w:pPr>
      <w:r>
        <w:tab/>
        <w:t>(b)</w:t>
      </w:r>
      <w:r>
        <w:tab/>
        <w:t>if made at the same time as an application referred to in rule 6(1)(a), to a judge in chambers.</w:t>
      </w:r>
    </w:p>
    <w:p w:rsidR="00425758" w:rsidRDefault="00425758">
      <w:pPr>
        <w:pStyle w:val="Subsection"/>
      </w:pPr>
      <w:r>
        <w:tab/>
        <w:t>(2)</w:t>
      </w:r>
      <w:r>
        <w:tab/>
        <w:t>Notice of the application must be given to all parties affected by the ineffective judgment unless the Court orders otherwise.</w:t>
      </w:r>
    </w:p>
    <w:p w:rsidR="00425758" w:rsidRDefault="00425758">
      <w:pPr>
        <w:pStyle w:val="Subsection"/>
      </w:pPr>
      <w:r>
        <w:tab/>
        <w:t>(3)</w:t>
      </w:r>
      <w:r>
        <w:tab/>
        <w:t>If an ineffective judgment relates to 2 or more matters some of which are not State matters, the summons must identify the matters in respect of which registration is sought.</w:t>
      </w:r>
    </w:p>
    <w:p w:rsidR="00425758" w:rsidRDefault="00425758">
      <w:pPr>
        <w:pStyle w:val="Subsection"/>
      </w:pPr>
      <w:r>
        <w:tab/>
        <w:t>(4)</w:t>
      </w:r>
      <w:r>
        <w:tab/>
        <w:t>The application must be supported by an affidavit that —</w:t>
      </w:r>
    </w:p>
    <w:p w:rsidR="00425758" w:rsidRDefault="00425758">
      <w:pPr>
        <w:pStyle w:val="Indenta"/>
      </w:pPr>
      <w:r>
        <w:tab/>
        <w:t>(a)</w:t>
      </w:r>
      <w:r>
        <w:tab/>
        <w:t>exhibits a copy of the ineffective judgment or of the Commonwealth court’s record of the judgment; and</w:t>
      </w:r>
    </w:p>
    <w:p w:rsidR="00425758" w:rsidRDefault="00425758">
      <w:pPr>
        <w:pStyle w:val="Indenta"/>
      </w:pPr>
      <w:r>
        <w:tab/>
        <w:t>(b)</w:t>
      </w:r>
      <w:r>
        <w:tab/>
        <w:t>states why it is sought to register the judgment.</w:t>
      </w:r>
    </w:p>
    <w:p w:rsidR="00425758" w:rsidRDefault="00425758">
      <w:pPr>
        <w:pStyle w:val="Subsection"/>
      </w:pPr>
      <w:r>
        <w:tab/>
        <w:t>(5)</w:t>
      </w:r>
      <w:r>
        <w:tab/>
        <w:t xml:space="preserve">If the reason for seeking registration of the ineffective judgment is to enforce payment of an amount of money due under the judgment, the affidavit must — </w:t>
      </w:r>
    </w:p>
    <w:p w:rsidR="00425758" w:rsidRDefault="00425758">
      <w:pPr>
        <w:pStyle w:val="Indenta"/>
      </w:pPr>
      <w:r>
        <w:tab/>
        <w:t>(a)</w:t>
      </w:r>
      <w:r>
        <w:tab/>
        <w:t>state the amount as at the date of the affidavit; and</w:t>
      </w:r>
    </w:p>
    <w:p w:rsidR="00425758" w:rsidRDefault="00425758">
      <w:pPr>
        <w:pStyle w:val="Indenta"/>
      </w:pPr>
      <w:r>
        <w:tab/>
        <w:t>(b)</w:t>
      </w:r>
      <w:r>
        <w:tab/>
        <w:t>state the rate of interest (if any) that applies to the amount; and</w:t>
      </w:r>
    </w:p>
    <w:p w:rsidR="00425758" w:rsidRDefault="00425758">
      <w:pPr>
        <w:pStyle w:val="Indenta"/>
      </w:pPr>
      <w:r>
        <w:tab/>
        <w:t>(c)</w:t>
      </w:r>
      <w:r>
        <w:tab/>
        <w:t>state the full name, title, trade or business, and the usual or last known place of abode or business of the judgment creditor and of the judgment debtor, so far as they are known to the deponent; and</w:t>
      </w:r>
    </w:p>
    <w:p w:rsidR="00425758" w:rsidRDefault="00425758">
      <w:pPr>
        <w:pStyle w:val="Indenta"/>
        <w:keepNext/>
      </w:pPr>
      <w:r>
        <w:lastRenderedPageBreak/>
        <w:tab/>
        <w:t>(d)</w:t>
      </w:r>
      <w:r>
        <w:tab/>
        <w:t>state to the best of the deponent’s knowledge and belief that the applicant is entitled to enforce the judgment.</w:t>
      </w:r>
    </w:p>
    <w:p w:rsidR="00425758" w:rsidRDefault="00425758">
      <w:pPr>
        <w:pStyle w:val="Footnotesection"/>
      </w:pPr>
      <w:r>
        <w:tab/>
        <w:t>[Rule 4 inserted: Gazette 5 Nov 1999 p. 5630.]</w:t>
      </w:r>
    </w:p>
    <w:p w:rsidR="00425758" w:rsidRDefault="00425758">
      <w:pPr>
        <w:pStyle w:val="Heading5"/>
      </w:pPr>
      <w:bookmarkStart w:id="1336" w:name="_Toc75863902"/>
      <w:r>
        <w:rPr>
          <w:rStyle w:val="CharSectno"/>
        </w:rPr>
        <w:t>5</w:t>
      </w:r>
      <w:r>
        <w:t>.</w:t>
      </w:r>
      <w:r>
        <w:tab/>
        <w:t>Ineffective judgments, registration of</w:t>
      </w:r>
      <w:bookmarkEnd w:id="1336"/>
    </w:p>
    <w:p w:rsidR="00425758" w:rsidRDefault="00425758">
      <w:pPr>
        <w:pStyle w:val="Subsection"/>
      </w:pPr>
      <w:r>
        <w:tab/>
      </w:r>
      <w:r>
        <w:tab/>
        <w:t xml:space="preserve">The Court is to register an ineffective judgment if satisfied that — </w:t>
      </w:r>
    </w:p>
    <w:p w:rsidR="00425758" w:rsidRDefault="00425758">
      <w:pPr>
        <w:pStyle w:val="Indenta"/>
      </w:pPr>
      <w:r>
        <w:tab/>
        <w:t>(a)</w:t>
      </w:r>
      <w:r>
        <w:tab/>
        <w:t>the judgment concerned is an ineffective judgment; and</w:t>
      </w:r>
    </w:p>
    <w:p w:rsidR="00425758" w:rsidRDefault="00425758">
      <w:pPr>
        <w:pStyle w:val="Indenta"/>
      </w:pPr>
      <w:r>
        <w:tab/>
        <w:t>(b)</w:t>
      </w:r>
      <w:r>
        <w:tab/>
        <w:t>the application to register it complies with these rules; and</w:t>
      </w:r>
    </w:p>
    <w:p w:rsidR="00425758" w:rsidRDefault="00425758">
      <w:pPr>
        <w:pStyle w:val="Indenta"/>
      </w:pPr>
      <w:r>
        <w:tab/>
        <w:t>(c)</w:t>
      </w:r>
      <w:r>
        <w:tab/>
        <w:t>the judgment is not wholly satisfied; and</w:t>
      </w:r>
    </w:p>
    <w:p w:rsidR="00425758" w:rsidRDefault="00425758">
      <w:pPr>
        <w:pStyle w:val="Indenta"/>
      </w:pPr>
      <w:r>
        <w:tab/>
        <w:t>(d)</w:t>
      </w:r>
      <w:r>
        <w:tab/>
        <w:t>it is appropriate to do so.</w:t>
      </w:r>
    </w:p>
    <w:p w:rsidR="00425758" w:rsidRDefault="00425758">
      <w:pPr>
        <w:pStyle w:val="Footnotesection"/>
      </w:pPr>
      <w:r>
        <w:tab/>
        <w:t>[Rule 5 inserted: Gazette 5 Nov 1999 p. 5630</w:t>
      </w:r>
      <w:r>
        <w:noBreakHyphen/>
        <w:t>1.]</w:t>
      </w:r>
    </w:p>
    <w:p w:rsidR="00425758" w:rsidRDefault="00425758">
      <w:pPr>
        <w:pStyle w:val="Heading5"/>
      </w:pPr>
      <w:bookmarkStart w:id="1337" w:name="_Toc75863903"/>
      <w:r>
        <w:rPr>
          <w:rStyle w:val="CharSectno"/>
        </w:rPr>
        <w:t>6</w:t>
      </w:r>
      <w:r>
        <w:t>.</w:t>
      </w:r>
      <w:r>
        <w:tab/>
        <w:t>Act s. 10, application for order under</w:t>
      </w:r>
      <w:bookmarkEnd w:id="1337"/>
      <w:r>
        <w:t xml:space="preserve"> </w:t>
      </w:r>
    </w:p>
    <w:p w:rsidR="00425758" w:rsidRDefault="00425758">
      <w:pPr>
        <w:pStyle w:val="Subsection"/>
      </w:pPr>
      <w:r>
        <w:tab/>
        <w:t>(1)</w:t>
      </w:r>
      <w:r>
        <w:tab/>
        <w:t>An application for an order under section 10(1) or (3) in respect of an ineffective judgment must be made —</w:t>
      </w:r>
    </w:p>
    <w:p w:rsidR="00425758" w:rsidRDefault="00425758">
      <w:pPr>
        <w:pStyle w:val="Indenta"/>
      </w:pPr>
      <w:r>
        <w:tab/>
        <w:t>(a)</w:t>
      </w:r>
      <w:r>
        <w:tab/>
        <w:t>if the order sought is one that, had the judgment been one of a judge or master of the Supreme Court, could be made by such a judge or master — by summons (with a supporting affidavit) to a judge in chambers; or</w:t>
      </w:r>
    </w:p>
    <w:p w:rsidR="00425758" w:rsidRDefault="00425758">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rsidR="00425758" w:rsidRDefault="00425758">
      <w:pPr>
        <w:pStyle w:val="Subsection"/>
      </w:pPr>
      <w:r>
        <w:tab/>
        <w:t>(2)</w:t>
      </w:r>
      <w:r>
        <w:tab/>
        <w:t xml:space="preserve">If an application under </w:t>
      </w:r>
      <w:r>
        <w:rPr>
          <w:snapToGrid w:val="0"/>
        </w:rPr>
        <w:t>subrule</w:t>
      </w:r>
      <w:r>
        <w:t> (1)(a) also includes an application under rule 3(1) —</w:t>
      </w:r>
    </w:p>
    <w:p w:rsidR="00425758" w:rsidRDefault="00425758">
      <w:pPr>
        <w:pStyle w:val="Indenta"/>
      </w:pPr>
      <w:r>
        <w:tab/>
        <w:t>(a)</w:t>
      </w:r>
      <w:r>
        <w:tab/>
        <w:t xml:space="preserve">the application under </w:t>
      </w:r>
      <w:r>
        <w:rPr>
          <w:snapToGrid w:val="0"/>
        </w:rPr>
        <w:t>subrule</w:t>
      </w:r>
      <w:r>
        <w:t> (1)(a) must be made by originating summons; and</w:t>
      </w:r>
    </w:p>
    <w:p w:rsidR="00425758" w:rsidRDefault="00425758">
      <w:pPr>
        <w:pStyle w:val="Indenta"/>
      </w:pPr>
      <w:r>
        <w:tab/>
        <w:t>(b)</w:t>
      </w:r>
      <w:r>
        <w:tab/>
        <w:t xml:space="preserve">the supporting affidavit must, in addition to complying with rule 4, exhibit a copy of each document on the </w:t>
      </w:r>
      <w:r>
        <w:lastRenderedPageBreak/>
        <w:t>Commonwealth court’s file, unless that file has been transferred to the Supreme Court or the Supreme Court orders otherwise.</w:t>
      </w:r>
    </w:p>
    <w:p w:rsidR="00425758" w:rsidRDefault="00425758">
      <w:pPr>
        <w:pStyle w:val="Footnotesection"/>
      </w:pPr>
      <w:r>
        <w:tab/>
        <w:t>[Rule 6 inserted: Gazette 5 Nov 1999 p. 5631; amended: Gazette 29 Apr 2005 p. 1795; 28 Jun 2011 p. 2552.]</w:t>
      </w:r>
    </w:p>
    <w:p w:rsidR="00425758" w:rsidRDefault="00425758">
      <w:pPr>
        <w:pStyle w:val="Heading5"/>
      </w:pPr>
      <w:bookmarkStart w:id="1338" w:name="_Toc75863904"/>
      <w:r>
        <w:rPr>
          <w:rStyle w:val="CharSectno"/>
        </w:rPr>
        <w:t>7</w:t>
      </w:r>
      <w:r>
        <w:t>.</w:t>
      </w:r>
      <w:r>
        <w:tab/>
        <w:t>Act s. 11, application for order under</w:t>
      </w:r>
      <w:bookmarkEnd w:id="1338"/>
    </w:p>
    <w:p w:rsidR="00425758" w:rsidRDefault="00425758">
      <w:pPr>
        <w:pStyle w:val="Subsection"/>
      </w:pPr>
      <w:r>
        <w:tab/>
        <w:t>(1)</w:t>
      </w:r>
      <w:r>
        <w:tab/>
        <w:t>An application under section 11(2) in relation to a proceeding in a Commonwealth court must be made by originating summons to a judge in chambers.</w:t>
      </w:r>
    </w:p>
    <w:p w:rsidR="00425758" w:rsidRDefault="00425758">
      <w:pPr>
        <w:pStyle w:val="Subsection"/>
      </w:pPr>
      <w:r>
        <w:tab/>
        <w:t>(2)</w:t>
      </w:r>
      <w:r>
        <w:tab/>
        <w:t>The application must be supported by an affidavit that —</w:t>
      </w:r>
    </w:p>
    <w:p w:rsidR="00425758" w:rsidRDefault="00425758">
      <w:pPr>
        <w:pStyle w:val="Indenta"/>
      </w:pPr>
      <w:r>
        <w:tab/>
        <w:t>(a)</w:t>
      </w:r>
      <w:r>
        <w:tab/>
        <w:t>summarizes the cause of action in the proceeding to which the relevant order relates; and</w:t>
      </w:r>
    </w:p>
    <w:p w:rsidR="00425758" w:rsidRDefault="00425758">
      <w:pPr>
        <w:pStyle w:val="Indenta"/>
      </w:pPr>
      <w:r>
        <w:tab/>
        <w:t>(b)</w:t>
      </w:r>
      <w:r>
        <w:tab/>
        <w:t>exhibits a copy of the relevant order, or of the Commonwealth court’s record of the relevant order; and</w:t>
      </w:r>
    </w:p>
    <w:p w:rsidR="00425758" w:rsidRDefault="00425758">
      <w:pPr>
        <w:pStyle w:val="Indenta"/>
      </w:pPr>
      <w:r>
        <w:tab/>
        <w:t>(c)</w:t>
      </w:r>
      <w:r>
        <w:tab/>
        <w:t>exhibits a copy of each document on the Commonwealth court’s file, unless that file has been transferred to the Supreme Court or the Supreme Court orders otherwise; and</w:t>
      </w:r>
    </w:p>
    <w:p w:rsidR="00425758" w:rsidRDefault="00425758">
      <w:pPr>
        <w:pStyle w:val="Indenta"/>
      </w:pPr>
      <w:r>
        <w:tab/>
        <w:t>(d)</w:t>
      </w:r>
      <w:r>
        <w:tab/>
        <w:t>states, in respect of the proceeding in the Commonwealth court, what procedural steps have been completed and what procedural step has been reached; and</w:t>
      </w:r>
    </w:p>
    <w:p w:rsidR="00425758" w:rsidRDefault="00425758">
      <w:pPr>
        <w:pStyle w:val="Indenta"/>
      </w:pPr>
      <w:r>
        <w:tab/>
        <w:t>(e)</w:t>
      </w:r>
      <w:r>
        <w:tab/>
        <w:t>states what procedural steps are likely to be taken in the Supreme Court before the proceeding can be listed for a hearing of the action.</w:t>
      </w:r>
    </w:p>
    <w:p w:rsidR="00425758" w:rsidRDefault="00425758">
      <w:pPr>
        <w:pStyle w:val="Footnotesection"/>
      </w:pPr>
      <w:r>
        <w:tab/>
        <w:t>[Rule 7 inserted: Gazette 5 Nov 1999 p. 5631</w:t>
      </w:r>
      <w:r>
        <w:noBreakHyphen/>
        <w:t>2.]</w:t>
      </w:r>
    </w:p>
    <w:p w:rsidR="00425758" w:rsidRDefault="00425758">
      <w:pPr>
        <w:pStyle w:val="Heading5"/>
      </w:pPr>
      <w:bookmarkStart w:id="1339" w:name="_Toc75863905"/>
      <w:r>
        <w:rPr>
          <w:rStyle w:val="CharSectno"/>
        </w:rPr>
        <w:t>8</w:t>
      </w:r>
      <w:r>
        <w:t>.</w:t>
      </w:r>
      <w:r>
        <w:tab/>
        <w:t>Act s. 11, effect of order under</w:t>
      </w:r>
      <w:bookmarkEnd w:id="1339"/>
    </w:p>
    <w:p w:rsidR="00425758" w:rsidRDefault="00425758">
      <w:pPr>
        <w:pStyle w:val="Subsection"/>
      </w:pPr>
      <w:r>
        <w:tab/>
      </w:r>
      <w:r>
        <w:tab/>
        <w:t>When an order is made under section 11(2) in relation to a proceeding in a Commonwealth court —</w:t>
      </w:r>
    </w:p>
    <w:p w:rsidR="00425758" w:rsidRDefault="00425758">
      <w:pPr>
        <w:pStyle w:val="Indenta"/>
      </w:pPr>
      <w:r>
        <w:tab/>
        <w:t>(a)</w:t>
      </w:r>
      <w:r>
        <w:tab/>
        <w:t>the Principal Registrar is to assign the proceeding the appropriate Supreme Court code or action number; and</w:t>
      </w:r>
    </w:p>
    <w:p w:rsidR="00425758" w:rsidRDefault="00425758">
      <w:pPr>
        <w:pStyle w:val="Indenta"/>
      </w:pPr>
      <w:r>
        <w:lastRenderedPageBreak/>
        <w:tab/>
        <w:t>(b)</w:t>
      </w:r>
      <w:r>
        <w:tab/>
        <w:t>the proceeding shall be conducted and dealt with in the Supreme Court in accordance with these rules; and</w:t>
      </w:r>
    </w:p>
    <w:p w:rsidR="00425758" w:rsidRDefault="00425758">
      <w:pPr>
        <w:pStyle w:val="Indenta"/>
        <w:keepNext/>
      </w:pPr>
      <w:r>
        <w:tab/>
        <w:t>(c)</w:t>
      </w:r>
      <w:r>
        <w:tab/>
        <w:t>documents filed in the Commonwealth court —</w:t>
      </w:r>
    </w:p>
    <w:p w:rsidR="00425758" w:rsidRDefault="00425758">
      <w:pPr>
        <w:pStyle w:val="Indenti"/>
      </w:pPr>
      <w:r>
        <w:tab/>
        <w:t>(i)</w:t>
      </w:r>
      <w:r>
        <w:tab/>
        <w:t>shall have the same effect and may be used for the same purposes as if they had been documents of the same or a similar nature filed in the Supreme Court; and</w:t>
      </w:r>
    </w:p>
    <w:p w:rsidR="00425758" w:rsidRDefault="00425758">
      <w:pPr>
        <w:pStyle w:val="Indenti"/>
      </w:pPr>
      <w:r>
        <w:tab/>
        <w:t>(ii)</w:t>
      </w:r>
      <w:r>
        <w:tab/>
        <w:t>shall not be taken to be irregular only because they do not comply, in form or otherwise, with these rules.</w:t>
      </w:r>
    </w:p>
    <w:p w:rsidR="00425758" w:rsidRDefault="00425758">
      <w:pPr>
        <w:pStyle w:val="Footnotesection"/>
      </w:pPr>
      <w:r>
        <w:tab/>
        <w:t>[Rule 8 inserted: Gazette 5 Nov 1999 p. 5632.]</w:t>
      </w:r>
    </w:p>
    <w:p w:rsidR="00425758" w:rsidRDefault="00425758">
      <w:pPr>
        <w:pStyle w:val="yEdnoteschedule"/>
      </w:pPr>
      <w:r>
        <w:t>[First Schedule deleted: Gazette 21 Feb 2007 p. 595.]</w:t>
      </w:r>
    </w:p>
    <w:p w:rsidR="00425758" w:rsidRDefault="00425758">
      <w:pPr>
        <w:sectPr w:rsidR="00425758">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rsidR="00425758" w:rsidRDefault="00425758">
      <w:pPr>
        <w:pStyle w:val="yScheduleHeading"/>
      </w:pPr>
      <w:bookmarkStart w:id="1340" w:name="_Toc75512810"/>
      <w:bookmarkStart w:id="1341" w:name="_Toc75863906"/>
      <w:r>
        <w:rPr>
          <w:rStyle w:val="CharSchNo"/>
        </w:rPr>
        <w:lastRenderedPageBreak/>
        <w:t>Schedule 2</w:t>
      </w:r>
      <w:r>
        <w:rPr>
          <w:rStyle w:val="CharSDivNo"/>
        </w:rPr>
        <w:t> </w:t>
      </w:r>
      <w:r>
        <w:t>—</w:t>
      </w:r>
      <w:r>
        <w:rPr>
          <w:rStyle w:val="CharSDivText"/>
        </w:rPr>
        <w:t> </w:t>
      </w:r>
      <w:r>
        <w:rPr>
          <w:rStyle w:val="CharSchText"/>
        </w:rPr>
        <w:t>Forms</w:t>
      </w:r>
      <w:bookmarkEnd w:id="1340"/>
      <w:bookmarkEnd w:id="1341"/>
    </w:p>
    <w:p w:rsidR="00425758" w:rsidRDefault="00425758">
      <w:pPr>
        <w:pStyle w:val="yFootnoteheading"/>
      </w:pPr>
      <w:r>
        <w:tab/>
        <w:t>[Heading inserted: Gazette 28 Jun 2011 p. 2555.]</w:t>
      </w:r>
    </w:p>
    <w:p w:rsidR="00425758" w:rsidRDefault="00425758">
      <w:pPr>
        <w:pStyle w:val="yHeading5"/>
      </w:pPr>
      <w:bookmarkStart w:id="1342" w:name="_Toc75863907"/>
      <w:r>
        <w:rPr>
          <w:rStyle w:val="CharSClsNo"/>
        </w:rPr>
        <w:t>1</w:t>
      </w:r>
      <w:r>
        <w:t>.</w:t>
      </w:r>
      <w:r>
        <w:tab/>
        <w:t>Writ of summons (general form) (O. 5 r. 1)</w:t>
      </w:r>
      <w:bookmarkEnd w:id="1342"/>
    </w:p>
    <w:p w:rsidR="00425758" w:rsidRDefault="00425758">
      <w:pPr>
        <w:pStyle w:val="yMiscellaneousBody"/>
        <w:tabs>
          <w:tab w:val="left" w:pos="4920"/>
        </w:tabs>
        <w:spacing w:before="120"/>
        <w:rPr>
          <w:sz w:val="20"/>
        </w:rPr>
      </w:pPr>
      <w:r>
        <w:rPr>
          <w:sz w:val="20"/>
        </w:rPr>
        <w:t xml:space="preserve">In the Supreme Court </w:t>
      </w:r>
      <w:r>
        <w:rPr>
          <w:sz w:val="20"/>
        </w:rPr>
        <w:tab/>
        <w:t>No.                 of 20     .</w:t>
      </w:r>
      <w:r>
        <w:rPr>
          <w:sz w:val="20"/>
        </w:rPr>
        <w:br/>
        <w:t>of Western Australia.</w:t>
      </w:r>
    </w:p>
    <w:p w:rsidR="00425758" w:rsidRDefault="00425758">
      <w:pPr>
        <w:pStyle w:val="yMiscellaneousBody"/>
        <w:spacing w:before="120"/>
        <w:jc w:val="center"/>
        <w:rPr>
          <w:sz w:val="20"/>
        </w:rPr>
      </w:pPr>
      <w:r>
        <w:rPr>
          <w:sz w:val="20"/>
        </w:rPr>
        <w:t>Between</w:t>
      </w:r>
    </w:p>
    <w:p w:rsidR="00425758" w:rsidRDefault="00425758">
      <w:pPr>
        <w:pStyle w:val="yMiscellaneousBody"/>
        <w:spacing w:before="120"/>
        <w:jc w:val="right"/>
        <w:rPr>
          <w:sz w:val="20"/>
        </w:rPr>
      </w:pPr>
      <w:r>
        <w:rPr>
          <w:sz w:val="20"/>
        </w:rPr>
        <w:t>A.B., Plaintiff,</w:t>
      </w:r>
    </w:p>
    <w:p w:rsidR="00425758" w:rsidRDefault="00425758">
      <w:pPr>
        <w:pStyle w:val="yMiscellaneousBody"/>
        <w:spacing w:before="120"/>
        <w:jc w:val="right"/>
        <w:rPr>
          <w:sz w:val="20"/>
        </w:rPr>
      </w:pPr>
      <w:r>
        <w:rPr>
          <w:sz w:val="20"/>
        </w:rPr>
        <w:t>and</w:t>
      </w:r>
    </w:p>
    <w:p w:rsidR="00425758" w:rsidRDefault="00425758">
      <w:pPr>
        <w:pStyle w:val="yMiscellaneousBody"/>
        <w:spacing w:before="120"/>
        <w:jc w:val="right"/>
        <w:rPr>
          <w:sz w:val="20"/>
        </w:rPr>
      </w:pPr>
      <w:r>
        <w:rPr>
          <w:sz w:val="20"/>
        </w:rPr>
        <w:t>C.D., Defendant.</w:t>
      </w:r>
    </w:p>
    <w:p w:rsidR="00425758" w:rsidRDefault="00425758">
      <w:pPr>
        <w:pStyle w:val="yMiscellaneousBody"/>
        <w:spacing w:before="120"/>
        <w:rPr>
          <w:sz w:val="20"/>
        </w:rPr>
      </w:pPr>
      <w:r>
        <w:rPr>
          <w:sz w:val="20"/>
        </w:rPr>
        <w:t>To C.D. of                                                               in the State of Western Australia.</w:t>
      </w:r>
    </w:p>
    <w:p w:rsidR="00425758" w:rsidRDefault="00425758">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rsidR="00425758" w:rsidRDefault="00425758">
      <w:pPr>
        <w:pStyle w:val="yMiscellaneousBody"/>
        <w:pBdr>
          <w:bottom w:val="single" w:sz="12" w:space="1" w:color="auto"/>
        </w:pBdr>
        <w:spacing w:before="120"/>
        <w:rPr>
          <w:sz w:val="20"/>
        </w:rPr>
      </w:pPr>
      <w:r>
        <w:rPr>
          <w:sz w:val="20"/>
        </w:rPr>
        <w:t xml:space="preserve">Witness                                                                      Chief Justice of Western Australia </w:t>
      </w:r>
      <w:r>
        <w:rPr>
          <w:sz w:val="20"/>
        </w:rPr>
        <w:br/>
        <w:t>the                    day of                                     20       .</w:t>
      </w:r>
    </w:p>
    <w:p w:rsidR="00425758" w:rsidRDefault="00425758">
      <w:pPr>
        <w:pStyle w:val="yMiscellaneousBody"/>
        <w:spacing w:before="240"/>
        <w:jc w:val="center"/>
        <w:rPr>
          <w:sz w:val="20"/>
        </w:rPr>
      </w:pPr>
      <w:r>
        <w:rPr>
          <w:sz w:val="20"/>
        </w:rPr>
        <w:t>Memoranda to be subscribed on Writ.</w:t>
      </w:r>
    </w:p>
    <w:p w:rsidR="00425758" w:rsidRDefault="00425758">
      <w:pPr>
        <w:pStyle w:val="yMiscellaneousBody"/>
        <w:spacing w:before="120"/>
        <w:rPr>
          <w:sz w:val="20"/>
        </w:rPr>
      </w:pPr>
      <w:r>
        <w:rPr>
          <w:sz w:val="20"/>
        </w:rPr>
        <w:t>Note: This writ may not be served later than 12 calendar months beginning with the above date unless renewed by order of the Court.</w:t>
      </w:r>
    </w:p>
    <w:p w:rsidR="00425758" w:rsidRDefault="00425758">
      <w:pPr>
        <w:pStyle w:val="yMiscellaneousBody"/>
        <w:spacing w:before="120"/>
        <w:rPr>
          <w:sz w:val="20"/>
        </w:rPr>
      </w:pPr>
      <w:r>
        <w:rPr>
          <w:sz w:val="20"/>
        </w:rPr>
        <w:t>A defendant may appear to this writ by entering an appearance either personally or by solicitor at the Central Office of the Supreme Court at Perth.</w:t>
      </w:r>
    </w:p>
    <w:p w:rsidR="00425758" w:rsidRDefault="00425758">
      <w:pPr>
        <w:pStyle w:val="yMiscellaneousBody"/>
        <w:spacing w:before="240"/>
        <w:jc w:val="center"/>
        <w:rPr>
          <w:i/>
          <w:iCs/>
          <w:sz w:val="20"/>
        </w:rPr>
      </w:pPr>
      <w:r>
        <w:rPr>
          <w:i/>
          <w:iCs/>
          <w:sz w:val="20"/>
        </w:rPr>
        <w:t>Indorsement of Claim.</w:t>
      </w:r>
    </w:p>
    <w:p w:rsidR="00425758" w:rsidRDefault="00425758">
      <w:pPr>
        <w:pStyle w:val="yMiscellaneousBody"/>
        <w:spacing w:before="120"/>
        <w:rPr>
          <w:sz w:val="20"/>
        </w:rPr>
      </w:pPr>
      <w:r>
        <w:rPr>
          <w:sz w:val="20"/>
        </w:rPr>
        <w:t>The plaintiff’s claim is for</w:t>
      </w:r>
    </w:p>
    <w:p w:rsidR="00425758" w:rsidRDefault="00425758">
      <w:pPr>
        <w:pStyle w:val="yMiscellaneousBody"/>
        <w:spacing w:before="120"/>
        <w:rPr>
          <w:sz w:val="20"/>
        </w:rPr>
      </w:pPr>
      <w:r>
        <w:rPr>
          <w:sz w:val="20"/>
        </w:rPr>
        <w:t>Place of trial</w:t>
      </w:r>
    </w:p>
    <w:p w:rsidR="00425758" w:rsidRDefault="00425758">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rsidR="00425758" w:rsidRDefault="00425758">
      <w:pPr>
        <w:pStyle w:val="yMiscellaneousBody"/>
        <w:spacing w:before="120"/>
        <w:ind w:left="600"/>
        <w:rPr>
          <w:sz w:val="20"/>
        </w:rPr>
      </w:pPr>
      <w:r>
        <w:rPr>
          <w:sz w:val="20"/>
        </w:rPr>
        <w:t xml:space="preserve">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w:t>
      </w:r>
      <w:r>
        <w:rPr>
          <w:sz w:val="20"/>
        </w:rPr>
        <w:lastRenderedPageBreak/>
        <w:t>by the taxing officer of the Court and if more than one sixth be disallowed the plaintiff shall pay the costs of taxation.</w:t>
      </w:r>
    </w:p>
    <w:p w:rsidR="00425758" w:rsidRDefault="00425758">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rsidR="00425758" w:rsidRDefault="00425758">
      <w:pPr>
        <w:pStyle w:val="yMiscellaneousBody"/>
        <w:spacing w:before="120"/>
        <w:rPr>
          <w:sz w:val="20"/>
        </w:rPr>
      </w:pPr>
      <w:r>
        <w:rPr>
          <w:sz w:val="20"/>
        </w:rPr>
        <w:t>This writ was issued by or on behalf of the plaintiff.</w:t>
      </w:r>
    </w:p>
    <w:p w:rsidR="00425758" w:rsidRDefault="00425758">
      <w:pPr>
        <w:pStyle w:val="yMiscellaneousBody"/>
        <w:spacing w:before="120"/>
        <w:rPr>
          <w:sz w:val="20"/>
        </w:rPr>
      </w:pPr>
      <w:r>
        <w:rPr>
          <w:sz w:val="20"/>
        </w:rPr>
        <w:t>The plaintiff’s geographical address</w:t>
      </w:r>
      <w:r>
        <w:rPr>
          <w:sz w:val="20"/>
          <w:vertAlign w:val="superscript"/>
        </w:rPr>
        <w:t xml:space="preserve">1 </w:t>
      </w:r>
      <w:r>
        <w:rPr>
          <w:sz w:val="20"/>
        </w:rPr>
        <w:t>is:</w:t>
      </w:r>
    </w:p>
    <w:p w:rsidR="00425758" w:rsidRDefault="00425758">
      <w:pPr>
        <w:pStyle w:val="yMiscellaneousBody"/>
        <w:spacing w:before="120"/>
        <w:rPr>
          <w:sz w:val="20"/>
        </w:rPr>
      </w:pPr>
      <w:r>
        <w:rPr>
          <w:sz w:val="20"/>
        </w:rPr>
        <w:t>The plaintiff’s service details</w:t>
      </w:r>
      <w:r>
        <w:rPr>
          <w:sz w:val="20"/>
          <w:vertAlign w:val="superscript"/>
        </w:rPr>
        <w:t xml:space="preserve">2 </w:t>
      </w:r>
      <w:r>
        <w:rPr>
          <w:sz w:val="20"/>
        </w:rPr>
        <w:t>are:</w:t>
      </w:r>
    </w:p>
    <w:p w:rsidR="00425758" w:rsidRDefault="00425758">
      <w:pPr>
        <w:pStyle w:val="yMiscellaneousBody"/>
        <w:spacing w:before="240"/>
        <w:jc w:val="center"/>
        <w:rPr>
          <w:sz w:val="20"/>
        </w:rPr>
      </w:pPr>
      <w:r>
        <w:rPr>
          <w:i/>
          <w:sz w:val="20"/>
        </w:rPr>
        <w:t>Indorsement as to service</w:t>
      </w:r>
    </w:p>
    <w:p w:rsidR="00425758" w:rsidRDefault="00425758">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rsidR="00425758" w:rsidRDefault="00425758">
      <w:pPr>
        <w:pStyle w:val="yMiscellaneousBody"/>
        <w:spacing w:before="120"/>
        <w:rPr>
          <w:sz w:val="20"/>
        </w:rPr>
      </w:pPr>
      <w:r>
        <w:rPr>
          <w:sz w:val="20"/>
        </w:rPr>
        <w:t>Indorsed the                         day of                                20      .</w:t>
      </w:r>
    </w:p>
    <w:p w:rsidR="00425758" w:rsidRDefault="00425758">
      <w:pPr>
        <w:pStyle w:val="yMiscellaneousBody"/>
        <w:spacing w:before="120"/>
        <w:ind w:left="3120"/>
        <w:rPr>
          <w:sz w:val="20"/>
        </w:rPr>
      </w:pPr>
      <w:r>
        <w:rPr>
          <w:sz w:val="20"/>
        </w:rPr>
        <w:t>(Signed)</w:t>
      </w:r>
    </w:p>
    <w:p w:rsidR="00425758" w:rsidRDefault="00425758">
      <w:pPr>
        <w:pStyle w:val="yMiscellaneousBody"/>
        <w:spacing w:before="0"/>
        <w:ind w:left="3119"/>
        <w:rPr>
          <w:sz w:val="20"/>
        </w:rPr>
      </w:pPr>
      <w:r>
        <w:rPr>
          <w:sz w:val="20"/>
        </w:rPr>
        <w:t>(Address)</w:t>
      </w:r>
    </w:p>
    <w:p w:rsidR="00425758" w:rsidRDefault="00425758">
      <w:pPr>
        <w:pStyle w:val="yMiscellaneousBody"/>
      </w:pPr>
      <w:r>
        <w:rPr>
          <w:sz w:val="20"/>
        </w:rPr>
        <w:t>Notes to Form No. 1 —</w:t>
      </w:r>
    </w:p>
    <w:p w:rsidR="00425758" w:rsidRDefault="00425758">
      <w:pPr>
        <w:pStyle w:val="yMiscellaneousBody"/>
        <w:tabs>
          <w:tab w:val="left" w:pos="426"/>
        </w:tabs>
        <w:ind w:left="426" w:hanging="426"/>
      </w:pPr>
      <w:r>
        <w:t>1.</w:t>
      </w:r>
      <w:r>
        <w:tab/>
        <w:t>Must be provided unless otherwise ordered by the Court.  See Order 71A r. 2 and 3A.</w:t>
      </w:r>
    </w:p>
    <w:p w:rsidR="00425758" w:rsidRDefault="00425758">
      <w:pPr>
        <w:pStyle w:val="yMiscellaneousBody"/>
        <w:tabs>
          <w:tab w:val="left" w:pos="426"/>
        </w:tabs>
        <w:ind w:left="426" w:hanging="426"/>
      </w:pPr>
      <w:r>
        <w:t>2.</w:t>
      </w:r>
      <w:r>
        <w:tab/>
        <w:t>Must be in accordance with Order 71A.</w:t>
      </w:r>
    </w:p>
    <w:p w:rsidR="00425758" w:rsidRDefault="00425758">
      <w:pPr>
        <w:pStyle w:val="yFootnotesection"/>
      </w:pPr>
      <w:r>
        <w:tab/>
        <w:t>[Form 1 amended: Gazette 9 Nov 1973 p. 4165; 29 Mar 1974 p. 1042; 27 Aug 1976 p. 3226; 19 Apr 2005 p. 1300; 21 Feb 2007 p. 596; 28 Jul 2010 p. 3485; 28 Jun 2011 p. 2556; 13 Nov 2015 p. 4650-1.]</w:t>
      </w:r>
    </w:p>
    <w:p w:rsidR="00425758" w:rsidRDefault="00425758">
      <w:pPr>
        <w:pStyle w:val="yHeading5"/>
        <w:spacing w:before="360"/>
      </w:pPr>
      <w:bookmarkStart w:id="1343" w:name="_Toc75863908"/>
      <w:r>
        <w:rPr>
          <w:rStyle w:val="CharSClsNo"/>
        </w:rPr>
        <w:t>2</w:t>
      </w:r>
      <w:r>
        <w:t>.</w:t>
      </w:r>
      <w:r>
        <w:tab/>
        <w:t>Writ of summons indorsed with statement of claim (O. 5 r. 1)</w:t>
      </w:r>
      <w:bookmarkEnd w:id="1343"/>
    </w:p>
    <w:p w:rsidR="00425758" w:rsidRDefault="00425758">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rsidR="00425758" w:rsidRDefault="00425758">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rsidR="00425758" w:rsidRDefault="00425758">
      <w:pPr>
        <w:pStyle w:val="yMiscellaneousBody"/>
        <w:keepNext/>
        <w:spacing w:before="240"/>
        <w:jc w:val="center"/>
        <w:rPr>
          <w:sz w:val="20"/>
        </w:rPr>
      </w:pPr>
      <w:r>
        <w:rPr>
          <w:sz w:val="20"/>
        </w:rPr>
        <w:lastRenderedPageBreak/>
        <w:t>Statement of claim.</w:t>
      </w:r>
    </w:p>
    <w:p w:rsidR="00425758" w:rsidRDefault="00425758">
      <w:pPr>
        <w:pStyle w:val="yMiscellaneousBody"/>
        <w:spacing w:before="120"/>
        <w:rPr>
          <w:sz w:val="20"/>
        </w:rPr>
      </w:pPr>
      <w:r>
        <w:rPr>
          <w:sz w:val="20"/>
        </w:rPr>
        <w:t>Place of trial.</w:t>
      </w:r>
    </w:p>
    <w:p w:rsidR="00425758" w:rsidRDefault="00425758">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rsidR="00425758" w:rsidRDefault="00425758">
      <w:pPr>
        <w:pStyle w:val="yFootnotesection"/>
      </w:pPr>
      <w:r>
        <w:tab/>
        <w:t>[Form 2 amended: Gazette 9 Nov 1973 p. 4165; 28 Jun 2011 p. 2556.]</w:t>
      </w:r>
    </w:p>
    <w:p w:rsidR="00425758" w:rsidRDefault="00425758">
      <w:pPr>
        <w:pStyle w:val="yHeading5"/>
        <w:keepNext w:val="0"/>
        <w:keepLines w:val="0"/>
        <w:pageBreakBefore/>
        <w:widowControl w:val="0"/>
        <w:spacing w:before="0" w:after="120"/>
      </w:pPr>
      <w:bookmarkStart w:id="1344" w:name="_Toc75863909"/>
      <w:r>
        <w:rPr>
          <w:rStyle w:val="CharSClsNo"/>
        </w:rPr>
        <w:lastRenderedPageBreak/>
        <w:t>3</w:t>
      </w:r>
      <w:r>
        <w:t>.</w:t>
      </w:r>
      <w:r>
        <w:rPr>
          <w:b w:val="0"/>
        </w:rPr>
        <w:tab/>
      </w:r>
      <w:r>
        <w:t>Writ of summons to be served outside WA</w:t>
      </w:r>
      <w:bookmarkEnd w:id="1344"/>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rsidR="00425758">
        <w:tc>
          <w:tcPr>
            <w:tcW w:w="879" w:type="dxa"/>
          </w:tcPr>
          <w:p w:rsidR="00425758" w:rsidRDefault="00425758">
            <w:pPr>
              <w:pStyle w:val="yTableNAm"/>
              <w:rPr>
                <w:sz w:val="18"/>
              </w:rPr>
            </w:pPr>
          </w:p>
        </w:tc>
        <w:tc>
          <w:tcPr>
            <w:tcW w:w="6240" w:type="dxa"/>
          </w:tcPr>
          <w:p w:rsidR="00425758" w:rsidRDefault="00425758">
            <w:pPr>
              <w:pStyle w:val="yTableNAm"/>
              <w:jc w:val="center"/>
              <w:rPr>
                <w:sz w:val="20"/>
              </w:rPr>
            </w:pPr>
            <w:r>
              <w:rPr>
                <w:sz w:val="20"/>
              </w:rPr>
              <w:t>(</w:t>
            </w:r>
            <w:r>
              <w:rPr>
                <w:i/>
                <w:sz w:val="20"/>
              </w:rPr>
              <w:t>Headings as in No. 1.</w:t>
            </w:r>
            <w:r>
              <w:rPr>
                <w:sz w:val="20"/>
              </w:rPr>
              <w:t>)</w:t>
            </w:r>
          </w:p>
          <w:p w:rsidR="00425758" w:rsidRDefault="00425758">
            <w:pPr>
              <w:pStyle w:val="yTableNAm"/>
              <w:rPr>
                <w:sz w:val="20"/>
              </w:rPr>
            </w:pPr>
            <w:r>
              <w:rPr>
                <w:sz w:val="20"/>
              </w:rPr>
              <w:t>To C.D. of</w:t>
            </w:r>
          </w:p>
        </w:tc>
      </w:tr>
      <w:tr w:rsidR="00425758">
        <w:tc>
          <w:tcPr>
            <w:tcW w:w="879" w:type="dxa"/>
          </w:tcPr>
          <w:p w:rsidR="00425758" w:rsidRDefault="00425758">
            <w:pPr>
              <w:pStyle w:val="yTableNAm"/>
              <w:rPr>
                <w:sz w:val="14"/>
              </w:rPr>
            </w:pPr>
            <w:r>
              <w:rPr>
                <w:sz w:val="14"/>
              </w:rPr>
              <w:t>*Insert number of days limited for appearance. If notice of the writ is to be served insert here “of notice”.</w:t>
            </w:r>
          </w:p>
        </w:tc>
        <w:tc>
          <w:tcPr>
            <w:tcW w:w="6240" w:type="dxa"/>
          </w:tcPr>
          <w:p w:rsidR="00425758" w:rsidRDefault="00425758">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rsidR="00425758">
        <w:tc>
          <w:tcPr>
            <w:tcW w:w="879" w:type="dxa"/>
          </w:tcPr>
          <w:p w:rsidR="00425758" w:rsidRDefault="00425758">
            <w:pPr>
              <w:pStyle w:val="yTableNAm"/>
              <w:rPr>
                <w:sz w:val="18"/>
              </w:rPr>
            </w:pPr>
          </w:p>
        </w:tc>
        <w:tc>
          <w:tcPr>
            <w:tcW w:w="6240" w:type="dxa"/>
          </w:tcPr>
          <w:p w:rsidR="00425758" w:rsidRDefault="00425758">
            <w:pPr>
              <w:pStyle w:val="yTableNAm"/>
              <w:rPr>
                <w:sz w:val="20"/>
              </w:rPr>
            </w:pPr>
            <w:r>
              <w:rPr>
                <w:sz w:val="20"/>
              </w:rPr>
              <w:t>Witness (</w:t>
            </w:r>
            <w:r>
              <w:rPr>
                <w:i/>
                <w:sz w:val="20"/>
              </w:rPr>
              <w:t>as in No. 1</w:t>
            </w:r>
            <w:r>
              <w:rPr>
                <w:sz w:val="20"/>
              </w:rPr>
              <w:t>.)</w:t>
            </w:r>
          </w:p>
        </w:tc>
      </w:tr>
      <w:tr w:rsidR="00425758">
        <w:tc>
          <w:tcPr>
            <w:tcW w:w="879" w:type="dxa"/>
          </w:tcPr>
          <w:p w:rsidR="00425758" w:rsidRDefault="00425758">
            <w:pPr>
              <w:pStyle w:val="yTableNAm"/>
              <w:rPr>
                <w:sz w:val="18"/>
              </w:rPr>
            </w:pPr>
          </w:p>
        </w:tc>
        <w:tc>
          <w:tcPr>
            <w:tcW w:w="6240" w:type="dxa"/>
          </w:tcPr>
          <w:p w:rsidR="00425758" w:rsidRDefault="00425758">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rsidR="00425758">
        <w:tc>
          <w:tcPr>
            <w:tcW w:w="879" w:type="dxa"/>
          </w:tcPr>
          <w:p w:rsidR="00425758" w:rsidRDefault="00425758">
            <w:pPr>
              <w:pStyle w:val="yTableNAm"/>
              <w:rPr>
                <w:sz w:val="18"/>
              </w:rPr>
            </w:pPr>
          </w:p>
        </w:tc>
        <w:tc>
          <w:tcPr>
            <w:tcW w:w="6240" w:type="dxa"/>
          </w:tcPr>
          <w:p w:rsidR="00425758" w:rsidRDefault="00425758">
            <w:pPr>
              <w:pStyle w:val="yTableNAm"/>
              <w:framePr w:w="7920" w:h="1980" w:hRule="exact" w:hSpace="180" w:wrap="auto" w:hAnchor="page" w:xAlign="center" w:yAlign="bottom"/>
              <w:ind w:left="2880"/>
              <w:rPr>
                <w:i/>
                <w:sz w:val="20"/>
              </w:rPr>
            </w:pPr>
            <w:r>
              <w:rPr>
                <w:i/>
                <w:sz w:val="20"/>
              </w:rPr>
              <w:t>Further indorsement to be made on the writ before the issue thereof:</w:t>
            </w:r>
          </w:p>
        </w:tc>
      </w:tr>
      <w:tr w:rsidR="00425758">
        <w:tc>
          <w:tcPr>
            <w:tcW w:w="879" w:type="dxa"/>
          </w:tcPr>
          <w:p w:rsidR="00425758" w:rsidRDefault="00425758">
            <w:pPr>
              <w:pStyle w:val="yTableNAm"/>
              <w:rPr>
                <w:sz w:val="18"/>
              </w:rPr>
            </w:pPr>
          </w:p>
        </w:tc>
        <w:tc>
          <w:tcPr>
            <w:tcW w:w="6240" w:type="dxa"/>
          </w:tcPr>
          <w:p w:rsidR="00425758" w:rsidRDefault="00425758">
            <w:pPr>
              <w:pStyle w:val="yTableNAm"/>
              <w:framePr w:w="7920" w:h="1980" w:hRule="exact" w:hSpace="180" w:wrap="auto" w:hAnchor="page" w:xAlign="center" w:yAlign="bottom"/>
              <w:ind w:left="2880"/>
              <w:rPr>
                <w:sz w:val="20"/>
              </w:rPr>
            </w:pPr>
            <w:r>
              <w:rPr>
                <w:i/>
                <w:sz w:val="20"/>
              </w:rPr>
              <w:t>This writ is to be used where the defendant or all the defendants or one or more defendant or defendants is or are out of the jurisdiction.</w:t>
            </w:r>
          </w:p>
        </w:tc>
      </w:tr>
    </w:tbl>
    <w:p w:rsidR="00425758" w:rsidRDefault="00425758">
      <w:pPr>
        <w:pStyle w:val="yFootnotesection"/>
        <w:spacing w:before="160"/>
      </w:pPr>
      <w:r>
        <w:tab/>
        <w:t>[Form 3 amended: Gazette 9 Nov 1973 p. 4165; 28 Jul 2010 p. 3485-6; 28 Jun 2011 p. 2556; 12 Jun 2012 p. 2452.]</w:t>
      </w:r>
    </w:p>
    <w:p w:rsidR="00425758" w:rsidRDefault="00425758">
      <w:pPr>
        <w:pStyle w:val="yHeading5"/>
        <w:keepNext w:val="0"/>
        <w:keepLines w:val="0"/>
        <w:pageBreakBefore/>
        <w:widowControl w:val="0"/>
        <w:spacing w:before="0" w:after="120"/>
      </w:pPr>
      <w:bookmarkStart w:id="1345" w:name="_Toc75863910"/>
      <w:r>
        <w:rPr>
          <w:rStyle w:val="CharSClsNo"/>
        </w:rPr>
        <w:lastRenderedPageBreak/>
        <w:t>4</w:t>
      </w:r>
      <w:r>
        <w:t>.</w:t>
      </w:r>
      <w:r>
        <w:tab/>
        <w:t>Notice to defendant in action for possession, foreclosure or sale of mortgaged property (O. 4AA r. 3)</w:t>
      </w:r>
      <w:bookmarkEnd w:id="1345"/>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01"/>
        <w:gridCol w:w="2268"/>
        <w:gridCol w:w="3111"/>
      </w:tblGrid>
      <w:tr w:rsidR="00425758">
        <w:trPr>
          <w:trHeight w:val="244"/>
        </w:trPr>
        <w:tc>
          <w:tcPr>
            <w:tcW w:w="3969" w:type="dxa"/>
            <w:gridSpan w:val="2"/>
            <w:vMerge w:val="restart"/>
          </w:tcPr>
          <w:p w:rsidR="00425758" w:rsidRDefault="00425758">
            <w:pPr>
              <w:pStyle w:val="yMiscellaneousBody"/>
              <w:rPr>
                <w:sz w:val="20"/>
              </w:rPr>
            </w:pPr>
            <w:r>
              <w:rPr>
                <w:b/>
                <w:sz w:val="20"/>
              </w:rPr>
              <w:t>Supreme Court of Western Australia</w:t>
            </w:r>
          </w:p>
        </w:tc>
        <w:tc>
          <w:tcPr>
            <w:tcW w:w="3111" w:type="dxa"/>
          </w:tcPr>
          <w:p w:rsidR="00425758" w:rsidRDefault="00425758">
            <w:pPr>
              <w:pStyle w:val="yMiscellaneousBody"/>
              <w:rPr>
                <w:sz w:val="20"/>
              </w:rPr>
            </w:pPr>
            <w:r>
              <w:rPr>
                <w:sz w:val="20"/>
              </w:rPr>
              <w:t>Action No:</w:t>
            </w:r>
          </w:p>
        </w:tc>
      </w:tr>
      <w:tr w:rsidR="00425758">
        <w:trPr>
          <w:trHeight w:val="243"/>
        </w:trPr>
        <w:tc>
          <w:tcPr>
            <w:tcW w:w="3969" w:type="dxa"/>
            <w:gridSpan w:val="2"/>
            <w:vMerge/>
          </w:tcPr>
          <w:p w:rsidR="00425758" w:rsidRDefault="00425758">
            <w:pPr>
              <w:pStyle w:val="zyMiscellaneousBody"/>
              <w:rPr>
                <w:sz w:val="20"/>
              </w:rPr>
            </w:pPr>
          </w:p>
        </w:tc>
        <w:tc>
          <w:tcPr>
            <w:tcW w:w="3111" w:type="dxa"/>
          </w:tcPr>
          <w:p w:rsidR="00425758" w:rsidRDefault="00425758">
            <w:pPr>
              <w:pStyle w:val="yMiscellaneousBody"/>
              <w:rPr>
                <w:sz w:val="20"/>
              </w:rPr>
            </w:pPr>
            <w:r>
              <w:rPr>
                <w:b/>
                <w:bCs/>
                <w:sz w:val="20"/>
              </w:rPr>
              <w:t>Notice to defendant in action for possession, foreclosure or sale of mortgaged property</w:t>
            </w:r>
          </w:p>
        </w:tc>
      </w:tr>
      <w:tr w:rsidR="00425758">
        <w:tc>
          <w:tcPr>
            <w:tcW w:w="1701" w:type="dxa"/>
          </w:tcPr>
          <w:p w:rsidR="00425758" w:rsidRDefault="00425758">
            <w:pPr>
              <w:pStyle w:val="yMiscellaneousBody"/>
              <w:rPr>
                <w:sz w:val="20"/>
              </w:rPr>
            </w:pPr>
            <w:r>
              <w:rPr>
                <w:sz w:val="20"/>
              </w:rPr>
              <w:t>Parties</w:t>
            </w:r>
          </w:p>
        </w:tc>
        <w:tc>
          <w:tcPr>
            <w:tcW w:w="5379" w:type="dxa"/>
            <w:gridSpan w:val="2"/>
          </w:tcPr>
          <w:p w:rsidR="00425758" w:rsidRDefault="00425758">
            <w:pPr>
              <w:pStyle w:val="yMiscellaneousBody"/>
              <w:jc w:val="right"/>
              <w:rPr>
                <w:sz w:val="20"/>
              </w:rPr>
            </w:pPr>
            <w:r>
              <w:rPr>
                <w:sz w:val="20"/>
              </w:rPr>
              <w:t>Plaintiff</w:t>
            </w:r>
          </w:p>
          <w:p w:rsidR="00425758" w:rsidRDefault="00425758">
            <w:pPr>
              <w:pStyle w:val="yMiscellaneousBody"/>
              <w:jc w:val="right"/>
              <w:rPr>
                <w:sz w:val="20"/>
              </w:rPr>
            </w:pPr>
            <w:r>
              <w:rPr>
                <w:sz w:val="20"/>
              </w:rPr>
              <w:t>Defendant</w:t>
            </w:r>
          </w:p>
        </w:tc>
      </w:tr>
      <w:tr w:rsidR="00425758">
        <w:tc>
          <w:tcPr>
            <w:tcW w:w="7080" w:type="dxa"/>
            <w:gridSpan w:val="3"/>
            <w:tcBorders>
              <w:bottom w:val="single" w:sz="4" w:space="0" w:color="auto"/>
            </w:tcBorders>
          </w:tcPr>
          <w:p w:rsidR="00425758" w:rsidRDefault="00425758">
            <w:pPr>
              <w:pStyle w:val="yMiscellaneousBody"/>
              <w:jc w:val="center"/>
              <w:rPr>
                <w:b/>
                <w:sz w:val="20"/>
              </w:rPr>
            </w:pPr>
            <w:r>
              <w:rPr>
                <w:b/>
                <w:sz w:val="20"/>
              </w:rPr>
              <w:t>Notice to [</w:t>
            </w:r>
            <w:r>
              <w:rPr>
                <w:b/>
                <w:i/>
                <w:sz w:val="20"/>
              </w:rPr>
              <w:t>insert name of defendant</w:t>
            </w:r>
            <w:r>
              <w:rPr>
                <w:b/>
                <w:sz w:val="20"/>
              </w:rPr>
              <w:t>]</w:t>
            </w:r>
          </w:p>
          <w:p w:rsidR="00425758" w:rsidRDefault="00425758">
            <w:pPr>
              <w:pStyle w:val="yMiscellaneousBody"/>
              <w:jc w:val="center"/>
              <w:rPr>
                <w:b/>
                <w:sz w:val="20"/>
              </w:rPr>
            </w:pPr>
            <w:r>
              <w:rPr>
                <w:b/>
                <w:sz w:val="20"/>
              </w:rPr>
              <w:t>IMPORTANT NOTICE AND HOW TO RESPOND</w:t>
            </w:r>
          </w:p>
        </w:tc>
      </w:tr>
      <w:tr w:rsidR="00425758">
        <w:tc>
          <w:tcPr>
            <w:tcW w:w="7080" w:type="dxa"/>
            <w:gridSpan w:val="3"/>
            <w:tcBorders>
              <w:bottom w:val="nil"/>
            </w:tcBorders>
          </w:tcPr>
          <w:p w:rsidR="00425758" w:rsidRDefault="00425758">
            <w:pPr>
              <w:pStyle w:val="yMiscellaneousBody"/>
              <w:rPr>
                <w:sz w:val="20"/>
              </w:rPr>
            </w:pPr>
            <w:r>
              <w:rPr>
                <w:sz w:val="20"/>
              </w:rPr>
              <w:t>This is an IMPORTANT NOTICE issued to you because a claim has been made against you in the Supreme Court of Western Australia. If you do not respond you may lose ownership of the property described below and action may be taken to sell that property.</w:t>
            </w:r>
          </w:p>
        </w:tc>
      </w:tr>
      <w:tr w:rsidR="00425758">
        <w:tc>
          <w:tcPr>
            <w:tcW w:w="7080" w:type="dxa"/>
            <w:gridSpan w:val="3"/>
            <w:tcBorders>
              <w:top w:val="nil"/>
              <w:bottom w:val="nil"/>
            </w:tcBorders>
          </w:tcPr>
          <w:p w:rsidR="00425758" w:rsidRDefault="00425758">
            <w:pPr>
              <w:pStyle w:val="yMiscellaneousBody"/>
              <w:rPr>
                <w:sz w:val="20"/>
              </w:rPr>
            </w:pPr>
            <w:r>
              <w:rPr>
                <w:sz w:val="20"/>
              </w:rPr>
              <w:t>Attached to this notice is a writ of summons issued by the Supreme Court of Western Australia. The plaintiff, [</w:t>
            </w:r>
            <w:r>
              <w:rPr>
                <w:i/>
                <w:sz w:val="20"/>
              </w:rPr>
              <w:t>name of plaintiff</w:t>
            </w:r>
            <w:r>
              <w:rPr>
                <w:sz w:val="20"/>
              </w:rPr>
              <w:t>], seeks orders against you including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under a mortgage. </w:t>
            </w:r>
            <w:r>
              <w:rPr>
                <w:b/>
                <w:sz w:val="20"/>
              </w:rPr>
              <w:t>This notice contains important information about your rights. Please read it carefully.</w:t>
            </w:r>
          </w:p>
        </w:tc>
      </w:tr>
      <w:tr w:rsidR="00425758">
        <w:tc>
          <w:tcPr>
            <w:tcW w:w="7080" w:type="dxa"/>
            <w:gridSpan w:val="3"/>
            <w:tcBorders>
              <w:top w:val="nil"/>
              <w:bottom w:val="nil"/>
            </w:tcBorders>
          </w:tcPr>
          <w:p w:rsidR="00425758" w:rsidRDefault="00425758">
            <w:pPr>
              <w:pStyle w:val="yMiscellaneousBody"/>
              <w:rPr>
                <w:sz w:val="20"/>
              </w:rPr>
            </w:pPr>
            <w:r>
              <w:rPr>
                <w:b/>
                <w:sz w:val="20"/>
              </w:rPr>
              <w:t>If you are unsure of what you should do:</w:t>
            </w:r>
            <w:r>
              <w:rPr>
                <w:sz w:val="20"/>
              </w:rPr>
              <w:t xml:space="preserve"> 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rsidR="00425758">
        <w:tc>
          <w:tcPr>
            <w:tcW w:w="7080" w:type="dxa"/>
            <w:gridSpan w:val="3"/>
            <w:tcBorders>
              <w:top w:val="nil"/>
              <w:bottom w:val="nil"/>
            </w:tcBorders>
          </w:tcPr>
          <w:p w:rsidR="00425758" w:rsidRDefault="00425758">
            <w:pPr>
              <w:pStyle w:val="yMiscellaneousBody"/>
              <w:rPr>
                <w:sz w:val="20"/>
              </w:rPr>
            </w:pPr>
            <w:r>
              <w:rPr>
                <w:b/>
                <w:sz w:val="20"/>
              </w:rPr>
              <w:t>If you do not agree with the claim and believe that you have a legal defence:</w:t>
            </w:r>
            <w:r>
              <w:rPr>
                <w:sz w:val="20"/>
              </w:rPr>
              <w:t xml:space="preserve"> you should, within [</w:t>
            </w:r>
            <w:r>
              <w:rPr>
                <w:i/>
                <w:sz w:val="20"/>
              </w:rPr>
              <w:t>number of days as required in Order 5 rule 11</w:t>
            </w:r>
            <w:r>
              <w:rPr>
                <w:sz w:val="20"/>
              </w:rPr>
              <w:t>] days after the writ of summons was served on you, inform the Court and [</w:t>
            </w:r>
            <w:r>
              <w:rPr>
                <w:i/>
                <w:sz w:val="20"/>
              </w:rPr>
              <w:t>name of plaintiff</w:t>
            </w:r>
            <w:r>
              <w:rPr>
                <w:sz w:val="20"/>
              </w:rPr>
              <w:t>]’s lawyers, [</w:t>
            </w:r>
            <w:r>
              <w:rPr>
                <w:i/>
                <w:sz w:val="20"/>
              </w:rPr>
              <w:t>name of law firm representing plaintiff</w:t>
            </w:r>
            <w:r>
              <w:rPr>
                <w:sz w:val="20"/>
              </w:rPr>
              <w:t>] (whose contact details appear below), that you wish to defend the action.</w:t>
            </w:r>
          </w:p>
        </w:tc>
      </w:tr>
      <w:tr w:rsidR="00425758">
        <w:tc>
          <w:tcPr>
            <w:tcW w:w="7080" w:type="dxa"/>
            <w:gridSpan w:val="3"/>
            <w:tcBorders>
              <w:top w:val="nil"/>
              <w:bottom w:val="nil"/>
            </w:tcBorders>
          </w:tcPr>
          <w:p w:rsidR="00425758" w:rsidRDefault="00425758">
            <w:pPr>
              <w:pStyle w:val="yMiscellaneousBody"/>
              <w:rPr>
                <w:sz w:val="20"/>
              </w:rPr>
            </w:pPr>
            <w:r>
              <w:rPr>
                <w:sz w:val="20"/>
              </w:rPr>
              <w:t>You do not have a legal defence just because you disagree with what the plaintiff is proposing to do or because events have been outside your control. For example, it is not a legal defence that you cannot pay your mortgage repayments because you are unemployed. Because any defence can only succeed if it is recognised at law it might assist you to get some legal advice.</w:t>
            </w:r>
          </w:p>
        </w:tc>
      </w:tr>
      <w:tr w:rsidR="00425758">
        <w:tc>
          <w:tcPr>
            <w:tcW w:w="7080" w:type="dxa"/>
            <w:gridSpan w:val="3"/>
            <w:tcBorders>
              <w:top w:val="nil"/>
              <w:bottom w:val="nil"/>
            </w:tcBorders>
          </w:tcPr>
          <w:p w:rsidR="00425758" w:rsidRDefault="00425758">
            <w:pPr>
              <w:pStyle w:val="yMiscellaneousBody"/>
              <w:rPr>
                <w:sz w:val="20"/>
              </w:rPr>
            </w:pPr>
            <w:r>
              <w:rPr>
                <w:sz w:val="20"/>
              </w:rPr>
              <w:lastRenderedPageBreak/>
              <w:t>To inform the Court and [</w:t>
            </w:r>
            <w:r>
              <w:rPr>
                <w:i/>
                <w:sz w:val="20"/>
              </w:rPr>
              <w:t>name of law firm representing plaintiff</w:t>
            </w:r>
            <w:r>
              <w:rPr>
                <w:sz w:val="20"/>
              </w:rPr>
              <w:t>] that you wish to defend the action you should:</w:t>
            </w:r>
          </w:p>
          <w:p w:rsidR="00425758" w:rsidRDefault="00425758">
            <w:pPr>
              <w:pStyle w:val="yMiscellaneousBody"/>
              <w:tabs>
                <w:tab w:val="left" w:pos="293"/>
                <w:tab w:val="left" w:pos="853"/>
              </w:tabs>
              <w:ind w:left="867" w:hanging="867"/>
              <w:rPr>
                <w:sz w:val="20"/>
              </w:rPr>
            </w:pPr>
            <w:r>
              <w:rPr>
                <w:sz w:val="20"/>
              </w:rPr>
              <w:tab/>
              <w:t>1.</w:t>
            </w:r>
            <w:r>
              <w:rPr>
                <w:sz w:val="20"/>
              </w:rPr>
              <w:tab/>
              <w:t>File an original and one copy of a completed Memorandum of Appearance (</w:t>
            </w:r>
            <w:r>
              <w:rPr>
                <w:i/>
                <w:sz w:val="20"/>
              </w:rPr>
              <w:t>Rules of the Supreme Court 1971</w:t>
            </w:r>
            <w:r>
              <w:rPr>
                <w:sz w:val="20"/>
              </w:rPr>
              <w:t xml:space="preserve"> Schedule 2 Form 6) at the Supreme Court registry, Level 11, David Malcolm Justice Centre, 28 Barrack Street, Perth. A Memorandum of Appearance form can be obtained from the Supreme Court website at: www.supremecourt.wa.gov.au.</w:t>
            </w:r>
          </w:p>
          <w:p w:rsidR="00425758" w:rsidRDefault="00425758">
            <w:pPr>
              <w:pStyle w:val="yMiscellaneousBody"/>
              <w:tabs>
                <w:tab w:val="left" w:pos="293"/>
                <w:tab w:val="left" w:pos="853"/>
              </w:tabs>
              <w:ind w:left="867" w:hanging="867"/>
              <w:rPr>
                <w:sz w:val="20"/>
              </w:rPr>
            </w:pPr>
            <w:r>
              <w:rPr>
                <w:sz w:val="20"/>
              </w:rPr>
              <w:tab/>
              <w:t>2.</w:t>
            </w:r>
            <w:r>
              <w:rPr>
                <w:sz w:val="20"/>
              </w:rPr>
              <w:tab/>
              <w:t>Serve on [</w:t>
            </w:r>
            <w:r>
              <w:rPr>
                <w:i/>
                <w:sz w:val="20"/>
              </w:rPr>
              <w:t>name of law firm representing plaintiff</w:t>
            </w:r>
            <w:r>
              <w:rPr>
                <w:sz w:val="20"/>
              </w:rPr>
              <w:t>] without delay a copy of the stamped Memorandum of Appearance that is returned to you by the Court (1. above).</w:t>
            </w:r>
          </w:p>
        </w:tc>
      </w:tr>
      <w:tr w:rsidR="00425758">
        <w:tc>
          <w:tcPr>
            <w:tcW w:w="7080" w:type="dxa"/>
            <w:gridSpan w:val="3"/>
            <w:tcBorders>
              <w:top w:val="nil"/>
              <w:bottom w:val="nil"/>
            </w:tcBorders>
          </w:tcPr>
          <w:p w:rsidR="00425758" w:rsidRDefault="00425758">
            <w:pPr>
              <w:pStyle w:val="yMiscellaneousBody"/>
              <w:rPr>
                <w:sz w:val="20"/>
              </w:rPr>
            </w:pPr>
            <w:r>
              <w:rPr>
                <w:b/>
                <w:sz w:val="20"/>
              </w:rPr>
              <w:t>If you do nothing:</w:t>
            </w:r>
            <w:r>
              <w:rPr>
                <w:sz w:val="20"/>
              </w:rPr>
              <w:t xml:space="preserve"> if you do not file a Memorandum of Appearance at the Court within [</w:t>
            </w:r>
            <w:r>
              <w:rPr>
                <w:i/>
                <w:sz w:val="20"/>
              </w:rPr>
              <w:t>number of days as required in Order 5 rule 11</w:t>
            </w:r>
            <w:r>
              <w:rPr>
                <w:sz w:val="20"/>
              </w:rPr>
              <w:t>] days after the writ of summons was served on you, then [</w:t>
            </w:r>
            <w:r>
              <w:rPr>
                <w:i/>
                <w:sz w:val="20"/>
              </w:rPr>
              <w:t>name of plaintiff</w:t>
            </w:r>
            <w:r>
              <w:rPr>
                <w:sz w:val="20"/>
              </w:rPr>
              <w:t>] may ask the Court to make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w:t>
            </w:r>
          </w:p>
        </w:tc>
      </w:tr>
      <w:tr w:rsidR="00425758">
        <w:tc>
          <w:tcPr>
            <w:tcW w:w="7080" w:type="dxa"/>
            <w:gridSpan w:val="3"/>
            <w:tcBorders>
              <w:top w:val="nil"/>
            </w:tcBorders>
          </w:tcPr>
          <w:p w:rsidR="00425758" w:rsidRDefault="00425758">
            <w:pPr>
              <w:pStyle w:val="yMiscellaneousBody"/>
              <w:rPr>
                <w:sz w:val="20"/>
              </w:rPr>
            </w:pPr>
            <w:r>
              <w:rPr>
                <w:b/>
                <w:sz w:val="20"/>
              </w:rPr>
              <w:t>The plaintiff’s lawyers:</w:t>
            </w:r>
            <w:r>
              <w:rPr>
                <w:sz w:val="20"/>
              </w:rPr>
              <w:t xml:space="preserve"> The plaintiff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tc>
      </w:tr>
    </w:tbl>
    <w:p w:rsidR="00425758" w:rsidRDefault="00425758">
      <w:pPr>
        <w:pStyle w:val="yMiscellaneousBody"/>
        <w:rPr>
          <w:sz w:val="20"/>
        </w:rPr>
      </w:pPr>
      <w:r>
        <w:rPr>
          <w:sz w:val="20"/>
        </w:rPr>
        <w:t>Note to Form 4:</w:t>
      </w:r>
    </w:p>
    <w:p w:rsidR="00425758" w:rsidRDefault="00425758">
      <w:pPr>
        <w:pStyle w:val="yMiscellaneousBody"/>
        <w:rPr>
          <w:sz w:val="20"/>
        </w:rPr>
      </w:pPr>
      <w:r>
        <w:rPr>
          <w:sz w:val="20"/>
        </w:rPr>
        <w:t>1.</w:t>
      </w:r>
      <w:r>
        <w:rPr>
          <w:sz w:val="20"/>
        </w:rPr>
        <w:tab/>
        <w:t>Delete inapplicable.</w:t>
      </w:r>
    </w:p>
    <w:p w:rsidR="00425758" w:rsidRDefault="00425758">
      <w:pPr>
        <w:pStyle w:val="yFootnotesection"/>
        <w:keepLines w:val="0"/>
        <w:widowControl w:val="0"/>
        <w:spacing w:before="160"/>
      </w:pPr>
      <w:r>
        <w:tab/>
        <w:t>[Form 4 inserted: Gazette 16 Nov 2016 p. 5200</w:t>
      </w:r>
      <w:r>
        <w:noBreakHyphen/>
        <w:t>2.]</w:t>
      </w:r>
    </w:p>
    <w:p w:rsidR="00425758" w:rsidRDefault="00425758">
      <w:pPr>
        <w:pStyle w:val="yHeading5"/>
        <w:keepNext w:val="0"/>
        <w:keepLines w:val="0"/>
        <w:pageBreakBefore/>
        <w:widowControl w:val="0"/>
        <w:spacing w:before="0" w:after="120"/>
      </w:pPr>
      <w:bookmarkStart w:id="1346" w:name="_Toc75863911"/>
      <w:r>
        <w:rPr>
          <w:rStyle w:val="CharSClsNo"/>
        </w:rPr>
        <w:lastRenderedPageBreak/>
        <w:t>5</w:t>
      </w:r>
      <w:r>
        <w:t>.</w:t>
      </w:r>
      <w:r>
        <w:rPr>
          <w:b w:val="0"/>
        </w:rPr>
        <w:tab/>
      </w:r>
      <w:r>
        <w:t>Indorsements of representative capacity of parties (O. 6 r. 5)</w:t>
      </w:r>
      <w:bookmarkEnd w:id="1346"/>
    </w:p>
    <w:p w:rsidR="00425758" w:rsidRDefault="00425758">
      <w:pPr>
        <w:pStyle w:val="yMiscellaneousBody"/>
        <w:rPr>
          <w:sz w:val="20"/>
        </w:rPr>
      </w:pPr>
      <w:r>
        <w:rPr>
          <w:sz w:val="20"/>
        </w:rPr>
        <w:t>The plaintiff’s claim is as executor (</w:t>
      </w:r>
      <w:r>
        <w:rPr>
          <w:i/>
          <w:sz w:val="20"/>
        </w:rPr>
        <w:t>or</w:t>
      </w:r>
      <w:r>
        <w:rPr>
          <w:sz w:val="20"/>
        </w:rPr>
        <w:t xml:space="preserve"> administrator) of C.D., deceased, for, etc.</w:t>
      </w:r>
    </w:p>
    <w:p w:rsidR="00425758" w:rsidRDefault="00425758">
      <w:pPr>
        <w:pStyle w:val="yMiscellaneousBody"/>
        <w:rPr>
          <w:sz w:val="20"/>
        </w:rPr>
      </w:pPr>
      <w:r>
        <w:rPr>
          <w:sz w:val="20"/>
        </w:rPr>
        <w:t>The plaintiff’s claim is against the defendant A.B. as executor (</w:t>
      </w:r>
      <w:r>
        <w:rPr>
          <w:i/>
          <w:sz w:val="20"/>
        </w:rPr>
        <w:t>or</w:t>
      </w:r>
      <w:r>
        <w:rPr>
          <w:sz w:val="20"/>
        </w:rPr>
        <w:t xml:space="preserve"> etc.) of C.D., deceased, for etc.</w:t>
      </w:r>
    </w:p>
    <w:p w:rsidR="00425758" w:rsidRDefault="00425758">
      <w:pPr>
        <w:pStyle w:val="yMiscellaneousBody"/>
        <w:rPr>
          <w:sz w:val="20"/>
        </w:rPr>
      </w:pPr>
      <w:r>
        <w:rPr>
          <w:sz w:val="20"/>
        </w:rPr>
        <w:t>The plaintiff’s claim is against the defendant A.B. as executor of X.Y., deceased, for, etc. and against the defendant C.D., in his personal capacity, for, etc.</w:t>
      </w:r>
    </w:p>
    <w:p w:rsidR="00425758" w:rsidRDefault="00425758">
      <w:pPr>
        <w:pStyle w:val="yMiscellaneousBody"/>
        <w:rPr>
          <w:sz w:val="20"/>
        </w:rPr>
      </w:pPr>
      <w:r>
        <w:rPr>
          <w:sz w:val="20"/>
        </w:rPr>
        <w:t>The plaintiff’s claim is as trustee under the bankruptcy of A.B. for</w:t>
      </w:r>
    </w:p>
    <w:p w:rsidR="00425758" w:rsidRDefault="00425758">
      <w:pPr>
        <w:pStyle w:val="yMiscellaneousBody"/>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rsidR="00425758" w:rsidRDefault="00425758">
      <w:pPr>
        <w:pStyle w:val="yMiscellaneousBody"/>
        <w:rPr>
          <w:sz w:val="20"/>
        </w:rPr>
      </w:pPr>
      <w:r>
        <w:rPr>
          <w:sz w:val="20"/>
        </w:rPr>
        <w:t>The plaintiff’s claim is against the defendant A.B. as principal, and against the defendant C.D. as surety, for</w:t>
      </w:r>
    </w:p>
    <w:p w:rsidR="00425758" w:rsidRDefault="00425758">
      <w:pPr>
        <w:pStyle w:val="yFootnotesection"/>
        <w:keepLines w:val="0"/>
        <w:widowControl w:val="0"/>
        <w:spacing w:before="160"/>
      </w:pPr>
      <w:r>
        <w:tab/>
        <w:t>[Form 5 amended: Gazette 30 Jun 2003 p. 2631; 28 Jun 2011 p. 2556.]</w:t>
      </w:r>
    </w:p>
    <w:p w:rsidR="00425758" w:rsidRDefault="00425758">
      <w:pPr>
        <w:pStyle w:val="yMiscellaneousHeading"/>
        <w:tabs>
          <w:tab w:val="left" w:pos="709"/>
        </w:tabs>
        <w:ind w:left="709" w:hanging="709"/>
        <w:jc w:val="left"/>
        <w:rPr>
          <w:b/>
        </w:rPr>
      </w:pPr>
      <w:r>
        <w:rPr>
          <w:rStyle w:val="CharSClsNo"/>
          <w:b/>
        </w:rPr>
        <w:t>5AA</w:t>
      </w:r>
      <w:r>
        <w:rPr>
          <w:b/>
        </w:rPr>
        <w:t>.</w:t>
      </w:r>
      <w:r>
        <w:rPr>
          <w:b/>
        </w:rPr>
        <w:tab/>
        <w:t>Notice of change of representation, service details or address (O. 8 r. 5A; O. 71A r. 5(2)(aa))</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417"/>
        <w:gridCol w:w="690"/>
        <w:gridCol w:w="1153"/>
      </w:tblGrid>
      <w:tr w:rsidR="00425758">
        <w:trPr>
          <w:cantSplit/>
          <w:trHeight w:val="329"/>
        </w:trPr>
        <w:tc>
          <w:tcPr>
            <w:tcW w:w="3544" w:type="dxa"/>
            <w:gridSpan w:val="2"/>
            <w:vMerge w:val="restart"/>
          </w:tcPr>
          <w:p w:rsidR="00425758" w:rsidRDefault="00425758">
            <w:pPr>
              <w:pStyle w:val="yTableNAm"/>
              <w:rPr>
                <w:sz w:val="20"/>
              </w:rPr>
            </w:pPr>
            <w:r>
              <w:rPr>
                <w:sz w:val="20"/>
              </w:rPr>
              <w:t>Supreme Court of Western Australia</w:t>
            </w:r>
          </w:p>
        </w:tc>
        <w:tc>
          <w:tcPr>
            <w:tcW w:w="3260" w:type="dxa"/>
            <w:gridSpan w:val="3"/>
            <w:tcBorders>
              <w:bottom w:val="nil"/>
            </w:tcBorders>
            <w:vAlign w:val="center"/>
          </w:tcPr>
          <w:p w:rsidR="00425758" w:rsidRDefault="00425758">
            <w:pPr>
              <w:pStyle w:val="yTableNAm"/>
              <w:rPr>
                <w:sz w:val="20"/>
              </w:rPr>
            </w:pPr>
            <w:r>
              <w:rPr>
                <w:sz w:val="20"/>
              </w:rPr>
              <w:t>No:</w:t>
            </w:r>
          </w:p>
        </w:tc>
      </w:tr>
      <w:tr w:rsidR="00425758">
        <w:trPr>
          <w:cantSplit/>
          <w:trHeight w:val="328"/>
        </w:trPr>
        <w:tc>
          <w:tcPr>
            <w:tcW w:w="3544" w:type="dxa"/>
            <w:gridSpan w:val="2"/>
            <w:vMerge/>
            <w:tcBorders>
              <w:bottom w:val="nil"/>
            </w:tcBorders>
          </w:tcPr>
          <w:p w:rsidR="00425758" w:rsidRDefault="00425758">
            <w:pPr>
              <w:pStyle w:val="yTableNAm"/>
              <w:spacing w:before="60"/>
              <w:rPr>
                <w:sz w:val="20"/>
              </w:rPr>
            </w:pPr>
          </w:p>
        </w:tc>
        <w:tc>
          <w:tcPr>
            <w:tcW w:w="3260" w:type="dxa"/>
            <w:gridSpan w:val="3"/>
            <w:tcBorders>
              <w:bottom w:val="nil"/>
            </w:tcBorders>
          </w:tcPr>
          <w:p w:rsidR="00425758" w:rsidRDefault="00425758">
            <w:pPr>
              <w:pStyle w:val="yTableNAm"/>
              <w:spacing w:before="60"/>
              <w:rPr>
                <w:sz w:val="20"/>
              </w:rPr>
            </w:pPr>
            <w:r>
              <w:rPr>
                <w:b/>
                <w:sz w:val="20"/>
              </w:rPr>
              <w:t>Notice of change of representation, service details or address</w:t>
            </w:r>
          </w:p>
        </w:tc>
      </w:tr>
      <w:tr w:rsidR="00425758">
        <w:trPr>
          <w:cantSplit/>
        </w:trPr>
        <w:tc>
          <w:tcPr>
            <w:tcW w:w="1701" w:type="dxa"/>
            <w:tcBorders>
              <w:bottom w:val="nil"/>
            </w:tcBorders>
          </w:tcPr>
          <w:p w:rsidR="00425758" w:rsidRDefault="00425758">
            <w:pPr>
              <w:pStyle w:val="yTableNAm"/>
              <w:rPr>
                <w:sz w:val="20"/>
              </w:rPr>
            </w:pPr>
            <w:r>
              <w:rPr>
                <w:sz w:val="20"/>
              </w:rPr>
              <w:t>Parties</w:t>
            </w:r>
          </w:p>
        </w:tc>
        <w:tc>
          <w:tcPr>
            <w:tcW w:w="5103" w:type="dxa"/>
            <w:gridSpan w:val="4"/>
            <w:tcBorders>
              <w:bottom w:val="nil"/>
            </w:tcBorders>
          </w:tcPr>
          <w:p w:rsidR="00425758" w:rsidRDefault="00425758">
            <w:pPr>
              <w:pStyle w:val="yTableNAm"/>
              <w:tabs>
                <w:tab w:val="clear" w:pos="567"/>
                <w:tab w:val="left" w:pos="228"/>
              </w:tabs>
              <w:jc w:val="right"/>
              <w:rPr>
                <w:sz w:val="20"/>
              </w:rPr>
            </w:pPr>
            <w:r>
              <w:rPr>
                <w:sz w:val="20"/>
              </w:rPr>
              <w:t>Plaintiff/Applicant/Appellant</w:t>
            </w:r>
            <w:r>
              <w:rPr>
                <w:sz w:val="20"/>
                <w:vertAlign w:val="superscript"/>
              </w:rPr>
              <w:t>1</w:t>
            </w:r>
          </w:p>
          <w:p w:rsidR="00425758" w:rsidRDefault="00425758">
            <w:pPr>
              <w:pStyle w:val="yTableNAm"/>
              <w:tabs>
                <w:tab w:val="clear" w:pos="567"/>
                <w:tab w:val="left" w:pos="228"/>
              </w:tabs>
              <w:jc w:val="right"/>
              <w:rPr>
                <w:sz w:val="20"/>
              </w:rPr>
            </w:pPr>
            <w:r>
              <w:rPr>
                <w:sz w:val="20"/>
              </w:rPr>
              <w:t>Defendant/Respondent</w:t>
            </w:r>
            <w:r>
              <w:rPr>
                <w:sz w:val="20"/>
                <w:vertAlign w:val="superscript"/>
              </w:rPr>
              <w:t>1</w:t>
            </w:r>
          </w:p>
        </w:tc>
      </w:tr>
      <w:tr w:rsidR="00425758">
        <w:trPr>
          <w:cantSplit/>
        </w:trPr>
        <w:tc>
          <w:tcPr>
            <w:tcW w:w="1701" w:type="dxa"/>
            <w:tcBorders>
              <w:bottom w:val="nil"/>
            </w:tcBorders>
          </w:tcPr>
          <w:p w:rsidR="00425758" w:rsidRDefault="00425758">
            <w:pPr>
              <w:pStyle w:val="yTableNAm"/>
              <w:rPr>
                <w:sz w:val="20"/>
              </w:rPr>
            </w:pPr>
            <w:r>
              <w:rPr>
                <w:sz w:val="20"/>
              </w:rPr>
              <w:t>Party filing notice</w:t>
            </w:r>
          </w:p>
        </w:tc>
        <w:tc>
          <w:tcPr>
            <w:tcW w:w="5103" w:type="dxa"/>
            <w:gridSpan w:val="4"/>
            <w:tcBorders>
              <w:bottom w:val="nil"/>
            </w:tcBorders>
          </w:tcPr>
          <w:p w:rsidR="00425758" w:rsidRDefault="00425758">
            <w:pPr>
              <w:pStyle w:val="yTableNAm"/>
              <w:rPr>
                <w:sz w:val="20"/>
              </w:rPr>
            </w:pPr>
            <w:r>
              <w:rPr>
                <w:sz w:val="20"/>
              </w:rPr>
              <w:t>Plaintiff/Applicant/Appellant</w:t>
            </w:r>
            <w:r>
              <w:rPr>
                <w:sz w:val="20"/>
                <w:vertAlign w:val="superscript"/>
              </w:rPr>
              <w:t>2</w:t>
            </w:r>
          </w:p>
          <w:p w:rsidR="00425758" w:rsidRDefault="00425758">
            <w:pPr>
              <w:pStyle w:val="yTableNAm"/>
              <w:rPr>
                <w:sz w:val="20"/>
              </w:rPr>
            </w:pPr>
            <w:r>
              <w:rPr>
                <w:sz w:val="20"/>
              </w:rPr>
              <w:t>Defendant/Respondent</w:t>
            </w:r>
            <w:r>
              <w:rPr>
                <w:sz w:val="20"/>
                <w:vertAlign w:val="superscript"/>
              </w:rPr>
              <w:t>2</w:t>
            </w:r>
            <w:r>
              <w:rPr>
                <w:sz w:val="20"/>
              </w:rPr>
              <w:t xml:space="preserve">  Third Party</w:t>
            </w:r>
            <w:r>
              <w:rPr>
                <w:sz w:val="20"/>
                <w:vertAlign w:val="superscript"/>
              </w:rPr>
              <w:t>2</w:t>
            </w:r>
          </w:p>
        </w:tc>
      </w:tr>
      <w:tr w:rsidR="00425758">
        <w:trPr>
          <w:cantSplit/>
        </w:trPr>
        <w:tc>
          <w:tcPr>
            <w:tcW w:w="1701" w:type="dxa"/>
            <w:tcBorders>
              <w:bottom w:val="single" w:sz="4" w:space="0" w:color="auto"/>
            </w:tcBorders>
          </w:tcPr>
          <w:p w:rsidR="00425758" w:rsidRDefault="00425758">
            <w:pPr>
              <w:pStyle w:val="yTableNAm"/>
              <w:rPr>
                <w:sz w:val="20"/>
              </w:rPr>
            </w:pPr>
            <w:r>
              <w:rPr>
                <w:sz w:val="20"/>
              </w:rPr>
              <w:t>Date of filing</w:t>
            </w:r>
          </w:p>
        </w:tc>
        <w:tc>
          <w:tcPr>
            <w:tcW w:w="5103" w:type="dxa"/>
            <w:gridSpan w:val="4"/>
            <w:tcBorders>
              <w:bottom w:val="single" w:sz="4" w:space="0" w:color="auto"/>
            </w:tcBorders>
          </w:tcPr>
          <w:p w:rsidR="00425758" w:rsidRDefault="00425758">
            <w:pPr>
              <w:pStyle w:val="yTableNAm"/>
              <w:rPr>
                <w:sz w:val="20"/>
              </w:rPr>
            </w:pPr>
          </w:p>
        </w:tc>
      </w:tr>
      <w:tr w:rsidR="00425758">
        <w:trPr>
          <w:cantSplit/>
        </w:trPr>
        <w:tc>
          <w:tcPr>
            <w:tcW w:w="6804" w:type="dxa"/>
            <w:gridSpan w:val="5"/>
            <w:tcBorders>
              <w:bottom w:val="single" w:sz="4" w:space="0" w:color="auto"/>
            </w:tcBorders>
          </w:tcPr>
          <w:p w:rsidR="00425758" w:rsidRDefault="00425758">
            <w:pPr>
              <w:pStyle w:val="yTableNAm"/>
              <w:rPr>
                <w:sz w:val="20"/>
              </w:rPr>
            </w:pPr>
            <w:r>
              <w:rPr>
                <w:b/>
                <w:sz w:val="20"/>
              </w:rPr>
              <w:t>CURRENT ADDRESS AND SERVICE DETAILS</w:t>
            </w:r>
          </w:p>
        </w:tc>
      </w:tr>
      <w:tr w:rsidR="00425758">
        <w:trPr>
          <w:cantSplit/>
        </w:trPr>
        <w:tc>
          <w:tcPr>
            <w:tcW w:w="1701" w:type="dxa"/>
            <w:tcBorders>
              <w:bottom w:val="single" w:sz="4" w:space="0" w:color="auto"/>
            </w:tcBorders>
          </w:tcPr>
          <w:p w:rsidR="00425758" w:rsidRDefault="00425758">
            <w:pPr>
              <w:pStyle w:val="yTableNAm"/>
              <w:rPr>
                <w:sz w:val="20"/>
              </w:rPr>
            </w:pPr>
            <w:r>
              <w:rPr>
                <w:sz w:val="20"/>
              </w:rPr>
              <w:t>Geographical address of party</w:t>
            </w:r>
            <w:r>
              <w:rPr>
                <w:sz w:val="20"/>
                <w:vertAlign w:val="superscript"/>
              </w:rPr>
              <w:t>3</w:t>
            </w:r>
          </w:p>
        </w:tc>
        <w:tc>
          <w:tcPr>
            <w:tcW w:w="5103" w:type="dxa"/>
            <w:gridSpan w:val="4"/>
            <w:tcBorders>
              <w:bottom w:val="single" w:sz="4" w:space="0" w:color="auto"/>
            </w:tcBorders>
          </w:tcPr>
          <w:p w:rsidR="00425758" w:rsidRDefault="00425758">
            <w:pPr>
              <w:pStyle w:val="yTableNAm"/>
              <w:rPr>
                <w:sz w:val="20"/>
              </w:rPr>
            </w:pPr>
          </w:p>
        </w:tc>
      </w:tr>
      <w:tr w:rsidR="00425758">
        <w:trPr>
          <w:cantSplit/>
        </w:trPr>
        <w:tc>
          <w:tcPr>
            <w:tcW w:w="1701" w:type="dxa"/>
            <w:tcBorders>
              <w:bottom w:val="single" w:sz="4" w:space="0" w:color="auto"/>
            </w:tcBorders>
          </w:tcPr>
          <w:p w:rsidR="00425758" w:rsidRDefault="00425758">
            <w:pPr>
              <w:pStyle w:val="yTableNAm"/>
              <w:rPr>
                <w:sz w:val="20"/>
              </w:rPr>
            </w:pPr>
            <w:r>
              <w:rPr>
                <w:sz w:val="20"/>
              </w:rPr>
              <w:t>Postal address for service of documents</w:t>
            </w:r>
            <w:r>
              <w:rPr>
                <w:sz w:val="20"/>
                <w:vertAlign w:val="superscript"/>
              </w:rPr>
              <w:t>4</w:t>
            </w:r>
          </w:p>
        </w:tc>
        <w:tc>
          <w:tcPr>
            <w:tcW w:w="5103" w:type="dxa"/>
            <w:gridSpan w:val="4"/>
            <w:tcBorders>
              <w:bottom w:val="single" w:sz="4" w:space="0" w:color="auto"/>
            </w:tcBorders>
          </w:tcPr>
          <w:p w:rsidR="00425758" w:rsidRDefault="00425758">
            <w:pPr>
              <w:pStyle w:val="yTableNAm"/>
              <w:rPr>
                <w:sz w:val="20"/>
              </w:rPr>
            </w:pPr>
          </w:p>
        </w:tc>
      </w:tr>
      <w:tr w:rsidR="00425758">
        <w:trPr>
          <w:cantSplit/>
        </w:trPr>
        <w:tc>
          <w:tcPr>
            <w:tcW w:w="1701" w:type="dxa"/>
            <w:tcBorders>
              <w:bottom w:val="single" w:sz="4" w:space="0" w:color="auto"/>
            </w:tcBorders>
          </w:tcPr>
          <w:p w:rsidR="00425758" w:rsidRDefault="00425758">
            <w:pPr>
              <w:pStyle w:val="yTableNAm"/>
              <w:rPr>
                <w:sz w:val="20"/>
              </w:rPr>
            </w:pPr>
            <w:r>
              <w:rPr>
                <w:sz w:val="20"/>
              </w:rPr>
              <w:t>Telephone number</w:t>
            </w:r>
            <w:r>
              <w:rPr>
                <w:sz w:val="20"/>
                <w:vertAlign w:val="superscript"/>
              </w:rPr>
              <w:t>5</w:t>
            </w:r>
          </w:p>
        </w:tc>
        <w:tc>
          <w:tcPr>
            <w:tcW w:w="1843" w:type="dxa"/>
            <w:tcBorders>
              <w:bottom w:val="single" w:sz="4" w:space="0" w:color="auto"/>
            </w:tcBorders>
          </w:tcPr>
          <w:p w:rsidR="00425758" w:rsidRDefault="00425758">
            <w:pPr>
              <w:pStyle w:val="zyTableNAm"/>
              <w:spacing w:before="60"/>
              <w:rPr>
                <w:sz w:val="20"/>
              </w:rPr>
            </w:pPr>
          </w:p>
        </w:tc>
        <w:tc>
          <w:tcPr>
            <w:tcW w:w="1417" w:type="dxa"/>
            <w:tcBorders>
              <w:bottom w:val="single" w:sz="4" w:space="0" w:color="auto"/>
            </w:tcBorders>
          </w:tcPr>
          <w:p w:rsidR="00425758" w:rsidRDefault="00425758">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rsidR="00425758" w:rsidRDefault="00425758">
            <w:pPr>
              <w:pStyle w:val="yTableNAm"/>
              <w:rPr>
                <w:sz w:val="20"/>
              </w:rPr>
            </w:pPr>
          </w:p>
        </w:tc>
      </w:tr>
      <w:tr w:rsidR="00425758">
        <w:trPr>
          <w:cantSplit/>
        </w:trPr>
        <w:tc>
          <w:tcPr>
            <w:tcW w:w="1701" w:type="dxa"/>
            <w:tcBorders>
              <w:bottom w:val="single" w:sz="4" w:space="0" w:color="auto"/>
            </w:tcBorders>
          </w:tcPr>
          <w:p w:rsidR="00425758" w:rsidRDefault="00425758">
            <w:pPr>
              <w:pStyle w:val="yTableNAm"/>
              <w:rPr>
                <w:sz w:val="20"/>
              </w:rPr>
            </w:pPr>
            <w:r>
              <w:rPr>
                <w:sz w:val="20"/>
              </w:rPr>
              <w:t>Email address</w:t>
            </w:r>
            <w:r>
              <w:rPr>
                <w:sz w:val="20"/>
                <w:vertAlign w:val="superscript"/>
              </w:rPr>
              <w:t>6</w:t>
            </w:r>
          </w:p>
        </w:tc>
        <w:tc>
          <w:tcPr>
            <w:tcW w:w="5103" w:type="dxa"/>
            <w:gridSpan w:val="4"/>
            <w:tcBorders>
              <w:bottom w:val="single" w:sz="4" w:space="0" w:color="auto"/>
            </w:tcBorders>
          </w:tcPr>
          <w:p w:rsidR="00425758" w:rsidRDefault="00425758">
            <w:pPr>
              <w:pStyle w:val="yTableNAm"/>
              <w:rPr>
                <w:sz w:val="20"/>
              </w:rPr>
            </w:pPr>
          </w:p>
        </w:tc>
      </w:tr>
      <w:tr w:rsidR="00425758">
        <w:trPr>
          <w:cantSplit/>
        </w:trPr>
        <w:tc>
          <w:tcPr>
            <w:tcW w:w="1701" w:type="dxa"/>
            <w:tcBorders>
              <w:bottom w:val="single" w:sz="4" w:space="0" w:color="auto"/>
            </w:tcBorders>
          </w:tcPr>
          <w:p w:rsidR="00425758" w:rsidRDefault="00425758">
            <w:pPr>
              <w:pStyle w:val="yTableNAm"/>
              <w:rPr>
                <w:sz w:val="20"/>
              </w:rPr>
            </w:pPr>
            <w:r>
              <w:rPr>
                <w:sz w:val="20"/>
              </w:rPr>
              <w:t>Reference</w:t>
            </w:r>
            <w:r>
              <w:rPr>
                <w:sz w:val="20"/>
                <w:vertAlign w:val="superscript"/>
              </w:rPr>
              <w:t>7</w:t>
            </w:r>
          </w:p>
        </w:tc>
        <w:tc>
          <w:tcPr>
            <w:tcW w:w="5103" w:type="dxa"/>
            <w:gridSpan w:val="4"/>
            <w:tcBorders>
              <w:bottom w:val="single" w:sz="4" w:space="0" w:color="auto"/>
            </w:tcBorders>
          </w:tcPr>
          <w:p w:rsidR="00425758" w:rsidRDefault="00425758">
            <w:pPr>
              <w:pStyle w:val="yTableNAm"/>
              <w:rPr>
                <w:sz w:val="20"/>
              </w:rPr>
            </w:pPr>
          </w:p>
        </w:tc>
      </w:tr>
      <w:tr w:rsidR="00425758">
        <w:trPr>
          <w:cantSplit/>
        </w:trPr>
        <w:tc>
          <w:tcPr>
            <w:tcW w:w="6804" w:type="dxa"/>
            <w:gridSpan w:val="5"/>
            <w:tcBorders>
              <w:bottom w:val="single" w:sz="4" w:space="0" w:color="auto"/>
            </w:tcBorders>
          </w:tcPr>
          <w:p w:rsidR="00425758" w:rsidRDefault="00425758">
            <w:pPr>
              <w:pStyle w:val="yTableNAm"/>
              <w:rPr>
                <w:sz w:val="20"/>
              </w:rPr>
            </w:pPr>
            <w:r>
              <w:rPr>
                <w:b/>
                <w:sz w:val="20"/>
              </w:rPr>
              <w:lastRenderedPageBreak/>
              <w:t>CHANGE OF REPRESENTATION - IF APPLICABLE</w:t>
            </w:r>
          </w:p>
        </w:tc>
      </w:tr>
      <w:tr w:rsidR="00425758">
        <w:trPr>
          <w:cantSplit/>
        </w:trPr>
        <w:tc>
          <w:tcPr>
            <w:tcW w:w="1701" w:type="dxa"/>
            <w:tcBorders>
              <w:bottom w:val="single" w:sz="4" w:space="0" w:color="auto"/>
            </w:tcBorders>
          </w:tcPr>
          <w:p w:rsidR="00425758" w:rsidRDefault="00425758">
            <w:pPr>
              <w:pStyle w:val="yTableNAm"/>
              <w:rPr>
                <w:sz w:val="20"/>
              </w:rPr>
            </w:pPr>
            <w:r>
              <w:rPr>
                <w:sz w:val="20"/>
              </w:rPr>
              <w:t>Change in representation</w:t>
            </w:r>
            <w:r>
              <w:rPr>
                <w:sz w:val="20"/>
                <w:vertAlign w:val="superscript"/>
              </w:rPr>
              <w:t>8</w:t>
            </w:r>
          </w:p>
        </w:tc>
        <w:tc>
          <w:tcPr>
            <w:tcW w:w="5103" w:type="dxa"/>
            <w:gridSpan w:val="4"/>
            <w:tcBorders>
              <w:bottom w:val="single" w:sz="4" w:space="0" w:color="auto"/>
            </w:tcBorders>
          </w:tcPr>
          <w:p w:rsidR="00425758" w:rsidRDefault="00425758">
            <w:pPr>
              <w:pStyle w:val="yTableNAm"/>
              <w:rPr>
                <w:sz w:val="20"/>
              </w:rPr>
            </w:pPr>
            <w:r>
              <w:rPr>
                <w:sz w:val="20"/>
              </w:rPr>
              <w:sym w:font="Monotype Sorts" w:char="F070"/>
            </w:r>
            <w:r>
              <w:rPr>
                <w:sz w:val="20"/>
              </w:rPr>
              <w:tab/>
              <w:t xml:space="preserve">I intend to act in person </w:t>
            </w:r>
          </w:p>
          <w:p w:rsidR="00425758" w:rsidRDefault="00425758">
            <w:pPr>
              <w:pStyle w:val="yTableNAm"/>
              <w:rPr>
                <w:sz w:val="20"/>
              </w:rPr>
            </w:pPr>
            <w:r>
              <w:rPr>
                <w:sz w:val="20"/>
              </w:rPr>
              <w:sym w:font="Monotype Sorts" w:char="F070"/>
            </w:r>
            <w:r>
              <w:rPr>
                <w:sz w:val="20"/>
              </w:rPr>
              <w:tab/>
              <w:t xml:space="preserve">I have changed lawyers </w:t>
            </w:r>
          </w:p>
        </w:tc>
      </w:tr>
      <w:tr w:rsidR="00425758">
        <w:trPr>
          <w:cantSplit/>
        </w:trPr>
        <w:tc>
          <w:tcPr>
            <w:tcW w:w="1701" w:type="dxa"/>
            <w:tcBorders>
              <w:bottom w:val="single" w:sz="4" w:space="0" w:color="auto"/>
            </w:tcBorders>
          </w:tcPr>
          <w:p w:rsidR="00425758" w:rsidRDefault="00425758">
            <w:pPr>
              <w:pStyle w:val="yTableNAm"/>
              <w:rPr>
                <w:sz w:val="20"/>
              </w:rPr>
            </w:pPr>
            <w:r>
              <w:rPr>
                <w:sz w:val="20"/>
              </w:rPr>
              <w:t>Name of new lawyer</w:t>
            </w:r>
            <w:r>
              <w:rPr>
                <w:sz w:val="20"/>
                <w:vertAlign w:val="superscript"/>
              </w:rPr>
              <w:t>9</w:t>
            </w:r>
          </w:p>
        </w:tc>
        <w:tc>
          <w:tcPr>
            <w:tcW w:w="5103" w:type="dxa"/>
            <w:gridSpan w:val="4"/>
            <w:tcBorders>
              <w:bottom w:val="single" w:sz="4" w:space="0" w:color="auto"/>
            </w:tcBorders>
          </w:tcPr>
          <w:p w:rsidR="00425758" w:rsidRDefault="00425758">
            <w:pPr>
              <w:pStyle w:val="yTableNAm"/>
              <w:rPr>
                <w:sz w:val="20"/>
              </w:rPr>
            </w:pPr>
          </w:p>
        </w:tc>
      </w:tr>
      <w:tr w:rsidR="00425758">
        <w:trPr>
          <w:cantSplit/>
        </w:trPr>
        <w:tc>
          <w:tcPr>
            <w:tcW w:w="1701" w:type="dxa"/>
            <w:tcBorders>
              <w:bottom w:val="single" w:sz="4" w:space="0" w:color="auto"/>
            </w:tcBorders>
          </w:tcPr>
          <w:p w:rsidR="00425758" w:rsidRDefault="00425758">
            <w:pPr>
              <w:pStyle w:val="yTableNAm"/>
              <w:rPr>
                <w:sz w:val="20"/>
              </w:rPr>
            </w:pPr>
            <w:r>
              <w:rPr>
                <w:sz w:val="20"/>
              </w:rPr>
              <w:t>Address where new lawyer conducts business</w:t>
            </w:r>
            <w:r>
              <w:rPr>
                <w:sz w:val="20"/>
                <w:vertAlign w:val="superscript"/>
              </w:rPr>
              <w:t>10</w:t>
            </w:r>
          </w:p>
        </w:tc>
        <w:tc>
          <w:tcPr>
            <w:tcW w:w="5103" w:type="dxa"/>
            <w:gridSpan w:val="4"/>
            <w:tcBorders>
              <w:bottom w:val="single" w:sz="4" w:space="0" w:color="auto"/>
            </w:tcBorders>
          </w:tcPr>
          <w:p w:rsidR="00425758" w:rsidRDefault="00425758">
            <w:pPr>
              <w:pStyle w:val="yTableNAm"/>
              <w:rPr>
                <w:sz w:val="20"/>
              </w:rPr>
            </w:pPr>
          </w:p>
        </w:tc>
      </w:tr>
      <w:tr w:rsidR="00425758">
        <w:trPr>
          <w:cantSplit/>
        </w:trPr>
        <w:tc>
          <w:tcPr>
            <w:tcW w:w="1701" w:type="dxa"/>
            <w:tcBorders>
              <w:bottom w:val="single" w:sz="12" w:space="0" w:color="auto"/>
            </w:tcBorders>
          </w:tcPr>
          <w:p w:rsidR="00425758" w:rsidRDefault="00425758">
            <w:pPr>
              <w:pStyle w:val="yTableNAm"/>
              <w:rPr>
                <w:sz w:val="20"/>
              </w:rPr>
            </w:pPr>
            <w:r>
              <w:rPr>
                <w:sz w:val="20"/>
              </w:rPr>
              <w:t>New lawyer’s postal address</w:t>
            </w:r>
            <w:r>
              <w:rPr>
                <w:sz w:val="20"/>
                <w:vertAlign w:val="superscript"/>
              </w:rPr>
              <w:t>10</w:t>
            </w:r>
          </w:p>
        </w:tc>
        <w:tc>
          <w:tcPr>
            <w:tcW w:w="5103" w:type="dxa"/>
            <w:gridSpan w:val="4"/>
            <w:tcBorders>
              <w:bottom w:val="single" w:sz="12" w:space="0" w:color="auto"/>
            </w:tcBorders>
          </w:tcPr>
          <w:p w:rsidR="00425758" w:rsidRDefault="00425758">
            <w:pPr>
              <w:pStyle w:val="yTableNAm"/>
              <w:rPr>
                <w:sz w:val="20"/>
              </w:rPr>
            </w:pPr>
          </w:p>
        </w:tc>
      </w:tr>
      <w:tr w:rsidR="00425758">
        <w:trPr>
          <w:cantSplit/>
        </w:trPr>
        <w:tc>
          <w:tcPr>
            <w:tcW w:w="1701" w:type="dxa"/>
            <w:tcBorders>
              <w:top w:val="single" w:sz="12" w:space="0" w:color="auto"/>
              <w:bottom w:val="single" w:sz="4" w:space="0" w:color="auto"/>
            </w:tcBorders>
          </w:tcPr>
          <w:p w:rsidR="00425758" w:rsidRDefault="00425758">
            <w:pPr>
              <w:pStyle w:val="yTableNAm"/>
              <w:rPr>
                <w:sz w:val="20"/>
              </w:rPr>
            </w:pPr>
            <w:r>
              <w:rPr>
                <w:sz w:val="20"/>
              </w:rPr>
              <w:t>Signature of party or lawyer</w:t>
            </w:r>
          </w:p>
        </w:tc>
        <w:tc>
          <w:tcPr>
            <w:tcW w:w="3950" w:type="dxa"/>
            <w:gridSpan w:val="3"/>
            <w:tcBorders>
              <w:top w:val="single" w:sz="12" w:space="0" w:color="auto"/>
              <w:bottom w:val="single" w:sz="4" w:space="0" w:color="auto"/>
            </w:tcBorders>
          </w:tcPr>
          <w:p w:rsidR="00425758" w:rsidRDefault="00425758">
            <w:pPr>
              <w:pStyle w:val="BodyText3"/>
              <w:spacing w:before="60"/>
              <w:rPr>
                <w:sz w:val="20"/>
              </w:rPr>
            </w:pPr>
            <w:r>
              <w:rPr>
                <w:sz w:val="20"/>
              </w:rPr>
              <w:br/>
              <w:t>Party/Party’s Lawyer</w:t>
            </w:r>
          </w:p>
        </w:tc>
        <w:tc>
          <w:tcPr>
            <w:tcW w:w="1153" w:type="dxa"/>
            <w:tcBorders>
              <w:top w:val="single" w:sz="12" w:space="0" w:color="auto"/>
              <w:bottom w:val="single" w:sz="4" w:space="0" w:color="auto"/>
            </w:tcBorders>
          </w:tcPr>
          <w:p w:rsidR="00425758" w:rsidRDefault="00425758">
            <w:pPr>
              <w:pStyle w:val="yTableNAm"/>
              <w:rPr>
                <w:sz w:val="20"/>
              </w:rPr>
            </w:pPr>
            <w:r>
              <w:rPr>
                <w:sz w:val="20"/>
              </w:rPr>
              <w:t>Date:</w:t>
            </w:r>
          </w:p>
        </w:tc>
      </w:tr>
    </w:tbl>
    <w:p w:rsidR="00425758" w:rsidRDefault="00425758">
      <w:pPr>
        <w:pStyle w:val="yMiscellaneousBody"/>
        <w:ind w:left="540" w:hanging="540"/>
        <w:rPr>
          <w:sz w:val="20"/>
        </w:rPr>
      </w:pPr>
      <w:r>
        <w:rPr>
          <w:sz w:val="20"/>
        </w:rPr>
        <w:t>Notes to Form No. 5AA —</w:t>
      </w:r>
    </w:p>
    <w:p w:rsidR="00425758" w:rsidRDefault="00425758">
      <w:pPr>
        <w:pStyle w:val="yMiscellaneousBody"/>
        <w:spacing w:before="0"/>
        <w:ind w:left="540" w:hanging="540"/>
        <w:rPr>
          <w:sz w:val="20"/>
        </w:rPr>
      </w:pPr>
      <w:r>
        <w:rPr>
          <w:sz w:val="20"/>
        </w:rPr>
        <w:t>1.</w:t>
      </w:r>
      <w:r>
        <w:rPr>
          <w:sz w:val="20"/>
        </w:rPr>
        <w:tab/>
        <w:t>Add full party details.</w:t>
      </w:r>
    </w:p>
    <w:p w:rsidR="00425758" w:rsidRDefault="00425758">
      <w:pPr>
        <w:pStyle w:val="yMiscellaneousBody"/>
        <w:spacing w:before="0"/>
        <w:ind w:left="540" w:hanging="540"/>
        <w:rPr>
          <w:sz w:val="20"/>
        </w:rPr>
      </w:pPr>
      <w:r>
        <w:rPr>
          <w:sz w:val="20"/>
        </w:rPr>
        <w:t>2.</w:t>
      </w:r>
      <w:r>
        <w:rPr>
          <w:sz w:val="20"/>
        </w:rPr>
        <w:tab/>
        <w:t>Delete inapplicable.  Add other party designation if required.</w:t>
      </w:r>
    </w:p>
    <w:p w:rsidR="00425758" w:rsidRDefault="00425758">
      <w:pPr>
        <w:pStyle w:val="yMiscellaneousBody"/>
        <w:spacing w:before="0"/>
        <w:ind w:left="540" w:hanging="540"/>
        <w:rPr>
          <w:sz w:val="20"/>
        </w:rPr>
      </w:pPr>
      <w:r>
        <w:rPr>
          <w:sz w:val="20"/>
        </w:rPr>
        <w:t>3.</w:t>
      </w:r>
      <w:r>
        <w:rPr>
          <w:sz w:val="20"/>
        </w:rPr>
        <w:tab/>
        <w:t>Must be provided unless otherwise ordered by the Court.  See Order 71A r. 2 and 3A.</w:t>
      </w:r>
    </w:p>
    <w:p w:rsidR="00425758" w:rsidRDefault="00425758">
      <w:pPr>
        <w:pStyle w:val="yMiscellaneousBody"/>
        <w:spacing w:before="0"/>
        <w:ind w:left="540" w:hanging="540"/>
        <w:rPr>
          <w:sz w:val="20"/>
        </w:rPr>
      </w:pPr>
      <w:r>
        <w:rPr>
          <w:sz w:val="20"/>
        </w:rPr>
        <w:t>4.</w:t>
      </w:r>
      <w:r>
        <w:rPr>
          <w:sz w:val="20"/>
        </w:rPr>
        <w:tab/>
        <w:t>Must be provided - to be lawyer’s postal address if party is legally represented.</w:t>
      </w:r>
    </w:p>
    <w:p w:rsidR="00425758" w:rsidRDefault="00425758">
      <w:pPr>
        <w:pStyle w:val="yMiscellaneousBody"/>
        <w:spacing w:before="0"/>
        <w:ind w:left="540" w:hanging="540"/>
        <w:rPr>
          <w:sz w:val="20"/>
        </w:rPr>
      </w:pPr>
      <w:r>
        <w:rPr>
          <w:sz w:val="20"/>
        </w:rPr>
        <w:t>5.</w:t>
      </w:r>
      <w:r>
        <w:rPr>
          <w:sz w:val="20"/>
        </w:rPr>
        <w:tab/>
        <w:t>Must be provided - to be lawyer’s telephone number if party is legally represented.</w:t>
      </w:r>
    </w:p>
    <w:p w:rsidR="00425758" w:rsidRDefault="00425758">
      <w:pPr>
        <w:pStyle w:val="yMiscellaneousBody"/>
        <w:spacing w:before="0"/>
        <w:ind w:left="540" w:hanging="540"/>
        <w:rPr>
          <w:sz w:val="20"/>
        </w:rPr>
      </w:pPr>
      <w:r>
        <w:rPr>
          <w:sz w:val="20"/>
        </w:rPr>
        <w:t>6.</w:t>
      </w:r>
      <w:r>
        <w:rPr>
          <w:sz w:val="20"/>
        </w:rPr>
        <w:tab/>
        <w:t>Optional - if provided, may be used for service of documents.</w:t>
      </w:r>
    </w:p>
    <w:p w:rsidR="00425758" w:rsidRDefault="00425758">
      <w:pPr>
        <w:pStyle w:val="yMiscellaneousBody"/>
        <w:spacing w:before="0"/>
        <w:ind w:left="540" w:hanging="540"/>
        <w:rPr>
          <w:sz w:val="20"/>
        </w:rPr>
      </w:pPr>
      <w:r>
        <w:rPr>
          <w:sz w:val="20"/>
        </w:rPr>
        <w:t>7.</w:t>
      </w:r>
      <w:r>
        <w:rPr>
          <w:sz w:val="20"/>
        </w:rPr>
        <w:tab/>
        <w:t>Optional.</w:t>
      </w:r>
    </w:p>
    <w:p w:rsidR="00425758" w:rsidRDefault="00425758">
      <w:pPr>
        <w:pStyle w:val="yMiscellaneousBody"/>
        <w:spacing w:before="0"/>
        <w:ind w:left="540" w:hanging="540"/>
        <w:rPr>
          <w:sz w:val="20"/>
        </w:rPr>
      </w:pPr>
      <w:r>
        <w:rPr>
          <w:sz w:val="20"/>
        </w:rPr>
        <w:t>8.</w:t>
      </w:r>
      <w:r>
        <w:rPr>
          <w:sz w:val="20"/>
        </w:rPr>
        <w:tab/>
        <w:t>Tick relevant box.  If changing lawyers complete new lawyer’s contact details below.</w:t>
      </w:r>
    </w:p>
    <w:p w:rsidR="00425758" w:rsidRDefault="00425758">
      <w:pPr>
        <w:pStyle w:val="yMiscellaneousBody"/>
        <w:spacing w:before="0"/>
        <w:ind w:left="540" w:hanging="540"/>
        <w:rPr>
          <w:sz w:val="20"/>
        </w:rPr>
      </w:pPr>
      <w:r>
        <w:rPr>
          <w:sz w:val="20"/>
        </w:rPr>
        <w:t>9.</w:t>
      </w:r>
      <w:r>
        <w:rPr>
          <w:sz w:val="20"/>
        </w:rPr>
        <w:tab/>
        <w:t>Must be provided if a new lawyer has been appointed.</w:t>
      </w:r>
    </w:p>
    <w:p w:rsidR="00425758" w:rsidRDefault="00425758">
      <w:pPr>
        <w:pStyle w:val="yMiscellaneousBody"/>
        <w:spacing w:before="0"/>
        <w:ind w:left="540" w:hanging="540"/>
        <w:rPr>
          <w:sz w:val="20"/>
        </w:rPr>
      </w:pPr>
      <w:r>
        <w:rPr>
          <w:sz w:val="20"/>
        </w:rPr>
        <w:t>10.</w:t>
      </w:r>
      <w:r>
        <w:rPr>
          <w:sz w:val="20"/>
        </w:rPr>
        <w:tab/>
        <w:t>Must be provided if a new lawyer has been appointed.  Write “as above” if the same as the party’s postal address for service of documents.</w:t>
      </w:r>
    </w:p>
    <w:p w:rsidR="00425758" w:rsidRDefault="00425758">
      <w:pPr>
        <w:pStyle w:val="yFootnotesection"/>
        <w:keepLines w:val="0"/>
        <w:widowControl w:val="0"/>
        <w:spacing w:before="160"/>
      </w:pPr>
      <w:r>
        <w:tab/>
        <w:t>[Form 5AA inserted: Gazette 13 Nov 2015 p. 4651-2.]</w:t>
      </w:r>
    </w:p>
    <w:p w:rsidR="00425758" w:rsidRDefault="00425758">
      <w:pPr>
        <w:pStyle w:val="yHeading5"/>
        <w:keepNext w:val="0"/>
        <w:keepLines w:val="0"/>
        <w:pageBreakBefore/>
        <w:widowControl w:val="0"/>
        <w:spacing w:before="0" w:after="120"/>
      </w:pPr>
      <w:bookmarkStart w:id="1347" w:name="_Toc75863912"/>
      <w:r>
        <w:rPr>
          <w:rStyle w:val="CharSClsNo"/>
        </w:rPr>
        <w:lastRenderedPageBreak/>
        <w:t>5A</w:t>
      </w:r>
      <w:r>
        <w:t>.</w:t>
      </w:r>
      <w:r>
        <w:tab/>
        <w:t>Request for service abroad of judicial documents and certificate (O. 11A r. 4, 6 &amp; 16)</w:t>
      </w:r>
      <w:bookmarkEnd w:id="1347"/>
    </w:p>
    <w:p w:rsidR="00425758" w:rsidRDefault="00425758">
      <w:pPr>
        <w:pStyle w:val="yMiscellaneousBody"/>
        <w:tabs>
          <w:tab w:val="left" w:pos="840"/>
        </w:tabs>
        <w:ind w:left="839" w:hanging="839"/>
        <w:jc w:val="center"/>
        <w:rPr>
          <w:b/>
          <w:bCs/>
        </w:rPr>
      </w:pPr>
      <w:r>
        <w:rPr>
          <w:b/>
          <w:bCs/>
        </w:rPr>
        <w:t>Part 1 — Request for service abroad of judicial documents</w:t>
      </w:r>
    </w:p>
    <w:p w:rsidR="00425758" w:rsidRDefault="00425758">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rsidR="00425758" w:rsidRDefault="00425758">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rsidR="00425758">
        <w:tc>
          <w:tcPr>
            <w:tcW w:w="3000" w:type="dxa"/>
            <w:tcBorders>
              <w:right w:val="single" w:sz="4" w:space="0" w:color="auto"/>
            </w:tcBorders>
          </w:tcPr>
          <w:p w:rsidR="00425758" w:rsidRDefault="00425758">
            <w:pPr>
              <w:pStyle w:val="yTableNAm"/>
              <w:tabs>
                <w:tab w:val="clear" w:pos="567"/>
              </w:tabs>
              <w:ind w:left="12"/>
              <w:rPr>
                <w:sz w:val="20"/>
              </w:rPr>
            </w:pPr>
            <w:r>
              <w:rPr>
                <w:sz w:val="20"/>
              </w:rPr>
              <w:t>Identity and address of the forwarding authority requesting service</w:t>
            </w:r>
          </w:p>
          <w:p w:rsidR="00425758" w:rsidRDefault="00425758">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rsidR="00425758" w:rsidRDefault="00425758">
            <w:pPr>
              <w:pStyle w:val="yTableNAm"/>
              <w:ind w:left="600"/>
              <w:rPr>
                <w:sz w:val="20"/>
              </w:rPr>
            </w:pPr>
          </w:p>
        </w:tc>
        <w:tc>
          <w:tcPr>
            <w:tcW w:w="3120" w:type="dxa"/>
            <w:tcBorders>
              <w:left w:val="single" w:sz="4" w:space="0" w:color="auto"/>
            </w:tcBorders>
          </w:tcPr>
          <w:p w:rsidR="00425758" w:rsidRDefault="00425758">
            <w:pPr>
              <w:pStyle w:val="yTableNAm"/>
              <w:tabs>
                <w:tab w:val="clear" w:pos="567"/>
              </w:tabs>
              <w:ind w:left="12"/>
              <w:rPr>
                <w:sz w:val="20"/>
              </w:rPr>
            </w:pPr>
            <w:r>
              <w:rPr>
                <w:sz w:val="20"/>
              </w:rPr>
              <w:t xml:space="preserve">Identity and address of receiving authority </w:t>
            </w:r>
            <w:r>
              <w:rPr>
                <w:i/>
                <w:iCs/>
                <w:sz w:val="20"/>
              </w:rPr>
              <w:t>[Central Authority/additional authority]</w:t>
            </w:r>
          </w:p>
          <w:p w:rsidR="00425758" w:rsidRDefault="00425758">
            <w:pPr>
              <w:pStyle w:val="yTableNAm"/>
              <w:tabs>
                <w:tab w:val="clear" w:pos="567"/>
              </w:tabs>
              <w:ind w:left="12"/>
              <w:rPr>
                <w:sz w:val="20"/>
              </w:rPr>
            </w:pPr>
          </w:p>
        </w:tc>
      </w:tr>
    </w:tbl>
    <w:p w:rsidR="00425758" w:rsidRDefault="00425758">
      <w:pPr>
        <w:pStyle w:val="yMiscellaneousBody"/>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rsidR="00425758" w:rsidRDefault="00425758">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rsidR="00425758" w:rsidRDefault="00425758">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rsidR="00425758" w:rsidRDefault="00425758">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rsidR="00425758" w:rsidRDefault="00425758">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rsidR="00425758" w:rsidRDefault="00425758">
      <w:pPr>
        <w:pStyle w:val="yMiscellaneousBody"/>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rsidR="00425758" w:rsidRDefault="00425758">
      <w:pPr>
        <w:pStyle w:val="yMiscellaneousBody"/>
        <w:tabs>
          <w:tab w:val="left" w:pos="600"/>
        </w:tabs>
        <w:ind w:left="601" w:hanging="601"/>
        <w:rPr>
          <w:i/>
          <w:iCs/>
          <w:sz w:val="20"/>
        </w:rPr>
      </w:pPr>
      <w:r>
        <w:rPr>
          <w:i/>
          <w:iCs/>
          <w:sz w:val="20"/>
        </w:rPr>
        <w:t>List of documents</w:t>
      </w:r>
    </w:p>
    <w:p w:rsidR="00425758" w:rsidRDefault="00425758">
      <w:pPr>
        <w:pStyle w:val="yMiscellaneousBody"/>
        <w:tabs>
          <w:tab w:val="right" w:leader="dot" w:pos="7080"/>
        </w:tabs>
        <w:spacing w:before="0"/>
        <w:rPr>
          <w:sz w:val="20"/>
        </w:rPr>
      </w:pPr>
      <w:r>
        <w:rPr>
          <w:sz w:val="20"/>
        </w:rPr>
        <w:tab/>
      </w:r>
      <w:r>
        <w:rPr>
          <w:sz w:val="20"/>
        </w:rPr>
        <w:br/>
      </w:r>
      <w:r>
        <w:rPr>
          <w:sz w:val="20"/>
        </w:rPr>
        <w:tab/>
      </w:r>
    </w:p>
    <w:p w:rsidR="00425758" w:rsidRDefault="00425758">
      <w:pPr>
        <w:pStyle w:val="yMiscellaneousBody"/>
        <w:spacing w:before="80"/>
        <w:jc w:val="right"/>
        <w:rPr>
          <w:sz w:val="20"/>
        </w:rPr>
      </w:pPr>
      <w:r>
        <w:rPr>
          <w:sz w:val="20"/>
        </w:rPr>
        <w:t>Done at ................. , the ..................</w:t>
      </w:r>
    </w:p>
    <w:p w:rsidR="00425758" w:rsidRDefault="00425758">
      <w:pPr>
        <w:pStyle w:val="yMiscellaneousBody"/>
        <w:spacing w:before="80"/>
        <w:jc w:val="right"/>
        <w:rPr>
          <w:sz w:val="20"/>
        </w:rPr>
      </w:pPr>
      <w:r>
        <w:rPr>
          <w:sz w:val="20"/>
        </w:rPr>
        <w:t>Signature or stamp (or both) of forwarding authority.</w:t>
      </w:r>
    </w:p>
    <w:p w:rsidR="00425758" w:rsidRDefault="00425758">
      <w:pPr>
        <w:pStyle w:val="yMiscellaneousBody"/>
        <w:tabs>
          <w:tab w:val="left" w:pos="600"/>
        </w:tabs>
        <w:spacing w:before="100"/>
        <w:ind w:left="601" w:hanging="601"/>
        <w:rPr>
          <w:sz w:val="20"/>
        </w:rPr>
      </w:pPr>
      <w:r>
        <w:rPr>
          <w:sz w:val="20"/>
        </w:rPr>
        <w:t>*Delete if inappropriate.</w:t>
      </w:r>
    </w:p>
    <w:p w:rsidR="00425758" w:rsidRDefault="00425758">
      <w:pPr>
        <w:pStyle w:val="yMiscellaneousBody"/>
        <w:pageBreakBefore/>
        <w:jc w:val="center"/>
        <w:rPr>
          <w:b/>
          <w:bCs/>
        </w:rPr>
      </w:pPr>
      <w:r>
        <w:rPr>
          <w:b/>
          <w:bCs/>
        </w:rPr>
        <w:lastRenderedPageBreak/>
        <w:t>Part 2 — Certificate</w:t>
      </w:r>
    </w:p>
    <w:p w:rsidR="00425758" w:rsidRDefault="00425758">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rsidR="00425758" w:rsidRDefault="00425758">
      <w:pPr>
        <w:pStyle w:val="yMiscellaneousBody"/>
        <w:rPr>
          <w:sz w:val="20"/>
        </w:rPr>
      </w:pPr>
      <w:r>
        <w:rPr>
          <w:sz w:val="20"/>
        </w:rPr>
        <w:t>The undersigned authority has the honour to certify, in conformity with Article 6 of the Convention:</w:t>
      </w:r>
    </w:p>
    <w:p w:rsidR="00425758" w:rsidRDefault="00425758">
      <w:pPr>
        <w:pStyle w:val="yMiscellaneousBody"/>
        <w:tabs>
          <w:tab w:val="left" w:pos="600"/>
        </w:tabs>
        <w:spacing w:before="120"/>
        <w:ind w:left="600" w:hanging="600"/>
        <w:rPr>
          <w:sz w:val="20"/>
        </w:rPr>
      </w:pPr>
      <w:r>
        <w:rPr>
          <w:sz w:val="20"/>
        </w:rPr>
        <w:t>1.</w:t>
      </w:r>
      <w:r>
        <w:rPr>
          <w:sz w:val="20"/>
        </w:rPr>
        <w:tab/>
        <w:t>that the documents listed in Part 1 have been served*</w:t>
      </w:r>
    </w:p>
    <w:p w:rsidR="00425758" w:rsidRDefault="00425758">
      <w:pPr>
        <w:pStyle w:val="yMiscellaneousBody"/>
        <w:tabs>
          <w:tab w:val="left" w:pos="600"/>
          <w:tab w:val="right" w:leader="dot" w:pos="7080"/>
        </w:tabs>
        <w:spacing w:before="120"/>
        <w:rPr>
          <w:sz w:val="20"/>
        </w:rPr>
      </w:pPr>
      <w:r>
        <w:rPr>
          <w:sz w:val="20"/>
        </w:rPr>
        <w:tab/>
        <w:t>–the (date)</w:t>
      </w:r>
      <w:r>
        <w:rPr>
          <w:sz w:val="20"/>
        </w:rPr>
        <w:tab/>
      </w:r>
    </w:p>
    <w:p w:rsidR="00425758" w:rsidRDefault="00425758">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rsidR="00425758" w:rsidRDefault="00425758">
      <w:pPr>
        <w:pStyle w:val="yMiscellaneousBody"/>
        <w:tabs>
          <w:tab w:val="left" w:pos="600"/>
          <w:tab w:val="right" w:leader="dot" w:pos="6804"/>
        </w:tabs>
        <w:spacing w:before="120"/>
        <w:rPr>
          <w:sz w:val="20"/>
        </w:rPr>
      </w:pPr>
      <w:r>
        <w:rPr>
          <w:sz w:val="20"/>
        </w:rPr>
        <w:tab/>
        <w:t>–in one of the following methods authorised by Article 5:</w:t>
      </w:r>
    </w:p>
    <w:p w:rsidR="00425758" w:rsidRDefault="00425758">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rsidR="00425758" w:rsidRDefault="00425758">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rsidR="00425758" w:rsidRDefault="00425758">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rsidR="00425758" w:rsidRDefault="00425758">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rsidR="00425758" w:rsidRDefault="00425758">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rsidR="00425758" w:rsidRDefault="00425758">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rsidR="00425758" w:rsidRDefault="00425758">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rsidR="00425758" w:rsidRDefault="00425758">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rsidR="00425758" w:rsidRDefault="00425758">
      <w:pPr>
        <w:pStyle w:val="yMiscellaneousBody"/>
        <w:keepNext/>
        <w:tabs>
          <w:tab w:val="left" w:pos="600"/>
          <w:tab w:val="right" w:leader="dot" w:pos="6804"/>
        </w:tabs>
        <w:rPr>
          <w:i/>
          <w:iCs/>
          <w:sz w:val="20"/>
        </w:rPr>
      </w:pPr>
      <w:r>
        <w:rPr>
          <w:i/>
          <w:iCs/>
          <w:sz w:val="20"/>
        </w:rPr>
        <w:t>Annexes</w:t>
      </w:r>
    </w:p>
    <w:p w:rsidR="00425758" w:rsidRDefault="00425758">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rsidR="00425758" w:rsidRDefault="00425758">
      <w:pPr>
        <w:pStyle w:val="yMiscellaneousBody"/>
        <w:keepNext/>
        <w:jc w:val="right"/>
        <w:rPr>
          <w:sz w:val="20"/>
        </w:rPr>
      </w:pPr>
      <w:r>
        <w:rPr>
          <w:sz w:val="20"/>
        </w:rPr>
        <w:t>Done at ................. , the ..................</w:t>
      </w:r>
    </w:p>
    <w:p w:rsidR="00425758" w:rsidRDefault="00425758">
      <w:pPr>
        <w:pStyle w:val="yMiscellaneousBody"/>
        <w:jc w:val="right"/>
        <w:rPr>
          <w:sz w:val="20"/>
        </w:rPr>
      </w:pPr>
      <w:r>
        <w:rPr>
          <w:sz w:val="20"/>
        </w:rPr>
        <w:t>Signature or stamp (or both).</w:t>
      </w:r>
    </w:p>
    <w:p w:rsidR="00425758" w:rsidRDefault="00425758">
      <w:pPr>
        <w:pStyle w:val="yMiscellaneousBody"/>
        <w:tabs>
          <w:tab w:val="left" w:pos="600"/>
        </w:tabs>
        <w:ind w:left="600" w:hanging="600"/>
        <w:rPr>
          <w:sz w:val="20"/>
        </w:rPr>
      </w:pPr>
      <w:r>
        <w:rPr>
          <w:sz w:val="20"/>
        </w:rPr>
        <w:lastRenderedPageBreak/>
        <w:t>*Delete if inappropriate.</w:t>
      </w:r>
    </w:p>
    <w:p w:rsidR="00425758" w:rsidRDefault="00425758">
      <w:pPr>
        <w:pStyle w:val="yFootnotesection"/>
      </w:pPr>
      <w:r>
        <w:tab/>
        <w:t>[Form 5A inserted: Gazette 3 Jul 2009 p. 2696</w:t>
      </w:r>
      <w:r>
        <w:noBreakHyphen/>
        <w:t>8; (printers correction: Gazette 7 Jul 2009 p. 2719).]</w:t>
      </w:r>
    </w:p>
    <w:p w:rsidR="00425758" w:rsidRDefault="00425758">
      <w:pPr>
        <w:pStyle w:val="yHeading5"/>
        <w:keepNext w:val="0"/>
        <w:keepLines w:val="0"/>
        <w:pageBreakBefore/>
        <w:spacing w:before="0"/>
      </w:pPr>
      <w:bookmarkStart w:id="1348" w:name="_Toc75863913"/>
      <w:r>
        <w:rPr>
          <w:rStyle w:val="CharSClsNo"/>
        </w:rPr>
        <w:lastRenderedPageBreak/>
        <w:t>5B</w:t>
      </w:r>
      <w:r>
        <w:t>.</w:t>
      </w:r>
      <w:r>
        <w:tab/>
        <w:t>Summary of the document to be served (O. 11A r. 4)</w:t>
      </w:r>
      <w:bookmarkEnd w:id="1348"/>
    </w:p>
    <w:p w:rsidR="00425758" w:rsidRDefault="00425758">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rsidR="00425758" w:rsidRDefault="00425758">
      <w:pPr>
        <w:pStyle w:val="yMiscellaneousBody"/>
        <w:tabs>
          <w:tab w:val="left" w:pos="0"/>
        </w:tabs>
        <w:rPr>
          <w:b/>
          <w:bCs/>
          <w:sz w:val="20"/>
        </w:rPr>
      </w:pPr>
      <w:r>
        <w:rPr>
          <w:b/>
          <w:bCs/>
          <w:sz w:val="20"/>
        </w:rPr>
        <w:t xml:space="preserve">Identity and address of the addressee </w:t>
      </w:r>
      <w:r>
        <w:rPr>
          <w:b/>
          <w:i/>
          <w:sz w:val="20"/>
        </w:rPr>
        <w:t>[person to be served]</w:t>
      </w:r>
      <w:r>
        <w:rPr>
          <w:b/>
          <w:sz w:val="20"/>
        </w:rPr>
        <w:t>:</w:t>
      </w:r>
    </w:p>
    <w:p w:rsidR="00425758" w:rsidRDefault="00425758">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rsidR="00425758">
        <w:tc>
          <w:tcPr>
            <w:tcW w:w="3360" w:type="dxa"/>
            <w:tcBorders>
              <w:left w:val="single" w:sz="4" w:space="0" w:color="auto"/>
            </w:tcBorders>
          </w:tcPr>
          <w:p w:rsidR="00425758" w:rsidRDefault="00425758">
            <w:pPr>
              <w:pStyle w:val="yMiscellaneousBody"/>
              <w:rPr>
                <w:sz w:val="20"/>
              </w:rPr>
            </w:pPr>
          </w:p>
        </w:tc>
      </w:tr>
    </w:tbl>
    <w:p w:rsidR="00425758" w:rsidRDefault="00425758">
      <w:pPr>
        <w:pStyle w:val="yMiscellaneousBody"/>
        <w:spacing w:before="0"/>
        <w:rPr>
          <w:b/>
          <w:bCs/>
          <w:sz w:val="20"/>
        </w:rPr>
      </w:pPr>
    </w:p>
    <w:p w:rsidR="00425758" w:rsidRDefault="00425758">
      <w:pPr>
        <w:pStyle w:val="yMiscellaneousBody"/>
        <w:spacing w:before="80"/>
        <w:jc w:val="center"/>
        <w:rPr>
          <w:b/>
          <w:bCs/>
          <w:sz w:val="20"/>
        </w:rPr>
      </w:pPr>
      <w:r>
        <w:rPr>
          <w:b/>
          <w:bCs/>
          <w:sz w:val="20"/>
        </w:rPr>
        <w:t>IMPORTANT</w:t>
      </w:r>
    </w:p>
    <w:p w:rsidR="00425758" w:rsidRDefault="00425758">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rsidR="00425758" w:rsidRDefault="00425758">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rsidR="00425758" w:rsidRDefault="00425758">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rsidR="00425758" w:rsidRDefault="00425758">
      <w:pPr>
        <w:pStyle w:val="yMiscellaneousBody"/>
        <w:tabs>
          <w:tab w:val="left" w:pos="600"/>
          <w:tab w:val="right" w:leader="dot" w:pos="6804"/>
        </w:tabs>
        <w:rPr>
          <w:sz w:val="20"/>
        </w:rPr>
      </w:pPr>
      <w:r>
        <w:rPr>
          <w:sz w:val="20"/>
        </w:rPr>
        <w:t>SUMMARY OF THE DOCUMENT TO BE SERVED</w:t>
      </w:r>
    </w:p>
    <w:p w:rsidR="00425758" w:rsidRDefault="00425758">
      <w:pPr>
        <w:pStyle w:val="yMiscellaneousBody"/>
        <w:tabs>
          <w:tab w:val="left" w:pos="600"/>
          <w:tab w:val="right" w:leader="dot" w:pos="7080"/>
        </w:tabs>
        <w:spacing w:before="120"/>
        <w:rPr>
          <w:sz w:val="20"/>
        </w:rPr>
      </w:pPr>
      <w:r>
        <w:rPr>
          <w:sz w:val="20"/>
        </w:rPr>
        <w:t>Name and address of the forwarding authority</w:t>
      </w:r>
      <w:r>
        <w:rPr>
          <w:sz w:val="20"/>
        </w:rPr>
        <w:tab/>
      </w:r>
    </w:p>
    <w:p w:rsidR="00425758" w:rsidRDefault="00425758">
      <w:pPr>
        <w:pStyle w:val="yMiscellaneousBody"/>
        <w:tabs>
          <w:tab w:val="left" w:pos="600"/>
          <w:tab w:val="right" w:leader="dot" w:pos="7080"/>
        </w:tabs>
        <w:spacing w:before="120"/>
        <w:rPr>
          <w:sz w:val="20"/>
        </w:rPr>
      </w:pPr>
      <w:r>
        <w:rPr>
          <w:sz w:val="20"/>
        </w:rPr>
        <w:t>Particulars of the parties</w:t>
      </w:r>
      <w:r>
        <w:rPr>
          <w:sz w:val="20"/>
        </w:rPr>
        <w:tab/>
      </w:r>
    </w:p>
    <w:p w:rsidR="00425758" w:rsidRDefault="00425758">
      <w:pPr>
        <w:pStyle w:val="yMiscellaneousBody"/>
        <w:tabs>
          <w:tab w:val="left" w:pos="600"/>
          <w:tab w:val="right" w:leader="dot" w:pos="6804"/>
        </w:tabs>
        <w:rPr>
          <w:sz w:val="20"/>
        </w:rPr>
      </w:pPr>
      <w:r>
        <w:rPr>
          <w:sz w:val="20"/>
        </w:rPr>
        <w:t>**JUDICIAL DOCUMENT</w:t>
      </w:r>
    </w:p>
    <w:p w:rsidR="00425758" w:rsidRDefault="00425758">
      <w:pPr>
        <w:pStyle w:val="yMiscellaneousBody"/>
        <w:tabs>
          <w:tab w:val="left" w:pos="600"/>
          <w:tab w:val="right" w:leader="dot" w:pos="7080"/>
        </w:tabs>
        <w:spacing w:before="120"/>
        <w:rPr>
          <w:sz w:val="20"/>
        </w:rPr>
      </w:pPr>
      <w:r>
        <w:rPr>
          <w:sz w:val="20"/>
        </w:rPr>
        <w:t>Nature and purpose of the document</w:t>
      </w:r>
      <w:r>
        <w:rPr>
          <w:sz w:val="20"/>
        </w:rPr>
        <w:tab/>
      </w:r>
    </w:p>
    <w:p w:rsidR="00425758" w:rsidRDefault="00425758">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rsidR="00425758" w:rsidRDefault="00425758">
      <w:pPr>
        <w:pStyle w:val="yMiscellaneousBody"/>
        <w:tabs>
          <w:tab w:val="left" w:pos="600"/>
          <w:tab w:val="right" w:leader="dot" w:pos="7080"/>
        </w:tabs>
        <w:spacing w:before="120"/>
        <w:rPr>
          <w:sz w:val="20"/>
        </w:rPr>
      </w:pPr>
      <w:r>
        <w:rPr>
          <w:sz w:val="20"/>
        </w:rPr>
        <w:t>Date and place for entering appearance</w:t>
      </w:r>
      <w:r>
        <w:rPr>
          <w:sz w:val="20"/>
        </w:rPr>
        <w:tab/>
      </w:r>
    </w:p>
    <w:p w:rsidR="00425758" w:rsidRDefault="00425758">
      <w:pPr>
        <w:pStyle w:val="yMiscellaneousBody"/>
        <w:tabs>
          <w:tab w:val="left" w:pos="600"/>
          <w:tab w:val="right" w:leader="dot" w:pos="7080"/>
        </w:tabs>
        <w:spacing w:before="120"/>
        <w:rPr>
          <w:sz w:val="20"/>
        </w:rPr>
      </w:pPr>
      <w:r>
        <w:rPr>
          <w:sz w:val="20"/>
        </w:rPr>
        <w:t>Court in which proceedings pending/judgment given</w:t>
      </w:r>
      <w:r>
        <w:rPr>
          <w:sz w:val="20"/>
        </w:rPr>
        <w:tab/>
      </w:r>
    </w:p>
    <w:p w:rsidR="00425758" w:rsidRDefault="00425758">
      <w:pPr>
        <w:pStyle w:val="yMiscellaneousBody"/>
        <w:tabs>
          <w:tab w:val="left" w:pos="600"/>
          <w:tab w:val="right" w:leader="dot" w:pos="7080"/>
        </w:tabs>
        <w:spacing w:before="120"/>
        <w:rPr>
          <w:sz w:val="20"/>
        </w:rPr>
      </w:pPr>
      <w:r>
        <w:rPr>
          <w:sz w:val="20"/>
        </w:rPr>
        <w:t xml:space="preserve">**Date of judgment (if applicable) </w:t>
      </w:r>
      <w:r>
        <w:rPr>
          <w:sz w:val="20"/>
        </w:rPr>
        <w:tab/>
      </w:r>
    </w:p>
    <w:p w:rsidR="00425758" w:rsidRDefault="00425758">
      <w:pPr>
        <w:pStyle w:val="yMiscellaneousBody"/>
        <w:tabs>
          <w:tab w:val="left" w:pos="600"/>
          <w:tab w:val="right" w:leader="dot" w:pos="7080"/>
        </w:tabs>
        <w:spacing w:before="120"/>
        <w:rPr>
          <w:sz w:val="20"/>
        </w:rPr>
      </w:pPr>
      <w:r>
        <w:rPr>
          <w:sz w:val="20"/>
        </w:rPr>
        <w:t xml:space="preserve">Time limits stated in the document </w:t>
      </w:r>
      <w:r>
        <w:rPr>
          <w:sz w:val="20"/>
        </w:rPr>
        <w:tab/>
      </w:r>
    </w:p>
    <w:p w:rsidR="00425758" w:rsidRDefault="00425758">
      <w:pPr>
        <w:pStyle w:val="yFootnotesection"/>
      </w:pPr>
      <w:r>
        <w:tab/>
        <w:t>[Form 5B inserted: Gazette 3 Jul 2009 p. 2698</w:t>
      </w:r>
      <w:r>
        <w:noBreakHyphen/>
        <w:t>9; amended: SL 2020/242 r. 11.]</w:t>
      </w:r>
    </w:p>
    <w:p w:rsidR="00425758" w:rsidRDefault="00425758">
      <w:pPr>
        <w:pStyle w:val="yEdnotedivision"/>
        <w:spacing w:before="240"/>
        <w:outlineLvl w:val="9"/>
      </w:pPr>
      <w:r>
        <w:t>[Forms 5C</w:t>
      </w:r>
      <w:r>
        <w:noBreakHyphen/>
        <w:t>5F deleted: Gazette 3 Jul 2009 p. 2696.]</w:t>
      </w:r>
    </w:p>
    <w:p w:rsidR="00425758" w:rsidRDefault="00425758">
      <w:pPr>
        <w:pStyle w:val="yMiscellaneousHeading"/>
        <w:jc w:val="left"/>
      </w:pPr>
      <w:r>
        <w:rPr>
          <w:rStyle w:val="CharSClsNo"/>
          <w:b/>
        </w:rPr>
        <w:lastRenderedPageBreak/>
        <w:t>6</w:t>
      </w:r>
      <w:r>
        <w:t>.</w:t>
      </w:r>
      <w:r>
        <w:tab/>
        <w:t>Memorandum of appearance (O. 12 r. 2(2))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58"/>
        <w:gridCol w:w="43"/>
        <w:gridCol w:w="1843"/>
        <w:gridCol w:w="1417"/>
        <w:gridCol w:w="690"/>
        <w:gridCol w:w="1153"/>
      </w:tblGrid>
      <w:tr w:rsidR="00425758">
        <w:trPr>
          <w:cantSplit/>
          <w:trHeight w:val="329"/>
        </w:trPr>
        <w:tc>
          <w:tcPr>
            <w:tcW w:w="3544" w:type="dxa"/>
            <w:gridSpan w:val="3"/>
            <w:vMerge w:val="restart"/>
            <w:tcBorders>
              <w:bottom w:val="single" w:sz="4" w:space="0" w:color="auto"/>
            </w:tcBorders>
          </w:tcPr>
          <w:p w:rsidR="00425758" w:rsidRDefault="00425758">
            <w:pPr>
              <w:pStyle w:val="yTableNAm"/>
              <w:rPr>
                <w:sz w:val="20"/>
              </w:rPr>
            </w:pPr>
            <w:r>
              <w:rPr>
                <w:sz w:val="20"/>
              </w:rPr>
              <w:t>Supreme Court of Western Australia</w:t>
            </w:r>
          </w:p>
        </w:tc>
        <w:tc>
          <w:tcPr>
            <w:tcW w:w="3260" w:type="dxa"/>
            <w:gridSpan w:val="3"/>
            <w:tcBorders>
              <w:bottom w:val="single" w:sz="4" w:space="0" w:color="auto"/>
            </w:tcBorders>
            <w:vAlign w:val="center"/>
          </w:tcPr>
          <w:p w:rsidR="00425758" w:rsidRDefault="00425758">
            <w:pPr>
              <w:pStyle w:val="yTableNAm"/>
              <w:rPr>
                <w:sz w:val="20"/>
              </w:rPr>
            </w:pPr>
            <w:r>
              <w:rPr>
                <w:sz w:val="20"/>
              </w:rPr>
              <w:t>No:</w:t>
            </w:r>
          </w:p>
        </w:tc>
      </w:tr>
      <w:tr w:rsidR="00425758">
        <w:trPr>
          <w:cantSplit/>
          <w:trHeight w:val="328"/>
        </w:trPr>
        <w:tc>
          <w:tcPr>
            <w:tcW w:w="3544" w:type="dxa"/>
            <w:gridSpan w:val="3"/>
            <w:vMerge/>
            <w:tcBorders>
              <w:bottom w:val="single" w:sz="4" w:space="0" w:color="auto"/>
            </w:tcBorders>
          </w:tcPr>
          <w:p w:rsidR="00425758" w:rsidRDefault="00425758">
            <w:pPr>
              <w:pStyle w:val="yTableNAm"/>
              <w:spacing w:before="60"/>
              <w:rPr>
                <w:sz w:val="20"/>
              </w:rPr>
            </w:pPr>
          </w:p>
        </w:tc>
        <w:tc>
          <w:tcPr>
            <w:tcW w:w="3260" w:type="dxa"/>
            <w:gridSpan w:val="3"/>
            <w:tcBorders>
              <w:bottom w:val="single" w:sz="4" w:space="0" w:color="auto"/>
            </w:tcBorders>
          </w:tcPr>
          <w:p w:rsidR="00425758" w:rsidRDefault="00425758">
            <w:pPr>
              <w:pStyle w:val="yTableNAm"/>
              <w:spacing w:before="60"/>
              <w:rPr>
                <w:sz w:val="20"/>
              </w:rPr>
            </w:pPr>
            <w:r>
              <w:rPr>
                <w:b/>
                <w:sz w:val="20"/>
              </w:rPr>
              <w:t>Memorandum of appearance</w:t>
            </w:r>
          </w:p>
        </w:tc>
      </w:tr>
      <w:tr w:rsidR="00425758">
        <w:trPr>
          <w:cantSplit/>
        </w:trPr>
        <w:tc>
          <w:tcPr>
            <w:tcW w:w="1658" w:type="dxa"/>
            <w:tcBorders>
              <w:top w:val="single" w:sz="4" w:space="0" w:color="auto"/>
              <w:bottom w:val="nil"/>
            </w:tcBorders>
          </w:tcPr>
          <w:p w:rsidR="00425758" w:rsidRDefault="00425758">
            <w:pPr>
              <w:pStyle w:val="yTableNAm"/>
              <w:rPr>
                <w:sz w:val="20"/>
              </w:rPr>
            </w:pPr>
            <w:r>
              <w:rPr>
                <w:sz w:val="20"/>
              </w:rPr>
              <w:t>Parties</w:t>
            </w:r>
          </w:p>
        </w:tc>
        <w:tc>
          <w:tcPr>
            <w:tcW w:w="5146" w:type="dxa"/>
            <w:gridSpan w:val="5"/>
            <w:tcBorders>
              <w:top w:val="single" w:sz="4" w:space="0" w:color="auto"/>
              <w:bottom w:val="nil"/>
            </w:tcBorders>
          </w:tcPr>
          <w:p w:rsidR="00425758" w:rsidRDefault="00425758">
            <w:pPr>
              <w:pStyle w:val="yTableNAm"/>
              <w:jc w:val="right"/>
              <w:rPr>
                <w:sz w:val="20"/>
              </w:rPr>
            </w:pPr>
            <w:r>
              <w:rPr>
                <w:sz w:val="20"/>
              </w:rPr>
              <w:t>Plaintiff/Applicant</w:t>
            </w:r>
            <w:r>
              <w:rPr>
                <w:sz w:val="20"/>
                <w:vertAlign w:val="superscript"/>
              </w:rPr>
              <w:t>1</w:t>
            </w:r>
          </w:p>
          <w:p w:rsidR="00425758" w:rsidRDefault="00425758">
            <w:pPr>
              <w:pStyle w:val="yTableNAm"/>
              <w:jc w:val="right"/>
              <w:rPr>
                <w:sz w:val="20"/>
              </w:rPr>
            </w:pPr>
            <w:r>
              <w:rPr>
                <w:sz w:val="20"/>
              </w:rPr>
              <w:t>Defendant/Respondent</w:t>
            </w:r>
            <w:r>
              <w:rPr>
                <w:sz w:val="20"/>
                <w:vertAlign w:val="superscript"/>
              </w:rPr>
              <w:t>1</w:t>
            </w:r>
          </w:p>
        </w:tc>
      </w:tr>
      <w:tr w:rsidR="00425758">
        <w:trPr>
          <w:cantSplit/>
        </w:trPr>
        <w:tc>
          <w:tcPr>
            <w:tcW w:w="6804" w:type="dxa"/>
            <w:gridSpan w:val="6"/>
            <w:tcBorders>
              <w:bottom w:val="single" w:sz="4" w:space="0" w:color="auto"/>
            </w:tcBorders>
          </w:tcPr>
          <w:p w:rsidR="00425758" w:rsidRDefault="00425758">
            <w:pPr>
              <w:pStyle w:val="yTableNAm"/>
              <w:rPr>
                <w:sz w:val="20"/>
              </w:rPr>
            </w:pPr>
            <w:r>
              <w:rPr>
                <w:sz w:val="20"/>
              </w:rPr>
              <w:t>Enter an appearance for the Defendant/Respondent/Third Party</w:t>
            </w:r>
            <w:r>
              <w:rPr>
                <w:sz w:val="20"/>
                <w:vertAlign w:val="superscript"/>
              </w:rPr>
              <w:t>2</w:t>
            </w:r>
            <w:r>
              <w:rPr>
                <w:sz w:val="20"/>
              </w:rPr>
              <w:t>:</w:t>
            </w:r>
          </w:p>
          <w:p w:rsidR="00425758" w:rsidRDefault="00425758">
            <w:pPr>
              <w:pStyle w:val="yTableNAm"/>
              <w:rPr>
                <w:sz w:val="20"/>
              </w:rPr>
            </w:pPr>
          </w:p>
        </w:tc>
      </w:tr>
      <w:tr w:rsidR="00425758">
        <w:trPr>
          <w:cantSplit/>
        </w:trPr>
        <w:tc>
          <w:tcPr>
            <w:tcW w:w="1701" w:type="dxa"/>
            <w:gridSpan w:val="2"/>
            <w:tcBorders>
              <w:bottom w:val="single" w:sz="4" w:space="0" w:color="auto"/>
            </w:tcBorders>
          </w:tcPr>
          <w:p w:rsidR="00425758" w:rsidRDefault="00425758">
            <w:pPr>
              <w:pStyle w:val="yTableNAm"/>
              <w:rPr>
                <w:sz w:val="20"/>
              </w:rPr>
            </w:pPr>
            <w:r>
              <w:rPr>
                <w:sz w:val="20"/>
              </w:rPr>
              <w:t>Date of filing</w:t>
            </w:r>
          </w:p>
        </w:tc>
        <w:tc>
          <w:tcPr>
            <w:tcW w:w="5103" w:type="dxa"/>
            <w:gridSpan w:val="4"/>
            <w:tcBorders>
              <w:bottom w:val="single" w:sz="4" w:space="0" w:color="auto"/>
            </w:tcBorders>
          </w:tcPr>
          <w:p w:rsidR="00425758" w:rsidRDefault="00425758">
            <w:pPr>
              <w:pStyle w:val="yTableNAm"/>
              <w:rPr>
                <w:sz w:val="20"/>
              </w:rPr>
            </w:pPr>
          </w:p>
        </w:tc>
      </w:tr>
      <w:tr w:rsidR="00425758">
        <w:trPr>
          <w:cantSplit/>
        </w:trPr>
        <w:tc>
          <w:tcPr>
            <w:tcW w:w="6804" w:type="dxa"/>
            <w:gridSpan w:val="6"/>
            <w:tcBorders>
              <w:bottom w:val="single" w:sz="4" w:space="0" w:color="auto"/>
            </w:tcBorders>
          </w:tcPr>
          <w:p w:rsidR="00425758" w:rsidRDefault="00425758">
            <w:pPr>
              <w:pStyle w:val="yTableNAm"/>
              <w:rPr>
                <w:sz w:val="20"/>
              </w:rPr>
            </w:pPr>
            <w:r>
              <w:rPr>
                <w:b/>
                <w:sz w:val="20"/>
              </w:rPr>
              <w:t>ADDRESS AND SERVICE DETAILS</w:t>
            </w:r>
          </w:p>
        </w:tc>
      </w:tr>
      <w:tr w:rsidR="00425758">
        <w:trPr>
          <w:cantSplit/>
        </w:trPr>
        <w:tc>
          <w:tcPr>
            <w:tcW w:w="1658" w:type="dxa"/>
            <w:tcBorders>
              <w:bottom w:val="single" w:sz="4" w:space="0" w:color="auto"/>
            </w:tcBorders>
          </w:tcPr>
          <w:p w:rsidR="00425758" w:rsidRDefault="00425758">
            <w:pPr>
              <w:pStyle w:val="yTableNAm"/>
              <w:rPr>
                <w:sz w:val="20"/>
              </w:rPr>
            </w:pPr>
            <w:r>
              <w:rPr>
                <w:sz w:val="20"/>
              </w:rPr>
              <w:t>Geographical address of party</w:t>
            </w:r>
            <w:r>
              <w:rPr>
                <w:sz w:val="20"/>
                <w:vertAlign w:val="superscript"/>
              </w:rPr>
              <w:t>3</w:t>
            </w:r>
          </w:p>
        </w:tc>
        <w:tc>
          <w:tcPr>
            <w:tcW w:w="5146" w:type="dxa"/>
            <w:gridSpan w:val="5"/>
            <w:tcBorders>
              <w:bottom w:val="single" w:sz="4" w:space="0" w:color="auto"/>
            </w:tcBorders>
          </w:tcPr>
          <w:p w:rsidR="00425758" w:rsidRDefault="00425758">
            <w:pPr>
              <w:pStyle w:val="yTableNAm"/>
              <w:rPr>
                <w:sz w:val="20"/>
              </w:rPr>
            </w:pPr>
          </w:p>
        </w:tc>
      </w:tr>
      <w:tr w:rsidR="00425758">
        <w:trPr>
          <w:cantSplit/>
        </w:trPr>
        <w:tc>
          <w:tcPr>
            <w:tcW w:w="1658" w:type="dxa"/>
            <w:tcBorders>
              <w:bottom w:val="single" w:sz="4" w:space="0" w:color="auto"/>
            </w:tcBorders>
          </w:tcPr>
          <w:p w:rsidR="00425758" w:rsidRDefault="00425758">
            <w:pPr>
              <w:pStyle w:val="yTableNAm"/>
              <w:rPr>
                <w:sz w:val="20"/>
              </w:rPr>
            </w:pPr>
            <w:r>
              <w:rPr>
                <w:sz w:val="20"/>
              </w:rPr>
              <w:t>Name of lawyer</w:t>
            </w:r>
            <w:r>
              <w:rPr>
                <w:sz w:val="20"/>
                <w:vertAlign w:val="superscript"/>
              </w:rPr>
              <w:t>4</w:t>
            </w:r>
          </w:p>
        </w:tc>
        <w:tc>
          <w:tcPr>
            <w:tcW w:w="5146" w:type="dxa"/>
            <w:gridSpan w:val="5"/>
            <w:tcBorders>
              <w:bottom w:val="single" w:sz="4" w:space="0" w:color="auto"/>
            </w:tcBorders>
          </w:tcPr>
          <w:p w:rsidR="00425758" w:rsidRDefault="00425758">
            <w:pPr>
              <w:pStyle w:val="yTableNAm"/>
              <w:rPr>
                <w:sz w:val="20"/>
              </w:rPr>
            </w:pPr>
          </w:p>
        </w:tc>
      </w:tr>
      <w:tr w:rsidR="00425758">
        <w:trPr>
          <w:cantSplit/>
        </w:trPr>
        <w:tc>
          <w:tcPr>
            <w:tcW w:w="1658" w:type="dxa"/>
            <w:tcBorders>
              <w:bottom w:val="single" w:sz="4" w:space="0" w:color="auto"/>
            </w:tcBorders>
          </w:tcPr>
          <w:p w:rsidR="00425758" w:rsidRDefault="00425758">
            <w:pPr>
              <w:pStyle w:val="yTableNAm"/>
              <w:rPr>
                <w:sz w:val="20"/>
              </w:rPr>
            </w:pPr>
            <w:r>
              <w:rPr>
                <w:sz w:val="20"/>
              </w:rPr>
              <w:t>Address where lawyer conducts business</w:t>
            </w:r>
            <w:r>
              <w:rPr>
                <w:sz w:val="20"/>
                <w:vertAlign w:val="superscript"/>
              </w:rPr>
              <w:t>4</w:t>
            </w:r>
          </w:p>
        </w:tc>
        <w:tc>
          <w:tcPr>
            <w:tcW w:w="5146" w:type="dxa"/>
            <w:gridSpan w:val="5"/>
            <w:tcBorders>
              <w:bottom w:val="single" w:sz="4" w:space="0" w:color="auto"/>
            </w:tcBorders>
          </w:tcPr>
          <w:p w:rsidR="00425758" w:rsidRDefault="00425758">
            <w:pPr>
              <w:pStyle w:val="yTableNAm"/>
              <w:rPr>
                <w:sz w:val="20"/>
              </w:rPr>
            </w:pPr>
          </w:p>
        </w:tc>
      </w:tr>
      <w:tr w:rsidR="00425758">
        <w:trPr>
          <w:cantSplit/>
        </w:trPr>
        <w:tc>
          <w:tcPr>
            <w:tcW w:w="1658" w:type="dxa"/>
            <w:tcBorders>
              <w:bottom w:val="single" w:sz="4" w:space="0" w:color="auto"/>
            </w:tcBorders>
          </w:tcPr>
          <w:p w:rsidR="00425758" w:rsidRDefault="00425758">
            <w:pPr>
              <w:pStyle w:val="yTableNAm"/>
              <w:rPr>
                <w:sz w:val="20"/>
              </w:rPr>
            </w:pPr>
            <w:r>
              <w:rPr>
                <w:sz w:val="20"/>
              </w:rPr>
              <w:t>Postal address for service of documents</w:t>
            </w:r>
            <w:r>
              <w:rPr>
                <w:sz w:val="20"/>
                <w:vertAlign w:val="superscript"/>
              </w:rPr>
              <w:t>5</w:t>
            </w:r>
          </w:p>
        </w:tc>
        <w:tc>
          <w:tcPr>
            <w:tcW w:w="5146" w:type="dxa"/>
            <w:gridSpan w:val="5"/>
            <w:tcBorders>
              <w:bottom w:val="single" w:sz="4" w:space="0" w:color="auto"/>
            </w:tcBorders>
          </w:tcPr>
          <w:p w:rsidR="00425758" w:rsidRDefault="00425758">
            <w:pPr>
              <w:pStyle w:val="yTableNAm"/>
              <w:rPr>
                <w:sz w:val="20"/>
              </w:rPr>
            </w:pPr>
          </w:p>
        </w:tc>
      </w:tr>
      <w:tr w:rsidR="00425758">
        <w:trPr>
          <w:cantSplit/>
        </w:trPr>
        <w:tc>
          <w:tcPr>
            <w:tcW w:w="1658" w:type="dxa"/>
            <w:tcBorders>
              <w:bottom w:val="single" w:sz="4" w:space="0" w:color="auto"/>
            </w:tcBorders>
          </w:tcPr>
          <w:p w:rsidR="00425758" w:rsidRDefault="00425758">
            <w:pPr>
              <w:pStyle w:val="yTableNAm"/>
              <w:rPr>
                <w:sz w:val="20"/>
              </w:rPr>
            </w:pPr>
            <w:r>
              <w:rPr>
                <w:sz w:val="20"/>
              </w:rPr>
              <w:t>Email address</w:t>
            </w:r>
            <w:r>
              <w:rPr>
                <w:sz w:val="20"/>
                <w:vertAlign w:val="superscript"/>
              </w:rPr>
              <w:t>6</w:t>
            </w:r>
          </w:p>
        </w:tc>
        <w:tc>
          <w:tcPr>
            <w:tcW w:w="5146" w:type="dxa"/>
            <w:gridSpan w:val="5"/>
            <w:tcBorders>
              <w:bottom w:val="single" w:sz="4" w:space="0" w:color="auto"/>
            </w:tcBorders>
          </w:tcPr>
          <w:p w:rsidR="00425758" w:rsidRDefault="00425758">
            <w:pPr>
              <w:pStyle w:val="yTableNAm"/>
              <w:rPr>
                <w:sz w:val="20"/>
              </w:rPr>
            </w:pPr>
          </w:p>
        </w:tc>
      </w:tr>
      <w:tr w:rsidR="00425758">
        <w:trPr>
          <w:cantSplit/>
        </w:trPr>
        <w:tc>
          <w:tcPr>
            <w:tcW w:w="1658" w:type="dxa"/>
            <w:tcBorders>
              <w:bottom w:val="single" w:sz="4" w:space="0" w:color="auto"/>
            </w:tcBorders>
          </w:tcPr>
          <w:p w:rsidR="00425758" w:rsidRDefault="00425758">
            <w:pPr>
              <w:pStyle w:val="yTableNAm"/>
              <w:rPr>
                <w:sz w:val="20"/>
              </w:rPr>
            </w:pPr>
            <w:r>
              <w:rPr>
                <w:sz w:val="20"/>
              </w:rPr>
              <w:t>Telephone number</w:t>
            </w:r>
            <w:r>
              <w:rPr>
                <w:sz w:val="20"/>
                <w:vertAlign w:val="superscript"/>
              </w:rPr>
              <w:t>7</w:t>
            </w:r>
          </w:p>
        </w:tc>
        <w:tc>
          <w:tcPr>
            <w:tcW w:w="1886" w:type="dxa"/>
            <w:gridSpan w:val="2"/>
            <w:tcBorders>
              <w:bottom w:val="single" w:sz="4" w:space="0" w:color="auto"/>
            </w:tcBorders>
          </w:tcPr>
          <w:p w:rsidR="00425758" w:rsidRDefault="00425758">
            <w:pPr>
              <w:pStyle w:val="zyTableNAm"/>
              <w:spacing w:before="60"/>
              <w:rPr>
                <w:sz w:val="20"/>
              </w:rPr>
            </w:pPr>
          </w:p>
        </w:tc>
        <w:tc>
          <w:tcPr>
            <w:tcW w:w="1417" w:type="dxa"/>
            <w:tcBorders>
              <w:bottom w:val="single" w:sz="4" w:space="0" w:color="auto"/>
            </w:tcBorders>
          </w:tcPr>
          <w:p w:rsidR="00425758" w:rsidRDefault="00425758">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rsidR="00425758" w:rsidRDefault="00425758">
            <w:pPr>
              <w:pStyle w:val="yTableNAm"/>
              <w:rPr>
                <w:sz w:val="20"/>
              </w:rPr>
            </w:pPr>
          </w:p>
        </w:tc>
      </w:tr>
      <w:tr w:rsidR="00425758">
        <w:trPr>
          <w:cantSplit/>
        </w:trPr>
        <w:tc>
          <w:tcPr>
            <w:tcW w:w="1658" w:type="dxa"/>
            <w:tcBorders>
              <w:bottom w:val="single" w:sz="4" w:space="0" w:color="auto"/>
            </w:tcBorders>
          </w:tcPr>
          <w:p w:rsidR="00425758" w:rsidRDefault="00425758">
            <w:pPr>
              <w:pStyle w:val="yTableNAm"/>
              <w:rPr>
                <w:sz w:val="20"/>
              </w:rPr>
            </w:pPr>
            <w:r>
              <w:rPr>
                <w:sz w:val="20"/>
              </w:rPr>
              <w:t>Reference</w:t>
            </w:r>
            <w:r>
              <w:rPr>
                <w:sz w:val="20"/>
                <w:vertAlign w:val="superscript"/>
              </w:rPr>
              <w:t>8</w:t>
            </w:r>
          </w:p>
        </w:tc>
        <w:tc>
          <w:tcPr>
            <w:tcW w:w="5146" w:type="dxa"/>
            <w:gridSpan w:val="5"/>
            <w:tcBorders>
              <w:bottom w:val="single" w:sz="4" w:space="0" w:color="auto"/>
            </w:tcBorders>
          </w:tcPr>
          <w:p w:rsidR="00425758" w:rsidRDefault="00425758">
            <w:pPr>
              <w:pStyle w:val="yTableNAm"/>
              <w:rPr>
                <w:sz w:val="20"/>
              </w:rPr>
            </w:pPr>
          </w:p>
        </w:tc>
      </w:tr>
      <w:tr w:rsidR="00425758">
        <w:trPr>
          <w:cantSplit/>
        </w:trPr>
        <w:tc>
          <w:tcPr>
            <w:tcW w:w="1658" w:type="dxa"/>
            <w:tcBorders>
              <w:top w:val="single" w:sz="4" w:space="0" w:color="auto"/>
              <w:bottom w:val="single" w:sz="4" w:space="0" w:color="auto"/>
            </w:tcBorders>
          </w:tcPr>
          <w:p w:rsidR="00425758" w:rsidRDefault="00425758">
            <w:pPr>
              <w:pStyle w:val="yTableNAm"/>
              <w:rPr>
                <w:sz w:val="20"/>
              </w:rPr>
            </w:pPr>
            <w:r>
              <w:rPr>
                <w:sz w:val="20"/>
              </w:rPr>
              <w:t>Signature of party or lawyer</w:t>
            </w:r>
          </w:p>
        </w:tc>
        <w:tc>
          <w:tcPr>
            <w:tcW w:w="3993" w:type="dxa"/>
            <w:gridSpan w:val="4"/>
            <w:tcBorders>
              <w:top w:val="single" w:sz="4" w:space="0" w:color="auto"/>
              <w:bottom w:val="single" w:sz="4" w:space="0" w:color="auto"/>
            </w:tcBorders>
          </w:tcPr>
          <w:p w:rsidR="00425758" w:rsidRDefault="00425758">
            <w:pPr>
              <w:pStyle w:val="BodyText3"/>
              <w:spacing w:before="60"/>
              <w:rPr>
                <w:sz w:val="20"/>
              </w:rPr>
            </w:pPr>
            <w:r>
              <w:rPr>
                <w:sz w:val="20"/>
              </w:rPr>
              <w:br/>
              <w:t>Party/Party’s Lawyer</w:t>
            </w:r>
          </w:p>
        </w:tc>
        <w:tc>
          <w:tcPr>
            <w:tcW w:w="1153" w:type="dxa"/>
            <w:tcBorders>
              <w:top w:val="single" w:sz="4" w:space="0" w:color="auto"/>
              <w:bottom w:val="single" w:sz="4" w:space="0" w:color="auto"/>
            </w:tcBorders>
          </w:tcPr>
          <w:p w:rsidR="00425758" w:rsidRDefault="00425758">
            <w:pPr>
              <w:pStyle w:val="yTableNAm"/>
              <w:rPr>
                <w:sz w:val="20"/>
              </w:rPr>
            </w:pPr>
            <w:r>
              <w:rPr>
                <w:sz w:val="20"/>
              </w:rPr>
              <w:t>Date:</w:t>
            </w:r>
          </w:p>
        </w:tc>
      </w:tr>
    </w:tbl>
    <w:p w:rsidR="00425758" w:rsidRDefault="00425758">
      <w:pPr>
        <w:pStyle w:val="yMiscellaneousBody"/>
        <w:tabs>
          <w:tab w:val="left" w:pos="5670"/>
        </w:tabs>
        <w:ind w:left="540" w:hanging="540"/>
        <w:rPr>
          <w:sz w:val="20"/>
        </w:rPr>
      </w:pPr>
      <w:r>
        <w:rPr>
          <w:sz w:val="20"/>
        </w:rPr>
        <w:t>Notes to Form No. 6 —</w:t>
      </w:r>
    </w:p>
    <w:p w:rsidR="00425758" w:rsidRDefault="00425758">
      <w:pPr>
        <w:pStyle w:val="yMiscellaneousBody"/>
        <w:tabs>
          <w:tab w:val="left" w:pos="5670"/>
        </w:tabs>
        <w:spacing w:before="0"/>
        <w:ind w:left="540" w:hanging="540"/>
        <w:rPr>
          <w:sz w:val="20"/>
        </w:rPr>
      </w:pPr>
      <w:r>
        <w:rPr>
          <w:sz w:val="20"/>
        </w:rPr>
        <w:t>1.</w:t>
      </w:r>
      <w:r>
        <w:rPr>
          <w:sz w:val="20"/>
        </w:rPr>
        <w:tab/>
        <w:t>Add full party details.</w:t>
      </w:r>
    </w:p>
    <w:p w:rsidR="00425758" w:rsidRDefault="00425758">
      <w:pPr>
        <w:pStyle w:val="yMiscellaneousBody"/>
        <w:tabs>
          <w:tab w:val="left" w:pos="5670"/>
        </w:tabs>
        <w:spacing w:before="0"/>
        <w:ind w:left="540" w:hanging="540"/>
        <w:rPr>
          <w:sz w:val="20"/>
        </w:rPr>
      </w:pPr>
      <w:r>
        <w:rPr>
          <w:sz w:val="20"/>
        </w:rPr>
        <w:t>2.</w:t>
      </w:r>
      <w:r>
        <w:rPr>
          <w:sz w:val="20"/>
        </w:rPr>
        <w:tab/>
        <w:t>Delete inapplicable.  Add other party designation if required.</w:t>
      </w:r>
    </w:p>
    <w:p w:rsidR="00425758" w:rsidRDefault="00425758">
      <w:pPr>
        <w:pStyle w:val="yMiscellaneousBody"/>
        <w:tabs>
          <w:tab w:val="left" w:pos="5670"/>
        </w:tabs>
        <w:spacing w:before="0"/>
        <w:ind w:left="540" w:hanging="540"/>
        <w:rPr>
          <w:sz w:val="20"/>
        </w:rPr>
      </w:pPr>
      <w:r>
        <w:rPr>
          <w:sz w:val="20"/>
        </w:rPr>
        <w:t>3.</w:t>
      </w:r>
      <w:r>
        <w:rPr>
          <w:sz w:val="20"/>
        </w:rPr>
        <w:tab/>
        <w:t>Must be provided unless otherwise ordered by the Court.  See Order 71A r. 2 and 3A.</w:t>
      </w:r>
    </w:p>
    <w:p w:rsidR="00425758" w:rsidRDefault="00425758">
      <w:pPr>
        <w:pStyle w:val="yMiscellaneousBody"/>
        <w:tabs>
          <w:tab w:val="left" w:pos="5670"/>
        </w:tabs>
        <w:spacing w:before="0"/>
        <w:ind w:left="540" w:hanging="540"/>
        <w:rPr>
          <w:sz w:val="20"/>
        </w:rPr>
      </w:pPr>
      <w:r>
        <w:rPr>
          <w:sz w:val="20"/>
        </w:rPr>
        <w:t>4.</w:t>
      </w:r>
      <w:r>
        <w:rPr>
          <w:sz w:val="20"/>
        </w:rPr>
        <w:tab/>
        <w:t>Must be provided if a lawyer has been appointed.</w:t>
      </w:r>
    </w:p>
    <w:p w:rsidR="00425758" w:rsidRDefault="00425758">
      <w:pPr>
        <w:pStyle w:val="yMiscellaneousBody"/>
        <w:tabs>
          <w:tab w:val="left" w:pos="5670"/>
        </w:tabs>
        <w:spacing w:before="0"/>
        <w:ind w:left="540" w:hanging="540"/>
        <w:rPr>
          <w:sz w:val="20"/>
        </w:rPr>
      </w:pPr>
      <w:r>
        <w:rPr>
          <w:sz w:val="20"/>
        </w:rPr>
        <w:t>5.</w:t>
      </w:r>
      <w:r>
        <w:rPr>
          <w:sz w:val="20"/>
        </w:rPr>
        <w:tab/>
        <w:t>Must be provided - to be lawyer’s postal address if party is legally represented.</w:t>
      </w:r>
    </w:p>
    <w:p w:rsidR="00425758" w:rsidRDefault="00425758">
      <w:pPr>
        <w:pStyle w:val="yMiscellaneousBody"/>
        <w:tabs>
          <w:tab w:val="left" w:pos="5670"/>
        </w:tabs>
        <w:spacing w:before="0"/>
        <w:ind w:left="540" w:hanging="540"/>
        <w:rPr>
          <w:sz w:val="20"/>
        </w:rPr>
      </w:pPr>
      <w:r>
        <w:rPr>
          <w:sz w:val="20"/>
        </w:rPr>
        <w:t>6.</w:t>
      </w:r>
      <w:r>
        <w:rPr>
          <w:sz w:val="20"/>
        </w:rPr>
        <w:tab/>
        <w:t>Optional - if provided, may be used for service of documents.</w:t>
      </w:r>
    </w:p>
    <w:p w:rsidR="00425758" w:rsidRDefault="00425758">
      <w:pPr>
        <w:pStyle w:val="yMiscellaneousBody"/>
        <w:tabs>
          <w:tab w:val="left" w:pos="5670"/>
        </w:tabs>
        <w:spacing w:before="0"/>
        <w:ind w:left="540" w:hanging="540"/>
        <w:rPr>
          <w:sz w:val="20"/>
        </w:rPr>
      </w:pPr>
      <w:r>
        <w:rPr>
          <w:sz w:val="20"/>
        </w:rPr>
        <w:t>7.</w:t>
      </w:r>
      <w:r>
        <w:rPr>
          <w:sz w:val="20"/>
        </w:rPr>
        <w:tab/>
        <w:t>Must be provided - to be lawyer’s telephone number if party is legally represented.</w:t>
      </w:r>
    </w:p>
    <w:p w:rsidR="00425758" w:rsidRDefault="00425758">
      <w:pPr>
        <w:pStyle w:val="yMiscellaneousBody"/>
        <w:tabs>
          <w:tab w:val="left" w:pos="5670"/>
        </w:tabs>
        <w:spacing w:before="0"/>
        <w:ind w:left="540" w:hanging="540"/>
        <w:rPr>
          <w:sz w:val="20"/>
        </w:rPr>
      </w:pPr>
      <w:r>
        <w:rPr>
          <w:sz w:val="20"/>
        </w:rPr>
        <w:t>8.</w:t>
      </w:r>
      <w:r>
        <w:rPr>
          <w:sz w:val="20"/>
        </w:rPr>
        <w:tab/>
        <w:t>Optional.</w:t>
      </w:r>
    </w:p>
    <w:p w:rsidR="00425758" w:rsidRDefault="00425758">
      <w:pPr>
        <w:pStyle w:val="yFootnotesection"/>
        <w:tabs>
          <w:tab w:val="left" w:pos="5670"/>
        </w:tabs>
      </w:pPr>
      <w:r>
        <w:lastRenderedPageBreak/>
        <w:tab/>
        <w:t>[Form 6 inserted: Gazette 13 Nov 2015 p. 4652.]</w:t>
      </w:r>
    </w:p>
    <w:p w:rsidR="00425758" w:rsidRDefault="00425758">
      <w:pPr>
        <w:pStyle w:val="yHeading5"/>
        <w:keepNext w:val="0"/>
        <w:keepLines w:val="0"/>
        <w:pageBreakBefore/>
        <w:widowControl w:val="0"/>
        <w:spacing w:before="0" w:after="160"/>
      </w:pPr>
      <w:bookmarkStart w:id="1349" w:name="_Toc75863914"/>
      <w:r>
        <w:rPr>
          <w:rStyle w:val="CharSClsNo"/>
        </w:rPr>
        <w:lastRenderedPageBreak/>
        <w:t>7</w:t>
      </w:r>
      <w:r>
        <w:t>.</w:t>
      </w:r>
      <w:r>
        <w:rPr>
          <w:b w:val="0"/>
        </w:rPr>
        <w:tab/>
      </w:r>
      <w:r>
        <w:t>Notice limiting defence (O. 12 r. 10)</w:t>
      </w:r>
      <w:bookmarkEnd w:id="1349"/>
    </w:p>
    <w:p w:rsidR="00425758" w:rsidRDefault="00425758">
      <w:pPr>
        <w:pStyle w:val="yMiscellaneousBody"/>
        <w:spacing w:before="120"/>
        <w:jc w:val="center"/>
        <w:rPr>
          <w:i/>
          <w:sz w:val="20"/>
        </w:rPr>
      </w:pPr>
      <w:r>
        <w:rPr>
          <w:i/>
          <w:sz w:val="20"/>
        </w:rPr>
        <w:t>(Heading as in action)</w:t>
      </w:r>
    </w:p>
    <w:p w:rsidR="00425758" w:rsidRDefault="00425758">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rsidR="00425758" w:rsidRDefault="00425758">
      <w:pPr>
        <w:pStyle w:val="yMiscellaneousBody"/>
        <w:spacing w:before="120"/>
        <w:rPr>
          <w:sz w:val="20"/>
        </w:rPr>
      </w:pPr>
      <w:r>
        <w:rPr>
          <w:sz w:val="20"/>
        </w:rPr>
        <w:t>Dated the                           day of                                  20        .</w:t>
      </w:r>
    </w:p>
    <w:p w:rsidR="00425758" w:rsidRDefault="00425758">
      <w:pPr>
        <w:pStyle w:val="yMiscellaneousBody"/>
        <w:spacing w:before="120"/>
        <w:ind w:left="3720"/>
        <w:rPr>
          <w:sz w:val="20"/>
        </w:rPr>
      </w:pPr>
      <w:r>
        <w:rPr>
          <w:sz w:val="20"/>
        </w:rPr>
        <w:t>(Signed)</w:t>
      </w:r>
    </w:p>
    <w:p w:rsidR="00425758" w:rsidRDefault="00425758">
      <w:pPr>
        <w:pStyle w:val="yMiscellaneousBody"/>
        <w:tabs>
          <w:tab w:val="left" w:pos="5040"/>
        </w:tabs>
        <w:spacing w:before="120"/>
        <w:ind w:left="3720"/>
        <w:rPr>
          <w:sz w:val="20"/>
        </w:rPr>
      </w:pPr>
      <w:r>
        <w:rPr>
          <w:sz w:val="20"/>
        </w:rPr>
        <w:t>of</w:t>
      </w:r>
      <w:r>
        <w:rPr>
          <w:sz w:val="20"/>
        </w:rPr>
        <w:tab/>
        <w:t>Agent for</w:t>
      </w:r>
    </w:p>
    <w:p w:rsidR="00425758" w:rsidRDefault="00425758">
      <w:pPr>
        <w:pStyle w:val="yMiscellaneousBody"/>
        <w:spacing w:before="120"/>
        <w:ind w:left="4560"/>
        <w:rPr>
          <w:sz w:val="20"/>
        </w:rPr>
      </w:pPr>
      <w:r>
        <w:rPr>
          <w:sz w:val="20"/>
        </w:rPr>
        <w:t>of</w:t>
      </w:r>
    </w:p>
    <w:p w:rsidR="00425758" w:rsidRDefault="00425758">
      <w:pPr>
        <w:pStyle w:val="yMiscellaneousBody"/>
        <w:spacing w:before="120"/>
        <w:ind w:left="3000"/>
        <w:rPr>
          <w:sz w:val="20"/>
        </w:rPr>
      </w:pPr>
      <w:r>
        <w:rPr>
          <w:sz w:val="20"/>
        </w:rPr>
        <w:t>Solicitor for the said</w:t>
      </w:r>
      <w:r>
        <w:rPr>
          <w:sz w:val="20"/>
        </w:rPr>
        <w:br/>
        <w:t>defendant C.D.</w:t>
      </w:r>
    </w:p>
    <w:p w:rsidR="00425758" w:rsidRDefault="00425758">
      <w:pPr>
        <w:pStyle w:val="yMiscellaneousBody"/>
        <w:spacing w:before="120"/>
        <w:ind w:left="3000"/>
        <w:rPr>
          <w:sz w:val="20"/>
        </w:rPr>
      </w:pPr>
    </w:p>
    <w:p w:rsidR="00425758" w:rsidRDefault="00425758">
      <w:pPr>
        <w:pStyle w:val="yMiscellaneousBody"/>
        <w:spacing w:before="120"/>
        <w:ind w:left="3000"/>
        <w:rPr>
          <w:sz w:val="20"/>
        </w:rPr>
      </w:pPr>
      <w:r>
        <w:rPr>
          <w:sz w:val="20"/>
        </w:rPr>
        <w:t>(</w:t>
      </w:r>
      <w:r>
        <w:rPr>
          <w:i/>
          <w:sz w:val="20"/>
        </w:rPr>
        <w:t>or</w:t>
      </w:r>
      <w:r>
        <w:rPr>
          <w:sz w:val="20"/>
        </w:rPr>
        <w:t>) C.D., defendant in person.</w:t>
      </w:r>
    </w:p>
    <w:p w:rsidR="00425758" w:rsidRDefault="00425758">
      <w:pPr>
        <w:pStyle w:val="yFootnotesection"/>
      </w:pPr>
      <w:r>
        <w:tab/>
        <w:t>[Form 7 amended: Gazette 28 Jun 2011 p. 2556.]</w:t>
      </w:r>
    </w:p>
    <w:p w:rsidR="00425758" w:rsidRDefault="00425758">
      <w:pPr>
        <w:pStyle w:val="yEdnotedivision"/>
        <w:outlineLvl w:val="9"/>
      </w:pPr>
      <w:r>
        <w:t>[Forms 8 and 9 deleted: Gazette 21 Feb 2007 p. 536.]</w:t>
      </w:r>
    </w:p>
    <w:p w:rsidR="00425758" w:rsidRDefault="00425758">
      <w:pPr>
        <w:pStyle w:val="yHeading5"/>
        <w:keepNext w:val="0"/>
        <w:keepLines w:val="0"/>
        <w:pageBreakBefore/>
        <w:widowControl w:val="0"/>
        <w:spacing w:before="0"/>
      </w:pPr>
      <w:bookmarkStart w:id="1350" w:name="_Toc75863915"/>
      <w:r>
        <w:rPr>
          <w:rStyle w:val="CharSClsNo"/>
        </w:rPr>
        <w:lastRenderedPageBreak/>
        <w:t>10</w:t>
      </w:r>
      <w:r>
        <w:t>.</w:t>
      </w:r>
      <w:r>
        <w:rPr>
          <w:b w:val="0"/>
        </w:rPr>
        <w:tab/>
      </w:r>
      <w:r>
        <w:t>Forms for Order 18</w:t>
      </w:r>
      <w:bookmarkEnd w:id="1350"/>
    </w:p>
    <w:p w:rsidR="00425758" w:rsidRDefault="00425758">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rsidR="00425758">
        <w:tc>
          <w:tcPr>
            <w:tcW w:w="925" w:type="dxa"/>
          </w:tcPr>
          <w:p w:rsidR="00425758" w:rsidRDefault="00425758">
            <w:pPr>
              <w:pStyle w:val="yTableNAm"/>
            </w:pPr>
          </w:p>
          <w:p w:rsidR="00425758" w:rsidRDefault="00425758">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rsidR="00425758" w:rsidRDefault="00425758">
            <w:pPr>
              <w:pStyle w:val="yTableNAm"/>
              <w:rPr>
                <w:sz w:val="20"/>
              </w:rPr>
            </w:pPr>
            <w:r>
              <w:rPr>
                <w:sz w:val="20"/>
              </w:rPr>
              <w:t>To X.Y.</w:t>
            </w:r>
          </w:p>
          <w:p w:rsidR="00425758" w:rsidRDefault="00425758">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rsidR="00425758" w:rsidRDefault="00425758">
            <w:pPr>
              <w:pStyle w:val="yTableNAm"/>
              <w:rPr>
                <w:sz w:val="19"/>
              </w:rPr>
            </w:pPr>
            <w:r>
              <w:rPr>
                <w:sz w:val="20"/>
              </w:rPr>
              <w:t>The person served with this Counterclaim may enter an appearance either personally or by a solicitor at the Central Office of the Supreme Court at Perth.</w:t>
            </w:r>
          </w:p>
        </w:tc>
      </w:tr>
    </w:tbl>
    <w:p w:rsidR="00425758" w:rsidRDefault="00425758">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rsidR="00425758">
        <w:tc>
          <w:tcPr>
            <w:tcW w:w="960" w:type="dxa"/>
          </w:tcPr>
          <w:p w:rsidR="00425758" w:rsidRDefault="00425758">
            <w:pPr>
              <w:pStyle w:val="yTableNAm"/>
              <w:rPr>
                <w:sz w:val="20"/>
              </w:rPr>
            </w:pPr>
          </w:p>
        </w:tc>
        <w:tc>
          <w:tcPr>
            <w:tcW w:w="6240" w:type="dxa"/>
          </w:tcPr>
          <w:p w:rsidR="00425758" w:rsidRDefault="00425758">
            <w:pPr>
              <w:pStyle w:val="yTableNAm"/>
              <w:rPr>
                <w:sz w:val="20"/>
              </w:rPr>
            </w:pPr>
            <w:r>
              <w:rPr>
                <w:sz w:val="20"/>
              </w:rPr>
              <w:t>[</w:t>
            </w:r>
            <w:r>
              <w:rPr>
                <w:i/>
                <w:sz w:val="20"/>
              </w:rPr>
              <w:t xml:space="preserve">As in No. 6 but substituting for the title of the action the following: — </w:t>
            </w:r>
            <w:r>
              <w:rPr>
                <w:sz w:val="20"/>
              </w:rPr>
              <w:t xml:space="preserve">    ]</w:t>
            </w:r>
          </w:p>
        </w:tc>
      </w:tr>
      <w:tr w:rsidR="00425758">
        <w:tc>
          <w:tcPr>
            <w:tcW w:w="960" w:type="dxa"/>
          </w:tcPr>
          <w:p w:rsidR="00425758" w:rsidRDefault="00425758">
            <w:pPr>
              <w:pStyle w:val="yTableNAm"/>
              <w:rPr>
                <w:sz w:val="20"/>
              </w:rPr>
            </w:pPr>
          </w:p>
        </w:tc>
        <w:tc>
          <w:tcPr>
            <w:tcW w:w="6240" w:type="dxa"/>
          </w:tcPr>
          <w:p w:rsidR="00425758" w:rsidRDefault="00425758">
            <w:pPr>
              <w:pStyle w:val="yTableNAm"/>
              <w:rPr>
                <w:sz w:val="20"/>
              </w:rPr>
            </w:pPr>
            <w:r>
              <w:rPr>
                <w:sz w:val="20"/>
              </w:rPr>
              <w:t>Between</w:t>
            </w:r>
          </w:p>
          <w:p w:rsidR="00425758" w:rsidRDefault="00425758">
            <w:pPr>
              <w:pStyle w:val="yTableNAm"/>
              <w:jc w:val="right"/>
              <w:rPr>
                <w:sz w:val="20"/>
              </w:rPr>
            </w:pPr>
            <w:r>
              <w:rPr>
                <w:sz w:val="20"/>
              </w:rPr>
              <w:t>Plaintiff(s)</w:t>
            </w:r>
          </w:p>
          <w:p w:rsidR="00425758" w:rsidRDefault="00425758">
            <w:pPr>
              <w:pStyle w:val="yTableNAm"/>
              <w:jc w:val="center"/>
              <w:rPr>
                <w:sz w:val="20"/>
              </w:rPr>
            </w:pPr>
            <w:r>
              <w:rPr>
                <w:sz w:val="20"/>
              </w:rPr>
              <w:t>and</w:t>
            </w:r>
          </w:p>
          <w:p w:rsidR="00425758" w:rsidRDefault="00425758">
            <w:pPr>
              <w:pStyle w:val="yTableNAm"/>
              <w:jc w:val="right"/>
              <w:rPr>
                <w:sz w:val="20"/>
              </w:rPr>
            </w:pPr>
            <w:r>
              <w:rPr>
                <w:sz w:val="20"/>
              </w:rPr>
              <w:t>Defendant(s)</w:t>
            </w:r>
          </w:p>
          <w:p w:rsidR="00425758" w:rsidRDefault="00425758">
            <w:pPr>
              <w:pStyle w:val="yTableNAm"/>
              <w:jc w:val="center"/>
              <w:rPr>
                <w:sz w:val="20"/>
              </w:rPr>
            </w:pPr>
            <w:r>
              <w:rPr>
                <w:sz w:val="20"/>
              </w:rPr>
              <w:t>(by original action)</w:t>
            </w:r>
          </w:p>
          <w:p w:rsidR="00425758" w:rsidRDefault="00425758">
            <w:pPr>
              <w:pStyle w:val="yTableNAm"/>
              <w:rPr>
                <w:sz w:val="20"/>
              </w:rPr>
            </w:pPr>
            <w:r>
              <w:rPr>
                <w:sz w:val="20"/>
              </w:rPr>
              <w:t>And between</w:t>
            </w:r>
          </w:p>
          <w:p w:rsidR="00425758" w:rsidRDefault="00425758">
            <w:pPr>
              <w:pStyle w:val="yTableNAm"/>
              <w:rPr>
                <w:sz w:val="20"/>
              </w:rPr>
            </w:pPr>
            <w:r>
              <w:rPr>
                <w:sz w:val="20"/>
              </w:rPr>
              <w:tab/>
              <w:t>the said</w:t>
            </w:r>
          </w:p>
          <w:p w:rsidR="00425758" w:rsidRDefault="00425758">
            <w:pPr>
              <w:pStyle w:val="yTableNAm"/>
              <w:jc w:val="right"/>
              <w:rPr>
                <w:sz w:val="20"/>
              </w:rPr>
            </w:pPr>
            <w:r>
              <w:rPr>
                <w:sz w:val="20"/>
              </w:rPr>
              <w:t>Plaintiff(s)</w:t>
            </w:r>
          </w:p>
          <w:p w:rsidR="00425758" w:rsidRDefault="00425758">
            <w:pPr>
              <w:pStyle w:val="yTableNAm"/>
              <w:jc w:val="center"/>
              <w:rPr>
                <w:sz w:val="20"/>
              </w:rPr>
            </w:pPr>
            <w:r>
              <w:rPr>
                <w:sz w:val="20"/>
              </w:rPr>
              <w:t>and</w:t>
            </w:r>
          </w:p>
          <w:p w:rsidR="00425758" w:rsidRDefault="00425758">
            <w:pPr>
              <w:pStyle w:val="yTableNAm"/>
              <w:rPr>
                <w:sz w:val="20"/>
              </w:rPr>
            </w:pPr>
            <w:r>
              <w:rPr>
                <w:sz w:val="20"/>
              </w:rPr>
              <w:tab/>
              <w:t>the said</w:t>
            </w:r>
          </w:p>
          <w:p w:rsidR="00425758" w:rsidRDefault="00425758">
            <w:pPr>
              <w:pStyle w:val="yTableNAm"/>
              <w:jc w:val="right"/>
              <w:rPr>
                <w:sz w:val="20"/>
              </w:rPr>
            </w:pPr>
            <w:r>
              <w:rPr>
                <w:sz w:val="20"/>
              </w:rPr>
              <w:t>Defendant(s)</w:t>
            </w:r>
          </w:p>
          <w:p w:rsidR="00425758" w:rsidRDefault="00425758">
            <w:pPr>
              <w:pStyle w:val="yTableNAm"/>
              <w:jc w:val="center"/>
              <w:rPr>
                <w:sz w:val="20"/>
              </w:rPr>
            </w:pPr>
            <w:r>
              <w:rPr>
                <w:sz w:val="20"/>
              </w:rPr>
              <w:t>(by counterclaim)</w:t>
            </w:r>
          </w:p>
          <w:p w:rsidR="00425758" w:rsidRDefault="00425758">
            <w:pPr>
              <w:pStyle w:val="yTableNAm"/>
              <w:rPr>
                <w:sz w:val="20"/>
              </w:rPr>
            </w:pPr>
            <w:r>
              <w:rPr>
                <w:sz w:val="20"/>
              </w:rPr>
              <w:t>[</w:t>
            </w:r>
            <w:r>
              <w:rPr>
                <w:i/>
                <w:sz w:val="20"/>
              </w:rPr>
              <w:t xml:space="preserve">and substituting for the request to enter appearance the following:    </w:t>
            </w:r>
            <w:r>
              <w:rPr>
                <w:sz w:val="20"/>
              </w:rPr>
              <w:t>]</w:t>
            </w:r>
          </w:p>
          <w:p w:rsidR="00425758" w:rsidRDefault="00425758">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rsidR="00425758" w:rsidRDefault="00425758">
      <w:pPr>
        <w:pStyle w:val="yTHeadingNAm"/>
        <w:pageBreakBefore/>
        <w:rPr>
          <w:sz w:val="20"/>
        </w:rPr>
      </w:pPr>
      <w:r>
        <w:rPr>
          <w:sz w:val="20"/>
        </w:rPr>
        <w:lastRenderedPageBreak/>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rsidR="00425758">
        <w:tc>
          <w:tcPr>
            <w:tcW w:w="937" w:type="dxa"/>
          </w:tcPr>
          <w:p w:rsidR="00425758" w:rsidRDefault="00425758">
            <w:pPr>
              <w:pStyle w:val="yTableNAm"/>
              <w:rPr>
                <w:sz w:val="20"/>
              </w:rPr>
            </w:pPr>
          </w:p>
        </w:tc>
        <w:tc>
          <w:tcPr>
            <w:tcW w:w="6263" w:type="dxa"/>
          </w:tcPr>
          <w:p w:rsidR="00425758" w:rsidRDefault="00425758">
            <w:pPr>
              <w:pStyle w:val="yTableNAm"/>
              <w:rPr>
                <w:sz w:val="20"/>
              </w:rPr>
            </w:pPr>
            <w:r>
              <w:rPr>
                <w:sz w:val="20"/>
              </w:rPr>
              <w:t>[</w:t>
            </w:r>
            <w:r>
              <w:rPr>
                <w:i/>
                <w:sz w:val="20"/>
              </w:rPr>
              <w:t xml:space="preserve">As in No. 6 but substituting for the title of the action the following: </w:t>
            </w:r>
            <w:r>
              <w:rPr>
                <w:sz w:val="20"/>
              </w:rPr>
              <w:t xml:space="preserve">        ]</w:t>
            </w:r>
          </w:p>
        </w:tc>
      </w:tr>
      <w:tr w:rsidR="00425758">
        <w:tc>
          <w:tcPr>
            <w:tcW w:w="937" w:type="dxa"/>
          </w:tcPr>
          <w:p w:rsidR="00425758" w:rsidRDefault="00425758">
            <w:pPr>
              <w:pStyle w:val="yTableNAm"/>
              <w:rPr>
                <w:sz w:val="20"/>
              </w:rPr>
            </w:pPr>
          </w:p>
        </w:tc>
        <w:tc>
          <w:tcPr>
            <w:tcW w:w="6263" w:type="dxa"/>
          </w:tcPr>
          <w:p w:rsidR="00425758" w:rsidRDefault="00425758">
            <w:pPr>
              <w:pStyle w:val="yTableNAm"/>
              <w:rPr>
                <w:sz w:val="20"/>
              </w:rPr>
            </w:pPr>
            <w:r>
              <w:rPr>
                <w:sz w:val="20"/>
              </w:rPr>
              <w:t>Between</w:t>
            </w:r>
          </w:p>
          <w:p w:rsidR="00425758" w:rsidRDefault="00425758">
            <w:pPr>
              <w:pStyle w:val="yTableNAm"/>
              <w:jc w:val="right"/>
              <w:rPr>
                <w:sz w:val="20"/>
              </w:rPr>
            </w:pPr>
            <w:r>
              <w:rPr>
                <w:sz w:val="20"/>
              </w:rPr>
              <w:t>Plaintiff(s)</w:t>
            </w:r>
          </w:p>
          <w:p w:rsidR="00425758" w:rsidRDefault="00425758">
            <w:pPr>
              <w:pStyle w:val="yTableNAm"/>
              <w:jc w:val="center"/>
              <w:rPr>
                <w:sz w:val="20"/>
              </w:rPr>
            </w:pPr>
            <w:r>
              <w:rPr>
                <w:sz w:val="20"/>
              </w:rPr>
              <w:t>and</w:t>
            </w:r>
          </w:p>
          <w:p w:rsidR="00425758" w:rsidRDefault="00425758">
            <w:pPr>
              <w:pStyle w:val="yTableNAm"/>
              <w:jc w:val="right"/>
              <w:rPr>
                <w:sz w:val="20"/>
              </w:rPr>
            </w:pPr>
            <w:r>
              <w:rPr>
                <w:sz w:val="20"/>
              </w:rPr>
              <w:t>Defendant(s)</w:t>
            </w:r>
          </w:p>
          <w:p w:rsidR="00425758" w:rsidRDefault="00425758">
            <w:pPr>
              <w:pStyle w:val="yTableNAm"/>
              <w:rPr>
                <w:sz w:val="20"/>
              </w:rPr>
            </w:pPr>
            <w:r>
              <w:rPr>
                <w:sz w:val="20"/>
              </w:rPr>
              <w:t>And between</w:t>
            </w:r>
          </w:p>
          <w:p w:rsidR="00425758" w:rsidRDefault="00425758">
            <w:pPr>
              <w:pStyle w:val="yTableNAm"/>
              <w:jc w:val="right"/>
              <w:rPr>
                <w:sz w:val="20"/>
              </w:rPr>
            </w:pPr>
            <w:r>
              <w:rPr>
                <w:sz w:val="20"/>
              </w:rPr>
              <w:t>Plaintiff(s)</w:t>
            </w:r>
          </w:p>
          <w:p w:rsidR="00425758" w:rsidRDefault="00425758">
            <w:pPr>
              <w:pStyle w:val="yTableNAm"/>
              <w:jc w:val="center"/>
              <w:rPr>
                <w:sz w:val="20"/>
              </w:rPr>
            </w:pPr>
            <w:r>
              <w:rPr>
                <w:sz w:val="20"/>
              </w:rPr>
              <w:t>and</w:t>
            </w:r>
          </w:p>
          <w:p w:rsidR="00425758" w:rsidRDefault="00425758">
            <w:pPr>
              <w:pStyle w:val="yTableNAm"/>
              <w:jc w:val="right"/>
              <w:rPr>
                <w:sz w:val="20"/>
              </w:rPr>
            </w:pPr>
            <w:r>
              <w:rPr>
                <w:sz w:val="20"/>
              </w:rPr>
              <w:t>Defendant(s)</w:t>
            </w:r>
          </w:p>
          <w:p w:rsidR="00425758" w:rsidRDefault="00425758">
            <w:pPr>
              <w:pStyle w:val="yTableNAm"/>
              <w:jc w:val="center"/>
              <w:rPr>
                <w:sz w:val="20"/>
              </w:rPr>
            </w:pPr>
            <w:r>
              <w:rPr>
                <w:sz w:val="20"/>
              </w:rPr>
              <w:t>(by original writ and by order)</w:t>
            </w:r>
          </w:p>
          <w:p w:rsidR="00425758" w:rsidRDefault="00425758">
            <w:pPr>
              <w:pStyle w:val="yTableNAm"/>
              <w:rPr>
                <w:sz w:val="20"/>
              </w:rPr>
            </w:pPr>
            <w:r>
              <w:rPr>
                <w:sz w:val="20"/>
              </w:rPr>
              <w:t>[</w:t>
            </w:r>
            <w:r>
              <w:rPr>
                <w:i/>
                <w:sz w:val="20"/>
              </w:rPr>
              <w:t>and substituting for the request to enter appearance the following: —</w:t>
            </w:r>
            <w:r>
              <w:rPr>
                <w:sz w:val="20"/>
              </w:rPr>
              <w:t>]</w:t>
            </w:r>
          </w:p>
          <w:p w:rsidR="00425758" w:rsidRDefault="00425758">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rsidR="00425758" w:rsidRDefault="00425758">
      <w:pPr>
        <w:pStyle w:val="yFootnotesection"/>
        <w:spacing w:after="120"/>
      </w:pPr>
      <w:r>
        <w:tab/>
        <w:t>[Form 10 amended: Gazette 28 Jun 2011 p. 2556</w:t>
      </w:r>
      <w:r>
        <w:noBreakHyphen/>
        <w:t>7.]</w:t>
      </w:r>
    </w:p>
    <w:p w:rsidR="00425758" w:rsidRDefault="00425758">
      <w:pPr>
        <w:pStyle w:val="yHeading5"/>
        <w:pageBreakBefore/>
        <w:spacing w:before="0" w:after="120"/>
      </w:pPr>
      <w:bookmarkStart w:id="1351" w:name="_Toc75863916"/>
      <w:r>
        <w:rPr>
          <w:rStyle w:val="CharSClsNo"/>
        </w:rPr>
        <w:lastRenderedPageBreak/>
        <w:t>11</w:t>
      </w:r>
      <w:r>
        <w:t>.</w:t>
      </w:r>
      <w:r>
        <w:rPr>
          <w:b w:val="0"/>
        </w:rPr>
        <w:tab/>
      </w:r>
      <w:r>
        <w:t>Third party notice (general form) (O. 19 r. 1)</w:t>
      </w:r>
      <w:bookmarkEnd w:id="1351"/>
    </w:p>
    <w:tbl>
      <w:tblPr>
        <w:tblW w:w="0" w:type="auto"/>
        <w:tblLayout w:type="fixed"/>
        <w:tblCellMar>
          <w:left w:w="85" w:type="dxa"/>
          <w:right w:w="85" w:type="dxa"/>
        </w:tblCellMar>
        <w:tblLook w:val="0000" w:firstRow="0" w:lastRow="0" w:firstColumn="0" w:lastColumn="0" w:noHBand="0" w:noVBand="0"/>
      </w:tblPr>
      <w:tblGrid>
        <w:gridCol w:w="925"/>
        <w:gridCol w:w="6298"/>
      </w:tblGrid>
      <w:tr w:rsidR="00425758">
        <w:tc>
          <w:tcPr>
            <w:tcW w:w="925" w:type="dxa"/>
          </w:tcPr>
          <w:p w:rsidR="00425758" w:rsidRDefault="00425758">
            <w:pPr>
              <w:pStyle w:val="yTableNAm"/>
              <w:rPr>
                <w:sz w:val="20"/>
              </w:rPr>
            </w:pPr>
          </w:p>
        </w:tc>
        <w:tc>
          <w:tcPr>
            <w:tcW w:w="6298" w:type="dxa"/>
          </w:tcPr>
          <w:p w:rsidR="00425758" w:rsidRDefault="00425758">
            <w:pPr>
              <w:pStyle w:val="yTableNAm"/>
              <w:tabs>
                <w:tab w:val="clear" w:pos="567"/>
                <w:tab w:val="left" w:pos="3975"/>
              </w:tabs>
              <w:rPr>
                <w:sz w:val="20"/>
              </w:rPr>
            </w:pPr>
            <w:r>
              <w:rPr>
                <w:sz w:val="20"/>
              </w:rPr>
              <w:t>In the Supreme Court</w:t>
            </w:r>
            <w:r>
              <w:rPr>
                <w:sz w:val="20"/>
              </w:rPr>
              <w:tab/>
              <w:t>20   .  No.</w:t>
            </w:r>
            <w:r>
              <w:rPr>
                <w:sz w:val="20"/>
              </w:rPr>
              <w:br/>
              <w:t>of Western Australia.</w:t>
            </w:r>
            <w:r>
              <w:rPr>
                <w:sz w:val="20"/>
              </w:rPr>
              <w:tab/>
              <w:t>Between</w:t>
            </w:r>
          </w:p>
          <w:p w:rsidR="00425758" w:rsidRDefault="00425758">
            <w:pPr>
              <w:pStyle w:val="yTableNAm"/>
              <w:tabs>
                <w:tab w:val="clear" w:pos="567"/>
                <w:tab w:val="left" w:pos="3135"/>
              </w:tabs>
              <w:spacing w:before="60"/>
              <w:rPr>
                <w:sz w:val="20"/>
              </w:rPr>
            </w:pPr>
            <w:r>
              <w:rPr>
                <w:sz w:val="20"/>
              </w:rPr>
              <w:tab/>
              <w:t>A.B., Plaintiff,</w:t>
            </w:r>
          </w:p>
          <w:p w:rsidR="00425758" w:rsidRDefault="00425758">
            <w:pPr>
              <w:pStyle w:val="yTableNAm"/>
              <w:tabs>
                <w:tab w:val="clear" w:pos="567"/>
                <w:tab w:val="left" w:pos="3495"/>
              </w:tabs>
              <w:spacing w:before="60"/>
              <w:rPr>
                <w:sz w:val="20"/>
              </w:rPr>
            </w:pPr>
            <w:r>
              <w:rPr>
                <w:sz w:val="20"/>
              </w:rPr>
              <w:tab/>
              <w:t>and</w:t>
            </w:r>
          </w:p>
          <w:p w:rsidR="00425758" w:rsidRDefault="00425758">
            <w:pPr>
              <w:pStyle w:val="yTableNAm"/>
              <w:tabs>
                <w:tab w:val="clear" w:pos="567"/>
                <w:tab w:val="left" w:pos="3135"/>
              </w:tabs>
              <w:spacing w:before="60"/>
              <w:rPr>
                <w:sz w:val="20"/>
              </w:rPr>
            </w:pPr>
            <w:r>
              <w:rPr>
                <w:sz w:val="20"/>
              </w:rPr>
              <w:tab/>
              <w:t>C.D., Defendant,</w:t>
            </w:r>
          </w:p>
          <w:p w:rsidR="00425758" w:rsidRDefault="00425758">
            <w:pPr>
              <w:pStyle w:val="yTableNAm"/>
              <w:tabs>
                <w:tab w:val="clear" w:pos="567"/>
                <w:tab w:val="left" w:pos="3495"/>
              </w:tabs>
              <w:spacing w:before="60"/>
              <w:rPr>
                <w:sz w:val="20"/>
              </w:rPr>
            </w:pPr>
            <w:r>
              <w:rPr>
                <w:sz w:val="20"/>
              </w:rPr>
              <w:tab/>
              <w:t>and</w:t>
            </w:r>
          </w:p>
          <w:p w:rsidR="00425758" w:rsidRDefault="00425758">
            <w:pPr>
              <w:pStyle w:val="yTableNAm"/>
              <w:tabs>
                <w:tab w:val="clear" w:pos="567"/>
                <w:tab w:val="left" w:pos="3135"/>
              </w:tabs>
              <w:spacing w:before="60"/>
              <w:rPr>
                <w:sz w:val="20"/>
              </w:rPr>
            </w:pPr>
            <w:r>
              <w:rPr>
                <w:sz w:val="20"/>
              </w:rPr>
              <w:tab/>
              <w:t>E.F., Third Party</w:t>
            </w:r>
          </w:p>
        </w:tc>
      </w:tr>
      <w:tr w:rsidR="00425758">
        <w:tc>
          <w:tcPr>
            <w:tcW w:w="925" w:type="dxa"/>
          </w:tcPr>
          <w:p w:rsidR="00425758" w:rsidRDefault="00425758">
            <w:pPr>
              <w:pStyle w:val="yTableNAm"/>
              <w:rPr>
                <w:sz w:val="20"/>
              </w:rPr>
            </w:pPr>
          </w:p>
        </w:tc>
        <w:tc>
          <w:tcPr>
            <w:tcW w:w="6298" w:type="dxa"/>
          </w:tcPr>
          <w:p w:rsidR="00425758" w:rsidRDefault="00425758">
            <w:pPr>
              <w:pStyle w:val="yTableNAm"/>
              <w:jc w:val="center"/>
              <w:rPr>
                <w:sz w:val="20"/>
              </w:rPr>
            </w:pPr>
            <w:r>
              <w:rPr>
                <w:sz w:val="20"/>
              </w:rPr>
              <w:t>THIRD PARTY NOTICE</w:t>
            </w:r>
          </w:p>
          <w:p w:rsidR="00425758" w:rsidRDefault="00425758">
            <w:pPr>
              <w:pStyle w:val="yTableNAm"/>
              <w:spacing w:before="60"/>
              <w:rPr>
                <w:sz w:val="20"/>
              </w:rPr>
            </w:pPr>
            <w:r>
              <w:rPr>
                <w:sz w:val="20"/>
              </w:rPr>
              <w:t xml:space="preserve">[Issued pursuant to the order of </w:t>
            </w:r>
            <w:r>
              <w:rPr>
                <w:sz w:val="20"/>
              </w:rPr>
              <w:br/>
              <w:t>dated the                                   day of                                     ]</w:t>
            </w:r>
          </w:p>
          <w:p w:rsidR="00425758" w:rsidRDefault="00425758">
            <w:pPr>
              <w:pStyle w:val="yTableNAm"/>
              <w:spacing w:before="60"/>
              <w:rPr>
                <w:sz w:val="20"/>
              </w:rPr>
            </w:pPr>
            <w:r>
              <w:rPr>
                <w:sz w:val="20"/>
              </w:rPr>
              <w:t xml:space="preserve">To E.F. of                            </w:t>
            </w:r>
          </w:p>
          <w:p w:rsidR="00425758" w:rsidRDefault="00425758">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rsidR="00425758" w:rsidRDefault="00425758">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rsidR="00425758" w:rsidRDefault="00425758">
            <w:pPr>
              <w:pStyle w:val="yTableNAm"/>
              <w:spacing w:before="0"/>
              <w:rPr>
                <w:sz w:val="20"/>
              </w:rPr>
            </w:pPr>
            <w:r>
              <w:rPr>
                <w:sz w:val="20"/>
              </w:rPr>
              <w:t>on the grounds that [</w:t>
            </w:r>
            <w:r>
              <w:rPr>
                <w:i/>
                <w:sz w:val="20"/>
              </w:rPr>
              <w:t>state concisely the grounds of the claim against the third party</w:t>
            </w:r>
            <w:r>
              <w:rPr>
                <w:sz w:val="20"/>
              </w:rPr>
              <w:t>].</w:t>
            </w:r>
          </w:p>
        </w:tc>
      </w:tr>
      <w:tr w:rsidR="00425758">
        <w:tc>
          <w:tcPr>
            <w:tcW w:w="925" w:type="dxa"/>
          </w:tcPr>
          <w:p w:rsidR="00425758" w:rsidRDefault="00425758">
            <w:pPr>
              <w:pStyle w:val="yTableNAm"/>
              <w:spacing w:before="60"/>
              <w:rPr>
                <w:sz w:val="14"/>
              </w:rPr>
            </w:pPr>
          </w:p>
          <w:p w:rsidR="00425758" w:rsidRDefault="00425758">
            <w:pPr>
              <w:pStyle w:val="yTableNAm"/>
              <w:spacing w:before="60"/>
              <w:rPr>
                <w:sz w:val="14"/>
              </w:rPr>
            </w:pPr>
            <w:r>
              <w:rPr>
                <w:sz w:val="14"/>
              </w:rPr>
              <w:t>* Fix time in accordance with O. 5 R. 11</w:t>
            </w:r>
          </w:p>
        </w:tc>
        <w:tc>
          <w:tcPr>
            <w:tcW w:w="6298" w:type="dxa"/>
          </w:tcPr>
          <w:p w:rsidR="00425758" w:rsidRDefault="00425758">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rsidR="00425758" w:rsidRDefault="00425758">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rsidR="00425758" w:rsidRDefault="00425758">
            <w:pPr>
              <w:pStyle w:val="yTableNAm"/>
              <w:spacing w:before="60"/>
              <w:rPr>
                <w:sz w:val="20"/>
              </w:rPr>
            </w:pPr>
            <w:r>
              <w:rPr>
                <w:sz w:val="20"/>
              </w:rPr>
              <w:t>Dated. etc.</w:t>
            </w:r>
          </w:p>
          <w:p w:rsidR="00425758" w:rsidRDefault="00425758">
            <w:pPr>
              <w:pStyle w:val="yTableNAm"/>
              <w:tabs>
                <w:tab w:val="clear" w:pos="567"/>
                <w:tab w:val="left" w:pos="2535"/>
              </w:tabs>
              <w:spacing w:before="60"/>
              <w:rPr>
                <w:sz w:val="20"/>
              </w:rPr>
            </w:pPr>
            <w:r>
              <w:rPr>
                <w:sz w:val="20"/>
              </w:rPr>
              <w:tab/>
              <w:t>(Signed)</w:t>
            </w:r>
          </w:p>
          <w:p w:rsidR="00425758" w:rsidRDefault="00425758">
            <w:pPr>
              <w:pStyle w:val="yTableNAm"/>
              <w:spacing w:before="0"/>
              <w:jc w:val="right"/>
              <w:rPr>
                <w:sz w:val="20"/>
              </w:rPr>
            </w:pPr>
            <w:r>
              <w:rPr>
                <w:sz w:val="20"/>
              </w:rPr>
              <w:t>Solicitor for the defendant.</w:t>
            </w:r>
          </w:p>
          <w:p w:rsidR="00425758" w:rsidRDefault="00425758">
            <w:pPr>
              <w:pStyle w:val="yTableNAm"/>
              <w:spacing w:before="60"/>
              <w:rPr>
                <w:sz w:val="20"/>
              </w:rPr>
            </w:pPr>
            <w:r>
              <w:rPr>
                <w:sz w:val="20"/>
              </w:rPr>
              <w:t>Appearance is to be entered at the Central Office, Supreme Court, Perth.</w:t>
            </w:r>
          </w:p>
        </w:tc>
      </w:tr>
    </w:tbl>
    <w:p w:rsidR="00425758" w:rsidRDefault="00425758">
      <w:pPr>
        <w:pStyle w:val="yFootnotesection"/>
        <w:spacing w:after="120"/>
      </w:pPr>
      <w:r>
        <w:tab/>
        <w:t>[Form 11 amended: Gazette 28 Jun 2011 p. 2557.]</w:t>
      </w:r>
    </w:p>
    <w:p w:rsidR="00425758" w:rsidRDefault="00425758">
      <w:pPr>
        <w:pStyle w:val="yHeading5"/>
        <w:keepNext w:val="0"/>
        <w:keepLines w:val="0"/>
        <w:pageBreakBefore/>
        <w:spacing w:before="0" w:after="120"/>
      </w:pPr>
      <w:bookmarkStart w:id="1352" w:name="_Toc75863917"/>
      <w:r>
        <w:rPr>
          <w:rStyle w:val="CharSClsNo"/>
        </w:rPr>
        <w:lastRenderedPageBreak/>
        <w:t>12</w:t>
      </w:r>
      <w:r>
        <w:t>.</w:t>
      </w:r>
      <w:r>
        <w:rPr>
          <w:b w:val="0"/>
        </w:rPr>
        <w:tab/>
      </w:r>
      <w:r>
        <w:t>Third party notice where question or issue to be determined (O. 19 r. 1)</w:t>
      </w:r>
      <w:bookmarkEnd w:id="1352"/>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rsidR="00425758">
        <w:tc>
          <w:tcPr>
            <w:tcW w:w="937" w:type="dxa"/>
          </w:tcPr>
          <w:p w:rsidR="00425758" w:rsidRDefault="00425758">
            <w:pPr>
              <w:pStyle w:val="yTableNAm"/>
            </w:pPr>
          </w:p>
        </w:tc>
        <w:tc>
          <w:tcPr>
            <w:tcW w:w="6237" w:type="dxa"/>
          </w:tcPr>
          <w:p w:rsidR="00425758" w:rsidRDefault="00425758">
            <w:pPr>
              <w:pStyle w:val="yTableNAm"/>
              <w:rPr>
                <w:i/>
                <w:sz w:val="20"/>
              </w:rPr>
            </w:pPr>
            <w:r>
              <w:rPr>
                <w:sz w:val="20"/>
              </w:rPr>
              <w:t>[</w:t>
            </w:r>
            <w:r>
              <w:rPr>
                <w:i/>
                <w:sz w:val="20"/>
              </w:rPr>
              <w:t xml:space="preserve">As in Form No. 11 down to “a copy whereof is served herewith” and proceed: — </w:t>
            </w:r>
            <w:r>
              <w:rPr>
                <w:sz w:val="20"/>
              </w:rPr>
              <w:t>]</w:t>
            </w:r>
          </w:p>
        </w:tc>
      </w:tr>
      <w:tr w:rsidR="00425758">
        <w:tc>
          <w:tcPr>
            <w:tcW w:w="937" w:type="dxa"/>
          </w:tcPr>
          <w:p w:rsidR="00425758" w:rsidRDefault="00425758">
            <w:pPr>
              <w:pStyle w:val="yTableNAm"/>
            </w:pPr>
          </w:p>
        </w:tc>
        <w:tc>
          <w:tcPr>
            <w:tcW w:w="6237" w:type="dxa"/>
          </w:tcPr>
          <w:p w:rsidR="00425758" w:rsidRDefault="00425758">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rsidR="00425758">
        <w:tc>
          <w:tcPr>
            <w:tcW w:w="937" w:type="dxa"/>
          </w:tcPr>
          <w:p w:rsidR="00425758" w:rsidRDefault="00425758">
            <w:pPr>
              <w:pStyle w:val="yTableNAm"/>
              <w:rPr>
                <w:sz w:val="14"/>
              </w:rPr>
            </w:pPr>
          </w:p>
          <w:p w:rsidR="00425758" w:rsidRDefault="00425758">
            <w:pPr>
              <w:pStyle w:val="yTableNAm"/>
              <w:rPr>
                <w:sz w:val="14"/>
              </w:rPr>
            </w:pPr>
          </w:p>
          <w:p w:rsidR="00425758" w:rsidRDefault="00425758">
            <w:pPr>
              <w:pStyle w:val="yTableNAm"/>
              <w:rPr>
                <w:sz w:val="14"/>
              </w:rPr>
            </w:pPr>
            <w:r>
              <w:rPr>
                <w:sz w:val="14"/>
              </w:rPr>
              <w:t>*Fix time in accordance with O. 5 R. 11.</w:t>
            </w:r>
          </w:p>
        </w:tc>
        <w:tc>
          <w:tcPr>
            <w:tcW w:w="6237" w:type="dxa"/>
          </w:tcPr>
          <w:p w:rsidR="00425758" w:rsidRDefault="00425758">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rsidR="00425758" w:rsidRDefault="00425758">
            <w:pPr>
              <w:pStyle w:val="yTableNAm"/>
              <w:rPr>
                <w:sz w:val="20"/>
              </w:rPr>
            </w:pPr>
            <w:r>
              <w:rPr>
                <w:sz w:val="20"/>
              </w:rPr>
              <w:t>Dated, etc, [</w:t>
            </w:r>
            <w:r>
              <w:rPr>
                <w:i/>
                <w:sz w:val="20"/>
              </w:rPr>
              <w:t>as in Form No. 11</w:t>
            </w:r>
            <w:r>
              <w:rPr>
                <w:sz w:val="20"/>
              </w:rPr>
              <w:t>].</w:t>
            </w:r>
          </w:p>
        </w:tc>
      </w:tr>
    </w:tbl>
    <w:p w:rsidR="00425758" w:rsidRDefault="00425758">
      <w:pPr>
        <w:pStyle w:val="yFootnotesection"/>
      </w:pPr>
      <w:r>
        <w:tab/>
        <w:t>[Form 12 amended: Gazette 9 Nov 1973 p. 4165; 28 Jun 2011 p. 2557.]</w:t>
      </w:r>
    </w:p>
    <w:p w:rsidR="00425758" w:rsidRDefault="00425758">
      <w:pPr>
        <w:pStyle w:val="yEdnotedivision"/>
        <w:spacing w:before="240"/>
        <w:outlineLvl w:val="9"/>
      </w:pPr>
      <w:r>
        <w:t>[Forms 13 and 14 deleted: Gazette 21 Feb 2007 p. 596.]</w:t>
      </w:r>
    </w:p>
    <w:p w:rsidR="00425758" w:rsidRDefault="00425758">
      <w:pPr>
        <w:pStyle w:val="yEdnotedivision"/>
        <w:spacing w:before="240"/>
        <w:outlineLvl w:val="9"/>
      </w:pPr>
      <w:r>
        <w:t>[Form 15 deleted: Gazette 5 Jun 1992 p. 2282.]</w:t>
      </w:r>
    </w:p>
    <w:p w:rsidR="00425758" w:rsidRDefault="00425758">
      <w:pPr>
        <w:pStyle w:val="yEdnotedivision"/>
        <w:spacing w:before="240"/>
        <w:outlineLvl w:val="9"/>
      </w:pPr>
      <w:r>
        <w:t>[Form 16 deleted: Gazette 21 Feb 2007 p. 596.]</w:t>
      </w:r>
    </w:p>
    <w:p w:rsidR="00425758" w:rsidRDefault="00425758">
      <w:pPr>
        <w:pStyle w:val="yHeading5"/>
        <w:keepNext w:val="0"/>
        <w:keepLines w:val="0"/>
        <w:pageBreakBefore/>
        <w:widowControl w:val="0"/>
        <w:spacing w:before="0" w:after="120"/>
      </w:pPr>
      <w:bookmarkStart w:id="1353" w:name="_Toc75863918"/>
      <w:r>
        <w:rPr>
          <w:rStyle w:val="CharSClsNo"/>
        </w:rPr>
        <w:lastRenderedPageBreak/>
        <w:t>17</w:t>
      </w:r>
      <w:r>
        <w:t>.</w:t>
      </w:r>
      <w:r>
        <w:tab/>
        <w:t>List of documents (O. 26 r. 4(1) &amp; 8)</w:t>
      </w:r>
      <w:bookmarkEnd w:id="135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rsidR="00425758">
        <w:trPr>
          <w:cantSplit/>
          <w:trHeight w:val="329"/>
        </w:trPr>
        <w:tc>
          <w:tcPr>
            <w:tcW w:w="4395" w:type="dxa"/>
            <w:gridSpan w:val="2"/>
            <w:vMerge w:val="restart"/>
          </w:tcPr>
          <w:p w:rsidR="00425758" w:rsidRDefault="00425758">
            <w:pPr>
              <w:pStyle w:val="yTableNAm"/>
              <w:rPr>
                <w:sz w:val="20"/>
              </w:rPr>
            </w:pPr>
            <w:r>
              <w:rPr>
                <w:sz w:val="20"/>
              </w:rPr>
              <w:t>Supreme Court of Western Australia</w:t>
            </w:r>
          </w:p>
          <w:p w:rsidR="00425758" w:rsidRDefault="00425758">
            <w:pPr>
              <w:pStyle w:val="yTableNAm"/>
              <w:rPr>
                <w:b/>
                <w:iCs/>
                <w:sz w:val="20"/>
              </w:rPr>
            </w:pPr>
            <w:r>
              <w:rPr>
                <w:iCs/>
                <w:sz w:val="20"/>
              </w:rPr>
              <w:t>General Division</w:t>
            </w:r>
          </w:p>
        </w:tc>
        <w:tc>
          <w:tcPr>
            <w:tcW w:w="2685" w:type="dxa"/>
            <w:gridSpan w:val="2"/>
            <w:tcBorders>
              <w:bottom w:val="nil"/>
            </w:tcBorders>
            <w:vAlign w:val="center"/>
          </w:tcPr>
          <w:p w:rsidR="00425758" w:rsidRDefault="00425758">
            <w:pPr>
              <w:pStyle w:val="yTableNAm"/>
              <w:rPr>
                <w:sz w:val="20"/>
              </w:rPr>
            </w:pPr>
            <w:r>
              <w:rPr>
                <w:sz w:val="20"/>
              </w:rPr>
              <w:t>No:</w:t>
            </w:r>
          </w:p>
        </w:tc>
      </w:tr>
      <w:tr w:rsidR="00425758">
        <w:trPr>
          <w:cantSplit/>
          <w:trHeight w:val="328"/>
        </w:trPr>
        <w:tc>
          <w:tcPr>
            <w:tcW w:w="4395" w:type="dxa"/>
            <w:gridSpan w:val="2"/>
            <w:vMerge/>
            <w:tcBorders>
              <w:bottom w:val="nil"/>
            </w:tcBorders>
          </w:tcPr>
          <w:p w:rsidR="00425758" w:rsidRDefault="00425758">
            <w:pPr>
              <w:pStyle w:val="yTableNAm"/>
              <w:rPr>
                <w:sz w:val="20"/>
              </w:rPr>
            </w:pPr>
          </w:p>
        </w:tc>
        <w:tc>
          <w:tcPr>
            <w:tcW w:w="2685" w:type="dxa"/>
            <w:gridSpan w:val="2"/>
            <w:tcBorders>
              <w:bottom w:val="nil"/>
            </w:tcBorders>
          </w:tcPr>
          <w:p w:rsidR="00425758" w:rsidRDefault="00425758">
            <w:pPr>
              <w:pStyle w:val="yTableNAm"/>
              <w:rPr>
                <w:b/>
                <w:bCs/>
                <w:sz w:val="20"/>
              </w:rPr>
            </w:pPr>
            <w:r>
              <w:rPr>
                <w:b/>
                <w:bCs/>
                <w:sz w:val="20"/>
              </w:rPr>
              <w:t>List of documents</w:t>
            </w:r>
          </w:p>
        </w:tc>
      </w:tr>
      <w:tr w:rsidR="00425758">
        <w:trPr>
          <w:cantSplit/>
        </w:trPr>
        <w:tc>
          <w:tcPr>
            <w:tcW w:w="1440" w:type="dxa"/>
            <w:tcBorders>
              <w:bottom w:val="nil"/>
            </w:tcBorders>
          </w:tcPr>
          <w:p w:rsidR="00425758" w:rsidRDefault="00425758">
            <w:pPr>
              <w:pStyle w:val="yTableNAm"/>
              <w:rPr>
                <w:sz w:val="20"/>
              </w:rPr>
            </w:pPr>
            <w:r>
              <w:rPr>
                <w:sz w:val="20"/>
              </w:rPr>
              <w:t>Parties</w:t>
            </w:r>
          </w:p>
        </w:tc>
        <w:tc>
          <w:tcPr>
            <w:tcW w:w="5640" w:type="dxa"/>
            <w:gridSpan w:val="3"/>
            <w:tcBorders>
              <w:bottom w:val="nil"/>
            </w:tcBorders>
          </w:tcPr>
          <w:p w:rsidR="00425758" w:rsidRDefault="00425758">
            <w:pPr>
              <w:pStyle w:val="yTableNAm"/>
              <w:tabs>
                <w:tab w:val="clear" w:pos="567"/>
                <w:tab w:val="left" w:pos="2857"/>
              </w:tabs>
              <w:rPr>
                <w:sz w:val="20"/>
              </w:rPr>
            </w:pPr>
            <w:r>
              <w:rPr>
                <w:sz w:val="20"/>
              </w:rPr>
              <w:tab/>
              <w:t>Plaintiff</w:t>
            </w:r>
          </w:p>
          <w:p w:rsidR="00425758" w:rsidRDefault="00425758">
            <w:pPr>
              <w:pStyle w:val="yTableNAm"/>
              <w:tabs>
                <w:tab w:val="clear" w:pos="567"/>
                <w:tab w:val="left" w:pos="2857"/>
              </w:tabs>
              <w:rPr>
                <w:sz w:val="20"/>
              </w:rPr>
            </w:pPr>
            <w:r>
              <w:rPr>
                <w:sz w:val="20"/>
              </w:rPr>
              <w:tab/>
              <w:t>Defendant</w:t>
            </w:r>
          </w:p>
        </w:tc>
      </w:tr>
      <w:tr w:rsidR="00425758">
        <w:trPr>
          <w:cantSplit/>
        </w:trPr>
        <w:tc>
          <w:tcPr>
            <w:tcW w:w="1440" w:type="dxa"/>
            <w:tcBorders>
              <w:bottom w:val="nil"/>
            </w:tcBorders>
          </w:tcPr>
          <w:p w:rsidR="00425758" w:rsidRDefault="00425758">
            <w:pPr>
              <w:pStyle w:val="yTableNAm"/>
              <w:rPr>
                <w:sz w:val="20"/>
              </w:rPr>
            </w:pPr>
            <w:r>
              <w:rPr>
                <w:sz w:val="20"/>
              </w:rPr>
              <w:t>To</w:t>
            </w:r>
          </w:p>
        </w:tc>
        <w:tc>
          <w:tcPr>
            <w:tcW w:w="5640" w:type="dxa"/>
            <w:gridSpan w:val="3"/>
            <w:tcBorders>
              <w:bottom w:val="nil"/>
            </w:tcBorders>
          </w:tcPr>
          <w:p w:rsidR="00425758" w:rsidRDefault="00425758">
            <w:pPr>
              <w:pStyle w:val="yTableNAm"/>
              <w:rPr>
                <w:sz w:val="20"/>
              </w:rPr>
            </w:pPr>
            <w:r>
              <w:rPr>
                <w:sz w:val="20"/>
              </w:rPr>
              <w:t>[</w:t>
            </w:r>
            <w:r>
              <w:rPr>
                <w:i/>
                <w:iCs/>
                <w:sz w:val="20"/>
              </w:rPr>
              <w:t>Party</w:t>
            </w:r>
            <w:r>
              <w:rPr>
                <w:sz w:val="20"/>
              </w:rPr>
              <w:t>] and its practitioner.</w:t>
            </w:r>
          </w:p>
        </w:tc>
      </w:tr>
      <w:tr w:rsidR="00425758">
        <w:trPr>
          <w:cantSplit/>
        </w:trPr>
        <w:tc>
          <w:tcPr>
            <w:tcW w:w="1440" w:type="dxa"/>
            <w:tcBorders>
              <w:bottom w:val="nil"/>
            </w:tcBorders>
          </w:tcPr>
          <w:p w:rsidR="00425758" w:rsidRDefault="00425758">
            <w:pPr>
              <w:pStyle w:val="yTableNAm"/>
              <w:rPr>
                <w:sz w:val="20"/>
              </w:rPr>
            </w:pPr>
            <w:r>
              <w:rPr>
                <w:sz w:val="20"/>
              </w:rPr>
              <w:t>From</w:t>
            </w:r>
          </w:p>
        </w:tc>
        <w:tc>
          <w:tcPr>
            <w:tcW w:w="5640" w:type="dxa"/>
            <w:gridSpan w:val="3"/>
            <w:tcBorders>
              <w:bottom w:val="nil"/>
            </w:tcBorders>
          </w:tcPr>
          <w:p w:rsidR="00425758" w:rsidRDefault="00425758">
            <w:pPr>
              <w:pStyle w:val="yTableNAm"/>
              <w:rPr>
                <w:sz w:val="20"/>
              </w:rPr>
            </w:pPr>
            <w:r>
              <w:rPr>
                <w:sz w:val="20"/>
              </w:rPr>
              <w:t>[</w:t>
            </w:r>
            <w:r>
              <w:rPr>
                <w:i/>
                <w:iCs/>
                <w:sz w:val="20"/>
              </w:rPr>
              <w:t>Party giving discovery</w:t>
            </w:r>
            <w:r>
              <w:rPr>
                <w:sz w:val="20"/>
              </w:rPr>
              <w:t>]</w:t>
            </w:r>
          </w:p>
        </w:tc>
      </w:tr>
      <w:tr w:rsidR="00425758">
        <w:trPr>
          <w:cantSplit/>
        </w:trPr>
        <w:tc>
          <w:tcPr>
            <w:tcW w:w="1440" w:type="dxa"/>
            <w:tcBorders>
              <w:bottom w:val="single" w:sz="4" w:space="0" w:color="auto"/>
            </w:tcBorders>
          </w:tcPr>
          <w:p w:rsidR="00425758" w:rsidRDefault="00425758">
            <w:pPr>
              <w:pStyle w:val="yTableNAm"/>
              <w:rPr>
                <w:sz w:val="20"/>
              </w:rPr>
            </w:pPr>
            <w:r>
              <w:rPr>
                <w:sz w:val="20"/>
              </w:rPr>
              <w:t>General</w:t>
            </w:r>
          </w:p>
        </w:tc>
        <w:tc>
          <w:tcPr>
            <w:tcW w:w="5640" w:type="dxa"/>
            <w:gridSpan w:val="3"/>
            <w:tcBorders>
              <w:bottom w:val="single" w:sz="4" w:space="0" w:color="auto"/>
            </w:tcBorders>
          </w:tcPr>
          <w:p w:rsidR="00425758" w:rsidRDefault="00425758">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rsidR="00425758">
        <w:trPr>
          <w:cantSplit/>
        </w:trPr>
        <w:tc>
          <w:tcPr>
            <w:tcW w:w="1440" w:type="dxa"/>
            <w:tcBorders>
              <w:bottom w:val="single" w:sz="4" w:space="0" w:color="auto"/>
            </w:tcBorders>
          </w:tcPr>
          <w:p w:rsidR="00425758" w:rsidRDefault="00425758">
            <w:pPr>
              <w:pStyle w:val="yTableNAm"/>
              <w:rPr>
                <w:sz w:val="20"/>
              </w:rPr>
            </w:pPr>
            <w:r>
              <w:rPr>
                <w:sz w:val="20"/>
              </w:rPr>
              <w:t>Documents in possession</w:t>
            </w:r>
          </w:p>
          <w:p w:rsidR="00425758" w:rsidRDefault="00425758">
            <w:pPr>
              <w:pStyle w:val="yTableNAm"/>
              <w:rPr>
                <w:sz w:val="20"/>
              </w:rPr>
            </w:pPr>
            <w:r>
              <w:rPr>
                <w:sz w:val="20"/>
              </w:rPr>
              <w:t>(Part 1)</w:t>
            </w:r>
          </w:p>
        </w:tc>
        <w:tc>
          <w:tcPr>
            <w:tcW w:w="5640" w:type="dxa"/>
            <w:gridSpan w:val="3"/>
            <w:tcBorders>
              <w:bottom w:val="single" w:sz="4" w:space="0" w:color="auto"/>
            </w:tcBorders>
          </w:tcPr>
          <w:p w:rsidR="00425758" w:rsidRDefault="00425758">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rsidR="00425758" w:rsidRDefault="00425758">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rsidR="00425758">
        <w:trPr>
          <w:cantSplit/>
        </w:trPr>
        <w:tc>
          <w:tcPr>
            <w:tcW w:w="1440" w:type="dxa"/>
            <w:tcBorders>
              <w:bottom w:val="single" w:sz="4" w:space="0" w:color="auto"/>
            </w:tcBorders>
          </w:tcPr>
          <w:p w:rsidR="00425758" w:rsidRDefault="00425758">
            <w:pPr>
              <w:pStyle w:val="yTableNAm"/>
              <w:rPr>
                <w:sz w:val="20"/>
              </w:rPr>
            </w:pPr>
            <w:r>
              <w:rPr>
                <w:sz w:val="20"/>
              </w:rPr>
              <w:t>Documents no longer in possession</w:t>
            </w:r>
          </w:p>
          <w:p w:rsidR="00425758" w:rsidRDefault="00425758">
            <w:pPr>
              <w:pStyle w:val="yTableNAm"/>
              <w:rPr>
                <w:sz w:val="20"/>
              </w:rPr>
            </w:pPr>
            <w:r>
              <w:rPr>
                <w:sz w:val="20"/>
              </w:rPr>
              <w:t>(Part 2)</w:t>
            </w:r>
          </w:p>
        </w:tc>
        <w:tc>
          <w:tcPr>
            <w:tcW w:w="5640" w:type="dxa"/>
            <w:gridSpan w:val="3"/>
            <w:tcBorders>
              <w:bottom w:val="single" w:sz="4" w:space="0" w:color="auto"/>
            </w:tcBorders>
          </w:tcPr>
          <w:p w:rsidR="00425758" w:rsidRDefault="00425758">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rsidR="00425758" w:rsidRDefault="00425758">
            <w:pPr>
              <w:pStyle w:val="yTableNAm"/>
              <w:rPr>
                <w:sz w:val="20"/>
              </w:rPr>
            </w:pPr>
            <w:r>
              <w:rPr>
                <w:sz w:val="20"/>
              </w:rPr>
              <w:t>Part 2B of this list, for each document listed in Part 2A, states —</w:t>
            </w:r>
          </w:p>
          <w:p w:rsidR="00425758" w:rsidRDefault="00425758">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rsidR="00425758" w:rsidRDefault="00425758">
            <w:pPr>
              <w:pStyle w:val="yTableNAm"/>
              <w:tabs>
                <w:tab w:val="clear" w:pos="567"/>
                <w:tab w:val="left" w:pos="457"/>
              </w:tabs>
              <w:spacing w:before="80"/>
              <w:ind w:left="459" w:hanging="459"/>
              <w:rPr>
                <w:sz w:val="20"/>
              </w:rPr>
            </w:pPr>
            <w:r>
              <w:rPr>
                <w:sz w:val="20"/>
              </w:rPr>
              <w:t>•</w:t>
            </w:r>
            <w:r>
              <w:rPr>
                <w:sz w:val="20"/>
              </w:rPr>
              <w:tab/>
              <w:t>what has become of it; and</w:t>
            </w:r>
          </w:p>
          <w:p w:rsidR="00425758" w:rsidRDefault="00425758">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rsidR="00425758">
        <w:trPr>
          <w:cantSplit/>
        </w:trPr>
        <w:tc>
          <w:tcPr>
            <w:tcW w:w="1440" w:type="dxa"/>
            <w:tcBorders>
              <w:bottom w:val="single" w:sz="4" w:space="0" w:color="auto"/>
            </w:tcBorders>
          </w:tcPr>
          <w:p w:rsidR="00425758" w:rsidRDefault="00425758">
            <w:pPr>
              <w:pStyle w:val="yTableNAm"/>
              <w:rPr>
                <w:sz w:val="20"/>
              </w:rPr>
            </w:pPr>
            <w:r>
              <w:rPr>
                <w:sz w:val="20"/>
              </w:rPr>
              <w:t>Declarations</w:t>
            </w:r>
          </w:p>
        </w:tc>
        <w:tc>
          <w:tcPr>
            <w:tcW w:w="5640" w:type="dxa"/>
            <w:gridSpan w:val="3"/>
            <w:tcBorders>
              <w:bottom w:val="single" w:sz="4" w:space="0" w:color="auto"/>
            </w:tcBorders>
          </w:tcPr>
          <w:p w:rsidR="00425758" w:rsidRDefault="00425758">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rsidR="00425758" w:rsidRDefault="00425758">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rsidR="00425758">
        <w:trPr>
          <w:cantSplit/>
        </w:trPr>
        <w:tc>
          <w:tcPr>
            <w:tcW w:w="1440" w:type="dxa"/>
            <w:tcBorders>
              <w:bottom w:val="single" w:sz="4" w:space="0" w:color="auto"/>
            </w:tcBorders>
          </w:tcPr>
          <w:p w:rsidR="00425758" w:rsidRDefault="00425758">
            <w:pPr>
              <w:pStyle w:val="yTableNAm"/>
              <w:rPr>
                <w:sz w:val="20"/>
                <w:vertAlign w:val="superscript"/>
              </w:rPr>
            </w:pPr>
            <w:r>
              <w:rPr>
                <w:b/>
                <w:bCs/>
                <w:sz w:val="20"/>
              </w:rPr>
              <w:lastRenderedPageBreak/>
              <w:t>Inspection of documents</w:t>
            </w:r>
            <w:r>
              <w:rPr>
                <w:sz w:val="20"/>
                <w:vertAlign w:val="superscript"/>
              </w:rPr>
              <w:t>1</w:t>
            </w:r>
          </w:p>
        </w:tc>
        <w:tc>
          <w:tcPr>
            <w:tcW w:w="5640" w:type="dxa"/>
            <w:gridSpan w:val="3"/>
            <w:tcBorders>
              <w:bottom w:val="single" w:sz="4" w:space="0" w:color="auto"/>
            </w:tcBorders>
          </w:tcPr>
          <w:p w:rsidR="00425758" w:rsidRDefault="00425758">
            <w:pPr>
              <w:pStyle w:val="yTableNAm"/>
              <w:rPr>
                <w:sz w:val="20"/>
              </w:rPr>
            </w:pPr>
            <w:r>
              <w:rPr>
                <w:sz w:val="20"/>
              </w:rPr>
              <w:t>The documents in this list, other than those listed in Parts 1B and 2A, may be inspected at —</w:t>
            </w:r>
          </w:p>
          <w:p w:rsidR="00425758" w:rsidRDefault="00425758">
            <w:pPr>
              <w:pStyle w:val="yTableNAm"/>
              <w:rPr>
                <w:sz w:val="20"/>
              </w:rPr>
            </w:pPr>
            <w:r>
              <w:rPr>
                <w:sz w:val="20"/>
              </w:rPr>
              <w:t>[</w:t>
            </w:r>
            <w:r>
              <w:rPr>
                <w:i/>
                <w:iCs/>
                <w:sz w:val="20"/>
              </w:rPr>
              <w:t>address</w:t>
            </w:r>
            <w:r>
              <w:rPr>
                <w:sz w:val="20"/>
              </w:rPr>
              <w:t>]</w:t>
            </w:r>
          </w:p>
          <w:p w:rsidR="00425758" w:rsidRDefault="00425758">
            <w:pPr>
              <w:pStyle w:val="yTableNAm"/>
              <w:rPr>
                <w:sz w:val="20"/>
              </w:rPr>
            </w:pPr>
            <w:r>
              <w:rPr>
                <w:sz w:val="20"/>
              </w:rPr>
              <w:t>on [</w:t>
            </w:r>
            <w:r>
              <w:rPr>
                <w:i/>
                <w:iCs/>
                <w:sz w:val="20"/>
              </w:rPr>
              <w:t>date and times</w:t>
            </w:r>
            <w:r>
              <w:rPr>
                <w:sz w:val="20"/>
              </w:rPr>
              <w:t>].</w:t>
            </w:r>
          </w:p>
        </w:tc>
      </w:tr>
      <w:tr w:rsidR="00425758">
        <w:trPr>
          <w:cantSplit/>
        </w:trPr>
        <w:tc>
          <w:tcPr>
            <w:tcW w:w="1440" w:type="dxa"/>
            <w:tcBorders>
              <w:top w:val="single" w:sz="4" w:space="0" w:color="auto"/>
              <w:bottom w:val="single" w:sz="4" w:space="0" w:color="auto"/>
            </w:tcBorders>
          </w:tcPr>
          <w:p w:rsidR="00425758" w:rsidRDefault="00425758">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rsidR="00425758" w:rsidRDefault="00425758">
            <w:pPr>
              <w:pStyle w:val="yTableNAm"/>
              <w:rPr>
                <w:sz w:val="20"/>
              </w:rPr>
            </w:pPr>
            <w:r>
              <w:rPr>
                <w:sz w:val="20"/>
              </w:rPr>
              <w:t>I certify that the statements in this document are true.</w:t>
            </w:r>
          </w:p>
          <w:p w:rsidR="00425758" w:rsidRDefault="00425758">
            <w:pPr>
              <w:pStyle w:val="yTableNAm"/>
              <w:rPr>
                <w:sz w:val="20"/>
              </w:rPr>
            </w:pPr>
          </w:p>
          <w:p w:rsidR="00425758" w:rsidRDefault="00425758">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rsidR="00425758" w:rsidRDefault="00425758">
            <w:pPr>
              <w:pStyle w:val="yTableNAm"/>
              <w:rPr>
                <w:sz w:val="20"/>
              </w:rPr>
            </w:pPr>
            <w:r>
              <w:rPr>
                <w:sz w:val="20"/>
              </w:rPr>
              <w:t>Date:</w:t>
            </w:r>
          </w:p>
        </w:tc>
      </w:tr>
      <w:tr w:rsidR="00425758">
        <w:trPr>
          <w:cantSplit/>
        </w:trPr>
        <w:tc>
          <w:tcPr>
            <w:tcW w:w="1440" w:type="dxa"/>
            <w:tcBorders>
              <w:top w:val="single" w:sz="4" w:space="0" w:color="auto"/>
              <w:bottom w:val="single" w:sz="4" w:space="0" w:color="auto"/>
            </w:tcBorders>
          </w:tcPr>
          <w:p w:rsidR="00425758" w:rsidRDefault="00425758">
            <w:pPr>
              <w:pStyle w:val="yTableNAm"/>
              <w:rPr>
                <w:sz w:val="20"/>
              </w:rPr>
            </w:pPr>
            <w:r>
              <w:rPr>
                <w:sz w:val="20"/>
              </w:rPr>
              <w:t>Service details</w:t>
            </w:r>
          </w:p>
        </w:tc>
        <w:tc>
          <w:tcPr>
            <w:tcW w:w="5640" w:type="dxa"/>
            <w:gridSpan w:val="3"/>
            <w:tcBorders>
              <w:top w:val="single" w:sz="4" w:space="0" w:color="auto"/>
              <w:bottom w:val="single" w:sz="4" w:space="0" w:color="auto"/>
            </w:tcBorders>
          </w:tcPr>
          <w:p w:rsidR="00425758" w:rsidRDefault="00425758">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rsidR="00425758" w:rsidRDefault="00425758">
            <w:pPr>
              <w:pStyle w:val="yTableNAm"/>
              <w:tabs>
                <w:tab w:val="clear" w:pos="567"/>
                <w:tab w:val="left" w:pos="3457"/>
              </w:tabs>
              <w:rPr>
                <w:sz w:val="20"/>
              </w:rPr>
            </w:pPr>
            <w:r>
              <w:rPr>
                <w:sz w:val="20"/>
              </w:rPr>
              <w:t>Signed:</w:t>
            </w:r>
            <w:r>
              <w:rPr>
                <w:sz w:val="20"/>
              </w:rPr>
              <w:tab/>
              <w:t>Date:</w:t>
            </w:r>
          </w:p>
        </w:tc>
      </w:tr>
    </w:tbl>
    <w:p w:rsidR="00425758" w:rsidRDefault="00425758">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rsidR="00425758">
        <w:trPr>
          <w:cantSplit/>
        </w:trPr>
        <w:tc>
          <w:tcPr>
            <w:tcW w:w="7080" w:type="dxa"/>
            <w:gridSpan w:val="2"/>
            <w:tcBorders>
              <w:bottom w:val="nil"/>
            </w:tcBorders>
          </w:tcPr>
          <w:p w:rsidR="00425758" w:rsidRDefault="00425758">
            <w:pPr>
              <w:pStyle w:val="yTableNAm"/>
              <w:jc w:val="center"/>
              <w:rPr>
                <w:b/>
                <w:bCs/>
                <w:sz w:val="20"/>
              </w:rPr>
            </w:pPr>
            <w:r>
              <w:rPr>
                <w:b/>
                <w:bCs/>
                <w:sz w:val="20"/>
              </w:rPr>
              <w:t>List of documents — Part 1A</w:t>
            </w:r>
            <w:r>
              <w:rPr>
                <w:b/>
                <w:bCs/>
                <w:sz w:val="20"/>
                <w:vertAlign w:val="superscript"/>
              </w:rPr>
              <w:t>3</w:t>
            </w:r>
          </w:p>
          <w:p w:rsidR="00425758" w:rsidRDefault="00425758">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rsidR="00425758">
        <w:trPr>
          <w:cantSplit/>
        </w:trPr>
        <w:tc>
          <w:tcPr>
            <w:tcW w:w="720" w:type="dxa"/>
            <w:tcBorders>
              <w:top w:val="single" w:sz="4" w:space="0" w:color="auto"/>
              <w:bottom w:val="single" w:sz="4" w:space="0" w:color="auto"/>
            </w:tcBorders>
          </w:tcPr>
          <w:p w:rsidR="00425758" w:rsidRDefault="00425758">
            <w:pPr>
              <w:pStyle w:val="yTableNAm"/>
              <w:rPr>
                <w:sz w:val="20"/>
              </w:rPr>
            </w:pPr>
            <w:r>
              <w:rPr>
                <w:sz w:val="20"/>
              </w:rPr>
              <w:t>No.</w:t>
            </w:r>
          </w:p>
        </w:tc>
        <w:tc>
          <w:tcPr>
            <w:tcW w:w="6360" w:type="dxa"/>
            <w:tcBorders>
              <w:top w:val="single" w:sz="4" w:space="0" w:color="auto"/>
              <w:bottom w:val="single" w:sz="4" w:space="0" w:color="auto"/>
            </w:tcBorders>
          </w:tcPr>
          <w:p w:rsidR="00425758" w:rsidRDefault="00425758">
            <w:pPr>
              <w:pStyle w:val="yTableNAm"/>
              <w:rPr>
                <w:sz w:val="20"/>
              </w:rPr>
            </w:pPr>
            <w:r>
              <w:rPr>
                <w:sz w:val="20"/>
              </w:rPr>
              <w:t>Description of document</w:t>
            </w:r>
          </w:p>
        </w:tc>
      </w:tr>
      <w:tr w:rsidR="00425758">
        <w:trPr>
          <w:cantSplit/>
        </w:trPr>
        <w:tc>
          <w:tcPr>
            <w:tcW w:w="720" w:type="dxa"/>
            <w:tcBorders>
              <w:top w:val="single" w:sz="4" w:space="0" w:color="auto"/>
              <w:bottom w:val="single" w:sz="4" w:space="0" w:color="auto"/>
            </w:tcBorders>
          </w:tcPr>
          <w:p w:rsidR="00425758" w:rsidRDefault="00425758">
            <w:pPr>
              <w:pStyle w:val="yTableNAm"/>
              <w:rPr>
                <w:sz w:val="20"/>
              </w:rPr>
            </w:pPr>
            <w:r>
              <w:rPr>
                <w:sz w:val="20"/>
              </w:rPr>
              <w:t>1.</w:t>
            </w:r>
          </w:p>
        </w:tc>
        <w:tc>
          <w:tcPr>
            <w:tcW w:w="6360" w:type="dxa"/>
            <w:tcBorders>
              <w:top w:val="single" w:sz="4" w:space="0" w:color="auto"/>
              <w:bottom w:val="single" w:sz="4" w:space="0" w:color="auto"/>
            </w:tcBorders>
          </w:tcPr>
          <w:p w:rsidR="00425758" w:rsidRDefault="00425758">
            <w:pPr>
              <w:pStyle w:val="yTableNAm"/>
              <w:rPr>
                <w:sz w:val="20"/>
              </w:rPr>
            </w:pPr>
          </w:p>
        </w:tc>
      </w:tr>
    </w:tbl>
    <w:p w:rsidR="00425758" w:rsidRDefault="00425758">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rsidR="00425758">
        <w:trPr>
          <w:cantSplit/>
        </w:trPr>
        <w:tc>
          <w:tcPr>
            <w:tcW w:w="7080" w:type="dxa"/>
            <w:gridSpan w:val="2"/>
            <w:tcBorders>
              <w:bottom w:val="single" w:sz="4" w:space="0" w:color="auto"/>
            </w:tcBorders>
          </w:tcPr>
          <w:p w:rsidR="00425758" w:rsidRDefault="00425758">
            <w:pPr>
              <w:pStyle w:val="yTableNAm"/>
              <w:jc w:val="center"/>
              <w:rPr>
                <w:b/>
                <w:bCs/>
                <w:sz w:val="20"/>
              </w:rPr>
            </w:pPr>
            <w:r>
              <w:rPr>
                <w:b/>
                <w:bCs/>
                <w:sz w:val="20"/>
              </w:rPr>
              <w:t>List of documents — Part 1B</w:t>
            </w:r>
            <w:r>
              <w:rPr>
                <w:b/>
                <w:bCs/>
                <w:sz w:val="20"/>
                <w:vertAlign w:val="superscript"/>
              </w:rPr>
              <w:t>3</w:t>
            </w:r>
          </w:p>
          <w:p w:rsidR="00425758" w:rsidRDefault="00425758">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rsidR="00425758">
        <w:trPr>
          <w:cantSplit/>
        </w:trPr>
        <w:tc>
          <w:tcPr>
            <w:tcW w:w="840" w:type="dxa"/>
            <w:tcBorders>
              <w:top w:val="single" w:sz="4" w:space="0" w:color="auto"/>
              <w:bottom w:val="single" w:sz="4" w:space="0" w:color="auto"/>
            </w:tcBorders>
          </w:tcPr>
          <w:p w:rsidR="00425758" w:rsidRDefault="00425758">
            <w:pPr>
              <w:pStyle w:val="yTableNAm"/>
              <w:rPr>
                <w:sz w:val="20"/>
              </w:rPr>
            </w:pPr>
            <w:r>
              <w:rPr>
                <w:sz w:val="20"/>
              </w:rPr>
              <w:t>No. in Part 1A</w:t>
            </w:r>
          </w:p>
        </w:tc>
        <w:tc>
          <w:tcPr>
            <w:tcW w:w="6240" w:type="dxa"/>
            <w:tcBorders>
              <w:top w:val="single" w:sz="4" w:space="0" w:color="auto"/>
              <w:bottom w:val="single" w:sz="4" w:space="0" w:color="auto"/>
            </w:tcBorders>
          </w:tcPr>
          <w:p w:rsidR="00425758" w:rsidRDefault="00425758">
            <w:pPr>
              <w:pStyle w:val="yTableNAm"/>
              <w:rPr>
                <w:sz w:val="20"/>
              </w:rPr>
            </w:pPr>
            <w:r>
              <w:rPr>
                <w:sz w:val="20"/>
              </w:rPr>
              <w:t>Grounds for objecting to producing the document</w:t>
            </w:r>
          </w:p>
        </w:tc>
      </w:tr>
      <w:tr w:rsidR="00425758">
        <w:trPr>
          <w:cantSplit/>
        </w:trPr>
        <w:tc>
          <w:tcPr>
            <w:tcW w:w="840" w:type="dxa"/>
            <w:tcBorders>
              <w:top w:val="single" w:sz="4" w:space="0" w:color="auto"/>
              <w:bottom w:val="single" w:sz="4" w:space="0" w:color="auto"/>
            </w:tcBorders>
          </w:tcPr>
          <w:p w:rsidR="00425758" w:rsidRDefault="00425758">
            <w:pPr>
              <w:pStyle w:val="yTableNAm"/>
              <w:rPr>
                <w:sz w:val="20"/>
              </w:rPr>
            </w:pPr>
          </w:p>
        </w:tc>
        <w:tc>
          <w:tcPr>
            <w:tcW w:w="6240" w:type="dxa"/>
            <w:tcBorders>
              <w:top w:val="single" w:sz="4" w:space="0" w:color="auto"/>
              <w:bottom w:val="single" w:sz="4" w:space="0" w:color="auto"/>
            </w:tcBorders>
          </w:tcPr>
          <w:p w:rsidR="00425758" w:rsidRDefault="00425758">
            <w:pPr>
              <w:pStyle w:val="yTableNAm"/>
              <w:rPr>
                <w:sz w:val="20"/>
              </w:rPr>
            </w:pPr>
          </w:p>
        </w:tc>
      </w:tr>
    </w:tbl>
    <w:p w:rsidR="00425758" w:rsidRDefault="00425758">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rsidR="00425758">
        <w:trPr>
          <w:cantSplit/>
        </w:trPr>
        <w:tc>
          <w:tcPr>
            <w:tcW w:w="7080" w:type="dxa"/>
            <w:gridSpan w:val="2"/>
            <w:tcBorders>
              <w:bottom w:val="nil"/>
            </w:tcBorders>
          </w:tcPr>
          <w:p w:rsidR="00425758" w:rsidRDefault="00425758">
            <w:pPr>
              <w:pStyle w:val="yTableNAm"/>
              <w:jc w:val="center"/>
              <w:rPr>
                <w:b/>
                <w:bCs/>
                <w:sz w:val="20"/>
              </w:rPr>
            </w:pPr>
            <w:r>
              <w:rPr>
                <w:b/>
                <w:bCs/>
                <w:sz w:val="20"/>
              </w:rPr>
              <w:t>List of documents — Part 2A</w:t>
            </w:r>
            <w:r>
              <w:rPr>
                <w:b/>
                <w:bCs/>
                <w:sz w:val="20"/>
                <w:vertAlign w:val="superscript"/>
              </w:rPr>
              <w:t>3</w:t>
            </w:r>
          </w:p>
          <w:p w:rsidR="00425758" w:rsidRDefault="00425758">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rsidR="00425758">
        <w:trPr>
          <w:cantSplit/>
        </w:trPr>
        <w:tc>
          <w:tcPr>
            <w:tcW w:w="720" w:type="dxa"/>
            <w:tcBorders>
              <w:top w:val="single" w:sz="4" w:space="0" w:color="auto"/>
              <w:bottom w:val="single" w:sz="4" w:space="0" w:color="auto"/>
            </w:tcBorders>
          </w:tcPr>
          <w:p w:rsidR="00425758" w:rsidRDefault="00425758">
            <w:pPr>
              <w:pStyle w:val="yTableNAm"/>
              <w:rPr>
                <w:sz w:val="20"/>
              </w:rPr>
            </w:pPr>
            <w:r>
              <w:rPr>
                <w:sz w:val="20"/>
              </w:rPr>
              <w:t>No.</w:t>
            </w:r>
          </w:p>
        </w:tc>
        <w:tc>
          <w:tcPr>
            <w:tcW w:w="6360" w:type="dxa"/>
            <w:tcBorders>
              <w:top w:val="single" w:sz="4" w:space="0" w:color="auto"/>
              <w:bottom w:val="single" w:sz="4" w:space="0" w:color="auto"/>
            </w:tcBorders>
          </w:tcPr>
          <w:p w:rsidR="00425758" w:rsidRDefault="00425758">
            <w:pPr>
              <w:pStyle w:val="yTableNAm"/>
              <w:rPr>
                <w:sz w:val="20"/>
              </w:rPr>
            </w:pPr>
            <w:r>
              <w:rPr>
                <w:sz w:val="20"/>
              </w:rPr>
              <w:t>Description of document</w:t>
            </w:r>
          </w:p>
        </w:tc>
      </w:tr>
      <w:tr w:rsidR="00425758">
        <w:trPr>
          <w:cantSplit/>
        </w:trPr>
        <w:tc>
          <w:tcPr>
            <w:tcW w:w="720" w:type="dxa"/>
            <w:tcBorders>
              <w:top w:val="single" w:sz="4" w:space="0" w:color="auto"/>
              <w:bottom w:val="single" w:sz="4" w:space="0" w:color="auto"/>
            </w:tcBorders>
          </w:tcPr>
          <w:p w:rsidR="00425758" w:rsidRDefault="00425758">
            <w:pPr>
              <w:pStyle w:val="yTableNAm"/>
              <w:rPr>
                <w:sz w:val="20"/>
              </w:rPr>
            </w:pPr>
            <w:r>
              <w:rPr>
                <w:sz w:val="20"/>
              </w:rPr>
              <w:t>1.</w:t>
            </w:r>
          </w:p>
        </w:tc>
        <w:tc>
          <w:tcPr>
            <w:tcW w:w="6360" w:type="dxa"/>
            <w:tcBorders>
              <w:top w:val="single" w:sz="4" w:space="0" w:color="auto"/>
              <w:bottom w:val="single" w:sz="4" w:space="0" w:color="auto"/>
            </w:tcBorders>
          </w:tcPr>
          <w:p w:rsidR="00425758" w:rsidRDefault="00425758">
            <w:pPr>
              <w:pStyle w:val="yTableNAm"/>
              <w:rPr>
                <w:sz w:val="20"/>
              </w:rPr>
            </w:pPr>
          </w:p>
        </w:tc>
      </w:tr>
    </w:tbl>
    <w:p w:rsidR="00425758" w:rsidRDefault="00425758">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rsidR="00425758">
        <w:trPr>
          <w:cantSplit/>
        </w:trPr>
        <w:tc>
          <w:tcPr>
            <w:tcW w:w="7080" w:type="dxa"/>
            <w:gridSpan w:val="4"/>
            <w:tcBorders>
              <w:bottom w:val="single" w:sz="4" w:space="0" w:color="auto"/>
            </w:tcBorders>
          </w:tcPr>
          <w:p w:rsidR="00425758" w:rsidRDefault="00425758">
            <w:pPr>
              <w:pStyle w:val="yTableNAm"/>
              <w:jc w:val="center"/>
              <w:rPr>
                <w:b/>
                <w:bCs/>
                <w:sz w:val="20"/>
              </w:rPr>
            </w:pPr>
            <w:r>
              <w:rPr>
                <w:b/>
                <w:bCs/>
                <w:sz w:val="20"/>
              </w:rPr>
              <w:lastRenderedPageBreak/>
              <w:t>List of documents — Part 2B</w:t>
            </w:r>
            <w:r>
              <w:rPr>
                <w:b/>
                <w:bCs/>
                <w:sz w:val="20"/>
                <w:vertAlign w:val="superscript"/>
              </w:rPr>
              <w:t>3</w:t>
            </w:r>
          </w:p>
          <w:p w:rsidR="00425758" w:rsidRDefault="00425758">
            <w:pPr>
              <w:pStyle w:val="yTableNAm"/>
              <w:rPr>
                <w:sz w:val="20"/>
              </w:rPr>
            </w:pPr>
            <w:r>
              <w:rPr>
                <w:sz w:val="20"/>
              </w:rPr>
              <w:t>For each document listed in Part 2A, the following states —</w:t>
            </w:r>
          </w:p>
          <w:p w:rsidR="00425758" w:rsidRDefault="00425758">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rsidR="00425758" w:rsidRDefault="00425758">
            <w:pPr>
              <w:pStyle w:val="yTableNAm"/>
              <w:tabs>
                <w:tab w:val="clear" w:pos="567"/>
                <w:tab w:val="left" w:pos="337"/>
              </w:tabs>
              <w:ind w:left="337" w:hanging="337"/>
              <w:rPr>
                <w:sz w:val="20"/>
              </w:rPr>
            </w:pPr>
            <w:r>
              <w:rPr>
                <w:sz w:val="20"/>
              </w:rPr>
              <w:t>•</w:t>
            </w:r>
            <w:r>
              <w:rPr>
                <w:sz w:val="20"/>
              </w:rPr>
              <w:tab/>
              <w:t>what has become of it; and</w:t>
            </w:r>
          </w:p>
          <w:p w:rsidR="00425758" w:rsidRDefault="00425758">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rsidR="00425758">
        <w:trPr>
          <w:cantSplit/>
        </w:trPr>
        <w:tc>
          <w:tcPr>
            <w:tcW w:w="840" w:type="dxa"/>
            <w:tcBorders>
              <w:top w:val="single" w:sz="4" w:space="0" w:color="auto"/>
              <w:bottom w:val="single" w:sz="4" w:space="0" w:color="auto"/>
            </w:tcBorders>
          </w:tcPr>
          <w:p w:rsidR="00425758" w:rsidRDefault="00425758">
            <w:pPr>
              <w:pStyle w:val="yTableNAm"/>
              <w:rPr>
                <w:sz w:val="20"/>
              </w:rPr>
            </w:pPr>
            <w:r>
              <w:rPr>
                <w:sz w:val="20"/>
              </w:rPr>
              <w:t>No. in Part 2A</w:t>
            </w:r>
          </w:p>
        </w:tc>
        <w:tc>
          <w:tcPr>
            <w:tcW w:w="1145" w:type="dxa"/>
            <w:tcBorders>
              <w:top w:val="single" w:sz="4" w:space="0" w:color="auto"/>
              <w:bottom w:val="single" w:sz="4" w:space="0" w:color="auto"/>
            </w:tcBorders>
          </w:tcPr>
          <w:p w:rsidR="00425758" w:rsidRDefault="00425758">
            <w:pPr>
              <w:pStyle w:val="yTableNAm"/>
              <w:rPr>
                <w:sz w:val="20"/>
              </w:rPr>
            </w:pPr>
            <w:r>
              <w:rPr>
                <w:sz w:val="20"/>
              </w:rPr>
              <w:t>Date</w:t>
            </w:r>
          </w:p>
        </w:tc>
        <w:tc>
          <w:tcPr>
            <w:tcW w:w="1701" w:type="dxa"/>
            <w:tcBorders>
              <w:top w:val="single" w:sz="4" w:space="0" w:color="auto"/>
              <w:bottom w:val="single" w:sz="4" w:space="0" w:color="auto"/>
            </w:tcBorders>
          </w:tcPr>
          <w:p w:rsidR="00425758" w:rsidRDefault="00425758">
            <w:pPr>
              <w:pStyle w:val="yTableNAm"/>
              <w:rPr>
                <w:sz w:val="20"/>
              </w:rPr>
            </w:pPr>
            <w:r>
              <w:rPr>
                <w:sz w:val="20"/>
              </w:rPr>
              <w:t>What has become of it</w:t>
            </w:r>
          </w:p>
        </w:tc>
        <w:tc>
          <w:tcPr>
            <w:tcW w:w="3394" w:type="dxa"/>
            <w:tcBorders>
              <w:top w:val="single" w:sz="4" w:space="0" w:color="auto"/>
              <w:bottom w:val="single" w:sz="4" w:space="0" w:color="auto"/>
            </w:tcBorders>
          </w:tcPr>
          <w:p w:rsidR="00425758" w:rsidRDefault="00425758">
            <w:pPr>
              <w:pStyle w:val="yTableNAm"/>
              <w:rPr>
                <w:sz w:val="20"/>
              </w:rPr>
            </w:pPr>
            <w:r>
              <w:rPr>
                <w:sz w:val="20"/>
              </w:rPr>
              <w:t>Who currently has possession or custody of or power over it</w:t>
            </w:r>
          </w:p>
        </w:tc>
      </w:tr>
      <w:tr w:rsidR="00425758">
        <w:trPr>
          <w:cantSplit/>
        </w:trPr>
        <w:tc>
          <w:tcPr>
            <w:tcW w:w="840" w:type="dxa"/>
            <w:tcBorders>
              <w:top w:val="single" w:sz="4" w:space="0" w:color="auto"/>
              <w:bottom w:val="single" w:sz="4" w:space="0" w:color="auto"/>
            </w:tcBorders>
          </w:tcPr>
          <w:p w:rsidR="00425758" w:rsidRDefault="00425758">
            <w:pPr>
              <w:pStyle w:val="yTableNAm"/>
              <w:rPr>
                <w:sz w:val="20"/>
              </w:rPr>
            </w:pPr>
            <w:r>
              <w:rPr>
                <w:sz w:val="20"/>
              </w:rPr>
              <w:t>1.</w:t>
            </w:r>
          </w:p>
        </w:tc>
        <w:tc>
          <w:tcPr>
            <w:tcW w:w="1145" w:type="dxa"/>
            <w:tcBorders>
              <w:top w:val="single" w:sz="4" w:space="0" w:color="auto"/>
              <w:bottom w:val="single" w:sz="4" w:space="0" w:color="auto"/>
            </w:tcBorders>
          </w:tcPr>
          <w:p w:rsidR="00425758" w:rsidRDefault="00425758">
            <w:pPr>
              <w:pStyle w:val="yTableNAm"/>
              <w:rPr>
                <w:sz w:val="20"/>
              </w:rPr>
            </w:pPr>
          </w:p>
        </w:tc>
        <w:tc>
          <w:tcPr>
            <w:tcW w:w="1701" w:type="dxa"/>
            <w:tcBorders>
              <w:top w:val="single" w:sz="4" w:space="0" w:color="auto"/>
              <w:bottom w:val="single" w:sz="4" w:space="0" w:color="auto"/>
            </w:tcBorders>
          </w:tcPr>
          <w:p w:rsidR="00425758" w:rsidRDefault="00425758">
            <w:pPr>
              <w:pStyle w:val="yTableNAm"/>
              <w:rPr>
                <w:sz w:val="20"/>
              </w:rPr>
            </w:pPr>
          </w:p>
        </w:tc>
        <w:tc>
          <w:tcPr>
            <w:tcW w:w="3394" w:type="dxa"/>
            <w:tcBorders>
              <w:top w:val="single" w:sz="4" w:space="0" w:color="auto"/>
              <w:bottom w:val="single" w:sz="4" w:space="0" w:color="auto"/>
            </w:tcBorders>
          </w:tcPr>
          <w:p w:rsidR="00425758" w:rsidRDefault="00425758">
            <w:pPr>
              <w:pStyle w:val="yTableNAm"/>
              <w:rPr>
                <w:sz w:val="20"/>
              </w:rPr>
            </w:pPr>
          </w:p>
        </w:tc>
      </w:tr>
    </w:tbl>
    <w:p w:rsidR="00425758" w:rsidRDefault="00425758">
      <w:pPr>
        <w:pStyle w:val="yMiscellaneousBody"/>
        <w:rPr>
          <w:sz w:val="20"/>
        </w:rPr>
      </w:pPr>
      <w:r>
        <w:rPr>
          <w:sz w:val="20"/>
        </w:rPr>
        <w:t>Notes to Form No. 17 —</w:t>
      </w:r>
    </w:p>
    <w:p w:rsidR="00425758" w:rsidRDefault="00425758">
      <w:pPr>
        <w:pStyle w:val="yMiscellaneousBody"/>
        <w:spacing w:before="0"/>
        <w:ind w:left="480" w:hanging="480"/>
        <w:rPr>
          <w:sz w:val="20"/>
        </w:rPr>
      </w:pPr>
      <w:r>
        <w:rPr>
          <w:sz w:val="20"/>
        </w:rPr>
        <w:t>1.</w:t>
      </w:r>
      <w:r>
        <w:rPr>
          <w:sz w:val="20"/>
        </w:rPr>
        <w:tab/>
        <w:t>This notice must comply with O. 26 r. 8.</w:t>
      </w:r>
    </w:p>
    <w:p w:rsidR="00425758" w:rsidRDefault="00425758">
      <w:pPr>
        <w:pStyle w:val="yMiscellaneousBody"/>
        <w:spacing w:before="0"/>
        <w:ind w:left="480" w:hanging="480"/>
        <w:rPr>
          <w:sz w:val="20"/>
        </w:rPr>
      </w:pPr>
      <w:r>
        <w:rPr>
          <w:sz w:val="20"/>
        </w:rPr>
        <w:t>2.</w:t>
      </w:r>
      <w:r>
        <w:rPr>
          <w:sz w:val="20"/>
        </w:rPr>
        <w:tab/>
        <w:t>Do not complete this if this list is being verified by an affidavit.</w:t>
      </w:r>
    </w:p>
    <w:p w:rsidR="00425758" w:rsidRDefault="00425758">
      <w:pPr>
        <w:pStyle w:val="yMiscellaneousBody"/>
        <w:spacing w:before="0"/>
        <w:ind w:left="480" w:hanging="480"/>
        <w:rPr>
          <w:sz w:val="20"/>
        </w:rPr>
      </w:pPr>
      <w:r>
        <w:rPr>
          <w:sz w:val="20"/>
        </w:rPr>
        <w:tab/>
        <w:t>This certificate may be signed by a person listed in O. 26 r. 4(4) or the practitioner of the party giving discovery.</w:t>
      </w:r>
    </w:p>
    <w:p w:rsidR="00425758" w:rsidRDefault="00425758">
      <w:pPr>
        <w:pStyle w:val="yMiscellaneousBody"/>
        <w:spacing w:before="0"/>
        <w:ind w:left="480" w:hanging="480"/>
        <w:rPr>
          <w:sz w:val="20"/>
        </w:rPr>
      </w:pPr>
      <w:r>
        <w:rPr>
          <w:sz w:val="20"/>
        </w:rPr>
        <w:t>3.</w:t>
      </w:r>
      <w:r>
        <w:rPr>
          <w:sz w:val="20"/>
        </w:rPr>
        <w:tab/>
        <w:t>This Part must begin on a new sheet of paper and be attached to the main document.</w:t>
      </w:r>
    </w:p>
    <w:p w:rsidR="00425758" w:rsidRDefault="00425758">
      <w:pPr>
        <w:pStyle w:val="yFootnotesection"/>
        <w:rPr>
          <w:sz w:val="18"/>
        </w:rPr>
      </w:pPr>
      <w:r>
        <w:tab/>
        <w:t>[Form 17 inserted: Gazette 28 Jul 2010 p. 3472-5.]</w:t>
      </w:r>
    </w:p>
    <w:p w:rsidR="00425758" w:rsidRDefault="00425758">
      <w:pPr>
        <w:pStyle w:val="yHeading5"/>
        <w:keepNext w:val="0"/>
        <w:keepLines w:val="0"/>
        <w:pageBreakBefore/>
        <w:spacing w:after="120"/>
      </w:pPr>
      <w:bookmarkStart w:id="1354" w:name="_Toc75863919"/>
      <w:r>
        <w:rPr>
          <w:rStyle w:val="CharSClsNo"/>
        </w:rPr>
        <w:lastRenderedPageBreak/>
        <w:t>18</w:t>
      </w:r>
      <w:r>
        <w:t>.</w:t>
      </w:r>
      <w:r>
        <w:rPr>
          <w:b w:val="0"/>
        </w:rPr>
        <w:tab/>
      </w:r>
      <w:r>
        <w:t>Affidavit verifying list of documents (O. 26 r. 4(3))</w:t>
      </w:r>
      <w:bookmarkEnd w:id="1354"/>
    </w:p>
    <w:p w:rsidR="00425758" w:rsidRDefault="00425758">
      <w:pPr>
        <w:pStyle w:val="yMiscellaneousBody"/>
        <w:spacing w:before="120"/>
        <w:jc w:val="center"/>
        <w:rPr>
          <w:sz w:val="20"/>
        </w:rPr>
      </w:pPr>
      <w:r>
        <w:rPr>
          <w:sz w:val="20"/>
        </w:rPr>
        <w:t>(</w:t>
      </w:r>
      <w:r>
        <w:rPr>
          <w:i/>
          <w:sz w:val="20"/>
        </w:rPr>
        <w:t>Heading as in cause or matter</w:t>
      </w:r>
      <w:r>
        <w:rPr>
          <w:sz w:val="20"/>
        </w:rPr>
        <w:t>)</w:t>
      </w:r>
    </w:p>
    <w:p w:rsidR="00425758" w:rsidRDefault="00425758">
      <w:pPr>
        <w:pStyle w:val="yMiscellaneousBody"/>
        <w:spacing w:before="120"/>
        <w:rPr>
          <w:sz w:val="20"/>
        </w:rPr>
      </w:pPr>
      <w:r>
        <w:rPr>
          <w:sz w:val="20"/>
        </w:rPr>
        <w:t>I the abovenamed plaintiff (or defendant) A.B., make oath and say as follows: —</w:t>
      </w:r>
    </w:p>
    <w:p w:rsidR="00425758" w:rsidRDefault="00425758">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rsidR="00425758" w:rsidRDefault="00425758">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rsidR="00425758" w:rsidRDefault="00425758">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rsidR="00425758" w:rsidRDefault="00425758">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rsidR="00425758" w:rsidRDefault="00425758">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rsidR="00425758" w:rsidRDefault="00425758">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rsidR="00425758" w:rsidRDefault="00425758">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rsidR="00425758" w:rsidRDefault="00425758">
      <w:pPr>
        <w:pStyle w:val="yMiscellaneousBody"/>
        <w:spacing w:before="120"/>
        <w:rPr>
          <w:sz w:val="20"/>
        </w:rPr>
      </w:pPr>
      <w:r>
        <w:rPr>
          <w:sz w:val="20"/>
        </w:rPr>
        <w:t>Sworn, etc.</w:t>
      </w:r>
    </w:p>
    <w:p w:rsidR="00425758" w:rsidRDefault="00425758">
      <w:pPr>
        <w:pStyle w:val="yMiscellaneousBody"/>
        <w:spacing w:before="120"/>
        <w:rPr>
          <w:sz w:val="20"/>
        </w:rPr>
      </w:pPr>
      <w:r>
        <w:rPr>
          <w:sz w:val="20"/>
        </w:rPr>
        <w:t>Filed on behalf of the (plaintiff) (</w:t>
      </w:r>
      <w:r>
        <w:rPr>
          <w:i/>
          <w:sz w:val="20"/>
        </w:rPr>
        <w:t>or</w:t>
      </w:r>
      <w:r>
        <w:rPr>
          <w:sz w:val="20"/>
        </w:rPr>
        <w:t xml:space="preserve"> defendant).</w:t>
      </w:r>
    </w:p>
    <w:p w:rsidR="00425758" w:rsidRDefault="00425758">
      <w:pPr>
        <w:pStyle w:val="yFootnotesection"/>
        <w:rPr>
          <w:sz w:val="18"/>
        </w:rPr>
      </w:pPr>
      <w:r>
        <w:tab/>
        <w:t>[Form 18 amended: Gazette 28 Jul 2010 p. 3475-6; 28 Jun 2011 p. 2557.]</w:t>
      </w:r>
    </w:p>
    <w:p w:rsidR="00425758" w:rsidRDefault="00425758">
      <w:pPr>
        <w:pStyle w:val="yEdnotedivision"/>
        <w:spacing w:after="240"/>
        <w:outlineLvl w:val="9"/>
      </w:pPr>
      <w:r>
        <w:t>[Form 18A deleted: Gazette 28 Jul 2010 p. 3468.]</w:t>
      </w:r>
    </w:p>
    <w:p w:rsidR="00425758" w:rsidRDefault="00425758">
      <w:pPr>
        <w:pStyle w:val="yEdnotedivision"/>
        <w:spacing w:after="240"/>
        <w:outlineLvl w:val="9"/>
      </w:pPr>
      <w:r>
        <w:t>[Forms 19 and 20 deleted: Gazette 16 Aug 2017 p. 4421.]</w:t>
      </w:r>
    </w:p>
    <w:p w:rsidR="00425758" w:rsidRDefault="00425758">
      <w:pPr>
        <w:pStyle w:val="yHeading5"/>
      </w:pPr>
      <w:bookmarkStart w:id="1355" w:name="_Toc75863920"/>
      <w:r>
        <w:rPr>
          <w:rStyle w:val="CharSClsNo"/>
        </w:rPr>
        <w:lastRenderedPageBreak/>
        <w:t>21</w:t>
      </w:r>
      <w:r>
        <w:t>.</w:t>
      </w:r>
      <w:r>
        <w:tab/>
        <w:t>Subpoena to give oral evidence (O. 36B r. 3(1))</w:t>
      </w:r>
      <w:bookmarkEnd w:id="1355"/>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rsidR="00425758">
        <w:trPr>
          <w:cantSplit/>
          <w:trHeight w:val="194"/>
        </w:trPr>
        <w:tc>
          <w:tcPr>
            <w:tcW w:w="3544" w:type="dxa"/>
            <w:gridSpan w:val="2"/>
            <w:vMerge w:val="restart"/>
          </w:tcPr>
          <w:p w:rsidR="00425758" w:rsidRDefault="00425758">
            <w:pPr>
              <w:pStyle w:val="yTableNAm"/>
              <w:keepNext/>
              <w:spacing w:before="0"/>
              <w:rPr>
                <w:sz w:val="20"/>
              </w:rPr>
            </w:pPr>
            <w:r>
              <w:rPr>
                <w:sz w:val="20"/>
              </w:rPr>
              <w:t>Supreme Court of Western Australia</w:t>
            </w:r>
          </w:p>
          <w:p w:rsidR="00425758" w:rsidRDefault="00425758">
            <w:pPr>
              <w:pStyle w:val="yTableNAm"/>
              <w:keepNext/>
              <w:spacing w:before="0"/>
              <w:rPr>
                <w:sz w:val="20"/>
              </w:rPr>
            </w:pPr>
            <w:r>
              <w:rPr>
                <w:sz w:val="20"/>
              </w:rPr>
              <w:t>*General Division/Court of Appeal</w:t>
            </w:r>
          </w:p>
        </w:tc>
        <w:tc>
          <w:tcPr>
            <w:tcW w:w="3544" w:type="dxa"/>
            <w:gridSpan w:val="2"/>
          </w:tcPr>
          <w:p w:rsidR="00425758" w:rsidRDefault="00425758">
            <w:pPr>
              <w:pStyle w:val="yTableNAm"/>
              <w:keepNext/>
              <w:spacing w:before="0"/>
              <w:rPr>
                <w:sz w:val="20"/>
              </w:rPr>
            </w:pPr>
            <w:r>
              <w:rPr>
                <w:sz w:val="20"/>
              </w:rPr>
              <w:t>No.:</w:t>
            </w:r>
          </w:p>
        </w:tc>
      </w:tr>
      <w:tr w:rsidR="00425758">
        <w:trPr>
          <w:cantSplit/>
          <w:trHeight w:val="194"/>
        </w:trPr>
        <w:tc>
          <w:tcPr>
            <w:tcW w:w="3544" w:type="dxa"/>
            <w:gridSpan w:val="2"/>
            <w:vMerge/>
          </w:tcPr>
          <w:p w:rsidR="00425758" w:rsidRDefault="00425758">
            <w:pPr>
              <w:pStyle w:val="yTableNAm"/>
              <w:keepNext/>
              <w:spacing w:before="0"/>
              <w:rPr>
                <w:sz w:val="20"/>
              </w:rPr>
            </w:pPr>
          </w:p>
        </w:tc>
        <w:tc>
          <w:tcPr>
            <w:tcW w:w="3544" w:type="dxa"/>
            <w:gridSpan w:val="2"/>
          </w:tcPr>
          <w:p w:rsidR="00425758" w:rsidRDefault="00425758">
            <w:pPr>
              <w:pStyle w:val="yTableNAm"/>
              <w:keepNext/>
              <w:spacing w:before="0"/>
              <w:rPr>
                <w:b/>
                <w:sz w:val="20"/>
              </w:rPr>
            </w:pPr>
            <w:r>
              <w:rPr>
                <w:b/>
                <w:sz w:val="20"/>
              </w:rPr>
              <w:t>Subpoena to give oral evidence</w:t>
            </w:r>
          </w:p>
        </w:tc>
      </w:tr>
      <w:tr w:rsidR="00425758">
        <w:trPr>
          <w:cantSplit/>
        </w:trPr>
        <w:tc>
          <w:tcPr>
            <w:tcW w:w="1418" w:type="dxa"/>
          </w:tcPr>
          <w:p w:rsidR="00425758" w:rsidRDefault="00425758">
            <w:pPr>
              <w:pStyle w:val="yTableNAm"/>
              <w:keepNext/>
              <w:spacing w:before="0"/>
              <w:rPr>
                <w:sz w:val="20"/>
                <w:vertAlign w:val="superscript"/>
              </w:rPr>
            </w:pPr>
            <w:r>
              <w:rPr>
                <w:sz w:val="20"/>
              </w:rPr>
              <w:t>Parties</w:t>
            </w:r>
            <w:r>
              <w:rPr>
                <w:sz w:val="20"/>
                <w:vertAlign w:val="superscript"/>
              </w:rPr>
              <w:t>1</w:t>
            </w:r>
          </w:p>
        </w:tc>
        <w:tc>
          <w:tcPr>
            <w:tcW w:w="5670" w:type="dxa"/>
            <w:gridSpan w:val="3"/>
          </w:tcPr>
          <w:p w:rsidR="00425758" w:rsidRDefault="00425758">
            <w:pPr>
              <w:pStyle w:val="yTableNAm"/>
              <w:keepNext/>
              <w:tabs>
                <w:tab w:val="clear" w:pos="567"/>
                <w:tab w:val="left" w:pos="2897"/>
              </w:tabs>
              <w:spacing w:before="0"/>
              <w:rPr>
                <w:sz w:val="20"/>
              </w:rPr>
            </w:pPr>
            <w:r>
              <w:rPr>
                <w:sz w:val="20"/>
              </w:rPr>
              <w:tab/>
              <w:t>Plaintiff</w:t>
            </w:r>
          </w:p>
          <w:p w:rsidR="00425758" w:rsidRDefault="00425758">
            <w:pPr>
              <w:pStyle w:val="yTableNAm"/>
              <w:keepNext/>
              <w:tabs>
                <w:tab w:val="clear" w:pos="567"/>
                <w:tab w:val="left" w:pos="2897"/>
              </w:tabs>
              <w:spacing w:before="0"/>
              <w:rPr>
                <w:sz w:val="20"/>
              </w:rPr>
            </w:pPr>
            <w:r>
              <w:rPr>
                <w:sz w:val="20"/>
              </w:rPr>
              <w:tab/>
              <w:t>Defendant</w:t>
            </w:r>
          </w:p>
        </w:tc>
      </w:tr>
      <w:tr w:rsidR="00425758">
        <w:trPr>
          <w:cantSplit/>
        </w:trPr>
        <w:tc>
          <w:tcPr>
            <w:tcW w:w="1418" w:type="dxa"/>
          </w:tcPr>
          <w:p w:rsidR="00425758" w:rsidRDefault="00425758">
            <w:pPr>
              <w:pStyle w:val="yTableNAm"/>
              <w:keepNext/>
              <w:spacing w:before="0"/>
              <w:rPr>
                <w:sz w:val="20"/>
              </w:rPr>
            </w:pPr>
            <w:r>
              <w:rPr>
                <w:sz w:val="20"/>
              </w:rPr>
              <w:t>To</w:t>
            </w:r>
          </w:p>
        </w:tc>
        <w:tc>
          <w:tcPr>
            <w:tcW w:w="5670" w:type="dxa"/>
            <w:gridSpan w:val="3"/>
          </w:tcPr>
          <w:p w:rsidR="00425758" w:rsidRDefault="00425758">
            <w:pPr>
              <w:pStyle w:val="yTableNAm"/>
              <w:keepNext/>
              <w:spacing w:before="0"/>
              <w:rPr>
                <w:sz w:val="20"/>
              </w:rPr>
            </w:pPr>
            <w:r>
              <w:rPr>
                <w:sz w:val="20"/>
              </w:rPr>
              <w:t>[</w:t>
            </w:r>
            <w:r>
              <w:rPr>
                <w:i/>
                <w:sz w:val="20"/>
              </w:rPr>
              <w:t>Name and address</w:t>
            </w:r>
            <w:r>
              <w:rPr>
                <w:sz w:val="20"/>
              </w:rPr>
              <w:t>]</w:t>
            </w:r>
          </w:p>
        </w:tc>
      </w:tr>
      <w:tr w:rsidR="00425758">
        <w:trPr>
          <w:cantSplit/>
        </w:trPr>
        <w:tc>
          <w:tcPr>
            <w:tcW w:w="1418" w:type="dxa"/>
          </w:tcPr>
          <w:p w:rsidR="00425758" w:rsidRDefault="00425758">
            <w:pPr>
              <w:pStyle w:val="yTableNAm"/>
              <w:spacing w:before="0"/>
              <w:rPr>
                <w:b/>
                <w:sz w:val="20"/>
              </w:rPr>
            </w:pPr>
            <w:r>
              <w:rPr>
                <w:b/>
                <w:sz w:val="20"/>
              </w:rPr>
              <w:t>Order</w:t>
            </w:r>
          </w:p>
        </w:tc>
        <w:tc>
          <w:tcPr>
            <w:tcW w:w="5670" w:type="dxa"/>
            <w:gridSpan w:val="3"/>
          </w:tcPr>
          <w:p w:rsidR="00425758" w:rsidRDefault="00425758">
            <w:pPr>
              <w:pStyle w:val="yTableNAm"/>
              <w:spacing w:before="0"/>
              <w:rPr>
                <w:sz w:val="20"/>
              </w:rPr>
            </w:pPr>
            <w:r>
              <w:rPr>
                <w:b/>
                <w:sz w:val="20"/>
              </w:rPr>
              <w:t xml:space="preserve">You are ordered to attend the Supreme Court to give oral evidence. </w:t>
            </w:r>
            <w:r>
              <w:rPr>
                <w:sz w:val="20"/>
              </w:rPr>
              <w:t>See details below.</w:t>
            </w:r>
          </w:p>
          <w:p w:rsidR="00425758" w:rsidRDefault="00425758">
            <w:pPr>
              <w:pStyle w:val="yTableNAm"/>
              <w:spacing w:before="0"/>
              <w:rPr>
                <w:b/>
                <w:sz w:val="20"/>
              </w:rPr>
            </w:pPr>
            <w:r>
              <w:rPr>
                <w:b/>
                <w:sz w:val="20"/>
              </w:rPr>
              <w:t>Failure to comply with this subpoena without lawful excuse is a contempt of court and may result in your arrest.</w:t>
            </w:r>
          </w:p>
          <w:p w:rsidR="00425758" w:rsidRDefault="00425758">
            <w:pPr>
              <w:pStyle w:val="yTableNAm"/>
              <w:spacing w:before="0"/>
              <w:rPr>
                <w:sz w:val="20"/>
              </w:rPr>
            </w:pPr>
            <w:r>
              <w:rPr>
                <w:sz w:val="20"/>
              </w:rPr>
              <w:t>Please read Notes 1 to 8 at the end of this subpoena.</w:t>
            </w:r>
          </w:p>
        </w:tc>
      </w:tr>
      <w:tr w:rsidR="00425758">
        <w:trPr>
          <w:cantSplit/>
        </w:trPr>
        <w:tc>
          <w:tcPr>
            <w:tcW w:w="1418" w:type="dxa"/>
          </w:tcPr>
          <w:p w:rsidR="00425758" w:rsidRDefault="00425758">
            <w:pPr>
              <w:pStyle w:val="yTableNAm"/>
              <w:spacing w:before="0"/>
              <w:rPr>
                <w:sz w:val="20"/>
              </w:rPr>
            </w:pPr>
            <w:r>
              <w:rPr>
                <w:sz w:val="20"/>
              </w:rPr>
              <w:t>Last date for service</w:t>
            </w:r>
          </w:p>
          <w:p w:rsidR="00425758" w:rsidRDefault="00425758">
            <w:pPr>
              <w:pStyle w:val="yTableNAm"/>
              <w:spacing w:before="0"/>
              <w:rPr>
                <w:sz w:val="20"/>
              </w:rPr>
            </w:pPr>
            <w:r>
              <w:rPr>
                <w:sz w:val="18"/>
              </w:rPr>
              <w:t>[see Note 1]</w:t>
            </w:r>
            <w:r>
              <w:rPr>
                <w:sz w:val="20"/>
              </w:rPr>
              <w:t xml:space="preserve"> </w:t>
            </w:r>
          </w:p>
        </w:tc>
        <w:tc>
          <w:tcPr>
            <w:tcW w:w="5670" w:type="dxa"/>
            <w:gridSpan w:val="3"/>
          </w:tcPr>
          <w:p w:rsidR="00425758" w:rsidRDefault="00425758">
            <w:pPr>
              <w:pStyle w:val="yTableNAm"/>
              <w:spacing w:before="0"/>
              <w:rPr>
                <w:b/>
                <w:sz w:val="20"/>
              </w:rPr>
            </w:pPr>
            <w:r>
              <w:rPr>
                <w:sz w:val="20"/>
              </w:rPr>
              <w:t>The last date for service of this subpoena is [</w:t>
            </w:r>
            <w:r>
              <w:rPr>
                <w:i/>
                <w:sz w:val="20"/>
              </w:rPr>
              <w:t>date</w:t>
            </w:r>
            <w:r>
              <w:rPr>
                <w:sz w:val="20"/>
              </w:rPr>
              <w:t>].</w:t>
            </w:r>
          </w:p>
        </w:tc>
      </w:tr>
      <w:tr w:rsidR="00425758">
        <w:trPr>
          <w:cantSplit/>
          <w:trHeight w:val="448"/>
        </w:trPr>
        <w:tc>
          <w:tcPr>
            <w:tcW w:w="1418" w:type="dxa"/>
            <w:vMerge w:val="restart"/>
          </w:tcPr>
          <w:p w:rsidR="00425758" w:rsidRDefault="00425758">
            <w:pPr>
              <w:pStyle w:val="yTableNAm"/>
              <w:spacing w:before="0"/>
              <w:rPr>
                <w:sz w:val="20"/>
              </w:rPr>
            </w:pPr>
            <w:r>
              <w:rPr>
                <w:sz w:val="20"/>
              </w:rPr>
              <w:t>Issuing details</w:t>
            </w:r>
          </w:p>
        </w:tc>
        <w:tc>
          <w:tcPr>
            <w:tcW w:w="5670" w:type="dxa"/>
            <w:gridSpan w:val="3"/>
          </w:tcPr>
          <w:p w:rsidR="00425758" w:rsidRDefault="00425758">
            <w:pPr>
              <w:pStyle w:val="yTableNAm"/>
              <w:spacing w:before="0"/>
              <w:rPr>
                <w:sz w:val="20"/>
              </w:rPr>
            </w:pPr>
            <w:r>
              <w:rPr>
                <w:sz w:val="20"/>
              </w:rPr>
              <w:t>Issued at the request of: [</w:t>
            </w:r>
            <w:r>
              <w:rPr>
                <w:i/>
                <w:sz w:val="20"/>
              </w:rPr>
              <w:t>Name of party</w:t>
            </w:r>
            <w:r>
              <w:rPr>
                <w:sz w:val="20"/>
              </w:rPr>
              <w:t>]</w:t>
            </w:r>
          </w:p>
          <w:p w:rsidR="00425758" w:rsidRDefault="00425758">
            <w:pPr>
              <w:pStyle w:val="yTableNAm"/>
              <w:spacing w:before="0"/>
              <w:rPr>
                <w:sz w:val="20"/>
              </w:rPr>
            </w:pPr>
            <w:r>
              <w:rPr>
                <w:sz w:val="20"/>
              </w:rPr>
              <w:t>Address for service: [</w:t>
            </w:r>
            <w:r>
              <w:rPr>
                <w:i/>
                <w:sz w:val="20"/>
              </w:rPr>
              <w:t>see Order 71A rule 3</w:t>
            </w:r>
            <w:r>
              <w:rPr>
                <w:sz w:val="20"/>
              </w:rPr>
              <w:t>]</w:t>
            </w:r>
          </w:p>
          <w:p w:rsidR="00425758" w:rsidRDefault="00425758">
            <w:pPr>
              <w:pStyle w:val="yTableNAm"/>
              <w:spacing w:before="0"/>
              <w:rPr>
                <w:sz w:val="20"/>
              </w:rPr>
            </w:pPr>
            <w:r>
              <w:rPr>
                <w:sz w:val="20"/>
              </w:rPr>
              <w:t>Email:</w:t>
            </w:r>
          </w:p>
        </w:tc>
      </w:tr>
      <w:tr w:rsidR="00425758">
        <w:trPr>
          <w:cantSplit/>
          <w:trHeight w:val="448"/>
        </w:trPr>
        <w:tc>
          <w:tcPr>
            <w:tcW w:w="1418" w:type="dxa"/>
            <w:vMerge/>
          </w:tcPr>
          <w:p w:rsidR="00425758" w:rsidRDefault="00425758">
            <w:pPr>
              <w:pStyle w:val="yTableNAm"/>
              <w:spacing w:before="0"/>
              <w:rPr>
                <w:sz w:val="20"/>
              </w:rPr>
            </w:pPr>
          </w:p>
        </w:tc>
        <w:tc>
          <w:tcPr>
            <w:tcW w:w="2647" w:type="dxa"/>
            <w:gridSpan w:val="2"/>
          </w:tcPr>
          <w:p w:rsidR="00425758" w:rsidRDefault="00425758">
            <w:pPr>
              <w:pStyle w:val="yTableNAm"/>
              <w:spacing w:before="0"/>
              <w:rPr>
                <w:sz w:val="20"/>
              </w:rPr>
            </w:pPr>
            <w:r>
              <w:rPr>
                <w:sz w:val="20"/>
              </w:rPr>
              <w:t>Date of issue:</w:t>
            </w:r>
          </w:p>
        </w:tc>
        <w:tc>
          <w:tcPr>
            <w:tcW w:w="3023" w:type="dxa"/>
          </w:tcPr>
          <w:p w:rsidR="00425758" w:rsidRDefault="00425758">
            <w:pPr>
              <w:pStyle w:val="yTableNAm"/>
              <w:spacing w:before="0"/>
              <w:rPr>
                <w:sz w:val="20"/>
              </w:rPr>
            </w:pPr>
            <w:r>
              <w:rPr>
                <w:sz w:val="20"/>
              </w:rPr>
              <w:t>[</w:t>
            </w:r>
            <w:r>
              <w:rPr>
                <w:i/>
                <w:sz w:val="20"/>
              </w:rPr>
              <w:t>Seal or stamp of the Court</w:t>
            </w:r>
            <w:r>
              <w:rPr>
                <w:sz w:val="20"/>
              </w:rPr>
              <w:t>]</w:t>
            </w:r>
          </w:p>
        </w:tc>
      </w:tr>
      <w:tr w:rsidR="00425758">
        <w:tc>
          <w:tcPr>
            <w:tcW w:w="1418" w:type="dxa"/>
          </w:tcPr>
          <w:p w:rsidR="00425758" w:rsidRDefault="00425758">
            <w:pPr>
              <w:pStyle w:val="yTableNAm"/>
              <w:spacing w:before="0"/>
              <w:rPr>
                <w:b/>
                <w:sz w:val="20"/>
              </w:rPr>
            </w:pPr>
            <w:r>
              <w:rPr>
                <w:b/>
                <w:sz w:val="20"/>
              </w:rPr>
              <w:t>Details of subpoena</w:t>
            </w:r>
          </w:p>
        </w:tc>
        <w:tc>
          <w:tcPr>
            <w:tcW w:w="5670" w:type="dxa"/>
            <w:gridSpan w:val="3"/>
          </w:tcPr>
          <w:p w:rsidR="00425758" w:rsidRDefault="00425758">
            <w:pPr>
              <w:pStyle w:val="yTableNAm"/>
              <w:spacing w:before="0"/>
              <w:rPr>
                <w:sz w:val="20"/>
              </w:rPr>
            </w:pPr>
            <w:r>
              <w:rPr>
                <w:sz w:val="20"/>
              </w:rPr>
              <w:t xml:space="preserve">Date, time and place at which you must attend to give oral evidence, unless you receive a notice of a later date or time from the issuing party, in which case the later date or time is substituted — </w:t>
            </w:r>
          </w:p>
          <w:p w:rsidR="00425758" w:rsidRDefault="00425758">
            <w:pPr>
              <w:pStyle w:val="yTableNAm"/>
              <w:spacing w:before="0"/>
              <w:rPr>
                <w:sz w:val="20"/>
              </w:rPr>
            </w:pPr>
            <w:r>
              <w:rPr>
                <w:sz w:val="20"/>
              </w:rPr>
              <w:t>Date:</w:t>
            </w:r>
          </w:p>
          <w:p w:rsidR="00425758" w:rsidRDefault="00425758">
            <w:pPr>
              <w:pStyle w:val="yTableNAm"/>
              <w:spacing w:before="0"/>
              <w:rPr>
                <w:sz w:val="20"/>
              </w:rPr>
            </w:pPr>
            <w:r>
              <w:rPr>
                <w:sz w:val="20"/>
              </w:rPr>
              <w:t>Time:</w:t>
            </w:r>
          </w:p>
          <w:p w:rsidR="00425758" w:rsidRDefault="00425758">
            <w:pPr>
              <w:pStyle w:val="yTableNAm"/>
              <w:spacing w:before="0"/>
              <w:rPr>
                <w:sz w:val="20"/>
              </w:rPr>
            </w:pPr>
            <w:r>
              <w:rPr>
                <w:sz w:val="20"/>
              </w:rPr>
              <w:t>Place:</w:t>
            </w:r>
          </w:p>
          <w:p w:rsidR="00425758" w:rsidRDefault="00425758">
            <w:pPr>
              <w:pStyle w:val="yTableNAm"/>
              <w:spacing w:before="0"/>
              <w:rPr>
                <w:sz w:val="20"/>
              </w:rPr>
            </w:pPr>
            <w:r>
              <w:rPr>
                <w:sz w:val="20"/>
              </w:rPr>
              <w:t>You must continue to attend from day to day unless excused by the Court or the person authorised to take evidence in this proceeding or until the hearing of the matter is completed.</w:t>
            </w:r>
          </w:p>
        </w:tc>
      </w:tr>
      <w:tr w:rsidR="00425758">
        <w:tc>
          <w:tcPr>
            <w:tcW w:w="7088" w:type="dxa"/>
            <w:gridSpan w:val="4"/>
          </w:tcPr>
          <w:p w:rsidR="00425758" w:rsidRDefault="00425758">
            <w:pPr>
              <w:pStyle w:val="yTableNAm"/>
              <w:spacing w:before="0"/>
              <w:jc w:val="center"/>
              <w:rPr>
                <w:b/>
                <w:sz w:val="20"/>
              </w:rPr>
            </w:pPr>
            <w:r>
              <w:rPr>
                <w:b/>
                <w:sz w:val="20"/>
              </w:rPr>
              <w:t>Notes</w:t>
            </w:r>
          </w:p>
        </w:tc>
      </w:tr>
      <w:tr w:rsidR="00425758">
        <w:tc>
          <w:tcPr>
            <w:tcW w:w="1418" w:type="dxa"/>
          </w:tcPr>
          <w:p w:rsidR="00425758" w:rsidRDefault="00425758">
            <w:pPr>
              <w:pStyle w:val="yTableNAm"/>
              <w:spacing w:before="0"/>
              <w:rPr>
                <w:b/>
                <w:sz w:val="20"/>
              </w:rPr>
            </w:pPr>
            <w:r>
              <w:rPr>
                <w:b/>
                <w:sz w:val="20"/>
              </w:rPr>
              <w:t>Last day for service</w:t>
            </w:r>
          </w:p>
          <w:p w:rsidR="00425758" w:rsidRDefault="00425758">
            <w:pPr>
              <w:pStyle w:val="yTableNAm"/>
              <w:spacing w:before="0"/>
              <w:rPr>
                <w:sz w:val="20"/>
              </w:rPr>
            </w:pPr>
          </w:p>
        </w:tc>
        <w:tc>
          <w:tcPr>
            <w:tcW w:w="5670" w:type="dxa"/>
            <w:gridSpan w:val="3"/>
          </w:tcPr>
          <w:p w:rsidR="00425758" w:rsidRDefault="00425758">
            <w:pPr>
              <w:pStyle w:val="yTableNAm"/>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rsidR="00425758">
        <w:trPr>
          <w:cantSplit/>
        </w:trPr>
        <w:tc>
          <w:tcPr>
            <w:tcW w:w="1418" w:type="dxa"/>
          </w:tcPr>
          <w:p w:rsidR="00425758" w:rsidRDefault="00425758">
            <w:pPr>
              <w:pStyle w:val="yTableNAm"/>
              <w:spacing w:before="0"/>
              <w:rPr>
                <w:b/>
                <w:sz w:val="20"/>
              </w:rPr>
            </w:pPr>
            <w:r>
              <w:rPr>
                <w:b/>
                <w:sz w:val="20"/>
              </w:rPr>
              <w:t>Informal service</w:t>
            </w:r>
          </w:p>
          <w:p w:rsidR="00425758" w:rsidRDefault="00425758">
            <w:pPr>
              <w:pStyle w:val="yTableNAm"/>
              <w:keepNext/>
              <w:spacing w:before="0"/>
              <w:rPr>
                <w:b/>
                <w:sz w:val="20"/>
              </w:rPr>
            </w:pPr>
          </w:p>
        </w:tc>
        <w:tc>
          <w:tcPr>
            <w:tcW w:w="5670" w:type="dxa"/>
            <w:gridSpan w:val="3"/>
          </w:tcPr>
          <w:p w:rsidR="00425758" w:rsidRDefault="00425758">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rsidR="00425758">
        <w:trPr>
          <w:cantSplit/>
        </w:trPr>
        <w:tc>
          <w:tcPr>
            <w:tcW w:w="1418" w:type="dxa"/>
          </w:tcPr>
          <w:p w:rsidR="00425758" w:rsidRDefault="00425758">
            <w:pPr>
              <w:pStyle w:val="yTableNAm"/>
              <w:spacing w:before="0"/>
              <w:rPr>
                <w:b/>
                <w:sz w:val="20"/>
              </w:rPr>
            </w:pPr>
            <w:r>
              <w:rPr>
                <w:b/>
                <w:sz w:val="20"/>
              </w:rPr>
              <w:t>Addressee a corporation</w:t>
            </w:r>
          </w:p>
          <w:p w:rsidR="00425758" w:rsidRDefault="00425758">
            <w:pPr>
              <w:pStyle w:val="yTableNAm"/>
              <w:keepNext/>
              <w:spacing w:before="0"/>
              <w:rPr>
                <w:b/>
                <w:sz w:val="20"/>
              </w:rPr>
            </w:pPr>
          </w:p>
        </w:tc>
        <w:tc>
          <w:tcPr>
            <w:tcW w:w="5670" w:type="dxa"/>
            <w:gridSpan w:val="3"/>
          </w:tcPr>
          <w:p w:rsidR="00425758" w:rsidRDefault="00425758">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rsidR="00425758">
        <w:tc>
          <w:tcPr>
            <w:tcW w:w="1418" w:type="dxa"/>
          </w:tcPr>
          <w:p w:rsidR="00425758" w:rsidRDefault="00425758">
            <w:pPr>
              <w:pStyle w:val="yTableNAm"/>
              <w:spacing w:before="0"/>
              <w:rPr>
                <w:b/>
                <w:sz w:val="20"/>
              </w:rPr>
            </w:pPr>
            <w:r>
              <w:rPr>
                <w:b/>
                <w:sz w:val="20"/>
              </w:rPr>
              <w:t>Conduct money</w:t>
            </w:r>
          </w:p>
          <w:p w:rsidR="00425758" w:rsidRDefault="00425758">
            <w:pPr>
              <w:pStyle w:val="yTableNAm"/>
              <w:keepNext/>
              <w:spacing w:before="0"/>
              <w:rPr>
                <w:b/>
                <w:sz w:val="20"/>
              </w:rPr>
            </w:pPr>
          </w:p>
        </w:tc>
        <w:tc>
          <w:tcPr>
            <w:tcW w:w="5670" w:type="dxa"/>
            <w:gridSpan w:val="3"/>
          </w:tcPr>
          <w:p w:rsidR="00425758" w:rsidRDefault="00425758">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rsidR="00425758">
        <w:trPr>
          <w:cantSplit/>
        </w:trPr>
        <w:tc>
          <w:tcPr>
            <w:tcW w:w="1418" w:type="dxa"/>
            <w:shd w:val="clear" w:color="auto" w:fill="auto"/>
          </w:tcPr>
          <w:p w:rsidR="00425758" w:rsidRDefault="00425758">
            <w:pPr>
              <w:pStyle w:val="yTableNAm"/>
              <w:spacing w:before="0"/>
              <w:rPr>
                <w:b/>
                <w:sz w:val="20"/>
              </w:rPr>
            </w:pPr>
            <w:r>
              <w:rPr>
                <w:b/>
                <w:sz w:val="20"/>
              </w:rPr>
              <w:lastRenderedPageBreak/>
              <w:t>Applications in relation to subpoena</w:t>
            </w:r>
          </w:p>
        </w:tc>
        <w:tc>
          <w:tcPr>
            <w:tcW w:w="5670" w:type="dxa"/>
            <w:gridSpan w:val="3"/>
            <w:shd w:val="clear" w:color="auto" w:fill="auto"/>
          </w:tcPr>
          <w:p w:rsidR="00425758" w:rsidRDefault="00425758">
            <w:pPr>
              <w:pStyle w:val="yTableNAm"/>
              <w:spacing w:before="0"/>
              <w:ind w:left="369" w:hanging="369"/>
              <w:rPr>
                <w:sz w:val="20"/>
              </w:rPr>
            </w:pPr>
            <w:r>
              <w:rPr>
                <w:sz w:val="20"/>
              </w:rPr>
              <w:t>5.</w:t>
            </w:r>
            <w:r>
              <w:rPr>
                <w:sz w:val="20"/>
              </w:rPr>
              <w:tab/>
              <w:t>You have the right to apply to the Court for an order setting aside this subpoena or for other relief in respect of it.</w:t>
            </w:r>
          </w:p>
        </w:tc>
      </w:tr>
      <w:tr w:rsidR="00425758">
        <w:trPr>
          <w:cantSplit/>
        </w:trPr>
        <w:tc>
          <w:tcPr>
            <w:tcW w:w="1418" w:type="dxa"/>
          </w:tcPr>
          <w:p w:rsidR="00425758" w:rsidRDefault="00425758">
            <w:pPr>
              <w:pStyle w:val="yTableNAm"/>
              <w:spacing w:before="0"/>
              <w:rPr>
                <w:b/>
                <w:sz w:val="20"/>
              </w:rPr>
            </w:pPr>
            <w:r>
              <w:rPr>
                <w:b/>
                <w:sz w:val="20"/>
              </w:rPr>
              <w:t>Loss or expense of compliance</w:t>
            </w:r>
          </w:p>
          <w:p w:rsidR="00425758" w:rsidRDefault="00425758">
            <w:pPr>
              <w:pStyle w:val="yTableNAm"/>
              <w:keepNext/>
              <w:spacing w:before="0"/>
              <w:rPr>
                <w:b/>
                <w:sz w:val="20"/>
              </w:rPr>
            </w:pPr>
          </w:p>
        </w:tc>
        <w:tc>
          <w:tcPr>
            <w:tcW w:w="5670" w:type="dxa"/>
            <w:gridSpan w:val="3"/>
          </w:tcPr>
          <w:p w:rsidR="00425758" w:rsidRDefault="00425758">
            <w:pPr>
              <w:pStyle w:val="yTableNAm"/>
              <w:spacing w:before="0"/>
              <w:ind w:left="369" w:hanging="369"/>
              <w:rPr>
                <w:sz w:val="20"/>
              </w:rPr>
            </w:pPr>
            <w:r>
              <w:rPr>
                <w:sz w:val="20"/>
              </w:rPr>
              <w:t>6.</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rsidR="00425758">
        <w:trPr>
          <w:cantSplit/>
        </w:trPr>
        <w:tc>
          <w:tcPr>
            <w:tcW w:w="1418" w:type="dxa"/>
          </w:tcPr>
          <w:p w:rsidR="00425758" w:rsidRDefault="00425758">
            <w:pPr>
              <w:pStyle w:val="yTableNAm"/>
              <w:spacing w:before="0"/>
              <w:rPr>
                <w:b/>
                <w:sz w:val="20"/>
              </w:rPr>
            </w:pPr>
            <w:r>
              <w:rPr>
                <w:b/>
                <w:sz w:val="20"/>
              </w:rPr>
              <w:t>Contempt of court—arrest</w:t>
            </w:r>
          </w:p>
        </w:tc>
        <w:tc>
          <w:tcPr>
            <w:tcW w:w="5670" w:type="dxa"/>
            <w:gridSpan w:val="3"/>
          </w:tcPr>
          <w:p w:rsidR="00425758" w:rsidRDefault="00425758">
            <w:pPr>
              <w:pStyle w:val="yTableNAm"/>
              <w:spacing w:before="0"/>
              <w:ind w:left="369" w:hanging="369"/>
              <w:rPr>
                <w:sz w:val="20"/>
              </w:rPr>
            </w:pPr>
            <w:r>
              <w:rPr>
                <w:sz w:val="20"/>
              </w:rPr>
              <w:t>7.</w:t>
            </w:r>
            <w:r>
              <w:rPr>
                <w:sz w:val="20"/>
              </w:rPr>
              <w:tab/>
              <w:t>Failure to comply with a subpoena without lawful excuse is a contempt of court and may be dealt with accordingly.</w:t>
            </w:r>
          </w:p>
          <w:p w:rsidR="00425758" w:rsidRDefault="00425758">
            <w:pPr>
              <w:pStyle w:val="yTableNAm"/>
              <w:spacing w:before="0"/>
              <w:ind w:left="369" w:hanging="369"/>
              <w:rPr>
                <w:sz w:val="20"/>
              </w:rPr>
            </w:pPr>
            <w:r>
              <w:rPr>
                <w:sz w:val="20"/>
              </w:rPr>
              <w:t>8.</w:t>
            </w:r>
            <w:r>
              <w:rPr>
                <w:sz w:val="20"/>
              </w:rPr>
              <w:tab/>
              <w:t>Note 7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rsidR="00425758" w:rsidRDefault="00425758">
      <w:pPr>
        <w:pStyle w:val="PermNoteHeading"/>
        <w:tabs>
          <w:tab w:val="left" w:pos="567"/>
          <w:tab w:val="left" w:pos="1276"/>
        </w:tabs>
      </w:pPr>
      <w:r>
        <w:t>Footnotes to Form 21 —</w:t>
      </w:r>
    </w:p>
    <w:p w:rsidR="00425758" w:rsidRDefault="00425758">
      <w:pPr>
        <w:pStyle w:val="PermNotePara"/>
        <w:tabs>
          <w:tab w:val="clear" w:pos="1843"/>
          <w:tab w:val="left" w:pos="567"/>
        </w:tabs>
      </w:pPr>
      <w:r>
        <w:t>*</w:t>
      </w:r>
      <w:r>
        <w:tab/>
        <w:t>Delete the inapplicable.</w:t>
      </w:r>
    </w:p>
    <w:p w:rsidR="00425758" w:rsidRDefault="00425758">
      <w:pPr>
        <w:pStyle w:val="PermNotePara"/>
        <w:tabs>
          <w:tab w:val="clear" w:pos="1843"/>
          <w:tab w:val="left" w:pos="567"/>
        </w:tabs>
        <w:ind w:left="567" w:hanging="567"/>
      </w:pPr>
      <w:r>
        <w:t>1.</w:t>
      </w:r>
      <w:r>
        <w:tab/>
        <w:t>If there is more than one of any party, include the additional parties’ names and types of party in a schedule to the subpoena.</w:t>
      </w:r>
    </w:p>
    <w:p w:rsidR="00425758" w:rsidRDefault="00425758">
      <w:pPr>
        <w:pStyle w:val="yFootnotesection"/>
      </w:pPr>
      <w:r>
        <w:tab/>
        <w:t>[Form 21 inserted: Gazette 24 May 2017 p. 2577</w:t>
      </w:r>
      <w:r>
        <w:noBreakHyphen/>
        <w:t>8.]</w:t>
      </w:r>
    </w:p>
    <w:p w:rsidR="00425758" w:rsidRDefault="00425758">
      <w:pPr>
        <w:pStyle w:val="yHeading5"/>
      </w:pPr>
      <w:bookmarkStart w:id="1356" w:name="_Toc75863921"/>
      <w:r>
        <w:rPr>
          <w:rStyle w:val="CharSClsNo"/>
        </w:rPr>
        <w:t>21A</w:t>
      </w:r>
      <w:r>
        <w:t>.</w:t>
      </w:r>
      <w:r>
        <w:tab/>
        <w:t>Subpoena to produce documents (O. 36B r. 3(1))</w:t>
      </w:r>
      <w:bookmarkEnd w:id="1356"/>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rsidR="00425758">
        <w:trPr>
          <w:cantSplit/>
          <w:trHeight w:val="194"/>
        </w:trPr>
        <w:tc>
          <w:tcPr>
            <w:tcW w:w="3544" w:type="dxa"/>
            <w:gridSpan w:val="2"/>
            <w:vMerge w:val="restart"/>
          </w:tcPr>
          <w:p w:rsidR="00425758" w:rsidRDefault="00425758">
            <w:pPr>
              <w:pStyle w:val="yTableNAm"/>
              <w:spacing w:before="0"/>
              <w:rPr>
                <w:sz w:val="20"/>
              </w:rPr>
            </w:pPr>
            <w:r>
              <w:rPr>
                <w:sz w:val="20"/>
              </w:rPr>
              <w:t>Supreme Court of Western Australia</w:t>
            </w:r>
          </w:p>
          <w:p w:rsidR="00425758" w:rsidRDefault="00425758">
            <w:pPr>
              <w:pStyle w:val="yTableNAm"/>
              <w:spacing w:before="0"/>
              <w:rPr>
                <w:sz w:val="20"/>
              </w:rPr>
            </w:pPr>
            <w:r>
              <w:rPr>
                <w:sz w:val="20"/>
              </w:rPr>
              <w:t>*General Division/Court of Appeal</w:t>
            </w:r>
          </w:p>
        </w:tc>
        <w:tc>
          <w:tcPr>
            <w:tcW w:w="3544" w:type="dxa"/>
            <w:gridSpan w:val="2"/>
          </w:tcPr>
          <w:p w:rsidR="00425758" w:rsidRDefault="00425758">
            <w:pPr>
              <w:pStyle w:val="yTableNAm"/>
              <w:spacing w:before="0"/>
              <w:rPr>
                <w:sz w:val="20"/>
              </w:rPr>
            </w:pPr>
            <w:r>
              <w:rPr>
                <w:sz w:val="20"/>
              </w:rPr>
              <w:t>No.:</w:t>
            </w:r>
          </w:p>
        </w:tc>
      </w:tr>
      <w:tr w:rsidR="00425758">
        <w:trPr>
          <w:cantSplit/>
          <w:trHeight w:val="194"/>
        </w:trPr>
        <w:tc>
          <w:tcPr>
            <w:tcW w:w="3544" w:type="dxa"/>
            <w:gridSpan w:val="2"/>
            <w:vMerge/>
          </w:tcPr>
          <w:p w:rsidR="00425758" w:rsidRDefault="00425758">
            <w:pPr>
              <w:pStyle w:val="yTableNAm"/>
              <w:spacing w:before="0"/>
              <w:rPr>
                <w:sz w:val="20"/>
              </w:rPr>
            </w:pPr>
          </w:p>
        </w:tc>
        <w:tc>
          <w:tcPr>
            <w:tcW w:w="3544" w:type="dxa"/>
            <w:gridSpan w:val="2"/>
          </w:tcPr>
          <w:p w:rsidR="00425758" w:rsidRDefault="00425758">
            <w:pPr>
              <w:pStyle w:val="yTableNAm"/>
              <w:spacing w:before="0"/>
              <w:rPr>
                <w:b/>
                <w:sz w:val="20"/>
              </w:rPr>
            </w:pPr>
            <w:r>
              <w:rPr>
                <w:b/>
                <w:sz w:val="20"/>
              </w:rPr>
              <w:t>Subpoena to produce documents</w:t>
            </w:r>
          </w:p>
        </w:tc>
      </w:tr>
      <w:tr w:rsidR="00425758">
        <w:trPr>
          <w:cantSplit/>
        </w:trPr>
        <w:tc>
          <w:tcPr>
            <w:tcW w:w="1418" w:type="dxa"/>
          </w:tcPr>
          <w:p w:rsidR="00425758" w:rsidRDefault="00425758">
            <w:pPr>
              <w:pStyle w:val="yTableNAm"/>
              <w:spacing w:before="0"/>
              <w:rPr>
                <w:sz w:val="20"/>
                <w:vertAlign w:val="superscript"/>
              </w:rPr>
            </w:pPr>
            <w:r>
              <w:rPr>
                <w:sz w:val="20"/>
              </w:rPr>
              <w:t>Parties</w:t>
            </w:r>
            <w:r>
              <w:rPr>
                <w:sz w:val="20"/>
                <w:vertAlign w:val="superscript"/>
              </w:rPr>
              <w:t>1</w:t>
            </w:r>
          </w:p>
        </w:tc>
        <w:tc>
          <w:tcPr>
            <w:tcW w:w="5670" w:type="dxa"/>
            <w:gridSpan w:val="3"/>
          </w:tcPr>
          <w:p w:rsidR="00425758" w:rsidRDefault="00425758">
            <w:pPr>
              <w:pStyle w:val="yTableNAm"/>
              <w:tabs>
                <w:tab w:val="clear" w:pos="567"/>
                <w:tab w:val="left" w:pos="2897"/>
              </w:tabs>
              <w:spacing w:before="0"/>
              <w:rPr>
                <w:sz w:val="20"/>
              </w:rPr>
            </w:pPr>
            <w:r>
              <w:rPr>
                <w:sz w:val="20"/>
              </w:rPr>
              <w:tab/>
              <w:t>Plaintiff</w:t>
            </w:r>
          </w:p>
          <w:p w:rsidR="00425758" w:rsidRDefault="00425758">
            <w:pPr>
              <w:pStyle w:val="yTableNAm"/>
              <w:tabs>
                <w:tab w:val="clear" w:pos="567"/>
                <w:tab w:val="left" w:pos="2897"/>
              </w:tabs>
              <w:spacing w:before="0"/>
              <w:rPr>
                <w:sz w:val="20"/>
              </w:rPr>
            </w:pPr>
            <w:r>
              <w:rPr>
                <w:sz w:val="20"/>
              </w:rPr>
              <w:tab/>
              <w:t>Defendant</w:t>
            </w:r>
          </w:p>
        </w:tc>
      </w:tr>
      <w:tr w:rsidR="00425758">
        <w:trPr>
          <w:cantSplit/>
        </w:trPr>
        <w:tc>
          <w:tcPr>
            <w:tcW w:w="1418" w:type="dxa"/>
          </w:tcPr>
          <w:p w:rsidR="00425758" w:rsidRDefault="00425758">
            <w:pPr>
              <w:pStyle w:val="yTableNAm"/>
              <w:spacing w:before="0"/>
              <w:rPr>
                <w:sz w:val="20"/>
              </w:rPr>
            </w:pPr>
            <w:r>
              <w:rPr>
                <w:sz w:val="20"/>
              </w:rPr>
              <w:t>To</w:t>
            </w:r>
          </w:p>
        </w:tc>
        <w:tc>
          <w:tcPr>
            <w:tcW w:w="5670" w:type="dxa"/>
            <w:gridSpan w:val="3"/>
          </w:tcPr>
          <w:p w:rsidR="00425758" w:rsidRDefault="00425758">
            <w:pPr>
              <w:pStyle w:val="yTableNAm"/>
              <w:spacing w:before="0"/>
              <w:rPr>
                <w:sz w:val="20"/>
              </w:rPr>
            </w:pPr>
            <w:r>
              <w:rPr>
                <w:sz w:val="20"/>
              </w:rPr>
              <w:t>[</w:t>
            </w:r>
            <w:r>
              <w:rPr>
                <w:i/>
                <w:sz w:val="20"/>
              </w:rPr>
              <w:t>Name and address</w:t>
            </w:r>
            <w:r>
              <w:rPr>
                <w:sz w:val="20"/>
              </w:rPr>
              <w:t>]</w:t>
            </w:r>
          </w:p>
        </w:tc>
      </w:tr>
      <w:tr w:rsidR="00425758">
        <w:trPr>
          <w:cantSplit/>
        </w:trPr>
        <w:tc>
          <w:tcPr>
            <w:tcW w:w="1418" w:type="dxa"/>
          </w:tcPr>
          <w:p w:rsidR="00425758" w:rsidRDefault="00425758">
            <w:pPr>
              <w:pStyle w:val="yTableNAm"/>
              <w:spacing w:before="0"/>
              <w:rPr>
                <w:b/>
                <w:sz w:val="20"/>
              </w:rPr>
            </w:pPr>
            <w:r>
              <w:rPr>
                <w:b/>
                <w:sz w:val="20"/>
              </w:rPr>
              <w:t>Order</w:t>
            </w:r>
          </w:p>
        </w:tc>
        <w:tc>
          <w:tcPr>
            <w:tcW w:w="5670" w:type="dxa"/>
            <w:gridSpan w:val="3"/>
          </w:tcPr>
          <w:p w:rsidR="00425758" w:rsidRDefault="00425758">
            <w:pPr>
              <w:pStyle w:val="yTableNAm"/>
              <w:spacing w:before="0"/>
              <w:rPr>
                <w:b/>
                <w:sz w:val="20"/>
              </w:rPr>
            </w:pPr>
            <w:r>
              <w:rPr>
                <w:b/>
                <w:sz w:val="20"/>
              </w:rPr>
              <w:t xml:space="preserve">You are ordered to attend the Supreme Court and produce this subpoena or a copy of it and the documents or things specified in the Schedule of documents. </w:t>
            </w:r>
            <w:r>
              <w:rPr>
                <w:sz w:val="20"/>
              </w:rPr>
              <w:t>See details below.</w:t>
            </w:r>
          </w:p>
          <w:p w:rsidR="00425758" w:rsidRDefault="00425758">
            <w:pPr>
              <w:pStyle w:val="yTableNAm"/>
              <w:spacing w:before="0"/>
              <w:rPr>
                <w:b/>
                <w:sz w:val="20"/>
              </w:rPr>
            </w:pPr>
            <w:r>
              <w:rPr>
                <w:b/>
                <w:sz w:val="20"/>
              </w:rPr>
              <w:t>Failure to comply with this subpoena without lawful excuse is a contempt of court and may result in your arrest.</w:t>
            </w:r>
          </w:p>
          <w:p w:rsidR="00425758" w:rsidRDefault="00425758">
            <w:pPr>
              <w:pStyle w:val="yTableNAm"/>
              <w:spacing w:before="0"/>
              <w:rPr>
                <w:sz w:val="20"/>
              </w:rPr>
            </w:pPr>
            <w:r>
              <w:rPr>
                <w:sz w:val="20"/>
              </w:rPr>
              <w:t>Please read Notes 1 to 12 at the end of this subpoena.</w:t>
            </w:r>
          </w:p>
        </w:tc>
      </w:tr>
      <w:tr w:rsidR="00425758">
        <w:trPr>
          <w:cantSplit/>
        </w:trPr>
        <w:tc>
          <w:tcPr>
            <w:tcW w:w="1418" w:type="dxa"/>
          </w:tcPr>
          <w:p w:rsidR="00425758" w:rsidRDefault="00425758">
            <w:pPr>
              <w:pStyle w:val="yTableNAm"/>
              <w:spacing w:before="0"/>
              <w:rPr>
                <w:sz w:val="20"/>
              </w:rPr>
            </w:pPr>
            <w:r>
              <w:rPr>
                <w:sz w:val="20"/>
              </w:rPr>
              <w:t>Last date for service</w:t>
            </w:r>
          </w:p>
          <w:p w:rsidR="00425758" w:rsidRDefault="00425758">
            <w:pPr>
              <w:pStyle w:val="yTableNAm"/>
              <w:spacing w:before="0"/>
              <w:rPr>
                <w:sz w:val="20"/>
              </w:rPr>
            </w:pPr>
            <w:r>
              <w:rPr>
                <w:sz w:val="18"/>
              </w:rPr>
              <w:t>[see Note 1]</w:t>
            </w:r>
            <w:r>
              <w:rPr>
                <w:sz w:val="20"/>
              </w:rPr>
              <w:t xml:space="preserve"> </w:t>
            </w:r>
          </w:p>
        </w:tc>
        <w:tc>
          <w:tcPr>
            <w:tcW w:w="5670" w:type="dxa"/>
            <w:gridSpan w:val="3"/>
          </w:tcPr>
          <w:p w:rsidR="00425758" w:rsidRDefault="00425758">
            <w:pPr>
              <w:pStyle w:val="yTableNAm"/>
              <w:spacing w:before="0"/>
              <w:rPr>
                <w:b/>
                <w:sz w:val="20"/>
              </w:rPr>
            </w:pPr>
            <w:r>
              <w:rPr>
                <w:sz w:val="20"/>
              </w:rPr>
              <w:t>The last date for service of this subpoena is [</w:t>
            </w:r>
            <w:r>
              <w:rPr>
                <w:i/>
                <w:sz w:val="20"/>
              </w:rPr>
              <w:t>date</w:t>
            </w:r>
            <w:r>
              <w:rPr>
                <w:sz w:val="20"/>
              </w:rPr>
              <w:t>].</w:t>
            </w:r>
          </w:p>
        </w:tc>
      </w:tr>
      <w:tr w:rsidR="00425758">
        <w:trPr>
          <w:cantSplit/>
          <w:trHeight w:val="448"/>
        </w:trPr>
        <w:tc>
          <w:tcPr>
            <w:tcW w:w="1418" w:type="dxa"/>
            <w:vMerge w:val="restart"/>
          </w:tcPr>
          <w:p w:rsidR="00425758" w:rsidRDefault="00425758">
            <w:pPr>
              <w:pStyle w:val="yTableNAm"/>
              <w:spacing w:before="0"/>
              <w:rPr>
                <w:sz w:val="20"/>
              </w:rPr>
            </w:pPr>
            <w:r>
              <w:rPr>
                <w:sz w:val="20"/>
              </w:rPr>
              <w:t>Issuing details</w:t>
            </w:r>
          </w:p>
        </w:tc>
        <w:tc>
          <w:tcPr>
            <w:tcW w:w="5670" w:type="dxa"/>
            <w:gridSpan w:val="3"/>
          </w:tcPr>
          <w:p w:rsidR="00425758" w:rsidRDefault="00425758">
            <w:pPr>
              <w:pStyle w:val="yTableNAm"/>
              <w:spacing w:before="0"/>
              <w:rPr>
                <w:sz w:val="20"/>
              </w:rPr>
            </w:pPr>
            <w:r>
              <w:rPr>
                <w:sz w:val="20"/>
              </w:rPr>
              <w:t>Issued at the request of: [</w:t>
            </w:r>
            <w:r>
              <w:rPr>
                <w:i/>
                <w:sz w:val="20"/>
              </w:rPr>
              <w:t>Name of party</w:t>
            </w:r>
            <w:r>
              <w:rPr>
                <w:sz w:val="20"/>
              </w:rPr>
              <w:t>]</w:t>
            </w:r>
          </w:p>
          <w:p w:rsidR="00425758" w:rsidRDefault="00425758">
            <w:pPr>
              <w:pStyle w:val="yTableNAm"/>
              <w:spacing w:before="0"/>
              <w:rPr>
                <w:sz w:val="20"/>
              </w:rPr>
            </w:pPr>
            <w:r>
              <w:rPr>
                <w:sz w:val="20"/>
              </w:rPr>
              <w:t>Address for service: [</w:t>
            </w:r>
            <w:r>
              <w:rPr>
                <w:i/>
                <w:sz w:val="20"/>
              </w:rPr>
              <w:t>see Order 71A rule 3</w:t>
            </w:r>
            <w:r>
              <w:rPr>
                <w:sz w:val="20"/>
              </w:rPr>
              <w:t>]</w:t>
            </w:r>
          </w:p>
          <w:p w:rsidR="00425758" w:rsidRDefault="00425758">
            <w:pPr>
              <w:pStyle w:val="yTableNAm"/>
              <w:spacing w:before="0"/>
              <w:rPr>
                <w:sz w:val="20"/>
              </w:rPr>
            </w:pPr>
            <w:r>
              <w:rPr>
                <w:sz w:val="20"/>
              </w:rPr>
              <w:t>Email:</w:t>
            </w:r>
          </w:p>
        </w:tc>
      </w:tr>
      <w:tr w:rsidR="00425758">
        <w:trPr>
          <w:cantSplit/>
          <w:trHeight w:val="448"/>
        </w:trPr>
        <w:tc>
          <w:tcPr>
            <w:tcW w:w="1418" w:type="dxa"/>
            <w:vMerge/>
          </w:tcPr>
          <w:p w:rsidR="00425758" w:rsidRDefault="00425758">
            <w:pPr>
              <w:pStyle w:val="yTableNAm"/>
              <w:spacing w:before="0"/>
              <w:rPr>
                <w:sz w:val="20"/>
              </w:rPr>
            </w:pPr>
          </w:p>
        </w:tc>
        <w:tc>
          <w:tcPr>
            <w:tcW w:w="2647" w:type="dxa"/>
            <w:gridSpan w:val="2"/>
          </w:tcPr>
          <w:p w:rsidR="00425758" w:rsidRDefault="00425758">
            <w:pPr>
              <w:pStyle w:val="yTableNAm"/>
              <w:spacing w:before="0"/>
              <w:rPr>
                <w:sz w:val="20"/>
              </w:rPr>
            </w:pPr>
            <w:r>
              <w:rPr>
                <w:sz w:val="20"/>
              </w:rPr>
              <w:t>Date of issue:</w:t>
            </w:r>
          </w:p>
        </w:tc>
        <w:tc>
          <w:tcPr>
            <w:tcW w:w="3023" w:type="dxa"/>
          </w:tcPr>
          <w:p w:rsidR="00425758" w:rsidRDefault="00425758">
            <w:pPr>
              <w:pStyle w:val="yTableNAm"/>
              <w:spacing w:before="0"/>
              <w:rPr>
                <w:sz w:val="20"/>
              </w:rPr>
            </w:pPr>
            <w:r>
              <w:rPr>
                <w:sz w:val="20"/>
              </w:rPr>
              <w:t>[</w:t>
            </w:r>
            <w:r>
              <w:rPr>
                <w:i/>
                <w:sz w:val="20"/>
              </w:rPr>
              <w:t>Seal or stamp of the Court</w:t>
            </w:r>
            <w:r>
              <w:rPr>
                <w:sz w:val="20"/>
              </w:rPr>
              <w:t>]</w:t>
            </w:r>
          </w:p>
        </w:tc>
      </w:tr>
      <w:tr w:rsidR="00425758">
        <w:tc>
          <w:tcPr>
            <w:tcW w:w="1418" w:type="dxa"/>
          </w:tcPr>
          <w:p w:rsidR="00425758" w:rsidRDefault="00425758">
            <w:pPr>
              <w:pStyle w:val="yTableNAm"/>
              <w:keepNext/>
              <w:spacing w:before="0"/>
              <w:rPr>
                <w:b/>
                <w:sz w:val="20"/>
              </w:rPr>
            </w:pPr>
            <w:r>
              <w:rPr>
                <w:b/>
                <w:sz w:val="20"/>
              </w:rPr>
              <w:lastRenderedPageBreak/>
              <w:t>Details of subpoena</w:t>
            </w:r>
          </w:p>
        </w:tc>
        <w:tc>
          <w:tcPr>
            <w:tcW w:w="5670" w:type="dxa"/>
            <w:gridSpan w:val="3"/>
          </w:tcPr>
          <w:p w:rsidR="00425758" w:rsidRDefault="00425758">
            <w:pPr>
              <w:pStyle w:val="yTableNAm"/>
              <w:keepNext/>
              <w:spacing w:before="0"/>
              <w:rPr>
                <w:sz w:val="20"/>
              </w:rPr>
            </w:pPr>
            <w:r>
              <w:rPr>
                <w:sz w:val="20"/>
              </w:rPr>
              <w:t xml:space="preserve">You must comply with this subpoena — </w:t>
            </w:r>
          </w:p>
          <w:p w:rsidR="00425758" w:rsidRDefault="00425758">
            <w:pPr>
              <w:pStyle w:val="yTableNAm"/>
              <w:keepNext/>
              <w:spacing w:before="0"/>
              <w:ind w:left="368" w:hanging="368"/>
              <w:rPr>
                <w:sz w:val="20"/>
              </w:rPr>
            </w:pPr>
            <w:r>
              <w:rPr>
                <w:sz w:val="20"/>
              </w:rPr>
              <w:t>(a)</w:t>
            </w:r>
            <w:r>
              <w:rPr>
                <w:sz w:val="20"/>
              </w:rPr>
              <w:tab/>
              <w:t>by attending the Court and producing this subpoena or a copy of it and the documents or things specified in the Schedule of documents below at the date, time and place specified below; or</w:t>
            </w:r>
          </w:p>
          <w:p w:rsidR="00425758" w:rsidRDefault="00425758">
            <w:pPr>
              <w:pStyle w:val="yTableNAm"/>
              <w:keepNext/>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below. (</w:t>
            </w:r>
            <w:r>
              <w:rPr>
                <w:i/>
                <w:sz w:val="20"/>
              </w:rPr>
              <w:t>See Notes 5-8</w:t>
            </w:r>
            <w:r>
              <w:rPr>
                <w:sz w:val="20"/>
              </w:rPr>
              <w:t>)</w:t>
            </w:r>
          </w:p>
          <w:p w:rsidR="00425758" w:rsidRDefault="00425758">
            <w:pPr>
              <w:pStyle w:val="yTableNAm"/>
              <w:keepNext/>
              <w:spacing w:before="0"/>
              <w:rPr>
                <w:sz w:val="20"/>
              </w:rPr>
            </w:pPr>
            <w:r>
              <w:rPr>
                <w:sz w:val="20"/>
              </w:rPr>
              <w:t xml:space="preserve">Date, time and place at which you must attend and produce this subpoena or a copy of it and the documents or things, unless you receive a notice of a later date or time from the issuing party, in which case the later date or time is substituted — </w:t>
            </w:r>
          </w:p>
          <w:p w:rsidR="00425758" w:rsidRDefault="00425758">
            <w:pPr>
              <w:pStyle w:val="yTableNAm"/>
              <w:keepNext/>
              <w:spacing w:before="0"/>
              <w:rPr>
                <w:sz w:val="20"/>
              </w:rPr>
            </w:pPr>
            <w:r>
              <w:rPr>
                <w:sz w:val="20"/>
              </w:rPr>
              <w:t>Date:</w:t>
            </w:r>
          </w:p>
          <w:p w:rsidR="00425758" w:rsidRDefault="00425758">
            <w:pPr>
              <w:pStyle w:val="yTableNAm"/>
              <w:keepNext/>
              <w:spacing w:before="0"/>
              <w:rPr>
                <w:sz w:val="20"/>
              </w:rPr>
            </w:pPr>
            <w:r>
              <w:rPr>
                <w:sz w:val="20"/>
              </w:rPr>
              <w:t>Time:</w:t>
            </w:r>
          </w:p>
          <w:p w:rsidR="00425758" w:rsidRDefault="00425758">
            <w:pPr>
              <w:pStyle w:val="yTableNAm"/>
              <w:keepNext/>
              <w:spacing w:before="0"/>
              <w:rPr>
                <w:sz w:val="20"/>
              </w:rPr>
            </w:pPr>
            <w:r>
              <w:rPr>
                <w:sz w:val="20"/>
              </w:rPr>
              <w:t>Place:</w:t>
            </w:r>
          </w:p>
          <w:p w:rsidR="00425758" w:rsidRDefault="00425758">
            <w:pPr>
              <w:pStyle w:val="yTableNAm"/>
              <w:keepNext/>
              <w:spacing w:before="0"/>
              <w:rPr>
                <w:sz w:val="20"/>
              </w:rPr>
            </w:pPr>
            <w:r>
              <w:rPr>
                <w:sz w:val="20"/>
              </w:rPr>
              <w:t>Address to which this subpoena (or copy) and documents or things may be delivered or posted:</w:t>
            </w:r>
          </w:p>
          <w:p w:rsidR="00425758" w:rsidRDefault="00425758">
            <w:pPr>
              <w:pStyle w:val="yTableNAm"/>
              <w:keepNext/>
              <w:spacing w:before="0"/>
              <w:ind w:left="368" w:hanging="368"/>
              <w:rPr>
                <w:sz w:val="20"/>
              </w:rPr>
            </w:pPr>
            <w:r>
              <w:rPr>
                <w:sz w:val="20"/>
              </w:rPr>
              <w:t>*</w:t>
            </w:r>
            <w:r>
              <w:rPr>
                <w:sz w:val="20"/>
              </w:rPr>
              <w:tab/>
              <w:t>Supreme Court of Western Australia</w:t>
            </w:r>
          </w:p>
          <w:p w:rsidR="00425758" w:rsidRDefault="00425758">
            <w:pPr>
              <w:pStyle w:val="yTableNAm"/>
              <w:keepNext/>
              <w:spacing w:before="0"/>
              <w:ind w:left="368"/>
              <w:rPr>
                <w:sz w:val="20"/>
              </w:rPr>
            </w:pPr>
            <w:r>
              <w:rPr>
                <w:sz w:val="20"/>
              </w:rPr>
              <w:t>David Malcolm Justice Centre</w:t>
            </w:r>
          </w:p>
          <w:p w:rsidR="00425758" w:rsidRDefault="00425758">
            <w:pPr>
              <w:pStyle w:val="yTableNAm"/>
              <w:keepNext/>
              <w:spacing w:before="0"/>
              <w:ind w:left="368"/>
              <w:rPr>
                <w:sz w:val="20"/>
              </w:rPr>
            </w:pPr>
            <w:r>
              <w:rPr>
                <w:sz w:val="20"/>
              </w:rPr>
              <w:t>Level 11, 28 Barrack Street</w:t>
            </w:r>
          </w:p>
          <w:p w:rsidR="00425758" w:rsidRDefault="00425758">
            <w:pPr>
              <w:pStyle w:val="yTableNAm"/>
              <w:keepNext/>
              <w:spacing w:before="0"/>
              <w:ind w:left="368"/>
              <w:rPr>
                <w:sz w:val="20"/>
              </w:rPr>
            </w:pPr>
            <w:r>
              <w:rPr>
                <w:sz w:val="20"/>
              </w:rPr>
              <w:t>Perth WA 6000</w:t>
            </w:r>
          </w:p>
          <w:p w:rsidR="00425758" w:rsidRDefault="00425758">
            <w:pPr>
              <w:pStyle w:val="yTableNAm"/>
              <w:keepNext/>
              <w:spacing w:before="0"/>
              <w:ind w:left="368" w:hanging="368"/>
              <w:rPr>
                <w:sz w:val="20"/>
              </w:rPr>
            </w:pPr>
            <w:r>
              <w:rPr>
                <w:sz w:val="20"/>
              </w:rPr>
              <w:t>*</w:t>
            </w:r>
            <w:r>
              <w:rPr>
                <w:sz w:val="20"/>
              </w:rPr>
              <w:tab/>
              <w:t>Supreme Court of Western Australia</w:t>
            </w:r>
          </w:p>
          <w:p w:rsidR="00425758" w:rsidRDefault="00425758">
            <w:pPr>
              <w:pStyle w:val="yTableNAm"/>
              <w:keepNext/>
              <w:spacing w:before="0"/>
              <w:ind w:left="368"/>
              <w:rPr>
                <w:sz w:val="20"/>
              </w:rPr>
            </w:pPr>
            <w:r>
              <w:rPr>
                <w:sz w:val="20"/>
              </w:rPr>
              <w:t>Court of Appeal Office</w:t>
            </w:r>
          </w:p>
          <w:p w:rsidR="00425758" w:rsidRDefault="00425758">
            <w:pPr>
              <w:pStyle w:val="yTableNAm"/>
              <w:keepNext/>
              <w:spacing w:before="0"/>
              <w:ind w:left="368"/>
              <w:rPr>
                <w:sz w:val="20"/>
              </w:rPr>
            </w:pPr>
            <w:r>
              <w:rPr>
                <w:sz w:val="20"/>
              </w:rPr>
              <w:t>Stirling Gardens, Barrack Street</w:t>
            </w:r>
          </w:p>
          <w:p w:rsidR="00425758" w:rsidRDefault="00425758">
            <w:pPr>
              <w:pStyle w:val="yTableNAm"/>
              <w:keepNext/>
              <w:spacing w:before="0"/>
              <w:ind w:left="368"/>
              <w:rPr>
                <w:sz w:val="20"/>
              </w:rPr>
            </w:pPr>
            <w:r>
              <w:rPr>
                <w:sz w:val="20"/>
              </w:rPr>
              <w:t>Perth WA 6000</w:t>
            </w:r>
          </w:p>
        </w:tc>
      </w:tr>
      <w:tr w:rsidR="00425758">
        <w:trPr>
          <w:cantSplit/>
        </w:trPr>
        <w:tc>
          <w:tcPr>
            <w:tcW w:w="7088" w:type="dxa"/>
            <w:gridSpan w:val="4"/>
          </w:tcPr>
          <w:p w:rsidR="00425758" w:rsidRDefault="00425758">
            <w:pPr>
              <w:pStyle w:val="yTableNAm"/>
              <w:keepNext/>
              <w:spacing w:before="0"/>
              <w:jc w:val="center"/>
              <w:rPr>
                <w:b/>
                <w:sz w:val="20"/>
              </w:rPr>
            </w:pPr>
            <w:r>
              <w:rPr>
                <w:b/>
                <w:sz w:val="20"/>
              </w:rPr>
              <w:t>Schedule of documents</w:t>
            </w:r>
          </w:p>
        </w:tc>
      </w:tr>
      <w:tr w:rsidR="00425758">
        <w:trPr>
          <w:cantSplit/>
        </w:trPr>
        <w:tc>
          <w:tcPr>
            <w:tcW w:w="7088" w:type="dxa"/>
            <w:gridSpan w:val="4"/>
          </w:tcPr>
          <w:p w:rsidR="00425758" w:rsidRDefault="00425758">
            <w:pPr>
              <w:pStyle w:val="yTableNAm"/>
              <w:keepNext/>
              <w:spacing w:before="0"/>
              <w:rPr>
                <w:sz w:val="20"/>
              </w:rPr>
            </w:pPr>
            <w:r>
              <w:rPr>
                <w:sz w:val="20"/>
              </w:rPr>
              <w:t>The documents and things you must produce are as follows:</w:t>
            </w:r>
          </w:p>
          <w:p w:rsidR="00425758" w:rsidRDefault="00425758">
            <w:pPr>
              <w:pStyle w:val="yTableNAm"/>
              <w:keepNext/>
              <w:spacing w:before="0"/>
              <w:rPr>
                <w:i/>
                <w:sz w:val="20"/>
              </w:rPr>
            </w:pPr>
            <w:r>
              <w:rPr>
                <w:sz w:val="20"/>
              </w:rPr>
              <w:t>[</w:t>
            </w:r>
            <w:r>
              <w:rPr>
                <w:i/>
                <w:sz w:val="20"/>
              </w:rPr>
              <w:t>List the documents or things and state whether the original of any document is required. If insufficient space, attach list.</w:t>
            </w:r>
            <w:r>
              <w:rPr>
                <w:sz w:val="20"/>
              </w:rPr>
              <w:t>]</w:t>
            </w:r>
          </w:p>
        </w:tc>
      </w:tr>
      <w:tr w:rsidR="00425758">
        <w:trPr>
          <w:cantSplit/>
        </w:trPr>
        <w:tc>
          <w:tcPr>
            <w:tcW w:w="7088" w:type="dxa"/>
            <w:gridSpan w:val="4"/>
          </w:tcPr>
          <w:p w:rsidR="00425758" w:rsidRDefault="00425758">
            <w:pPr>
              <w:pStyle w:val="yTableNAm"/>
              <w:keepNext/>
              <w:spacing w:before="0"/>
              <w:jc w:val="center"/>
              <w:rPr>
                <w:b/>
                <w:sz w:val="20"/>
              </w:rPr>
            </w:pPr>
            <w:r>
              <w:rPr>
                <w:b/>
                <w:sz w:val="20"/>
              </w:rPr>
              <w:t>Notes</w:t>
            </w:r>
          </w:p>
        </w:tc>
      </w:tr>
      <w:tr w:rsidR="00425758">
        <w:tc>
          <w:tcPr>
            <w:tcW w:w="1418" w:type="dxa"/>
          </w:tcPr>
          <w:p w:rsidR="00425758" w:rsidRDefault="00425758">
            <w:pPr>
              <w:pStyle w:val="yTableNAm"/>
              <w:keepNext/>
              <w:spacing w:before="0"/>
              <w:rPr>
                <w:b/>
                <w:sz w:val="20"/>
              </w:rPr>
            </w:pPr>
            <w:r>
              <w:rPr>
                <w:b/>
                <w:sz w:val="20"/>
              </w:rPr>
              <w:t>Last day for service</w:t>
            </w:r>
          </w:p>
        </w:tc>
        <w:tc>
          <w:tcPr>
            <w:tcW w:w="5670" w:type="dxa"/>
            <w:gridSpan w:val="3"/>
          </w:tcPr>
          <w:p w:rsidR="00425758" w:rsidRDefault="00425758">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rsidR="00425758">
        <w:tc>
          <w:tcPr>
            <w:tcW w:w="1418" w:type="dxa"/>
          </w:tcPr>
          <w:p w:rsidR="00425758" w:rsidRDefault="00425758">
            <w:pPr>
              <w:pStyle w:val="yTableNAm"/>
              <w:spacing w:before="0"/>
              <w:rPr>
                <w:b/>
                <w:sz w:val="20"/>
              </w:rPr>
            </w:pPr>
            <w:r>
              <w:rPr>
                <w:b/>
                <w:sz w:val="20"/>
              </w:rPr>
              <w:t>Informal service</w:t>
            </w:r>
          </w:p>
        </w:tc>
        <w:tc>
          <w:tcPr>
            <w:tcW w:w="5670" w:type="dxa"/>
            <w:gridSpan w:val="3"/>
          </w:tcPr>
          <w:p w:rsidR="00425758" w:rsidRDefault="00425758">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rsidR="00425758">
        <w:tc>
          <w:tcPr>
            <w:tcW w:w="1418" w:type="dxa"/>
          </w:tcPr>
          <w:p w:rsidR="00425758" w:rsidRDefault="00425758">
            <w:pPr>
              <w:pStyle w:val="yTableNAm"/>
              <w:spacing w:before="0"/>
              <w:rPr>
                <w:b/>
                <w:sz w:val="20"/>
              </w:rPr>
            </w:pPr>
            <w:r>
              <w:rPr>
                <w:b/>
                <w:sz w:val="20"/>
              </w:rPr>
              <w:t>Addressee a corporation</w:t>
            </w:r>
          </w:p>
        </w:tc>
        <w:tc>
          <w:tcPr>
            <w:tcW w:w="5670" w:type="dxa"/>
            <w:gridSpan w:val="3"/>
          </w:tcPr>
          <w:p w:rsidR="00425758" w:rsidRDefault="00425758">
            <w:pPr>
              <w:pStyle w:val="yTableNAm"/>
              <w:spacing w:before="0"/>
              <w:ind w:left="369" w:hanging="369"/>
              <w:rPr>
                <w:sz w:val="20"/>
              </w:rPr>
            </w:pPr>
            <w:r>
              <w:rPr>
                <w:sz w:val="20"/>
              </w:rPr>
              <w:t>3.</w:t>
            </w:r>
            <w:r>
              <w:rPr>
                <w:sz w:val="20"/>
              </w:rPr>
              <w:tab/>
              <w:t>If this subpoena is addressed to a corporation, the corporation must comply with the subpoena by its appropriate or proper officer.</w:t>
            </w:r>
          </w:p>
        </w:tc>
      </w:tr>
      <w:tr w:rsidR="00425758">
        <w:trPr>
          <w:cantSplit/>
        </w:trPr>
        <w:tc>
          <w:tcPr>
            <w:tcW w:w="1418" w:type="dxa"/>
          </w:tcPr>
          <w:p w:rsidR="00425758" w:rsidRDefault="00425758">
            <w:pPr>
              <w:pStyle w:val="yTableNAm"/>
              <w:spacing w:before="0"/>
              <w:rPr>
                <w:b/>
                <w:sz w:val="20"/>
              </w:rPr>
            </w:pPr>
            <w:r>
              <w:rPr>
                <w:b/>
                <w:sz w:val="20"/>
              </w:rPr>
              <w:lastRenderedPageBreak/>
              <w:t>Conduct money</w:t>
            </w:r>
          </w:p>
          <w:p w:rsidR="00425758" w:rsidRDefault="00425758">
            <w:pPr>
              <w:pStyle w:val="yTableNAm"/>
              <w:keepNext/>
              <w:spacing w:before="0"/>
              <w:rPr>
                <w:b/>
                <w:sz w:val="20"/>
              </w:rPr>
            </w:pPr>
          </w:p>
        </w:tc>
        <w:tc>
          <w:tcPr>
            <w:tcW w:w="5670" w:type="dxa"/>
            <w:gridSpan w:val="3"/>
          </w:tcPr>
          <w:p w:rsidR="00425758" w:rsidRDefault="00425758">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rsidR="00425758">
        <w:tc>
          <w:tcPr>
            <w:tcW w:w="1418" w:type="dxa"/>
          </w:tcPr>
          <w:p w:rsidR="00425758" w:rsidRDefault="00425758">
            <w:pPr>
              <w:pStyle w:val="yTableNAm"/>
              <w:spacing w:before="0"/>
              <w:rPr>
                <w:b/>
                <w:sz w:val="20"/>
              </w:rPr>
            </w:pPr>
            <w:r>
              <w:rPr>
                <w:b/>
                <w:sz w:val="20"/>
              </w:rPr>
              <w:t>Production of subpoena or copy of it and documents or things by delivery or post</w:t>
            </w:r>
          </w:p>
        </w:tc>
        <w:tc>
          <w:tcPr>
            <w:tcW w:w="5670" w:type="dxa"/>
            <w:gridSpan w:val="3"/>
          </w:tcPr>
          <w:p w:rsidR="00425758" w:rsidRDefault="00425758">
            <w:pPr>
              <w:pStyle w:val="yTableNAm"/>
              <w:spacing w:before="0"/>
              <w:ind w:left="369" w:hanging="369"/>
              <w:rPr>
                <w:sz w:val="20"/>
              </w:rPr>
            </w:pPr>
            <w:r>
              <w:rPr>
                <w:sz w:val="20"/>
              </w:rPr>
              <w:t>5.</w:t>
            </w:r>
            <w:r>
              <w:rPr>
                <w:sz w:val="20"/>
              </w:rPr>
              <w:tab/>
              <w:t>Instead of attending the Court and producing this subpoena (or a copy of it) and the documents or things, you may comply with this subpoena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rsidR="00425758">
        <w:trPr>
          <w:cantSplit/>
        </w:trPr>
        <w:tc>
          <w:tcPr>
            <w:tcW w:w="1418" w:type="dxa"/>
          </w:tcPr>
          <w:p w:rsidR="00425758" w:rsidRDefault="00425758">
            <w:pPr>
              <w:pStyle w:val="yTableNAm"/>
              <w:spacing w:before="0"/>
              <w:rPr>
                <w:b/>
                <w:sz w:val="20"/>
              </w:rPr>
            </w:pPr>
            <w:r>
              <w:rPr>
                <w:b/>
                <w:sz w:val="20"/>
              </w:rPr>
              <w:t>Production of a number of documents or things</w:t>
            </w:r>
          </w:p>
        </w:tc>
        <w:tc>
          <w:tcPr>
            <w:tcW w:w="5670" w:type="dxa"/>
            <w:gridSpan w:val="3"/>
          </w:tcPr>
          <w:p w:rsidR="00425758" w:rsidRDefault="00425758">
            <w:pPr>
              <w:pStyle w:val="yTableNAm"/>
              <w:spacing w:before="0"/>
              <w:ind w:left="369" w:hanging="369"/>
              <w:rPr>
                <w:sz w:val="20"/>
              </w:rPr>
            </w:pPr>
            <w:r>
              <w:rPr>
                <w:sz w:val="20"/>
              </w:rPr>
              <w:t>6.</w:t>
            </w:r>
            <w:r>
              <w:rPr>
                <w:sz w:val="20"/>
              </w:rPr>
              <w:tab/>
              <w:t>If you produce more than one document or thing, you must include with them a list of them.</w:t>
            </w:r>
          </w:p>
        </w:tc>
      </w:tr>
      <w:tr w:rsidR="00425758">
        <w:trPr>
          <w:cantSplit/>
        </w:trPr>
        <w:tc>
          <w:tcPr>
            <w:tcW w:w="1418" w:type="dxa"/>
            <w:tcBorders>
              <w:bottom w:val="nil"/>
            </w:tcBorders>
          </w:tcPr>
          <w:p w:rsidR="00425758" w:rsidRDefault="00425758">
            <w:pPr>
              <w:pStyle w:val="yTableNAm"/>
              <w:spacing w:before="0"/>
              <w:rPr>
                <w:b/>
                <w:sz w:val="20"/>
                <w:vertAlign w:val="superscript"/>
              </w:rPr>
            </w:pPr>
            <w:r>
              <w:rPr>
                <w:b/>
                <w:sz w:val="20"/>
              </w:rPr>
              <w:t>Production of copy instead of original</w:t>
            </w:r>
          </w:p>
        </w:tc>
        <w:tc>
          <w:tcPr>
            <w:tcW w:w="5670" w:type="dxa"/>
            <w:gridSpan w:val="3"/>
            <w:tcBorders>
              <w:bottom w:val="nil"/>
            </w:tcBorders>
          </w:tcPr>
          <w:p w:rsidR="00425758" w:rsidRDefault="00425758">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tc>
      </w:tr>
      <w:tr w:rsidR="00425758">
        <w:trPr>
          <w:cantSplit/>
        </w:trPr>
        <w:tc>
          <w:tcPr>
            <w:tcW w:w="1418" w:type="dxa"/>
            <w:tcBorders>
              <w:top w:val="nil"/>
            </w:tcBorders>
          </w:tcPr>
          <w:p w:rsidR="00425758" w:rsidRDefault="00425758">
            <w:pPr>
              <w:pStyle w:val="yTableNAm"/>
              <w:spacing w:before="0"/>
              <w:rPr>
                <w:b/>
                <w:sz w:val="20"/>
              </w:rPr>
            </w:pPr>
          </w:p>
        </w:tc>
        <w:tc>
          <w:tcPr>
            <w:tcW w:w="5670" w:type="dxa"/>
            <w:gridSpan w:val="3"/>
            <w:tcBorders>
              <w:top w:val="nil"/>
            </w:tcBorders>
          </w:tcPr>
          <w:p w:rsidR="00425758" w:rsidRDefault="00425758">
            <w:pPr>
              <w:pStyle w:val="yTableNAm"/>
              <w:spacing w:before="0"/>
              <w:ind w:left="369" w:hanging="369"/>
              <w:rPr>
                <w:sz w:val="20"/>
              </w:rPr>
            </w:pPr>
            <w:r>
              <w:rPr>
                <w:sz w:val="20"/>
              </w:rPr>
              <w:t>8.</w:t>
            </w:r>
            <w:r>
              <w:rPr>
                <w:sz w:val="20"/>
              </w:rPr>
              <w:tab/>
              <w:t xml:space="preserve">The copy of a document may be — </w:t>
            </w:r>
          </w:p>
          <w:p w:rsidR="00425758" w:rsidRDefault="00425758">
            <w:pPr>
              <w:pStyle w:val="yTableNAm"/>
              <w:spacing w:before="0"/>
              <w:ind w:left="794" w:hanging="425"/>
              <w:rPr>
                <w:sz w:val="20"/>
              </w:rPr>
            </w:pPr>
            <w:r>
              <w:rPr>
                <w:sz w:val="20"/>
              </w:rPr>
              <w:t>(a)</w:t>
            </w:r>
            <w:r>
              <w:rPr>
                <w:sz w:val="20"/>
              </w:rPr>
              <w:tab/>
              <w:t>a photocopy; or</w:t>
            </w:r>
          </w:p>
          <w:p w:rsidR="00425758" w:rsidRDefault="00425758">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rsidR="00425758" w:rsidRDefault="00425758">
            <w:pPr>
              <w:pStyle w:val="yTableNAm"/>
              <w:spacing w:before="0"/>
              <w:ind w:left="935" w:hanging="1"/>
              <w:rPr>
                <w:sz w:val="20"/>
              </w:rPr>
            </w:pPr>
            <w:r>
              <w:rPr>
                <w:sz w:val="20"/>
              </w:rPr>
              <w:t>.doc and .docx – Microsoft Word documents</w:t>
            </w:r>
          </w:p>
          <w:p w:rsidR="00425758" w:rsidRDefault="00425758">
            <w:pPr>
              <w:pStyle w:val="yTableNAm"/>
              <w:spacing w:before="0"/>
              <w:ind w:left="935" w:hanging="1"/>
              <w:rPr>
                <w:sz w:val="20"/>
              </w:rPr>
            </w:pPr>
            <w:r>
              <w:rPr>
                <w:sz w:val="20"/>
              </w:rPr>
              <w:t>.pdf – Adobe Acrobat documents</w:t>
            </w:r>
          </w:p>
          <w:p w:rsidR="00425758" w:rsidRDefault="00425758">
            <w:pPr>
              <w:pStyle w:val="yTableNAm"/>
              <w:spacing w:before="0"/>
              <w:ind w:left="935" w:hanging="1"/>
              <w:rPr>
                <w:sz w:val="20"/>
              </w:rPr>
            </w:pPr>
            <w:r>
              <w:rPr>
                <w:sz w:val="20"/>
              </w:rPr>
              <w:t>.xls and .xlsx – Microsoft Excel spreadsheets</w:t>
            </w:r>
          </w:p>
          <w:p w:rsidR="00425758" w:rsidRDefault="00425758">
            <w:pPr>
              <w:pStyle w:val="yTableNAm"/>
              <w:spacing w:before="0"/>
              <w:ind w:left="935" w:hanging="1"/>
              <w:rPr>
                <w:sz w:val="20"/>
              </w:rPr>
            </w:pPr>
            <w:r>
              <w:rPr>
                <w:sz w:val="20"/>
              </w:rPr>
              <w:t>.jpg – image files</w:t>
            </w:r>
          </w:p>
          <w:p w:rsidR="00425758" w:rsidRDefault="00425758">
            <w:pPr>
              <w:pStyle w:val="yTableNAm"/>
              <w:spacing w:before="0"/>
              <w:ind w:left="935" w:hanging="1"/>
              <w:rPr>
                <w:sz w:val="20"/>
              </w:rPr>
            </w:pPr>
            <w:r>
              <w:rPr>
                <w:sz w:val="20"/>
              </w:rPr>
              <w:t>.rtf – rich text format</w:t>
            </w:r>
          </w:p>
          <w:p w:rsidR="00425758" w:rsidRDefault="00425758">
            <w:pPr>
              <w:pStyle w:val="yTableNAm"/>
              <w:spacing w:before="0"/>
              <w:ind w:left="935" w:hanging="1"/>
              <w:rPr>
                <w:sz w:val="20"/>
              </w:rPr>
            </w:pPr>
            <w:r>
              <w:rPr>
                <w:sz w:val="20"/>
              </w:rPr>
              <w:t>.gif – graphics interchange format</w:t>
            </w:r>
          </w:p>
          <w:p w:rsidR="00425758" w:rsidRDefault="00425758">
            <w:pPr>
              <w:pStyle w:val="yTableNAm"/>
              <w:spacing w:before="0"/>
              <w:ind w:left="935" w:hanging="1"/>
              <w:rPr>
                <w:sz w:val="20"/>
              </w:rPr>
            </w:pPr>
            <w:r>
              <w:rPr>
                <w:sz w:val="20"/>
              </w:rPr>
              <w:t>.tif – tagged image format</w:t>
            </w:r>
          </w:p>
        </w:tc>
      </w:tr>
      <w:tr w:rsidR="00425758">
        <w:trPr>
          <w:cantSplit/>
        </w:trPr>
        <w:tc>
          <w:tcPr>
            <w:tcW w:w="1418" w:type="dxa"/>
            <w:shd w:val="clear" w:color="auto" w:fill="auto"/>
          </w:tcPr>
          <w:p w:rsidR="00425758" w:rsidRDefault="00425758">
            <w:pPr>
              <w:pStyle w:val="yTableNAm"/>
              <w:spacing w:before="0"/>
              <w:rPr>
                <w:b/>
                <w:sz w:val="20"/>
              </w:rPr>
            </w:pPr>
            <w:r>
              <w:rPr>
                <w:b/>
                <w:sz w:val="20"/>
              </w:rPr>
              <w:t>Applications in relation to subpoena</w:t>
            </w:r>
          </w:p>
        </w:tc>
        <w:tc>
          <w:tcPr>
            <w:tcW w:w="5670" w:type="dxa"/>
            <w:gridSpan w:val="3"/>
            <w:shd w:val="clear" w:color="auto" w:fill="auto"/>
          </w:tcPr>
          <w:p w:rsidR="00425758" w:rsidRDefault="00425758">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rsidR="00425758" w:rsidRDefault="00425758">
            <w:pPr>
              <w:pStyle w:val="yTableNAm"/>
              <w:spacing w:before="0"/>
              <w:ind w:left="794" w:hanging="425"/>
              <w:rPr>
                <w:sz w:val="20"/>
              </w:rPr>
            </w:pPr>
            <w:r>
              <w:rPr>
                <w:sz w:val="20"/>
              </w:rPr>
              <w:t>(a)</w:t>
            </w:r>
            <w:r>
              <w:rPr>
                <w:sz w:val="20"/>
              </w:rPr>
              <w:tab/>
              <w:t>setting aside this subpoena (or a part of it);</w:t>
            </w:r>
          </w:p>
          <w:p w:rsidR="00425758" w:rsidRDefault="00425758">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rsidR="00425758" w:rsidRDefault="00425758">
            <w:pPr>
              <w:pStyle w:val="yTableNAm"/>
              <w:spacing w:before="0"/>
              <w:ind w:left="794" w:hanging="425"/>
              <w:rPr>
                <w:sz w:val="20"/>
              </w:rPr>
            </w:pPr>
            <w:r>
              <w:rPr>
                <w:sz w:val="20"/>
              </w:rPr>
              <w:t>(c)</w:t>
            </w:r>
            <w:r>
              <w:rPr>
                <w:sz w:val="20"/>
              </w:rPr>
              <w:tab/>
              <w:t>giving other relief in respect of it.</w:t>
            </w:r>
          </w:p>
          <w:p w:rsidR="00425758" w:rsidRDefault="00425758">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rsidR="00425758">
        <w:trPr>
          <w:cantSplit/>
        </w:trPr>
        <w:tc>
          <w:tcPr>
            <w:tcW w:w="1418" w:type="dxa"/>
          </w:tcPr>
          <w:p w:rsidR="00425758" w:rsidRDefault="00425758">
            <w:pPr>
              <w:pStyle w:val="yTableNAm"/>
              <w:spacing w:before="0"/>
              <w:rPr>
                <w:b/>
                <w:sz w:val="20"/>
              </w:rPr>
            </w:pPr>
            <w:r>
              <w:rPr>
                <w:b/>
                <w:sz w:val="20"/>
              </w:rPr>
              <w:lastRenderedPageBreak/>
              <w:t>Loss or expense of compliance</w:t>
            </w:r>
          </w:p>
        </w:tc>
        <w:tc>
          <w:tcPr>
            <w:tcW w:w="5670" w:type="dxa"/>
            <w:gridSpan w:val="3"/>
          </w:tcPr>
          <w:p w:rsidR="00425758" w:rsidRDefault="00425758">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rsidR="00425758">
        <w:tc>
          <w:tcPr>
            <w:tcW w:w="1418" w:type="dxa"/>
          </w:tcPr>
          <w:p w:rsidR="00425758" w:rsidRDefault="00425758">
            <w:pPr>
              <w:pStyle w:val="yTableNAm"/>
              <w:spacing w:before="0"/>
              <w:rPr>
                <w:b/>
                <w:sz w:val="20"/>
              </w:rPr>
            </w:pPr>
            <w:r>
              <w:rPr>
                <w:b/>
                <w:sz w:val="20"/>
              </w:rPr>
              <w:t>Contempt of court—arrest</w:t>
            </w:r>
          </w:p>
        </w:tc>
        <w:tc>
          <w:tcPr>
            <w:tcW w:w="5670" w:type="dxa"/>
            <w:gridSpan w:val="3"/>
          </w:tcPr>
          <w:p w:rsidR="00425758" w:rsidRDefault="00425758">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rsidR="00425758" w:rsidRDefault="00425758">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rsidR="00425758" w:rsidRDefault="00425758">
      <w:pPr>
        <w:pStyle w:val="PermNoteHeading"/>
        <w:tabs>
          <w:tab w:val="left" w:pos="567"/>
          <w:tab w:val="left" w:pos="1276"/>
        </w:tabs>
        <w:rPr>
          <w:szCs w:val="18"/>
        </w:rPr>
      </w:pPr>
      <w:r>
        <w:rPr>
          <w:szCs w:val="18"/>
        </w:rPr>
        <w:t>Footnotes to Form 21A —</w:t>
      </w:r>
    </w:p>
    <w:p w:rsidR="00425758" w:rsidRDefault="00425758">
      <w:pPr>
        <w:pStyle w:val="PermNotePara"/>
        <w:tabs>
          <w:tab w:val="clear" w:pos="1843"/>
          <w:tab w:val="left" w:pos="567"/>
        </w:tabs>
      </w:pPr>
      <w:r>
        <w:t>*</w:t>
      </w:r>
      <w:r>
        <w:tab/>
        <w:t>Delete the inapplicable.</w:t>
      </w:r>
    </w:p>
    <w:p w:rsidR="00425758" w:rsidRDefault="00425758">
      <w:pPr>
        <w:pStyle w:val="PermNotePara"/>
        <w:tabs>
          <w:tab w:val="clear" w:pos="1843"/>
          <w:tab w:val="left" w:pos="567"/>
        </w:tabs>
        <w:ind w:left="567" w:hanging="567"/>
      </w:pPr>
      <w:r>
        <w:t>1.</w:t>
      </w:r>
      <w:r>
        <w:tab/>
        <w:t>If there is more than one of any party, include the additional parties’ names and types of party in a schedule to the subpoena.</w:t>
      </w:r>
    </w:p>
    <w:p w:rsidR="00425758" w:rsidRDefault="00425758">
      <w:pPr>
        <w:pStyle w:val="yFootnotesection"/>
      </w:pPr>
      <w:r>
        <w:tab/>
        <w:t>[Form 21A inserted: Gazette 24 May 2017 p. 2578</w:t>
      </w:r>
      <w:r>
        <w:noBreakHyphen/>
        <w:t>81.]</w:t>
      </w:r>
    </w:p>
    <w:p w:rsidR="00425758" w:rsidRDefault="00425758">
      <w:pPr>
        <w:pStyle w:val="yHeading5"/>
      </w:pPr>
      <w:bookmarkStart w:id="1357" w:name="_Toc75863922"/>
      <w:r>
        <w:rPr>
          <w:rStyle w:val="CharSClsNo"/>
        </w:rPr>
        <w:t>21B</w:t>
      </w:r>
      <w:r>
        <w:t>.</w:t>
      </w:r>
      <w:r>
        <w:tab/>
        <w:t>Subpoena to give oral evidence and produce documents (O. 36B r. 3(1))</w:t>
      </w:r>
      <w:bookmarkEnd w:id="1357"/>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rsidR="00425758">
        <w:trPr>
          <w:cantSplit/>
          <w:trHeight w:val="194"/>
        </w:trPr>
        <w:tc>
          <w:tcPr>
            <w:tcW w:w="3544" w:type="dxa"/>
            <w:gridSpan w:val="2"/>
            <w:vMerge w:val="restart"/>
          </w:tcPr>
          <w:p w:rsidR="00425758" w:rsidRDefault="00425758">
            <w:pPr>
              <w:pStyle w:val="yTableNAm"/>
              <w:keepNext/>
              <w:spacing w:before="0"/>
              <w:rPr>
                <w:sz w:val="20"/>
              </w:rPr>
            </w:pPr>
            <w:r>
              <w:rPr>
                <w:sz w:val="20"/>
              </w:rPr>
              <w:t>Supreme Court of Western Australia</w:t>
            </w:r>
          </w:p>
          <w:p w:rsidR="00425758" w:rsidRDefault="00425758">
            <w:pPr>
              <w:pStyle w:val="yTableNAm"/>
              <w:keepNext/>
              <w:spacing w:before="0"/>
              <w:rPr>
                <w:sz w:val="20"/>
              </w:rPr>
            </w:pPr>
            <w:r>
              <w:rPr>
                <w:sz w:val="20"/>
              </w:rPr>
              <w:t>*General Division/Court of Appeal</w:t>
            </w:r>
          </w:p>
        </w:tc>
        <w:tc>
          <w:tcPr>
            <w:tcW w:w="3544" w:type="dxa"/>
            <w:gridSpan w:val="2"/>
          </w:tcPr>
          <w:p w:rsidR="00425758" w:rsidRDefault="00425758">
            <w:pPr>
              <w:pStyle w:val="yTableNAm"/>
              <w:keepNext/>
              <w:spacing w:before="0"/>
              <w:rPr>
                <w:sz w:val="20"/>
              </w:rPr>
            </w:pPr>
            <w:r>
              <w:rPr>
                <w:sz w:val="20"/>
              </w:rPr>
              <w:t>No.:</w:t>
            </w:r>
          </w:p>
        </w:tc>
      </w:tr>
      <w:tr w:rsidR="00425758">
        <w:trPr>
          <w:cantSplit/>
          <w:trHeight w:val="194"/>
        </w:trPr>
        <w:tc>
          <w:tcPr>
            <w:tcW w:w="3544" w:type="dxa"/>
            <w:gridSpan w:val="2"/>
            <w:vMerge/>
          </w:tcPr>
          <w:p w:rsidR="00425758" w:rsidRDefault="00425758">
            <w:pPr>
              <w:pStyle w:val="yTableNAm"/>
              <w:keepNext/>
              <w:spacing w:before="0"/>
              <w:rPr>
                <w:sz w:val="20"/>
              </w:rPr>
            </w:pPr>
          </w:p>
        </w:tc>
        <w:tc>
          <w:tcPr>
            <w:tcW w:w="3544" w:type="dxa"/>
            <w:gridSpan w:val="2"/>
          </w:tcPr>
          <w:p w:rsidR="00425758" w:rsidRDefault="00425758">
            <w:pPr>
              <w:pStyle w:val="yTableNAm"/>
              <w:keepNext/>
              <w:spacing w:before="0"/>
              <w:rPr>
                <w:b/>
                <w:sz w:val="20"/>
              </w:rPr>
            </w:pPr>
            <w:r>
              <w:rPr>
                <w:b/>
                <w:sz w:val="20"/>
              </w:rPr>
              <w:t>Subpoena to give oral evidence and produce documents</w:t>
            </w:r>
          </w:p>
        </w:tc>
      </w:tr>
      <w:tr w:rsidR="00425758">
        <w:trPr>
          <w:cantSplit/>
        </w:trPr>
        <w:tc>
          <w:tcPr>
            <w:tcW w:w="1418" w:type="dxa"/>
          </w:tcPr>
          <w:p w:rsidR="00425758" w:rsidRDefault="00425758">
            <w:pPr>
              <w:pStyle w:val="yTableNAm"/>
              <w:spacing w:before="0"/>
              <w:rPr>
                <w:sz w:val="20"/>
                <w:vertAlign w:val="superscript"/>
              </w:rPr>
            </w:pPr>
            <w:r>
              <w:rPr>
                <w:sz w:val="20"/>
              </w:rPr>
              <w:t>Parties</w:t>
            </w:r>
            <w:r>
              <w:rPr>
                <w:sz w:val="20"/>
                <w:vertAlign w:val="superscript"/>
              </w:rPr>
              <w:t>1</w:t>
            </w:r>
          </w:p>
        </w:tc>
        <w:tc>
          <w:tcPr>
            <w:tcW w:w="5670" w:type="dxa"/>
            <w:gridSpan w:val="3"/>
          </w:tcPr>
          <w:p w:rsidR="00425758" w:rsidRDefault="00425758">
            <w:pPr>
              <w:pStyle w:val="yTableNAm"/>
              <w:tabs>
                <w:tab w:val="clear" w:pos="567"/>
                <w:tab w:val="left" w:pos="2897"/>
              </w:tabs>
              <w:spacing w:before="0"/>
              <w:rPr>
                <w:sz w:val="20"/>
              </w:rPr>
            </w:pPr>
            <w:r>
              <w:rPr>
                <w:sz w:val="20"/>
              </w:rPr>
              <w:tab/>
              <w:t>Plaintiff</w:t>
            </w:r>
          </w:p>
          <w:p w:rsidR="00425758" w:rsidRDefault="00425758">
            <w:pPr>
              <w:pStyle w:val="yTableNAm"/>
              <w:tabs>
                <w:tab w:val="clear" w:pos="567"/>
                <w:tab w:val="left" w:pos="2897"/>
              </w:tabs>
              <w:spacing w:before="0"/>
              <w:rPr>
                <w:sz w:val="20"/>
              </w:rPr>
            </w:pPr>
            <w:r>
              <w:rPr>
                <w:sz w:val="20"/>
              </w:rPr>
              <w:tab/>
              <w:t>Defendant</w:t>
            </w:r>
          </w:p>
        </w:tc>
      </w:tr>
      <w:tr w:rsidR="00425758">
        <w:trPr>
          <w:cantSplit/>
        </w:trPr>
        <w:tc>
          <w:tcPr>
            <w:tcW w:w="1418" w:type="dxa"/>
          </w:tcPr>
          <w:p w:rsidR="00425758" w:rsidRDefault="00425758">
            <w:pPr>
              <w:pStyle w:val="yTableNAm"/>
              <w:spacing w:before="0"/>
              <w:rPr>
                <w:sz w:val="20"/>
              </w:rPr>
            </w:pPr>
            <w:r>
              <w:rPr>
                <w:sz w:val="20"/>
              </w:rPr>
              <w:t>To</w:t>
            </w:r>
          </w:p>
        </w:tc>
        <w:tc>
          <w:tcPr>
            <w:tcW w:w="5670" w:type="dxa"/>
            <w:gridSpan w:val="3"/>
          </w:tcPr>
          <w:p w:rsidR="00425758" w:rsidRDefault="00425758">
            <w:pPr>
              <w:pStyle w:val="yTableNAm"/>
              <w:spacing w:before="0"/>
              <w:rPr>
                <w:sz w:val="20"/>
              </w:rPr>
            </w:pPr>
            <w:r>
              <w:rPr>
                <w:sz w:val="20"/>
              </w:rPr>
              <w:t>[</w:t>
            </w:r>
            <w:r>
              <w:rPr>
                <w:i/>
                <w:sz w:val="20"/>
              </w:rPr>
              <w:t>Name and address</w:t>
            </w:r>
            <w:r>
              <w:rPr>
                <w:sz w:val="20"/>
              </w:rPr>
              <w:t>]</w:t>
            </w:r>
          </w:p>
        </w:tc>
      </w:tr>
      <w:tr w:rsidR="00425758">
        <w:trPr>
          <w:cantSplit/>
        </w:trPr>
        <w:tc>
          <w:tcPr>
            <w:tcW w:w="1418" w:type="dxa"/>
          </w:tcPr>
          <w:p w:rsidR="00425758" w:rsidRDefault="00425758">
            <w:pPr>
              <w:pStyle w:val="yTableNAm"/>
              <w:spacing w:before="0"/>
              <w:rPr>
                <w:b/>
                <w:sz w:val="20"/>
              </w:rPr>
            </w:pPr>
            <w:r>
              <w:rPr>
                <w:b/>
                <w:sz w:val="20"/>
              </w:rPr>
              <w:t>Order</w:t>
            </w:r>
          </w:p>
        </w:tc>
        <w:tc>
          <w:tcPr>
            <w:tcW w:w="5670" w:type="dxa"/>
            <w:gridSpan w:val="3"/>
          </w:tcPr>
          <w:p w:rsidR="00425758" w:rsidRDefault="00425758">
            <w:pPr>
              <w:pStyle w:val="yTableNAm"/>
              <w:spacing w:before="0"/>
              <w:rPr>
                <w:b/>
                <w:sz w:val="20"/>
              </w:rPr>
            </w:pPr>
            <w:r>
              <w:rPr>
                <w:b/>
                <w:sz w:val="20"/>
              </w:rPr>
              <w:t xml:space="preserve">You are ordered to attend the Supreme Court to give oral evidence and to produce this subpoena or a copy of it and the documents or things specified in the Schedule of documents. </w:t>
            </w:r>
            <w:r>
              <w:rPr>
                <w:sz w:val="20"/>
              </w:rPr>
              <w:t>See details below.</w:t>
            </w:r>
          </w:p>
          <w:p w:rsidR="00425758" w:rsidRDefault="00425758">
            <w:pPr>
              <w:pStyle w:val="yTableNAm"/>
              <w:spacing w:before="0"/>
              <w:rPr>
                <w:b/>
                <w:sz w:val="20"/>
              </w:rPr>
            </w:pPr>
            <w:r>
              <w:rPr>
                <w:b/>
                <w:sz w:val="20"/>
              </w:rPr>
              <w:t>Failure to comply with this subpoena without lawful excuse is a contempt of court and may result in your arrest.</w:t>
            </w:r>
          </w:p>
          <w:p w:rsidR="00425758" w:rsidRDefault="00425758">
            <w:pPr>
              <w:pStyle w:val="yTableNAm"/>
              <w:spacing w:before="0"/>
              <w:rPr>
                <w:sz w:val="20"/>
              </w:rPr>
            </w:pPr>
            <w:r>
              <w:rPr>
                <w:sz w:val="20"/>
              </w:rPr>
              <w:t>Please read Notes 1 to 12 at the end of this subpoena.</w:t>
            </w:r>
          </w:p>
        </w:tc>
      </w:tr>
      <w:tr w:rsidR="00425758">
        <w:trPr>
          <w:cantSplit/>
        </w:trPr>
        <w:tc>
          <w:tcPr>
            <w:tcW w:w="1418" w:type="dxa"/>
          </w:tcPr>
          <w:p w:rsidR="00425758" w:rsidRDefault="00425758">
            <w:pPr>
              <w:pStyle w:val="yTableNAm"/>
              <w:spacing w:before="0"/>
              <w:rPr>
                <w:sz w:val="20"/>
              </w:rPr>
            </w:pPr>
            <w:r>
              <w:rPr>
                <w:sz w:val="20"/>
              </w:rPr>
              <w:t>Last date for service</w:t>
            </w:r>
          </w:p>
          <w:p w:rsidR="00425758" w:rsidRDefault="00425758">
            <w:pPr>
              <w:pStyle w:val="yTableNAm"/>
              <w:spacing w:before="0"/>
              <w:rPr>
                <w:sz w:val="20"/>
              </w:rPr>
            </w:pPr>
            <w:r>
              <w:rPr>
                <w:sz w:val="18"/>
              </w:rPr>
              <w:t>[see Note 1]</w:t>
            </w:r>
            <w:r>
              <w:rPr>
                <w:sz w:val="20"/>
              </w:rPr>
              <w:t xml:space="preserve"> </w:t>
            </w:r>
          </w:p>
        </w:tc>
        <w:tc>
          <w:tcPr>
            <w:tcW w:w="5670" w:type="dxa"/>
            <w:gridSpan w:val="3"/>
          </w:tcPr>
          <w:p w:rsidR="00425758" w:rsidRDefault="00425758">
            <w:pPr>
              <w:pStyle w:val="yTableNAm"/>
              <w:keepNext/>
              <w:spacing w:before="0"/>
              <w:rPr>
                <w:b/>
                <w:sz w:val="20"/>
              </w:rPr>
            </w:pPr>
            <w:r>
              <w:rPr>
                <w:sz w:val="20"/>
              </w:rPr>
              <w:t>The last date for service of this subpoena is [</w:t>
            </w:r>
            <w:r>
              <w:rPr>
                <w:i/>
                <w:sz w:val="20"/>
              </w:rPr>
              <w:t>date</w:t>
            </w:r>
            <w:r>
              <w:rPr>
                <w:sz w:val="20"/>
              </w:rPr>
              <w:t>].</w:t>
            </w:r>
          </w:p>
        </w:tc>
      </w:tr>
      <w:tr w:rsidR="00425758">
        <w:trPr>
          <w:cantSplit/>
          <w:trHeight w:val="448"/>
        </w:trPr>
        <w:tc>
          <w:tcPr>
            <w:tcW w:w="1418" w:type="dxa"/>
            <w:vMerge w:val="restart"/>
          </w:tcPr>
          <w:p w:rsidR="00425758" w:rsidRDefault="00425758">
            <w:pPr>
              <w:pStyle w:val="yTableNAm"/>
              <w:spacing w:before="0"/>
              <w:rPr>
                <w:sz w:val="20"/>
              </w:rPr>
            </w:pPr>
            <w:r>
              <w:rPr>
                <w:sz w:val="20"/>
              </w:rPr>
              <w:t>Issuing details</w:t>
            </w:r>
          </w:p>
        </w:tc>
        <w:tc>
          <w:tcPr>
            <w:tcW w:w="5670" w:type="dxa"/>
            <w:gridSpan w:val="3"/>
          </w:tcPr>
          <w:p w:rsidR="00425758" w:rsidRDefault="00425758">
            <w:pPr>
              <w:pStyle w:val="yTableNAm"/>
              <w:spacing w:before="0"/>
              <w:rPr>
                <w:sz w:val="20"/>
              </w:rPr>
            </w:pPr>
            <w:r>
              <w:rPr>
                <w:sz w:val="20"/>
              </w:rPr>
              <w:t>Issued at the request of: [</w:t>
            </w:r>
            <w:r>
              <w:rPr>
                <w:i/>
                <w:sz w:val="20"/>
              </w:rPr>
              <w:t>Name of party</w:t>
            </w:r>
            <w:r>
              <w:rPr>
                <w:sz w:val="20"/>
              </w:rPr>
              <w:t>]</w:t>
            </w:r>
          </w:p>
          <w:p w:rsidR="00425758" w:rsidRDefault="00425758">
            <w:pPr>
              <w:pStyle w:val="yTableNAm"/>
              <w:spacing w:before="0"/>
              <w:rPr>
                <w:sz w:val="20"/>
              </w:rPr>
            </w:pPr>
            <w:r>
              <w:rPr>
                <w:sz w:val="20"/>
              </w:rPr>
              <w:t>Address for service: [</w:t>
            </w:r>
            <w:r>
              <w:rPr>
                <w:i/>
                <w:sz w:val="20"/>
              </w:rPr>
              <w:t>see Order 71A rule 3</w:t>
            </w:r>
            <w:r>
              <w:rPr>
                <w:sz w:val="20"/>
              </w:rPr>
              <w:t>]</w:t>
            </w:r>
          </w:p>
          <w:p w:rsidR="00425758" w:rsidRDefault="00425758">
            <w:pPr>
              <w:pStyle w:val="yTableNAm"/>
              <w:spacing w:before="0"/>
              <w:rPr>
                <w:sz w:val="20"/>
              </w:rPr>
            </w:pPr>
            <w:r>
              <w:rPr>
                <w:sz w:val="20"/>
              </w:rPr>
              <w:t>Email:</w:t>
            </w:r>
          </w:p>
        </w:tc>
      </w:tr>
      <w:tr w:rsidR="00425758">
        <w:trPr>
          <w:cantSplit/>
          <w:trHeight w:val="448"/>
        </w:trPr>
        <w:tc>
          <w:tcPr>
            <w:tcW w:w="1418" w:type="dxa"/>
            <w:vMerge/>
          </w:tcPr>
          <w:p w:rsidR="00425758" w:rsidRDefault="00425758">
            <w:pPr>
              <w:pStyle w:val="yTableNAm"/>
              <w:spacing w:before="0"/>
              <w:rPr>
                <w:sz w:val="20"/>
              </w:rPr>
            </w:pPr>
          </w:p>
        </w:tc>
        <w:tc>
          <w:tcPr>
            <w:tcW w:w="2647" w:type="dxa"/>
            <w:gridSpan w:val="2"/>
          </w:tcPr>
          <w:p w:rsidR="00425758" w:rsidRDefault="00425758">
            <w:pPr>
              <w:pStyle w:val="yTableNAm"/>
              <w:spacing w:before="0"/>
              <w:rPr>
                <w:sz w:val="20"/>
              </w:rPr>
            </w:pPr>
            <w:r>
              <w:rPr>
                <w:sz w:val="20"/>
              </w:rPr>
              <w:t>Date of issue:</w:t>
            </w:r>
          </w:p>
        </w:tc>
        <w:tc>
          <w:tcPr>
            <w:tcW w:w="3023" w:type="dxa"/>
          </w:tcPr>
          <w:p w:rsidR="00425758" w:rsidRDefault="00425758">
            <w:pPr>
              <w:pStyle w:val="yTableNAm"/>
              <w:spacing w:before="0"/>
              <w:rPr>
                <w:sz w:val="20"/>
              </w:rPr>
            </w:pPr>
            <w:r>
              <w:rPr>
                <w:sz w:val="20"/>
              </w:rPr>
              <w:t>[</w:t>
            </w:r>
            <w:r>
              <w:rPr>
                <w:i/>
                <w:sz w:val="20"/>
              </w:rPr>
              <w:t>Seal or stamp of the Court</w:t>
            </w:r>
            <w:r>
              <w:rPr>
                <w:sz w:val="20"/>
              </w:rPr>
              <w:t>]</w:t>
            </w:r>
          </w:p>
        </w:tc>
      </w:tr>
      <w:tr w:rsidR="00425758">
        <w:tc>
          <w:tcPr>
            <w:tcW w:w="1418" w:type="dxa"/>
            <w:tcBorders>
              <w:bottom w:val="nil"/>
            </w:tcBorders>
          </w:tcPr>
          <w:p w:rsidR="00425758" w:rsidRDefault="00425758">
            <w:pPr>
              <w:pStyle w:val="yTableNAm"/>
              <w:keepNext/>
              <w:spacing w:before="0"/>
              <w:rPr>
                <w:b/>
                <w:sz w:val="20"/>
              </w:rPr>
            </w:pPr>
            <w:r>
              <w:rPr>
                <w:b/>
                <w:sz w:val="20"/>
              </w:rPr>
              <w:lastRenderedPageBreak/>
              <w:t>Details of subpoena</w:t>
            </w:r>
          </w:p>
        </w:tc>
        <w:tc>
          <w:tcPr>
            <w:tcW w:w="5670" w:type="dxa"/>
            <w:gridSpan w:val="3"/>
            <w:tcBorders>
              <w:bottom w:val="nil"/>
            </w:tcBorders>
          </w:tcPr>
          <w:p w:rsidR="00425758" w:rsidRDefault="00425758">
            <w:pPr>
              <w:pStyle w:val="yTableNAm"/>
              <w:keepNext/>
              <w:spacing w:before="0"/>
              <w:rPr>
                <w:sz w:val="20"/>
              </w:rPr>
            </w:pPr>
            <w:r>
              <w:rPr>
                <w:sz w:val="20"/>
              </w:rPr>
              <w:t xml:space="preserve">In so far as this subpoena requires you to attend to give oral evidence, you must attend as follows, unless you receive notice of a later date or time from the issuing party, in which case the later date or time is substituted — </w:t>
            </w:r>
          </w:p>
          <w:p w:rsidR="00425758" w:rsidRDefault="00425758">
            <w:pPr>
              <w:pStyle w:val="yTableNAm"/>
              <w:keepNext/>
              <w:spacing w:before="0"/>
              <w:rPr>
                <w:sz w:val="20"/>
              </w:rPr>
            </w:pPr>
            <w:r>
              <w:rPr>
                <w:sz w:val="20"/>
              </w:rPr>
              <w:t>Date:</w:t>
            </w:r>
          </w:p>
          <w:p w:rsidR="00425758" w:rsidRDefault="00425758">
            <w:pPr>
              <w:pStyle w:val="yTableNAm"/>
              <w:keepNext/>
              <w:spacing w:before="0"/>
              <w:rPr>
                <w:sz w:val="20"/>
              </w:rPr>
            </w:pPr>
            <w:r>
              <w:rPr>
                <w:sz w:val="20"/>
              </w:rPr>
              <w:t>Time:</w:t>
            </w:r>
          </w:p>
          <w:p w:rsidR="00425758" w:rsidRDefault="00425758">
            <w:pPr>
              <w:pStyle w:val="yTableNAm"/>
              <w:keepNext/>
              <w:spacing w:before="0"/>
              <w:rPr>
                <w:sz w:val="20"/>
              </w:rPr>
            </w:pPr>
            <w:r>
              <w:rPr>
                <w:sz w:val="20"/>
              </w:rPr>
              <w:t>Place:</w:t>
            </w:r>
          </w:p>
          <w:p w:rsidR="00425758" w:rsidRDefault="00425758">
            <w:pPr>
              <w:pStyle w:val="yTableNAm"/>
              <w:keepNext/>
              <w:spacing w:before="0"/>
              <w:rPr>
                <w:sz w:val="20"/>
              </w:rPr>
            </w:pPr>
            <w:r>
              <w:rPr>
                <w:sz w:val="20"/>
              </w:rPr>
              <w:t>You must continue to attend from day-to-day unless excused by the Court or the person authorised to take evidence in this proceeding or until the hearing of the matter is completed.</w:t>
            </w:r>
          </w:p>
          <w:p w:rsidR="00425758" w:rsidRDefault="00425758">
            <w:pPr>
              <w:pStyle w:val="yTableNAm"/>
              <w:keepNext/>
              <w:spacing w:before="0"/>
              <w:ind w:left="368" w:hanging="368"/>
              <w:rPr>
                <w:sz w:val="20"/>
              </w:rPr>
            </w:pPr>
          </w:p>
        </w:tc>
      </w:tr>
      <w:tr w:rsidR="00425758">
        <w:tc>
          <w:tcPr>
            <w:tcW w:w="1418" w:type="dxa"/>
            <w:tcBorders>
              <w:top w:val="nil"/>
              <w:bottom w:val="nil"/>
            </w:tcBorders>
          </w:tcPr>
          <w:p w:rsidR="00425758" w:rsidRDefault="00425758">
            <w:pPr>
              <w:pStyle w:val="yTableNAm"/>
              <w:spacing w:before="0"/>
              <w:rPr>
                <w:b/>
                <w:sz w:val="20"/>
              </w:rPr>
            </w:pPr>
          </w:p>
        </w:tc>
        <w:tc>
          <w:tcPr>
            <w:tcW w:w="5670" w:type="dxa"/>
            <w:gridSpan w:val="3"/>
            <w:tcBorders>
              <w:top w:val="nil"/>
              <w:bottom w:val="nil"/>
            </w:tcBorders>
          </w:tcPr>
          <w:p w:rsidR="00425758" w:rsidRDefault="00425758">
            <w:pPr>
              <w:pStyle w:val="yTableNAm"/>
              <w:rPr>
                <w:sz w:val="20"/>
              </w:rPr>
            </w:pPr>
            <w:r>
              <w:rPr>
                <w:sz w:val="20"/>
              </w:rPr>
              <w:t xml:space="preserve">Insofar as this subpoena requires you to attend to produce the subpoena or a copy of it and documents or things, you must comply with that requirement — </w:t>
            </w:r>
          </w:p>
          <w:p w:rsidR="00425758" w:rsidRDefault="00425758">
            <w:pPr>
              <w:pStyle w:val="yTableNAm"/>
              <w:spacing w:before="0"/>
              <w:ind w:left="368" w:hanging="368"/>
              <w:rPr>
                <w:sz w:val="20"/>
              </w:rPr>
            </w:pPr>
            <w:r>
              <w:rPr>
                <w:sz w:val="20"/>
              </w:rPr>
              <w:t>(a)</w:t>
            </w:r>
            <w:r>
              <w:rPr>
                <w:sz w:val="20"/>
              </w:rPr>
              <w:tab/>
              <w:t>by attending to produce this subpoena or a copy of it and the documents or things specified in the Schedule of documents below at the date, time and place specified for attendance and production; or</w:t>
            </w:r>
          </w:p>
          <w:p w:rsidR="00425758" w:rsidRDefault="00425758">
            <w:pPr>
              <w:pStyle w:val="yTableNAm"/>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for attendance and production. (</w:t>
            </w:r>
            <w:r>
              <w:rPr>
                <w:i/>
                <w:sz w:val="20"/>
              </w:rPr>
              <w:t>See Notes 5–8</w:t>
            </w:r>
            <w:r>
              <w:rPr>
                <w:sz w:val="20"/>
              </w:rPr>
              <w:t>)</w:t>
            </w:r>
          </w:p>
        </w:tc>
      </w:tr>
      <w:tr w:rsidR="00425758">
        <w:tc>
          <w:tcPr>
            <w:tcW w:w="1418" w:type="dxa"/>
            <w:tcBorders>
              <w:top w:val="nil"/>
            </w:tcBorders>
          </w:tcPr>
          <w:p w:rsidR="00425758" w:rsidRDefault="00425758">
            <w:pPr>
              <w:pStyle w:val="yTableNAm"/>
              <w:spacing w:before="0"/>
              <w:rPr>
                <w:b/>
                <w:sz w:val="20"/>
              </w:rPr>
            </w:pPr>
          </w:p>
        </w:tc>
        <w:tc>
          <w:tcPr>
            <w:tcW w:w="5670" w:type="dxa"/>
            <w:gridSpan w:val="3"/>
            <w:tcBorders>
              <w:top w:val="nil"/>
            </w:tcBorders>
          </w:tcPr>
          <w:p w:rsidR="00425758" w:rsidRDefault="00425758">
            <w:pPr>
              <w:pStyle w:val="yTableNAm"/>
              <w:spacing w:before="0"/>
              <w:rPr>
                <w:sz w:val="20"/>
              </w:rPr>
            </w:pPr>
            <w:r>
              <w:rPr>
                <w:sz w:val="20"/>
              </w:rPr>
              <w:t xml:space="preserve">Date, time and place at which you must attend to produce the subpoena or a copy of it and the documents or things, unless you receive a notice of a later date or time from the issuing party, in which case the later date or time is substituted — </w:t>
            </w:r>
          </w:p>
          <w:p w:rsidR="00425758" w:rsidRDefault="00425758">
            <w:pPr>
              <w:pStyle w:val="yTableNAm"/>
              <w:spacing w:before="0"/>
              <w:rPr>
                <w:sz w:val="20"/>
              </w:rPr>
            </w:pPr>
            <w:r>
              <w:rPr>
                <w:sz w:val="20"/>
              </w:rPr>
              <w:t>Date:</w:t>
            </w:r>
          </w:p>
          <w:p w:rsidR="00425758" w:rsidRDefault="00425758">
            <w:pPr>
              <w:pStyle w:val="yTableNAm"/>
              <w:spacing w:before="0"/>
              <w:rPr>
                <w:sz w:val="20"/>
              </w:rPr>
            </w:pPr>
            <w:r>
              <w:rPr>
                <w:sz w:val="20"/>
              </w:rPr>
              <w:t>Time:</w:t>
            </w:r>
          </w:p>
          <w:p w:rsidR="00425758" w:rsidRDefault="00425758">
            <w:pPr>
              <w:pStyle w:val="yTableNAm"/>
              <w:spacing w:before="0"/>
              <w:rPr>
                <w:sz w:val="20"/>
              </w:rPr>
            </w:pPr>
            <w:r>
              <w:rPr>
                <w:sz w:val="20"/>
              </w:rPr>
              <w:t>Place:</w:t>
            </w:r>
          </w:p>
          <w:p w:rsidR="00425758" w:rsidRDefault="00425758">
            <w:pPr>
              <w:pStyle w:val="yTableNAm"/>
              <w:spacing w:before="0"/>
              <w:rPr>
                <w:sz w:val="20"/>
              </w:rPr>
            </w:pPr>
            <w:r>
              <w:rPr>
                <w:sz w:val="20"/>
              </w:rPr>
              <w:t>Address to which this subpoena (or copy) and documents or things may be delivered:</w:t>
            </w:r>
          </w:p>
          <w:p w:rsidR="00425758" w:rsidRDefault="00425758">
            <w:pPr>
              <w:pStyle w:val="yTableNAm"/>
              <w:spacing w:before="0"/>
              <w:ind w:left="368" w:hanging="368"/>
              <w:rPr>
                <w:sz w:val="20"/>
              </w:rPr>
            </w:pPr>
            <w:r>
              <w:rPr>
                <w:sz w:val="20"/>
              </w:rPr>
              <w:t>*</w:t>
            </w:r>
            <w:r>
              <w:rPr>
                <w:sz w:val="20"/>
              </w:rPr>
              <w:tab/>
              <w:t>Supreme Court of Western Australia</w:t>
            </w:r>
          </w:p>
          <w:p w:rsidR="00425758" w:rsidRDefault="00425758">
            <w:pPr>
              <w:pStyle w:val="yTableNAm"/>
              <w:spacing w:before="0"/>
              <w:ind w:left="368"/>
              <w:rPr>
                <w:sz w:val="20"/>
              </w:rPr>
            </w:pPr>
            <w:r>
              <w:rPr>
                <w:sz w:val="20"/>
              </w:rPr>
              <w:t>David Malcolm Justice Centre</w:t>
            </w:r>
          </w:p>
          <w:p w:rsidR="00425758" w:rsidRDefault="00425758">
            <w:pPr>
              <w:pStyle w:val="yTableNAm"/>
              <w:spacing w:before="0"/>
              <w:ind w:left="368"/>
              <w:rPr>
                <w:sz w:val="20"/>
              </w:rPr>
            </w:pPr>
            <w:r>
              <w:rPr>
                <w:sz w:val="20"/>
              </w:rPr>
              <w:t>Level 11, 28 Barrack Street</w:t>
            </w:r>
          </w:p>
          <w:p w:rsidR="00425758" w:rsidRDefault="00425758">
            <w:pPr>
              <w:pStyle w:val="yTableNAm"/>
              <w:spacing w:before="0"/>
              <w:ind w:left="368"/>
              <w:rPr>
                <w:sz w:val="20"/>
              </w:rPr>
            </w:pPr>
            <w:r>
              <w:rPr>
                <w:sz w:val="20"/>
              </w:rPr>
              <w:t>Perth WA 6000</w:t>
            </w:r>
          </w:p>
          <w:p w:rsidR="00425758" w:rsidRDefault="00425758">
            <w:pPr>
              <w:pStyle w:val="yTableNAm"/>
              <w:spacing w:before="0"/>
              <w:ind w:left="368" w:hanging="368"/>
              <w:rPr>
                <w:sz w:val="20"/>
              </w:rPr>
            </w:pPr>
            <w:r>
              <w:rPr>
                <w:sz w:val="20"/>
              </w:rPr>
              <w:t>*</w:t>
            </w:r>
            <w:r>
              <w:rPr>
                <w:sz w:val="20"/>
              </w:rPr>
              <w:tab/>
              <w:t>Supreme Court of Western Australia</w:t>
            </w:r>
          </w:p>
          <w:p w:rsidR="00425758" w:rsidRDefault="00425758">
            <w:pPr>
              <w:pStyle w:val="yTableNAm"/>
              <w:spacing w:before="0"/>
              <w:ind w:left="368"/>
              <w:rPr>
                <w:sz w:val="20"/>
              </w:rPr>
            </w:pPr>
            <w:r>
              <w:rPr>
                <w:sz w:val="20"/>
              </w:rPr>
              <w:t>Court of Appeal Office</w:t>
            </w:r>
          </w:p>
          <w:p w:rsidR="00425758" w:rsidRDefault="00425758">
            <w:pPr>
              <w:pStyle w:val="yTableNAm"/>
              <w:spacing w:before="0"/>
              <w:ind w:left="368"/>
              <w:rPr>
                <w:sz w:val="20"/>
              </w:rPr>
            </w:pPr>
            <w:r>
              <w:rPr>
                <w:sz w:val="20"/>
              </w:rPr>
              <w:t>Stirling Gardens, Barrack Street</w:t>
            </w:r>
          </w:p>
          <w:p w:rsidR="00425758" w:rsidRDefault="00425758">
            <w:pPr>
              <w:pStyle w:val="yTableNAm"/>
              <w:spacing w:before="0"/>
              <w:ind w:left="368"/>
              <w:rPr>
                <w:sz w:val="20"/>
              </w:rPr>
            </w:pPr>
            <w:r>
              <w:rPr>
                <w:sz w:val="20"/>
              </w:rPr>
              <w:t>Perth WA 6000</w:t>
            </w:r>
          </w:p>
        </w:tc>
      </w:tr>
    </w:tbl>
    <w:p w:rsidR="00425758" w:rsidRDefault="00425758">
      <w:pPr>
        <w:pStyle w:val="yMiscellaneousBody"/>
        <w:spacing w:before="0"/>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5670"/>
      </w:tblGrid>
      <w:tr w:rsidR="00425758">
        <w:trPr>
          <w:cantSplit/>
        </w:trPr>
        <w:tc>
          <w:tcPr>
            <w:tcW w:w="7088" w:type="dxa"/>
            <w:gridSpan w:val="2"/>
          </w:tcPr>
          <w:p w:rsidR="00425758" w:rsidRDefault="00425758">
            <w:pPr>
              <w:pStyle w:val="yTableNAm"/>
              <w:keepNext/>
              <w:keepLines/>
              <w:spacing w:before="0"/>
              <w:jc w:val="center"/>
              <w:rPr>
                <w:b/>
                <w:sz w:val="20"/>
              </w:rPr>
            </w:pPr>
            <w:r>
              <w:rPr>
                <w:b/>
                <w:sz w:val="20"/>
              </w:rPr>
              <w:lastRenderedPageBreak/>
              <w:t>Schedule of documents</w:t>
            </w:r>
          </w:p>
        </w:tc>
      </w:tr>
      <w:tr w:rsidR="00425758">
        <w:trPr>
          <w:cantSplit/>
        </w:trPr>
        <w:tc>
          <w:tcPr>
            <w:tcW w:w="7088" w:type="dxa"/>
            <w:gridSpan w:val="2"/>
          </w:tcPr>
          <w:p w:rsidR="00425758" w:rsidRDefault="00425758">
            <w:pPr>
              <w:pStyle w:val="yTableNAm"/>
              <w:spacing w:before="0"/>
              <w:rPr>
                <w:sz w:val="20"/>
              </w:rPr>
            </w:pPr>
            <w:r>
              <w:rPr>
                <w:sz w:val="20"/>
              </w:rPr>
              <w:t>The documents and things you must produce are as follows:</w:t>
            </w:r>
          </w:p>
          <w:p w:rsidR="00425758" w:rsidRDefault="00425758">
            <w:pPr>
              <w:pStyle w:val="yTableNAm"/>
              <w:spacing w:before="0"/>
              <w:rPr>
                <w:i/>
                <w:sz w:val="20"/>
              </w:rPr>
            </w:pPr>
            <w:r>
              <w:rPr>
                <w:i/>
                <w:sz w:val="20"/>
              </w:rPr>
              <w:t>[List the documents or things and whether the original of any document is required. If insufficient space, attach list.]</w:t>
            </w:r>
          </w:p>
        </w:tc>
      </w:tr>
      <w:tr w:rsidR="00425758">
        <w:trPr>
          <w:cantSplit/>
        </w:trPr>
        <w:tc>
          <w:tcPr>
            <w:tcW w:w="7088" w:type="dxa"/>
            <w:gridSpan w:val="2"/>
          </w:tcPr>
          <w:p w:rsidR="00425758" w:rsidRDefault="00425758">
            <w:pPr>
              <w:pStyle w:val="yTableNAm"/>
              <w:spacing w:before="0"/>
              <w:jc w:val="center"/>
              <w:rPr>
                <w:b/>
                <w:sz w:val="20"/>
              </w:rPr>
            </w:pPr>
            <w:r>
              <w:rPr>
                <w:b/>
                <w:sz w:val="20"/>
              </w:rPr>
              <w:t>Notes</w:t>
            </w:r>
          </w:p>
        </w:tc>
      </w:tr>
      <w:tr w:rsidR="00425758">
        <w:tc>
          <w:tcPr>
            <w:tcW w:w="1418" w:type="dxa"/>
          </w:tcPr>
          <w:p w:rsidR="00425758" w:rsidRDefault="00425758">
            <w:pPr>
              <w:pStyle w:val="yTableNAm"/>
              <w:spacing w:before="0"/>
              <w:rPr>
                <w:b/>
                <w:sz w:val="20"/>
              </w:rPr>
            </w:pPr>
            <w:r>
              <w:rPr>
                <w:b/>
                <w:sz w:val="20"/>
              </w:rPr>
              <w:t>Last day for service</w:t>
            </w:r>
          </w:p>
        </w:tc>
        <w:tc>
          <w:tcPr>
            <w:tcW w:w="5670" w:type="dxa"/>
          </w:tcPr>
          <w:p w:rsidR="00425758" w:rsidRDefault="00425758">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rsidR="00425758">
        <w:trPr>
          <w:cantSplit/>
        </w:trPr>
        <w:tc>
          <w:tcPr>
            <w:tcW w:w="1418" w:type="dxa"/>
          </w:tcPr>
          <w:p w:rsidR="00425758" w:rsidRDefault="00425758">
            <w:pPr>
              <w:pStyle w:val="yTableNAm"/>
              <w:spacing w:before="0"/>
              <w:rPr>
                <w:b/>
                <w:sz w:val="20"/>
              </w:rPr>
            </w:pPr>
            <w:r>
              <w:rPr>
                <w:b/>
                <w:sz w:val="20"/>
              </w:rPr>
              <w:t>Informal service</w:t>
            </w:r>
          </w:p>
        </w:tc>
        <w:tc>
          <w:tcPr>
            <w:tcW w:w="5670" w:type="dxa"/>
          </w:tcPr>
          <w:p w:rsidR="00425758" w:rsidRDefault="00425758">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rsidR="00425758">
        <w:tc>
          <w:tcPr>
            <w:tcW w:w="1418" w:type="dxa"/>
          </w:tcPr>
          <w:p w:rsidR="00425758" w:rsidRDefault="00425758">
            <w:pPr>
              <w:pStyle w:val="yTableNAm"/>
              <w:spacing w:before="0"/>
              <w:rPr>
                <w:b/>
                <w:sz w:val="20"/>
              </w:rPr>
            </w:pPr>
            <w:r>
              <w:rPr>
                <w:b/>
                <w:sz w:val="20"/>
              </w:rPr>
              <w:t>Addressee a corporation</w:t>
            </w:r>
          </w:p>
        </w:tc>
        <w:tc>
          <w:tcPr>
            <w:tcW w:w="5670" w:type="dxa"/>
          </w:tcPr>
          <w:p w:rsidR="00425758" w:rsidRDefault="00425758">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rsidR="00425758">
        <w:trPr>
          <w:cantSplit/>
        </w:trPr>
        <w:tc>
          <w:tcPr>
            <w:tcW w:w="1418" w:type="dxa"/>
          </w:tcPr>
          <w:p w:rsidR="00425758" w:rsidRDefault="00425758">
            <w:pPr>
              <w:pStyle w:val="yTableNAm"/>
              <w:spacing w:before="0"/>
              <w:rPr>
                <w:b/>
                <w:sz w:val="20"/>
              </w:rPr>
            </w:pPr>
            <w:r>
              <w:rPr>
                <w:b/>
                <w:sz w:val="20"/>
              </w:rPr>
              <w:t>Conduct money</w:t>
            </w:r>
          </w:p>
        </w:tc>
        <w:tc>
          <w:tcPr>
            <w:tcW w:w="5670" w:type="dxa"/>
          </w:tcPr>
          <w:p w:rsidR="00425758" w:rsidRDefault="00425758">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rsidR="00425758">
        <w:tc>
          <w:tcPr>
            <w:tcW w:w="1418" w:type="dxa"/>
          </w:tcPr>
          <w:p w:rsidR="00425758" w:rsidRDefault="00425758">
            <w:pPr>
              <w:pStyle w:val="yTableNAm"/>
              <w:spacing w:before="0"/>
              <w:rPr>
                <w:b/>
                <w:sz w:val="20"/>
              </w:rPr>
            </w:pPr>
            <w:r>
              <w:rPr>
                <w:b/>
                <w:sz w:val="20"/>
              </w:rPr>
              <w:t>Production of subpoena or copy of it and documents or things by delivery or post</w:t>
            </w:r>
          </w:p>
        </w:tc>
        <w:tc>
          <w:tcPr>
            <w:tcW w:w="5670" w:type="dxa"/>
          </w:tcPr>
          <w:p w:rsidR="00425758" w:rsidRDefault="00425758">
            <w:pPr>
              <w:pStyle w:val="yTableNAm"/>
              <w:spacing w:before="0"/>
              <w:ind w:left="369" w:hanging="369"/>
              <w:rPr>
                <w:sz w:val="20"/>
              </w:rPr>
            </w:pPr>
            <w:r>
              <w:rPr>
                <w:sz w:val="20"/>
              </w:rPr>
              <w:t>5.</w:t>
            </w:r>
            <w:r>
              <w:rPr>
                <w:sz w:val="20"/>
              </w:rPr>
              <w:tab/>
              <w:t>Insofar as this subpoena requires you to attend and produce the subpoena (or a copy of it) and documents or things, you may, instead of attending, comply with that requirement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rsidR="00425758">
        <w:trPr>
          <w:cantSplit/>
        </w:trPr>
        <w:tc>
          <w:tcPr>
            <w:tcW w:w="1418" w:type="dxa"/>
          </w:tcPr>
          <w:p w:rsidR="00425758" w:rsidRDefault="00425758">
            <w:pPr>
              <w:pStyle w:val="yTableNAm"/>
              <w:spacing w:before="0"/>
              <w:rPr>
                <w:b/>
                <w:sz w:val="20"/>
              </w:rPr>
            </w:pPr>
            <w:r>
              <w:rPr>
                <w:b/>
                <w:sz w:val="20"/>
              </w:rPr>
              <w:t>Production of a number of documents or things</w:t>
            </w:r>
          </w:p>
        </w:tc>
        <w:tc>
          <w:tcPr>
            <w:tcW w:w="5670" w:type="dxa"/>
          </w:tcPr>
          <w:p w:rsidR="00425758" w:rsidRDefault="00425758">
            <w:pPr>
              <w:pStyle w:val="yTableNAm"/>
              <w:spacing w:before="0"/>
              <w:ind w:left="369" w:hanging="369"/>
              <w:rPr>
                <w:sz w:val="20"/>
              </w:rPr>
            </w:pPr>
            <w:r>
              <w:rPr>
                <w:sz w:val="20"/>
              </w:rPr>
              <w:t>6.</w:t>
            </w:r>
            <w:r>
              <w:rPr>
                <w:sz w:val="20"/>
              </w:rPr>
              <w:tab/>
              <w:t>If you produce more than one document or thing, you must include with them a list of them.</w:t>
            </w:r>
          </w:p>
        </w:tc>
      </w:tr>
      <w:tr w:rsidR="00425758">
        <w:tc>
          <w:tcPr>
            <w:tcW w:w="1418" w:type="dxa"/>
          </w:tcPr>
          <w:p w:rsidR="00425758" w:rsidRDefault="00425758">
            <w:pPr>
              <w:pStyle w:val="yTableNAm"/>
              <w:spacing w:before="0"/>
              <w:rPr>
                <w:b/>
                <w:sz w:val="20"/>
                <w:vertAlign w:val="superscript"/>
              </w:rPr>
            </w:pPr>
            <w:r>
              <w:rPr>
                <w:b/>
                <w:sz w:val="20"/>
              </w:rPr>
              <w:t>Production of copy instead of original</w:t>
            </w:r>
          </w:p>
        </w:tc>
        <w:tc>
          <w:tcPr>
            <w:tcW w:w="5670" w:type="dxa"/>
          </w:tcPr>
          <w:p w:rsidR="00425758" w:rsidRDefault="00425758">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p w:rsidR="00425758" w:rsidRDefault="00425758">
            <w:pPr>
              <w:pStyle w:val="yTableNAm"/>
              <w:spacing w:before="0"/>
              <w:ind w:left="369" w:hanging="369"/>
              <w:rPr>
                <w:sz w:val="20"/>
              </w:rPr>
            </w:pPr>
            <w:r>
              <w:rPr>
                <w:sz w:val="20"/>
              </w:rPr>
              <w:t>8.</w:t>
            </w:r>
            <w:r>
              <w:rPr>
                <w:sz w:val="20"/>
              </w:rPr>
              <w:tab/>
              <w:t xml:space="preserve">The copy of a document may be — </w:t>
            </w:r>
          </w:p>
          <w:p w:rsidR="00425758" w:rsidRDefault="00425758">
            <w:pPr>
              <w:pStyle w:val="yTableNAm"/>
              <w:spacing w:before="0"/>
              <w:ind w:left="794" w:hanging="425"/>
              <w:rPr>
                <w:sz w:val="20"/>
              </w:rPr>
            </w:pPr>
            <w:r>
              <w:rPr>
                <w:sz w:val="20"/>
              </w:rPr>
              <w:t>(a)</w:t>
            </w:r>
            <w:r>
              <w:rPr>
                <w:sz w:val="20"/>
              </w:rPr>
              <w:tab/>
              <w:t>a photocopy; or</w:t>
            </w:r>
          </w:p>
          <w:p w:rsidR="00425758" w:rsidRDefault="00425758">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rsidR="00425758" w:rsidRDefault="00425758">
            <w:pPr>
              <w:pStyle w:val="yTableNAm"/>
              <w:spacing w:before="0"/>
              <w:ind w:left="935" w:hanging="1"/>
              <w:rPr>
                <w:sz w:val="20"/>
              </w:rPr>
            </w:pPr>
            <w:r>
              <w:rPr>
                <w:sz w:val="20"/>
              </w:rPr>
              <w:t>.doc and .docx – Microsoft Word documents</w:t>
            </w:r>
          </w:p>
          <w:p w:rsidR="00425758" w:rsidRDefault="00425758">
            <w:pPr>
              <w:pStyle w:val="yTableNAm"/>
              <w:spacing w:before="0"/>
              <w:ind w:left="935" w:hanging="1"/>
              <w:rPr>
                <w:sz w:val="20"/>
              </w:rPr>
            </w:pPr>
            <w:r>
              <w:rPr>
                <w:sz w:val="20"/>
              </w:rPr>
              <w:t>.pdf – Adobe Acrobat documents</w:t>
            </w:r>
          </w:p>
          <w:p w:rsidR="00425758" w:rsidRDefault="00425758">
            <w:pPr>
              <w:pStyle w:val="yTableNAm"/>
              <w:spacing w:before="0"/>
              <w:ind w:left="935" w:hanging="1"/>
              <w:rPr>
                <w:sz w:val="20"/>
              </w:rPr>
            </w:pPr>
            <w:r>
              <w:rPr>
                <w:sz w:val="20"/>
              </w:rPr>
              <w:t>.xls and .xlsx – Microsoft Excel spreadsheets</w:t>
            </w:r>
          </w:p>
          <w:p w:rsidR="00425758" w:rsidRDefault="00425758">
            <w:pPr>
              <w:pStyle w:val="yTableNAm"/>
              <w:spacing w:before="0"/>
              <w:ind w:left="935" w:hanging="1"/>
              <w:rPr>
                <w:sz w:val="20"/>
              </w:rPr>
            </w:pPr>
            <w:r>
              <w:rPr>
                <w:sz w:val="20"/>
              </w:rPr>
              <w:t>.jpg – image files</w:t>
            </w:r>
          </w:p>
          <w:p w:rsidR="00425758" w:rsidRDefault="00425758">
            <w:pPr>
              <w:pStyle w:val="yTableNAm"/>
              <w:spacing w:before="0"/>
              <w:ind w:left="935" w:hanging="1"/>
              <w:rPr>
                <w:sz w:val="20"/>
              </w:rPr>
            </w:pPr>
            <w:r>
              <w:rPr>
                <w:sz w:val="20"/>
              </w:rPr>
              <w:t>.rtf – rich text format</w:t>
            </w:r>
          </w:p>
          <w:p w:rsidR="00425758" w:rsidRDefault="00425758">
            <w:pPr>
              <w:pStyle w:val="yTableNAm"/>
              <w:spacing w:before="0"/>
              <w:ind w:left="935" w:hanging="1"/>
              <w:rPr>
                <w:sz w:val="20"/>
              </w:rPr>
            </w:pPr>
            <w:r>
              <w:rPr>
                <w:sz w:val="20"/>
              </w:rPr>
              <w:lastRenderedPageBreak/>
              <w:t>.gif – graphics interchange format</w:t>
            </w:r>
          </w:p>
          <w:p w:rsidR="00425758" w:rsidRDefault="00425758">
            <w:pPr>
              <w:pStyle w:val="yTableNAm"/>
              <w:spacing w:before="0"/>
              <w:ind w:left="935" w:hanging="1"/>
              <w:rPr>
                <w:sz w:val="20"/>
              </w:rPr>
            </w:pPr>
            <w:r>
              <w:rPr>
                <w:sz w:val="20"/>
              </w:rPr>
              <w:t>.tif – tagged image format</w:t>
            </w:r>
          </w:p>
        </w:tc>
      </w:tr>
      <w:tr w:rsidR="00425758">
        <w:trPr>
          <w:cantSplit/>
        </w:trPr>
        <w:tc>
          <w:tcPr>
            <w:tcW w:w="1418" w:type="dxa"/>
          </w:tcPr>
          <w:p w:rsidR="00425758" w:rsidRDefault="00425758">
            <w:pPr>
              <w:pStyle w:val="yTableNAm"/>
              <w:spacing w:before="0"/>
              <w:rPr>
                <w:b/>
                <w:sz w:val="20"/>
              </w:rPr>
            </w:pPr>
            <w:r>
              <w:rPr>
                <w:b/>
                <w:sz w:val="20"/>
              </w:rPr>
              <w:lastRenderedPageBreak/>
              <w:t>Applications in relation to subpoena</w:t>
            </w:r>
          </w:p>
        </w:tc>
        <w:tc>
          <w:tcPr>
            <w:tcW w:w="5670" w:type="dxa"/>
          </w:tcPr>
          <w:p w:rsidR="00425758" w:rsidRDefault="00425758">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rsidR="00425758" w:rsidRDefault="00425758">
            <w:pPr>
              <w:pStyle w:val="yTableNAm"/>
              <w:spacing w:before="0"/>
              <w:ind w:left="794" w:hanging="425"/>
              <w:rPr>
                <w:sz w:val="20"/>
              </w:rPr>
            </w:pPr>
            <w:r>
              <w:rPr>
                <w:sz w:val="20"/>
              </w:rPr>
              <w:t>(a)</w:t>
            </w:r>
            <w:r>
              <w:rPr>
                <w:sz w:val="20"/>
              </w:rPr>
              <w:tab/>
              <w:t>setting aside this subpoena (or a part of it);</w:t>
            </w:r>
          </w:p>
          <w:p w:rsidR="00425758" w:rsidRDefault="00425758">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rsidR="00425758" w:rsidRDefault="00425758">
            <w:pPr>
              <w:pStyle w:val="yTableNAm"/>
              <w:spacing w:before="0"/>
              <w:ind w:left="794" w:hanging="425"/>
              <w:rPr>
                <w:sz w:val="20"/>
              </w:rPr>
            </w:pPr>
            <w:r>
              <w:rPr>
                <w:sz w:val="20"/>
              </w:rPr>
              <w:t>(c)</w:t>
            </w:r>
            <w:r>
              <w:rPr>
                <w:sz w:val="20"/>
              </w:rPr>
              <w:tab/>
              <w:t>giving other relief in respect of it.</w:t>
            </w:r>
          </w:p>
          <w:p w:rsidR="00425758" w:rsidRDefault="00425758">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rsidR="00425758">
        <w:trPr>
          <w:cantSplit/>
        </w:trPr>
        <w:tc>
          <w:tcPr>
            <w:tcW w:w="1418" w:type="dxa"/>
          </w:tcPr>
          <w:p w:rsidR="00425758" w:rsidRDefault="00425758">
            <w:pPr>
              <w:pStyle w:val="yTableNAm"/>
              <w:spacing w:before="0"/>
              <w:rPr>
                <w:b/>
                <w:sz w:val="20"/>
              </w:rPr>
            </w:pPr>
            <w:r>
              <w:rPr>
                <w:b/>
                <w:sz w:val="20"/>
              </w:rPr>
              <w:t>Loss or expense of compliance</w:t>
            </w:r>
          </w:p>
        </w:tc>
        <w:tc>
          <w:tcPr>
            <w:tcW w:w="5670" w:type="dxa"/>
          </w:tcPr>
          <w:p w:rsidR="00425758" w:rsidRDefault="00425758">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rsidR="00425758">
        <w:tc>
          <w:tcPr>
            <w:tcW w:w="1418" w:type="dxa"/>
          </w:tcPr>
          <w:p w:rsidR="00425758" w:rsidRDefault="00425758">
            <w:pPr>
              <w:pStyle w:val="yTableNAm"/>
              <w:spacing w:before="0"/>
              <w:rPr>
                <w:b/>
                <w:sz w:val="20"/>
              </w:rPr>
            </w:pPr>
            <w:r>
              <w:rPr>
                <w:b/>
                <w:sz w:val="20"/>
              </w:rPr>
              <w:t>Contempt of court—arrest</w:t>
            </w:r>
          </w:p>
        </w:tc>
        <w:tc>
          <w:tcPr>
            <w:tcW w:w="5670" w:type="dxa"/>
          </w:tcPr>
          <w:p w:rsidR="00425758" w:rsidRDefault="00425758">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rsidR="00425758" w:rsidRDefault="00425758">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rsidR="00425758" w:rsidRDefault="00425758">
      <w:pPr>
        <w:pStyle w:val="PermNoteHeading"/>
        <w:tabs>
          <w:tab w:val="left" w:pos="567"/>
          <w:tab w:val="left" w:pos="1276"/>
        </w:tabs>
        <w:rPr>
          <w:szCs w:val="18"/>
        </w:rPr>
      </w:pPr>
      <w:r>
        <w:rPr>
          <w:szCs w:val="18"/>
        </w:rPr>
        <w:t>Footnotes to Form 21B —</w:t>
      </w:r>
    </w:p>
    <w:p w:rsidR="00425758" w:rsidRDefault="00425758">
      <w:pPr>
        <w:pStyle w:val="PermNotePara"/>
        <w:tabs>
          <w:tab w:val="clear" w:pos="1843"/>
          <w:tab w:val="left" w:pos="567"/>
        </w:tabs>
      </w:pPr>
      <w:r>
        <w:t>*</w:t>
      </w:r>
      <w:r>
        <w:tab/>
        <w:t>Delete the inapplicable.</w:t>
      </w:r>
    </w:p>
    <w:p w:rsidR="00425758" w:rsidRDefault="00425758">
      <w:pPr>
        <w:pStyle w:val="PermNotePara"/>
        <w:tabs>
          <w:tab w:val="clear" w:pos="1843"/>
          <w:tab w:val="left" w:pos="567"/>
        </w:tabs>
        <w:ind w:left="567" w:hanging="567"/>
      </w:pPr>
      <w:r>
        <w:t>1.</w:t>
      </w:r>
      <w:r>
        <w:tab/>
        <w:t>If there is more than 1 of any party, include the additional parties’ names and types of party in a schedule to the subpoena.</w:t>
      </w:r>
    </w:p>
    <w:p w:rsidR="00425758" w:rsidRDefault="00425758">
      <w:pPr>
        <w:pStyle w:val="yFootnotesection"/>
      </w:pPr>
      <w:r>
        <w:tab/>
        <w:t>[Form 21B inserted: Gazette 24 May 2017 p. 2582</w:t>
      </w:r>
      <w:r>
        <w:noBreakHyphen/>
        <w:t>5.]</w:t>
      </w:r>
    </w:p>
    <w:p w:rsidR="00425758" w:rsidRDefault="00425758">
      <w:pPr>
        <w:pStyle w:val="yEdnotesection"/>
      </w:pPr>
      <w:r>
        <w:t>[Form 22 deleted: Gazette 24 May 2017 p. 2585.]</w:t>
      </w:r>
    </w:p>
    <w:p w:rsidR="00425758" w:rsidRDefault="00425758">
      <w:pPr>
        <w:pStyle w:val="yHeading5"/>
        <w:keepNext w:val="0"/>
        <w:keepLines w:val="0"/>
        <w:pageBreakBefore/>
        <w:widowControl w:val="0"/>
        <w:spacing w:before="0" w:after="120"/>
      </w:pPr>
      <w:bookmarkStart w:id="1358" w:name="_Toc75863923"/>
      <w:r>
        <w:rPr>
          <w:rStyle w:val="CharSClsNo"/>
        </w:rPr>
        <w:lastRenderedPageBreak/>
        <w:t>22A</w:t>
      </w:r>
      <w:r>
        <w:t>.</w:t>
      </w:r>
      <w:r>
        <w:tab/>
        <w:t>Subpoena notice and declaration (O. 36B r. 10(3))</w:t>
      </w:r>
      <w:bookmarkEnd w:id="1358"/>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rsidR="00425758">
        <w:trPr>
          <w:cantSplit/>
          <w:trHeight w:val="244"/>
        </w:trPr>
        <w:tc>
          <w:tcPr>
            <w:tcW w:w="3969" w:type="dxa"/>
            <w:gridSpan w:val="2"/>
            <w:vMerge w:val="restart"/>
          </w:tcPr>
          <w:p w:rsidR="00425758" w:rsidRDefault="00425758">
            <w:pPr>
              <w:pStyle w:val="yTableNAm"/>
              <w:rPr>
                <w:sz w:val="20"/>
              </w:rPr>
            </w:pPr>
            <w:r>
              <w:rPr>
                <w:sz w:val="20"/>
              </w:rPr>
              <w:t>Supreme Court of Western Australia</w:t>
            </w:r>
          </w:p>
          <w:p w:rsidR="00425758" w:rsidRDefault="00425758">
            <w:pPr>
              <w:pStyle w:val="yTableNAm"/>
              <w:rPr>
                <w:sz w:val="20"/>
              </w:rPr>
            </w:pPr>
            <w:r>
              <w:rPr>
                <w:sz w:val="20"/>
              </w:rPr>
              <w:t>General Division/Court of Appeal</w:t>
            </w:r>
          </w:p>
        </w:tc>
        <w:tc>
          <w:tcPr>
            <w:tcW w:w="3111" w:type="dxa"/>
          </w:tcPr>
          <w:p w:rsidR="00425758" w:rsidRDefault="00425758">
            <w:pPr>
              <w:pStyle w:val="yTableNAm"/>
              <w:rPr>
                <w:sz w:val="20"/>
              </w:rPr>
            </w:pPr>
            <w:r>
              <w:rPr>
                <w:sz w:val="20"/>
              </w:rPr>
              <w:t>No:</w:t>
            </w:r>
          </w:p>
        </w:tc>
      </w:tr>
      <w:tr w:rsidR="00425758">
        <w:trPr>
          <w:cantSplit/>
          <w:trHeight w:val="243"/>
        </w:trPr>
        <w:tc>
          <w:tcPr>
            <w:tcW w:w="3969" w:type="dxa"/>
            <w:gridSpan w:val="2"/>
            <w:vMerge/>
          </w:tcPr>
          <w:p w:rsidR="00425758" w:rsidRDefault="00425758">
            <w:pPr>
              <w:pStyle w:val="yTableNAm"/>
              <w:rPr>
                <w:sz w:val="20"/>
              </w:rPr>
            </w:pPr>
          </w:p>
        </w:tc>
        <w:tc>
          <w:tcPr>
            <w:tcW w:w="3111" w:type="dxa"/>
          </w:tcPr>
          <w:p w:rsidR="00425758" w:rsidRDefault="00425758">
            <w:pPr>
              <w:pStyle w:val="yTableNAm"/>
              <w:rPr>
                <w:b/>
                <w:bCs/>
                <w:sz w:val="20"/>
              </w:rPr>
            </w:pPr>
            <w:r>
              <w:rPr>
                <w:b/>
                <w:bCs/>
                <w:sz w:val="20"/>
              </w:rPr>
              <w:t>Subpoena notice and declaration</w:t>
            </w:r>
          </w:p>
        </w:tc>
      </w:tr>
      <w:tr w:rsidR="00425758">
        <w:tc>
          <w:tcPr>
            <w:tcW w:w="1200" w:type="dxa"/>
          </w:tcPr>
          <w:p w:rsidR="00425758" w:rsidRDefault="00425758">
            <w:pPr>
              <w:pStyle w:val="yTableNAm"/>
              <w:rPr>
                <w:sz w:val="20"/>
              </w:rPr>
            </w:pPr>
            <w:r>
              <w:rPr>
                <w:sz w:val="20"/>
              </w:rPr>
              <w:t>Parties</w:t>
            </w:r>
          </w:p>
        </w:tc>
        <w:tc>
          <w:tcPr>
            <w:tcW w:w="5880" w:type="dxa"/>
            <w:gridSpan w:val="2"/>
          </w:tcPr>
          <w:p w:rsidR="00425758" w:rsidRDefault="00425758">
            <w:pPr>
              <w:pStyle w:val="yTableNAm"/>
              <w:tabs>
                <w:tab w:val="clear" w:pos="567"/>
                <w:tab w:val="left" w:pos="3118"/>
              </w:tabs>
              <w:rPr>
                <w:sz w:val="20"/>
              </w:rPr>
            </w:pPr>
            <w:r>
              <w:rPr>
                <w:sz w:val="20"/>
              </w:rPr>
              <w:tab/>
              <w:t>Plaintiff</w:t>
            </w:r>
          </w:p>
          <w:p w:rsidR="00425758" w:rsidRDefault="00425758">
            <w:pPr>
              <w:pStyle w:val="yTableNAm"/>
              <w:tabs>
                <w:tab w:val="clear" w:pos="567"/>
                <w:tab w:val="left" w:pos="3118"/>
              </w:tabs>
              <w:rPr>
                <w:sz w:val="20"/>
              </w:rPr>
            </w:pPr>
            <w:r>
              <w:rPr>
                <w:sz w:val="20"/>
              </w:rPr>
              <w:tab/>
              <w:t>Defendant</w:t>
            </w:r>
          </w:p>
        </w:tc>
      </w:tr>
      <w:tr w:rsidR="00425758">
        <w:trPr>
          <w:cantSplit/>
        </w:trPr>
        <w:tc>
          <w:tcPr>
            <w:tcW w:w="7080" w:type="dxa"/>
            <w:gridSpan w:val="3"/>
          </w:tcPr>
          <w:p w:rsidR="00425758" w:rsidRDefault="00425758">
            <w:pPr>
              <w:pStyle w:val="yTableNAm"/>
              <w:jc w:val="center"/>
              <w:rPr>
                <w:b/>
                <w:bCs/>
                <w:sz w:val="20"/>
              </w:rPr>
            </w:pPr>
            <w:r>
              <w:rPr>
                <w:b/>
                <w:bCs/>
                <w:sz w:val="20"/>
              </w:rPr>
              <w:t>Notice to addressee</w:t>
            </w:r>
          </w:p>
        </w:tc>
      </w:tr>
      <w:tr w:rsidR="00425758">
        <w:trPr>
          <w:cantSplit/>
        </w:trPr>
        <w:tc>
          <w:tcPr>
            <w:tcW w:w="7080" w:type="dxa"/>
            <w:gridSpan w:val="3"/>
          </w:tcPr>
          <w:p w:rsidR="00425758" w:rsidRDefault="00425758">
            <w:pPr>
              <w:pStyle w:val="yTableNAm"/>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rsidR="00425758" w:rsidRDefault="00425758">
            <w:pPr>
              <w:pStyle w:val="yTableNAm"/>
              <w:rPr>
                <w:sz w:val="20"/>
              </w:rPr>
            </w:pPr>
            <w:r>
              <w:rPr>
                <w:sz w:val="20"/>
              </w:rPr>
              <w:t>You may produce copies of any subpoenaed documents, unless the subpoena specifically requires you to produce originals. A copy of a document may be —</w:t>
            </w:r>
          </w:p>
          <w:p w:rsidR="00425758" w:rsidRDefault="00425758">
            <w:pPr>
              <w:pStyle w:val="yTableNAm"/>
              <w:tabs>
                <w:tab w:val="clear" w:pos="567"/>
                <w:tab w:val="left" w:pos="383"/>
                <w:tab w:val="left" w:pos="874"/>
                <w:tab w:val="left" w:pos="1136"/>
              </w:tabs>
              <w:rPr>
                <w:sz w:val="20"/>
              </w:rPr>
            </w:pPr>
            <w:r>
              <w:rPr>
                <w:sz w:val="20"/>
              </w:rPr>
              <w:t>(a)</w:t>
            </w:r>
            <w:r>
              <w:rPr>
                <w:sz w:val="20"/>
              </w:rPr>
              <w:tab/>
              <w:t>a photocopy; or</w:t>
            </w:r>
          </w:p>
          <w:p w:rsidR="00425758" w:rsidRDefault="00425758">
            <w:pPr>
              <w:pStyle w:val="yTableNAm"/>
              <w:tabs>
                <w:tab w:val="clear" w:pos="567"/>
                <w:tab w:val="left" w:pos="383"/>
                <w:tab w:val="left" w:pos="874"/>
                <w:tab w:val="left" w:pos="1136"/>
              </w:tabs>
              <w:ind w:left="386" w:hanging="386"/>
              <w:rPr>
                <w:sz w:val="20"/>
              </w:rPr>
            </w:pPr>
            <w:r>
              <w:rPr>
                <w:sz w:val="20"/>
              </w:rPr>
              <w:t>(b)</w:t>
            </w:r>
            <w:r>
              <w:rPr>
                <w:sz w:val="20"/>
              </w:rPr>
              <w:tab/>
              <w:t xml:space="preserve">in an electronic form on a CD-ROM, DVD or USB device in any of the following electronic formats — </w:t>
            </w:r>
          </w:p>
          <w:p w:rsidR="00425758" w:rsidRDefault="00425758">
            <w:pPr>
              <w:pStyle w:val="yTableNAm"/>
              <w:keepNext/>
              <w:spacing w:before="0"/>
              <w:ind w:left="935" w:hanging="1"/>
              <w:rPr>
                <w:sz w:val="20"/>
              </w:rPr>
            </w:pPr>
            <w:r>
              <w:rPr>
                <w:sz w:val="20"/>
              </w:rPr>
              <w:t>.doc and .docx – Microsoft Word documents</w:t>
            </w:r>
          </w:p>
          <w:p w:rsidR="00425758" w:rsidRDefault="00425758">
            <w:pPr>
              <w:pStyle w:val="yTableNAm"/>
              <w:keepNext/>
              <w:spacing w:before="0"/>
              <w:ind w:left="935" w:hanging="1"/>
              <w:rPr>
                <w:sz w:val="20"/>
              </w:rPr>
            </w:pPr>
            <w:r>
              <w:rPr>
                <w:sz w:val="20"/>
              </w:rPr>
              <w:t>.pdf – Adobe Acrobat documents</w:t>
            </w:r>
          </w:p>
          <w:p w:rsidR="00425758" w:rsidRDefault="00425758">
            <w:pPr>
              <w:pStyle w:val="yTableNAm"/>
              <w:keepNext/>
              <w:spacing w:before="0"/>
              <w:ind w:left="935" w:hanging="1"/>
              <w:rPr>
                <w:sz w:val="20"/>
              </w:rPr>
            </w:pPr>
            <w:r>
              <w:rPr>
                <w:sz w:val="20"/>
              </w:rPr>
              <w:t>.xls and .xlsx – Microsoft Excel spreadsheets</w:t>
            </w:r>
          </w:p>
          <w:p w:rsidR="00425758" w:rsidRDefault="00425758">
            <w:pPr>
              <w:pStyle w:val="yTableNAm"/>
              <w:keepNext/>
              <w:spacing w:before="0"/>
              <w:ind w:left="935" w:hanging="1"/>
              <w:rPr>
                <w:sz w:val="20"/>
              </w:rPr>
            </w:pPr>
            <w:r>
              <w:rPr>
                <w:sz w:val="20"/>
              </w:rPr>
              <w:t>.jpg – image files</w:t>
            </w:r>
          </w:p>
          <w:p w:rsidR="00425758" w:rsidRDefault="00425758">
            <w:pPr>
              <w:pStyle w:val="yTableNAm"/>
              <w:keepNext/>
              <w:spacing w:before="0"/>
              <w:ind w:left="935" w:hanging="1"/>
              <w:rPr>
                <w:sz w:val="20"/>
              </w:rPr>
            </w:pPr>
            <w:r>
              <w:rPr>
                <w:sz w:val="20"/>
              </w:rPr>
              <w:t>.rtf – rich text format</w:t>
            </w:r>
          </w:p>
          <w:p w:rsidR="00425758" w:rsidRDefault="00425758">
            <w:pPr>
              <w:pStyle w:val="yTableNAm"/>
              <w:keepNext/>
              <w:spacing w:before="0"/>
              <w:ind w:left="935" w:hanging="1"/>
              <w:rPr>
                <w:sz w:val="20"/>
              </w:rPr>
            </w:pPr>
            <w:r>
              <w:rPr>
                <w:sz w:val="20"/>
              </w:rPr>
              <w:t>.gif – graphics interchange format</w:t>
            </w:r>
          </w:p>
          <w:p w:rsidR="00425758" w:rsidRDefault="00425758">
            <w:pPr>
              <w:pStyle w:val="yTableNAm"/>
              <w:keepNext/>
              <w:spacing w:before="0"/>
              <w:ind w:left="935" w:hanging="1"/>
              <w:rPr>
                <w:sz w:val="20"/>
              </w:rPr>
            </w:pPr>
            <w:r>
              <w:rPr>
                <w:sz w:val="20"/>
              </w:rPr>
              <w:t>.tif – tagged image format</w:t>
            </w:r>
          </w:p>
          <w:p w:rsidR="00425758" w:rsidRDefault="00425758">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rsidR="00425758" w:rsidRDefault="00425758">
            <w:pPr>
              <w:pStyle w:val="yTableNAm"/>
              <w:rPr>
                <w:sz w:val="20"/>
              </w:rPr>
            </w:pPr>
            <w:r>
              <w:rPr>
                <w:sz w:val="20"/>
              </w:rPr>
              <w:t>If you declare that all of the materials you produce are copies the registrar may destroy the copies when they are no longer required by the Court.</w:t>
            </w:r>
          </w:p>
          <w:p w:rsidR="00425758" w:rsidRDefault="00425758">
            <w:pPr>
              <w:pStyle w:val="yTableNAm"/>
              <w:rPr>
                <w:b/>
                <w:bCs/>
                <w:sz w:val="20"/>
              </w:rPr>
            </w:pPr>
            <w:r>
              <w:rPr>
                <w:sz w:val="20"/>
              </w:rPr>
              <w:t>If you declare that the material you produce includes any original document the registrar may, when the material is no longer required by the Court, return all of the material to you at the address specified by you in the Declaration below.</w:t>
            </w:r>
          </w:p>
        </w:tc>
      </w:tr>
      <w:tr w:rsidR="00425758">
        <w:trPr>
          <w:cantSplit/>
        </w:trPr>
        <w:tc>
          <w:tcPr>
            <w:tcW w:w="7080" w:type="dxa"/>
            <w:gridSpan w:val="3"/>
          </w:tcPr>
          <w:p w:rsidR="00425758" w:rsidRDefault="00425758">
            <w:pPr>
              <w:pStyle w:val="yTableNAm"/>
              <w:keepNext/>
              <w:widowControl w:val="0"/>
              <w:jc w:val="center"/>
              <w:rPr>
                <w:rFonts w:ascii="Arial" w:hAnsi="Arial"/>
                <w:b/>
                <w:bCs/>
                <w:sz w:val="20"/>
              </w:rPr>
            </w:pPr>
            <w:r>
              <w:rPr>
                <w:sz w:val="24"/>
              </w:rPr>
              <w:br w:type="page"/>
            </w:r>
            <w:r>
              <w:rPr>
                <w:b/>
                <w:bCs/>
                <w:sz w:val="20"/>
              </w:rPr>
              <w:t>Declaration by addressee (subpoena recipient)</w:t>
            </w:r>
          </w:p>
        </w:tc>
      </w:tr>
      <w:tr w:rsidR="00425758">
        <w:trPr>
          <w:trHeight w:val="1183"/>
        </w:trPr>
        <w:tc>
          <w:tcPr>
            <w:tcW w:w="7080" w:type="dxa"/>
            <w:gridSpan w:val="3"/>
          </w:tcPr>
          <w:p w:rsidR="00425758" w:rsidRDefault="00425758">
            <w:pPr>
              <w:pStyle w:val="yTableNAm"/>
              <w:widowControl w:val="0"/>
              <w:rPr>
                <w:rFonts w:ascii="Arial" w:hAnsi="Arial"/>
                <w:sz w:val="20"/>
              </w:rPr>
            </w:pPr>
            <w:r>
              <w:rPr>
                <w:sz w:val="20"/>
              </w:rPr>
              <w:t>[</w:t>
            </w:r>
            <w:r>
              <w:rPr>
                <w:i/>
                <w:iCs/>
                <w:sz w:val="20"/>
              </w:rPr>
              <w:t>Tick the relevant option below, (provide your address as appropriate), sign and date</w:t>
            </w:r>
            <w:r>
              <w:rPr>
                <w:sz w:val="20"/>
              </w:rPr>
              <w:t>]</w:t>
            </w:r>
          </w:p>
          <w:p w:rsidR="00425758" w:rsidRDefault="00425758">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may destroy the copies once they are no longer required, without further notice to me.</w:t>
            </w:r>
          </w:p>
        </w:tc>
      </w:tr>
      <w:tr w:rsidR="00425758">
        <w:trPr>
          <w:cantSplit/>
          <w:trHeight w:val="2074"/>
        </w:trPr>
        <w:tc>
          <w:tcPr>
            <w:tcW w:w="7080" w:type="dxa"/>
            <w:gridSpan w:val="3"/>
          </w:tcPr>
          <w:p w:rsidR="00425758" w:rsidRDefault="00425758">
            <w:pPr>
              <w:pStyle w:val="yTableNAm"/>
              <w:widowControl w:val="0"/>
              <w:tabs>
                <w:tab w:val="clear" w:pos="567"/>
                <w:tab w:val="left" w:pos="623"/>
              </w:tabs>
              <w:ind w:left="623" w:hanging="623"/>
              <w:rPr>
                <w:sz w:val="20"/>
              </w:rPr>
            </w:pPr>
            <w:r>
              <w:rPr>
                <w:sz w:val="20"/>
              </w:rPr>
              <w:lastRenderedPageBreak/>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may be returned to me at the following address —</w:t>
            </w:r>
          </w:p>
          <w:p w:rsidR="00425758" w:rsidRDefault="00425758">
            <w:pPr>
              <w:pStyle w:val="yTableNAm"/>
              <w:widowControl w:val="0"/>
              <w:tabs>
                <w:tab w:val="clear" w:pos="567"/>
                <w:tab w:val="left" w:pos="623"/>
              </w:tabs>
              <w:ind w:left="623" w:hanging="623"/>
              <w:rPr>
                <w:sz w:val="20"/>
              </w:rPr>
            </w:pPr>
            <w:r>
              <w:rPr>
                <w:sz w:val="20"/>
              </w:rPr>
              <w:tab/>
              <w:t>.............................................................................................................</w:t>
            </w:r>
          </w:p>
          <w:p w:rsidR="00425758" w:rsidRDefault="00425758">
            <w:pPr>
              <w:pStyle w:val="yTableNAm"/>
              <w:widowControl w:val="0"/>
              <w:tabs>
                <w:tab w:val="clear" w:pos="567"/>
                <w:tab w:val="left" w:pos="623"/>
              </w:tabs>
              <w:ind w:left="623" w:hanging="623"/>
              <w:rPr>
                <w:sz w:val="20"/>
              </w:rPr>
            </w:pPr>
            <w:r>
              <w:rPr>
                <w:sz w:val="20"/>
              </w:rPr>
              <w:tab/>
              <w:t>.............................................................................................................</w:t>
            </w:r>
          </w:p>
          <w:p w:rsidR="00425758" w:rsidRDefault="00425758">
            <w:pPr>
              <w:pStyle w:val="yTableNAm"/>
              <w:widowControl w:val="0"/>
              <w:tabs>
                <w:tab w:val="clear" w:pos="567"/>
                <w:tab w:val="left" w:pos="623"/>
              </w:tabs>
              <w:ind w:left="623" w:hanging="623"/>
              <w:rPr>
                <w:sz w:val="20"/>
              </w:rPr>
            </w:pPr>
            <w:r>
              <w:rPr>
                <w:sz w:val="20"/>
              </w:rPr>
              <w:t>........................................................</w:t>
            </w:r>
          </w:p>
          <w:p w:rsidR="00425758" w:rsidRDefault="00425758">
            <w:pPr>
              <w:pStyle w:val="yTableNAm"/>
              <w:widowControl w:val="0"/>
              <w:rPr>
                <w:sz w:val="20"/>
              </w:rPr>
            </w:pPr>
            <w:r>
              <w:rPr>
                <w:sz w:val="20"/>
              </w:rPr>
              <w:t>[</w:t>
            </w:r>
            <w:r>
              <w:rPr>
                <w:i/>
                <w:iCs/>
                <w:sz w:val="20"/>
              </w:rPr>
              <w:t>Signature of addressee</w:t>
            </w:r>
            <w:r>
              <w:rPr>
                <w:sz w:val="20"/>
              </w:rPr>
              <w:t>]</w:t>
            </w:r>
          </w:p>
          <w:p w:rsidR="00425758" w:rsidRDefault="00425758">
            <w:pPr>
              <w:pStyle w:val="yTableNAm"/>
              <w:widowControl w:val="0"/>
              <w:rPr>
                <w:sz w:val="20"/>
              </w:rPr>
            </w:pPr>
            <w:r>
              <w:rPr>
                <w:sz w:val="20"/>
              </w:rPr>
              <w:t>........................................................</w:t>
            </w:r>
          </w:p>
          <w:p w:rsidR="00425758" w:rsidRDefault="00425758">
            <w:pPr>
              <w:pStyle w:val="yTableNAm"/>
              <w:widowControl w:val="0"/>
              <w:rPr>
                <w:sz w:val="20"/>
              </w:rPr>
            </w:pPr>
            <w:r>
              <w:rPr>
                <w:sz w:val="20"/>
              </w:rPr>
              <w:t>[</w:t>
            </w:r>
            <w:r>
              <w:rPr>
                <w:i/>
                <w:iCs/>
                <w:sz w:val="20"/>
              </w:rPr>
              <w:t>Name of addressee</w:t>
            </w:r>
            <w:r>
              <w:rPr>
                <w:sz w:val="20"/>
              </w:rPr>
              <w:t>]</w:t>
            </w:r>
          </w:p>
          <w:p w:rsidR="00425758" w:rsidRDefault="00425758">
            <w:pPr>
              <w:pStyle w:val="yTableNAm"/>
              <w:widowControl w:val="0"/>
              <w:rPr>
                <w:sz w:val="20"/>
              </w:rPr>
            </w:pPr>
            <w:r>
              <w:rPr>
                <w:sz w:val="20"/>
              </w:rPr>
              <w:t>........................................................</w:t>
            </w:r>
          </w:p>
          <w:p w:rsidR="00425758" w:rsidRDefault="00425758">
            <w:pPr>
              <w:pStyle w:val="yTableNAm"/>
              <w:widowControl w:val="0"/>
              <w:rPr>
                <w:sz w:val="20"/>
              </w:rPr>
            </w:pPr>
            <w:r>
              <w:rPr>
                <w:sz w:val="20"/>
              </w:rPr>
              <w:t>[</w:t>
            </w:r>
            <w:r>
              <w:rPr>
                <w:i/>
                <w:iCs/>
                <w:sz w:val="20"/>
              </w:rPr>
              <w:t>Date</w:t>
            </w:r>
            <w:r>
              <w:rPr>
                <w:sz w:val="20"/>
              </w:rPr>
              <w:t>]</w:t>
            </w:r>
          </w:p>
        </w:tc>
      </w:tr>
    </w:tbl>
    <w:p w:rsidR="00425758" w:rsidRDefault="00425758">
      <w:pPr>
        <w:pStyle w:val="yFootnotesection"/>
        <w:keepLines w:val="0"/>
      </w:pPr>
      <w:r>
        <w:tab/>
        <w:t>[Form 22A inserted: Gazette 28 Jul 2010 p. 3480-1; amended: Gazette 24 May 2017 p. 2586; 16 Aug 2017 p. 4421.]</w:t>
      </w:r>
    </w:p>
    <w:p w:rsidR="00425758" w:rsidRDefault="00425758">
      <w:pPr>
        <w:pStyle w:val="yEdnotedivision"/>
        <w:outlineLvl w:val="9"/>
      </w:pPr>
      <w:r>
        <w:t>[Form 22B deleted: Gazette 21 Feb 2007 p. 546.]</w:t>
      </w:r>
    </w:p>
    <w:p w:rsidR="00425758" w:rsidRDefault="00425758">
      <w:pPr>
        <w:pStyle w:val="yHeading5"/>
      </w:pPr>
      <w:bookmarkStart w:id="1359" w:name="_Toc75863924"/>
      <w:r>
        <w:rPr>
          <w:rStyle w:val="CharSClsNo"/>
        </w:rPr>
        <w:t>23</w:t>
      </w:r>
      <w:r>
        <w:t>.</w:t>
      </w:r>
      <w:r>
        <w:tab/>
        <w:t>Subpoena to give evidence to WA Supreme Court (to be served in NZ) (O. 39A r. 2A)</w:t>
      </w:r>
      <w:bookmarkEnd w:id="1359"/>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686"/>
      </w:tblGrid>
      <w:tr w:rsidR="00425758">
        <w:trPr>
          <w:cantSplit/>
          <w:trHeight w:val="194"/>
        </w:trPr>
        <w:tc>
          <w:tcPr>
            <w:tcW w:w="3402" w:type="dxa"/>
            <w:gridSpan w:val="2"/>
            <w:vMerge w:val="restart"/>
          </w:tcPr>
          <w:p w:rsidR="00425758" w:rsidRDefault="00425758">
            <w:pPr>
              <w:pStyle w:val="yTableNAm"/>
              <w:spacing w:before="0"/>
              <w:rPr>
                <w:sz w:val="20"/>
              </w:rPr>
            </w:pPr>
            <w:r>
              <w:rPr>
                <w:sz w:val="20"/>
              </w:rPr>
              <w:t>Supreme Court of Western Australia</w:t>
            </w:r>
          </w:p>
          <w:p w:rsidR="00425758" w:rsidRDefault="00425758">
            <w:pPr>
              <w:pStyle w:val="yTableNAm"/>
              <w:keepNext/>
              <w:spacing w:before="0"/>
              <w:rPr>
                <w:sz w:val="20"/>
              </w:rPr>
            </w:pPr>
            <w:r>
              <w:rPr>
                <w:sz w:val="20"/>
              </w:rPr>
              <w:t>*General Division/Court of Appeal</w:t>
            </w:r>
          </w:p>
        </w:tc>
        <w:tc>
          <w:tcPr>
            <w:tcW w:w="3686" w:type="dxa"/>
          </w:tcPr>
          <w:p w:rsidR="00425758" w:rsidRDefault="00425758">
            <w:pPr>
              <w:pStyle w:val="yTableNAm"/>
              <w:keepNext/>
              <w:spacing w:before="0"/>
              <w:rPr>
                <w:sz w:val="20"/>
              </w:rPr>
            </w:pPr>
            <w:r>
              <w:rPr>
                <w:sz w:val="20"/>
              </w:rPr>
              <w:t>No.:</w:t>
            </w:r>
          </w:p>
        </w:tc>
      </w:tr>
      <w:tr w:rsidR="00425758">
        <w:trPr>
          <w:cantSplit/>
          <w:trHeight w:val="194"/>
        </w:trPr>
        <w:tc>
          <w:tcPr>
            <w:tcW w:w="3402" w:type="dxa"/>
            <w:gridSpan w:val="2"/>
            <w:vMerge/>
          </w:tcPr>
          <w:p w:rsidR="00425758" w:rsidRDefault="00425758">
            <w:pPr>
              <w:pStyle w:val="yTableNAm"/>
              <w:spacing w:before="0"/>
              <w:rPr>
                <w:sz w:val="20"/>
              </w:rPr>
            </w:pPr>
          </w:p>
        </w:tc>
        <w:tc>
          <w:tcPr>
            <w:tcW w:w="3686" w:type="dxa"/>
          </w:tcPr>
          <w:p w:rsidR="00425758" w:rsidRDefault="00425758">
            <w:pPr>
              <w:pStyle w:val="yTableNAm"/>
              <w:spacing w:before="0"/>
              <w:rPr>
                <w:b/>
                <w:sz w:val="20"/>
              </w:rPr>
            </w:pPr>
            <w:r>
              <w:rPr>
                <w:b/>
                <w:sz w:val="20"/>
              </w:rPr>
              <w:t>Notice attached to subpoena to give evidence to the Supreme Court of Western Australia (to be served in New Zealand)</w:t>
            </w:r>
          </w:p>
        </w:tc>
      </w:tr>
      <w:tr w:rsidR="00425758">
        <w:trPr>
          <w:cantSplit/>
        </w:trPr>
        <w:tc>
          <w:tcPr>
            <w:tcW w:w="1418" w:type="dxa"/>
          </w:tcPr>
          <w:p w:rsidR="00425758" w:rsidRDefault="00425758">
            <w:pPr>
              <w:pStyle w:val="yTableNAm"/>
              <w:spacing w:before="0"/>
              <w:rPr>
                <w:sz w:val="20"/>
                <w:vertAlign w:val="superscript"/>
              </w:rPr>
            </w:pPr>
            <w:r>
              <w:rPr>
                <w:sz w:val="20"/>
              </w:rPr>
              <w:t>Parties</w:t>
            </w:r>
            <w:r>
              <w:rPr>
                <w:sz w:val="20"/>
                <w:vertAlign w:val="superscript"/>
              </w:rPr>
              <w:t>1</w:t>
            </w:r>
          </w:p>
        </w:tc>
        <w:tc>
          <w:tcPr>
            <w:tcW w:w="5670" w:type="dxa"/>
            <w:gridSpan w:val="2"/>
          </w:tcPr>
          <w:p w:rsidR="00425758" w:rsidRDefault="00425758">
            <w:pPr>
              <w:pStyle w:val="yTableNAm"/>
              <w:tabs>
                <w:tab w:val="clear" w:pos="567"/>
                <w:tab w:val="left" w:pos="2897"/>
              </w:tabs>
              <w:spacing w:before="0"/>
              <w:rPr>
                <w:sz w:val="20"/>
              </w:rPr>
            </w:pPr>
            <w:r>
              <w:rPr>
                <w:sz w:val="20"/>
              </w:rPr>
              <w:tab/>
              <w:t>Plaintiff</w:t>
            </w:r>
          </w:p>
          <w:p w:rsidR="00425758" w:rsidRDefault="00425758">
            <w:pPr>
              <w:pStyle w:val="yTableNAm"/>
              <w:tabs>
                <w:tab w:val="clear" w:pos="567"/>
                <w:tab w:val="left" w:pos="2897"/>
              </w:tabs>
              <w:spacing w:before="0"/>
              <w:rPr>
                <w:sz w:val="20"/>
              </w:rPr>
            </w:pPr>
            <w:r>
              <w:rPr>
                <w:sz w:val="20"/>
              </w:rPr>
              <w:tab/>
              <w:t>Defendant</w:t>
            </w:r>
          </w:p>
        </w:tc>
      </w:tr>
      <w:tr w:rsidR="00425758">
        <w:tc>
          <w:tcPr>
            <w:tcW w:w="1418" w:type="dxa"/>
          </w:tcPr>
          <w:p w:rsidR="00425758" w:rsidRDefault="00425758">
            <w:pPr>
              <w:pStyle w:val="yTableNAm"/>
              <w:spacing w:before="0"/>
              <w:rPr>
                <w:sz w:val="20"/>
              </w:rPr>
            </w:pPr>
            <w:r>
              <w:rPr>
                <w:b/>
                <w:sz w:val="20"/>
              </w:rPr>
              <w:t xml:space="preserve">Notice to witness </w:t>
            </w:r>
          </w:p>
        </w:tc>
        <w:tc>
          <w:tcPr>
            <w:tcW w:w="5670" w:type="dxa"/>
            <w:gridSpan w:val="2"/>
          </w:tcPr>
          <w:p w:rsidR="00425758" w:rsidRDefault="00425758">
            <w:pPr>
              <w:pStyle w:val="yTableNAm"/>
              <w:spacing w:before="0"/>
              <w:jc w:val="center"/>
              <w:rPr>
                <w:sz w:val="20"/>
              </w:rPr>
            </w:pPr>
            <w:r>
              <w:rPr>
                <w:i/>
                <w:sz w:val="20"/>
              </w:rPr>
              <w:t xml:space="preserve">Trans-Tasman Proceedings Act 2010 </w:t>
            </w:r>
            <w:r>
              <w:rPr>
                <w:sz w:val="20"/>
              </w:rPr>
              <w:t>(Commonwealth)</w:t>
            </w:r>
          </w:p>
          <w:p w:rsidR="00425758" w:rsidRDefault="00425758">
            <w:pPr>
              <w:pStyle w:val="yTableNAm"/>
              <w:spacing w:before="0"/>
              <w:jc w:val="center"/>
              <w:rPr>
                <w:b/>
                <w:sz w:val="20"/>
              </w:rPr>
            </w:pPr>
            <w:r>
              <w:rPr>
                <w:b/>
                <w:sz w:val="20"/>
              </w:rPr>
              <w:t>This notice is very important.</w:t>
            </w:r>
          </w:p>
          <w:p w:rsidR="00425758" w:rsidRDefault="00425758">
            <w:pPr>
              <w:pStyle w:val="yTableNAm"/>
              <w:spacing w:before="0"/>
              <w:jc w:val="center"/>
              <w:rPr>
                <w:b/>
                <w:sz w:val="20"/>
              </w:rPr>
            </w:pPr>
            <w:r>
              <w:rPr>
                <w:b/>
                <w:sz w:val="20"/>
              </w:rPr>
              <w:t>Please read it and the attached document or documents very carefully.</w:t>
            </w:r>
          </w:p>
          <w:p w:rsidR="00425758" w:rsidRDefault="00425758">
            <w:pPr>
              <w:pStyle w:val="yTableNAm"/>
              <w:spacing w:before="0"/>
              <w:jc w:val="center"/>
              <w:rPr>
                <w:b/>
                <w:sz w:val="20"/>
              </w:rPr>
            </w:pPr>
            <w:r>
              <w:rPr>
                <w:b/>
                <w:sz w:val="20"/>
              </w:rPr>
              <w:t>If you have any trouble understanding these documents you should get legal advice as soon as possible.</w:t>
            </w:r>
          </w:p>
          <w:p w:rsidR="00425758" w:rsidRDefault="00425758">
            <w:pPr>
              <w:pStyle w:val="yTableNAm"/>
              <w:spacing w:before="0"/>
              <w:rPr>
                <w:sz w:val="20"/>
              </w:rPr>
            </w:pPr>
            <w:r>
              <w:rPr>
                <w:sz w:val="20"/>
              </w:rPr>
              <w:t>Attached to this notice is a subpoena requiring you to attend to give evidence to the Supreme Court of Western Australia. The subpoena has been issued by that court.</w:t>
            </w:r>
          </w:p>
          <w:p w:rsidR="00425758" w:rsidRDefault="00425758">
            <w:pPr>
              <w:pStyle w:val="yTableNAm"/>
              <w:spacing w:before="0"/>
              <w:rPr>
                <w:sz w:val="20"/>
              </w:rPr>
            </w:pPr>
          </w:p>
          <w:p w:rsidR="00425758" w:rsidRDefault="00425758">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rsidR="00425758" w:rsidRDefault="00425758">
            <w:pPr>
              <w:pStyle w:val="yTableNAm"/>
              <w:spacing w:before="0"/>
              <w:rPr>
                <w:sz w:val="20"/>
              </w:rPr>
            </w:pPr>
            <w:r>
              <w:rPr>
                <w:sz w:val="20"/>
              </w:rPr>
              <w:t xml:space="preserve">This notice — </w:t>
            </w:r>
          </w:p>
          <w:p w:rsidR="00425758" w:rsidRDefault="00425758">
            <w:pPr>
              <w:pStyle w:val="yTableNAm"/>
              <w:spacing w:before="0"/>
              <w:ind w:left="368" w:hanging="368"/>
              <w:rPr>
                <w:sz w:val="20"/>
              </w:rPr>
            </w:pPr>
            <w:r>
              <w:rPr>
                <w:sz w:val="20"/>
              </w:rPr>
              <w:t>•</w:t>
            </w:r>
            <w:r>
              <w:rPr>
                <w:sz w:val="20"/>
              </w:rPr>
              <w:tab/>
              <w:t>sets out your rights relating to the subpoena; and</w:t>
            </w:r>
          </w:p>
          <w:p w:rsidR="00425758" w:rsidRDefault="00425758">
            <w:pPr>
              <w:pStyle w:val="yTableNAm"/>
              <w:spacing w:before="0"/>
              <w:ind w:left="368" w:hanging="368"/>
              <w:rPr>
                <w:sz w:val="20"/>
              </w:rPr>
            </w:pPr>
            <w:r>
              <w:rPr>
                <w:sz w:val="20"/>
              </w:rPr>
              <w:lastRenderedPageBreak/>
              <w:t>•</w:t>
            </w:r>
            <w:r>
              <w:rPr>
                <w:sz w:val="20"/>
              </w:rPr>
              <w:tab/>
              <w:t>sets out your obligations relating to the subpoena; and</w:t>
            </w:r>
          </w:p>
          <w:p w:rsidR="00425758" w:rsidRDefault="00425758">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rsidR="00425758">
        <w:tc>
          <w:tcPr>
            <w:tcW w:w="1418" w:type="dxa"/>
          </w:tcPr>
          <w:p w:rsidR="00425758" w:rsidRDefault="00425758">
            <w:pPr>
              <w:pStyle w:val="yTableNAm"/>
              <w:keepNext/>
              <w:spacing w:before="0"/>
              <w:rPr>
                <w:b/>
                <w:sz w:val="20"/>
              </w:rPr>
            </w:pPr>
            <w:r>
              <w:rPr>
                <w:b/>
                <w:sz w:val="20"/>
              </w:rPr>
              <w:lastRenderedPageBreak/>
              <w:t>Your rights</w:t>
            </w:r>
          </w:p>
        </w:tc>
        <w:tc>
          <w:tcPr>
            <w:tcW w:w="5670" w:type="dxa"/>
            <w:gridSpan w:val="2"/>
          </w:tcPr>
          <w:p w:rsidR="00425758" w:rsidRDefault="00425758">
            <w:pPr>
              <w:pStyle w:val="yTableNAm"/>
              <w:keepNext/>
              <w:spacing w:before="0"/>
              <w:ind w:left="369" w:hanging="369"/>
              <w:rPr>
                <w:sz w:val="20"/>
              </w:rPr>
            </w:pPr>
            <w:r>
              <w:rPr>
                <w:sz w:val="20"/>
              </w:rPr>
              <w:t>1.</w:t>
            </w:r>
            <w:r>
              <w:rPr>
                <w:sz w:val="20"/>
              </w:rPr>
              <w:tab/>
              <w:t>You are entitled to receive payment of an amount equal to the reasonable expenses you incur in complying with the subpoena.</w:t>
            </w:r>
          </w:p>
          <w:p w:rsidR="00425758" w:rsidRDefault="00425758">
            <w:pPr>
              <w:pStyle w:val="yTableNAm"/>
              <w:keepNext/>
              <w:keepLines/>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rsidR="00425758" w:rsidRDefault="00425758">
            <w:pPr>
              <w:pStyle w:val="yTableNAm"/>
              <w:keepNext/>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rsidR="00425758" w:rsidRDefault="00425758">
            <w:pPr>
              <w:pStyle w:val="yTableNAm"/>
              <w:keepNext/>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rsidR="00425758" w:rsidRDefault="00425758">
            <w:pPr>
              <w:pStyle w:val="yTableNAm"/>
              <w:keepNext/>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rsidR="00425758" w:rsidRDefault="00425758">
            <w:pPr>
              <w:pStyle w:val="yTableNAm"/>
              <w:keepNext/>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rsidR="00425758">
        <w:tc>
          <w:tcPr>
            <w:tcW w:w="1418" w:type="dxa"/>
          </w:tcPr>
          <w:p w:rsidR="00425758" w:rsidRDefault="00425758">
            <w:pPr>
              <w:pStyle w:val="yTableNAm"/>
              <w:spacing w:before="0"/>
              <w:rPr>
                <w:b/>
                <w:sz w:val="20"/>
              </w:rPr>
            </w:pPr>
            <w:r>
              <w:rPr>
                <w:b/>
                <w:sz w:val="20"/>
              </w:rPr>
              <w:t xml:space="preserve">Your obligations  </w:t>
            </w:r>
          </w:p>
        </w:tc>
        <w:tc>
          <w:tcPr>
            <w:tcW w:w="5670" w:type="dxa"/>
            <w:gridSpan w:val="2"/>
          </w:tcPr>
          <w:p w:rsidR="00425758" w:rsidRDefault="00425758">
            <w:pPr>
              <w:pStyle w:val="yTableNAm"/>
              <w:spacing w:before="0"/>
              <w:ind w:left="369" w:hanging="369"/>
              <w:rPr>
                <w:sz w:val="20"/>
              </w:rPr>
            </w:pPr>
            <w:r>
              <w:rPr>
                <w:sz w:val="20"/>
              </w:rPr>
              <w:t>6.</w:t>
            </w:r>
            <w:r>
              <w:rPr>
                <w:sz w:val="20"/>
              </w:rPr>
              <w:tab/>
              <w:t xml:space="preserve">Unless the subpoena is set aside, you must comply with it if — </w:t>
            </w:r>
          </w:p>
          <w:p w:rsidR="00425758" w:rsidRDefault="00425758">
            <w:pPr>
              <w:pStyle w:val="yTableNAm"/>
              <w:spacing w:before="0"/>
              <w:ind w:left="793" w:hanging="368"/>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rsidR="00425758" w:rsidRDefault="00425758">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rsidR="00425758" w:rsidRDefault="00425758">
            <w:pPr>
              <w:pStyle w:val="yTableNAm"/>
              <w:spacing w:before="0"/>
              <w:ind w:left="1218" w:hanging="425"/>
              <w:rPr>
                <w:sz w:val="20"/>
              </w:rPr>
            </w:pPr>
            <w:r>
              <w:rPr>
                <w:sz w:val="20"/>
              </w:rPr>
              <w:t>(ii)</w:t>
            </w:r>
            <w:r>
              <w:rPr>
                <w:sz w:val="20"/>
              </w:rPr>
              <w:tab/>
              <w:t>a combination of money and vouchers (for example, travel tickets) to meet those expenses;</w:t>
            </w:r>
          </w:p>
          <w:p w:rsidR="00425758" w:rsidRDefault="00425758">
            <w:pPr>
              <w:pStyle w:val="yTableNAm"/>
              <w:spacing w:before="0"/>
              <w:ind w:left="793" w:hanging="368"/>
              <w:rPr>
                <w:sz w:val="20"/>
              </w:rPr>
            </w:pPr>
            <w:r>
              <w:rPr>
                <w:sz w:val="20"/>
              </w:rPr>
              <w:tab/>
            </w:r>
            <w:r>
              <w:rPr>
                <w:sz w:val="20"/>
              </w:rPr>
              <w:tab/>
              <w:t>and</w:t>
            </w:r>
          </w:p>
          <w:p w:rsidR="00425758" w:rsidRDefault="00425758">
            <w:pPr>
              <w:pStyle w:val="yTableNAm"/>
              <w:spacing w:before="0"/>
              <w:ind w:left="793" w:hanging="368"/>
              <w:rPr>
                <w:sz w:val="20"/>
              </w:rPr>
            </w:pPr>
            <w:r>
              <w:rPr>
                <w:sz w:val="20"/>
              </w:rPr>
              <w:t>(b)</w:t>
            </w:r>
            <w:r>
              <w:rPr>
                <w:sz w:val="20"/>
              </w:rPr>
              <w:tab/>
              <w:t>you were given with the subpoena a copy of an order by a judge of the Supreme Court giving leave to serve the subpoena in New Zealand; and</w:t>
            </w:r>
          </w:p>
          <w:p w:rsidR="00425758" w:rsidRDefault="00425758">
            <w:pPr>
              <w:pStyle w:val="yTableNAm"/>
              <w:spacing w:before="0"/>
              <w:ind w:left="793" w:hanging="368"/>
              <w:rPr>
                <w:sz w:val="20"/>
              </w:rPr>
            </w:pPr>
            <w:r>
              <w:rPr>
                <w:sz w:val="20"/>
              </w:rPr>
              <w:t>(c)</w:t>
            </w:r>
            <w:r>
              <w:rPr>
                <w:sz w:val="20"/>
              </w:rPr>
              <w:tab/>
              <w:t>the subpoena was served on you before or on the date specified in the order as the last day on which the subpoena may be served; and</w:t>
            </w:r>
          </w:p>
          <w:p w:rsidR="00425758" w:rsidRDefault="00425758">
            <w:pPr>
              <w:pStyle w:val="yTableNAm"/>
              <w:keepNext/>
              <w:spacing w:before="0"/>
              <w:ind w:left="793" w:hanging="368"/>
              <w:rPr>
                <w:sz w:val="20"/>
              </w:rPr>
            </w:pPr>
            <w:r>
              <w:rPr>
                <w:sz w:val="20"/>
              </w:rPr>
              <w:t>(d)</w:t>
            </w:r>
            <w:r>
              <w:rPr>
                <w:sz w:val="20"/>
              </w:rPr>
              <w:tab/>
              <w:t>service of the subpoena complied with any other conditions specified in the order; and</w:t>
            </w:r>
          </w:p>
          <w:p w:rsidR="00425758" w:rsidRDefault="00425758">
            <w:pPr>
              <w:pStyle w:val="yTableNAm"/>
              <w:spacing w:before="0"/>
              <w:ind w:left="793" w:hanging="368"/>
              <w:rPr>
                <w:sz w:val="20"/>
              </w:rPr>
            </w:pPr>
            <w:r>
              <w:rPr>
                <w:sz w:val="20"/>
              </w:rPr>
              <w:t>(e)</w:t>
            </w:r>
            <w:r>
              <w:rPr>
                <w:sz w:val="20"/>
              </w:rPr>
              <w:tab/>
              <w:t>you are over the age of 18 years.</w:t>
            </w:r>
          </w:p>
        </w:tc>
      </w:tr>
      <w:tr w:rsidR="00425758">
        <w:trPr>
          <w:cantSplit/>
        </w:trPr>
        <w:tc>
          <w:tcPr>
            <w:tcW w:w="1418" w:type="dxa"/>
          </w:tcPr>
          <w:p w:rsidR="00425758" w:rsidRDefault="00425758">
            <w:pPr>
              <w:pStyle w:val="yTableNAm"/>
              <w:spacing w:before="0"/>
              <w:rPr>
                <w:b/>
                <w:sz w:val="20"/>
              </w:rPr>
            </w:pPr>
            <w:r>
              <w:rPr>
                <w:b/>
                <w:sz w:val="20"/>
              </w:rPr>
              <w:lastRenderedPageBreak/>
              <w:t>Failure to comply with subpoena</w:t>
            </w:r>
          </w:p>
        </w:tc>
        <w:tc>
          <w:tcPr>
            <w:tcW w:w="5670" w:type="dxa"/>
            <w:gridSpan w:val="2"/>
          </w:tcPr>
          <w:p w:rsidR="00425758" w:rsidRDefault="00425758">
            <w:pPr>
              <w:pStyle w:val="yTableNAm"/>
              <w:spacing w:before="0"/>
              <w:ind w:left="369" w:hanging="369"/>
              <w:rPr>
                <w:sz w:val="20"/>
              </w:rPr>
            </w:pPr>
            <w:r>
              <w:rPr>
                <w:sz w:val="20"/>
              </w:rPr>
              <w:t>7.</w:t>
            </w:r>
            <w:r>
              <w:rPr>
                <w:sz w:val="20"/>
              </w:rPr>
              <w:tab/>
              <w:t>If you do not comply with the subpoena you may be arrested and taken before the High Court of New Zealand. Unless the High Court is satisfied that failure to comply should be excused, a fine not exceeding NZ$10 000 may be imposed.</w:t>
            </w:r>
          </w:p>
        </w:tc>
      </w:tr>
      <w:tr w:rsidR="00425758">
        <w:tc>
          <w:tcPr>
            <w:tcW w:w="1418" w:type="dxa"/>
          </w:tcPr>
          <w:p w:rsidR="00425758" w:rsidRDefault="00425758">
            <w:pPr>
              <w:pStyle w:val="yTableNAm"/>
              <w:spacing w:before="0"/>
              <w:rPr>
                <w:b/>
                <w:sz w:val="20"/>
              </w:rPr>
            </w:pPr>
            <w:r>
              <w:rPr>
                <w:b/>
                <w:sz w:val="20"/>
              </w:rPr>
              <w:t>Grounds for setting aside a subpoena</w:t>
            </w:r>
          </w:p>
        </w:tc>
        <w:tc>
          <w:tcPr>
            <w:tcW w:w="5670" w:type="dxa"/>
            <w:gridSpan w:val="2"/>
          </w:tcPr>
          <w:p w:rsidR="00425758" w:rsidRDefault="00425758">
            <w:pPr>
              <w:pStyle w:val="yTableNAm"/>
              <w:spacing w:before="0"/>
              <w:ind w:left="369" w:hanging="369"/>
              <w:rPr>
                <w:sz w:val="20"/>
              </w:rPr>
            </w:pPr>
            <w:r>
              <w:rPr>
                <w:sz w:val="20"/>
              </w:rPr>
              <w:t>8.</w:t>
            </w:r>
            <w:r>
              <w:rPr>
                <w:sz w:val="20"/>
              </w:rPr>
              <w:tab/>
              <w:t xml:space="preserve">The Supreme Court must set aside the subpoena if the subpoena requires you to attend at a place in Australia and — </w:t>
            </w:r>
          </w:p>
          <w:p w:rsidR="00425758" w:rsidRDefault="00425758">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rsidR="00425758" w:rsidRDefault="00425758">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rsidR="00425758" w:rsidRDefault="00425758">
            <w:pPr>
              <w:pStyle w:val="yTableNAm"/>
              <w:spacing w:before="0"/>
              <w:ind w:left="794" w:hanging="425"/>
              <w:rPr>
                <w:sz w:val="20"/>
              </w:rPr>
            </w:pPr>
            <w:r>
              <w:rPr>
                <w:sz w:val="20"/>
              </w:rPr>
              <w:t>(c)</w:t>
            </w:r>
            <w:r>
              <w:rPr>
                <w:sz w:val="20"/>
              </w:rPr>
              <w:tab/>
              <w:t>you are being prosecuted or you are liable to prosecution for an offence in Australia; or</w:t>
            </w:r>
          </w:p>
          <w:p w:rsidR="00425758" w:rsidRDefault="00425758">
            <w:pPr>
              <w:pStyle w:val="yTableNAm"/>
              <w:spacing w:before="0"/>
              <w:ind w:left="794" w:hanging="425"/>
              <w:rPr>
                <w:sz w:val="20"/>
              </w:rPr>
            </w:pPr>
            <w:r>
              <w:rPr>
                <w:sz w:val="20"/>
              </w:rPr>
              <w:t>(d)</w:t>
            </w:r>
            <w:r>
              <w:rPr>
                <w:sz w:val="20"/>
              </w:rPr>
              <w:tab/>
              <w:t xml:space="preserve">you are liable to imposition of a penalty in civil proceedings in Australia (other than proceedings under the </w:t>
            </w:r>
            <w:r>
              <w:rPr>
                <w:i/>
                <w:sz w:val="20"/>
              </w:rPr>
              <w:t xml:space="preserve">Competition and Consumer Act 2010 </w:t>
            </w:r>
            <w:r>
              <w:rPr>
                <w:sz w:val="20"/>
              </w:rPr>
              <w:t>(Commonwealth)); or</w:t>
            </w:r>
          </w:p>
          <w:p w:rsidR="00425758" w:rsidRDefault="00425758">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p w:rsidR="00425758" w:rsidRDefault="00425758">
            <w:pPr>
              <w:pStyle w:val="yTableNAm"/>
              <w:spacing w:before="0"/>
              <w:ind w:left="369" w:hanging="369"/>
              <w:rPr>
                <w:sz w:val="20"/>
              </w:rPr>
            </w:pPr>
            <w:r>
              <w:rPr>
                <w:sz w:val="20"/>
              </w:rPr>
              <w:t>9.</w:t>
            </w:r>
            <w:r>
              <w:rPr>
                <w:sz w:val="20"/>
              </w:rPr>
              <w:tab/>
              <w:t xml:space="preserve">The grounds on which the Supreme Court may set aside the subpoena include — </w:t>
            </w:r>
          </w:p>
          <w:p w:rsidR="00425758" w:rsidRDefault="00425758">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rsidR="00425758" w:rsidRDefault="00425758">
            <w:pPr>
              <w:pStyle w:val="yTableNAm"/>
              <w:spacing w:before="0"/>
              <w:ind w:left="794" w:hanging="425"/>
              <w:rPr>
                <w:sz w:val="20"/>
              </w:rPr>
            </w:pPr>
            <w:r>
              <w:rPr>
                <w:sz w:val="20"/>
              </w:rPr>
              <w:t>(b)</w:t>
            </w:r>
            <w:r>
              <w:rPr>
                <w:sz w:val="20"/>
              </w:rPr>
              <w:tab/>
              <w:t>compliance with the subpoena would cause you hardship or serious inconvenience.</w:t>
            </w:r>
          </w:p>
          <w:p w:rsidR="00425758" w:rsidRDefault="00425758">
            <w:pPr>
              <w:pStyle w:val="yTableNAm"/>
              <w:spacing w:before="0"/>
              <w:rPr>
                <w:b/>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rsidR="00425758">
        <w:tc>
          <w:tcPr>
            <w:tcW w:w="1418" w:type="dxa"/>
          </w:tcPr>
          <w:p w:rsidR="00425758" w:rsidRDefault="00425758">
            <w:pPr>
              <w:pStyle w:val="yTableNAm"/>
              <w:spacing w:before="0"/>
              <w:rPr>
                <w:b/>
                <w:sz w:val="20"/>
              </w:rPr>
            </w:pPr>
            <w:r>
              <w:rPr>
                <w:b/>
                <w:sz w:val="20"/>
              </w:rPr>
              <w:t xml:space="preserve">Procedure for applying to set aside a subpoena </w:t>
            </w:r>
          </w:p>
        </w:tc>
        <w:tc>
          <w:tcPr>
            <w:tcW w:w="5670" w:type="dxa"/>
            <w:gridSpan w:val="2"/>
          </w:tcPr>
          <w:p w:rsidR="00425758" w:rsidRDefault="00425758">
            <w:pPr>
              <w:pStyle w:val="yTableNAm"/>
              <w:spacing w:before="0"/>
              <w:ind w:left="369" w:hanging="369"/>
              <w:rPr>
                <w:sz w:val="20"/>
              </w:rPr>
            </w:pPr>
            <w:r>
              <w:rPr>
                <w:sz w:val="20"/>
              </w:rPr>
              <w:t>10.</w:t>
            </w:r>
            <w:r>
              <w:rPr>
                <w:sz w:val="20"/>
              </w:rPr>
              <w:tab/>
              <w:t>Application must be made to the Supreme Court of Western Australia.</w:t>
            </w:r>
          </w:p>
          <w:p w:rsidR="00425758" w:rsidRDefault="00425758">
            <w:pPr>
              <w:pStyle w:val="yTableNAm"/>
              <w:spacing w:before="0"/>
              <w:ind w:left="369" w:hanging="369"/>
              <w:rPr>
                <w:sz w:val="20"/>
              </w:rPr>
            </w:pPr>
            <w:r>
              <w:rPr>
                <w:sz w:val="20"/>
              </w:rPr>
              <w:t>11.</w:t>
            </w:r>
            <w:r>
              <w:rPr>
                <w:sz w:val="20"/>
              </w:rPr>
              <w:tab/>
              <w:t>You may fax your application to that Court on fax number [</w:t>
            </w:r>
            <w:r>
              <w:rPr>
                <w:i/>
                <w:sz w:val="20"/>
              </w:rPr>
              <w:t>fax number of the court</w:t>
            </w:r>
            <w:r>
              <w:rPr>
                <w:sz w:val="20"/>
              </w:rPr>
              <w:t>].</w:t>
            </w:r>
          </w:p>
          <w:p w:rsidR="00425758" w:rsidRDefault="00425758">
            <w:pPr>
              <w:pStyle w:val="yTableNAm"/>
              <w:spacing w:before="0"/>
              <w:ind w:left="369" w:hanging="369"/>
              <w:rPr>
                <w:sz w:val="20"/>
              </w:rPr>
            </w:pPr>
            <w:r>
              <w:rPr>
                <w:sz w:val="20"/>
              </w:rPr>
              <w:t>12.</w:t>
            </w:r>
            <w:r>
              <w:rPr>
                <w:sz w:val="20"/>
              </w:rPr>
              <w:tab/>
              <w:t>Your application must contain an address for service in New Zealand or Australia. Any documents to be served on you will be delivered, faxed or posted to you at that address.</w:t>
            </w:r>
          </w:p>
          <w:p w:rsidR="00425758" w:rsidRDefault="00425758">
            <w:pPr>
              <w:pStyle w:val="yTableNAm"/>
              <w:spacing w:before="0"/>
              <w:ind w:left="369" w:hanging="369"/>
              <w:rPr>
                <w:sz w:val="20"/>
              </w:rPr>
            </w:pPr>
            <w:r>
              <w:rPr>
                <w:sz w:val="20"/>
              </w:rPr>
              <w:t>13.</w:t>
            </w:r>
            <w:r>
              <w:rPr>
                <w:sz w:val="20"/>
              </w:rPr>
              <w:tab/>
              <w:t>A registrar of the Supreme Court will arrange for service of your application and of any affidavit you file with your application.</w:t>
            </w:r>
          </w:p>
          <w:p w:rsidR="00425758" w:rsidRDefault="00425758">
            <w:pPr>
              <w:pStyle w:val="yTableNAm"/>
              <w:spacing w:before="0"/>
              <w:ind w:left="369" w:hanging="369"/>
              <w:rPr>
                <w:sz w:val="20"/>
              </w:rPr>
            </w:pPr>
            <w:r>
              <w:rPr>
                <w:sz w:val="20"/>
              </w:rPr>
              <w:t>14.</w:t>
            </w:r>
            <w:r>
              <w:rPr>
                <w:sz w:val="20"/>
              </w:rPr>
              <w:tab/>
              <w:t>The Supreme Court may determine your application without a hearing unless you, or the person who requested that the subpoena be issued, asks for a hearing.</w:t>
            </w:r>
          </w:p>
          <w:p w:rsidR="00425758" w:rsidRDefault="00425758">
            <w:pPr>
              <w:pStyle w:val="yTableNAm"/>
              <w:spacing w:before="0"/>
              <w:ind w:left="369" w:hanging="369"/>
              <w:rPr>
                <w:sz w:val="20"/>
              </w:rPr>
            </w:pPr>
            <w:r>
              <w:rPr>
                <w:sz w:val="20"/>
              </w:rPr>
              <w:lastRenderedPageBreak/>
              <w:t>15.</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rsidR="00425758" w:rsidRDefault="00425758">
            <w:pPr>
              <w:pStyle w:val="yTableNAm"/>
              <w:spacing w:before="0"/>
              <w:ind w:left="369" w:hanging="369"/>
              <w:rPr>
                <w:sz w:val="20"/>
              </w:rPr>
            </w:pPr>
            <w:r>
              <w:rPr>
                <w:sz w:val="20"/>
              </w:rPr>
              <w:t>16.</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rsidR="00425758" w:rsidRDefault="00425758">
      <w:pPr>
        <w:pStyle w:val="yMiscellaneousBody"/>
        <w:spacing w:before="0"/>
        <w:ind w:left="1134" w:hanging="567"/>
        <w:rPr>
          <w:sz w:val="20"/>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rsidR="00425758">
        <w:trPr>
          <w:cantSplit/>
          <w:trHeight w:val="194"/>
        </w:trPr>
        <w:tc>
          <w:tcPr>
            <w:tcW w:w="3544" w:type="dxa"/>
            <w:gridSpan w:val="2"/>
            <w:vMerge w:val="restart"/>
          </w:tcPr>
          <w:p w:rsidR="00425758" w:rsidRDefault="00425758">
            <w:pPr>
              <w:pStyle w:val="yTableNAm"/>
              <w:keepNext/>
              <w:spacing w:before="0"/>
              <w:rPr>
                <w:sz w:val="20"/>
              </w:rPr>
            </w:pPr>
            <w:r>
              <w:rPr>
                <w:sz w:val="20"/>
              </w:rPr>
              <w:t>Supreme Court of Western Australia</w:t>
            </w:r>
          </w:p>
          <w:p w:rsidR="00425758" w:rsidRDefault="00425758">
            <w:pPr>
              <w:pStyle w:val="yTableNAm"/>
              <w:spacing w:before="0"/>
              <w:rPr>
                <w:sz w:val="20"/>
              </w:rPr>
            </w:pPr>
            <w:r>
              <w:rPr>
                <w:sz w:val="20"/>
              </w:rPr>
              <w:t>*General Division/Court of Appeal</w:t>
            </w:r>
          </w:p>
        </w:tc>
        <w:tc>
          <w:tcPr>
            <w:tcW w:w="3544" w:type="dxa"/>
            <w:gridSpan w:val="2"/>
          </w:tcPr>
          <w:p w:rsidR="00425758" w:rsidRDefault="00425758">
            <w:pPr>
              <w:pStyle w:val="yTableNAm"/>
              <w:spacing w:before="0"/>
              <w:rPr>
                <w:sz w:val="20"/>
              </w:rPr>
            </w:pPr>
            <w:r>
              <w:rPr>
                <w:sz w:val="20"/>
              </w:rPr>
              <w:t>No.:</w:t>
            </w:r>
          </w:p>
        </w:tc>
      </w:tr>
      <w:tr w:rsidR="00425758">
        <w:trPr>
          <w:cantSplit/>
          <w:trHeight w:val="194"/>
        </w:trPr>
        <w:tc>
          <w:tcPr>
            <w:tcW w:w="3544" w:type="dxa"/>
            <w:gridSpan w:val="2"/>
            <w:vMerge/>
          </w:tcPr>
          <w:p w:rsidR="00425758" w:rsidRDefault="00425758">
            <w:pPr>
              <w:pStyle w:val="yTableNAm"/>
              <w:spacing w:before="0"/>
              <w:rPr>
                <w:sz w:val="20"/>
              </w:rPr>
            </w:pPr>
          </w:p>
        </w:tc>
        <w:tc>
          <w:tcPr>
            <w:tcW w:w="3544" w:type="dxa"/>
            <w:gridSpan w:val="2"/>
          </w:tcPr>
          <w:p w:rsidR="00425758" w:rsidRDefault="00425758">
            <w:pPr>
              <w:pStyle w:val="yTableNAm"/>
              <w:spacing w:before="0"/>
              <w:rPr>
                <w:b/>
                <w:sz w:val="20"/>
              </w:rPr>
            </w:pPr>
            <w:r>
              <w:rPr>
                <w:b/>
                <w:sz w:val="20"/>
              </w:rPr>
              <w:t>Subpoena to give evidence to the Supreme Court of Western Australia (to be served in New Zealand)</w:t>
            </w:r>
          </w:p>
        </w:tc>
      </w:tr>
      <w:tr w:rsidR="00425758">
        <w:trPr>
          <w:cantSplit/>
        </w:trPr>
        <w:tc>
          <w:tcPr>
            <w:tcW w:w="1418" w:type="dxa"/>
          </w:tcPr>
          <w:p w:rsidR="00425758" w:rsidRDefault="00425758">
            <w:pPr>
              <w:pStyle w:val="yTableNAm"/>
              <w:spacing w:before="0"/>
              <w:rPr>
                <w:sz w:val="20"/>
                <w:vertAlign w:val="superscript"/>
              </w:rPr>
            </w:pPr>
            <w:r>
              <w:rPr>
                <w:sz w:val="20"/>
              </w:rPr>
              <w:t>Parties</w:t>
            </w:r>
            <w:r>
              <w:rPr>
                <w:sz w:val="20"/>
                <w:vertAlign w:val="superscript"/>
              </w:rPr>
              <w:t>1</w:t>
            </w:r>
          </w:p>
        </w:tc>
        <w:tc>
          <w:tcPr>
            <w:tcW w:w="5670" w:type="dxa"/>
            <w:gridSpan w:val="3"/>
          </w:tcPr>
          <w:p w:rsidR="00425758" w:rsidRDefault="00425758">
            <w:pPr>
              <w:pStyle w:val="yTableNAm"/>
              <w:tabs>
                <w:tab w:val="clear" w:pos="567"/>
                <w:tab w:val="left" w:pos="2897"/>
              </w:tabs>
              <w:spacing w:before="0"/>
              <w:rPr>
                <w:sz w:val="20"/>
              </w:rPr>
            </w:pPr>
            <w:r>
              <w:rPr>
                <w:sz w:val="20"/>
              </w:rPr>
              <w:tab/>
              <w:t>Plaintiff</w:t>
            </w:r>
          </w:p>
          <w:p w:rsidR="00425758" w:rsidRDefault="00425758">
            <w:pPr>
              <w:pStyle w:val="yTableNAm"/>
              <w:tabs>
                <w:tab w:val="clear" w:pos="567"/>
                <w:tab w:val="left" w:pos="2897"/>
              </w:tabs>
              <w:spacing w:before="0"/>
              <w:rPr>
                <w:sz w:val="20"/>
              </w:rPr>
            </w:pPr>
            <w:r>
              <w:rPr>
                <w:sz w:val="20"/>
              </w:rPr>
              <w:tab/>
              <w:t>Defendant</w:t>
            </w:r>
          </w:p>
        </w:tc>
      </w:tr>
      <w:tr w:rsidR="00425758">
        <w:trPr>
          <w:cantSplit/>
        </w:trPr>
        <w:tc>
          <w:tcPr>
            <w:tcW w:w="1418" w:type="dxa"/>
          </w:tcPr>
          <w:p w:rsidR="00425758" w:rsidRDefault="00425758">
            <w:pPr>
              <w:pStyle w:val="yTableNAm"/>
              <w:spacing w:before="0"/>
              <w:rPr>
                <w:sz w:val="20"/>
              </w:rPr>
            </w:pPr>
            <w:r>
              <w:rPr>
                <w:sz w:val="20"/>
              </w:rPr>
              <w:t>To</w:t>
            </w:r>
          </w:p>
        </w:tc>
        <w:tc>
          <w:tcPr>
            <w:tcW w:w="5670" w:type="dxa"/>
            <w:gridSpan w:val="3"/>
          </w:tcPr>
          <w:p w:rsidR="00425758" w:rsidRDefault="00425758">
            <w:pPr>
              <w:pStyle w:val="yTableNAm"/>
              <w:spacing w:before="0"/>
              <w:rPr>
                <w:sz w:val="20"/>
              </w:rPr>
            </w:pPr>
            <w:r>
              <w:rPr>
                <w:sz w:val="20"/>
              </w:rPr>
              <w:t>[</w:t>
            </w:r>
            <w:r>
              <w:rPr>
                <w:i/>
                <w:sz w:val="20"/>
              </w:rPr>
              <w:t>Name and address</w:t>
            </w:r>
            <w:r>
              <w:rPr>
                <w:sz w:val="20"/>
              </w:rPr>
              <w:t>]</w:t>
            </w:r>
          </w:p>
        </w:tc>
      </w:tr>
      <w:tr w:rsidR="00425758">
        <w:trPr>
          <w:cantSplit/>
        </w:trPr>
        <w:tc>
          <w:tcPr>
            <w:tcW w:w="1418" w:type="dxa"/>
          </w:tcPr>
          <w:p w:rsidR="00425758" w:rsidRDefault="00425758">
            <w:pPr>
              <w:pStyle w:val="yTableNAm"/>
              <w:spacing w:before="0"/>
              <w:rPr>
                <w:b/>
                <w:sz w:val="20"/>
              </w:rPr>
            </w:pPr>
            <w:r>
              <w:rPr>
                <w:b/>
                <w:sz w:val="20"/>
              </w:rPr>
              <w:t>Order</w:t>
            </w:r>
          </w:p>
        </w:tc>
        <w:tc>
          <w:tcPr>
            <w:tcW w:w="5670" w:type="dxa"/>
            <w:gridSpan w:val="3"/>
          </w:tcPr>
          <w:p w:rsidR="00425758" w:rsidRDefault="00425758">
            <w:pPr>
              <w:pStyle w:val="yTableNAm"/>
              <w:spacing w:before="0"/>
              <w:rPr>
                <w:sz w:val="20"/>
              </w:rPr>
            </w:pPr>
            <w:r>
              <w:rPr>
                <w:b/>
                <w:sz w:val="20"/>
              </w:rPr>
              <w:t xml:space="preserve">You are ordered to attend the Supreme Court of Western Australia to give evidence. </w:t>
            </w:r>
            <w:r>
              <w:rPr>
                <w:sz w:val="20"/>
              </w:rPr>
              <w:t>See details below.</w:t>
            </w:r>
          </w:p>
          <w:p w:rsidR="00425758" w:rsidRDefault="00425758">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rsidR="00425758" w:rsidRDefault="00425758">
            <w:pPr>
              <w:pStyle w:val="yTableNAm"/>
              <w:spacing w:before="0"/>
              <w:rPr>
                <w:sz w:val="20"/>
              </w:rPr>
            </w:pPr>
            <w:r>
              <w:rPr>
                <w:sz w:val="20"/>
              </w:rPr>
              <w:t>Please read Notes 1 to 7 at the end of this subpoena.</w:t>
            </w:r>
          </w:p>
        </w:tc>
      </w:tr>
      <w:tr w:rsidR="00425758">
        <w:trPr>
          <w:cantSplit/>
        </w:trPr>
        <w:tc>
          <w:tcPr>
            <w:tcW w:w="1418" w:type="dxa"/>
          </w:tcPr>
          <w:p w:rsidR="00425758" w:rsidRDefault="00425758">
            <w:pPr>
              <w:pStyle w:val="yTableNAm"/>
              <w:spacing w:before="0"/>
              <w:rPr>
                <w:sz w:val="20"/>
              </w:rPr>
            </w:pPr>
            <w:r>
              <w:rPr>
                <w:sz w:val="20"/>
              </w:rPr>
              <w:t>Last date for service</w:t>
            </w:r>
          </w:p>
          <w:p w:rsidR="00425758" w:rsidRDefault="00425758">
            <w:pPr>
              <w:pStyle w:val="yTableNAm"/>
              <w:spacing w:before="0"/>
              <w:rPr>
                <w:sz w:val="20"/>
              </w:rPr>
            </w:pPr>
            <w:r>
              <w:rPr>
                <w:sz w:val="18"/>
              </w:rPr>
              <w:t>[see Note 2]</w:t>
            </w:r>
            <w:r>
              <w:rPr>
                <w:sz w:val="20"/>
              </w:rPr>
              <w:t xml:space="preserve"> </w:t>
            </w:r>
          </w:p>
        </w:tc>
        <w:tc>
          <w:tcPr>
            <w:tcW w:w="5670" w:type="dxa"/>
            <w:gridSpan w:val="3"/>
          </w:tcPr>
          <w:p w:rsidR="00425758" w:rsidRDefault="00425758">
            <w:pPr>
              <w:pStyle w:val="yTableNAm"/>
              <w:spacing w:before="0"/>
              <w:rPr>
                <w:b/>
                <w:sz w:val="20"/>
              </w:rPr>
            </w:pPr>
            <w:r>
              <w:rPr>
                <w:sz w:val="20"/>
              </w:rPr>
              <w:t>The last date for service of this subpoena is [</w:t>
            </w:r>
            <w:r>
              <w:rPr>
                <w:i/>
                <w:sz w:val="20"/>
              </w:rPr>
              <w:t>date</w:t>
            </w:r>
            <w:r>
              <w:rPr>
                <w:sz w:val="20"/>
              </w:rPr>
              <w:t>].</w:t>
            </w:r>
          </w:p>
        </w:tc>
      </w:tr>
      <w:tr w:rsidR="00425758">
        <w:trPr>
          <w:cantSplit/>
          <w:trHeight w:val="448"/>
        </w:trPr>
        <w:tc>
          <w:tcPr>
            <w:tcW w:w="1418" w:type="dxa"/>
            <w:vMerge w:val="restart"/>
          </w:tcPr>
          <w:p w:rsidR="00425758" w:rsidRDefault="00425758">
            <w:pPr>
              <w:pStyle w:val="yTableNAm"/>
              <w:keepNext/>
              <w:spacing w:before="0"/>
              <w:rPr>
                <w:sz w:val="20"/>
              </w:rPr>
            </w:pPr>
            <w:r>
              <w:rPr>
                <w:sz w:val="20"/>
              </w:rPr>
              <w:t>Issuing details</w:t>
            </w:r>
          </w:p>
        </w:tc>
        <w:tc>
          <w:tcPr>
            <w:tcW w:w="5670" w:type="dxa"/>
            <w:gridSpan w:val="3"/>
          </w:tcPr>
          <w:p w:rsidR="00425758" w:rsidRDefault="00425758">
            <w:pPr>
              <w:pStyle w:val="yTableNAm"/>
              <w:keepNext/>
              <w:spacing w:before="0"/>
              <w:rPr>
                <w:sz w:val="20"/>
              </w:rPr>
            </w:pPr>
            <w:r>
              <w:rPr>
                <w:sz w:val="20"/>
              </w:rPr>
              <w:t>Issued at the request of: [</w:t>
            </w:r>
            <w:r>
              <w:rPr>
                <w:i/>
                <w:sz w:val="20"/>
              </w:rPr>
              <w:t>Name of party</w:t>
            </w:r>
            <w:r>
              <w:rPr>
                <w:sz w:val="20"/>
              </w:rPr>
              <w:t>]</w:t>
            </w:r>
          </w:p>
          <w:p w:rsidR="00425758" w:rsidRDefault="00425758">
            <w:pPr>
              <w:pStyle w:val="yTableNAm"/>
              <w:keepNext/>
              <w:spacing w:before="0"/>
              <w:rPr>
                <w:sz w:val="20"/>
              </w:rPr>
            </w:pPr>
            <w:r>
              <w:rPr>
                <w:sz w:val="20"/>
              </w:rPr>
              <w:t>Address for service: [</w:t>
            </w:r>
            <w:r>
              <w:rPr>
                <w:i/>
                <w:sz w:val="20"/>
              </w:rPr>
              <w:t>see Order 71A rule 3</w:t>
            </w:r>
            <w:r>
              <w:rPr>
                <w:sz w:val="20"/>
              </w:rPr>
              <w:t>]</w:t>
            </w:r>
          </w:p>
          <w:p w:rsidR="00425758" w:rsidRDefault="00425758">
            <w:pPr>
              <w:pStyle w:val="yTableNAm"/>
              <w:keepNext/>
              <w:spacing w:before="0"/>
              <w:rPr>
                <w:sz w:val="20"/>
              </w:rPr>
            </w:pPr>
            <w:r>
              <w:rPr>
                <w:sz w:val="20"/>
              </w:rPr>
              <w:t>Email:</w:t>
            </w:r>
          </w:p>
        </w:tc>
      </w:tr>
      <w:tr w:rsidR="00425758">
        <w:trPr>
          <w:cantSplit/>
          <w:trHeight w:val="448"/>
        </w:trPr>
        <w:tc>
          <w:tcPr>
            <w:tcW w:w="1418" w:type="dxa"/>
            <w:vMerge/>
          </w:tcPr>
          <w:p w:rsidR="00425758" w:rsidRDefault="00425758">
            <w:pPr>
              <w:pStyle w:val="yTableNAm"/>
              <w:spacing w:before="0"/>
              <w:rPr>
                <w:sz w:val="20"/>
              </w:rPr>
            </w:pPr>
          </w:p>
        </w:tc>
        <w:tc>
          <w:tcPr>
            <w:tcW w:w="2647" w:type="dxa"/>
            <w:gridSpan w:val="2"/>
          </w:tcPr>
          <w:p w:rsidR="00425758" w:rsidRDefault="00425758">
            <w:pPr>
              <w:pStyle w:val="yTableNAm"/>
              <w:spacing w:before="0"/>
              <w:rPr>
                <w:sz w:val="20"/>
              </w:rPr>
            </w:pPr>
            <w:r>
              <w:rPr>
                <w:sz w:val="20"/>
              </w:rPr>
              <w:t>Date of issue:</w:t>
            </w:r>
          </w:p>
        </w:tc>
        <w:tc>
          <w:tcPr>
            <w:tcW w:w="3023" w:type="dxa"/>
          </w:tcPr>
          <w:p w:rsidR="00425758" w:rsidRDefault="00425758">
            <w:pPr>
              <w:pStyle w:val="yTableNAm"/>
              <w:spacing w:before="0"/>
              <w:rPr>
                <w:sz w:val="20"/>
              </w:rPr>
            </w:pPr>
            <w:r>
              <w:rPr>
                <w:sz w:val="20"/>
              </w:rPr>
              <w:t>[</w:t>
            </w:r>
            <w:r>
              <w:rPr>
                <w:i/>
                <w:sz w:val="20"/>
              </w:rPr>
              <w:t>Seal or stamp of the Court</w:t>
            </w:r>
            <w:r>
              <w:rPr>
                <w:sz w:val="20"/>
              </w:rPr>
              <w:t>]</w:t>
            </w:r>
          </w:p>
        </w:tc>
      </w:tr>
      <w:tr w:rsidR="00425758">
        <w:trPr>
          <w:cantSplit/>
        </w:trPr>
        <w:tc>
          <w:tcPr>
            <w:tcW w:w="1418" w:type="dxa"/>
          </w:tcPr>
          <w:p w:rsidR="00425758" w:rsidRDefault="00425758">
            <w:pPr>
              <w:pStyle w:val="yTableNAm"/>
              <w:spacing w:before="0"/>
            </w:pPr>
            <w:r>
              <w:rPr>
                <w:b/>
                <w:sz w:val="20"/>
              </w:rPr>
              <w:t>Details of subpoena</w:t>
            </w:r>
          </w:p>
        </w:tc>
        <w:tc>
          <w:tcPr>
            <w:tcW w:w="5670" w:type="dxa"/>
            <w:gridSpan w:val="3"/>
          </w:tcPr>
          <w:p w:rsidR="00425758" w:rsidRDefault="00425758">
            <w:pPr>
              <w:pStyle w:val="yTableNAm"/>
              <w:spacing w:before="0"/>
              <w:rPr>
                <w:sz w:val="20"/>
              </w:rPr>
            </w:pPr>
            <w:r>
              <w:rPr>
                <w:sz w:val="20"/>
              </w:rPr>
              <w:t xml:space="preserve">Date, time and place at which you must attend the Supreme Court of Western Australia to give evidence, unless you receive a notice of a later date or time from the issuing party, in which case the later date or time is substituted — </w:t>
            </w:r>
          </w:p>
          <w:p w:rsidR="00425758" w:rsidRDefault="00425758">
            <w:pPr>
              <w:pStyle w:val="yTableNAm"/>
              <w:spacing w:before="0"/>
              <w:rPr>
                <w:sz w:val="20"/>
              </w:rPr>
            </w:pPr>
            <w:r>
              <w:rPr>
                <w:sz w:val="20"/>
              </w:rPr>
              <w:t>Date:</w:t>
            </w:r>
          </w:p>
          <w:p w:rsidR="00425758" w:rsidRDefault="00425758">
            <w:pPr>
              <w:pStyle w:val="yTableNAm"/>
              <w:spacing w:before="0"/>
              <w:rPr>
                <w:sz w:val="20"/>
              </w:rPr>
            </w:pPr>
            <w:r>
              <w:rPr>
                <w:sz w:val="20"/>
              </w:rPr>
              <w:t>Time:</w:t>
            </w:r>
          </w:p>
          <w:p w:rsidR="00425758" w:rsidRDefault="00425758">
            <w:pPr>
              <w:pStyle w:val="yTableNAm"/>
              <w:spacing w:before="0"/>
              <w:rPr>
                <w:sz w:val="20"/>
              </w:rPr>
            </w:pPr>
            <w:r>
              <w:rPr>
                <w:sz w:val="20"/>
              </w:rPr>
              <w:t>Place:</w:t>
            </w:r>
          </w:p>
          <w:p w:rsidR="00425758" w:rsidRDefault="00425758">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rsidR="00425758">
        <w:trPr>
          <w:cantSplit/>
        </w:trPr>
        <w:tc>
          <w:tcPr>
            <w:tcW w:w="7088" w:type="dxa"/>
            <w:gridSpan w:val="4"/>
          </w:tcPr>
          <w:p w:rsidR="00425758" w:rsidRDefault="00425758">
            <w:pPr>
              <w:pStyle w:val="yTableNAm"/>
              <w:keepNext/>
              <w:spacing w:before="0"/>
              <w:jc w:val="center"/>
              <w:rPr>
                <w:b/>
                <w:sz w:val="20"/>
              </w:rPr>
            </w:pPr>
            <w:r>
              <w:rPr>
                <w:b/>
                <w:sz w:val="20"/>
              </w:rPr>
              <w:lastRenderedPageBreak/>
              <w:t>Notes</w:t>
            </w:r>
          </w:p>
        </w:tc>
      </w:tr>
      <w:tr w:rsidR="00425758">
        <w:tc>
          <w:tcPr>
            <w:tcW w:w="1418" w:type="dxa"/>
          </w:tcPr>
          <w:p w:rsidR="00425758" w:rsidRDefault="00425758">
            <w:pPr>
              <w:pStyle w:val="yTableNAm"/>
              <w:keepNext/>
              <w:spacing w:before="0"/>
              <w:rPr>
                <w:b/>
                <w:sz w:val="20"/>
              </w:rPr>
            </w:pPr>
            <w:r>
              <w:rPr>
                <w:b/>
                <w:sz w:val="20"/>
              </w:rPr>
              <w:t>Leave to serve subpoena</w:t>
            </w:r>
          </w:p>
        </w:tc>
        <w:tc>
          <w:tcPr>
            <w:tcW w:w="5670" w:type="dxa"/>
            <w:gridSpan w:val="3"/>
          </w:tcPr>
          <w:p w:rsidR="00425758" w:rsidRDefault="00425758">
            <w:pPr>
              <w:pStyle w:val="yTableNAm"/>
              <w:spacing w:before="0"/>
              <w:ind w:left="369" w:hanging="369"/>
              <w:rPr>
                <w:sz w:val="20"/>
              </w:rPr>
            </w:pPr>
            <w:r>
              <w:rPr>
                <w:sz w:val="20"/>
              </w:rPr>
              <w:t>1.</w:t>
            </w:r>
            <w:r>
              <w:rPr>
                <w:sz w:val="20"/>
              </w:rPr>
              <w:tab/>
              <w:t xml:space="preserve">You need not comply with this subpoena unless it is accompanied by — </w:t>
            </w:r>
          </w:p>
          <w:p w:rsidR="00425758" w:rsidRDefault="00425758">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rsidR="00425758" w:rsidRDefault="00425758">
            <w:pPr>
              <w:pStyle w:val="yTableNAm"/>
              <w:spacing w:before="0"/>
              <w:ind w:left="794" w:hanging="425"/>
              <w:rPr>
                <w:sz w:val="20"/>
              </w:rPr>
            </w:pPr>
            <w:r>
              <w:rPr>
                <w:sz w:val="20"/>
              </w:rPr>
              <w:t>(b)</w:t>
            </w:r>
            <w:r>
              <w:rPr>
                <w:sz w:val="20"/>
              </w:rPr>
              <w:tab/>
              <w:t xml:space="preserve">a notice in the prescribed form that — </w:t>
            </w:r>
          </w:p>
          <w:p w:rsidR="00425758" w:rsidRDefault="00425758">
            <w:pPr>
              <w:pStyle w:val="yTableNAm"/>
              <w:spacing w:before="0"/>
              <w:ind w:left="1218" w:hanging="425"/>
              <w:rPr>
                <w:sz w:val="20"/>
              </w:rPr>
            </w:pPr>
            <w:r>
              <w:rPr>
                <w:sz w:val="20"/>
              </w:rPr>
              <w:t>(i)</w:t>
            </w:r>
            <w:r>
              <w:rPr>
                <w:sz w:val="20"/>
              </w:rPr>
              <w:tab/>
              <w:t>sets out your rights and obligations in relation to the subpoena; and</w:t>
            </w:r>
          </w:p>
          <w:p w:rsidR="00425758" w:rsidRDefault="00425758">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rsidR="00425758">
        <w:tc>
          <w:tcPr>
            <w:tcW w:w="1418" w:type="dxa"/>
          </w:tcPr>
          <w:p w:rsidR="00425758" w:rsidRDefault="00425758">
            <w:pPr>
              <w:pStyle w:val="yTableNAm"/>
              <w:keepNext/>
              <w:spacing w:before="0"/>
              <w:rPr>
                <w:b/>
                <w:sz w:val="20"/>
              </w:rPr>
            </w:pPr>
            <w:r>
              <w:rPr>
                <w:b/>
                <w:sz w:val="20"/>
              </w:rPr>
              <w:t>Last day for service</w:t>
            </w:r>
          </w:p>
        </w:tc>
        <w:tc>
          <w:tcPr>
            <w:tcW w:w="5670" w:type="dxa"/>
            <w:gridSpan w:val="3"/>
          </w:tcPr>
          <w:p w:rsidR="00425758" w:rsidRDefault="00425758">
            <w:pPr>
              <w:pStyle w:val="yTableNAm"/>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rsidR="00425758">
        <w:trPr>
          <w:cantSplit/>
        </w:trPr>
        <w:tc>
          <w:tcPr>
            <w:tcW w:w="1418" w:type="dxa"/>
          </w:tcPr>
          <w:p w:rsidR="00425758" w:rsidRDefault="00425758">
            <w:pPr>
              <w:pStyle w:val="yTableNAm"/>
              <w:spacing w:before="0"/>
              <w:rPr>
                <w:b/>
                <w:sz w:val="20"/>
              </w:rPr>
            </w:pPr>
            <w:r>
              <w:rPr>
                <w:b/>
                <w:sz w:val="20"/>
              </w:rPr>
              <w:t>Informal service</w:t>
            </w:r>
          </w:p>
        </w:tc>
        <w:tc>
          <w:tcPr>
            <w:tcW w:w="5670" w:type="dxa"/>
            <w:gridSpan w:val="3"/>
          </w:tcPr>
          <w:p w:rsidR="00425758" w:rsidRDefault="00425758">
            <w:pPr>
              <w:pStyle w:val="yTableNAm"/>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rsidR="00425758">
        <w:tc>
          <w:tcPr>
            <w:tcW w:w="1418" w:type="dxa"/>
          </w:tcPr>
          <w:p w:rsidR="00425758" w:rsidRDefault="00425758">
            <w:pPr>
              <w:pStyle w:val="yTableNAm"/>
              <w:spacing w:before="0"/>
              <w:rPr>
                <w:b/>
                <w:sz w:val="20"/>
              </w:rPr>
            </w:pPr>
            <w:r>
              <w:rPr>
                <w:b/>
                <w:sz w:val="20"/>
              </w:rPr>
              <w:t>Addressee a corporation</w:t>
            </w:r>
          </w:p>
        </w:tc>
        <w:tc>
          <w:tcPr>
            <w:tcW w:w="5670" w:type="dxa"/>
            <w:gridSpan w:val="3"/>
          </w:tcPr>
          <w:p w:rsidR="00425758" w:rsidRDefault="00425758">
            <w:pPr>
              <w:pStyle w:val="yTableNAm"/>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rsidR="00425758">
        <w:trPr>
          <w:cantSplit/>
        </w:trPr>
        <w:tc>
          <w:tcPr>
            <w:tcW w:w="1418" w:type="dxa"/>
          </w:tcPr>
          <w:p w:rsidR="00425758" w:rsidRDefault="00425758">
            <w:pPr>
              <w:pStyle w:val="yTableNAm"/>
              <w:spacing w:before="0"/>
              <w:rPr>
                <w:b/>
                <w:sz w:val="20"/>
              </w:rPr>
            </w:pPr>
            <w:r>
              <w:rPr>
                <w:b/>
                <w:sz w:val="20"/>
              </w:rPr>
              <w:t>Loss or expense of compliance</w:t>
            </w:r>
          </w:p>
        </w:tc>
        <w:tc>
          <w:tcPr>
            <w:tcW w:w="5670" w:type="dxa"/>
            <w:gridSpan w:val="3"/>
          </w:tcPr>
          <w:p w:rsidR="00425758" w:rsidRDefault="00425758">
            <w:pPr>
              <w:pStyle w:val="yTableNAm"/>
              <w:spacing w:before="0"/>
              <w:ind w:left="369" w:hanging="369"/>
              <w:rPr>
                <w:sz w:val="20"/>
              </w:rPr>
            </w:pPr>
            <w:r>
              <w:rPr>
                <w:sz w:val="20"/>
              </w:rPr>
              <w:t>5.</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rsidR="00425758">
        <w:trPr>
          <w:cantSplit/>
        </w:trPr>
        <w:tc>
          <w:tcPr>
            <w:tcW w:w="1418" w:type="dxa"/>
          </w:tcPr>
          <w:p w:rsidR="00425758" w:rsidRDefault="00425758">
            <w:pPr>
              <w:pStyle w:val="yTableNAm"/>
              <w:spacing w:before="0"/>
              <w:rPr>
                <w:b/>
                <w:sz w:val="20"/>
              </w:rPr>
            </w:pPr>
            <w:r>
              <w:rPr>
                <w:b/>
                <w:sz w:val="20"/>
              </w:rPr>
              <w:t xml:space="preserve">Contempt of court—arrest </w:t>
            </w:r>
          </w:p>
        </w:tc>
        <w:tc>
          <w:tcPr>
            <w:tcW w:w="5670" w:type="dxa"/>
            <w:gridSpan w:val="3"/>
          </w:tcPr>
          <w:p w:rsidR="00425758" w:rsidRDefault="00425758">
            <w:pPr>
              <w:pStyle w:val="yTableNAm"/>
              <w:spacing w:before="0"/>
              <w:ind w:left="369" w:hanging="369"/>
              <w:rPr>
                <w:sz w:val="20"/>
              </w:rPr>
            </w:pPr>
            <w:r>
              <w:rPr>
                <w:sz w:val="20"/>
              </w:rPr>
              <w:t>6.</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rsidR="00425758" w:rsidRDefault="00425758">
            <w:pPr>
              <w:pStyle w:val="yTableNAm"/>
              <w:spacing w:before="0"/>
              <w:ind w:left="369" w:hanging="369"/>
              <w:rPr>
                <w:sz w:val="20"/>
              </w:rPr>
            </w:pPr>
            <w:r>
              <w:rPr>
                <w:sz w:val="20"/>
              </w:rPr>
              <w:t>7.</w:t>
            </w:r>
            <w:r>
              <w:rPr>
                <w:sz w:val="20"/>
              </w:rPr>
              <w:tab/>
              <w:t>Note 6 is without prejudice to any other power to enforce compliance with a subpoena.</w:t>
            </w:r>
          </w:p>
        </w:tc>
      </w:tr>
    </w:tbl>
    <w:p w:rsidR="00425758" w:rsidRDefault="00425758">
      <w:pPr>
        <w:pStyle w:val="PermNoteHeading"/>
        <w:tabs>
          <w:tab w:val="left" w:pos="567"/>
          <w:tab w:val="left" w:pos="1276"/>
        </w:tabs>
        <w:rPr>
          <w:szCs w:val="18"/>
        </w:rPr>
      </w:pPr>
      <w:r>
        <w:rPr>
          <w:szCs w:val="18"/>
        </w:rPr>
        <w:t>Footnotes to Form 23 —</w:t>
      </w:r>
    </w:p>
    <w:p w:rsidR="00425758" w:rsidRDefault="00425758">
      <w:pPr>
        <w:pStyle w:val="PermNotePara"/>
        <w:tabs>
          <w:tab w:val="clear" w:pos="1843"/>
          <w:tab w:val="left" w:pos="567"/>
        </w:tabs>
      </w:pPr>
      <w:r>
        <w:t>*</w:t>
      </w:r>
      <w:r>
        <w:tab/>
        <w:t>Delete the inapplicable.</w:t>
      </w:r>
    </w:p>
    <w:p w:rsidR="00425758" w:rsidRDefault="00425758">
      <w:pPr>
        <w:pStyle w:val="PermNotePara"/>
        <w:tabs>
          <w:tab w:val="clear" w:pos="1843"/>
          <w:tab w:val="left" w:pos="567"/>
        </w:tabs>
        <w:ind w:left="567" w:hanging="567"/>
      </w:pPr>
      <w:r>
        <w:t>1.</w:t>
      </w:r>
      <w:r>
        <w:tab/>
        <w:t>If there is more than one of any party, include the additional parties’ names and types of party in a schedule to the subpoena.</w:t>
      </w:r>
    </w:p>
    <w:p w:rsidR="00425758" w:rsidRDefault="00425758">
      <w:pPr>
        <w:pStyle w:val="yFootnotesection"/>
      </w:pPr>
      <w:r>
        <w:tab/>
        <w:t>[Form 23 inserted: Gazette 24 May 2017 p. 2586</w:t>
      </w:r>
      <w:r>
        <w:noBreakHyphen/>
        <w:t>91; amended: Gazette 27 Feb 2018 p. 622.]</w:t>
      </w:r>
    </w:p>
    <w:p w:rsidR="00425758" w:rsidRDefault="00425758">
      <w:pPr>
        <w:pStyle w:val="yHeading5"/>
      </w:pPr>
      <w:bookmarkStart w:id="1360" w:name="_Toc75863925"/>
      <w:r>
        <w:rPr>
          <w:rStyle w:val="CharSClsNo"/>
        </w:rPr>
        <w:lastRenderedPageBreak/>
        <w:t>23A</w:t>
      </w:r>
      <w:r>
        <w:t>.</w:t>
      </w:r>
      <w:r>
        <w:tab/>
        <w:t>Subpoena to produce documents to WA Supreme Court (to be served in NZ) (O. 39A r. 2A)</w:t>
      </w:r>
      <w:bookmarkEnd w:id="1360"/>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544"/>
      </w:tblGrid>
      <w:tr w:rsidR="00425758">
        <w:trPr>
          <w:cantSplit/>
          <w:trHeight w:val="194"/>
        </w:trPr>
        <w:tc>
          <w:tcPr>
            <w:tcW w:w="3544" w:type="dxa"/>
            <w:gridSpan w:val="2"/>
            <w:vMerge w:val="restart"/>
          </w:tcPr>
          <w:p w:rsidR="00425758" w:rsidRDefault="00425758">
            <w:pPr>
              <w:pStyle w:val="yTableNAm"/>
              <w:keepNext/>
              <w:spacing w:before="0"/>
              <w:rPr>
                <w:sz w:val="20"/>
              </w:rPr>
            </w:pPr>
            <w:r>
              <w:rPr>
                <w:sz w:val="20"/>
              </w:rPr>
              <w:t>Supreme Court of Western Australia</w:t>
            </w:r>
          </w:p>
          <w:p w:rsidR="00425758" w:rsidRDefault="00425758">
            <w:pPr>
              <w:pStyle w:val="yTableNAm"/>
              <w:spacing w:before="0"/>
              <w:rPr>
                <w:sz w:val="20"/>
              </w:rPr>
            </w:pPr>
            <w:r>
              <w:rPr>
                <w:sz w:val="20"/>
              </w:rPr>
              <w:t>*General Division/Court of Appeal</w:t>
            </w:r>
          </w:p>
        </w:tc>
        <w:tc>
          <w:tcPr>
            <w:tcW w:w="3544" w:type="dxa"/>
          </w:tcPr>
          <w:p w:rsidR="00425758" w:rsidRDefault="00425758">
            <w:pPr>
              <w:pStyle w:val="yTableNAm"/>
              <w:spacing w:before="0"/>
              <w:rPr>
                <w:sz w:val="20"/>
              </w:rPr>
            </w:pPr>
            <w:r>
              <w:rPr>
                <w:sz w:val="20"/>
              </w:rPr>
              <w:t>No.:</w:t>
            </w:r>
          </w:p>
        </w:tc>
      </w:tr>
      <w:tr w:rsidR="00425758">
        <w:trPr>
          <w:cantSplit/>
          <w:trHeight w:val="194"/>
        </w:trPr>
        <w:tc>
          <w:tcPr>
            <w:tcW w:w="3544" w:type="dxa"/>
            <w:gridSpan w:val="2"/>
            <w:vMerge/>
          </w:tcPr>
          <w:p w:rsidR="00425758" w:rsidRDefault="00425758">
            <w:pPr>
              <w:pStyle w:val="yTableNAm"/>
              <w:spacing w:before="0"/>
              <w:rPr>
                <w:sz w:val="20"/>
              </w:rPr>
            </w:pPr>
          </w:p>
        </w:tc>
        <w:tc>
          <w:tcPr>
            <w:tcW w:w="3544" w:type="dxa"/>
          </w:tcPr>
          <w:p w:rsidR="00425758" w:rsidRDefault="00425758">
            <w:pPr>
              <w:pStyle w:val="yTableNAm"/>
              <w:spacing w:before="0"/>
              <w:rPr>
                <w:b/>
                <w:sz w:val="20"/>
              </w:rPr>
            </w:pPr>
            <w:r>
              <w:rPr>
                <w:b/>
                <w:sz w:val="20"/>
              </w:rPr>
              <w:t>Notice attached to subpoena to produce documents to the Supreme Court of Western Australia (to be served in New Zealand)</w:t>
            </w:r>
          </w:p>
        </w:tc>
      </w:tr>
      <w:tr w:rsidR="00425758">
        <w:trPr>
          <w:cantSplit/>
        </w:trPr>
        <w:tc>
          <w:tcPr>
            <w:tcW w:w="1418" w:type="dxa"/>
          </w:tcPr>
          <w:p w:rsidR="00425758" w:rsidRDefault="00425758">
            <w:pPr>
              <w:pStyle w:val="yTableNAm"/>
              <w:spacing w:before="0"/>
              <w:rPr>
                <w:sz w:val="20"/>
                <w:vertAlign w:val="superscript"/>
              </w:rPr>
            </w:pPr>
            <w:r>
              <w:rPr>
                <w:sz w:val="20"/>
              </w:rPr>
              <w:t>Parties</w:t>
            </w:r>
            <w:r>
              <w:rPr>
                <w:sz w:val="20"/>
                <w:vertAlign w:val="superscript"/>
              </w:rPr>
              <w:t>1</w:t>
            </w:r>
          </w:p>
        </w:tc>
        <w:tc>
          <w:tcPr>
            <w:tcW w:w="5670" w:type="dxa"/>
            <w:gridSpan w:val="2"/>
          </w:tcPr>
          <w:p w:rsidR="00425758" w:rsidRDefault="00425758">
            <w:pPr>
              <w:pStyle w:val="yTableNAm"/>
              <w:tabs>
                <w:tab w:val="clear" w:pos="567"/>
                <w:tab w:val="left" w:pos="2897"/>
              </w:tabs>
              <w:spacing w:before="0"/>
              <w:rPr>
                <w:sz w:val="20"/>
              </w:rPr>
            </w:pPr>
            <w:r>
              <w:rPr>
                <w:sz w:val="20"/>
              </w:rPr>
              <w:tab/>
              <w:t>Plaintiff</w:t>
            </w:r>
          </w:p>
          <w:p w:rsidR="00425758" w:rsidRDefault="00425758">
            <w:pPr>
              <w:pStyle w:val="yTableNAm"/>
              <w:tabs>
                <w:tab w:val="clear" w:pos="567"/>
                <w:tab w:val="left" w:pos="2897"/>
              </w:tabs>
              <w:spacing w:before="0"/>
              <w:rPr>
                <w:sz w:val="20"/>
              </w:rPr>
            </w:pPr>
            <w:r>
              <w:rPr>
                <w:sz w:val="20"/>
              </w:rPr>
              <w:tab/>
              <w:t>Defendant</w:t>
            </w:r>
          </w:p>
        </w:tc>
      </w:tr>
      <w:tr w:rsidR="00425758">
        <w:tc>
          <w:tcPr>
            <w:tcW w:w="1418" w:type="dxa"/>
          </w:tcPr>
          <w:p w:rsidR="00425758" w:rsidRDefault="00425758">
            <w:pPr>
              <w:pStyle w:val="yTableNAm"/>
              <w:spacing w:before="0"/>
              <w:rPr>
                <w:sz w:val="20"/>
              </w:rPr>
            </w:pPr>
            <w:r>
              <w:rPr>
                <w:b/>
                <w:sz w:val="20"/>
              </w:rPr>
              <w:t xml:space="preserve">Notice to witness </w:t>
            </w:r>
          </w:p>
        </w:tc>
        <w:tc>
          <w:tcPr>
            <w:tcW w:w="5670" w:type="dxa"/>
            <w:gridSpan w:val="2"/>
          </w:tcPr>
          <w:p w:rsidR="00425758" w:rsidRDefault="00425758">
            <w:pPr>
              <w:pStyle w:val="yTableNAm"/>
              <w:spacing w:before="0"/>
              <w:jc w:val="center"/>
              <w:rPr>
                <w:i/>
                <w:sz w:val="20"/>
              </w:rPr>
            </w:pPr>
            <w:r>
              <w:rPr>
                <w:i/>
                <w:sz w:val="20"/>
              </w:rPr>
              <w:t xml:space="preserve">Trans-Tasman Proceedings Act 2010 </w:t>
            </w:r>
            <w:r>
              <w:rPr>
                <w:sz w:val="20"/>
              </w:rPr>
              <w:t>(Commonwealth)</w:t>
            </w:r>
          </w:p>
          <w:p w:rsidR="00425758" w:rsidRDefault="00425758">
            <w:pPr>
              <w:pStyle w:val="yTableNAm"/>
              <w:spacing w:before="0"/>
              <w:jc w:val="center"/>
              <w:rPr>
                <w:b/>
                <w:sz w:val="20"/>
              </w:rPr>
            </w:pPr>
            <w:r>
              <w:rPr>
                <w:b/>
                <w:sz w:val="20"/>
              </w:rPr>
              <w:t>This notice is very important.</w:t>
            </w:r>
          </w:p>
          <w:p w:rsidR="00425758" w:rsidRDefault="00425758">
            <w:pPr>
              <w:pStyle w:val="yTableNAm"/>
              <w:spacing w:before="0"/>
              <w:jc w:val="center"/>
              <w:rPr>
                <w:b/>
                <w:sz w:val="20"/>
              </w:rPr>
            </w:pPr>
            <w:r>
              <w:rPr>
                <w:b/>
                <w:sz w:val="20"/>
              </w:rPr>
              <w:t>Please read it and the attached document or documents very carefully.</w:t>
            </w:r>
          </w:p>
          <w:p w:rsidR="00425758" w:rsidRDefault="00425758">
            <w:pPr>
              <w:pStyle w:val="yTableNAm"/>
              <w:spacing w:before="0"/>
              <w:jc w:val="center"/>
              <w:rPr>
                <w:b/>
                <w:sz w:val="20"/>
              </w:rPr>
            </w:pPr>
            <w:r>
              <w:rPr>
                <w:b/>
                <w:sz w:val="20"/>
              </w:rPr>
              <w:t>If you have any trouble understanding these documents you should get legal advice as soon as possible.</w:t>
            </w:r>
          </w:p>
          <w:p w:rsidR="00425758" w:rsidRDefault="00425758">
            <w:pPr>
              <w:pStyle w:val="yTableNAm"/>
              <w:spacing w:before="0"/>
              <w:rPr>
                <w:sz w:val="20"/>
              </w:rPr>
            </w:pPr>
            <w:r>
              <w:rPr>
                <w:sz w:val="20"/>
              </w:rPr>
              <w:t>Attached to this notice is a subpoena requiring you to produce documents to the Supreme Court of Western Australia. The subpoena has been issued by that court.</w:t>
            </w:r>
          </w:p>
          <w:p w:rsidR="00425758" w:rsidRDefault="00425758">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rsidR="00425758" w:rsidRDefault="00425758">
            <w:pPr>
              <w:pStyle w:val="yTableNAm"/>
              <w:spacing w:before="0"/>
              <w:rPr>
                <w:sz w:val="20"/>
              </w:rPr>
            </w:pPr>
            <w:r>
              <w:rPr>
                <w:sz w:val="20"/>
              </w:rPr>
              <w:t xml:space="preserve">This notice — </w:t>
            </w:r>
          </w:p>
          <w:p w:rsidR="00425758" w:rsidRDefault="00425758">
            <w:pPr>
              <w:pStyle w:val="yTableNAm"/>
              <w:spacing w:before="0"/>
              <w:ind w:left="368" w:hanging="368"/>
              <w:rPr>
                <w:sz w:val="20"/>
              </w:rPr>
            </w:pPr>
            <w:r>
              <w:rPr>
                <w:sz w:val="20"/>
              </w:rPr>
              <w:t>•</w:t>
            </w:r>
            <w:r>
              <w:rPr>
                <w:sz w:val="20"/>
              </w:rPr>
              <w:tab/>
              <w:t>sets out your rights relating to the subpoena; and</w:t>
            </w:r>
          </w:p>
          <w:p w:rsidR="00425758" w:rsidRDefault="00425758">
            <w:pPr>
              <w:pStyle w:val="yTableNAm"/>
              <w:spacing w:before="0"/>
              <w:ind w:left="368" w:hanging="368"/>
              <w:rPr>
                <w:sz w:val="20"/>
              </w:rPr>
            </w:pPr>
            <w:r>
              <w:rPr>
                <w:sz w:val="20"/>
              </w:rPr>
              <w:t>•</w:t>
            </w:r>
            <w:r>
              <w:rPr>
                <w:sz w:val="20"/>
              </w:rPr>
              <w:tab/>
              <w:t>sets out your obligations relating to the subpoena; and</w:t>
            </w:r>
          </w:p>
          <w:p w:rsidR="00425758" w:rsidRDefault="00425758">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rsidR="00425758">
        <w:tc>
          <w:tcPr>
            <w:tcW w:w="1418" w:type="dxa"/>
          </w:tcPr>
          <w:p w:rsidR="00425758" w:rsidRDefault="00425758">
            <w:pPr>
              <w:pStyle w:val="yTableNAm"/>
              <w:spacing w:before="0"/>
              <w:rPr>
                <w:b/>
                <w:sz w:val="20"/>
              </w:rPr>
            </w:pPr>
            <w:r>
              <w:rPr>
                <w:b/>
                <w:sz w:val="20"/>
              </w:rPr>
              <w:t>Your rights</w:t>
            </w:r>
          </w:p>
        </w:tc>
        <w:tc>
          <w:tcPr>
            <w:tcW w:w="5670" w:type="dxa"/>
            <w:gridSpan w:val="2"/>
          </w:tcPr>
          <w:p w:rsidR="00425758" w:rsidRDefault="00425758">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rsidR="00425758" w:rsidRDefault="00425758">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rsidR="00425758" w:rsidRDefault="00425758">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of Western Australia that you be paid the additional amount you incurred.</w:t>
            </w:r>
          </w:p>
          <w:p w:rsidR="00425758" w:rsidRDefault="00425758">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rsidR="00425758" w:rsidRDefault="00425758">
            <w:pPr>
              <w:pStyle w:val="yTableNAm"/>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rsidR="00425758" w:rsidRDefault="00425758">
            <w:pPr>
              <w:pStyle w:val="yTableNAm"/>
              <w:spacing w:before="0"/>
              <w:rPr>
                <w:b/>
                <w:sz w:val="20"/>
              </w:rPr>
            </w:pPr>
            <w:r>
              <w:rPr>
                <w:b/>
                <w:sz w:val="20"/>
              </w:rPr>
              <w:lastRenderedPageBreak/>
              <w:t xml:space="preserve">Note: </w:t>
            </w:r>
            <w:r>
              <w:rPr>
                <w:sz w:val="20"/>
              </w:rPr>
              <w:t>Details of some of the grounds on which a subpoena can be set aside and the procedures for setting aside a subpoena are set out at the end of this notice.</w:t>
            </w:r>
          </w:p>
        </w:tc>
      </w:tr>
      <w:tr w:rsidR="00425758">
        <w:tc>
          <w:tcPr>
            <w:tcW w:w="1418" w:type="dxa"/>
          </w:tcPr>
          <w:p w:rsidR="00425758" w:rsidRDefault="00425758">
            <w:pPr>
              <w:pStyle w:val="yTableNAm"/>
              <w:spacing w:before="0"/>
              <w:rPr>
                <w:b/>
                <w:sz w:val="20"/>
              </w:rPr>
            </w:pPr>
            <w:r>
              <w:rPr>
                <w:b/>
                <w:sz w:val="20"/>
              </w:rPr>
              <w:lastRenderedPageBreak/>
              <w:t>Your obligations</w:t>
            </w:r>
          </w:p>
        </w:tc>
        <w:tc>
          <w:tcPr>
            <w:tcW w:w="5670" w:type="dxa"/>
            <w:gridSpan w:val="2"/>
          </w:tcPr>
          <w:p w:rsidR="00425758" w:rsidRDefault="00425758">
            <w:pPr>
              <w:pStyle w:val="yTableNAm"/>
              <w:spacing w:before="0"/>
              <w:ind w:left="369" w:hanging="369"/>
              <w:rPr>
                <w:sz w:val="20"/>
              </w:rPr>
            </w:pPr>
            <w:r>
              <w:rPr>
                <w:sz w:val="20"/>
              </w:rPr>
              <w:t>6.</w:t>
            </w:r>
            <w:r>
              <w:rPr>
                <w:sz w:val="20"/>
              </w:rPr>
              <w:tab/>
              <w:t xml:space="preserve">Unless the subpoena is set aside, you must comply with it if — </w:t>
            </w:r>
          </w:p>
          <w:p w:rsidR="00425758" w:rsidRDefault="00425758">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rsidR="00425758" w:rsidRDefault="00425758">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rsidR="00425758" w:rsidRDefault="00425758">
            <w:pPr>
              <w:pStyle w:val="yTableNAm"/>
              <w:spacing w:before="0"/>
              <w:ind w:left="1218" w:hanging="425"/>
              <w:rPr>
                <w:sz w:val="20"/>
              </w:rPr>
            </w:pPr>
            <w:r>
              <w:rPr>
                <w:sz w:val="20"/>
              </w:rPr>
              <w:t>(ii)</w:t>
            </w:r>
            <w:r>
              <w:rPr>
                <w:sz w:val="20"/>
              </w:rPr>
              <w:tab/>
              <w:t>a combination of money and vouchers (for example, travel tickets) to meet those expenses;</w:t>
            </w:r>
          </w:p>
          <w:p w:rsidR="00425758" w:rsidRDefault="00425758">
            <w:pPr>
              <w:pStyle w:val="yTableNAm"/>
              <w:spacing w:before="0"/>
              <w:ind w:left="794" w:hanging="425"/>
              <w:rPr>
                <w:sz w:val="20"/>
              </w:rPr>
            </w:pPr>
            <w:r>
              <w:rPr>
                <w:sz w:val="20"/>
              </w:rPr>
              <w:tab/>
            </w:r>
            <w:r>
              <w:rPr>
                <w:sz w:val="20"/>
              </w:rPr>
              <w:tab/>
              <w:t>and</w:t>
            </w:r>
          </w:p>
          <w:p w:rsidR="00425758" w:rsidRDefault="00425758">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rsidR="00425758" w:rsidRDefault="00425758">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rsidR="00425758" w:rsidRDefault="00425758">
            <w:pPr>
              <w:pStyle w:val="yTableNAm"/>
              <w:spacing w:before="0"/>
              <w:ind w:left="794" w:hanging="425"/>
              <w:rPr>
                <w:sz w:val="20"/>
              </w:rPr>
            </w:pPr>
            <w:r>
              <w:rPr>
                <w:sz w:val="20"/>
              </w:rPr>
              <w:t>(d)</w:t>
            </w:r>
            <w:r>
              <w:rPr>
                <w:sz w:val="20"/>
              </w:rPr>
              <w:tab/>
              <w:t>service of the subpoena complied with any other conditions specified in the order; and</w:t>
            </w:r>
          </w:p>
          <w:p w:rsidR="00425758" w:rsidRDefault="00425758">
            <w:pPr>
              <w:pStyle w:val="yTableNAm"/>
              <w:spacing w:before="0"/>
              <w:ind w:left="794" w:hanging="425"/>
              <w:rPr>
                <w:sz w:val="20"/>
              </w:rPr>
            </w:pPr>
            <w:r>
              <w:rPr>
                <w:sz w:val="20"/>
              </w:rPr>
              <w:t>(e)</w:t>
            </w:r>
            <w:r>
              <w:rPr>
                <w:sz w:val="20"/>
              </w:rPr>
              <w:tab/>
              <w:t>you are over the age of 18 years.</w:t>
            </w:r>
          </w:p>
          <w:p w:rsidR="00425758" w:rsidRDefault="00425758">
            <w:pPr>
              <w:pStyle w:val="yTableNAm"/>
              <w:spacing w:before="0"/>
              <w:ind w:left="369" w:hanging="369"/>
              <w:rPr>
                <w:sz w:val="20"/>
              </w:rPr>
            </w:pPr>
            <w:r>
              <w:rPr>
                <w:sz w:val="20"/>
              </w:rPr>
              <w:t>7.</w:t>
            </w:r>
            <w:r>
              <w:rPr>
                <w:sz w:val="20"/>
              </w:rPr>
              <w:tab/>
              <w:t xml:space="preserve">The subpoena must specify the date on which you must attend the Supreme Court and produce the documents or things. But instead of attending you may comply with the subpoena by delivering or posting the subpoena (or a copy of it) and the documents or things to either — </w:t>
            </w:r>
          </w:p>
          <w:p w:rsidR="00425758" w:rsidRDefault="00425758">
            <w:pPr>
              <w:pStyle w:val="yTableNAm"/>
              <w:spacing w:before="0"/>
              <w:ind w:left="794" w:hanging="425"/>
              <w:rPr>
                <w:sz w:val="20"/>
              </w:rPr>
            </w:pPr>
            <w:r>
              <w:rPr>
                <w:sz w:val="20"/>
              </w:rPr>
              <w:t>(a)</w:t>
            </w:r>
            <w:r>
              <w:rPr>
                <w:sz w:val="20"/>
              </w:rPr>
              <w:tab/>
              <w:t>the Supreme Court so that they are received not less than 2 clear days before that date; or</w:t>
            </w:r>
          </w:p>
          <w:p w:rsidR="00425758" w:rsidRDefault="00425758">
            <w:pPr>
              <w:pStyle w:val="yTableNAm"/>
              <w:spacing w:before="0"/>
              <w:ind w:left="794" w:hanging="425"/>
              <w:rPr>
                <w:sz w:val="20"/>
              </w:rPr>
            </w:pPr>
            <w:r>
              <w:rPr>
                <w:sz w:val="20"/>
              </w:rPr>
              <w:t>(b)</w:t>
            </w:r>
            <w:r>
              <w:rPr>
                <w:sz w:val="20"/>
              </w:rPr>
              <w:tab/>
              <w:t>the High Court of New Zealand so that they are received at least 10 days before that date.</w:t>
            </w:r>
          </w:p>
          <w:p w:rsidR="00425758" w:rsidRDefault="00425758">
            <w:pPr>
              <w:pStyle w:val="yTableNAm"/>
              <w:spacing w:before="0"/>
              <w:ind w:left="368" w:firstLine="1"/>
              <w:rPr>
                <w:sz w:val="20"/>
              </w:rPr>
            </w:pPr>
            <w:r>
              <w:rPr>
                <w:sz w:val="20"/>
              </w:rPr>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rsidR="00425758">
        <w:trPr>
          <w:cantSplit/>
        </w:trPr>
        <w:tc>
          <w:tcPr>
            <w:tcW w:w="1418" w:type="dxa"/>
            <w:tcBorders>
              <w:bottom w:val="single" w:sz="4" w:space="0" w:color="auto"/>
            </w:tcBorders>
          </w:tcPr>
          <w:p w:rsidR="00425758" w:rsidRDefault="00425758">
            <w:pPr>
              <w:pStyle w:val="yTableNAm"/>
              <w:spacing w:before="0"/>
              <w:rPr>
                <w:b/>
                <w:sz w:val="20"/>
              </w:rPr>
            </w:pPr>
            <w:r>
              <w:rPr>
                <w:b/>
                <w:sz w:val="20"/>
              </w:rPr>
              <w:t>Failure to comply with subpoena</w:t>
            </w:r>
          </w:p>
        </w:tc>
        <w:tc>
          <w:tcPr>
            <w:tcW w:w="5670" w:type="dxa"/>
            <w:gridSpan w:val="2"/>
            <w:tcBorders>
              <w:bottom w:val="single" w:sz="4" w:space="0" w:color="auto"/>
            </w:tcBorders>
          </w:tcPr>
          <w:p w:rsidR="00425758" w:rsidRDefault="00425758">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rsidR="00425758">
        <w:tc>
          <w:tcPr>
            <w:tcW w:w="1418" w:type="dxa"/>
            <w:tcBorders>
              <w:bottom w:val="nil"/>
            </w:tcBorders>
          </w:tcPr>
          <w:p w:rsidR="00425758" w:rsidRDefault="00425758">
            <w:pPr>
              <w:pStyle w:val="yTableNAm"/>
              <w:spacing w:before="0"/>
              <w:rPr>
                <w:b/>
                <w:sz w:val="20"/>
              </w:rPr>
            </w:pPr>
            <w:r>
              <w:rPr>
                <w:b/>
                <w:sz w:val="20"/>
              </w:rPr>
              <w:t>Grounds for setting aside a subpoena</w:t>
            </w:r>
          </w:p>
        </w:tc>
        <w:tc>
          <w:tcPr>
            <w:tcW w:w="5670" w:type="dxa"/>
            <w:gridSpan w:val="2"/>
            <w:tcBorders>
              <w:bottom w:val="nil"/>
            </w:tcBorders>
          </w:tcPr>
          <w:p w:rsidR="00425758" w:rsidRDefault="00425758">
            <w:pPr>
              <w:pStyle w:val="yTableNAm"/>
              <w:spacing w:before="0"/>
              <w:ind w:left="369" w:hanging="369"/>
              <w:rPr>
                <w:sz w:val="20"/>
              </w:rPr>
            </w:pPr>
            <w:r>
              <w:rPr>
                <w:sz w:val="20"/>
              </w:rPr>
              <w:t>9.</w:t>
            </w:r>
            <w:r>
              <w:rPr>
                <w:sz w:val="20"/>
              </w:rPr>
              <w:tab/>
              <w:t>The Supreme Court must set aside the subpoena if the subpoena requires you to attend at a place in Australia and —</w:t>
            </w:r>
          </w:p>
          <w:p w:rsidR="00425758" w:rsidRDefault="00425758">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rsidR="00425758" w:rsidRDefault="00425758">
            <w:pPr>
              <w:pStyle w:val="yTableNAm"/>
              <w:spacing w:before="0"/>
              <w:ind w:left="794" w:hanging="425"/>
              <w:rPr>
                <w:sz w:val="20"/>
              </w:rPr>
            </w:pPr>
            <w:r>
              <w:rPr>
                <w:sz w:val="20"/>
              </w:rPr>
              <w:lastRenderedPageBreak/>
              <w:t>(b)</w:t>
            </w:r>
            <w:r>
              <w:rPr>
                <w:sz w:val="20"/>
              </w:rPr>
              <w:tab/>
              <w:t>if you complied with the subpoena — you would be liable to be detained for the purpose of serving a sentence; or</w:t>
            </w:r>
          </w:p>
          <w:p w:rsidR="00425758" w:rsidRDefault="00425758">
            <w:pPr>
              <w:pStyle w:val="yTableNAm"/>
              <w:spacing w:before="0"/>
              <w:ind w:left="794" w:hanging="425"/>
              <w:rPr>
                <w:sz w:val="20"/>
              </w:rPr>
            </w:pPr>
            <w:r>
              <w:rPr>
                <w:sz w:val="20"/>
              </w:rPr>
              <w:t>(c)</w:t>
            </w:r>
            <w:r>
              <w:rPr>
                <w:sz w:val="20"/>
              </w:rPr>
              <w:tab/>
              <w:t>you are being prosecuted or you are liable to prosecution for an offence in Australia; or</w:t>
            </w:r>
          </w:p>
          <w:p w:rsidR="00425758" w:rsidRDefault="00425758">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rsidR="00425758" w:rsidRDefault="00425758">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rsidR="00425758">
        <w:tc>
          <w:tcPr>
            <w:tcW w:w="1418" w:type="dxa"/>
            <w:tcBorders>
              <w:top w:val="nil"/>
            </w:tcBorders>
          </w:tcPr>
          <w:p w:rsidR="00425758" w:rsidRDefault="00425758">
            <w:pPr>
              <w:pStyle w:val="yTableNAm"/>
              <w:spacing w:before="0"/>
              <w:rPr>
                <w:b/>
                <w:sz w:val="20"/>
              </w:rPr>
            </w:pPr>
          </w:p>
        </w:tc>
        <w:tc>
          <w:tcPr>
            <w:tcW w:w="5670" w:type="dxa"/>
            <w:gridSpan w:val="2"/>
            <w:tcBorders>
              <w:top w:val="nil"/>
            </w:tcBorders>
          </w:tcPr>
          <w:p w:rsidR="00425758" w:rsidRDefault="00425758">
            <w:pPr>
              <w:pStyle w:val="yTableNAm"/>
              <w:spacing w:before="0"/>
              <w:ind w:left="369" w:hanging="369"/>
              <w:rPr>
                <w:sz w:val="20"/>
              </w:rPr>
            </w:pPr>
            <w:r>
              <w:rPr>
                <w:sz w:val="20"/>
              </w:rPr>
              <w:t>10.</w:t>
            </w:r>
            <w:r>
              <w:rPr>
                <w:sz w:val="20"/>
              </w:rPr>
              <w:tab/>
              <w:t xml:space="preserve">The grounds on which the Supreme Court may set aside the subpoena include — </w:t>
            </w:r>
          </w:p>
          <w:p w:rsidR="00425758" w:rsidRDefault="00425758">
            <w:pPr>
              <w:pStyle w:val="yTableNAm"/>
              <w:spacing w:before="0"/>
              <w:ind w:left="794" w:hanging="425"/>
              <w:rPr>
                <w:sz w:val="20"/>
              </w:rPr>
            </w:pPr>
            <w:r>
              <w:rPr>
                <w:sz w:val="20"/>
              </w:rPr>
              <w:t>(a)</w:t>
            </w:r>
            <w:r>
              <w:rPr>
                <w:sz w:val="20"/>
              </w:rPr>
              <w:tab/>
              <w:t>compliance with the subpoena would cause you hardship or serious inconvenience;</w:t>
            </w:r>
          </w:p>
          <w:p w:rsidR="00425758" w:rsidRDefault="00425758">
            <w:pPr>
              <w:pStyle w:val="yTableNAm"/>
              <w:spacing w:before="0"/>
              <w:ind w:left="794" w:hanging="425"/>
              <w:rPr>
                <w:sz w:val="20"/>
              </w:rPr>
            </w:pPr>
            <w:r>
              <w:rPr>
                <w:sz w:val="20"/>
              </w:rPr>
              <w:t>(b)</w:t>
            </w:r>
            <w:r>
              <w:rPr>
                <w:sz w:val="20"/>
              </w:rPr>
              <w:tab/>
              <w:t xml:space="preserve">that, in respect of a document or thing that the subpoena requires you to produce — </w:t>
            </w:r>
          </w:p>
          <w:p w:rsidR="00425758" w:rsidRDefault="00425758">
            <w:pPr>
              <w:pStyle w:val="yTableNAm"/>
              <w:spacing w:before="0"/>
              <w:ind w:left="1218" w:hanging="425"/>
              <w:rPr>
                <w:sz w:val="20"/>
              </w:rPr>
            </w:pPr>
            <w:r>
              <w:rPr>
                <w:sz w:val="20"/>
              </w:rPr>
              <w:t>(i)</w:t>
            </w:r>
            <w:r>
              <w:rPr>
                <w:sz w:val="20"/>
              </w:rPr>
              <w:tab/>
              <w:t>the document or thing should not be taken out of New Zealand; and</w:t>
            </w:r>
          </w:p>
          <w:p w:rsidR="00425758" w:rsidRDefault="00425758">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p w:rsidR="00425758" w:rsidRDefault="00425758">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rsidR="00425758">
        <w:tc>
          <w:tcPr>
            <w:tcW w:w="1418" w:type="dxa"/>
          </w:tcPr>
          <w:p w:rsidR="00425758" w:rsidRDefault="00425758">
            <w:pPr>
              <w:pStyle w:val="yTableNAm"/>
              <w:spacing w:before="0"/>
              <w:rPr>
                <w:b/>
                <w:sz w:val="20"/>
              </w:rPr>
            </w:pPr>
            <w:r>
              <w:rPr>
                <w:b/>
                <w:sz w:val="20"/>
              </w:rPr>
              <w:t>Procedure for applying to set aside a subpoena</w:t>
            </w:r>
          </w:p>
        </w:tc>
        <w:tc>
          <w:tcPr>
            <w:tcW w:w="5670" w:type="dxa"/>
            <w:gridSpan w:val="2"/>
          </w:tcPr>
          <w:p w:rsidR="00425758" w:rsidRDefault="00425758">
            <w:pPr>
              <w:pStyle w:val="yTableNAm"/>
              <w:spacing w:before="0"/>
              <w:ind w:left="369" w:hanging="369"/>
              <w:rPr>
                <w:sz w:val="20"/>
              </w:rPr>
            </w:pPr>
            <w:r>
              <w:rPr>
                <w:sz w:val="20"/>
              </w:rPr>
              <w:t>11.</w:t>
            </w:r>
            <w:r>
              <w:rPr>
                <w:sz w:val="20"/>
              </w:rPr>
              <w:tab/>
              <w:t>Application must be made to the Supreme Court of Western Australia.</w:t>
            </w:r>
          </w:p>
          <w:p w:rsidR="00425758" w:rsidRDefault="00425758">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rsidR="00425758" w:rsidRDefault="00425758">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rsidR="00425758" w:rsidRDefault="00425758">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rsidR="00425758" w:rsidRDefault="00425758">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rsidR="00425758" w:rsidRDefault="00425758">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rsidR="00425758" w:rsidRDefault="00425758">
            <w:pPr>
              <w:pStyle w:val="yTableNAm"/>
              <w:spacing w:before="0"/>
              <w:ind w:left="369" w:hanging="369"/>
              <w:rPr>
                <w:sz w:val="20"/>
              </w:rPr>
            </w:pPr>
            <w:r>
              <w:rPr>
                <w:sz w:val="20"/>
              </w:rPr>
              <w:lastRenderedPageBreak/>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rsidR="00425758" w:rsidRDefault="00425758">
      <w:pPr>
        <w:pStyle w:val="yMiscellaneousBody"/>
        <w:spacing w:before="0"/>
        <w:ind w:left="1134" w:hanging="567"/>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rsidR="00425758">
        <w:trPr>
          <w:cantSplit/>
          <w:trHeight w:val="194"/>
        </w:trPr>
        <w:tc>
          <w:tcPr>
            <w:tcW w:w="3544" w:type="dxa"/>
            <w:gridSpan w:val="2"/>
            <w:vMerge w:val="restart"/>
          </w:tcPr>
          <w:p w:rsidR="00425758" w:rsidRDefault="00425758">
            <w:pPr>
              <w:pStyle w:val="yTableNAm"/>
              <w:keepNext/>
              <w:spacing w:before="0"/>
              <w:rPr>
                <w:sz w:val="20"/>
              </w:rPr>
            </w:pPr>
            <w:r>
              <w:rPr>
                <w:sz w:val="20"/>
              </w:rPr>
              <w:t>Supreme Court of Western Australia</w:t>
            </w:r>
          </w:p>
          <w:p w:rsidR="00425758" w:rsidRDefault="00425758">
            <w:pPr>
              <w:pStyle w:val="yTableNAm"/>
              <w:keepNext/>
              <w:tabs>
                <w:tab w:val="clear" w:pos="567"/>
              </w:tabs>
              <w:spacing w:before="0"/>
              <w:rPr>
                <w:sz w:val="20"/>
              </w:rPr>
            </w:pPr>
            <w:r>
              <w:rPr>
                <w:sz w:val="20"/>
              </w:rPr>
              <w:t>*General Division/Court of Appeal</w:t>
            </w:r>
          </w:p>
        </w:tc>
        <w:tc>
          <w:tcPr>
            <w:tcW w:w="3544" w:type="dxa"/>
            <w:gridSpan w:val="2"/>
          </w:tcPr>
          <w:p w:rsidR="00425758" w:rsidRDefault="00425758">
            <w:pPr>
              <w:pStyle w:val="yTableNAm"/>
              <w:keepNext/>
              <w:tabs>
                <w:tab w:val="clear" w:pos="567"/>
              </w:tabs>
              <w:spacing w:before="0"/>
              <w:rPr>
                <w:sz w:val="20"/>
              </w:rPr>
            </w:pPr>
            <w:r>
              <w:rPr>
                <w:sz w:val="20"/>
              </w:rPr>
              <w:t>No.:</w:t>
            </w:r>
          </w:p>
        </w:tc>
      </w:tr>
      <w:tr w:rsidR="00425758">
        <w:trPr>
          <w:cantSplit/>
          <w:trHeight w:val="194"/>
        </w:trPr>
        <w:tc>
          <w:tcPr>
            <w:tcW w:w="3544" w:type="dxa"/>
            <w:gridSpan w:val="2"/>
            <w:vMerge/>
          </w:tcPr>
          <w:p w:rsidR="00425758" w:rsidRDefault="00425758">
            <w:pPr>
              <w:pStyle w:val="yTableNAm"/>
              <w:spacing w:before="0"/>
              <w:rPr>
                <w:sz w:val="20"/>
              </w:rPr>
            </w:pPr>
          </w:p>
        </w:tc>
        <w:tc>
          <w:tcPr>
            <w:tcW w:w="3544" w:type="dxa"/>
            <w:gridSpan w:val="2"/>
          </w:tcPr>
          <w:p w:rsidR="00425758" w:rsidRDefault="00425758">
            <w:pPr>
              <w:pStyle w:val="yTableNAm"/>
              <w:tabs>
                <w:tab w:val="clear" w:pos="567"/>
              </w:tabs>
              <w:spacing w:before="0"/>
              <w:rPr>
                <w:b/>
                <w:sz w:val="20"/>
              </w:rPr>
            </w:pPr>
            <w:r>
              <w:rPr>
                <w:b/>
                <w:sz w:val="20"/>
              </w:rPr>
              <w:t>Subpoena to produce documents to the Supreme Court of Western Australia (to be served in New Zealand)</w:t>
            </w:r>
          </w:p>
        </w:tc>
      </w:tr>
      <w:tr w:rsidR="00425758">
        <w:trPr>
          <w:cantSplit/>
        </w:trPr>
        <w:tc>
          <w:tcPr>
            <w:tcW w:w="1418" w:type="dxa"/>
          </w:tcPr>
          <w:p w:rsidR="00425758" w:rsidRDefault="00425758">
            <w:pPr>
              <w:pStyle w:val="yTableNAm"/>
              <w:tabs>
                <w:tab w:val="clear" w:pos="567"/>
              </w:tabs>
              <w:spacing w:before="0"/>
              <w:rPr>
                <w:sz w:val="20"/>
                <w:vertAlign w:val="superscript"/>
              </w:rPr>
            </w:pPr>
            <w:r>
              <w:rPr>
                <w:sz w:val="20"/>
              </w:rPr>
              <w:t>Parties</w:t>
            </w:r>
            <w:r>
              <w:rPr>
                <w:sz w:val="20"/>
                <w:vertAlign w:val="superscript"/>
              </w:rPr>
              <w:t>1</w:t>
            </w:r>
          </w:p>
        </w:tc>
        <w:tc>
          <w:tcPr>
            <w:tcW w:w="5670" w:type="dxa"/>
            <w:gridSpan w:val="3"/>
          </w:tcPr>
          <w:p w:rsidR="00425758" w:rsidRDefault="00425758">
            <w:pPr>
              <w:pStyle w:val="yTableNAm"/>
              <w:tabs>
                <w:tab w:val="clear" w:pos="567"/>
                <w:tab w:val="left" w:pos="2897"/>
              </w:tabs>
              <w:spacing w:before="0"/>
              <w:rPr>
                <w:sz w:val="20"/>
              </w:rPr>
            </w:pPr>
            <w:r>
              <w:rPr>
                <w:sz w:val="20"/>
              </w:rPr>
              <w:tab/>
              <w:t>Plaintiff</w:t>
            </w:r>
          </w:p>
          <w:p w:rsidR="00425758" w:rsidRDefault="00425758">
            <w:pPr>
              <w:pStyle w:val="yTableNAm"/>
              <w:tabs>
                <w:tab w:val="clear" w:pos="567"/>
                <w:tab w:val="left" w:pos="2897"/>
              </w:tabs>
              <w:spacing w:before="0"/>
              <w:rPr>
                <w:sz w:val="20"/>
              </w:rPr>
            </w:pPr>
            <w:r>
              <w:rPr>
                <w:sz w:val="20"/>
              </w:rPr>
              <w:tab/>
              <w:t>Defendant</w:t>
            </w:r>
          </w:p>
        </w:tc>
      </w:tr>
      <w:tr w:rsidR="00425758">
        <w:trPr>
          <w:cantSplit/>
        </w:trPr>
        <w:tc>
          <w:tcPr>
            <w:tcW w:w="1418" w:type="dxa"/>
          </w:tcPr>
          <w:p w:rsidR="00425758" w:rsidRDefault="00425758">
            <w:pPr>
              <w:pStyle w:val="yTableNAm"/>
              <w:tabs>
                <w:tab w:val="clear" w:pos="567"/>
              </w:tabs>
              <w:spacing w:before="0"/>
              <w:rPr>
                <w:sz w:val="20"/>
              </w:rPr>
            </w:pPr>
            <w:r>
              <w:rPr>
                <w:sz w:val="20"/>
              </w:rPr>
              <w:t>To</w:t>
            </w:r>
          </w:p>
        </w:tc>
        <w:tc>
          <w:tcPr>
            <w:tcW w:w="5670" w:type="dxa"/>
            <w:gridSpan w:val="3"/>
          </w:tcPr>
          <w:p w:rsidR="00425758" w:rsidRDefault="00425758">
            <w:pPr>
              <w:pStyle w:val="yTableNAm"/>
              <w:tabs>
                <w:tab w:val="clear" w:pos="567"/>
              </w:tabs>
              <w:spacing w:before="0"/>
              <w:rPr>
                <w:sz w:val="20"/>
              </w:rPr>
            </w:pPr>
            <w:r>
              <w:rPr>
                <w:sz w:val="20"/>
              </w:rPr>
              <w:t>[</w:t>
            </w:r>
            <w:r>
              <w:rPr>
                <w:i/>
                <w:sz w:val="20"/>
              </w:rPr>
              <w:t>Name and address</w:t>
            </w:r>
            <w:r>
              <w:rPr>
                <w:sz w:val="20"/>
              </w:rPr>
              <w:t>]</w:t>
            </w:r>
          </w:p>
        </w:tc>
      </w:tr>
      <w:tr w:rsidR="00425758">
        <w:trPr>
          <w:cantSplit/>
        </w:trPr>
        <w:tc>
          <w:tcPr>
            <w:tcW w:w="1418" w:type="dxa"/>
          </w:tcPr>
          <w:p w:rsidR="00425758" w:rsidRDefault="00425758">
            <w:pPr>
              <w:pStyle w:val="yTableNAm"/>
              <w:tabs>
                <w:tab w:val="clear" w:pos="567"/>
              </w:tabs>
              <w:spacing w:before="0"/>
              <w:rPr>
                <w:b/>
                <w:sz w:val="20"/>
              </w:rPr>
            </w:pPr>
            <w:r>
              <w:rPr>
                <w:b/>
                <w:sz w:val="20"/>
              </w:rPr>
              <w:t>Order</w:t>
            </w:r>
          </w:p>
        </w:tc>
        <w:tc>
          <w:tcPr>
            <w:tcW w:w="5670" w:type="dxa"/>
            <w:gridSpan w:val="3"/>
          </w:tcPr>
          <w:p w:rsidR="00425758" w:rsidRDefault="00425758">
            <w:pPr>
              <w:pStyle w:val="yTableNAm"/>
              <w:tabs>
                <w:tab w:val="clear" w:pos="567"/>
              </w:tabs>
              <w:spacing w:before="0"/>
              <w:rPr>
                <w:b/>
                <w:sz w:val="20"/>
              </w:rPr>
            </w:pPr>
            <w:r>
              <w:rPr>
                <w:b/>
                <w:sz w:val="20"/>
              </w:rPr>
              <w:t xml:space="preserve">You are ordered to attend the Supreme Court of Western Australia and produce this subpoena or a copy of it and the documents or things specified in the Schedule of documents. </w:t>
            </w:r>
            <w:r>
              <w:rPr>
                <w:sz w:val="20"/>
              </w:rPr>
              <w:t>See details below.</w:t>
            </w:r>
          </w:p>
          <w:p w:rsidR="00425758" w:rsidRDefault="00425758">
            <w:pPr>
              <w:pStyle w:val="yTableNAm"/>
              <w:tabs>
                <w:tab w:val="clear" w:pos="567"/>
              </w:tabs>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rsidR="00425758" w:rsidRDefault="00425758">
            <w:pPr>
              <w:pStyle w:val="yTableNAm"/>
              <w:tabs>
                <w:tab w:val="clear" w:pos="567"/>
              </w:tabs>
              <w:spacing w:before="0"/>
              <w:rPr>
                <w:sz w:val="20"/>
              </w:rPr>
            </w:pPr>
            <w:r>
              <w:rPr>
                <w:sz w:val="20"/>
              </w:rPr>
              <w:t>Please read Notes 1 to 16 at the end of this subpoena.</w:t>
            </w:r>
          </w:p>
        </w:tc>
      </w:tr>
      <w:tr w:rsidR="00425758">
        <w:trPr>
          <w:cantSplit/>
        </w:trPr>
        <w:tc>
          <w:tcPr>
            <w:tcW w:w="1418" w:type="dxa"/>
          </w:tcPr>
          <w:p w:rsidR="00425758" w:rsidRDefault="00425758">
            <w:pPr>
              <w:pStyle w:val="yTableNAm"/>
              <w:tabs>
                <w:tab w:val="clear" w:pos="567"/>
              </w:tabs>
              <w:spacing w:before="0"/>
              <w:rPr>
                <w:sz w:val="20"/>
              </w:rPr>
            </w:pPr>
            <w:r>
              <w:rPr>
                <w:sz w:val="20"/>
              </w:rPr>
              <w:t>Last date for service</w:t>
            </w:r>
            <w:r>
              <w:rPr>
                <w:sz w:val="20"/>
              </w:rPr>
              <w:br/>
            </w:r>
            <w:r>
              <w:rPr>
                <w:sz w:val="18"/>
              </w:rPr>
              <w:t>[see Note 2]</w:t>
            </w:r>
            <w:r>
              <w:rPr>
                <w:sz w:val="20"/>
              </w:rPr>
              <w:t xml:space="preserve"> </w:t>
            </w:r>
          </w:p>
        </w:tc>
        <w:tc>
          <w:tcPr>
            <w:tcW w:w="5670" w:type="dxa"/>
            <w:gridSpan w:val="3"/>
          </w:tcPr>
          <w:p w:rsidR="00425758" w:rsidRDefault="00425758">
            <w:pPr>
              <w:pStyle w:val="yTableNAm"/>
              <w:tabs>
                <w:tab w:val="clear" w:pos="567"/>
              </w:tabs>
              <w:spacing w:before="0"/>
              <w:rPr>
                <w:b/>
                <w:sz w:val="20"/>
              </w:rPr>
            </w:pPr>
            <w:r>
              <w:rPr>
                <w:sz w:val="20"/>
              </w:rPr>
              <w:t>The last date for service of this subpoena is [</w:t>
            </w:r>
            <w:r>
              <w:rPr>
                <w:i/>
                <w:sz w:val="20"/>
              </w:rPr>
              <w:t>date</w:t>
            </w:r>
            <w:r>
              <w:rPr>
                <w:sz w:val="20"/>
              </w:rPr>
              <w:t>].</w:t>
            </w:r>
          </w:p>
        </w:tc>
      </w:tr>
      <w:tr w:rsidR="00425758">
        <w:trPr>
          <w:cantSplit/>
          <w:trHeight w:val="448"/>
        </w:trPr>
        <w:tc>
          <w:tcPr>
            <w:tcW w:w="1418" w:type="dxa"/>
            <w:vMerge w:val="restart"/>
          </w:tcPr>
          <w:p w:rsidR="00425758" w:rsidRDefault="00425758">
            <w:pPr>
              <w:pStyle w:val="yTableNAm"/>
              <w:tabs>
                <w:tab w:val="clear" w:pos="567"/>
              </w:tabs>
              <w:spacing w:before="0"/>
              <w:rPr>
                <w:sz w:val="20"/>
              </w:rPr>
            </w:pPr>
            <w:r>
              <w:rPr>
                <w:sz w:val="20"/>
              </w:rPr>
              <w:t>Issuing details</w:t>
            </w:r>
          </w:p>
        </w:tc>
        <w:tc>
          <w:tcPr>
            <w:tcW w:w="5670" w:type="dxa"/>
            <w:gridSpan w:val="3"/>
          </w:tcPr>
          <w:p w:rsidR="00425758" w:rsidRDefault="00425758">
            <w:pPr>
              <w:pStyle w:val="yTableNAm"/>
              <w:tabs>
                <w:tab w:val="clear" w:pos="567"/>
              </w:tabs>
              <w:spacing w:before="0"/>
              <w:rPr>
                <w:sz w:val="20"/>
              </w:rPr>
            </w:pPr>
            <w:r>
              <w:rPr>
                <w:sz w:val="20"/>
              </w:rPr>
              <w:t>Issued at the request of: [</w:t>
            </w:r>
            <w:r>
              <w:rPr>
                <w:i/>
                <w:sz w:val="20"/>
              </w:rPr>
              <w:t>Name of party</w:t>
            </w:r>
            <w:r>
              <w:rPr>
                <w:sz w:val="20"/>
              </w:rPr>
              <w:t>]</w:t>
            </w:r>
          </w:p>
          <w:p w:rsidR="00425758" w:rsidRDefault="00425758">
            <w:pPr>
              <w:pStyle w:val="yTableNAm"/>
              <w:tabs>
                <w:tab w:val="clear" w:pos="567"/>
              </w:tabs>
              <w:spacing w:before="0"/>
              <w:rPr>
                <w:sz w:val="20"/>
              </w:rPr>
            </w:pPr>
            <w:r>
              <w:rPr>
                <w:sz w:val="20"/>
              </w:rPr>
              <w:t>Address for service: [</w:t>
            </w:r>
            <w:r>
              <w:rPr>
                <w:i/>
                <w:sz w:val="20"/>
              </w:rPr>
              <w:t>see Order 71A rule 3</w:t>
            </w:r>
            <w:r>
              <w:rPr>
                <w:sz w:val="20"/>
              </w:rPr>
              <w:t>]</w:t>
            </w:r>
          </w:p>
          <w:p w:rsidR="00425758" w:rsidRDefault="00425758">
            <w:pPr>
              <w:pStyle w:val="yTableNAm"/>
              <w:tabs>
                <w:tab w:val="clear" w:pos="567"/>
              </w:tabs>
              <w:spacing w:before="0"/>
              <w:rPr>
                <w:sz w:val="20"/>
              </w:rPr>
            </w:pPr>
            <w:r>
              <w:rPr>
                <w:sz w:val="20"/>
              </w:rPr>
              <w:t>Email:</w:t>
            </w:r>
          </w:p>
        </w:tc>
      </w:tr>
      <w:tr w:rsidR="00425758">
        <w:trPr>
          <w:cantSplit/>
          <w:trHeight w:val="448"/>
        </w:trPr>
        <w:tc>
          <w:tcPr>
            <w:tcW w:w="1418" w:type="dxa"/>
            <w:vMerge/>
          </w:tcPr>
          <w:p w:rsidR="00425758" w:rsidRDefault="00425758">
            <w:pPr>
              <w:pStyle w:val="yTableNAm"/>
              <w:spacing w:before="0"/>
              <w:rPr>
                <w:sz w:val="20"/>
              </w:rPr>
            </w:pPr>
          </w:p>
        </w:tc>
        <w:tc>
          <w:tcPr>
            <w:tcW w:w="2647" w:type="dxa"/>
            <w:gridSpan w:val="2"/>
          </w:tcPr>
          <w:p w:rsidR="00425758" w:rsidRDefault="00425758">
            <w:pPr>
              <w:pStyle w:val="yTableNAm"/>
              <w:tabs>
                <w:tab w:val="clear" w:pos="567"/>
              </w:tabs>
              <w:spacing w:before="0"/>
              <w:rPr>
                <w:sz w:val="20"/>
              </w:rPr>
            </w:pPr>
            <w:r>
              <w:rPr>
                <w:sz w:val="20"/>
              </w:rPr>
              <w:t>Date of issue:</w:t>
            </w:r>
          </w:p>
        </w:tc>
        <w:tc>
          <w:tcPr>
            <w:tcW w:w="3023" w:type="dxa"/>
          </w:tcPr>
          <w:p w:rsidR="00425758" w:rsidRDefault="00425758">
            <w:pPr>
              <w:pStyle w:val="yTableNAm"/>
              <w:tabs>
                <w:tab w:val="clear" w:pos="567"/>
              </w:tabs>
              <w:spacing w:before="0"/>
              <w:rPr>
                <w:sz w:val="20"/>
              </w:rPr>
            </w:pPr>
            <w:r>
              <w:rPr>
                <w:sz w:val="20"/>
              </w:rPr>
              <w:t>[</w:t>
            </w:r>
            <w:r>
              <w:rPr>
                <w:i/>
                <w:sz w:val="20"/>
              </w:rPr>
              <w:t>Seal or stamp of the Court</w:t>
            </w:r>
            <w:r>
              <w:rPr>
                <w:sz w:val="20"/>
              </w:rPr>
              <w:t>]</w:t>
            </w:r>
          </w:p>
        </w:tc>
      </w:tr>
      <w:tr w:rsidR="00425758">
        <w:tc>
          <w:tcPr>
            <w:tcW w:w="1418" w:type="dxa"/>
          </w:tcPr>
          <w:p w:rsidR="00425758" w:rsidRDefault="00425758">
            <w:pPr>
              <w:pStyle w:val="yTableNAm"/>
              <w:tabs>
                <w:tab w:val="clear" w:pos="567"/>
              </w:tabs>
              <w:spacing w:before="0"/>
              <w:rPr>
                <w:b/>
                <w:sz w:val="20"/>
              </w:rPr>
            </w:pPr>
            <w:r>
              <w:rPr>
                <w:b/>
                <w:sz w:val="20"/>
              </w:rPr>
              <w:t>Details of subpoena</w:t>
            </w:r>
          </w:p>
          <w:p w:rsidR="00425758" w:rsidRDefault="00425758">
            <w:pPr>
              <w:pStyle w:val="yTableNAm"/>
              <w:tabs>
                <w:tab w:val="clear" w:pos="567"/>
              </w:tabs>
              <w:spacing w:before="0"/>
            </w:pPr>
            <w:r>
              <w:rPr>
                <w:sz w:val="18"/>
                <w:szCs w:val="18"/>
              </w:rPr>
              <w:t>[See Notes 5–13]</w:t>
            </w:r>
            <w:r>
              <w:rPr>
                <w:b/>
                <w:sz w:val="20"/>
              </w:rPr>
              <w:t xml:space="preserve"> </w:t>
            </w:r>
          </w:p>
        </w:tc>
        <w:tc>
          <w:tcPr>
            <w:tcW w:w="5670" w:type="dxa"/>
            <w:gridSpan w:val="3"/>
          </w:tcPr>
          <w:p w:rsidR="00425758" w:rsidRDefault="00425758">
            <w:pPr>
              <w:pStyle w:val="yTableNAm"/>
              <w:spacing w:before="0"/>
              <w:rPr>
                <w:sz w:val="20"/>
              </w:rPr>
            </w:pPr>
            <w:r>
              <w:rPr>
                <w:sz w:val="20"/>
              </w:rPr>
              <w:t xml:space="preserve">You must comply with this subpoena — </w:t>
            </w:r>
          </w:p>
          <w:p w:rsidR="00425758" w:rsidRDefault="00425758">
            <w:pPr>
              <w:pStyle w:val="yTableNAm"/>
              <w:tabs>
                <w:tab w:val="clear" w:pos="567"/>
              </w:tabs>
              <w:spacing w:before="0"/>
              <w:ind w:left="368" w:hanging="368"/>
              <w:rPr>
                <w:sz w:val="20"/>
              </w:rPr>
            </w:pPr>
            <w:r>
              <w:rPr>
                <w:sz w:val="20"/>
              </w:rPr>
              <w:t>(a)</w:t>
            </w:r>
            <w:r>
              <w:rPr>
                <w:sz w:val="20"/>
              </w:rPr>
              <w:tab/>
              <w:t>by attending the Supreme Court and producing this subpoena or a copy of it and the documents or things specified in the Schedule of documents below at the date, time and place specified for attendance and production; or</w:t>
            </w:r>
          </w:p>
          <w:p w:rsidR="00425758" w:rsidRDefault="00425758">
            <w:pPr>
              <w:pStyle w:val="yTableNAm"/>
              <w:tabs>
                <w:tab w:val="clear" w:pos="567"/>
              </w:tabs>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rsidR="00425758" w:rsidRDefault="00425758">
            <w:pPr>
              <w:pStyle w:val="yTableNAm"/>
              <w:tabs>
                <w:tab w:val="clear" w:pos="567"/>
              </w:tabs>
              <w:spacing w:before="0"/>
              <w:ind w:left="794" w:hanging="368"/>
              <w:rPr>
                <w:sz w:val="20"/>
              </w:rPr>
            </w:pPr>
            <w:r>
              <w:rPr>
                <w:sz w:val="20"/>
              </w:rPr>
              <w:t>(i)</w:t>
            </w:r>
            <w:r>
              <w:rPr>
                <w:sz w:val="20"/>
              </w:rPr>
              <w:tab/>
              <w:t>the Supreme Court at the address specified below so that they are received not less than 2 clear days before the date specified in the subpoena for attendance and production; or</w:t>
            </w:r>
          </w:p>
          <w:p w:rsidR="00425758" w:rsidRDefault="00425758">
            <w:pPr>
              <w:pStyle w:val="yTableNAm"/>
              <w:tabs>
                <w:tab w:val="clear" w:pos="567"/>
              </w:tabs>
              <w:spacing w:before="0"/>
              <w:ind w:left="794" w:hanging="368"/>
              <w:rPr>
                <w:sz w:val="20"/>
              </w:rPr>
            </w:pPr>
            <w:r>
              <w:rPr>
                <w:sz w:val="20"/>
              </w:rPr>
              <w:t>(ii)</w:t>
            </w:r>
            <w:r>
              <w:rPr>
                <w:sz w:val="20"/>
              </w:rPr>
              <w:tab/>
              <w:t xml:space="preserve">the Registrar of the High Court of New Zealand at the address specified below, or if more than one address is so specified, at any one of those addresses, so that they are </w:t>
            </w:r>
            <w:r>
              <w:rPr>
                <w:sz w:val="20"/>
              </w:rPr>
              <w:lastRenderedPageBreak/>
              <w:t>received not less than 10 clear days before the date specified in the subpoena for attendance and production.</w:t>
            </w:r>
          </w:p>
          <w:p w:rsidR="00425758" w:rsidRDefault="00425758">
            <w:pPr>
              <w:pStyle w:val="yTableNAm"/>
              <w:tabs>
                <w:tab w:val="clear" w:pos="567"/>
              </w:tabs>
              <w:spacing w:before="0"/>
              <w:rPr>
                <w:sz w:val="20"/>
              </w:rPr>
            </w:pPr>
            <w:r>
              <w:rPr>
                <w:sz w:val="20"/>
              </w:rPr>
              <w:t xml:space="preserve">Date, time and place at which you must attend to produce the subpoena or a copy of it and documents or things — </w:t>
            </w:r>
          </w:p>
          <w:p w:rsidR="00425758" w:rsidRDefault="00425758">
            <w:pPr>
              <w:pStyle w:val="yTableNAm"/>
              <w:tabs>
                <w:tab w:val="clear" w:pos="567"/>
              </w:tabs>
              <w:spacing w:before="0"/>
              <w:rPr>
                <w:sz w:val="20"/>
              </w:rPr>
            </w:pPr>
            <w:r>
              <w:rPr>
                <w:sz w:val="20"/>
              </w:rPr>
              <w:t>Date:</w:t>
            </w:r>
          </w:p>
          <w:p w:rsidR="00425758" w:rsidRDefault="00425758">
            <w:pPr>
              <w:pStyle w:val="yTableNAm"/>
              <w:tabs>
                <w:tab w:val="clear" w:pos="567"/>
              </w:tabs>
              <w:spacing w:before="0"/>
              <w:rPr>
                <w:sz w:val="20"/>
              </w:rPr>
            </w:pPr>
            <w:r>
              <w:rPr>
                <w:sz w:val="20"/>
              </w:rPr>
              <w:t>Time:</w:t>
            </w:r>
          </w:p>
          <w:p w:rsidR="00425758" w:rsidRDefault="00425758">
            <w:pPr>
              <w:pStyle w:val="yTableNAm"/>
              <w:tabs>
                <w:tab w:val="clear" w:pos="567"/>
              </w:tabs>
              <w:spacing w:before="0"/>
              <w:rPr>
                <w:sz w:val="20"/>
              </w:rPr>
            </w:pPr>
            <w:r>
              <w:rPr>
                <w:sz w:val="20"/>
              </w:rPr>
              <w:t>Place:</w:t>
            </w:r>
          </w:p>
          <w:p w:rsidR="00425758" w:rsidRDefault="00425758">
            <w:pPr>
              <w:pStyle w:val="yTableNAm"/>
              <w:tabs>
                <w:tab w:val="clear" w:pos="567"/>
              </w:tabs>
              <w:spacing w:before="0"/>
              <w:rPr>
                <w:sz w:val="20"/>
              </w:rPr>
            </w:pPr>
            <w:r>
              <w:rPr>
                <w:sz w:val="20"/>
              </w:rPr>
              <w:t>Address to which the subpoena (or copy) and documents or things may be delivered:</w:t>
            </w:r>
          </w:p>
          <w:p w:rsidR="00425758" w:rsidRDefault="00425758">
            <w:pPr>
              <w:pStyle w:val="yTableNAm"/>
              <w:tabs>
                <w:tab w:val="clear" w:pos="567"/>
              </w:tabs>
              <w:spacing w:before="0"/>
              <w:ind w:left="368" w:hanging="368"/>
              <w:rPr>
                <w:sz w:val="20"/>
              </w:rPr>
            </w:pPr>
            <w:r>
              <w:rPr>
                <w:sz w:val="20"/>
              </w:rPr>
              <w:t>*</w:t>
            </w:r>
            <w:r>
              <w:rPr>
                <w:sz w:val="20"/>
              </w:rPr>
              <w:tab/>
              <w:t>Supreme Court of Western Australia</w:t>
            </w:r>
          </w:p>
          <w:p w:rsidR="00425758" w:rsidRDefault="00425758">
            <w:pPr>
              <w:pStyle w:val="yTableNAm"/>
              <w:tabs>
                <w:tab w:val="clear" w:pos="567"/>
              </w:tabs>
              <w:spacing w:before="0"/>
              <w:ind w:left="368"/>
              <w:rPr>
                <w:sz w:val="20"/>
              </w:rPr>
            </w:pPr>
            <w:r>
              <w:rPr>
                <w:sz w:val="20"/>
              </w:rPr>
              <w:t>David Malcolm Justice Centre</w:t>
            </w:r>
          </w:p>
          <w:p w:rsidR="00425758" w:rsidRDefault="00425758">
            <w:pPr>
              <w:pStyle w:val="yTableNAm"/>
              <w:tabs>
                <w:tab w:val="clear" w:pos="567"/>
              </w:tabs>
              <w:spacing w:before="0"/>
              <w:ind w:left="368"/>
              <w:rPr>
                <w:sz w:val="20"/>
              </w:rPr>
            </w:pPr>
            <w:r>
              <w:rPr>
                <w:sz w:val="20"/>
              </w:rPr>
              <w:t>Level 11, 28 Barrack Street</w:t>
            </w:r>
          </w:p>
          <w:p w:rsidR="00425758" w:rsidRDefault="00425758">
            <w:pPr>
              <w:pStyle w:val="yTableNAm"/>
              <w:tabs>
                <w:tab w:val="clear" w:pos="567"/>
              </w:tabs>
              <w:spacing w:before="0"/>
              <w:ind w:left="368"/>
              <w:rPr>
                <w:sz w:val="20"/>
              </w:rPr>
            </w:pPr>
            <w:r>
              <w:rPr>
                <w:sz w:val="20"/>
              </w:rPr>
              <w:t>Perth WA 6000</w:t>
            </w:r>
          </w:p>
          <w:p w:rsidR="00425758" w:rsidRDefault="00425758">
            <w:pPr>
              <w:pStyle w:val="yTableNAm"/>
              <w:tabs>
                <w:tab w:val="clear" w:pos="567"/>
              </w:tabs>
              <w:spacing w:before="0"/>
              <w:ind w:left="368" w:hanging="368"/>
              <w:rPr>
                <w:sz w:val="20"/>
              </w:rPr>
            </w:pPr>
            <w:r>
              <w:rPr>
                <w:sz w:val="20"/>
              </w:rPr>
              <w:t>*</w:t>
            </w:r>
            <w:r>
              <w:rPr>
                <w:sz w:val="20"/>
              </w:rPr>
              <w:tab/>
              <w:t>Supreme Court of Western Australia</w:t>
            </w:r>
          </w:p>
          <w:p w:rsidR="00425758" w:rsidRDefault="00425758">
            <w:pPr>
              <w:pStyle w:val="yTableNAm"/>
              <w:tabs>
                <w:tab w:val="clear" w:pos="567"/>
              </w:tabs>
              <w:spacing w:before="0"/>
              <w:ind w:left="368"/>
              <w:rPr>
                <w:sz w:val="20"/>
              </w:rPr>
            </w:pPr>
            <w:r>
              <w:rPr>
                <w:sz w:val="20"/>
              </w:rPr>
              <w:t>Court of Appeal</w:t>
            </w:r>
          </w:p>
          <w:p w:rsidR="00425758" w:rsidRDefault="00425758">
            <w:pPr>
              <w:pStyle w:val="yTableNAm"/>
              <w:tabs>
                <w:tab w:val="clear" w:pos="567"/>
              </w:tabs>
              <w:spacing w:before="0"/>
              <w:ind w:left="368"/>
              <w:rPr>
                <w:sz w:val="20"/>
              </w:rPr>
            </w:pPr>
            <w:r>
              <w:rPr>
                <w:sz w:val="20"/>
              </w:rPr>
              <w:t>Stirling Gardens, Barrack Street</w:t>
            </w:r>
          </w:p>
          <w:p w:rsidR="00425758" w:rsidRDefault="00425758">
            <w:pPr>
              <w:pStyle w:val="yTableNAm"/>
              <w:tabs>
                <w:tab w:val="clear" w:pos="567"/>
              </w:tabs>
              <w:spacing w:before="0"/>
              <w:ind w:left="368"/>
              <w:rPr>
                <w:sz w:val="20"/>
              </w:rPr>
            </w:pPr>
            <w:r>
              <w:rPr>
                <w:sz w:val="20"/>
              </w:rPr>
              <w:t>Perth WA 6000</w:t>
            </w:r>
          </w:p>
          <w:p w:rsidR="00425758" w:rsidRDefault="00425758">
            <w:pPr>
              <w:pStyle w:val="yTableNAm"/>
              <w:tabs>
                <w:tab w:val="clear" w:pos="567"/>
              </w:tabs>
              <w:spacing w:before="0"/>
              <w:rPr>
                <w:sz w:val="20"/>
              </w:rPr>
            </w:pPr>
            <w:r>
              <w:rPr>
                <w:sz w:val="20"/>
              </w:rPr>
              <w:t>Address(es) of the High Court of New Zealand to which the subpoena (or copy) and documents or things may be delivered or posted:</w:t>
            </w:r>
          </w:p>
          <w:p w:rsidR="00425758" w:rsidRDefault="00425758">
            <w:pPr>
              <w:pStyle w:val="yTableNAm"/>
              <w:tabs>
                <w:tab w:val="clear" w:pos="567"/>
              </w:tabs>
              <w:spacing w:before="0"/>
              <w:ind w:left="369"/>
              <w:rPr>
                <w:sz w:val="20"/>
              </w:rPr>
            </w:pPr>
            <w:r>
              <w:rPr>
                <w:sz w:val="20"/>
              </w:rPr>
              <w:t>[</w:t>
            </w:r>
            <w:r>
              <w:rPr>
                <w:i/>
                <w:sz w:val="20"/>
              </w:rPr>
              <w:t>Address(es)</w:t>
            </w:r>
            <w:r>
              <w:rPr>
                <w:sz w:val="20"/>
              </w:rPr>
              <w:t>]</w:t>
            </w:r>
          </w:p>
        </w:tc>
      </w:tr>
      <w:tr w:rsidR="00425758">
        <w:tc>
          <w:tcPr>
            <w:tcW w:w="7088" w:type="dxa"/>
            <w:gridSpan w:val="4"/>
          </w:tcPr>
          <w:p w:rsidR="00425758" w:rsidRDefault="00425758">
            <w:pPr>
              <w:pStyle w:val="yTableNAm"/>
              <w:keepNext/>
              <w:tabs>
                <w:tab w:val="clear" w:pos="567"/>
              </w:tabs>
              <w:spacing w:before="0"/>
              <w:jc w:val="center"/>
              <w:rPr>
                <w:b/>
                <w:sz w:val="20"/>
              </w:rPr>
            </w:pPr>
            <w:r>
              <w:rPr>
                <w:b/>
                <w:sz w:val="20"/>
              </w:rPr>
              <w:lastRenderedPageBreak/>
              <w:t>Schedule of documents</w:t>
            </w:r>
          </w:p>
        </w:tc>
      </w:tr>
      <w:tr w:rsidR="00425758">
        <w:tc>
          <w:tcPr>
            <w:tcW w:w="7088" w:type="dxa"/>
            <w:gridSpan w:val="4"/>
          </w:tcPr>
          <w:p w:rsidR="00425758" w:rsidRDefault="00425758">
            <w:pPr>
              <w:pStyle w:val="yTableNAm"/>
              <w:keepNext/>
              <w:tabs>
                <w:tab w:val="clear" w:pos="567"/>
              </w:tabs>
              <w:spacing w:before="0"/>
              <w:rPr>
                <w:sz w:val="20"/>
              </w:rPr>
            </w:pPr>
            <w:r>
              <w:rPr>
                <w:sz w:val="20"/>
              </w:rPr>
              <w:t>The documents and things you must produce are as follows:</w:t>
            </w:r>
          </w:p>
          <w:p w:rsidR="00425758" w:rsidRDefault="00425758">
            <w:pPr>
              <w:pStyle w:val="yTableNAm"/>
              <w:tabs>
                <w:tab w:val="clear" w:pos="567"/>
              </w:tabs>
              <w:spacing w:before="0"/>
              <w:rPr>
                <w:i/>
                <w:sz w:val="20"/>
              </w:rPr>
            </w:pPr>
            <w:r>
              <w:rPr>
                <w:sz w:val="20"/>
              </w:rPr>
              <w:t>[</w:t>
            </w:r>
            <w:r>
              <w:rPr>
                <w:i/>
                <w:sz w:val="20"/>
              </w:rPr>
              <w:t>List the documents or things and whether the original of any document is required. If insufficient space, attach list.</w:t>
            </w:r>
            <w:r>
              <w:rPr>
                <w:sz w:val="20"/>
              </w:rPr>
              <w:t>]</w:t>
            </w:r>
          </w:p>
        </w:tc>
      </w:tr>
      <w:tr w:rsidR="00425758">
        <w:trPr>
          <w:cantSplit/>
        </w:trPr>
        <w:tc>
          <w:tcPr>
            <w:tcW w:w="7088" w:type="dxa"/>
            <w:gridSpan w:val="4"/>
          </w:tcPr>
          <w:p w:rsidR="00425758" w:rsidRDefault="00425758">
            <w:pPr>
              <w:pStyle w:val="yTableNAm"/>
              <w:keepNext/>
              <w:tabs>
                <w:tab w:val="clear" w:pos="567"/>
              </w:tabs>
              <w:spacing w:before="0"/>
              <w:jc w:val="center"/>
              <w:rPr>
                <w:b/>
                <w:sz w:val="20"/>
              </w:rPr>
            </w:pPr>
            <w:r>
              <w:rPr>
                <w:b/>
                <w:sz w:val="20"/>
              </w:rPr>
              <w:t>Notes</w:t>
            </w:r>
          </w:p>
        </w:tc>
      </w:tr>
      <w:tr w:rsidR="00425758">
        <w:tc>
          <w:tcPr>
            <w:tcW w:w="1418" w:type="dxa"/>
          </w:tcPr>
          <w:p w:rsidR="00425758" w:rsidRDefault="00425758">
            <w:pPr>
              <w:pStyle w:val="yTableNAm"/>
              <w:keepNext/>
              <w:tabs>
                <w:tab w:val="clear" w:pos="567"/>
              </w:tabs>
              <w:spacing w:before="0"/>
              <w:rPr>
                <w:b/>
                <w:sz w:val="20"/>
              </w:rPr>
            </w:pPr>
            <w:r>
              <w:rPr>
                <w:b/>
                <w:sz w:val="20"/>
              </w:rPr>
              <w:t>Leave to serve subpoena</w:t>
            </w:r>
          </w:p>
        </w:tc>
        <w:tc>
          <w:tcPr>
            <w:tcW w:w="5670" w:type="dxa"/>
            <w:gridSpan w:val="3"/>
          </w:tcPr>
          <w:p w:rsidR="00425758" w:rsidRDefault="00425758">
            <w:pPr>
              <w:pStyle w:val="yTableNAm"/>
              <w:tabs>
                <w:tab w:val="clear" w:pos="567"/>
              </w:tabs>
              <w:spacing w:before="0"/>
              <w:ind w:left="369" w:hanging="369"/>
              <w:rPr>
                <w:sz w:val="20"/>
              </w:rPr>
            </w:pPr>
            <w:r>
              <w:rPr>
                <w:sz w:val="20"/>
              </w:rPr>
              <w:t>1.</w:t>
            </w:r>
            <w:r>
              <w:rPr>
                <w:sz w:val="20"/>
              </w:rPr>
              <w:tab/>
              <w:t xml:space="preserve">You need not comply with this subpoena unless it is accompanied by — </w:t>
            </w:r>
          </w:p>
          <w:p w:rsidR="00425758" w:rsidRDefault="00425758">
            <w:pPr>
              <w:pStyle w:val="yTableNAm"/>
              <w:tabs>
                <w:tab w:val="clear" w:pos="567"/>
              </w:tabs>
              <w:spacing w:before="0"/>
              <w:ind w:left="794" w:hanging="425"/>
              <w:rPr>
                <w:sz w:val="20"/>
              </w:rPr>
            </w:pPr>
            <w:r>
              <w:rPr>
                <w:sz w:val="20"/>
              </w:rPr>
              <w:t>(a)</w:t>
            </w:r>
            <w:r>
              <w:rPr>
                <w:sz w:val="20"/>
              </w:rPr>
              <w:tab/>
              <w:t>a copy of the order of a judge of the Supreme Court giving leave to serve the subpoena in New Zealand; and</w:t>
            </w:r>
          </w:p>
          <w:p w:rsidR="00425758" w:rsidRDefault="00425758">
            <w:pPr>
              <w:pStyle w:val="yTableNAm"/>
              <w:tabs>
                <w:tab w:val="clear" w:pos="567"/>
              </w:tabs>
              <w:spacing w:before="0"/>
              <w:ind w:left="794" w:hanging="425"/>
              <w:rPr>
                <w:sz w:val="20"/>
              </w:rPr>
            </w:pPr>
            <w:r>
              <w:rPr>
                <w:sz w:val="20"/>
              </w:rPr>
              <w:t>(b)</w:t>
            </w:r>
            <w:r>
              <w:rPr>
                <w:sz w:val="20"/>
              </w:rPr>
              <w:tab/>
              <w:t xml:space="preserve">a notice in the prescribed form that — </w:t>
            </w:r>
          </w:p>
          <w:p w:rsidR="00425758" w:rsidRDefault="00425758">
            <w:pPr>
              <w:pStyle w:val="yTableNAm"/>
              <w:tabs>
                <w:tab w:val="clear" w:pos="567"/>
              </w:tabs>
              <w:spacing w:before="0"/>
              <w:ind w:left="1218" w:hanging="425"/>
              <w:rPr>
                <w:sz w:val="20"/>
              </w:rPr>
            </w:pPr>
            <w:r>
              <w:rPr>
                <w:sz w:val="20"/>
              </w:rPr>
              <w:t>(i)</w:t>
            </w:r>
            <w:r>
              <w:rPr>
                <w:sz w:val="20"/>
              </w:rPr>
              <w:tab/>
              <w:t>sets out your rights and obligations in relation to the subpoena; and</w:t>
            </w:r>
          </w:p>
          <w:p w:rsidR="00425758" w:rsidRDefault="00425758">
            <w:pPr>
              <w:pStyle w:val="yTableNAm"/>
              <w:tabs>
                <w:tab w:val="clear" w:pos="567"/>
              </w:tabs>
              <w:spacing w:before="0"/>
              <w:ind w:left="1218" w:hanging="425"/>
              <w:rPr>
                <w:sz w:val="20"/>
              </w:rPr>
            </w:pPr>
            <w:r>
              <w:rPr>
                <w:sz w:val="20"/>
              </w:rPr>
              <w:t>(ii)</w:t>
            </w:r>
            <w:r>
              <w:rPr>
                <w:sz w:val="20"/>
              </w:rPr>
              <w:tab/>
              <w:t>includes information about the way in which an application to have the subpoena set aside may be made.</w:t>
            </w:r>
          </w:p>
        </w:tc>
      </w:tr>
      <w:tr w:rsidR="00425758">
        <w:tc>
          <w:tcPr>
            <w:tcW w:w="1418" w:type="dxa"/>
          </w:tcPr>
          <w:p w:rsidR="00425758" w:rsidRDefault="00425758">
            <w:pPr>
              <w:pStyle w:val="yTableNAm"/>
              <w:keepNext/>
              <w:tabs>
                <w:tab w:val="clear" w:pos="567"/>
              </w:tabs>
              <w:spacing w:before="0"/>
              <w:rPr>
                <w:b/>
                <w:sz w:val="20"/>
              </w:rPr>
            </w:pPr>
            <w:r>
              <w:rPr>
                <w:b/>
                <w:sz w:val="20"/>
              </w:rPr>
              <w:t>Last day for service</w:t>
            </w:r>
          </w:p>
        </w:tc>
        <w:tc>
          <w:tcPr>
            <w:tcW w:w="5670" w:type="dxa"/>
            <w:gridSpan w:val="3"/>
          </w:tcPr>
          <w:p w:rsidR="00425758" w:rsidRDefault="00425758">
            <w:pPr>
              <w:pStyle w:val="yTableNAm"/>
              <w:keepLines/>
              <w:widowControl w:val="0"/>
              <w:tabs>
                <w:tab w:val="clear" w:pos="567"/>
              </w:tabs>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rsidR="00425758">
        <w:tc>
          <w:tcPr>
            <w:tcW w:w="1418" w:type="dxa"/>
          </w:tcPr>
          <w:p w:rsidR="00425758" w:rsidRDefault="00425758">
            <w:pPr>
              <w:pStyle w:val="yTableNAm"/>
              <w:tabs>
                <w:tab w:val="clear" w:pos="567"/>
              </w:tabs>
              <w:spacing w:before="0"/>
              <w:rPr>
                <w:b/>
                <w:sz w:val="20"/>
              </w:rPr>
            </w:pPr>
            <w:r>
              <w:rPr>
                <w:b/>
                <w:sz w:val="20"/>
              </w:rPr>
              <w:t>Informal service</w:t>
            </w:r>
          </w:p>
        </w:tc>
        <w:tc>
          <w:tcPr>
            <w:tcW w:w="5670" w:type="dxa"/>
            <w:gridSpan w:val="3"/>
          </w:tcPr>
          <w:p w:rsidR="00425758" w:rsidRDefault="00425758">
            <w:pPr>
              <w:pStyle w:val="yTableNAm"/>
              <w:tabs>
                <w:tab w:val="clear" w:pos="567"/>
              </w:tabs>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rsidR="00425758">
        <w:trPr>
          <w:cantSplit/>
        </w:trPr>
        <w:tc>
          <w:tcPr>
            <w:tcW w:w="1418" w:type="dxa"/>
          </w:tcPr>
          <w:p w:rsidR="00425758" w:rsidRDefault="00425758">
            <w:pPr>
              <w:pStyle w:val="yTableNAm"/>
              <w:tabs>
                <w:tab w:val="clear" w:pos="567"/>
              </w:tabs>
              <w:spacing w:before="0"/>
              <w:rPr>
                <w:b/>
                <w:sz w:val="20"/>
              </w:rPr>
            </w:pPr>
            <w:r>
              <w:rPr>
                <w:b/>
                <w:sz w:val="20"/>
              </w:rPr>
              <w:lastRenderedPageBreak/>
              <w:t>Addressee a corporation</w:t>
            </w:r>
          </w:p>
        </w:tc>
        <w:tc>
          <w:tcPr>
            <w:tcW w:w="5670" w:type="dxa"/>
            <w:gridSpan w:val="3"/>
          </w:tcPr>
          <w:p w:rsidR="00425758" w:rsidRDefault="00425758">
            <w:pPr>
              <w:pStyle w:val="yTableNAm"/>
              <w:tabs>
                <w:tab w:val="clear" w:pos="567"/>
              </w:tabs>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rsidR="00425758">
        <w:tc>
          <w:tcPr>
            <w:tcW w:w="1418" w:type="dxa"/>
          </w:tcPr>
          <w:p w:rsidR="00425758" w:rsidRDefault="00425758">
            <w:pPr>
              <w:pStyle w:val="yTableNAm"/>
              <w:tabs>
                <w:tab w:val="clear" w:pos="567"/>
              </w:tabs>
              <w:spacing w:before="0"/>
              <w:rPr>
                <w:b/>
                <w:sz w:val="20"/>
              </w:rPr>
            </w:pPr>
            <w:r>
              <w:rPr>
                <w:b/>
                <w:sz w:val="20"/>
              </w:rPr>
              <w:t>Production of subpoena or copy of it and documents or things by delivery or post</w:t>
            </w:r>
          </w:p>
        </w:tc>
        <w:tc>
          <w:tcPr>
            <w:tcW w:w="5670" w:type="dxa"/>
            <w:gridSpan w:val="3"/>
          </w:tcPr>
          <w:p w:rsidR="00425758" w:rsidRDefault="00425758">
            <w:pPr>
              <w:pStyle w:val="yTableNAm"/>
              <w:tabs>
                <w:tab w:val="clear" w:pos="567"/>
              </w:tabs>
              <w:spacing w:before="0"/>
              <w:ind w:left="369" w:hanging="369"/>
              <w:rPr>
                <w:sz w:val="20"/>
              </w:rPr>
            </w:pPr>
            <w:r>
              <w:rPr>
                <w:sz w:val="20"/>
              </w:rPr>
              <w:t>5.</w:t>
            </w:r>
            <w:r>
              <w:rPr>
                <w:sz w:val="20"/>
              </w:rPr>
              <w:tab/>
              <w:t xml:space="preserve">Instead of attending the Supreme Court and producing this subpoena or a copy of it and the document or thing, you may comply with this subpoena by delivering or posting the subpoena or a copy of it and the document or thing to — </w:t>
            </w:r>
          </w:p>
          <w:p w:rsidR="00425758" w:rsidRDefault="00425758">
            <w:pPr>
              <w:pStyle w:val="yTableNAm"/>
              <w:tabs>
                <w:tab w:val="clear" w:pos="567"/>
              </w:tabs>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rsidR="00425758" w:rsidRDefault="00425758">
            <w:pPr>
              <w:pStyle w:val="yTableNAm"/>
              <w:tabs>
                <w:tab w:val="clear" w:pos="567"/>
              </w:tabs>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rsidR="00425758" w:rsidRDefault="00425758">
            <w:pPr>
              <w:pStyle w:val="yTableNAm"/>
              <w:tabs>
                <w:tab w:val="clear" w:pos="567"/>
              </w:tabs>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rsidR="00425758" w:rsidRDefault="00425758">
            <w:pPr>
              <w:pStyle w:val="yTableNAm"/>
              <w:tabs>
                <w:tab w:val="clear" w:pos="567"/>
              </w:tabs>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rsidR="00425758">
        <w:tc>
          <w:tcPr>
            <w:tcW w:w="1418" w:type="dxa"/>
            <w:shd w:val="clear" w:color="auto" w:fill="auto"/>
          </w:tcPr>
          <w:p w:rsidR="00425758" w:rsidRDefault="00425758">
            <w:pPr>
              <w:pStyle w:val="yTableNAm"/>
              <w:tabs>
                <w:tab w:val="clear" w:pos="567"/>
              </w:tabs>
              <w:spacing w:before="0"/>
              <w:rPr>
                <w:b/>
                <w:sz w:val="20"/>
              </w:rPr>
            </w:pPr>
            <w:r>
              <w:rPr>
                <w:b/>
                <w:sz w:val="20"/>
              </w:rPr>
              <w:t>Production of a number of documents or things</w:t>
            </w:r>
          </w:p>
        </w:tc>
        <w:tc>
          <w:tcPr>
            <w:tcW w:w="5670" w:type="dxa"/>
            <w:gridSpan w:val="3"/>
            <w:shd w:val="clear" w:color="auto" w:fill="auto"/>
          </w:tcPr>
          <w:p w:rsidR="00425758" w:rsidRDefault="00425758">
            <w:pPr>
              <w:pStyle w:val="yTableNAm"/>
              <w:tabs>
                <w:tab w:val="clear" w:pos="567"/>
              </w:tabs>
              <w:spacing w:before="0"/>
              <w:ind w:left="369" w:hanging="369"/>
              <w:rPr>
                <w:sz w:val="20"/>
              </w:rPr>
            </w:pPr>
            <w:r>
              <w:rPr>
                <w:sz w:val="20"/>
              </w:rPr>
              <w:t>8.</w:t>
            </w:r>
            <w:r>
              <w:rPr>
                <w:sz w:val="20"/>
              </w:rPr>
              <w:tab/>
              <w:t>If you produce more than one document or thing, you must include with them a list of them.</w:t>
            </w:r>
          </w:p>
        </w:tc>
      </w:tr>
      <w:tr w:rsidR="00425758">
        <w:tc>
          <w:tcPr>
            <w:tcW w:w="1418" w:type="dxa"/>
          </w:tcPr>
          <w:p w:rsidR="00425758" w:rsidRDefault="00425758">
            <w:pPr>
              <w:pStyle w:val="yTableNAm"/>
              <w:tabs>
                <w:tab w:val="clear" w:pos="567"/>
              </w:tabs>
              <w:spacing w:before="0"/>
              <w:rPr>
                <w:b/>
                <w:sz w:val="20"/>
              </w:rPr>
            </w:pPr>
            <w:r>
              <w:rPr>
                <w:b/>
                <w:sz w:val="20"/>
              </w:rPr>
              <w:t>Production of copy instead of original</w:t>
            </w:r>
          </w:p>
        </w:tc>
        <w:tc>
          <w:tcPr>
            <w:tcW w:w="5670" w:type="dxa"/>
            <w:gridSpan w:val="3"/>
          </w:tcPr>
          <w:p w:rsidR="00425758" w:rsidRDefault="00425758">
            <w:pPr>
              <w:pStyle w:val="yTableNAm"/>
              <w:tabs>
                <w:tab w:val="clear" w:pos="567"/>
              </w:tabs>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rsidR="00425758" w:rsidRDefault="00425758">
            <w:pPr>
              <w:pStyle w:val="yTableNAm"/>
              <w:tabs>
                <w:tab w:val="clear" w:pos="567"/>
              </w:tabs>
              <w:spacing w:before="0"/>
              <w:ind w:left="369" w:hanging="369"/>
              <w:rPr>
                <w:sz w:val="20"/>
              </w:rPr>
            </w:pPr>
            <w:r>
              <w:rPr>
                <w:sz w:val="20"/>
              </w:rPr>
              <w:t>10.</w:t>
            </w:r>
            <w:r>
              <w:rPr>
                <w:sz w:val="20"/>
              </w:rPr>
              <w:tab/>
              <w:t xml:space="preserve">The copy of a document may be — </w:t>
            </w:r>
          </w:p>
          <w:p w:rsidR="00425758" w:rsidRDefault="00425758">
            <w:pPr>
              <w:pStyle w:val="yTableNAm"/>
              <w:tabs>
                <w:tab w:val="clear" w:pos="567"/>
              </w:tabs>
              <w:spacing w:before="0"/>
              <w:ind w:left="794" w:hanging="425"/>
              <w:rPr>
                <w:sz w:val="20"/>
              </w:rPr>
            </w:pPr>
            <w:r>
              <w:rPr>
                <w:sz w:val="20"/>
              </w:rPr>
              <w:t>(a)</w:t>
            </w:r>
            <w:r>
              <w:rPr>
                <w:sz w:val="20"/>
              </w:rPr>
              <w:tab/>
              <w:t>a photocopy; or</w:t>
            </w:r>
          </w:p>
          <w:p w:rsidR="00425758" w:rsidRDefault="00425758">
            <w:pPr>
              <w:pStyle w:val="yTableNAm"/>
              <w:tabs>
                <w:tab w:val="clear" w:pos="567"/>
              </w:tabs>
              <w:spacing w:before="0"/>
              <w:ind w:left="794" w:hanging="425"/>
              <w:rPr>
                <w:sz w:val="20"/>
              </w:rPr>
            </w:pPr>
            <w:r>
              <w:rPr>
                <w:sz w:val="20"/>
              </w:rPr>
              <w:t>(b)</w:t>
            </w:r>
            <w:r>
              <w:rPr>
                <w:sz w:val="20"/>
              </w:rPr>
              <w:tab/>
              <w:t xml:space="preserve">in an electronic form on a CD-ROM, DVD or USB device in any of the following electronic formats — </w:t>
            </w:r>
          </w:p>
          <w:p w:rsidR="00425758" w:rsidRDefault="00425758">
            <w:pPr>
              <w:pStyle w:val="yTableNAm"/>
              <w:tabs>
                <w:tab w:val="clear" w:pos="567"/>
              </w:tabs>
              <w:spacing w:before="0"/>
              <w:ind w:left="935" w:hanging="1"/>
              <w:rPr>
                <w:sz w:val="20"/>
              </w:rPr>
            </w:pPr>
            <w:r>
              <w:rPr>
                <w:sz w:val="20"/>
              </w:rPr>
              <w:t>.doc and .docx – Microsoft Word documents</w:t>
            </w:r>
          </w:p>
          <w:p w:rsidR="00425758" w:rsidRDefault="00425758">
            <w:pPr>
              <w:pStyle w:val="yTableNAm"/>
              <w:tabs>
                <w:tab w:val="clear" w:pos="567"/>
              </w:tabs>
              <w:spacing w:before="0"/>
              <w:ind w:left="935" w:hanging="1"/>
              <w:rPr>
                <w:sz w:val="20"/>
              </w:rPr>
            </w:pPr>
            <w:r>
              <w:rPr>
                <w:sz w:val="20"/>
              </w:rPr>
              <w:t>.pdf – Adobe Acrobat documents</w:t>
            </w:r>
          </w:p>
          <w:p w:rsidR="00425758" w:rsidRDefault="00425758">
            <w:pPr>
              <w:pStyle w:val="yTableNAm"/>
              <w:tabs>
                <w:tab w:val="clear" w:pos="567"/>
              </w:tabs>
              <w:spacing w:before="0"/>
              <w:ind w:left="935" w:hanging="1"/>
              <w:rPr>
                <w:sz w:val="20"/>
              </w:rPr>
            </w:pPr>
            <w:r>
              <w:rPr>
                <w:sz w:val="20"/>
              </w:rPr>
              <w:t>.xls and .xlsx – Microsoft Excel spreadsheets</w:t>
            </w:r>
          </w:p>
          <w:p w:rsidR="00425758" w:rsidRDefault="00425758">
            <w:pPr>
              <w:pStyle w:val="yTableNAm"/>
              <w:tabs>
                <w:tab w:val="clear" w:pos="567"/>
              </w:tabs>
              <w:spacing w:before="0"/>
              <w:ind w:left="935" w:hanging="1"/>
              <w:rPr>
                <w:sz w:val="20"/>
              </w:rPr>
            </w:pPr>
            <w:r>
              <w:rPr>
                <w:sz w:val="20"/>
              </w:rPr>
              <w:t>.jpg – image files</w:t>
            </w:r>
          </w:p>
          <w:p w:rsidR="00425758" w:rsidRDefault="00425758">
            <w:pPr>
              <w:pStyle w:val="yTableNAm"/>
              <w:tabs>
                <w:tab w:val="clear" w:pos="567"/>
              </w:tabs>
              <w:spacing w:before="0"/>
              <w:ind w:left="935" w:hanging="1"/>
              <w:rPr>
                <w:sz w:val="20"/>
              </w:rPr>
            </w:pPr>
            <w:r>
              <w:rPr>
                <w:sz w:val="20"/>
              </w:rPr>
              <w:t>.rtf – rich text format</w:t>
            </w:r>
          </w:p>
          <w:p w:rsidR="00425758" w:rsidRDefault="00425758">
            <w:pPr>
              <w:pStyle w:val="yTableNAm"/>
              <w:tabs>
                <w:tab w:val="clear" w:pos="567"/>
              </w:tabs>
              <w:spacing w:before="0"/>
              <w:ind w:left="935" w:hanging="1"/>
              <w:rPr>
                <w:sz w:val="20"/>
              </w:rPr>
            </w:pPr>
            <w:r>
              <w:rPr>
                <w:sz w:val="20"/>
              </w:rPr>
              <w:t>.gif – graphics interchange format</w:t>
            </w:r>
          </w:p>
          <w:p w:rsidR="00425758" w:rsidRDefault="00425758">
            <w:pPr>
              <w:pStyle w:val="yTableNAm"/>
              <w:tabs>
                <w:tab w:val="clear" w:pos="567"/>
              </w:tabs>
              <w:spacing w:before="0"/>
              <w:ind w:left="935" w:hanging="1"/>
              <w:rPr>
                <w:sz w:val="20"/>
              </w:rPr>
            </w:pPr>
            <w:r>
              <w:rPr>
                <w:sz w:val="20"/>
              </w:rPr>
              <w:t>.tif – tagged image format</w:t>
            </w:r>
          </w:p>
        </w:tc>
      </w:tr>
      <w:tr w:rsidR="00425758">
        <w:trPr>
          <w:cantSplit/>
        </w:trPr>
        <w:tc>
          <w:tcPr>
            <w:tcW w:w="1418" w:type="dxa"/>
          </w:tcPr>
          <w:p w:rsidR="00425758" w:rsidRDefault="00425758">
            <w:pPr>
              <w:pStyle w:val="yTableNAm"/>
              <w:tabs>
                <w:tab w:val="clear" w:pos="567"/>
              </w:tabs>
              <w:spacing w:before="0"/>
              <w:rPr>
                <w:b/>
                <w:sz w:val="20"/>
              </w:rPr>
            </w:pPr>
            <w:r>
              <w:rPr>
                <w:b/>
                <w:sz w:val="20"/>
              </w:rPr>
              <w:lastRenderedPageBreak/>
              <w:t>Return or destruction of documents or copies</w:t>
            </w:r>
          </w:p>
        </w:tc>
        <w:tc>
          <w:tcPr>
            <w:tcW w:w="5670" w:type="dxa"/>
            <w:gridSpan w:val="3"/>
          </w:tcPr>
          <w:p w:rsidR="00425758" w:rsidRDefault="00425758">
            <w:pPr>
              <w:pStyle w:val="yTableNAm"/>
              <w:tabs>
                <w:tab w:val="clear" w:pos="567"/>
              </w:tabs>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rsidR="00425758" w:rsidRDefault="00425758">
            <w:pPr>
              <w:pStyle w:val="yTableNAm"/>
              <w:tabs>
                <w:tab w:val="clear" w:pos="567"/>
              </w:tabs>
              <w:spacing w:before="0"/>
              <w:ind w:left="369" w:hanging="369"/>
              <w:rPr>
                <w:sz w:val="20"/>
              </w:rPr>
            </w:pPr>
            <w:r>
              <w:rPr>
                <w:sz w:val="20"/>
              </w:rPr>
              <w:t>12.</w:t>
            </w:r>
            <w:r>
              <w:rPr>
                <w:sz w:val="20"/>
              </w:rPr>
              <w:tab/>
              <w:t>If you have so informed the Court, a registrar of the Supreme Court may destroy the document or copy instead of returning it to you.</w:t>
            </w:r>
          </w:p>
        </w:tc>
      </w:tr>
      <w:tr w:rsidR="00425758">
        <w:tc>
          <w:tcPr>
            <w:tcW w:w="1418" w:type="dxa"/>
          </w:tcPr>
          <w:p w:rsidR="00425758" w:rsidRDefault="00425758">
            <w:pPr>
              <w:pStyle w:val="yTableNAm"/>
              <w:tabs>
                <w:tab w:val="clear" w:pos="567"/>
              </w:tabs>
              <w:spacing w:before="0"/>
              <w:rPr>
                <w:b/>
                <w:sz w:val="20"/>
              </w:rPr>
            </w:pPr>
            <w:r>
              <w:rPr>
                <w:b/>
                <w:sz w:val="20"/>
              </w:rPr>
              <w:t>Applications in relation to subpoena</w:t>
            </w:r>
          </w:p>
        </w:tc>
        <w:tc>
          <w:tcPr>
            <w:tcW w:w="5670" w:type="dxa"/>
            <w:gridSpan w:val="3"/>
          </w:tcPr>
          <w:p w:rsidR="00425758" w:rsidRDefault="00425758">
            <w:pPr>
              <w:pStyle w:val="yTableNAm"/>
              <w:tabs>
                <w:tab w:val="clear" w:pos="567"/>
              </w:tabs>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rsidR="00425758">
        <w:trPr>
          <w:cantSplit/>
        </w:trPr>
        <w:tc>
          <w:tcPr>
            <w:tcW w:w="1418" w:type="dxa"/>
          </w:tcPr>
          <w:p w:rsidR="00425758" w:rsidRDefault="00425758">
            <w:pPr>
              <w:pStyle w:val="yTableNAm"/>
              <w:tabs>
                <w:tab w:val="clear" w:pos="567"/>
              </w:tabs>
              <w:spacing w:before="0"/>
              <w:rPr>
                <w:b/>
                <w:sz w:val="20"/>
              </w:rPr>
            </w:pPr>
            <w:r>
              <w:rPr>
                <w:b/>
                <w:sz w:val="20"/>
              </w:rPr>
              <w:t>Loss or expense of compliance</w:t>
            </w:r>
          </w:p>
        </w:tc>
        <w:tc>
          <w:tcPr>
            <w:tcW w:w="5670" w:type="dxa"/>
            <w:gridSpan w:val="3"/>
          </w:tcPr>
          <w:p w:rsidR="00425758" w:rsidRDefault="00425758">
            <w:pPr>
              <w:pStyle w:val="yTableNAm"/>
              <w:tabs>
                <w:tab w:val="clear" w:pos="567"/>
              </w:tabs>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rsidR="00425758">
        <w:tc>
          <w:tcPr>
            <w:tcW w:w="1418" w:type="dxa"/>
          </w:tcPr>
          <w:p w:rsidR="00425758" w:rsidRDefault="00425758">
            <w:pPr>
              <w:pStyle w:val="yTableNAm"/>
              <w:tabs>
                <w:tab w:val="clear" w:pos="567"/>
              </w:tabs>
              <w:spacing w:before="0"/>
              <w:rPr>
                <w:b/>
                <w:sz w:val="20"/>
              </w:rPr>
            </w:pPr>
            <w:r>
              <w:rPr>
                <w:b/>
                <w:sz w:val="20"/>
              </w:rPr>
              <w:t xml:space="preserve">Contempt of court—arrest </w:t>
            </w:r>
          </w:p>
        </w:tc>
        <w:tc>
          <w:tcPr>
            <w:tcW w:w="5670" w:type="dxa"/>
            <w:gridSpan w:val="3"/>
          </w:tcPr>
          <w:p w:rsidR="00425758" w:rsidRDefault="00425758">
            <w:pPr>
              <w:pStyle w:val="yTableNAm"/>
              <w:tabs>
                <w:tab w:val="clear" w:pos="567"/>
              </w:tabs>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rsidR="00425758" w:rsidRDefault="00425758">
            <w:pPr>
              <w:pStyle w:val="yTableNAm"/>
              <w:tabs>
                <w:tab w:val="clear" w:pos="567"/>
              </w:tabs>
              <w:spacing w:before="0"/>
              <w:ind w:left="369" w:hanging="369"/>
              <w:rPr>
                <w:sz w:val="20"/>
              </w:rPr>
            </w:pPr>
            <w:r>
              <w:rPr>
                <w:sz w:val="20"/>
              </w:rPr>
              <w:t>16.</w:t>
            </w:r>
            <w:r>
              <w:rPr>
                <w:sz w:val="20"/>
              </w:rPr>
              <w:tab/>
              <w:t>Note 15 is without prejudice to any other power to enforce compliance with a subpoena.</w:t>
            </w:r>
          </w:p>
        </w:tc>
      </w:tr>
    </w:tbl>
    <w:p w:rsidR="00425758" w:rsidRDefault="00425758">
      <w:pPr>
        <w:pStyle w:val="PermNoteHeading"/>
        <w:tabs>
          <w:tab w:val="left" w:pos="567"/>
          <w:tab w:val="left" w:pos="1276"/>
        </w:tabs>
      </w:pPr>
      <w:r>
        <w:t>Footnotes to Form 23A —</w:t>
      </w:r>
    </w:p>
    <w:p w:rsidR="00425758" w:rsidRDefault="00425758">
      <w:pPr>
        <w:pStyle w:val="PermNotePara"/>
        <w:tabs>
          <w:tab w:val="clear" w:pos="1843"/>
          <w:tab w:val="left" w:pos="567"/>
        </w:tabs>
      </w:pPr>
      <w:r>
        <w:t>*</w:t>
      </w:r>
      <w:r>
        <w:tab/>
        <w:t>Delete the inapplicable.</w:t>
      </w:r>
    </w:p>
    <w:p w:rsidR="00425758" w:rsidRDefault="00425758">
      <w:pPr>
        <w:pStyle w:val="PermNotePara"/>
        <w:tabs>
          <w:tab w:val="clear" w:pos="1843"/>
          <w:tab w:val="left" w:pos="567"/>
        </w:tabs>
        <w:ind w:left="567" w:hanging="567"/>
      </w:pPr>
      <w:r>
        <w:t>1.</w:t>
      </w:r>
      <w:r>
        <w:tab/>
        <w:t>If there is more than one of any party, include the additional parties’ names and types of party in a schedule to the subpoena.</w:t>
      </w:r>
    </w:p>
    <w:p w:rsidR="00425758" w:rsidRDefault="00425758">
      <w:pPr>
        <w:pStyle w:val="yFootnotesection"/>
        <w:keepLines w:val="0"/>
      </w:pPr>
      <w:r>
        <w:tab/>
        <w:t>[Form 23A inserted: Gazette 24 May 2017 p. 2591</w:t>
      </w:r>
      <w:r>
        <w:noBreakHyphen/>
        <w:t>8; amended: Gazette 27 Feb 2018 p. 622.]</w:t>
      </w:r>
    </w:p>
    <w:p w:rsidR="00425758" w:rsidRDefault="00425758">
      <w:pPr>
        <w:pStyle w:val="yHeading5"/>
      </w:pPr>
      <w:bookmarkStart w:id="1361" w:name="_Toc75863926"/>
      <w:r>
        <w:rPr>
          <w:rStyle w:val="CharSClsNo"/>
        </w:rPr>
        <w:t>23B</w:t>
      </w:r>
      <w:r>
        <w:t>.</w:t>
      </w:r>
      <w:r>
        <w:tab/>
        <w:t>Subpoena to give evidence and produce documents to WA Supreme Court (to be served in NZ) (O. 39A r. 2A)</w:t>
      </w:r>
      <w:bookmarkEnd w:id="1361"/>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686"/>
      </w:tblGrid>
      <w:tr w:rsidR="00425758">
        <w:trPr>
          <w:cantSplit/>
          <w:trHeight w:val="194"/>
        </w:trPr>
        <w:tc>
          <w:tcPr>
            <w:tcW w:w="3544" w:type="dxa"/>
            <w:gridSpan w:val="2"/>
            <w:vMerge w:val="restart"/>
          </w:tcPr>
          <w:p w:rsidR="00425758" w:rsidRDefault="00425758">
            <w:pPr>
              <w:pStyle w:val="yTableNAm"/>
              <w:keepNext/>
              <w:spacing w:before="0"/>
              <w:rPr>
                <w:sz w:val="20"/>
              </w:rPr>
            </w:pPr>
            <w:r>
              <w:rPr>
                <w:sz w:val="20"/>
              </w:rPr>
              <w:t>Supreme Court of Western Australia</w:t>
            </w:r>
          </w:p>
          <w:p w:rsidR="00425758" w:rsidRDefault="00425758">
            <w:pPr>
              <w:pStyle w:val="yTableNAm"/>
              <w:keepNext/>
              <w:spacing w:before="0"/>
              <w:rPr>
                <w:sz w:val="20"/>
              </w:rPr>
            </w:pPr>
            <w:r>
              <w:rPr>
                <w:sz w:val="20"/>
              </w:rPr>
              <w:t>*General Division/Court of Appeal</w:t>
            </w:r>
          </w:p>
        </w:tc>
        <w:tc>
          <w:tcPr>
            <w:tcW w:w="3686" w:type="dxa"/>
          </w:tcPr>
          <w:p w:rsidR="00425758" w:rsidRDefault="00425758">
            <w:pPr>
              <w:pStyle w:val="yTableNAm"/>
              <w:keepNext/>
              <w:spacing w:before="0"/>
              <w:rPr>
                <w:sz w:val="20"/>
              </w:rPr>
            </w:pPr>
            <w:r>
              <w:rPr>
                <w:sz w:val="20"/>
              </w:rPr>
              <w:t>No.:</w:t>
            </w:r>
          </w:p>
        </w:tc>
      </w:tr>
      <w:tr w:rsidR="00425758">
        <w:trPr>
          <w:cantSplit/>
          <w:trHeight w:val="194"/>
        </w:trPr>
        <w:tc>
          <w:tcPr>
            <w:tcW w:w="3544" w:type="dxa"/>
            <w:gridSpan w:val="2"/>
            <w:vMerge/>
          </w:tcPr>
          <w:p w:rsidR="00425758" w:rsidRDefault="00425758">
            <w:pPr>
              <w:pStyle w:val="yTableNAm"/>
              <w:keepNext/>
              <w:spacing w:before="0"/>
              <w:rPr>
                <w:sz w:val="20"/>
              </w:rPr>
            </w:pPr>
          </w:p>
        </w:tc>
        <w:tc>
          <w:tcPr>
            <w:tcW w:w="3686" w:type="dxa"/>
          </w:tcPr>
          <w:p w:rsidR="00425758" w:rsidRDefault="00425758">
            <w:pPr>
              <w:pStyle w:val="yTableNAm"/>
              <w:keepNext/>
              <w:spacing w:before="0"/>
              <w:rPr>
                <w:b/>
                <w:sz w:val="20"/>
              </w:rPr>
            </w:pPr>
            <w:r>
              <w:rPr>
                <w:b/>
                <w:sz w:val="20"/>
              </w:rPr>
              <w:t>Notice attached to subpoena to give evidence and produce documents to the Supreme Court of Western Australia (to be served in New Zealand)</w:t>
            </w:r>
          </w:p>
        </w:tc>
      </w:tr>
      <w:tr w:rsidR="00425758">
        <w:trPr>
          <w:cantSplit/>
        </w:trPr>
        <w:tc>
          <w:tcPr>
            <w:tcW w:w="1418" w:type="dxa"/>
          </w:tcPr>
          <w:p w:rsidR="00425758" w:rsidRDefault="00425758">
            <w:pPr>
              <w:pStyle w:val="yTableNAm"/>
              <w:spacing w:before="0"/>
              <w:rPr>
                <w:sz w:val="20"/>
                <w:vertAlign w:val="superscript"/>
              </w:rPr>
            </w:pPr>
            <w:r>
              <w:rPr>
                <w:sz w:val="20"/>
              </w:rPr>
              <w:t>Parties</w:t>
            </w:r>
            <w:r>
              <w:rPr>
                <w:sz w:val="20"/>
                <w:vertAlign w:val="superscript"/>
              </w:rPr>
              <w:t>1</w:t>
            </w:r>
          </w:p>
        </w:tc>
        <w:tc>
          <w:tcPr>
            <w:tcW w:w="5812" w:type="dxa"/>
            <w:gridSpan w:val="2"/>
          </w:tcPr>
          <w:p w:rsidR="00425758" w:rsidRDefault="00425758">
            <w:pPr>
              <w:pStyle w:val="yTableNAm"/>
              <w:tabs>
                <w:tab w:val="clear" w:pos="567"/>
                <w:tab w:val="left" w:pos="2897"/>
              </w:tabs>
              <w:spacing w:before="0"/>
              <w:rPr>
                <w:sz w:val="20"/>
              </w:rPr>
            </w:pPr>
            <w:r>
              <w:rPr>
                <w:sz w:val="20"/>
              </w:rPr>
              <w:tab/>
              <w:t>Plaintiff</w:t>
            </w:r>
          </w:p>
          <w:p w:rsidR="00425758" w:rsidRDefault="00425758">
            <w:pPr>
              <w:pStyle w:val="yTableNAm"/>
              <w:tabs>
                <w:tab w:val="clear" w:pos="567"/>
                <w:tab w:val="left" w:pos="2897"/>
              </w:tabs>
              <w:spacing w:before="0"/>
              <w:rPr>
                <w:sz w:val="20"/>
              </w:rPr>
            </w:pPr>
            <w:r>
              <w:rPr>
                <w:sz w:val="20"/>
              </w:rPr>
              <w:tab/>
              <w:t>Defendant</w:t>
            </w:r>
          </w:p>
        </w:tc>
      </w:tr>
      <w:tr w:rsidR="00425758">
        <w:tc>
          <w:tcPr>
            <w:tcW w:w="1418" w:type="dxa"/>
          </w:tcPr>
          <w:p w:rsidR="00425758" w:rsidRDefault="00425758">
            <w:pPr>
              <w:pStyle w:val="yTableNAm"/>
              <w:spacing w:before="0"/>
              <w:rPr>
                <w:sz w:val="20"/>
              </w:rPr>
            </w:pPr>
            <w:r>
              <w:rPr>
                <w:b/>
                <w:sz w:val="20"/>
              </w:rPr>
              <w:t xml:space="preserve">Notice to witness  </w:t>
            </w:r>
          </w:p>
        </w:tc>
        <w:tc>
          <w:tcPr>
            <w:tcW w:w="5812" w:type="dxa"/>
            <w:gridSpan w:val="2"/>
          </w:tcPr>
          <w:p w:rsidR="00425758" w:rsidRDefault="00425758">
            <w:pPr>
              <w:pStyle w:val="yTableNAm"/>
              <w:spacing w:before="0"/>
              <w:jc w:val="center"/>
              <w:rPr>
                <w:i/>
                <w:sz w:val="20"/>
              </w:rPr>
            </w:pPr>
            <w:r>
              <w:rPr>
                <w:i/>
                <w:sz w:val="20"/>
              </w:rPr>
              <w:t xml:space="preserve">Trans-Tasman Proceedings Act 2010 </w:t>
            </w:r>
            <w:r>
              <w:rPr>
                <w:sz w:val="20"/>
              </w:rPr>
              <w:t>(Commonwealth)</w:t>
            </w:r>
          </w:p>
          <w:p w:rsidR="00425758" w:rsidRDefault="00425758">
            <w:pPr>
              <w:pStyle w:val="yTableNAm"/>
              <w:spacing w:before="0"/>
              <w:jc w:val="center"/>
              <w:rPr>
                <w:b/>
                <w:sz w:val="20"/>
              </w:rPr>
            </w:pPr>
            <w:r>
              <w:rPr>
                <w:b/>
                <w:sz w:val="20"/>
              </w:rPr>
              <w:t>This notice is very important.</w:t>
            </w:r>
          </w:p>
          <w:p w:rsidR="00425758" w:rsidRDefault="00425758">
            <w:pPr>
              <w:pStyle w:val="yTableNAm"/>
              <w:spacing w:before="0"/>
              <w:jc w:val="center"/>
              <w:rPr>
                <w:b/>
                <w:sz w:val="20"/>
              </w:rPr>
            </w:pPr>
            <w:r>
              <w:rPr>
                <w:b/>
                <w:sz w:val="20"/>
              </w:rPr>
              <w:t>Please read it and the attached document or documents very carefully.</w:t>
            </w:r>
          </w:p>
          <w:p w:rsidR="00425758" w:rsidRDefault="00425758">
            <w:pPr>
              <w:pStyle w:val="yTableNAm"/>
              <w:spacing w:before="0"/>
              <w:jc w:val="center"/>
              <w:rPr>
                <w:b/>
                <w:sz w:val="20"/>
              </w:rPr>
            </w:pPr>
            <w:r>
              <w:rPr>
                <w:b/>
                <w:sz w:val="20"/>
              </w:rPr>
              <w:t>If you have any trouble understanding these documents you should get legal advice as soon as possible.</w:t>
            </w:r>
          </w:p>
          <w:p w:rsidR="00425758" w:rsidRDefault="00425758">
            <w:pPr>
              <w:pStyle w:val="yTableNAm"/>
              <w:spacing w:before="0"/>
              <w:rPr>
                <w:sz w:val="20"/>
              </w:rPr>
            </w:pPr>
            <w:r>
              <w:rPr>
                <w:sz w:val="20"/>
              </w:rPr>
              <w:lastRenderedPageBreak/>
              <w:t>Attached to this notice is a subpoena requiring you to attend the Supreme Court of Western Australia to give evidence and produce documents. The subpoena has been issued by that court.</w:t>
            </w:r>
          </w:p>
          <w:p w:rsidR="00425758" w:rsidRDefault="00425758">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rsidR="00425758" w:rsidRDefault="00425758">
            <w:pPr>
              <w:pStyle w:val="yTableNAm"/>
              <w:spacing w:before="0"/>
              <w:rPr>
                <w:sz w:val="20"/>
              </w:rPr>
            </w:pPr>
            <w:r>
              <w:rPr>
                <w:sz w:val="20"/>
              </w:rPr>
              <w:t xml:space="preserve">This notice — </w:t>
            </w:r>
          </w:p>
          <w:p w:rsidR="00425758" w:rsidRDefault="00425758">
            <w:pPr>
              <w:pStyle w:val="yTableNAm"/>
              <w:spacing w:before="0"/>
              <w:ind w:left="368" w:hanging="368"/>
              <w:rPr>
                <w:sz w:val="20"/>
              </w:rPr>
            </w:pPr>
            <w:r>
              <w:rPr>
                <w:sz w:val="20"/>
              </w:rPr>
              <w:t>•</w:t>
            </w:r>
            <w:r>
              <w:rPr>
                <w:sz w:val="20"/>
              </w:rPr>
              <w:tab/>
              <w:t>sets out your rights relating to the subpoena; and</w:t>
            </w:r>
          </w:p>
          <w:p w:rsidR="00425758" w:rsidRDefault="00425758">
            <w:pPr>
              <w:pStyle w:val="yTableNAm"/>
              <w:spacing w:before="0"/>
              <w:ind w:left="368" w:hanging="368"/>
              <w:rPr>
                <w:sz w:val="20"/>
              </w:rPr>
            </w:pPr>
            <w:r>
              <w:rPr>
                <w:sz w:val="20"/>
              </w:rPr>
              <w:t>•</w:t>
            </w:r>
            <w:r>
              <w:rPr>
                <w:sz w:val="20"/>
              </w:rPr>
              <w:tab/>
              <w:t>sets out your obligations relating to the subpoena; and</w:t>
            </w:r>
          </w:p>
          <w:p w:rsidR="00425758" w:rsidRDefault="00425758">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rsidR="00425758">
        <w:tc>
          <w:tcPr>
            <w:tcW w:w="1418" w:type="dxa"/>
          </w:tcPr>
          <w:p w:rsidR="00425758" w:rsidRDefault="00425758">
            <w:pPr>
              <w:pStyle w:val="yTableNAm"/>
              <w:spacing w:before="0"/>
              <w:rPr>
                <w:b/>
                <w:sz w:val="20"/>
              </w:rPr>
            </w:pPr>
            <w:r>
              <w:rPr>
                <w:b/>
                <w:sz w:val="20"/>
              </w:rPr>
              <w:lastRenderedPageBreak/>
              <w:t>Your rights</w:t>
            </w:r>
          </w:p>
        </w:tc>
        <w:tc>
          <w:tcPr>
            <w:tcW w:w="5812" w:type="dxa"/>
            <w:gridSpan w:val="2"/>
          </w:tcPr>
          <w:p w:rsidR="00425758" w:rsidRDefault="00425758">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rsidR="00425758" w:rsidRDefault="00425758">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rsidR="00425758" w:rsidRDefault="00425758">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rsidR="00425758" w:rsidRDefault="00425758">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rsidR="00425758" w:rsidRDefault="00425758">
            <w:pPr>
              <w:pStyle w:val="yTableNAm"/>
              <w:spacing w:before="0"/>
              <w:ind w:left="369" w:hanging="369"/>
              <w:rPr>
                <w:sz w:val="20"/>
              </w:rPr>
            </w:pPr>
            <w:r>
              <w:rPr>
                <w:sz w:val="20"/>
              </w:rPr>
              <w:t>5.</w:t>
            </w:r>
            <w:r>
              <w:rPr>
                <w:sz w:val="20"/>
              </w:rPr>
              <w:tab/>
              <w:t>An application can be made and determined by the Supreme Court without you having to go to Australia, or to retain Australian lawyers. All the necessary arrangements can be made in New Zealand.</w:t>
            </w:r>
          </w:p>
          <w:p w:rsidR="00425758" w:rsidRDefault="00425758">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rsidR="00425758">
        <w:tc>
          <w:tcPr>
            <w:tcW w:w="1418" w:type="dxa"/>
          </w:tcPr>
          <w:p w:rsidR="00425758" w:rsidRDefault="00425758">
            <w:pPr>
              <w:pStyle w:val="yTableNAm"/>
              <w:spacing w:before="0"/>
              <w:rPr>
                <w:b/>
                <w:sz w:val="20"/>
              </w:rPr>
            </w:pPr>
            <w:r>
              <w:rPr>
                <w:b/>
                <w:sz w:val="20"/>
              </w:rPr>
              <w:t xml:space="preserve">Your obligations  </w:t>
            </w:r>
          </w:p>
        </w:tc>
        <w:tc>
          <w:tcPr>
            <w:tcW w:w="5812" w:type="dxa"/>
            <w:gridSpan w:val="2"/>
          </w:tcPr>
          <w:p w:rsidR="00425758" w:rsidRDefault="00425758">
            <w:pPr>
              <w:pStyle w:val="yTableNAm"/>
              <w:spacing w:before="0"/>
              <w:ind w:left="369" w:hanging="369"/>
              <w:rPr>
                <w:sz w:val="20"/>
              </w:rPr>
            </w:pPr>
            <w:r>
              <w:rPr>
                <w:sz w:val="20"/>
              </w:rPr>
              <w:t>6.</w:t>
            </w:r>
            <w:r>
              <w:rPr>
                <w:sz w:val="20"/>
              </w:rPr>
              <w:tab/>
              <w:t xml:space="preserve">Unless the subpoena is set aside, you must comply with the attached subpoena if — </w:t>
            </w:r>
          </w:p>
          <w:p w:rsidR="00425758" w:rsidRDefault="00425758">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rsidR="00425758" w:rsidRDefault="00425758">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rsidR="00425758" w:rsidRDefault="00425758">
            <w:pPr>
              <w:pStyle w:val="yTableNAm"/>
              <w:spacing w:before="0"/>
              <w:ind w:left="1218" w:hanging="425"/>
              <w:rPr>
                <w:sz w:val="20"/>
              </w:rPr>
            </w:pPr>
            <w:r>
              <w:rPr>
                <w:sz w:val="20"/>
              </w:rPr>
              <w:t>(ii)</w:t>
            </w:r>
            <w:r>
              <w:rPr>
                <w:sz w:val="20"/>
              </w:rPr>
              <w:tab/>
              <w:t>a combination of money and vouchers (for example, travel tickets) to meet those expenses;</w:t>
            </w:r>
          </w:p>
          <w:p w:rsidR="00425758" w:rsidRDefault="00425758">
            <w:pPr>
              <w:pStyle w:val="yTableNAm"/>
              <w:spacing w:before="0"/>
              <w:ind w:left="794" w:hanging="425"/>
              <w:rPr>
                <w:sz w:val="20"/>
              </w:rPr>
            </w:pPr>
            <w:r>
              <w:rPr>
                <w:sz w:val="20"/>
              </w:rPr>
              <w:tab/>
            </w:r>
            <w:r>
              <w:rPr>
                <w:sz w:val="20"/>
              </w:rPr>
              <w:tab/>
              <w:t>and</w:t>
            </w:r>
          </w:p>
          <w:p w:rsidR="00425758" w:rsidRDefault="00425758">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rsidR="00425758" w:rsidRDefault="00425758">
            <w:pPr>
              <w:pStyle w:val="yTableNAm"/>
              <w:spacing w:before="0"/>
              <w:ind w:left="794" w:hanging="425"/>
              <w:rPr>
                <w:sz w:val="20"/>
              </w:rPr>
            </w:pPr>
            <w:r>
              <w:rPr>
                <w:sz w:val="20"/>
              </w:rPr>
              <w:lastRenderedPageBreak/>
              <w:t>(c)</w:t>
            </w:r>
            <w:r>
              <w:rPr>
                <w:sz w:val="20"/>
              </w:rPr>
              <w:tab/>
              <w:t>the subpoena was served on you before or on the date specified in the order as the last day on which the subpoena may be served; and</w:t>
            </w:r>
          </w:p>
          <w:p w:rsidR="00425758" w:rsidRDefault="00425758">
            <w:pPr>
              <w:pStyle w:val="yTableNAm"/>
              <w:spacing w:before="0"/>
              <w:ind w:left="794" w:hanging="425"/>
              <w:rPr>
                <w:sz w:val="20"/>
              </w:rPr>
            </w:pPr>
            <w:r>
              <w:rPr>
                <w:sz w:val="20"/>
              </w:rPr>
              <w:t>(d)</w:t>
            </w:r>
            <w:r>
              <w:rPr>
                <w:sz w:val="20"/>
              </w:rPr>
              <w:tab/>
              <w:t>service of the subpoena complied with any other conditions specified in the order; and</w:t>
            </w:r>
          </w:p>
          <w:p w:rsidR="00425758" w:rsidRDefault="00425758">
            <w:pPr>
              <w:pStyle w:val="yTableNAm"/>
              <w:spacing w:before="0"/>
              <w:ind w:left="794" w:hanging="425"/>
              <w:rPr>
                <w:sz w:val="20"/>
              </w:rPr>
            </w:pPr>
            <w:r>
              <w:rPr>
                <w:sz w:val="20"/>
              </w:rPr>
              <w:t>(e)</w:t>
            </w:r>
            <w:r>
              <w:rPr>
                <w:sz w:val="20"/>
              </w:rPr>
              <w:tab/>
              <w:t>you are over the age of 18 years.</w:t>
            </w:r>
          </w:p>
          <w:p w:rsidR="00425758" w:rsidRDefault="00425758">
            <w:pPr>
              <w:pStyle w:val="yTableNAm"/>
              <w:spacing w:before="0"/>
              <w:ind w:left="369" w:hanging="369"/>
              <w:rPr>
                <w:sz w:val="20"/>
              </w:rPr>
            </w:pPr>
            <w:r>
              <w:rPr>
                <w:sz w:val="20"/>
              </w:rPr>
              <w:t>7.</w:t>
            </w:r>
            <w:r>
              <w:rPr>
                <w:sz w:val="20"/>
              </w:rPr>
              <w:tab/>
              <w:t xml:space="preserve">In so far as the subpoena requires you to produce documents or things to the Supreme Court, it must specify the date on which you must attend the Court and produce the documents or things. But instead of attending you may comply with that requirement by delivering or posting the subpoena (or a copy of it) and the documents or things to either — </w:t>
            </w:r>
          </w:p>
          <w:p w:rsidR="00425758" w:rsidRDefault="00425758">
            <w:pPr>
              <w:pStyle w:val="yTableNAm"/>
              <w:spacing w:before="0"/>
              <w:ind w:left="794" w:hanging="425"/>
              <w:rPr>
                <w:sz w:val="20"/>
              </w:rPr>
            </w:pPr>
            <w:r>
              <w:rPr>
                <w:sz w:val="20"/>
              </w:rPr>
              <w:t>(a)</w:t>
            </w:r>
            <w:r>
              <w:rPr>
                <w:sz w:val="20"/>
              </w:rPr>
              <w:tab/>
              <w:t>the Supreme Court so that they are received not less than 2 clear days before that date; or</w:t>
            </w:r>
          </w:p>
          <w:p w:rsidR="00425758" w:rsidRDefault="00425758">
            <w:pPr>
              <w:pStyle w:val="yTableNAm"/>
              <w:spacing w:before="0"/>
              <w:ind w:left="794" w:hanging="425"/>
              <w:rPr>
                <w:sz w:val="20"/>
              </w:rPr>
            </w:pPr>
            <w:r>
              <w:rPr>
                <w:sz w:val="20"/>
              </w:rPr>
              <w:t>(b)</w:t>
            </w:r>
            <w:r>
              <w:rPr>
                <w:sz w:val="20"/>
              </w:rPr>
              <w:tab/>
              <w:t>the High Court of New Zealand so that they are received at least 10 days before that date.</w:t>
            </w:r>
          </w:p>
          <w:p w:rsidR="00425758" w:rsidRDefault="00425758">
            <w:pPr>
              <w:pStyle w:val="yTableNAm"/>
              <w:spacing w:before="0"/>
              <w:ind w:left="369" w:hanging="369"/>
              <w:rPr>
                <w:sz w:val="20"/>
              </w:rPr>
            </w:pPr>
            <w:r>
              <w:rPr>
                <w:sz w:val="20"/>
              </w:rPr>
              <w:tab/>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rsidR="00425758">
        <w:trPr>
          <w:cantSplit/>
        </w:trPr>
        <w:tc>
          <w:tcPr>
            <w:tcW w:w="1418" w:type="dxa"/>
            <w:tcBorders>
              <w:bottom w:val="single" w:sz="4" w:space="0" w:color="auto"/>
            </w:tcBorders>
          </w:tcPr>
          <w:p w:rsidR="00425758" w:rsidRDefault="00425758">
            <w:pPr>
              <w:pStyle w:val="yTableNAm"/>
              <w:spacing w:before="0"/>
              <w:rPr>
                <w:b/>
                <w:sz w:val="20"/>
              </w:rPr>
            </w:pPr>
            <w:r>
              <w:rPr>
                <w:b/>
                <w:sz w:val="20"/>
              </w:rPr>
              <w:lastRenderedPageBreak/>
              <w:t>Failure to comply with subpoena</w:t>
            </w:r>
          </w:p>
        </w:tc>
        <w:tc>
          <w:tcPr>
            <w:tcW w:w="5812" w:type="dxa"/>
            <w:gridSpan w:val="2"/>
            <w:tcBorders>
              <w:bottom w:val="single" w:sz="4" w:space="0" w:color="auto"/>
            </w:tcBorders>
          </w:tcPr>
          <w:p w:rsidR="00425758" w:rsidRDefault="00425758">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rsidR="00425758">
        <w:trPr>
          <w:cantSplit/>
        </w:trPr>
        <w:tc>
          <w:tcPr>
            <w:tcW w:w="1418" w:type="dxa"/>
            <w:tcBorders>
              <w:bottom w:val="nil"/>
            </w:tcBorders>
          </w:tcPr>
          <w:p w:rsidR="00425758" w:rsidRDefault="00425758">
            <w:pPr>
              <w:pStyle w:val="yTableNAm"/>
              <w:spacing w:before="0"/>
              <w:rPr>
                <w:b/>
                <w:sz w:val="20"/>
              </w:rPr>
            </w:pPr>
            <w:r>
              <w:rPr>
                <w:b/>
                <w:sz w:val="20"/>
              </w:rPr>
              <w:t>Grounds for setting aside a subpoena</w:t>
            </w:r>
          </w:p>
        </w:tc>
        <w:tc>
          <w:tcPr>
            <w:tcW w:w="5812" w:type="dxa"/>
            <w:gridSpan w:val="2"/>
            <w:tcBorders>
              <w:bottom w:val="nil"/>
            </w:tcBorders>
          </w:tcPr>
          <w:p w:rsidR="00425758" w:rsidRDefault="00425758">
            <w:pPr>
              <w:pStyle w:val="yTableNAm"/>
              <w:spacing w:before="0"/>
              <w:ind w:left="369" w:hanging="369"/>
              <w:rPr>
                <w:sz w:val="20"/>
              </w:rPr>
            </w:pPr>
            <w:r>
              <w:rPr>
                <w:sz w:val="20"/>
              </w:rPr>
              <w:t>9.</w:t>
            </w:r>
            <w:r>
              <w:rPr>
                <w:sz w:val="20"/>
              </w:rPr>
              <w:tab/>
              <w:t xml:space="preserve">The Supreme Court must set aside the subpoena if the subpoena requires you to attend at a place in Australia and — </w:t>
            </w:r>
          </w:p>
          <w:p w:rsidR="00425758" w:rsidRDefault="00425758">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rsidR="00425758" w:rsidRDefault="00425758">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rsidR="00425758" w:rsidRDefault="00425758">
            <w:pPr>
              <w:pStyle w:val="yTableNAm"/>
              <w:spacing w:before="0"/>
              <w:ind w:left="794" w:hanging="425"/>
              <w:rPr>
                <w:sz w:val="20"/>
              </w:rPr>
            </w:pPr>
            <w:r>
              <w:rPr>
                <w:sz w:val="20"/>
              </w:rPr>
              <w:t>(c)</w:t>
            </w:r>
            <w:r>
              <w:rPr>
                <w:sz w:val="20"/>
              </w:rPr>
              <w:tab/>
              <w:t>you are being prosecuted or you are liable to prosecution for an offence in Australia; or</w:t>
            </w:r>
          </w:p>
          <w:p w:rsidR="00425758" w:rsidRDefault="00425758">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rsidR="00425758" w:rsidRDefault="00425758">
            <w:pPr>
              <w:pStyle w:val="yTableNAm"/>
              <w:spacing w:before="0"/>
              <w:ind w:left="794" w:hanging="425"/>
              <w:rPr>
                <w:b/>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rsidR="00425758">
        <w:trPr>
          <w:cantSplit/>
        </w:trPr>
        <w:tc>
          <w:tcPr>
            <w:tcW w:w="1418" w:type="dxa"/>
            <w:tcBorders>
              <w:top w:val="nil"/>
              <w:bottom w:val="nil"/>
            </w:tcBorders>
          </w:tcPr>
          <w:p w:rsidR="00425758" w:rsidRDefault="00425758">
            <w:pPr>
              <w:pStyle w:val="yTableNAm"/>
              <w:spacing w:before="0"/>
              <w:rPr>
                <w:b/>
                <w:sz w:val="20"/>
              </w:rPr>
            </w:pPr>
          </w:p>
        </w:tc>
        <w:tc>
          <w:tcPr>
            <w:tcW w:w="5812" w:type="dxa"/>
            <w:gridSpan w:val="2"/>
            <w:tcBorders>
              <w:top w:val="nil"/>
              <w:bottom w:val="nil"/>
            </w:tcBorders>
          </w:tcPr>
          <w:p w:rsidR="00425758" w:rsidRDefault="00425758">
            <w:pPr>
              <w:pStyle w:val="yTableNAm"/>
              <w:spacing w:before="0"/>
              <w:ind w:left="369" w:hanging="369"/>
              <w:rPr>
                <w:sz w:val="20"/>
              </w:rPr>
            </w:pPr>
            <w:r>
              <w:rPr>
                <w:sz w:val="20"/>
              </w:rPr>
              <w:t>10.</w:t>
            </w:r>
            <w:r>
              <w:rPr>
                <w:sz w:val="20"/>
              </w:rPr>
              <w:tab/>
              <w:t xml:space="preserve">The grounds on which the Supreme Court may set aside the subpoena include — </w:t>
            </w:r>
          </w:p>
          <w:p w:rsidR="00425758" w:rsidRDefault="00425758">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rsidR="00425758" w:rsidRDefault="00425758">
            <w:pPr>
              <w:pStyle w:val="yTableNAm"/>
              <w:spacing w:before="0"/>
              <w:ind w:left="794" w:hanging="425"/>
              <w:rPr>
                <w:sz w:val="20"/>
              </w:rPr>
            </w:pPr>
            <w:r>
              <w:rPr>
                <w:sz w:val="20"/>
              </w:rPr>
              <w:t>(b)</w:t>
            </w:r>
            <w:r>
              <w:rPr>
                <w:sz w:val="20"/>
              </w:rPr>
              <w:tab/>
              <w:t>compliance with the subpoena would cause you hardship or serious inconvenience;</w:t>
            </w:r>
          </w:p>
          <w:p w:rsidR="00425758" w:rsidRDefault="00425758">
            <w:pPr>
              <w:pStyle w:val="yTableNAm"/>
              <w:spacing w:before="0"/>
              <w:ind w:left="794" w:hanging="425"/>
              <w:rPr>
                <w:sz w:val="20"/>
              </w:rPr>
            </w:pPr>
            <w:r>
              <w:rPr>
                <w:sz w:val="20"/>
              </w:rPr>
              <w:t>(c)</w:t>
            </w:r>
            <w:r>
              <w:rPr>
                <w:sz w:val="20"/>
              </w:rPr>
              <w:tab/>
              <w:t xml:space="preserve">insofar as the subpoena requires you to produce a document or thing, that — </w:t>
            </w:r>
          </w:p>
          <w:p w:rsidR="00425758" w:rsidRDefault="00425758">
            <w:pPr>
              <w:pStyle w:val="yTableNAm"/>
              <w:spacing w:before="0"/>
              <w:ind w:left="1218" w:hanging="425"/>
              <w:rPr>
                <w:sz w:val="20"/>
              </w:rPr>
            </w:pPr>
            <w:r>
              <w:rPr>
                <w:sz w:val="20"/>
              </w:rPr>
              <w:t>(i)</w:t>
            </w:r>
            <w:r>
              <w:rPr>
                <w:sz w:val="20"/>
              </w:rPr>
              <w:tab/>
              <w:t>the document or thing should not be taken out of New Zealand; and</w:t>
            </w:r>
          </w:p>
          <w:p w:rsidR="00425758" w:rsidRDefault="00425758">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tc>
      </w:tr>
      <w:tr w:rsidR="00425758">
        <w:trPr>
          <w:cantSplit/>
        </w:trPr>
        <w:tc>
          <w:tcPr>
            <w:tcW w:w="1418" w:type="dxa"/>
            <w:tcBorders>
              <w:top w:val="nil"/>
            </w:tcBorders>
          </w:tcPr>
          <w:p w:rsidR="00425758" w:rsidRDefault="00425758">
            <w:pPr>
              <w:pStyle w:val="yTableNAm"/>
              <w:spacing w:before="0"/>
              <w:rPr>
                <w:b/>
                <w:sz w:val="20"/>
              </w:rPr>
            </w:pPr>
          </w:p>
        </w:tc>
        <w:tc>
          <w:tcPr>
            <w:tcW w:w="5812" w:type="dxa"/>
            <w:gridSpan w:val="2"/>
            <w:tcBorders>
              <w:top w:val="nil"/>
            </w:tcBorders>
          </w:tcPr>
          <w:p w:rsidR="00425758" w:rsidRDefault="00425758">
            <w:pPr>
              <w:pStyle w:val="yTableNAm"/>
              <w:spacing w:before="0"/>
              <w:ind w:left="1218" w:hanging="425"/>
              <w:rPr>
                <w:sz w:val="20"/>
              </w:rPr>
            </w:pPr>
          </w:p>
          <w:p w:rsidR="00425758" w:rsidRDefault="00425758">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rsidR="00425758">
        <w:tc>
          <w:tcPr>
            <w:tcW w:w="1418" w:type="dxa"/>
          </w:tcPr>
          <w:p w:rsidR="00425758" w:rsidRDefault="00425758">
            <w:pPr>
              <w:pStyle w:val="yTableNAm"/>
              <w:spacing w:before="0"/>
              <w:rPr>
                <w:b/>
                <w:sz w:val="20"/>
              </w:rPr>
            </w:pPr>
            <w:r>
              <w:rPr>
                <w:b/>
                <w:sz w:val="20"/>
              </w:rPr>
              <w:t>Procedure for applying to set aside a subpoena</w:t>
            </w:r>
          </w:p>
        </w:tc>
        <w:tc>
          <w:tcPr>
            <w:tcW w:w="5812" w:type="dxa"/>
            <w:gridSpan w:val="2"/>
          </w:tcPr>
          <w:p w:rsidR="00425758" w:rsidRDefault="00425758">
            <w:pPr>
              <w:pStyle w:val="yTableNAm"/>
              <w:spacing w:before="0"/>
              <w:ind w:left="369" w:hanging="369"/>
              <w:rPr>
                <w:sz w:val="20"/>
              </w:rPr>
            </w:pPr>
            <w:r>
              <w:rPr>
                <w:sz w:val="20"/>
              </w:rPr>
              <w:t>11.</w:t>
            </w:r>
            <w:r>
              <w:rPr>
                <w:sz w:val="20"/>
              </w:rPr>
              <w:tab/>
              <w:t>Application must be made to the Supreme Court of Western Australia.</w:t>
            </w:r>
          </w:p>
          <w:p w:rsidR="00425758" w:rsidRDefault="00425758">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rsidR="00425758" w:rsidRDefault="00425758">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rsidR="00425758" w:rsidRDefault="00425758">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rsidR="00425758" w:rsidRDefault="00425758">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rsidR="00425758" w:rsidRDefault="00425758">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rsidR="00425758" w:rsidRDefault="00425758">
            <w:pPr>
              <w:pStyle w:val="yTableNAm"/>
              <w:spacing w:before="0"/>
              <w:ind w:left="369" w:hanging="369"/>
              <w:rPr>
                <w:sz w:val="20"/>
              </w:rPr>
            </w:pPr>
            <w:r>
              <w:rPr>
                <w:sz w:val="20"/>
              </w:rPr>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rsidR="00425758" w:rsidRDefault="00425758">
      <w:pPr>
        <w:pStyle w:val="yMiscellaneousBody"/>
        <w:spacing w:before="0"/>
        <w:ind w:left="1134" w:hanging="567"/>
        <w:rPr>
          <w:sz w:val="20"/>
        </w:rPr>
      </w:pPr>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165"/>
      </w:tblGrid>
      <w:tr w:rsidR="00425758">
        <w:trPr>
          <w:cantSplit/>
          <w:trHeight w:val="194"/>
        </w:trPr>
        <w:tc>
          <w:tcPr>
            <w:tcW w:w="3544" w:type="dxa"/>
            <w:gridSpan w:val="2"/>
            <w:vMerge w:val="restart"/>
          </w:tcPr>
          <w:p w:rsidR="00425758" w:rsidRDefault="00425758">
            <w:pPr>
              <w:pStyle w:val="yTableNAm"/>
              <w:keepNext/>
              <w:spacing w:before="0"/>
              <w:rPr>
                <w:sz w:val="20"/>
              </w:rPr>
            </w:pPr>
            <w:r>
              <w:rPr>
                <w:sz w:val="20"/>
              </w:rPr>
              <w:lastRenderedPageBreak/>
              <w:t>Supreme Court of Western Australia</w:t>
            </w:r>
          </w:p>
          <w:p w:rsidR="00425758" w:rsidRDefault="00425758">
            <w:pPr>
              <w:pStyle w:val="yTableNAm"/>
              <w:keepNext/>
              <w:spacing w:before="0"/>
              <w:rPr>
                <w:sz w:val="20"/>
              </w:rPr>
            </w:pPr>
            <w:r>
              <w:rPr>
                <w:sz w:val="20"/>
              </w:rPr>
              <w:t>*General Division/Court of Appeal</w:t>
            </w:r>
          </w:p>
        </w:tc>
        <w:tc>
          <w:tcPr>
            <w:tcW w:w="3686" w:type="dxa"/>
            <w:gridSpan w:val="2"/>
          </w:tcPr>
          <w:p w:rsidR="00425758" w:rsidRDefault="00425758">
            <w:pPr>
              <w:pStyle w:val="yTableNAm"/>
              <w:keepNext/>
              <w:spacing w:before="0"/>
              <w:rPr>
                <w:sz w:val="20"/>
              </w:rPr>
            </w:pPr>
            <w:r>
              <w:rPr>
                <w:sz w:val="20"/>
              </w:rPr>
              <w:t>No.:</w:t>
            </w:r>
          </w:p>
        </w:tc>
      </w:tr>
      <w:tr w:rsidR="00425758">
        <w:trPr>
          <w:cantSplit/>
          <w:trHeight w:val="194"/>
        </w:trPr>
        <w:tc>
          <w:tcPr>
            <w:tcW w:w="3544" w:type="dxa"/>
            <w:gridSpan w:val="2"/>
            <w:vMerge/>
          </w:tcPr>
          <w:p w:rsidR="00425758" w:rsidRDefault="00425758">
            <w:pPr>
              <w:pStyle w:val="yTableNAm"/>
              <w:spacing w:before="0"/>
              <w:rPr>
                <w:sz w:val="20"/>
              </w:rPr>
            </w:pPr>
          </w:p>
        </w:tc>
        <w:tc>
          <w:tcPr>
            <w:tcW w:w="3686" w:type="dxa"/>
            <w:gridSpan w:val="2"/>
          </w:tcPr>
          <w:p w:rsidR="00425758" w:rsidRDefault="00425758">
            <w:pPr>
              <w:pStyle w:val="yTableNAm"/>
              <w:spacing w:before="0"/>
              <w:rPr>
                <w:b/>
                <w:sz w:val="20"/>
              </w:rPr>
            </w:pPr>
            <w:r>
              <w:rPr>
                <w:b/>
                <w:sz w:val="20"/>
              </w:rPr>
              <w:t>Subpoena to give evidence and produce documents to the Supreme Court of Western Australia (to be served in New Zealand)</w:t>
            </w:r>
          </w:p>
        </w:tc>
      </w:tr>
      <w:tr w:rsidR="00425758">
        <w:trPr>
          <w:cantSplit/>
        </w:trPr>
        <w:tc>
          <w:tcPr>
            <w:tcW w:w="1418" w:type="dxa"/>
          </w:tcPr>
          <w:p w:rsidR="00425758" w:rsidRDefault="00425758">
            <w:pPr>
              <w:pStyle w:val="yTableNAm"/>
              <w:spacing w:before="0"/>
              <w:rPr>
                <w:sz w:val="20"/>
                <w:vertAlign w:val="superscript"/>
              </w:rPr>
            </w:pPr>
            <w:r>
              <w:rPr>
                <w:sz w:val="20"/>
              </w:rPr>
              <w:t>Parties</w:t>
            </w:r>
            <w:r>
              <w:rPr>
                <w:sz w:val="20"/>
                <w:vertAlign w:val="superscript"/>
              </w:rPr>
              <w:t>1</w:t>
            </w:r>
          </w:p>
        </w:tc>
        <w:tc>
          <w:tcPr>
            <w:tcW w:w="5812" w:type="dxa"/>
            <w:gridSpan w:val="3"/>
          </w:tcPr>
          <w:p w:rsidR="00425758" w:rsidRDefault="00425758">
            <w:pPr>
              <w:pStyle w:val="yTableNAm"/>
              <w:tabs>
                <w:tab w:val="clear" w:pos="567"/>
                <w:tab w:val="left" w:pos="2897"/>
              </w:tabs>
              <w:spacing w:before="0"/>
              <w:rPr>
                <w:sz w:val="20"/>
              </w:rPr>
            </w:pPr>
            <w:r>
              <w:rPr>
                <w:sz w:val="20"/>
              </w:rPr>
              <w:tab/>
              <w:t>Plaintiff</w:t>
            </w:r>
          </w:p>
          <w:p w:rsidR="00425758" w:rsidRDefault="00425758">
            <w:pPr>
              <w:pStyle w:val="yTableNAm"/>
              <w:tabs>
                <w:tab w:val="clear" w:pos="567"/>
                <w:tab w:val="left" w:pos="2897"/>
              </w:tabs>
              <w:spacing w:before="0"/>
              <w:rPr>
                <w:sz w:val="20"/>
              </w:rPr>
            </w:pPr>
            <w:r>
              <w:rPr>
                <w:sz w:val="20"/>
              </w:rPr>
              <w:tab/>
              <w:t>Defendant</w:t>
            </w:r>
          </w:p>
        </w:tc>
      </w:tr>
      <w:tr w:rsidR="00425758">
        <w:trPr>
          <w:cantSplit/>
        </w:trPr>
        <w:tc>
          <w:tcPr>
            <w:tcW w:w="1418" w:type="dxa"/>
          </w:tcPr>
          <w:p w:rsidR="00425758" w:rsidRDefault="00425758">
            <w:pPr>
              <w:pStyle w:val="yTableNAm"/>
              <w:spacing w:before="0"/>
              <w:rPr>
                <w:sz w:val="20"/>
              </w:rPr>
            </w:pPr>
            <w:r>
              <w:rPr>
                <w:sz w:val="20"/>
              </w:rPr>
              <w:t>To</w:t>
            </w:r>
          </w:p>
        </w:tc>
        <w:tc>
          <w:tcPr>
            <w:tcW w:w="5812" w:type="dxa"/>
            <w:gridSpan w:val="3"/>
          </w:tcPr>
          <w:p w:rsidR="00425758" w:rsidRDefault="00425758">
            <w:pPr>
              <w:pStyle w:val="yTableNAm"/>
              <w:spacing w:before="0"/>
              <w:rPr>
                <w:sz w:val="20"/>
              </w:rPr>
            </w:pPr>
            <w:r>
              <w:rPr>
                <w:sz w:val="20"/>
              </w:rPr>
              <w:t>[</w:t>
            </w:r>
            <w:r>
              <w:rPr>
                <w:i/>
                <w:sz w:val="20"/>
              </w:rPr>
              <w:t>Name and address</w:t>
            </w:r>
            <w:r>
              <w:rPr>
                <w:sz w:val="20"/>
              </w:rPr>
              <w:t>]</w:t>
            </w:r>
          </w:p>
        </w:tc>
      </w:tr>
      <w:tr w:rsidR="00425758">
        <w:tc>
          <w:tcPr>
            <w:tcW w:w="1418" w:type="dxa"/>
          </w:tcPr>
          <w:p w:rsidR="00425758" w:rsidRDefault="00425758">
            <w:pPr>
              <w:pStyle w:val="yTableNAm"/>
              <w:spacing w:before="0"/>
              <w:rPr>
                <w:b/>
                <w:sz w:val="20"/>
              </w:rPr>
            </w:pPr>
            <w:r>
              <w:rPr>
                <w:b/>
                <w:sz w:val="20"/>
              </w:rPr>
              <w:t>Order</w:t>
            </w:r>
          </w:p>
        </w:tc>
        <w:tc>
          <w:tcPr>
            <w:tcW w:w="5812" w:type="dxa"/>
            <w:gridSpan w:val="3"/>
          </w:tcPr>
          <w:p w:rsidR="00425758" w:rsidRDefault="00425758">
            <w:pPr>
              <w:pStyle w:val="yTableNAm"/>
              <w:spacing w:before="0"/>
              <w:rPr>
                <w:b/>
                <w:sz w:val="20"/>
              </w:rPr>
            </w:pPr>
            <w:r>
              <w:rPr>
                <w:b/>
                <w:sz w:val="20"/>
              </w:rPr>
              <w:t xml:space="preserve">You are ordered to attend the Supreme Court of Western Australia to give evidence and to produce this subpoena or a copy of it and the documents or things specified in the Schedule of documents. </w:t>
            </w:r>
            <w:r>
              <w:rPr>
                <w:sz w:val="20"/>
              </w:rPr>
              <w:t>See details below.</w:t>
            </w:r>
          </w:p>
          <w:p w:rsidR="00425758" w:rsidRDefault="00425758">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rsidR="00425758" w:rsidRDefault="00425758">
            <w:pPr>
              <w:pStyle w:val="yTableNAm"/>
              <w:spacing w:before="0"/>
              <w:rPr>
                <w:sz w:val="20"/>
              </w:rPr>
            </w:pPr>
            <w:r>
              <w:rPr>
                <w:sz w:val="20"/>
              </w:rPr>
              <w:t>Please read Notes 1 to 16 at the end of this subpoena.</w:t>
            </w:r>
          </w:p>
        </w:tc>
      </w:tr>
      <w:tr w:rsidR="00425758">
        <w:trPr>
          <w:cantSplit/>
        </w:trPr>
        <w:tc>
          <w:tcPr>
            <w:tcW w:w="1418" w:type="dxa"/>
          </w:tcPr>
          <w:p w:rsidR="00425758" w:rsidRDefault="00425758">
            <w:pPr>
              <w:pStyle w:val="yTableNAm"/>
              <w:spacing w:before="0"/>
              <w:rPr>
                <w:sz w:val="20"/>
              </w:rPr>
            </w:pPr>
            <w:r>
              <w:rPr>
                <w:sz w:val="20"/>
              </w:rPr>
              <w:t>Last date for service</w:t>
            </w:r>
          </w:p>
          <w:p w:rsidR="00425758" w:rsidRDefault="00425758">
            <w:pPr>
              <w:pStyle w:val="yTableNAm"/>
              <w:spacing w:before="0"/>
              <w:rPr>
                <w:sz w:val="20"/>
              </w:rPr>
            </w:pPr>
            <w:r>
              <w:rPr>
                <w:sz w:val="18"/>
              </w:rPr>
              <w:t>[see Note 2]</w:t>
            </w:r>
            <w:r>
              <w:rPr>
                <w:sz w:val="20"/>
              </w:rPr>
              <w:t xml:space="preserve"> </w:t>
            </w:r>
          </w:p>
        </w:tc>
        <w:tc>
          <w:tcPr>
            <w:tcW w:w="5812" w:type="dxa"/>
            <w:gridSpan w:val="3"/>
          </w:tcPr>
          <w:p w:rsidR="00425758" w:rsidRDefault="00425758">
            <w:pPr>
              <w:pStyle w:val="yTableNAm"/>
              <w:spacing w:before="0"/>
              <w:rPr>
                <w:b/>
                <w:sz w:val="20"/>
              </w:rPr>
            </w:pPr>
            <w:r>
              <w:rPr>
                <w:sz w:val="20"/>
              </w:rPr>
              <w:t>The last date for service of this subpoena is [</w:t>
            </w:r>
            <w:r>
              <w:rPr>
                <w:i/>
                <w:sz w:val="20"/>
              </w:rPr>
              <w:t>date</w:t>
            </w:r>
            <w:r>
              <w:rPr>
                <w:sz w:val="20"/>
              </w:rPr>
              <w:t>].</w:t>
            </w:r>
          </w:p>
        </w:tc>
      </w:tr>
      <w:tr w:rsidR="00425758">
        <w:trPr>
          <w:cantSplit/>
          <w:trHeight w:val="448"/>
        </w:trPr>
        <w:tc>
          <w:tcPr>
            <w:tcW w:w="1418" w:type="dxa"/>
            <w:vMerge w:val="restart"/>
          </w:tcPr>
          <w:p w:rsidR="00425758" w:rsidRDefault="00425758">
            <w:pPr>
              <w:pStyle w:val="yTableNAm"/>
              <w:spacing w:before="0"/>
              <w:rPr>
                <w:sz w:val="20"/>
              </w:rPr>
            </w:pPr>
            <w:r>
              <w:rPr>
                <w:sz w:val="20"/>
              </w:rPr>
              <w:t>Issuing details</w:t>
            </w:r>
          </w:p>
        </w:tc>
        <w:tc>
          <w:tcPr>
            <w:tcW w:w="5812" w:type="dxa"/>
            <w:gridSpan w:val="3"/>
          </w:tcPr>
          <w:p w:rsidR="00425758" w:rsidRDefault="00425758">
            <w:pPr>
              <w:pStyle w:val="yTableNAm"/>
              <w:spacing w:before="0"/>
              <w:rPr>
                <w:sz w:val="20"/>
              </w:rPr>
            </w:pPr>
            <w:r>
              <w:rPr>
                <w:sz w:val="20"/>
              </w:rPr>
              <w:t>Issued at the request of: [</w:t>
            </w:r>
            <w:r>
              <w:rPr>
                <w:i/>
                <w:sz w:val="20"/>
              </w:rPr>
              <w:t>Name of party</w:t>
            </w:r>
            <w:r>
              <w:rPr>
                <w:sz w:val="20"/>
              </w:rPr>
              <w:t>]</w:t>
            </w:r>
          </w:p>
          <w:p w:rsidR="00425758" w:rsidRDefault="00425758">
            <w:pPr>
              <w:pStyle w:val="yTableNAm"/>
              <w:spacing w:before="0"/>
              <w:rPr>
                <w:sz w:val="20"/>
              </w:rPr>
            </w:pPr>
            <w:r>
              <w:rPr>
                <w:sz w:val="20"/>
              </w:rPr>
              <w:t>Address for service: [</w:t>
            </w:r>
            <w:r>
              <w:rPr>
                <w:i/>
                <w:sz w:val="20"/>
              </w:rPr>
              <w:t>see Order 71A rule 3</w:t>
            </w:r>
            <w:r>
              <w:rPr>
                <w:sz w:val="20"/>
              </w:rPr>
              <w:t>]</w:t>
            </w:r>
          </w:p>
          <w:p w:rsidR="00425758" w:rsidRDefault="00425758">
            <w:pPr>
              <w:pStyle w:val="yTableNAm"/>
              <w:spacing w:before="0"/>
              <w:rPr>
                <w:sz w:val="20"/>
              </w:rPr>
            </w:pPr>
            <w:r>
              <w:rPr>
                <w:sz w:val="20"/>
              </w:rPr>
              <w:t>Email:</w:t>
            </w:r>
          </w:p>
        </w:tc>
      </w:tr>
      <w:tr w:rsidR="00425758">
        <w:trPr>
          <w:cantSplit/>
          <w:trHeight w:val="448"/>
        </w:trPr>
        <w:tc>
          <w:tcPr>
            <w:tcW w:w="1418" w:type="dxa"/>
            <w:vMerge/>
          </w:tcPr>
          <w:p w:rsidR="00425758" w:rsidRDefault="00425758">
            <w:pPr>
              <w:pStyle w:val="yTableNAm"/>
              <w:spacing w:before="0"/>
              <w:rPr>
                <w:sz w:val="20"/>
              </w:rPr>
            </w:pPr>
          </w:p>
        </w:tc>
        <w:tc>
          <w:tcPr>
            <w:tcW w:w="2647" w:type="dxa"/>
            <w:gridSpan w:val="2"/>
          </w:tcPr>
          <w:p w:rsidR="00425758" w:rsidRDefault="00425758">
            <w:pPr>
              <w:pStyle w:val="yTableNAm"/>
              <w:spacing w:before="0"/>
              <w:rPr>
                <w:sz w:val="20"/>
              </w:rPr>
            </w:pPr>
            <w:r>
              <w:rPr>
                <w:sz w:val="20"/>
              </w:rPr>
              <w:t>Date of issue:</w:t>
            </w:r>
          </w:p>
        </w:tc>
        <w:tc>
          <w:tcPr>
            <w:tcW w:w="3165" w:type="dxa"/>
          </w:tcPr>
          <w:p w:rsidR="00425758" w:rsidRDefault="00425758">
            <w:pPr>
              <w:pStyle w:val="yTableNAm"/>
              <w:spacing w:before="0"/>
              <w:rPr>
                <w:sz w:val="20"/>
              </w:rPr>
            </w:pPr>
            <w:r>
              <w:rPr>
                <w:sz w:val="20"/>
              </w:rPr>
              <w:t>[</w:t>
            </w:r>
            <w:r>
              <w:rPr>
                <w:i/>
                <w:sz w:val="20"/>
              </w:rPr>
              <w:t>Seal or stamp of the Court</w:t>
            </w:r>
            <w:r>
              <w:rPr>
                <w:sz w:val="20"/>
              </w:rPr>
              <w:t>]</w:t>
            </w:r>
          </w:p>
        </w:tc>
      </w:tr>
      <w:tr w:rsidR="00425758">
        <w:trPr>
          <w:cantSplit/>
        </w:trPr>
        <w:tc>
          <w:tcPr>
            <w:tcW w:w="1418" w:type="dxa"/>
          </w:tcPr>
          <w:p w:rsidR="00425758" w:rsidRDefault="00425758">
            <w:pPr>
              <w:pStyle w:val="yTableNAm"/>
              <w:spacing w:before="0"/>
              <w:rPr>
                <w:b/>
                <w:sz w:val="20"/>
              </w:rPr>
            </w:pPr>
            <w:r>
              <w:rPr>
                <w:b/>
                <w:sz w:val="20"/>
              </w:rPr>
              <w:t>Details of subpoena to give evidence</w:t>
            </w:r>
          </w:p>
        </w:tc>
        <w:tc>
          <w:tcPr>
            <w:tcW w:w="5812" w:type="dxa"/>
            <w:gridSpan w:val="3"/>
          </w:tcPr>
          <w:p w:rsidR="00425758" w:rsidRDefault="00425758">
            <w:pPr>
              <w:pStyle w:val="yTableNAm"/>
              <w:spacing w:before="0"/>
              <w:rPr>
                <w:sz w:val="20"/>
              </w:rPr>
            </w:pPr>
            <w:r>
              <w:rPr>
                <w:sz w:val="20"/>
              </w:rPr>
              <w:t xml:space="preserve">Insofar as this subpoena requires you to attend the Supreme Court of Western Australia to give evidence, you must attend as follows, unless you receive notice of a later date or time from the issuing party, in which case the later date or time is substituted — </w:t>
            </w:r>
          </w:p>
          <w:p w:rsidR="00425758" w:rsidRDefault="00425758">
            <w:pPr>
              <w:pStyle w:val="yTableNAm"/>
              <w:spacing w:before="0"/>
              <w:rPr>
                <w:sz w:val="20"/>
              </w:rPr>
            </w:pPr>
            <w:r>
              <w:rPr>
                <w:sz w:val="20"/>
              </w:rPr>
              <w:t>Date:</w:t>
            </w:r>
          </w:p>
          <w:p w:rsidR="00425758" w:rsidRDefault="00425758">
            <w:pPr>
              <w:pStyle w:val="yTableNAm"/>
              <w:spacing w:before="0"/>
              <w:rPr>
                <w:sz w:val="20"/>
              </w:rPr>
            </w:pPr>
            <w:r>
              <w:rPr>
                <w:sz w:val="20"/>
              </w:rPr>
              <w:t>Time:</w:t>
            </w:r>
          </w:p>
          <w:p w:rsidR="00425758" w:rsidRDefault="00425758">
            <w:pPr>
              <w:pStyle w:val="yTableNAm"/>
              <w:spacing w:before="0"/>
              <w:rPr>
                <w:sz w:val="20"/>
              </w:rPr>
            </w:pPr>
            <w:r>
              <w:rPr>
                <w:sz w:val="20"/>
              </w:rPr>
              <w:t>Place:</w:t>
            </w:r>
          </w:p>
          <w:p w:rsidR="00425758" w:rsidRDefault="00425758">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rsidR="00425758">
        <w:tc>
          <w:tcPr>
            <w:tcW w:w="1418" w:type="dxa"/>
          </w:tcPr>
          <w:p w:rsidR="00425758" w:rsidRDefault="00425758">
            <w:pPr>
              <w:pStyle w:val="yTableNAm"/>
              <w:spacing w:before="0"/>
              <w:rPr>
                <w:b/>
                <w:sz w:val="20"/>
              </w:rPr>
            </w:pPr>
            <w:r>
              <w:rPr>
                <w:b/>
                <w:sz w:val="20"/>
              </w:rPr>
              <w:t>Details of subpoena to produce documents</w:t>
            </w:r>
          </w:p>
          <w:p w:rsidR="00425758" w:rsidRDefault="00425758">
            <w:pPr>
              <w:pStyle w:val="yTableNAm"/>
              <w:spacing w:before="0"/>
            </w:pPr>
            <w:r>
              <w:rPr>
                <w:sz w:val="18"/>
                <w:szCs w:val="18"/>
              </w:rPr>
              <w:t>[See Notes 5–13]</w:t>
            </w:r>
          </w:p>
        </w:tc>
        <w:tc>
          <w:tcPr>
            <w:tcW w:w="5812" w:type="dxa"/>
            <w:gridSpan w:val="3"/>
          </w:tcPr>
          <w:p w:rsidR="00425758" w:rsidRDefault="00425758">
            <w:pPr>
              <w:pStyle w:val="yTableNAm"/>
              <w:spacing w:before="0"/>
              <w:rPr>
                <w:sz w:val="20"/>
              </w:rPr>
            </w:pPr>
            <w:r>
              <w:rPr>
                <w:sz w:val="20"/>
              </w:rPr>
              <w:t xml:space="preserve">Insofar as this subpoena requires you to attend the Supreme Court of Western Australia to produce the subpoena or a copy of it and documents or things, you must comply with that requirement — </w:t>
            </w:r>
          </w:p>
          <w:p w:rsidR="00425758" w:rsidRDefault="00425758">
            <w:pPr>
              <w:pStyle w:val="yTableNAm"/>
              <w:spacing w:before="0"/>
              <w:ind w:left="368" w:hanging="368"/>
              <w:rPr>
                <w:sz w:val="20"/>
              </w:rPr>
            </w:pPr>
            <w:r>
              <w:rPr>
                <w:sz w:val="20"/>
              </w:rPr>
              <w:t>(a)</w:t>
            </w:r>
            <w:r>
              <w:rPr>
                <w:sz w:val="20"/>
              </w:rPr>
              <w:tab/>
              <w:t>by attending at the Supreme Court to produce this subpoena or a copy of it and the documents or things specified in the Schedule of documents below at the date, time and place specified below for attendance and production; or</w:t>
            </w:r>
          </w:p>
          <w:p w:rsidR="00425758" w:rsidRDefault="00425758">
            <w:pPr>
              <w:pStyle w:val="yTableNAm"/>
              <w:spacing w:before="0"/>
              <w:ind w:left="368" w:hanging="368"/>
              <w:rPr>
                <w:sz w:val="20"/>
              </w:rPr>
            </w:pPr>
            <w:r>
              <w:rPr>
                <w:sz w:val="20"/>
              </w:rPr>
              <w:lastRenderedPageBreak/>
              <w:t>(b)</w:t>
            </w:r>
            <w:r>
              <w:rPr>
                <w:sz w:val="20"/>
              </w:rPr>
              <w:tab/>
              <w:t xml:space="preserve">by delivering or posting this subpoena or a copy of it and the documents or things specified in the Schedule of documents below to — </w:t>
            </w:r>
          </w:p>
          <w:p w:rsidR="00425758" w:rsidRDefault="00425758">
            <w:pPr>
              <w:pStyle w:val="yTableNAm"/>
              <w:spacing w:before="0"/>
              <w:ind w:left="794" w:hanging="368"/>
              <w:rPr>
                <w:sz w:val="20"/>
              </w:rPr>
            </w:pPr>
            <w:r>
              <w:rPr>
                <w:sz w:val="20"/>
              </w:rPr>
              <w:t>(i)</w:t>
            </w:r>
            <w:r>
              <w:rPr>
                <w:sz w:val="20"/>
              </w:rPr>
              <w:tab/>
              <w:t>the Supreme Court at the address specified below so that they are received not less than 2 clear days before the date specified below for attendance and production; or</w:t>
            </w:r>
          </w:p>
          <w:p w:rsidR="00425758" w:rsidRDefault="00425758">
            <w:pPr>
              <w:pStyle w:val="yTableNAm"/>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below for attendance and production.</w:t>
            </w:r>
          </w:p>
          <w:p w:rsidR="00425758" w:rsidRDefault="00425758">
            <w:pPr>
              <w:pStyle w:val="yTableNAm"/>
              <w:spacing w:before="0"/>
              <w:rPr>
                <w:sz w:val="20"/>
              </w:rPr>
            </w:pPr>
            <w:r>
              <w:rPr>
                <w:sz w:val="20"/>
              </w:rPr>
              <w:t xml:space="preserve">Date, time and place at which you must attend and produce the subpoena or a copy of it and documents or things — </w:t>
            </w:r>
          </w:p>
          <w:p w:rsidR="00425758" w:rsidRDefault="00425758">
            <w:pPr>
              <w:pStyle w:val="yTableNAm"/>
              <w:spacing w:before="0"/>
              <w:rPr>
                <w:sz w:val="20"/>
              </w:rPr>
            </w:pPr>
            <w:r>
              <w:rPr>
                <w:sz w:val="20"/>
              </w:rPr>
              <w:t>Date:</w:t>
            </w:r>
          </w:p>
          <w:p w:rsidR="00425758" w:rsidRDefault="00425758">
            <w:pPr>
              <w:pStyle w:val="yTableNAm"/>
              <w:spacing w:before="0"/>
              <w:rPr>
                <w:sz w:val="20"/>
              </w:rPr>
            </w:pPr>
            <w:r>
              <w:rPr>
                <w:sz w:val="20"/>
              </w:rPr>
              <w:t>Time:</w:t>
            </w:r>
          </w:p>
          <w:p w:rsidR="00425758" w:rsidRDefault="00425758">
            <w:pPr>
              <w:pStyle w:val="yTableNAm"/>
              <w:spacing w:before="0"/>
              <w:rPr>
                <w:sz w:val="20"/>
              </w:rPr>
            </w:pPr>
            <w:r>
              <w:rPr>
                <w:sz w:val="20"/>
              </w:rPr>
              <w:t>Place:</w:t>
            </w:r>
          </w:p>
          <w:p w:rsidR="00425758" w:rsidRDefault="00425758">
            <w:pPr>
              <w:pStyle w:val="yTableNAm"/>
              <w:spacing w:before="0"/>
              <w:rPr>
                <w:sz w:val="20"/>
              </w:rPr>
            </w:pPr>
          </w:p>
          <w:p w:rsidR="00425758" w:rsidRDefault="00425758">
            <w:pPr>
              <w:pStyle w:val="yTableNAm"/>
              <w:spacing w:before="0"/>
              <w:rPr>
                <w:sz w:val="20"/>
              </w:rPr>
            </w:pPr>
            <w:r>
              <w:rPr>
                <w:sz w:val="20"/>
              </w:rPr>
              <w:t>Address of the Supreme Court to which the subpoena (or copy) and documents or things may be delivered or posted:</w:t>
            </w:r>
          </w:p>
          <w:p w:rsidR="00425758" w:rsidRDefault="00425758">
            <w:pPr>
              <w:pStyle w:val="yTableNAm"/>
              <w:spacing w:before="0"/>
              <w:ind w:left="368" w:hanging="368"/>
              <w:rPr>
                <w:sz w:val="20"/>
              </w:rPr>
            </w:pPr>
            <w:r>
              <w:rPr>
                <w:sz w:val="20"/>
              </w:rPr>
              <w:t>*</w:t>
            </w:r>
            <w:r>
              <w:rPr>
                <w:sz w:val="20"/>
              </w:rPr>
              <w:tab/>
              <w:t>Supreme Court of Western Australia</w:t>
            </w:r>
          </w:p>
          <w:p w:rsidR="00425758" w:rsidRDefault="00425758">
            <w:pPr>
              <w:pStyle w:val="yTableNAm"/>
              <w:spacing w:before="0"/>
              <w:ind w:left="368"/>
              <w:rPr>
                <w:sz w:val="20"/>
              </w:rPr>
            </w:pPr>
            <w:r>
              <w:rPr>
                <w:sz w:val="20"/>
              </w:rPr>
              <w:t>David Malcolm Justice Centre</w:t>
            </w:r>
          </w:p>
          <w:p w:rsidR="00425758" w:rsidRDefault="00425758">
            <w:pPr>
              <w:pStyle w:val="yTableNAm"/>
              <w:spacing w:before="0"/>
              <w:ind w:left="368"/>
              <w:rPr>
                <w:sz w:val="20"/>
              </w:rPr>
            </w:pPr>
            <w:r>
              <w:rPr>
                <w:sz w:val="20"/>
              </w:rPr>
              <w:t>Level 11, 28 Barrack Street</w:t>
            </w:r>
          </w:p>
          <w:p w:rsidR="00425758" w:rsidRDefault="00425758">
            <w:pPr>
              <w:pStyle w:val="yTableNAm"/>
              <w:spacing w:before="0"/>
              <w:ind w:left="368"/>
              <w:rPr>
                <w:sz w:val="20"/>
              </w:rPr>
            </w:pPr>
            <w:r>
              <w:rPr>
                <w:sz w:val="20"/>
              </w:rPr>
              <w:t>Perth WA 6000</w:t>
            </w:r>
          </w:p>
          <w:p w:rsidR="00425758" w:rsidRDefault="00425758">
            <w:pPr>
              <w:pStyle w:val="yTableNAm"/>
              <w:spacing w:before="0"/>
              <w:ind w:left="368" w:hanging="368"/>
              <w:rPr>
                <w:sz w:val="20"/>
              </w:rPr>
            </w:pPr>
            <w:r>
              <w:rPr>
                <w:sz w:val="20"/>
              </w:rPr>
              <w:t>*</w:t>
            </w:r>
            <w:r>
              <w:rPr>
                <w:sz w:val="20"/>
              </w:rPr>
              <w:tab/>
              <w:t>Supreme Court of Western Australia</w:t>
            </w:r>
          </w:p>
          <w:p w:rsidR="00425758" w:rsidRDefault="00425758">
            <w:pPr>
              <w:pStyle w:val="yTableNAm"/>
              <w:spacing w:before="0"/>
              <w:ind w:left="368"/>
              <w:rPr>
                <w:sz w:val="20"/>
              </w:rPr>
            </w:pPr>
            <w:r>
              <w:rPr>
                <w:sz w:val="20"/>
              </w:rPr>
              <w:t>Court of Appeal</w:t>
            </w:r>
          </w:p>
          <w:p w:rsidR="00425758" w:rsidRDefault="00425758">
            <w:pPr>
              <w:pStyle w:val="yTableNAm"/>
              <w:spacing w:before="0"/>
              <w:ind w:left="368"/>
              <w:rPr>
                <w:sz w:val="20"/>
              </w:rPr>
            </w:pPr>
            <w:r>
              <w:rPr>
                <w:sz w:val="20"/>
              </w:rPr>
              <w:t>Stirling Gardens, Barrack Street</w:t>
            </w:r>
          </w:p>
          <w:p w:rsidR="00425758" w:rsidRDefault="00425758">
            <w:pPr>
              <w:pStyle w:val="yTableNAm"/>
              <w:spacing w:before="0"/>
              <w:ind w:left="368"/>
              <w:rPr>
                <w:sz w:val="20"/>
              </w:rPr>
            </w:pPr>
            <w:r>
              <w:rPr>
                <w:sz w:val="20"/>
              </w:rPr>
              <w:t>Perth WA 6000</w:t>
            </w:r>
          </w:p>
          <w:p w:rsidR="00425758" w:rsidRDefault="00425758">
            <w:pPr>
              <w:pStyle w:val="yTableNAm"/>
              <w:keepLines/>
              <w:spacing w:before="0"/>
              <w:rPr>
                <w:sz w:val="20"/>
              </w:rPr>
            </w:pPr>
            <w:r>
              <w:rPr>
                <w:sz w:val="20"/>
              </w:rPr>
              <w:t>Address(es) of the High Court of New Zealand to which the subpoena (or copy) and documents or things may be delivered or posted:</w:t>
            </w:r>
          </w:p>
          <w:p w:rsidR="00425758" w:rsidRDefault="00425758">
            <w:pPr>
              <w:pStyle w:val="yTableNAm"/>
              <w:keepLines/>
              <w:spacing w:before="0"/>
              <w:ind w:left="368"/>
              <w:rPr>
                <w:sz w:val="20"/>
              </w:rPr>
            </w:pPr>
            <w:r>
              <w:rPr>
                <w:sz w:val="20"/>
              </w:rPr>
              <w:t>[</w:t>
            </w:r>
            <w:r>
              <w:rPr>
                <w:i/>
                <w:sz w:val="20"/>
              </w:rPr>
              <w:t>Address(es)</w:t>
            </w:r>
            <w:r>
              <w:rPr>
                <w:sz w:val="20"/>
              </w:rPr>
              <w:t>]</w:t>
            </w:r>
          </w:p>
        </w:tc>
      </w:tr>
      <w:tr w:rsidR="00425758">
        <w:tc>
          <w:tcPr>
            <w:tcW w:w="7230" w:type="dxa"/>
            <w:gridSpan w:val="4"/>
          </w:tcPr>
          <w:p w:rsidR="00425758" w:rsidRDefault="00425758">
            <w:pPr>
              <w:pStyle w:val="yTableNAm"/>
              <w:keepNext/>
              <w:spacing w:before="0"/>
              <w:jc w:val="center"/>
              <w:rPr>
                <w:b/>
                <w:sz w:val="20"/>
              </w:rPr>
            </w:pPr>
            <w:r>
              <w:rPr>
                <w:b/>
                <w:sz w:val="20"/>
              </w:rPr>
              <w:lastRenderedPageBreak/>
              <w:t>Schedule of documents</w:t>
            </w:r>
          </w:p>
        </w:tc>
      </w:tr>
      <w:tr w:rsidR="00425758">
        <w:tc>
          <w:tcPr>
            <w:tcW w:w="7230" w:type="dxa"/>
            <w:gridSpan w:val="4"/>
          </w:tcPr>
          <w:p w:rsidR="00425758" w:rsidRDefault="00425758">
            <w:pPr>
              <w:pStyle w:val="yTableNAm"/>
              <w:keepNext/>
              <w:spacing w:before="0"/>
              <w:rPr>
                <w:sz w:val="20"/>
              </w:rPr>
            </w:pPr>
            <w:r>
              <w:rPr>
                <w:sz w:val="20"/>
              </w:rPr>
              <w:t xml:space="preserve">The documents and things you must produce are as follows — </w:t>
            </w:r>
          </w:p>
          <w:p w:rsidR="00425758" w:rsidRDefault="00425758">
            <w:pPr>
              <w:pStyle w:val="yTableNAm"/>
              <w:spacing w:before="0"/>
              <w:rPr>
                <w:sz w:val="20"/>
              </w:rPr>
            </w:pPr>
            <w:r>
              <w:rPr>
                <w:sz w:val="20"/>
              </w:rPr>
              <w:t>[</w:t>
            </w:r>
            <w:r>
              <w:rPr>
                <w:i/>
                <w:sz w:val="20"/>
              </w:rPr>
              <w:t>List the documents or things and whether the original of any document is required. If insufficient space, attach list.</w:t>
            </w:r>
            <w:r>
              <w:rPr>
                <w:sz w:val="20"/>
              </w:rPr>
              <w:t>]</w:t>
            </w:r>
          </w:p>
        </w:tc>
      </w:tr>
      <w:tr w:rsidR="00425758">
        <w:tc>
          <w:tcPr>
            <w:tcW w:w="7230" w:type="dxa"/>
            <w:gridSpan w:val="4"/>
          </w:tcPr>
          <w:p w:rsidR="00425758" w:rsidRDefault="00425758">
            <w:pPr>
              <w:pStyle w:val="yTableNAm"/>
              <w:spacing w:before="0"/>
              <w:jc w:val="center"/>
              <w:rPr>
                <w:b/>
                <w:sz w:val="20"/>
              </w:rPr>
            </w:pPr>
            <w:r>
              <w:rPr>
                <w:b/>
                <w:sz w:val="20"/>
              </w:rPr>
              <w:t>Notes</w:t>
            </w:r>
          </w:p>
        </w:tc>
      </w:tr>
      <w:tr w:rsidR="00425758">
        <w:tc>
          <w:tcPr>
            <w:tcW w:w="1418" w:type="dxa"/>
          </w:tcPr>
          <w:p w:rsidR="00425758" w:rsidRDefault="00425758">
            <w:pPr>
              <w:pStyle w:val="yTableNAm"/>
              <w:spacing w:before="0"/>
              <w:rPr>
                <w:b/>
                <w:sz w:val="20"/>
              </w:rPr>
            </w:pPr>
            <w:r>
              <w:rPr>
                <w:b/>
                <w:sz w:val="20"/>
              </w:rPr>
              <w:t>Leave to serve subpoena</w:t>
            </w:r>
          </w:p>
        </w:tc>
        <w:tc>
          <w:tcPr>
            <w:tcW w:w="5812" w:type="dxa"/>
            <w:gridSpan w:val="3"/>
          </w:tcPr>
          <w:p w:rsidR="00425758" w:rsidRDefault="00425758">
            <w:pPr>
              <w:pStyle w:val="yTableNAm"/>
              <w:spacing w:before="0"/>
              <w:ind w:left="369" w:hanging="369"/>
              <w:rPr>
                <w:sz w:val="20"/>
              </w:rPr>
            </w:pPr>
            <w:r>
              <w:rPr>
                <w:sz w:val="20"/>
              </w:rPr>
              <w:t>1.</w:t>
            </w:r>
            <w:r>
              <w:rPr>
                <w:sz w:val="20"/>
              </w:rPr>
              <w:tab/>
              <w:t xml:space="preserve">You need not comply with this subpoena unless it is accompanied by — </w:t>
            </w:r>
          </w:p>
          <w:p w:rsidR="00425758" w:rsidRDefault="00425758">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rsidR="00425758" w:rsidRDefault="00425758">
            <w:pPr>
              <w:pStyle w:val="yTableNAm"/>
              <w:spacing w:before="0"/>
              <w:ind w:left="794" w:hanging="425"/>
              <w:rPr>
                <w:sz w:val="20"/>
              </w:rPr>
            </w:pPr>
            <w:r>
              <w:rPr>
                <w:sz w:val="20"/>
              </w:rPr>
              <w:t>(b)</w:t>
            </w:r>
            <w:r>
              <w:rPr>
                <w:sz w:val="20"/>
              </w:rPr>
              <w:tab/>
              <w:t xml:space="preserve">a notice in the prescribed form that — </w:t>
            </w:r>
          </w:p>
          <w:p w:rsidR="00425758" w:rsidRDefault="00425758">
            <w:pPr>
              <w:pStyle w:val="yTableNAm"/>
              <w:spacing w:before="0"/>
              <w:ind w:left="1218" w:hanging="425"/>
              <w:rPr>
                <w:sz w:val="20"/>
              </w:rPr>
            </w:pPr>
            <w:r>
              <w:rPr>
                <w:sz w:val="20"/>
              </w:rPr>
              <w:t>(i)</w:t>
            </w:r>
            <w:r>
              <w:rPr>
                <w:sz w:val="20"/>
              </w:rPr>
              <w:tab/>
              <w:t>sets out your rights and obligations in relation to the subpoena; and</w:t>
            </w:r>
          </w:p>
          <w:p w:rsidR="00425758" w:rsidRDefault="00425758">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rsidR="00425758">
        <w:tc>
          <w:tcPr>
            <w:tcW w:w="1418" w:type="dxa"/>
          </w:tcPr>
          <w:p w:rsidR="00425758" w:rsidRDefault="00425758">
            <w:pPr>
              <w:pStyle w:val="yTableNAm"/>
              <w:keepNext/>
              <w:spacing w:before="0"/>
              <w:rPr>
                <w:b/>
                <w:sz w:val="20"/>
              </w:rPr>
            </w:pPr>
            <w:r>
              <w:rPr>
                <w:b/>
                <w:sz w:val="20"/>
              </w:rPr>
              <w:lastRenderedPageBreak/>
              <w:t>Last day for service</w:t>
            </w:r>
          </w:p>
        </w:tc>
        <w:tc>
          <w:tcPr>
            <w:tcW w:w="5812" w:type="dxa"/>
            <w:gridSpan w:val="3"/>
          </w:tcPr>
          <w:p w:rsidR="00425758" w:rsidRDefault="00425758">
            <w:pPr>
              <w:pStyle w:val="yTableNAm"/>
              <w:keepNext/>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this subpoena.</w:t>
            </w:r>
          </w:p>
        </w:tc>
      </w:tr>
      <w:tr w:rsidR="00425758">
        <w:tc>
          <w:tcPr>
            <w:tcW w:w="1418" w:type="dxa"/>
          </w:tcPr>
          <w:p w:rsidR="00425758" w:rsidRDefault="00425758">
            <w:pPr>
              <w:pStyle w:val="yTableNAm"/>
              <w:keepNext/>
              <w:spacing w:before="0"/>
              <w:rPr>
                <w:b/>
                <w:sz w:val="20"/>
              </w:rPr>
            </w:pPr>
            <w:r>
              <w:rPr>
                <w:b/>
                <w:sz w:val="20"/>
              </w:rPr>
              <w:t>Informal service</w:t>
            </w:r>
          </w:p>
        </w:tc>
        <w:tc>
          <w:tcPr>
            <w:tcW w:w="5812" w:type="dxa"/>
            <w:gridSpan w:val="3"/>
          </w:tcPr>
          <w:p w:rsidR="00425758" w:rsidRDefault="00425758">
            <w:pPr>
              <w:pStyle w:val="yTableNAm"/>
              <w:keepNext/>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rsidR="00425758">
        <w:tc>
          <w:tcPr>
            <w:tcW w:w="1418" w:type="dxa"/>
          </w:tcPr>
          <w:p w:rsidR="00425758" w:rsidRDefault="00425758">
            <w:pPr>
              <w:pStyle w:val="yTableNAm"/>
              <w:spacing w:before="0"/>
              <w:rPr>
                <w:b/>
                <w:sz w:val="20"/>
              </w:rPr>
            </w:pPr>
            <w:r>
              <w:rPr>
                <w:b/>
                <w:sz w:val="20"/>
              </w:rPr>
              <w:t>Addressee a corporation</w:t>
            </w:r>
          </w:p>
        </w:tc>
        <w:tc>
          <w:tcPr>
            <w:tcW w:w="5812" w:type="dxa"/>
            <w:gridSpan w:val="3"/>
          </w:tcPr>
          <w:p w:rsidR="00425758" w:rsidRDefault="00425758">
            <w:pPr>
              <w:pStyle w:val="yTableNAm"/>
              <w:spacing w:before="0"/>
              <w:ind w:left="369" w:hanging="369"/>
              <w:rPr>
                <w:sz w:val="20"/>
              </w:rPr>
            </w:pPr>
            <w:r>
              <w:rPr>
                <w:sz w:val="20"/>
              </w:rPr>
              <w:t>4.</w:t>
            </w:r>
            <w:r>
              <w:rPr>
                <w:sz w:val="20"/>
              </w:rPr>
              <w:tab/>
              <w:t>If this subpoena is addressed to a corporation, the corporation must comply with the subpoena by its appropriate or proper officer.</w:t>
            </w:r>
          </w:p>
        </w:tc>
      </w:tr>
      <w:tr w:rsidR="00425758">
        <w:trPr>
          <w:cantSplit/>
        </w:trPr>
        <w:tc>
          <w:tcPr>
            <w:tcW w:w="1418" w:type="dxa"/>
          </w:tcPr>
          <w:p w:rsidR="00425758" w:rsidRDefault="00425758">
            <w:pPr>
              <w:pStyle w:val="yTableNAm"/>
              <w:spacing w:before="0"/>
              <w:rPr>
                <w:b/>
                <w:sz w:val="20"/>
              </w:rPr>
            </w:pPr>
            <w:r>
              <w:rPr>
                <w:b/>
                <w:sz w:val="20"/>
              </w:rPr>
              <w:t>Production of subpoena or copy of it and documents or things by delivery or post</w:t>
            </w:r>
          </w:p>
        </w:tc>
        <w:tc>
          <w:tcPr>
            <w:tcW w:w="5812" w:type="dxa"/>
            <w:gridSpan w:val="3"/>
          </w:tcPr>
          <w:p w:rsidR="00425758" w:rsidRDefault="00425758">
            <w:pPr>
              <w:pStyle w:val="yTableNAm"/>
              <w:spacing w:before="0"/>
              <w:ind w:left="369" w:hanging="369"/>
              <w:rPr>
                <w:sz w:val="20"/>
              </w:rPr>
            </w:pPr>
            <w:r>
              <w:rPr>
                <w:sz w:val="20"/>
              </w:rPr>
              <w:t>5.</w:t>
            </w:r>
            <w:r>
              <w:rPr>
                <w:sz w:val="20"/>
              </w:rPr>
              <w:tab/>
              <w:t xml:space="preserve">Insofar as this subpoena requires you to attend and produce this subpoena or a copy of it and a document or thing, you may, instead of attending to produce the subpoena or a copy of it and the document or thing, comply with that requirement by delivering or posting the subpoena or a copy of it and the document or thing to — </w:t>
            </w:r>
          </w:p>
          <w:p w:rsidR="00425758" w:rsidRDefault="00425758">
            <w:pPr>
              <w:pStyle w:val="yTableNAm"/>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rsidR="00425758" w:rsidRDefault="00425758">
            <w:pPr>
              <w:pStyle w:val="yTableNAm"/>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rsidR="00425758" w:rsidRDefault="00425758">
            <w:pPr>
              <w:pStyle w:val="yTableNAm"/>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rsidR="00425758" w:rsidRDefault="00425758">
            <w:pPr>
              <w:pStyle w:val="yTableNAm"/>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rsidR="00425758">
        <w:tc>
          <w:tcPr>
            <w:tcW w:w="1418" w:type="dxa"/>
            <w:shd w:val="clear" w:color="auto" w:fill="auto"/>
          </w:tcPr>
          <w:p w:rsidR="00425758" w:rsidRDefault="00425758">
            <w:pPr>
              <w:pStyle w:val="yTableNAm"/>
              <w:spacing w:before="0"/>
              <w:rPr>
                <w:b/>
                <w:sz w:val="20"/>
              </w:rPr>
            </w:pPr>
            <w:r>
              <w:rPr>
                <w:b/>
                <w:sz w:val="20"/>
              </w:rPr>
              <w:t>Production of a number of documents or things</w:t>
            </w:r>
          </w:p>
        </w:tc>
        <w:tc>
          <w:tcPr>
            <w:tcW w:w="5812" w:type="dxa"/>
            <w:gridSpan w:val="3"/>
            <w:shd w:val="clear" w:color="auto" w:fill="auto"/>
          </w:tcPr>
          <w:p w:rsidR="00425758" w:rsidRDefault="00425758">
            <w:pPr>
              <w:pStyle w:val="yTableNAm"/>
              <w:spacing w:before="0"/>
              <w:ind w:left="369" w:hanging="369"/>
              <w:rPr>
                <w:sz w:val="20"/>
              </w:rPr>
            </w:pPr>
            <w:r>
              <w:rPr>
                <w:sz w:val="20"/>
              </w:rPr>
              <w:t>8.</w:t>
            </w:r>
            <w:r>
              <w:rPr>
                <w:sz w:val="20"/>
              </w:rPr>
              <w:tab/>
              <w:t>If you produce more than one document or thing, you must include with them a list of them.</w:t>
            </w:r>
          </w:p>
        </w:tc>
      </w:tr>
      <w:tr w:rsidR="00425758">
        <w:tc>
          <w:tcPr>
            <w:tcW w:w="1418" w:type="dxa"/>
          </w:tcPr>
          <w:p w:rsidR="00425758" w:rsidRDefault="00425758">
            <w:pPr>
              <w:pStyle w:val="yTableNAm"/>
              <w:spacing w:before="0"/>
              <w:rPr>
                <w:b/>
                <w:sz w:val="20"/>
              </w:rPr>
            </w:pPr>
            <w:r>
              <w:rPr>
                <w:b/>
                <w:sz w:val="20"/>
              </w:rPr>
              <w:t>Production of copy instead of original</w:t>
            </w:r>
          </w:p>
        </w:tc>
        <w:tc>
          <w:tcPr>
            <w:tcW w:w="5812" w:type="dxa"/>
            <w:gridSpan w:val="3"/>
          </w:tcPr>
          <w:p w:rsidR="00425758" w:rsidRDefault="00425758">
            <w:pPr>
              <w:pStyle w:val="yTableNAm"/>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rsidR="00425758" w:rsidRDefault="00425758">
            <w:pPr>
              <w:pStyle w:val="yTableNAm"/>
              <w:spacing w:before="0"/>
              <w:ind w:left="369" w:hanging="369"/>
              <w:rPr>
                <w:sz w:val="20"/>
              </w:rPr>
            </w:pPr>
            <w:r>
              <w:rPr>
                <w:sz w:val="20"/>
              </w:rPr>
              <w:t>10.</w:t>
            </w:r>
            <w:r>
              <w:rPr>
                <w:sz w:val="20"/>
              </w:rPr>
              <w:tab/>
              <w:t>The copy of a document may be:</w:t>
            </w:r>
          </w:p>
          <w:p w:rsidR="00425758" w:rsidRDefault="00425758">
            <w:pPr>
              <w:pStyle w:val="yTableNAm"/>
              <w:spacing w:before="0"/>
              <w:ind w:left="794" w:hanging="425"/>
              <w:rPr>
                <w:sz w:val="20"/>
              </w:rPr>
            </w:pPr>
            <w:r>
              <w:rPr>
                <w:sz w:val="20"/>
              </w:rPr>
              <w:t>(a)</w:t>
            </w:r>
            <w:r>
              <w:rPr>
                <w:sz w:val="20"/>
              </w:rPr>
              <w:tab/>
              <w:t>a photocopy; or</w:t>
            </w:r>
          </w:p>
          <w:p w:rsidR="00425758" w:rsidRDefault="00425758">
            <w:pPr>
              <w:pStyle w:val="yTableNAm"/>
              <w:spacing w:before="0"/>
              <w:ind w:left="794" w:hanging="425"/>
              <w:rPr>
                <w:sz w:val="20"/>
              </w:rPr>
            </w:pPr>
            <w:r>
              <w:rPr>
                <w:sz w:val="20"/>
              </w:rPr>
              <w:lastRenderedPageBreak/>
              <w:t>(b)</w:t>
            </w:r>
            <w:r>
              <w:rPr>
                <w:sz w:val="20"/>
              </w:rPr>
              <w:tab/>
              <w:t xml:space="preserve">in an electronic form on a CD-ROM, DVD or USB device in any of the following electronic formats — </w:t>
            </w:r>
          </w:p>
          <w:p w:rsidR="00425758" w:rsidRDefault="00425758">
            <w:pPr>
              <w:pStyle w:val="yTableNAm"/>
              <w:spacing w:before="0"/>
              <w:ind w:left="935" w:hanging="1"/>
              <w:rPr>
                <w:sz w:val="20"/>
              </w:rPr>
            </w:pPr>
            <w:r>
              <w:rPr>
                <w:sz w:val="20"/>
              </w:rPr>
              <w:t>.doc and .docx – Microsoft Word documents</w:t>
            </w:r>
          </w:p>
          <w:p w:rsidR="00425758" w:rsidRDefault="00425758">
            <w:pPr>
              <w:pStyle w:val="yTableNAm"/>
              <w:spacing w:before="0"/>
              <w:ind w:left="935" w:hanging="1"/>
              <w:rPr>
                <w:sz w:val="20"/>
              </w:rPr>
            </w:pPr>
            <w:r>
              <w:rPr>
                <w:sz w:val="20"/>
              </w:rPr>
              <w:t>.pdf – Adobe Acrobat documents</w:t>
            </w:r>
          </w:p>
          <w:p w:rsidR="00425758" w:rsidRDefault="00425758">
            <w:pPr>
              <w:pStyle w:val="yTableNAm"/>
              <w:spacing w:before="0"/>
              <w:ind w:left="935" w:hanging="1"/>
              <w:rPr>
                <w:sz w:val="20"/>
              </w:rPr>
            </w:pPr>
            <w:r>
              <w:rPr>
                <w:sz w:val="20"/>
              </w:rPr>
              <w:t>.xls and .xlsx – Microsoft Excel spreadsheets</w:t>
            </w:r>
          </w:p>
          <w:p w:rsidR="00425758" w:rsidRDefault="00425758">
            <w:pPr>
              <w:pStyle w:val="yTableNAm"/>
              <w:spacing w:before="0"/>
              <w:ind w:left="935" w:hanging="1"/>
              <w:rPr>
                <w:sz w:val="20"/>
              </w:rPr>
            </w:pPr>
            <w:r>
              <w:rPr>
                <w:sz w:val="20"/>
              </w:rPr>
              <w:t>.jpg – image files</w:t>
            </w:r>
          </w:p>
          <w:p w:rsidR="00425758" w:rsidRDefault="00425758">
            <w:pPr>
              <w:pStyle w:val="yTableNAm"/>
              <w:spacing w:before="0"/>
              <w:ind w:left="935" w:hanging="1"/>
              <w:rPr>
                <w:sz w:val="20"/>
              </w:rPr>
            </w:pPr>
            <w:r>
              <w:rPr>
                <w:sz w:val="20"/>
              </w:rPr>
              <w:t>.rtf – rich text format</w:t>
            </w:r>
          </w:p>
          <w:p w:rsidR="00425758" w:rsidRDefault="00425758">
            <w:pPr>
              <w:pStyle w:val="yTableNAm"/>
              <w:spacing w:before="0"/>
              <w:ind w:left="935" w:hanging="1"/>
              <w:rPr>
                <w:sz w:val="20"/>
              </w:rPr>
            </w:pPr>
            <w:r>
              <w:rPr>
                <w:sz w:val="20"/>
              </w:rPr>
              <w:t>.gif – graphics interchange format</w:t>
            </w:r>
          </w:p>
          <w:p w:rsidR="00425758" w:rsidRDefault="00425758">
            <w:pPr>
              <w:pStyle w:val="yTableNAm"/>
              <w:spacing w:before="0"/>
              <w:ind w:left="935" w:hanging="1"/>
              <w:rPr>
                <w:sz w:val="20"/>
              </w:rPr>
            </w:pPr>
            <w:r>
              <w:rPr>
                <w:sz w:val="20"/>
              </w:rPr>
              <w:t>.tif – tagged image format</w:t>
            </w:r>
          </w:p>
        </w:tc>
      </w:tr>
      <w:tr w:rsidR="00425758">
        <w:trPr>
          <w:cantSplit/>
        </w:trPr>
        <w:tc>
          <w:tcPr>
            <w:tcW w:w="1418" w:type="dxa"/>
          </w:tcPr>
          <w:p w:rsidR="00425758" w:rsidRDefault="00425758">
            <w:pPr>
              <w:pStyle w:val="yTableNAm"/>
              <w:spacing w:before="0"/>
              <w:rPr>
                <w:b/>
                <w:sz w:val="20"/>
              </w:rPr>
            </w:pPr>
            <w:r>
              <w:rPr>
                <w:b/>
                <w:sz w:val="20"/>
              </w:rPr>
              <w:lastRenderedPageBreak/>
              <w:t>Return or destruction of documents or copies</w:t>
            </w:r>
          </w:p>
        </w:tc>
        <w:tc>
          <w:tcPr>
            <w:tcW w:w="5812" w:type="dxa"/>
            <w:gridSpan w:val="3"/>
          </w:tcPr>
          <w:p w:rsidR="00425758" w:rsidRDefault="00425758">
            <w:pPr>
              <w:pStyle w:val="yTableNAm"/>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rsidR="00425758" w:rsidRDefault="00425758">
            <w:pPr>
              <w:pStyle w:val="yTableNAm"/>
              <w:spacing w:before="0"/>
              <w:ind w:left="369" w:hanging="369"/>
              <w:rPr>
                <w:sz w:val="20"/>
              </w:rPr>
            </w:pPr>
            <w:r>
              <w:rPr>
                <w:sz w:val="20"/>
              </w:rPr>
              <w:t>12.</w:t>
            </w:r>
            <w:r>
              <w:rPr>
                <w:sz w:val="20"/>
              </w:rPr>
              <w:tab/>
              <w:t>If you have so notified the Court, a registrar of the Supreme Court may destroy the document or copy instead of returning it to you.</w:t>
            </w:r>
          </w:p>
        </w:tc>
      </w:tr>
      <w:tr w:rsidR="00425758">
        <w:tc>
          <w:tcPr>
            <w:tcW w:w="1418" w:type="dxa"/>
          </w:tcPr>
          <w:p w:rsidR="00425758" w:rsidRDefault="00425758">
            <w:pPr>
              <w:pStyle w:val="yTableNAm"/>
              <w:spacing w:before="0"/>
              <w:rPr>
                <w:b/>
                <w:sz w:val="20"/>
              </w:rPr>
            </w:pPr>
            <w:r>
              <w:rPr>
                <w:b/>
                <w:sz w:val="20"/>
              </w:rPr>
              <w:t>Applications in relation to subpoena</w:t>
            </w:r>
          </w:p>
        </w:tc>
        <w:tc>
          <w:tcPr>
            <w:tcW w:w="5812" w:type="dxa"/>
            <w:gridSpan w:val="3"/>
          </w:tcPr>
          <w:p w:rsidR="00425758" w:rsidRDefault="00425758">
            <w:pPr>
              <w:pStyle w:val="yTableNAm"/>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rsidR="00425758">
        <w:trPr>
          <w:cantSplit/>
        </w:trPr>
        <w:tc>
          <w:tcPr>
            <w:tcW w:w="1418" w:type="dxa"/>
          </w:tcPr>
          <w:p w:rsidR="00425758" w:rsidRDefault="00425758">
            <w:pPr>
              <w:pStyle w:val="yTableNAm"/>
              <w:spacing w:before="0"/>
              <w:rPr>
                <w:b/>
                <w:sz w:val="20"/>
              </w:rPr>
            </w:pPr>
            <w:r>
              <w:rPr>
                <w:b/>
                <w:sz w:val="20"/>
              </w:rPr>
              <w:t>Loss or expense of compliance</w:t>
            </w:r>
          </w:p>
        </w:tc>
        <w:tc>
          <w:tcPr>
            <w:tcW w:w="5812" w:type="dxa"/>
            <w:gridSpan w:val="3"/>
          </w:tcPr>
          <w:p w:rsidR="00425758" w:rsidRDefault="00425758">
            <w:pPr>
              <w:pStyle w:val="yTableNAm"/>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this subpoena.</w:t>
            </w:r>
          </w:p>
        </w:tc>
      </w:tr>
      <w:tr w:rsidR="00425758">
        <w:trPr>
          <w:cantSplit/>
        </w:trPr>
        <w:tc>
          <w:tcPr>
            <w:tcW w:w="1418" w:type="dxa"/>
          </w:tcPr>
          <w:p w:rsidR="00425758" w:rsidRDefault="00425758">
            <w:pPr>
              <w:pStyle w:val="yTableNAm"/>
              <w:spacing w:before="0"/>
              <w:rPr>
                <w:b/>
                <w:sz w:val="20"/>
              </w:rPr>
            </w:pPr>
            <w:r>
              <w:rPr>
                <w:b/>
                <w:sz w:val="20"/>
              </w:rPr>
              <w:t xml:space="preserve">Contempt of court—arrest  </w:t>
            </w:r>
          </w:p>
        </w:tc>
        <w:tc>
          <w:tcPr>
            <w:tcW w:w="5812" w:type="dxa"/>
            <w:gridSpan w:val="3"/>
          </w:tcPr>
          <w:p w:rsidR="00425758" w:rsidRDefault="00425758">
            <w:pPr>
              <w:pStyle w:val="yTableNAm"/>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rsidR="00425758" w:rsidRDefault="00425758">
            <w:pPr>
              <w:pStyle w:val="yTableNAm"/>
              <w:spacing w:before="0"/>
              <w:ind w:left="369" w:hanging="369"/>
              <w:rPr>
                <w:sz w:val="20"/>
              </w:rPr>
            </w:pPr>
            <w:r>
              <w:rPr>
                <w:sz w:val="20"/>
              </w:rPr>
              <w:t>16.</w:t>
            </w:r>
            <w:r>
              <w:rPr>
                <w:sz w:val="20"/>
              </w:rPr>
              <w:tab/>
              <w:t>Note 15 is without prejudice to any other power to enforce compliance with a subpoena.</w:t>
            </w:r>
          </w:p>
        </w:tc>
      </w:tr>
    </w:tbl>
    <w:p w:rsidR="00425758" w:rsidRDefault="00425758">
      <w:pPr>
        <w:pStyle w:val="PermNoteHeading"/>
        <w:tabs>
          <w:tab w:val="left" w:pos="567"/>
          <w:tab w:val="left" w:pos="1276"/>
        </w:tabs>
        <w:rPr>
          <w:szCs w:val="18"/>
        </w:rPr>
      </w:pPr>
      <w:r>
        <w:rPr>
          <w:szCs w:val="18"/>
        </w:rPr>
        <w:t>Footnotes to Form 23B —</w:t>
      </w:r>
    </w:p>
    <w:p w:rsidR="00425758" w:rsidRDefault="00425758">
      <w:pPr>
        <w:pStyle w:val="PermNotePara"/>
        <w:tabs>
          <w:tab w:val="clear" w:pos="1843"/>
          <w:tab w:val="left" w:pos="567"/>
        </w:tabs>
        <w:rPr>
          <w:szCs w:val="18"/>
        </w:rPr>
      </w:pPr>
      <w:r>
        <w:rPr>
          <w:szCs w:val="18"/>
        </w:rPr>
        <w:t>*</w:t>
      </w:r>
      <w:r>
        <w:rPr>
          <w:szCs w:val="18"/>
        </w:rPr>
        <w:tab/>
        <w:t>Delete the inapplicable.</w:t>
      </w:r>
    </w:p>
    <w:p w:rsidR="00425758" w:rsidRDefault="00425758">
      <w:pPr>
        <w:pStyle w:val="PermNotePara"/>
        <w:tabs>
          <w:tab w:val="clear" w:pos="1843"/>
          <w:tab w:val="left" w:pos="567"/>
        </w:tabs>
        <w:ind w:left="567" w:hanging="567"/>
        <w:rPr>
          <w:szCs w:val="18"/>
        </w:rPr>
      </w:pPr>
      <w:r>
        <w:rPr>
          <w:szCs w:val="18"/>
        </w:rPr>
        <w:t>1.</w:t>
      </w:r>
      <w:r>
        <w:rPr>
          <w:szCs w:val="18"/>
        </w:rPr>
        <w:tab/>
        <w:t>If there is more than one of any party, include the additional parties’ names and types of party in a schedule to the subpoena.</w:t>
      </w:r>
    </w:p>
    <w:p w:rsidR="00425758" w:rsidRDefault="00425758">
      <w:pPr>
        <w:pStyle w:val="yFootnotesection"/>
      </w:pPr>
      <w:r>
        <w:tab/>
        <w:t>[Form 23B inserted: Gazette 24 May 2017 p. 2599</w:t>
      </w:r>
      <w:r>
        <w:noBreakHyphen/>
        <w:t>606; amended: Gazette 27 Feb 2018 p. 622</w:t>
      </w:r>
      <w:r>
        <w:noBreakHyphen/>
        <w:t>3.]</w:t>
      </w:r>
    </w:p>
    <w:p w:rsidR="00425758" w:rsidRDefault="00425758">
      <w:pPr>
        <w:pStyle w:val="yEdnotedivision"/>
        <w:outlineLvl w:val="9"/>
      </w:pPr>
      <w:r>
        <w:t>[Form 24 deleted: Gazette 21 Feb 2007 p. 546.]</w:t>
      </w:r>
    </w:p>
    <w:p w:rsidR="00425758" w:rsidRDefault="00425758">
      <w:pPr>
        <w:pStyle w:val="yHeading5"/>
        <w:keepNext w:val="0"/>
        <w:keepLines w:val="0"/>
        <w:pageBreakBefore/>
        <w:widowControl w:val="0"/>
        <w:spacing w:before="0" w:after="120"/>
      </w:pPr>
      <w:bookmarkStart w:id="1362" w:name="_Toc75863927"/>
      <w:r>
        <w:rPr>
          <w:rStyle w:val="CharSClsNo"/>
        </w:rPr>
        <w:lastRenderedPageBreak/>
        <w:t>25</w:t>
      </w:r>
      <w:r>
        <w:t>.</w:t>
      </w:r>
      <w:r>
        <w:rPr>
          <w:b w:val="0"/>
        </w:rPr>
        <w:tab/>
      </w:r>
      <w:r>
        <w:t>Order for examination of witness before trial (O. 38 r. 1)</w:t>
      </w:r>
      <w:bookmarkEnd w:id="1362"/>
    </w:p>
    <w:p w:rsidR="00425758" w:rsidRDefault="00425758">
      <w:pPr>
        <w:pStyle w:val="yMiscellaneousBody"/>
        <w:spacing w:before="120" w:after="120"/>
        <w:jc w:val="center"/>
        <w:rPr>
          <w:sz w:val="20"/>
        </w:rPr>
      </w:pPr>
      <w:r>
        <w:rPr>
          <w:sz w:val="20"/>
        </w:rPr>
        <w:t>(</w:t>
      </w:r>
      <w:r>
        <w:rPr>
          <w:i/>
          <w:sz w:val="20"/>
        </w:rPr>
        <w:t>Heading as in cause or matter</w:t>
      </w:r>
      <w:r>
        <w:rPr>
          <w:sz w:val="20"/>
        </w:rPr>
        <w:t>)</w:t>
      </w:r>
    </w:p>
    <w:p w:rsidR="00425758" w:rsidRDefault="00425758">
      <w:pPr>
        <w:pStyle w:val="yMiscellaneousBody"/>
        <w:spacing w:before="120"/>
        <w:rPr>
          <w:sz w:val="20"/>
        </w:rPr>
      </w:pPr>
      <w:r>
        <w:rPr>
          <w:sz w:val="20"/>
        </w:rPr>
        <w:t>Before</w:t>
      </w:r>
      <w:r>
        <w:rPr>
          <w:sz w:val="20"/>
        </w:rPr>
        <w:br/>
        <w:t>in chambers.</w:t>
      </w:r>
    </w:p>
    <w:p w:rsidR="00425758" w:rsidRDefault="00425758">
      <w:pPr>
        <w:pStyle w:val="yMiscellaneousBody"/>
        <w:spacing w:before="120"/>
        <w:rPr>
          <w:sz w:val="20"/>
        </w:rPr>
      </w:pPr>
      <w:r>
        <w:rPr>
          <w:sz w:val="20"/>
        </w:rPr>
        <w:t>On hearing [the solicitors on both sides] and on reading the affidavit of</w:t>
      </w:r>
      <w:r>
        <w:rPr>
          <w:sz w:val="20"/>
        </w:rPr>
        <w:br/>
        <w:t xml:space="preserve">                                   filed herein the                           day of                             20       ,</w:t>
      </w:r>
    </w:p>
    <w:p w:rsidR="00425758" w:rsidRDefault="00425758">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rsidR="00425758" w:rsidRDefault="00425758">
      <w:pPr>
        <w:pStyle w:val="yMiscellaneousBody"/>
        <w:spacing w:before="120"/>
        <w:rPr>
          <w:sz w:val="20"/>
        </w:rPr>
      </w:pPr>
      <w:r>
        <w:rPr>
          <w:sz w:val="20"/>
        </w:rPr>
        <w:t xml:space="preserve">And it is further ordered that the depositions taken at the examination be filed, and that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rsidR="00425758" w:rsidRDefault="00425758">
      <w:pPr>
        <w:pStyle w:val="yMiscellaneousBody"/>
        <w:spacing w:before="120"/>
        <w:rPr>
          <w:sz w:val="20"/>
        </w:rPr>
      </w:pPr>
      <w:r>
        <w:rPr>
          <w:sz w:val="20"/>
        </w:rPr>
        <w:t>Dated the           day of                           20     .</w:t>
      </w:r>
    </w:p>
    <w:p w:rsidR="00425758" w:rsidRDefault="00425758">
      <w:pPr>
        <w:pStyle w:val="yFootnotesection"/>
      </w:pPr>
      <w:r>
        <w:tab/>
        <w:t>[Form 25 amended: Gazette 9 Nov 1973 p. 4165; 30 Nov 1984 p. 3954; 28 Jun 2011 p. 2558; 27 Feb 2018 p. 623.]</w:t>
      </w:r>
    </w:p>
    <w:p w:rsidR="00425758" w:rsidRDefault="00425758">
      <w:pPr>
        <w:pStyle w:val="yHeading5"/>
        <w:keepNext w:val="0"/>
        <w:keepLines w:val="0"/>
        <w:pageBreakBefore/>
        <w:widowControl w:val="0"/>
        <w:spacing w:before="0" w:after="120"/>
      </w:pPr>
      <w:bookmarkStart w:id="1363" w:name="_Toc75863928"/>
      <w:r>
        <w:rPr>
          <w:rStyle w:val="CharSClsNo"/>
        </w:rPr>
        <w:lastRenderedPageBreak/>
        <w:t>26</w:t>
      </w:r>
      <w:r>
        <w:t>.</w:t>
      </w:r>
      <w:r>
        <w:rPr>
          <w:b w:val="0"/>
        </w:rPr>
        <w:tab/>
      </w:r>
      <w:r>
        <w:rPr>
          <w:i/>
        </w:rPr>
        <w:t xml:space="preserve">Evidence Act 1906 </w:t>
      </w:r>
      <w:r>
        <w:t>s. 110 or 111, order under (O. 38A r. 5)</w:t>
      </w:r>
      <w:bookmarkEnd w:id="1363"/>
    </w:p>
    <w:p w:rsidR="00425758" w:rsidRDefault="00425758">
      <w:pPr>
        <w:pStyle w:val="yMiscellaneousBody"/>
        <w:spacing w:before="120"/>
        <w:rPr>
          <w:sz w:val="20"/>
        </w:rPr>
      </w:pPr>
      <w:r>
        <w:rPr>
          <w:sz w:val="20"/>
        </w:rPr>
        <w:t>[HEADING]</w:t>
      </w:r>
    </w:p>
    <w:p w:rsidR="00425758" w:rsidRDefault="00425758">
      <w:pPr>
        <w:pStyle w:val="yMiscellaneousBody"/>
        <w:spacing w:before="120"/>
        <w:rPr>
          <w:sz w:val="20"/>
        </w:rPr>
      </w:pPr>
      <w:r>
        <w:rPr>
          <w:sz w:val="20"/>
        </w:rPr>
        <w:t>On the application of ..................................................., and after reading the affidavit of ....................................... dated ................................. and hearing .....................................,</w:t>
      </w:r>
    </w:p>
    <w:p w:rsidR="00425758" w:rsidRDefault="00425758">
      <w:pPr>
        <w:pStyle w:val="yMiscellaneousBody"/>
        <w:spacing w:before="120"/>
        <w:rPr>
          <w:sz w:val="20"/>
        </w:rPr>
      </w:pPr>
      <w:r>
        <w:rPr>
          <w:sz w:val="20"/>
        </w:rPr>
        <w:t>IT IS ORDERED THAT —</w:t>
      </w:r>
    </w:p>
    <w:p w:rsidR="00425758" w:rsidRDefault="00425758">
      <w:pPr>
        <w:pStyle w:val="yMiscellaneousBody"/>
        <w:spacing w:before="120"/>
        <w:ind w:left="480" w:hanging="480"/>
        <w:rPr>
          <w:sz w:val="20"/>
        </w:rPr>
      </w:pPr>
      <w:r>
        <w:rPr>
          <w:sz w:val="20"/>
        </w:rPr>
        <w:t>1.</w:t>
      </w:r>
      <w:r>
        <w:rPr>
          <w:sz w:val="20"/>
        </w:rPr>
        <w:tab/>
        <w:t>AB (“the examiner”) is hereby appointed to examine CD (“the witness”) on oath or affirmation.</w:t>
      </w:r>
    </w:p>
    <w:p w:rsidR="00425758" w:rsidRDefault="00425758">
      <w:pPr>
        <w:pStyle w:val="yMiscellaneousBody"/>
        <w:spacing w:before="120"/>
        <w:jc w:val="center"/>
        <w:rPr>
          <w:sz w:val="20"/>
        </w:rPr>
      </w:pPr>
      <w:r>
        <w:rPr>
          <w:sz w:val="20"/>
        </w:rPr>
        <w:noBreakHyphen/>
        <w:t>or</w:t>
      </w:r>
      <w:r>
        <w:rPr>
          <w:sz w:val="20"/>
        </w:rPr>
        <w:noBreakHyphen/>
      </w:r>
    </w:p>
    <w:p w:rsidR="00425758" w:rsidRDefault="00425758">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rsidR="00425758" w:rsidRDefault="00425758">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rsidR="00425758" w:rsidRDefault="00425758">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rsidR="00425758" w:rsidRDefault="00425758">
      <w:pPr>
        <w:pStyle w:val="yMiscellaneousBody"/>
        <w:spacing w:before="120"/>
        <w:ind w:left="480" w:hanging="480"/>
        <w:rPr>
          <w:sz w:val="20"/>
        </w:rPr>
      </w:pPr>
      <w:r>
        <w:rPr>
          <w:sz w:val="20"/>
        </w:rPr>
        <w:t>4.</w:t>
      </w:r>
      <w:r>
        <w:rPr>
          <w:sz w:val="20"/>
        </w:rPr>
        <w:tab/>
        <w:t>The examination must be in the following manner —</w:t>
      </w:r>
    </w:p>
    <w:p w:rsidR="00425758" w:rsidRDefault="00425758">
      <w:pPr>
        <w:pStyle w:val="yMiscellaneousBody"/>
        <w:spacing w:before="120"/>
        <w:ind w:left="480" w:hanging="480"/>
        <w:rPr>
          <w:sz w:val="20"/>
        </w:rPr>
      </w:pPr>
      <w:r>
        <w:rPr>
          <w:sz w:val="20"/>
        </w:rPr>
        <w:tab/>
        <w:t>(set out the manner of the examination either specifically or by reference to the rules)</w:t>
      </w:r>
    </w:p>
    <w:p w:rsidR="00425758" w:rsidRDefault="00425758">
      <w:pPr>
        <w:pStyle w:val="yMiscellaneousBody"/>
        <w:spacing w:before="120"/>
        <w:ind w:left="480" w:hanging="480"/>
        <w:rPr>
          <w:sz w:val="20"/>
        </w:rPr>
      </w:pPr>
      <w:r>
        <w:rPr>
          <w:sz w:val="20"/>
        </w:rPr>
        <w:t>5.</w:t>
      </w:r>
      <w:r>
        <w:rPr>
          <w:sz w:val="20"/>
        </w:rPr>
        <w:tab/>
        <w:t xml:space="preserve">The examiner shall — </w:t>
      </w:r>
    </w:p>
    <w:p w:rsidR="00425758" w:rsidRDefault="00425758">
      <w:pPr>
        <w:pStyle w:val="yMiscellaneousBody"/>
        <w:tabs>
          <w:tab w:val="left" w:pos="480"/>
        </w:tabs>
        <w:spacing w:before="60"/>
        <w:ind w:left="958" w:hanging="958"/>
        <w:rPr>
          <w:sz w:val="20"/>
        </w:rPr>
      </w:pPr>
      <w:r>
        <w:rPr>
          <w:sz w:val="20"/>
        </w:rPr>
        <w:tab/>
        <w:t>(a)</w:t>
      </w:r>
      <w:r>
        <w:rPr>
          <w:sz w:val="20"/>
        </w:rPr>
        <w:tab/>
        <w:t>put the evidence of the witness into writing; and</w:t>
      </w:r>
    </w:p>
    <w:p w:rsidR="00425758" w:rsidRDefault="00425758">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rsidR="00425758" w:rsidRDefault="00425758">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rsidR="00425758" w:rsidRDefault="00425758">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rsidR="00425758" w:rsidRDefault="00425758">
      <w:pPr>
        <w:pStyle w:val="yMiscellaneousBody"/>
        <w:spacing w:before="60"/>
        <w:ind w:left="1440"/>
        <w:rPr>
          <w:sz w:val="20"/>
        </w:rPr>
      </w:pPr>
      <w:r>
        <w:rPr>
          <w:sz w:val="20"/>
        </w:rPr>
        <w:t>Principal Registrar</w:t>
      </w:r>
    </w:p>
    <w:p w:rsidR="00425758" w:rsidRDefault="00425758">
      <w:pPr>
        <w:pStyle w:val="yMiscellaneousBody"/>
        <w:spacing w:before="0"/>
        <w:ind w:left="1440"/>
        <w:rPr>
          <w:sz w:val="20"/>
        </w:rPr>
      </w:pPr>
      <w:r>
        <w:rPr>
          <w:sz w:val="20"/>
        </w:rPr>
        <w:t>Supreme Court of Western Australia</w:t>
      </w:r>
    </w:p>
    <w:p w:rsidR="00425758" w:rsidRDefault="00425758">
      <w:pPr>
        <w:pStyle w:val="yMiscellaneousBody"/>
        <w:spacing w:before="0"/>
        <w:ind w:left="1440"/>
        <w:rPr>
          <w:sz w:val="20"/>
        </w:rPr>
      </w:pPr>
      <w:r>
        <w:rPr>
          <w:sz w:val="20"/>
        </w:rPr>
        <w:t>PERTH</w:t>
      </w:r>
    </w:p>
    <w:p w:rsidR="00425758" w:rsidRDefault="00425758">
      <w:pPr>
        <w:pStyle w:val="yMiscellaneousBody"/>
        <w:spacing w:before="0"/>
        <w:ind w:left="1440"/>
        <w:rPr>
          <w:sz w:val="20"/>
        </w:rPr>
      </w:pPr>
      <w:r>
        <w:rPr>
          <w:sz w:val="20"/>
        </w:rPr>
        <w:t>Western Australia 6000</w:t>
      </w:r>
    </w:p>
    <w:p w:rsidR="00425758" w:rsidRDefault="00425758">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rsidR="00425758" w:rsidRDefault="00425758">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rsidR="00425758" w:rsidRDefault="00425758">
      <w:pPr>
        <w:pStyle w:val="yMiscellaneousBody"/>
        <w:spacing w:before="120"/>
        <w:ind w:left="480" w:hanging="480"/>
        <w:rPr>
          <w:sz w:val="20"/>
        </w:rPr>
      </w:pPr>
      <w:r>
        <w:rPr>
          <w:sz w:val="20"/>
        </w:rPr>
        <w:lastRenderedPageBreak/>
        <w:t>8.</w:t>
      </w:r>
      <w:r>
        <w:rPr>
          <w:sz w:val="20"/>
        </w:rPr>
        <w:tab/>
        <w:t>The costs of and incidental to the application for this order and to the examination shall be costs in the cause.</w:t>
      </w:r>
    </w:p>
    <w:p w:rsidR="00425758" w:rsidRDefault="00425758">
      <w:pPr>
        <w:pStyle w:val="yMiscellaneousBody"/>
        <w:spacing w:before="120"/>
        <w:jc w:val="center"/>
        <w:rPr>
          <w:sz w:val="20"/>
        </w:rPr>
      </w:pPr>
      <w:r>
        <w:rPr>
          <w:sz w:val="20"/>
        </w:rPr>
        <w:noBreakHyphen/>
        <w:t>or</w:t>
      </w:r>
      <w:r>
        <w:rPr>
          <w:sz w:val="20"/>
        </w:rPr>
        <w:noBreakHyphen/>
      </w:r>
    </w:p>
    <w:p w:rsidR="00425758" w:rsidRDefault="00425758">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rsidR="00425758" w:rsidRDefault="00425758">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rsidR="00425758" w:rsidRDefault="00425758">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rsidR="00425758" w:rsidRDefault="00425758">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rsidR="00425758" w:rsidRDefault="00425758">
      <w:pPr>
        <w:pStyle w:val="yMiscellaneousBody"/>
        <w:tabs>
          <w:tab w:val="right" w:pos="7080"/>
        </w:tabs>
        <w:spacing w:before="120"/>
        <w:rPr>
          <w:sz w:val="20"/>
        </w:rPr>
      </w:pPr>
      <w:r>
        <w:rPr>
          <w:sz w:val="20"/>
        </w:rPr>
        <w:t>Dated:</w:t>
      </w:r>
      <w:r>
        <w:rPr>
          <w:sz w:val="20"/>
        </w:rPr>
        <w:tab/>
        <w:t>BY THE COURT</w:t>
      </w:r>
    </w:p>
    <w:p w:rsidR="00425758" w:rsidRDefault="00425758">
      <w:pPr>
        <w:pStyle w:val="yMiscellaneousBody"/>
        <w:tabs>
          <w:tab w:val="right" w:pos="7080"/>
        </w:tabs>
        <w:spacing w:before="120"/>
        <w:rPr>
          <w:sz w:val="20"/>
        </w:rPr>
      </w:pPr>
      <w:r>
        <w:rPr>
          <w:sz w:val="20"/>
        </w:rPr>
        <w:t>[L.S.]</w:t>
      </w:r>
      <w:r>
        <w:rPr>
          <w:sz w:val="20"/>
        </w:rPr>
        <w:tab/>
        <w:t>Registrar.</w:t>
      </w:r>
    </w:p>
    <w:p w:rsidR="00425758" w:rsidRDefault="00425758">
      <w:pPr>
        <w:pStyle w:val="yFootnotesection"/>
      </w:pPr>
      <w:r>
        <w:tab/>
        <w:t>[Form 26 inserted: Gazette 8 Feb 1991 p. 584</w:t>
      </w:r>
      <w:r>
        <w:noBreakHyphen/>
        <w:t>5; amended: Gazette 28 Jun 2011 p. 2558.]</w:t>
      </w:r>
    </w:p>
    <w:p w:rsidR="00425758" w:rsidRDefault="00425758">
      <w:pPr>
        <w:pStyle w:val="yEdnotedivision"/>
        <w:outlineLvl w:val="9"/>
      </w:pPr>
      <w:r>
        <w:t>[Form 27 deleted: Gazette 8 Feb 1991 p. 585.]</w:t>
      </w:r>
    </w:p>
    <w:p w:rsidR="00425758" w:rsidRDefault="00425758">
      <w:pPr>
        <w:pStyle w:val="yHeading5"/>
        <w:keepNext w:val="0"/>
        <w:keepLines w:val="0"/>
        <w:pageBreakBefore/>
        <w:widowControl w:val="0"/>
        <w:spacing w:before="0" w:after="120"/>
      </w:pPr>
      <w:bookmarkStart w:id="1364" w:name="_Toc75863929"/>
      <w:r>
        <w:rPr>
          <w:rStyle w:val="CharSClsNo"/>
        </w:rPr>
        <w:lastRenderedPageBreak/>
        <w:t>28</w:t>
      </w:r>
      <w:r>
        <w:t>.</w:t>
      </w:r>
      <w:r>
        <w:rPr>
          <w:b w:val="0"/>
        </w:rPr>
        <w:tab/>
      </w:r>
      <w:r>
        <w:t>Letter of request (O. 38A r. 3(4))</w:t>
      </w:r>
      <w:bookmarkEnd w:id="1364"/>
    </w:p>
    <w:p w:rsidR="00425758" w:rsidRDefault="00425758">
      <w:pPr>
        <w:pStyle w:val="yMiscellaneousBody"/>
        <w:spacing w:before="240"/>
        <w:rPr>
          <w:sz w:val="20"/>
        </w:rPr>
      </w:pPr>
      <w:r>
        <w:rPr>
          <w:sz w:val="20"/>
        </w:rPr>
        <w:t>TO: (name of judicial authority in place outside the State)</w:t>
      </w:r>
    </w:p>
    <w:p w:rsidR="00425758" w:rsidRDefault="00425758">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rsidR="00425758" w:rsidRDefault="00425758">
      <w:pPr>
        <w:pStyle w:val="yMiscellaneousBody"/>
        <w:spacing w:before="120"/>
        <w:ind w:left="480" w:hanging="480"/>
        <w:rPr>
          <w:sz w:val="20"/>
        </w:rPr>
      </w:pPr>
      <w:r>
        <w:rPr>
          <w:sz w:val="20"/>
        </w:rPr>
        <w:t>1.</w:t>
      </w:r>
      <w:r>
        <w:rPr>
          <w:sz w:val="20"/>
        </w:rPr>
        <w:tab/>
        <w:t>There are before the Supreme Court of Western Australia/before (name of inferior court in W.A.) civil/criminal proceedings entitled as follows —</w:t>
      </w:r>
    </w:p>
    <w:p w:rsidR="00425758" w:rsidRDefault="00425758">
      <w:pPr>
        <w:pStyle w:val="yMiscellaneousBody"/>
        <w:spacing w:before="120"/>
        <w:ind w:left="840" w:hanging="480"/>
        <w:rPr>
          <w:sz w:val="20"/>
        </w:rPr>
      </w:pPr>
      <w:r>
        <w:rPr>
          <w:sz w:val="20"/>
        </w:rPr>
        <w:tab/>
        <w:t>(set out full title and action no.) between — (name parties, their descriptions — plaintiff etc. — and their addresses).</w:t>
      </w:r>
    </w:p>
    <w:p w:rsidR="00425758" w:rsidRDefault="00425758">
      <w:pPr>
        <w:pStyle w:val="yMiscellaneousBody"/>
        <w:spacing w:before="120"/>
        <w:ind w:left="480" w:hanging="480"/>
        <w:rPr>
          <w:sz w:val="20"/>
        </w:rPr>
      </w:pPr>
      <w:r>
        <w:rPr>
          <w:sz w:val="20"/>
        </w:rPr>
        <w:t>2.</w:t>
      </w:r>
      <w:r>
        <w:rPr>
          <w:sz w:val="20"/>
        </w:rPr>
        <w:tab/>
        <w:t>The names and addresses of the representatives or agents of the parties are as follows —</w:t>
      </w:r>
    </w:p>
    <w:p w:rsidR="00425758" w:rsidRDefault="00425758">
      <w:pPr>
        <w:pStyle w:val="yMiscellaneousBody"/>
        <w:spacing w:before="120"/>
        <w:ind w:left="840" w:hanging="480"/>
        <w:rPr>
          <w:sz w:val="20"/>
        </w:rPr>
      </w:pPr>
      <w:r>
        <w:rPr>
          <w:sz w:val="20"/>
        </w:rPr>
        <w:tab/>
        <w:t>(set out names and addresses.)</w:t>
      </w:r>
    </w:p>
    <w:p w:rsidR="00425758" w:rsidRDefault="00425758">
      <w:pPr>
        <w:pStyle w:val="yMiscellaneousBody"/>
        <w:spacing w:before="120"/>
        <w:ind w:left="480" w:hanging="480"/>
        <w:rPr>
          <w:sz w:val="20"/>
        </w:rPr>
      </w:pPr>
      <w:r>
        <w:rPr>
          <w:sz w:val="20"/>
        </w:rPr>
        <w:t>3.</w:t>
      </w:r>
      <w:r>
        <w:rPr>
          <w:sz w:val="20"/>
        </w:rPr>
        <w:tab/>
        <w:t>The proceedings concern —</w:t>
      </w:r>
    </w:p>
    <w:p w:rsidR="00425758" w:rsidRDefault="00425758">
      <w:pPr>
        <w:pStyle w:val="yMiscellaneousBody"/>
        <w:spacing w:before="120"/>
        <w:ind w:left="840" w:hanging="480"/>
        <w:rPr>
          <w:sz w:val="20"/>
        </w:rPr>
      </w:pPr>
      <w:r>
        <w:rPr>
          <w:sz w:val="20"/>
        </w:rPr>
        <w:tab/>
        <w:t>(set out —</w:t>
      </w:r>
    </w:p>
    <w:p w:rsidR="00425758" w:rsidRDefault="00425758">
      <w:pPr>
        <w:pStyle w:val="yMiscellaneousBody"/>
        <w:tabs>
          <w:tab w:val="left" w:pos="1200"/>
        </w:tabs>
        <w:spacing w:before="120"/>
        <w:ind w:left="1680" w:hanging="1680"/>
        <w:rPr>
          <w:sz w:val="20"/>
        </w:rPr>
      </w:pPr>
      <w:r>
        <w:rPr>
          <w:sz w:val="20"/>
        </w:rPr>
        <w:tab/>
        <w:t>(a)</w:t>
      </w:r>
      <w:r>
        <w:rPr>
          <w:sz w:val="20"/>
        </w:rPr>
        <w:tab/>
        <w:t>the nature of the proceedings; and</w:t>
      </w:r>
    </w:p>
    <w:p w:rsidR="00425758" w:rsidRDefault="00425758">
      <w:pPr>
        <w:pStyle w:val="yMiscellaneousBody"/>
        <w:tabs>
          <w:tab w:val="left" w:pos="1200"/>
        </w:tabs>
        <w:spacing w:before="120"/>
        <w:ind w:left="1680" w:hanging="1680"/>
        <w:rPr>
          <w:sz w:val="20"/>
        </w:rPr>
      </w:pPr>
      <w:r>
        <w:rPr>
          <w:sz w:val="20"/>
        </w:rPr>
        <w:tab/>
        <w:t>(b)</w:t>
      </w:r>
      <w:r>
        <w:rPr>
          <w:sz w:val="20"/>
        </w:rPr>
        <w:tab/>
        <w:t>the relief sought (if applicable); and</w:t>
      </w:r>
    </w:p>
    <w:p w:rsidR="00425758" w:rsidRDefault="00425758">
      <w:pPr>
        <w:pStyle w:val="yMiscellaneousBody"/>
        <w:tabs>
          <w:tab w:val="left" w:pos="1200"/>
        </w:tabs>
        <w:spacing w:before="120"/>
        <w:ind w:left="1680" w:hanging="1680"/>
        <w:rPr>
          <w:sz w:val="20"/>
        </w:rPr>
      </w:pPr>
      <w:r>
        <w:rPr>
          <w:sz w:val="20"/>
        </w:rPr>
        <w:tab/>
        <w:t>(c)</w:t>
      </w:r>
      <w:r>
        <w:rPr>
          <w:sz w:val="20"/>
        </w:rPr>
        <w:tab/>
        <w:t>a summary of the facts.)</w:t>
      </w:r>
    </w:p>
    <w:p w:rsidR="00425758" w:rsidRDefault="00425758">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rsidR="00425758" w:rsidRDefault="00425758">
      <w:pPr>
        <w:pStyle w:val="yMiscellaneousBody"/>
        <w:spacing w:before="120"/>
        <w:ind w:left="480" w:hanging="480"/>
        <w:rPr>
          <w:sz w:val="20"/>
        </w:rPr>
      </w:pPr>
      <w:r>
        <w:rPr>
          <w:sz w:val="20"/>
        </w:rPr>
        <w:t>5.</w:t>
      </w:r>
      <w:r>
        <w:rPr>
          <w:sz w:val="20"/>
        </w:rPr>
        <w:tab/>
        <w:t>I respectfully request that the evidence be taken in the following manner —</w:t>
      </w:r>
    </w:p>
    <w:p w:rsidR="00425758" w:rsidRDefault="00425758">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rsidR="00425758" w:rsidRDefault="00425758">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rsidR="00425758" w:rsidRDefault="00425758">
      <w:pPr>
        <w:pStyle w:val="yMiscellaneousBody"/>
        <w:spacing w:before="120"/>
        <w:ind w:left="480" w:hanging="480"/>
        <w:rPr>
          <w:sz w:val="20"/>
        </w:rPr>
      </w:pPr>
      <w:r>
        <w:rPr>
          <w:sz w:val="20"/>
        </w:rPr>
        <w:t>7.</w:t>
      </w:r>
      <w:r>
        <w:rPr>
          <w:sz w:val="20"/>
        </w:rPr>
        <w:tab/>
        <w:t>Finally, I request that —</w:t>
      </w:r>
    </w:p>
    <w:p w:rsidR="00425758" w:rsidRDefault="00425758">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rsidR="00425758" w:rsidRDefault="00425758">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rsidR="00425758" w:rsidRDefault="00425758">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rsidR="00425758" w:rsidRDefault="00425758">
      <w:pPr>
        <w:pStyle w:val="yMiscellaneousBody"/>
        <w:tabs>
          <w:tab w:val="left" w:pos="480"/>
        </w:tabs>
        <w:spacing w:before="60"/>
        <w:ind w:left="958" w:hanging="958"/>
        <w:rPr>
          <w:sz w:val="20"/>
        </w:rPr>
      </w:pPr>
      <w:r>
        <w:rPr>
          <w:sz w:val="20"/>
        </w:rPr>
        <w:lastRenderedPageBreak/>
        <w:tab/>
        <w:t>(d)</w:t>
      </w:r>
      <w:r>
        <w:rPr>
          <w:sz w:val="20"/>
        </w:rPr>
        <w:tab/>
        <w:t>you send the written evidence and any document produced to me by registered or certified post at the following address —</w:t>
      </w:r>
    </w:p>
    <w:p w:rsidR="00425758" w:rsidRDefault="00425758">
      <w:pPr>
        <w:pStyle w:val="yMiscellaneousBody"/>
        <w:spacing w:before="60"/>
        <w:ind w:left="1440"/>
        <w:rPr>
          <w:sz w:val="20"/>
        </w:rPr>
      </w:pPr>
      <w:r>
        <w:rPr>
          <w:sz w:val="20"/>
        </w:rPr>
        <w:t>Principal Registrar</w:t>
      </w:r>
    </w:p>
    <w:p w:rsidR="00425758" w:rsidRDefault="00425758">
      <w:pPr>
        <w:pStyle w:val="yMiscellaneousBody"/>
        <w:spacing w:before="0"/>
        <w:ind w:left="1440"/>
        <w:rPr>
          <w:sz w:val="20"/>
        </w:rPr>
      </w:pPr>
      <w:r>
        <w:rPr>
          <w:sz w:val="20"/>
        </w:rPr>
        <w:t>Supreme Court of Western Australia</w:t>
      </w:r>
    </w:p>
    <w:p w:rsidR="00425758" w:rsidRDefault="00425758">
      <w:pPr>
        <w:pStyle w:val="yMiscellaneousBody"/>
        <w:spacing w:before="0"/>
        <w:ind w:left="1440"/>
        <w:rPr>
          <w:sz w:val="20"/>
        </w:rPr>
      </w:pPr>
      <w:r>
        <w:rPr>
          <w:sz w:val="20"/>
        </w:rPr>
        <w:t>PERTH</w:t>
      </w:r>
    </w:p>
    <w:p w:rsidR="00425758" w:rsidRDefault="00425758">
      <w:pPr>
        <w:pStyle w:val="yMiscellaneousBody"/>
        <w:spacing w:before="0"/>
        <w:ind w:left="1440"/>
        <w:rPr>
          <w:sz w:val="20"/>
        </w:rPr>
      </w:pPr>
      <w:r>
        <w:rPr>
          <w:sz w:val="20"/>
        </w:rPr>
        <w:t>Western Australia 6000</w:t>
      </w:r>
    </w:p>
    <w:p w:rsidR="00425758" w:rsidRDefault="00425758">
      <w:pPr>
        <w:pStyle w:val="yMiscellaneousBody"/>
        <w:spacing w:before="120"/>
        <w:rPr>
          <w:sz w:val="20"/>
        </w:rPr>
      </w:pPr>
      <w:r>
        <w:rPr>
          <w:sz w:val="20"/>
        </w:rPr>
        <w:t>Dated:</w:t>
      </w:r>
    </w:p>
    <w:p w:rsidR="00425758" w:rsidRDefault="00425758">
      <w:pPr>
        <w:pStyle w:val="yMiscellaneousBody"/>
        <w:tabs>
          <w:tab w:val="right" w:pos="7080"/>
        </w:tabs>
        <w:spacing w:before="120"/>
        <w:rPr>
          <w:sz w:val="20"/>
        </w:rPr>
      </w:pPr>
      <w:r>
        <w:rPr>
          <w:sz w:val="20"/>
        </w:rPr>
        <w:t>[L.S.]</w:t>
      </w:r>
      <w:r>
        <w:rPr>
          <w:sz w:val="20"/>
        </w:rPr>
        <w:tab/>
        <w:t>Principal Registrar</w:t>
      </w:r>
    </w:p>
    <w:p w:rsidR="00425758" w:rsidRDefault="00425758">
      <w:pPr>
        <w:pStyle w:val="yFootnotesection"/>
      </w:pPr>
      <w:r>
        <w:tab/>
        <w:t>[Form 28 inserted: Gazette 8 Feb 1991 p. 585; amended: Gazette 28 Jun 2011 p. 2558.]</w:t>
      </w:r>
    </w:p>
    <w:p w:rsidR="00425758" w:rsidRDefault="00425758">
      <w:pPr>
        <w:pStyle w:val="yHeading5"/>
        <w:spacing w:before="480" w:after="120"/>
      </w:pPr>
      <w:bookmarkStart w:id="1365" w:name="_Toc75863930"/>
      <w:r>
        <w:rPr>
          <w:rStyle w:val="CharSClsNo"/>
        </w:rPr>
        <w:t>29</w:t>
      </w:r>
      <w:r>
        <w:t>.</w:t>
      </w:r>
      <w:r>
        <w:rPr>
          <w:b w:val="0"/>
        </w:rPr>
        <w:tab/>
      </w:r>
      <w:r>
        <w:t>Undertaking as to costs of letter of request (O. 38A r. 5)</w:t>
      </w:r>
      <w:bookmarkEnd w:id="1365"/>
    </w:p>
    <w:p w:rsidR="00425758" w:rsidRDefault="00425758">
      <w:pPr>
        <w:pStyle w:val="yMiscellaneousBody"/>
        <w:spacing w:before="120"/>
        <w:jc w:val="center"/>
        <w:rPr>
          <w:sz w:val="20"/>
        </w:rPr>
      </w:pPr>
      <w:r>
        <w:rPr>
          <w:sz w:val="20"/>
        </w:rPr>
        <w:t>(</w:t>
      </w:r>
      <w:r>
        <w:rPr>
          <w:i/>
          <w:sz w:val="20"/>
        </w:rPr>
        <w:t>Heading as in cause or matter</w:t>
      </w:r>
      <w:r>
        <w:rPr>
          <w:sz w:val="20"/>
        </w:rPr>
        <w:t>)</w:t>
      </w:r>
    </w:p>
    <w:p w:rsidR="00425758" w:rsidRDefault="00425758">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rsidR="00425758" w:rsidRDefault="00425758">
      <w:pPr>
        <w:pStyle w:val="yMiscellaneousBody"/>
        <w:spacing w:before="120"/>
        <w:rPr>
          <w:sz w:val="20"/>
        </w:rPr>
      </w:pPr>
      <w:r>
        <w:rPr>
          <w:sz w:val="20"/>
        </w:rPr>
        <w:t xml:space="preserve">                                                    , Plaintiff’s agent, of</w:t>
      </w:r>
    </w:p>
    <w:p w:rsidR="00425758" w:rsidRDefault="00425758">
      <w:pPr>
        <w:pStyle w:val="yMiscellaneousBody"/>
        <w:spacing w:before="120"/>
        <w:rPr>
          <w:sz w:val="20"/>
        </w:rPr>
      </w:pPr>
      <w:r>
        <w:rPr>
          <w:sz w:val="20"/>
        </w:rPr>
        <w:t xml:space="preserve">                                                    , Defendant’s agent, of</w:t>
      </w:r>
    </w:p>
    <w:p w:rsidR="00425758" w:rsidRDefault="00425758">
      <w:pPr>
        <w:pStyle w:val="yMiscellaneousBody"/>
        <w:spacing w:before="120"/>
        <w:rPr>
          <w:sz w:val="20"/>
        </w:rPr>
      </w:pPr>
      <w:r>
        <w:rPr>
          <w:sz w:val="20"/>
        </w:rPr>
        <w:t>Dated the                       day of                                     , 20     .</w:t>
      </w:r>
    </w:p>
    <w:p w:rsidR="00425758" w:rsidRDefault="00425758">
      <w:pPr>
        <w:pStyle w:val="yMiscellaneousBody"/>
        <w:spacing w:before="120"/>
        <w:ind w:left="3840"/>
        <w:rPr>
          <w:sz w:val="20"/>
        </w:rPr>
      </w:pPr>
      <w:r>
        <w:rPr>
          <w:sz w:val="20"/>
        </w:rPr>
        <w:t>Solicitor for</w:t>
      </w:r>
    </w:p>
    <w:p w:rsidR="00425758" w:rsidRDefault="00425758">
      <w:pPr>
        <w:pStyle w:val="yFootnotesection"/>
      </w:pPr>
      <w:r>
        <w:tab/>
        <w:t>[Form 29 amended: Gazette 19 Apr 2005 p. 1300; 28 Jun 2011 p. 2558.]</w:t>
      </w:r>
    </w:p>
    <w:p w:rsidR="00425758" w:rsidRDefault="00425758">
      <w:pPr>
        <w:pStyle w:val="yHeading5"/>
        <w:keepLines w:val="0"/>
        <w:pageBreakBefore/>
        <w:spacing w:before="0" w:after="120"/>
      </w:pPr>
      <w:bookmarkStart w:id="1366" w:name="_Toc75863931"/>
      <w:r>
        <w:rPr>
          <w:rStyle w:val="CharSClsNo"/>
        </w:rPr>
        <w:lastRenderedPageBreak/>
        <w:t>30</w:t>
      </w:r>
      <w:r>
        <w:t>.</w:t>
      </w:r>
      <w:r>
        <w:rPr>
          <w:b w:val="0"/>
        </w:rPr>
        <w:tab/>
      </w:r>
      <w:r>
        <w:rPr>
          <w:i/>
        </w:rPr>
        <w:t xml:space="preserve">Evidence Act 1906 </w:t>
      </w:r>
      <w:r>
        <w:t>s. 117, order under (O. 39 r. 3)</w:t>
      </w:r>
      <w:bookmarkEnd w:id="1366"/>
    </w:p>
    <w:p w:rsidR="00425758" w:rsidRDefault="00425758">
      <w:pPr>
        <w:pStyle w:val="yMiscellaneousBody"/>
        <w:spacing w:before="120"/>
        <w:jc w:val="center"/>
        <w:rPr>
          <w:b/>
          <w:bCs/>
          <w:sz w:val="20"/>
        </w:rPr>
      </w:pPr>
      <w:r>
        <w:rPr>
          <w:b/>
          <w:bCs/>
          <w:sz w:val="20"/>
        </w:rPr>
        <w:t>IN THE SUPREME COURT OF WESTERN AUSTRALIA</w:t>
      </w:r>
    </w:p>
    <w:p w:rsidR="00425758" w:rsidRDefault="00425758">
      <w:pPr>
        <w:pStyle w:val="yMiscellaneousBody"/>
        <w:spacing w:before="80"/>
        <w:jc w:val="right"/>
        <w:rPr>
          <w:sz w:val="20"/>
        </w:rPr>
      </w:pPr>
      <w:r>
        <w:rPr>
          <w:sz w:val="20"/>
        </w:rPr>
        <w:t>No .............. of 20 .......</w:t>
      </w:r>
    </w:p>
    <w:p w:rsidR="00425758" w:rsidRDefault="00425758">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rsidR="00425758" w:rsidRDefault="00425758">
      <w:pPr>
        <w:pStyle w:val="yMiscellaneousBody"/>
        <w:spacing w:before="80"/>
        <w:rPr>
          <w:sz w:val="20"/>
        </w:rPr>
      </w:pPr>
      <w:r>
        <w:rPr>
          <w:sz w:val="20"/>
        </w:rPr>
        <w:t>BETWEEN:</w:t>
      </w:r>
    </w:p>
    <w:p w:rsidR="00425758" w:rsidRDefault="00425758">
      <w:pPr>
        <w:pStyle w:val="yMiscellaneousBody"/>
        <w:spacing w:before="80"/>
        <w:rPr>
          <w:sz w:val="20"/>
        </w:rPr>
      </w:pPr>
      <w:r>
        <w:rPr>
          <w:sz w:val="20"/>
        </w:rPr>
        <w:t>AB</w:t>
      </w:r>
    </w:p>
    <w:p w:rsidR="00425758" w:rsidRDefault="00425758">
      <w:pPr>
        <w:pStyle w:val="yMiscellaneousBody"/>
        <w:spacing w:before="80"/>
        <w:jc w:val="right"/>
        <w:rPr>
          <w:sz w:val="20"/>
        </w:rPr>
      </w:pPr>
      <w:r>
        <w:rPr>
          <w:sz w:val="20"/>
        </w:rPr>
        <w:t>Plaintiff,</w:t>
      </w:r>
    </w:p>
    <w:p w:rsidR="00425758" w:rsidRDefault="00425758">
      <w:pPr>
        <w:pStyle w:val="yMiscellaneousBody"/>
        <w:spacing w:before="80"/>
        <w:rPr>
          <w:sz w:val="20"/>
        </w:rPr>
      </w:pPr>
      <w:r>
        <w:rPr>
          <w:sz w:val="20"/>
        </w:rPr>
        <w:noBreakHyphen/>
        <w:t>and</w:t>
      </w:r>
      <w:r>
        <w:rPr>
          <w:sz w:val="20"/>
        </w:rPr>
        <w:noBreakHyphen/>
      </w:r>
    </w:p>
    <w:p w:rsidR="00425758" w:rsidRDefault="00425758">
      <w:pPr>
        <w:pStyle w:val="yMiscellaneousBody"/>
        <w:spacing w:before="80"/>
        <w:rPr>
          <w:sz w:val="20"/>
        </w:rPr>
      </w:pPr>
      <w:r>
        <w:rPr>
          <w:sz w:val="20"/>
        </w:rPr>
        <w:t>CD</w:t>
      </w:r>
    </w:p>
    <w:p w:rsidR="00425758" w:rsidRDefault="00425758">
      <w:pPr>
        <w:pStyle w:val="yMiscellaneousBody"/>
        <w:spacing w:before="80"/>
        <w:jc w:val="right"/>
        <w:rPr>
          <w:sz w:val="20"/>
        </w:rPr>
      </w:pPr>
      <w:r>
        <w:rPr>
          <w:sz w:val="20"/>
        </w:rPr>
        <w:t>Defendant.</w:t>
      </w:r>
    </w:p>
    <w:p w:rsidR="00425758" w:rsidRDefault="00425758">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rsidR="00425758" w:rsidRDefault="00425758">
      <w:pPr>
        <w:pStyle w:val="yMiscellaneousBody"/>
        <w:spacing w:before="80"/>
        <w:rPr>
          <w:sz w:val="20"/>
        </w:rPr>
      </w:pPr>
      <w:r>
        <w:rPr>
          <w:sz w:val="20"/>
        </w:rPr>
        <w:t>[HERE SET OUT FORMALITIES REQUIRED BY PRACTICE DIRECTIONS]</w:t>
      </w:r>
    </w:p>
    <w:p w:rsidR="00425758" w:rsidRDefault="00425758">
      <w:pPr>
        <w:pStyle w:val="yMiscellaneousBody"/>
        <w:spacing w:before="80"/>
        <w:rPr>
          <w:sz w:val="20"/>
        </w:rPr>
      </w:pPr>
      <w:r>
        <w:rPr>
          <w:sz w:val="20"/>
        </w:rPr>
        <w:t>On the application of ................................................. and after reading the affidavit (if any) of ....................................... dated ............................... and the request of (requesting court), and hearing .........................................and being satisfied —</w:t>
      </w:r>
    </w:p>
    <w:p w:rsidR="00425758" w:rsidRDefault="00425758">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rsidR="00425758" w:rsidRDefault="00425758">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rsidR="00425758" w:rsidRDefault="00425758">
      <w:pPr>
        <w:pStyle w:val="yMiscellaneousBody"/>
        <w:spacing w:before="80"/>
        <w:rPr>
          <w:sz w:val="20"/>
        </w:rPr>
      </w:pPr>
      <w:r>
        <w:rPr>
          <w:sz w:val="20"/>
        </w:rPr>
        <w:t>IT IS ORDERED THAT —</w:t>
      </w:r>
    </w:p>
    <w:p w:rsidR="00425758" w:rsidRDefault="00425758">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rsidR="00425758" w:rsidRDefault="00425758">
      <w:pPr>
        <w:pStyle w:val="yMiscellaneousBody"/>
        <w:spacing w:before="80"/>
        <w:ind w:left="480" w:hanging="480"/>
        <w:rPr>
          <w:sz w:val="20"/>
        </w:rPr>
      </w:pPr>
      <w:r>
        <w:rPr>
          <w:sz w:val="20"/>
        </w:rPr>
        <w:t>2.</w:t>
      </w:r>
      <w:r>
        <w:rPr>
          <w:sz w:val="20"/>
        </w:rPr>
        <w:tab/>
        <w:t>(name of examiner or person who is to obtain the evidence) must —</w:t>
      </w:r>
    </w:p>
    <w:p w:rsidR="00425758" w:rsidRDefault="00425758">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rsidR="00425758" w:rsidRDefault="00425758">
      <w:pPr>
        <w:pStyle w:val="yMiscellaneousBody"/>
        <w:spacing w:before="80"/>
        <w:ind w:left="480" w:hanging="480"/>
        <w:rPr>
          <w:sz w:val="20"/>
        </w:rPr>
      </w:pPr>
      <w:r>
        <w:rPr>
          <w:sz w:val="20"/>
        </w:rPr>
        <w:t>3.</w:t>
      </w:r>
      <w:r>
        <w:rPr>
          <w:sz w:val="20"/>
        </w:rPr>
        <w:tab/>
        <w:t>(name of witness to be examined or person from whom evidence is to be obtained) must —</w:t>
      </w:r>
    </w:p>
    <w:p w:rsidR="00425758" w:rsidRDefault="00425758">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rsidR="00425758" w:rsidRDefault="00425758">
      <w:pPr>
        <w:pStyle w:val="yMiscellaneousBody"/>
        <w:tabs>
          <w:tab w:val="left" w:pos="5520"/>
        </w:tabs>
        <w:spacing w:before="120"/>
        <w:rPr>
          <w:sz w:val="20"/>
        </w:rPr>
      </w:pPr>
      <w:r>
        <w:rPr>
          <w:sz w:val="20"/>
        </w:rPr>
        <w:t>Dated:</w:t>
      </w:r>
      <w:r>
        <w:rPr>
          <w:sz w:val="20"/>
        </w:rPr>
        <w:tab/>
        <w:t>BY THE COURT</w:t>
      </w:r>
    </w:p>
    <w:p w:rsidR="00425758" w:rsidRDefault="00425758">
      <w:pPr>
        <w:pStyle w:val="yMiscellaneousBody"/>
        <w:tabs>
          <w:tab w:val="left" w:pos="5880"/>
        </w:tabs>
        <w:spacing w:before="0"/>
        <w:rPr>
          <w:sz w:val="20"/>
        </w:rPr>
      </w:pPr>
      <w:r>
        <w:rPr>
          <w:sz w:val="20"/>
        </w:rPr>
        <w:t>[L.S.]</w:t>
      </w:r>
      <w:r>
        <w:rPr>
          <w:sz w:val="20"/>
        </w:rPr>
        <w:tab/>
        <w:t>Registrar.</w:t>
      </w:r>
    </w:p>
    <w:p w:rsidR="00425758" w:rsidRDefault="00425758">
      <w:pPr>
        <w:pStyle w:val="yFootnotesection"/>
      </w:pPr>
      <w:r>
        <w:tab/>
        <w:t>[Form 30 inserted: Gazette 8 Feb 1991 p. 587</w:t>
      </w:r>
      <w:r>
        <w:noBreakHyphen/>
        <w:t>8; amended: Gazette 28 Jun 2011 p. 2558.]</w:t>
      </w:r>
    </w:p>
    <w:p w:rsidR="00425758" w:rsidRDefault="00425758">
      <w:pPr>
        <w:pStyle w:val="yHeading5"/>
      </w:pPr>
      <w:bookmarkStart w:id="1367" w:name="_Toc75863932"/>
      <w:r>
        <w:rPr>
          <w:rStyle w:val="CharSClsNo"/>
        </w:rPr>
        <w:lastRenderedPageBreak/>
        <w:t>31</w:t>
      </w:r>
      <w:r>
        <w:t>.</w:t>
      </w:r>
      <w:r>
        <w:rPr>
          <w:b w:val="0"/>
        </w:rPr>
        <w:tab/>
      </w:r>
      <w:r>
        <w:t>Certificate (O. 39 r. 5(2))</w:t>
      </w:r>
      <w:bookmarkEnd w:id="1367"/>
    </w:p>
    <w:p w:rsidR="00425758" w:rsidRDefault="00425758">
      <w:pPr>
        <w:pStyle w:val="yMiscellaneousBody"/>
        <w:spacing w:before="120"/>
        <w:rPr>
          <w:sz w:val="20"/>
        </w:rPr>
      </w:pPr>
      <w:r>
        <w:rPr>
          <w:sz w:val="20"/>
        </w:rPr>
        <w:t>I, ..................................................., Principal Registrar of the Supreme Court of Western Australia, hereby certify that the attached documents are —</w:t>
      </w:r>
    </w:p>
    <w:p w:rsidR="00425758" w:rsidRDefault="00425758">
      <w:pPr>
        <w:pStyle w:val="yMiscellaneousBody"/>
        <w:spacing w:before="120"/>
        <w:ind w:left="840" w:hanging="480"/>
        <w:rPr>
          <w:sz w:val="20"/>
        </w:rPr>
      </w:pPr>
      <w:r>
        <w:rPr>
          <w:sz w:val="20"/>
        </w:rPr>
        <w:t>(a)</w:t>
      </w:r>
      <w:r>
        <w:rPr>
          <w:sz w:val="20"/>
        </w:rPr>
        <w:tab/>
        <w:t>a request of (requesting court);</w:t>
      </w:r>
    </w:p>
    <w:p w:rsidR="00425758" w:rsidRDefault="00425758">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rsidR="00425758" w:rsidRDefault="00425758">
      <w:pPr>
        <w:pStyle w:val="yMiscellaneousBody"/>
        <w:spacing w:before="120"/>
        <w:ind w:left="840" w:hanging="480"/>
        <w:rPr>
          <w:sz w:val="20"/>
        </w:rPr>
      </w:pPr>
      <w:r>
        <w:rPr>
          <w:sz w:val="20"/>
        </w:rPr>
        <w:t>(c)</w:t>
      </w:r>
      <w:r>
        <w:rPr>
          <w:sz w:val="20"/>
        </w:rPr>
        <w:tab/>
        <w:t>the deposition (or as the case may be) taken by the examiner pursuant to the order;</w:t>
      </w:r>
    </w:p>
    <w:p w:rsidR="00425758" w:rsidRDefault="00425758">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rsidR="00425758" w:rsidRDefault="00425758">
      <w:pPr>
        <w:pStyle w:val="yMiscellaneousBody"/>
        <w:spacing w:before="120"/>
        <w:ind w:left="840" w:hanging="480"/>
        <w:rPr>
          <w:sz w:val="20"/>
        </w:rPr>
      </w:pPr>
      <w:r>
        <w:rPr>
          <w:sz w:val="20"/>
        </w:rPr>
        <w:t>(e)</w:t>
      </w:r>
      <w:r>
        <w:rPr>
          <w:sz w:val="20"/>
        </w:rPr>
        <w:tab/>
        <w:t>(if applicable) this Court’s request that the witness’s claim be determined.</w:t>
      </w:r>
    </w:p>
    <w:p w:rsidR="00425758" w:rsidRDefault="00425758">
      <w:pPr>
        <w:pStyle w:val="yMiscellaneousBody"/>
        <w:spacing w:before="120"/>
        <w:rPr>
          <w:sz w:val="20"/>
        </w:rPr>
      </w:pPr>
      <w:r>
        <w:rPr>
          <w:sz w:val="20"/>
        </w:rPr>
        <w:t>Dated:</w:t>
      </w:r>
    </w:p>
    <w:p w:rsidR="00425758" w:rsidRDefault="00425758">
      <w:pPr>
        <w:pStyle w:val="yMiscellaneousBody"/>
        <w:tabs>
          <w:tab w:val="left" w:pos="5400"/>
        </w:tabs>
        <w:spacing w:before="120"/>
        <w:rPr>
          <w:sz w:val="20"/>
        </w:rPr>
      </w:pPr>
      <w:r>
        <w:rPr>
          <w:sz w:val="20"/>
        </w:rPr>
        <w:t xml:space="preserve">[L.S.] </w:t>
      </w:r>
      <w:r>
        <w:rPr>
          <w:sz w:val="20"/>
        </w:rPr>
        <w:tab/>
        <w:t>Principal Registrar.</w:t>
      </w:r>
    </w:p>
    <w:p w:rsidR="00425758" w:rsidRDefault="00425758">
      <w:pPr>
        <w:pStyle w:val="yFootnotesection"/>
      </w:pPr>
      <w:r>
        <w:tab/>
        <w:t>[Form 31 inserted: Gazette 8 Feb 1991 p. 588; amended: Gazette 28 Jun 2011 p. 2558.]</w:t>
      </w:r>
    </w:p>
    <w:p w:rsidR="00425758" w:rsidRDefault="00425758">
      <w:pPr>
        <w:pStyle w:val="yHeading5"/>
        <w:spacing w:before="480" w:after="120"/>
      </w:pPr>
      <w:bookmarkStart w:id="1368" w:name="_Toc75863933"/>
      <w:r>
        <w:rPr>
          <w:rStyle w:val="CharSClsNo"/>
        </w:rPr>
        <w:t>31A</w:t>
      </w:r>
      <w:r>
        <w:t>.</w:t>
      </w:r>
      <w:r>
        <w:rPr>
          <w:b w:val="0"/>
        </w:rPr>
        <w:tab/>
      </w:r>
      <w:r>
        <w:t>Application for subpoena to be set aside (O. 39A r. 4(1))</w:t>
      </w:r>
      <w:bookmarkEnd w:id="1368"/>
    </w:p>
    <w:p w:rsidR="00425758" w:rsidRDefault="00425758">
      <w:pPr>
        <w:pStyle w:val="yMiscellaneousBody"/>
        <w:spacing w:before="120"/>
        <w:jc w:val="center"/>
        <w:rPr>
          <w:sz w:val="20"/>
        </w:rPr>
      </w:pPr>
      <w:r>
        <w:rPr>
          <w:sz w:val="20"/>
        </w:rPr>
        <w:t>(</w:t>
      </w:r>
      <w:r>
        <w:rPr>
          <w:i/>
          <w:sz w:val="20"/>
        </w:rPr>
        <w:t>Heading as in order for leave to issue subpoena</w:t>
      </w:r>
      <w:r>
        <w:rPr>
          <w:sz w:val="20"/>
        </w:rPr>
        <w:t>)</w:t>
      </w:r>
    </w:p>
    <w:p w:rsidR="00425758" w:rsidRDefault="00425758">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rsidR="00425758" w:rsidRDefault="00425758">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rsidR="00425758" w:rsidRDefault="00425758">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rsidR="00425758" w:rsidRDefault="00425758">
      <w:pPr>
        <w:pStyle w:val="yMiscellaneousBody"/>
        <w:spacing w:before="120"/>
        <w:rPr>
          <w:sz w:val="20"/>
        </w:rPr>
      </w:pPr>
      <w:r>
        <w:rPr>
          <w:sz w:val="20"/>
        </w:rPr>
        <w:t>Dated:</w:t>
      </w:r>
    </w:p>
    <w:p w:rsidR="00425758" w:rsidRDefault="00425758">
      <w:pPr>
        <w:pStyle w:val="yMiscellaneousBody"/>
        <w:spacing w:before="120"/>
        <w:jc w:val="right"/>
        <w:rPr>
          <w:i/>
          <w:sz w:val="20"/>
        </w:rPr>
      </w:pPr>
      <w:r>
        <w:rPr>
          <w:i/>
          <w:sz w:val="20"/>
        </w:rPr>
        <w:t>[Signature of applicant</w:t>
      </w:r>
    </w:p>
    <w:p w:rsidR="00425758" w:rsidRDefault="00425758">
      <w:pPr>
        <w:pStyle w:val="yMiscellaneousBody"/>
        <w:spacing w:before="0"/>
        <w:jc w:val="right"/>
        <w:rPr>
          <w:i/>
          <w:sz w:val="20"/>
        </w:rPr>
      </w:pPr>
      <w:r>
        <w:rPr>
          <w:i/>
          <w:sz w:val="20"/>
        </w:rPr>
        <w:t>or applicant’s solicitor]</w:t>
      </w:r>
    </w:p>
    <w:p w:rsidR="00425758" w:rsidRDefault="00425758">
      <w:pPr>
        <w:pStyle w:val="yMiscellaneousBody"/>
        <w:spacing w:before="0"/>
        <w:jc w:val="right"/>
        <w:rPr>
          <w:i/>
          <w:sz w:val="20"/>
        </w:rPr>
      </w:pPr>
    </w:p>
    <w:p w:rsidR="00425758" w:rsidRDefault="00425758">
      <w:pPr>
        <w:pStyle w:val="yMiscellaneousBody"/>
        <w:rPr>
          <w:i/>
          <w:sz w:val="20"/>
        </w:rPr>
      </w:pPr>
      <w:r>
        <w:rPr>
          <w:i/>
          <w:sz w:val="20"/>
        </w:rPr>
        <w:t>[Applicant’s address for service and telephone number.]*[Delete if not required]</w:t>
      </w:r>
    </w:p>
    <w:p w:rsidR="00425758" w:rsidRDefault="00425758">
      <w:pPr>
        <w:pStyle w:val="yFootnotesection"/>
      </w:pPr>
      <w:r>
        <w:tab/>
        <w:t>[Form 31A inserted: Gazette 16 Jul 1999 p. 3198</w:t>
      </w:r>
      <w:r>
        <w:noBreakHyphen/>
        <w:t>9; amended: Gazette 28 Jun 2011 p. 2558; 3 Aug 2012 p. 3754.]</w:t>
      </w:r>
    </w:p>
    <w:p w:rsidR="00425758" w:rsidRDefault="00425758">
      <w:pPr>
        <w:pStyle w:val="yHeading5"/>
      </w:pPr>
      <w:bookmarkStart w:id="1369" w:name="_Toc75863934"/>
      <w:r>
        <w:rPr>
          <w:rStyle w:val="CharSClsNo"/>
        </w:rPr>
        <w:lastRenderedPageBreak/>
        <w:t>31B</w:t>
      </w:r>
      <w:r>
        <w:rPr>
          <w:szCs w:val="22"/>
        </w:rPr>
        <w:t>.</w:t>
      </w:r>
      <w:r>
        <w:rPr>
          <w:szCs w:val="22"/>
        </w:rPr>
        <w:tab/>
        <w:t>Request for application to be determined with hearing (O. 39A r. 4(8))</w:t>
      </w:r>
      <w:bookmarkEnd w:id="1369"/>
    </w:p>
    <w:p w:rsidR="00425758" w:rsidRDefault="00425758">
      <w:pPr>
        <w:pStyle w:val="yMiscellaneousBody"/>
        <w:jc w:val="center"/>
      </w:pPr>
      <w:r>
        <w:rPr>
          <w:iCs/>
          <w:sz w:val="20"/>
        </w:rPr>
        <w:t>(</w:t>
      </w:r>
      <w:r>
        <w:rPr>
          <w:i/>
          <w:iCs/>
          <w:sz w:val="20"/>
        </w:rPr>
        <w:t>Heading as in order for leave to issue subpoena</w:t>
      </w:r>
      <w:r>
        <w:rPr>
          <w:iCs/>
          <w:sz w:val="20"/>
        </w:rPr>
        <w:t>)</w:t>
      </w:r>
    </w:p>
    <w:p w:rsidR="00425758" w:rsidRDefault="00425758">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36(5), the [</w:t>
      </w:r>
      <w:r>
        <w:rPr>
          <w:i/>
          <w:sz w:val="20"/>
        </w:rPr>
        <w:t>identify person</w:t>
      </w:r>
      <w:r>
        <w:rPr>
          <w:sz w:val="20"/>
        </w:rPr>
        <w:t>] requests that the application to set aside the subpoena [</w:t>
      </w:r>
      <w:r>
        <w:rPr>
          <w:i/>
          <w:sz w:val="20"/>
        </w:rPr>
        <w:t>identify subpoena</w:t>
      </w:r>
      <w:r>
        <w:rPr>
          <w:sz w:val="20"/>
        </w:rPr>
        <w:t>] be determined with a hearing.</w:t>
      </w:r>
    </w:p>
    <w:p w:rsidR="00425758" w:rsidRDefault="00425758">
      <w:pPr>
        <w:pStyle w:val="yMiscellaneousBody"/>
        <w:spacing w:before="120"/>
        <w:rPr>
          <w:sz w:val="20"/>
        </w:rPr>
      </w:pPr>
      <w:r>
        <w:rPr>
          <w:sz w:val="20"/>
        </w:rPr>
        <w:t>Dated:</w:t>
      </w:r>
    </w:p>
    <w:p w:rsidR="00425758" w:rsidRDefault="00425758">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rsidR="00425758" w:rsidRDefault="00425758">
      <w:pPr>
        <w:pStyle w:val="yFootnotesection"/>
      </w:pPr>
      <w:r>
        <w:tab/>
        <w:t>[Form 31B inserted: Gazette 3 Aug 2012 p. 3754.]</w:t>
      </w:r>
    </w:p>
    <w:p w:rsidR="00425758" w:rsidRDefault="00425758">
      <w:pPr>
        <w:pStyle w:val="yHeading5"/>
        <w:spacing w:before="360"/>
      </w:pPr>
      <w:bookmarkStart w:id="1370" w:name="_Toc75863935"/>
      <w:r>
        <w:rPr>
          <w:rStyle w:val="CharSClsNo"/>
        </w:rPr>
        <w:t>31C</w:t>
      </w:r>
      <w:r>
        <w:t>.</w:t>
      </w:r>
      <w:r>
        <w:tab/>
        <w:t>Request to appear remotely in hearing to set aside subpoena (O. 39A r. 4(9))</w:t>
      </w:r>
      <w:bookmarkEnd w:id="1370"/>
    </w:p>
    <w:p w:rsidR="00425758" w:rsidRDefault="00425758">
      <w:pPr>
        <w:pStyle w:val="yMiscellaneousBody"/>
        <w:jc w:val="center"/>
      </w:pPr>
      <w:r>
        <w:rPr>
          <w:sz w:val="20"/>
        </w:rPr>
        <w:t>(</w:t>
      </w:r>
      <w:r>
        <w:rPr>
          <w:i/>
          <w:sz w:val="20"/>
        </w:rPr>
        <w:t>Heading as in order for leave to issue subpoena</w:t>
      </w:r>
      <w:r>
        <w:rPr>
          <w:sz w:val="20"/>
        </w:rPr>
        <w:t>)</w:t>
      </w:r>
    </w:p>
    <w:p w:rsidR="00425758" w:rsidRDefault="00425758">
      <w:pPr>
        <w:pStyle w:val="yMiscellaneousBody"/>
        <w:spacing w:before="120"/>
        <w:ind w:left="720" w:hanging="72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36(6)(b), the [</w:t>
      </w:r>
      <w:r>
        <w:rPr>
          <w:i/>
          <w:sz w:val="20"/>
        </w:rPr>
        <w:t>identify person</w:t>
      </w:r>
      <w:r>
        <w:rPr>
          <w:sz w:val="20"/>
        </w:rPr>
        <w:t>] requests to appear remotely in the hearing of the application to set aside the subpoena [</w:t>
      </w:r>
      <w:r>
        <w:rPr>
          <w:i/>
          <w:sz w:val="20"/>
        </w:rPr>
        <w:t>identify subpoena</w:t>
      </w:r>
      <w:r>
        <w:rPr>
          <w:sz w:val="20"/>
        </w:rPr>
        <w:t>].</w:t>
      </w:r>
    </w:p>
    <w:p w:rsidR="00425758" w:rsidRDefault="00425758">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r>
        <w:rPr>
          <w:i/>
          <w:sz w:val="20"/>
        </w:rPr>
        <w:t>Trans</w:t>
      </w:r>
      <w:r>
        <w:rPr>
          <w:i/>
          <w:sz w:val="20"/>
        </w:rPr>
        <w:noBreakHyphen/>
        <w:t>Tasman Proceedings Act 2010</w:t>
      </w:r>
      <w:r>
        <w:rPr>
          <w:sz w:val="20"/>
        </w:rPr>
        <w:t xml:space="preserve"> (Commonwealth) Part 5 Division 2.</w:t>
      </w:r>
    </w:p>
    <w:p w:rsidR="00425758" w:rsidRDefault="00425758">
      <w:pPr>
        <w:pStyle w:val="yMiscellaneousBody"/>
        <w:spacing w:before="120"/>
        <w:ind w:left="720" w:hanging="720"/>
        <w:rPr>
          <w:sz w:val="20"/>
        </w:rPr>
      </w:pPr>
      <w:r>
        <w:rPr>
          <w:sz w:val="20"/>
        </w:rPr>
        <w:t>3.</w:t>
      </w:r>
      <w:r>
        <w:rPr>
          <w:sz w:val="20"/>
        </w:rPr>
        <w:tab/>
        <w:t>A remote appearance medium is, or can reasonably be made, available for the hearing.</w:t>
      </w:r>
    </w:p>
    <w:p w:rsidR="00425758" w:rsidRDefault="00425758">
      <w:pPr>
        <w:pStyle w:val="yMiscellaneousBody"/>
        <w:spacing w:before="120"/>
        <w:rPr>
          <w:sz w:val="20"/>
        </w:rPr>
      </w:pPr>
      <w:r>
        <w:rPr>
          <w:sz w:val="20"/>
        </w:rPr>
        <w:t>4.</w:t>
      </w:r>
      <w:r>
        <w:rPr>
          <w:sz w:val="20"/>
        </w:rPr>
        <w:tab/>
        <w:t>The remote appearance can be made from [</w:t>
      </w:r>
      <w:r>
        <w:rPr>
          <w:i/>
          <w:sz w:val="20"/>
        </w:rPr>
        <w:t>place in New Zealand</w:t>
      </w:r>
      <w:r>
        <w:rPr>
          <w:sz w:val="20"/>
        </w:rPr>
        <w:t>].</w:t>
      </w:r>
    </w:p>
    <w:p w:rsidR="00425758" w:rsidRDefault="00425758">
      <w:pPr>
        <w:pStyle w:val="yMiscellaneousBody"/>
        <w:spacing w:before="120"/>
        <w:ind w:left="720" w:hanging="720"/>
        <w:rPr>
          <w:sz w:val="20"/>
        </w:rPr>
      </w:pPr>
      <w:r>
        <w:rPr>
          <w:sz w:val="20"/>
        </w:rPr>
        <w:t>5.</w:t>
      </w:r>
      <w:r>
        <w:rPr>
          <w:sz w:val="20"/>
        </w:rPr>
        <w:tab/>
        <w:t>The [audio link/audiovisual link*] facilities are available at [</w:t>
      </w:r>
      <w:r>
        <w:rPr>
          <w:i/>
          <w:sz w:val="20"/>
        </w:rPr>
        <w:t>courtroom or other place in New Zealand where remote appearance is to be made</w:t>
      </w:r>
      <w:r>
        <w:rPr>
          <w:sz w:val="20"/>
        </w:rPr>
        <w:t>].</w:t>
      </w:r>
    </w:p>
    <w:p w:rsidR="00425758" w:rsidRDefault="00425758">
      <w:pPr>
        <w:pStyle w:val="yMiscellaneousBody"/>
        <w:spacing w:before="120"/>
        <w:ind w:left="720" w:hanging="720"/>
        <w:rPr>
          <w:sz w:val="20"/>
        </w:rPr>
      </w:pPr>
      <w:r>
        <w:rPr>
          <w:sz w:val="20"/>
        </w:rPr>
        <w:t>6.</w:t>
      </w:r>
      <w:r>
        <w:rPr>
          <w:sz w:val="20"/>
        </w:rPr>
        <w:tab/>
        <w:t>I estimate the remote appearance will take [</w:t>
      </w:r>
      <w:r>
        <w:rPr>
          <w:i/>
          <w:sz w:val="20"/>
        </w:rPr>
        <w:t>amount of time for remote appearance</w:t>
      </w:r>
      <w:r>
        <w:rPr>
          <w:sz w:val="20"/>
        </w:rPr>
        <w:t>].</w:t>
      </w:r>
    </w:p>
    <w:p w:rsidR="00425758" w:rsidRDefault="00425758">
      <w:pPr>
        <w:pStyle w:val="yMiscellaneousBody"/>
        <w:spacing w:before="120"/>
        <w:rPr>
          <w:sz w:val="20"/>
        </w:rPr>
      </w:pPr>
      <w:r>
        <w:rPr>
          <w:sz w:val="20"/>
        </w:rPr>
        <w:t>*[</w:t>
      </w:r>
      <w:r>
        <w:rPr>
          <w:i/>
          <w:sz w:val="20"/>
        </w:rPr>
        <w:t>Select one</w:t>
      </w:r>
      <w:r>
        <w:rPr>
          <w:sz w:val="20"/>
        </w:rPr>
        <w:t>]</w:t>
      </w:r>
    </w:p>
    <w:p w:rsidR="00425758" w:rsidRDefault="00425758">
      <w:pPr>
        <w:pStyle w:val="yMiscellaneousBody"/>
        <w:spacing w:before="120"/>
        <w:rPr>
          <w:sz w:val="20"/>
        </w:rPr>
      </w:pPr>
      <w:r>
        <w:rPr>
          <w:sz w:val="20"/>
        </w:rPr>
        <w:t>Dated:</w:t>
      </w:r>
    </w:p>
    <w:p w:rsidR="00425758" w:rsidRDefault="00425758">
      <w:pPr>
        <w:pStyle w:val="yMiscellaneousBody"/>
        <w:spacing w:before="80"/>
        <w:jc w:val="right"/>
        <w:rPr>
          <w:sz w:val="20"/>
        </w:rPr>
      </w:pPr>
      <w:r>
        <w:t>[</w:t>
      </w:r>
      <w:r>
        <w:rPr>
          <w:i/>
          <w:sz w:val="20"/>
        </w:rPr>
        <w:t>Signature of applicant</w:t>
      </w:r>
      <w:r>
        <w:rPr>
          <w:i/>
          <w:sz w:val="20"/>
        </w:rPr>
        <w:br/>
        <w:t>or applicant’s solicitor</w:t>
      </w:r>
      <w:r>
        <w:rPr>
          <w:sz w:val="20"/>
        </w:rPr>
        <w:t>]</w:t>
      </w:r>
    </w:p>
    <w:p w:rsidR="00425758" w:rsidRDefault="00425758">
      <w:pPr>
        <w:pStyle w:val="yFootnotesection"/>
      </w:pPr>
      <w:r>
        <w:tab/>
        <w:t>[Form 31C inserted: Gazette 3 Aug 2012 p. 3755.]</w:t>
      </w:r>
    </w:p>
    <w:p w:rsidR="00425758" w:rsidRDefault="00425758">
      <w:pPr>
        <w:pStyle w:val="yHeading5"/>
      </w:pPr>
      <w:bookmarkStart w:id="1371" w:name="_Toc75863936"/>
      <w:r>
        <w:rPr>
          <w:rStyle w:val="CharSClsNo"/>
        </w:rPr>
        <w:lastRenderedPageBreak/>
        <w:t>31D</w:t>
      </w:r>
      <w:r>
        <w:t>.</w:t>
      </w:r>
      <w:r>
        <w:tab/>
        <w:t>Certificate of non</w:t>
      </w:r>
      <w:r>
        <w:noBreakHyphen/>
        <w:t>compliance with subpoena (O. 39A r. 5)</w:t>
      </w:r>
      <w:bookmarkEnd w:id="1371"/>
    </w:p>
    <w:p w:rsidR="00425758" w:rsidRDefault="00425758">
      <w:pPr>
        <w:pStyle w:val="yMiscellaneousBody"/>
      </w:pPr>
      <w:r>
        <w:rPr>
          <w:sz w:val="20"/>
        </w:rPr>
        <w:t>To:</w:t>
      </w:r>
      <w:r>
        <w:rPr>
          <w:sz w:val="20"/>
        </w:rPr>
        <w:tab/>
        <w:t>The High Court of New Zealand</w:t>
      </w:r>
    </w:p>
    <w:p w:rsidR="00425758" w:rsidRDefault="00425758">
      <w:pPr>
        <w:pStyle w:val="yMiscellaneousBody"/>
        <w:rPr>
          <w:sz w:val="20"/>
        </w:rPr>
      </w:pPr>
      <w:r>
        <w:tab/>
      </w:r>
      <w:r>
        <w:rPr>
          <w:sz w:val="20"/>
        </w:rPr>
        <w:t>[</w:t>
      </w:r>
      <w:r>
        <w:rPr>
          <w:i/>
          <w:sz w:val="20"/>
        </w:rPr>
        <w:t>Address</w:t>
      </w:r>
      <w:r>
        <w:rPr>
          <w:sz w:val="20"/>
        </w:rPr>
        <w:t>]</w:t>
      </w:r>
    </w:p>
    <w:p w:rsidR="00425758" w:rsidRDefault="00425758">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38, the [</w:t>
      </w:r>
      <w:r>
        <w:rPr>
          <w:i/>
          <w:sz w:val="20"/>
        </w:rPr>
        <w:t>issuing</w:t>
      </w:r>
      <w:r>
        <w:rPr>
          <w:sz w:val="20"/>
        </w:rPr>
        <w:t xml:space="preserve"> </w:t>
      </w:r>
      <w:r>
        <w:rPr>
          <w:i/>
          <w:sz w:val="20"/>
        </w:rPr>
        <w:t>Australian court</w:t>
      </w:r>
      <w:r>
        <w:rPr>
          <w:sz w:val="20"/>
        </w:rPr>
        <w:t xml:space="preserve">] certifies as follows — </w:t>
      </w:r>
    </w:p>
    <w:p w:rsidR="00425758" w:rsidRDefault="00425758">
      <w:pPr>
        <w:pStyle w:val="yMiscellaneousBody"/>
        <w:ind w:left="720" w:hanging="720"/>
        <w:rPr>
          <w:sz w:val="20"/>
        </w:rPr>
      </w:pPr>
      <w:r>
        <w:rPr>
          <w:sz w:val="20"/>
        </w:rPr>
        <w:t>1.</w:t>
      </w:r>
      <w:r>
        <w:rPr>
          <w:sz w:val="20"/>
        </w:rPr>
        <w:tab/>
        <w:t>On [</w:t>
      </w:r>
      <w:r>
        <w:rPr>
          <w:i/>
          <w:sz w:val="20"/>
        </w:rPr>
        <w:t>date</w:t>
      </w:r>
      <w:r>
        <w:rPr>
          <w:sz w:val="20"/>
        </w:rPr>
        <w:t xml:space="preserve">] under the </w:t>
      </w:r>
      <w:r>
        <w:rPr>
          <w:i/>
          <w:sz w:val="20"/>
        </w:rPr>
        <w:t>Trans</w:t>
      </w:r>
      <w:r>
        <w:rPr>
          <w:i/>
          <w:sz w:val="20"/>
        </w:rPr>
        <w:noBreakHyphen/>
        <w:t>Tasman Proceedings Act 2010</w:t>
      </w:r>
      <w:r>
        <w:rPr>
          <w:sz w:val="20"/>
        </w:rPr>
        <w:t xml:space="preserve"> (Commonwealth) section 31, the [</w:t>
      </w:r>
      <w:r>
        <w:rPr>
          <w:i/>
          <w:sz w:val="20"/>
        </w:rPr>
        <w:t>issuing</w:t>
      </w:r>
      <w:r>
        <w:rPr>
          <w:sz w:val="20"/>
        </w:rPr>
        <w:t xml:space="preserve"> </w:t>
      </w:r>
      <w:r>
        <w:rPr>
          <w:i/>
          <w:sz w:val="20"/>
        </w:rPr>
        <w:t>Australian court</w:t>
      </w:r>
      <w:r>
        <w:rPr>
          <w:sz w:val="20"/>
        </w:rPr>
        <w:t>] gave [</w:t>
      </w:r>
      <w:r>
        <w:rPr>
          <w:i/>
          <w:sz w:val="20"/>
        </w:rPr>
        <w:t>identify person</w:t>
      </w:r>
      <w:r>
        <w:rPr>
          <w:sz w:val="20"/>
        </w:rPr>
        <w:t>] leave to serve a subpoena on [</w:t>
      </w:r>
      <w:r>
        <w:rPr>
          <w:i/>
          <w:sz w:val="20"/>
        </w:rPr>
        <w:t>identify person</w:t>
      </w:r>
      <w:r>
        <w:rPr>
          <w:sz w:val="20"/>
        </w:rPr>
        <w:t>] in New Zealand.  Copies of the subpoena and the order giving leave are attached.</w:t>
      </w:r>
    </w:p>
    <w:p w:rsidR="00425758" w:rsidRDefault="00425758">
      <w:pPr>
        <w:pStyle w:val="yMiscellaneousBody"/>
        <w:rPr>
          <w:sz w:val="20"/>
        </w:rPr>
      </w:pPr>
      <w:r>
        <w:rPr>
          <w:sz w:val="20"/>
        </w:rPr>
        <w:t>2.</w:t>
      </w:r>
      <w:r>
        <w:rPr>
          <w:sz w:val="20"/>
        </w:rPr>
        <w:tab/>
        <w:t>On [</w:t>
      </w:r>
      <w:r>
        <w:rPr>
          <w:i/>
          <w:sz w:val="20"/>
        </w:rPr>
        <w:t>date</w:t>
      </w:r>
      <w:r>
        <w:rPr>
          <w:sz w:val="20"/>
        </w:rPr>
        <w:t>] the subpoena was served on [</w:t>
      </w:r>
      <w:r>
        <w:rPr>
          <w:i/>
          <w:sz w:val="20"/>
        </w:rPr>
        <w:t>identify person</w:t>
      </w:r>
      <w:r>
        <w:rPr>
          <w:sz w:val="20"/>
        </w:rPr>
        <w:t>].</w:t>
      </w:r>
    </w:p>
    <w:p w:rsidR="00425758" w:rsidRDefault="00425758">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r>
        <w:rPr>
          <w:i/>
          <w:sz w:val="20"/>
        </w:rPr>
        <w:t>insert date</w:t>
      </w:r>
      <w:r>
        <w:rPr>
          <w:sz w:val="20"/>
        </w:rPr>
        <w:t>].  A copy of this order is attached to this certificate.</w:t>
      </w:r>
    </w:p>
    <w:p w:rsidR="00425758" w:rsidRDefault="00425758">
      <w:pPr>
        <w:pStyle w:val="yMiscellaneousBody"/>
        <w:rPr>
          <w:sz w:val="20"/>
        </w:rPr>
      </w:pPr>
      <w:r>
        <w:rPr>
          <w:sz w:val="20"/>
        </w:rPr>
        <w:t>4.</w:t>
      </w:r>
      <w:r>
        <w:rPr>
          <w:sz w:val="20"/>
        </w:rPr>
        <w:tab/>
        <w:t>On [</w:t>
      </w:r>
      <w:r>
        <w:rPr>
          <w:i/>
          <w:sz w:val="20"/>
        </w:rPr>
        <w:t>date</w:t>
      </w:r>
      <w:r>
        <w:rPr>
          <w:sz w:val="20"/>
        </w:rPr>
        <w:t>] [</w:t>
      </w:r>
      <w:r>
        <w:rPr>
          <w:i/>
          <w:sz w:val="20"/>
        </w:rPr>
        <w:t>identify person</w:t>
      </w:r>
      <w:r>
        <w:rPr>
          <w:sz w:val="20"/>
        </w:rPr>
        <w:t>] failed to comply with the subpoena.</w:t>
      </w:r>
    </w:p>
    <w:p w:rsidR="00425758" w:rsidRDefault="00425758">
      <w:pPr>
        <w:pStyle w:val="yMiscellaneousBody"/>
        <w:rPr>
          <w:sz w:val="20"/>
        </w:rPr>
      </w:pPr>
      <w:r>
        <w:rPr>
          <w:sz w:val="20"/>
        </w:rPr>
        <w:t>*[</w:t>
      </w:r>
      <w:r>
        <w:rPr>
          <w:i/>
          <w:sz w:val="20"/>
        </w:rPr>
        <w:t>Delete the inapplicable</w:t>
      </w:r>
      <w:r>
        <w:rPr>
          <w:sz w:val="20"/>
        </w:rPr>
        <w:t>]</w:t>
      </w:r>
    </w:p>
    <w:p w:rsidR="00425758" w:rsidRDefault="00425758">
      <w:pPr>
        <w:pStyle w:val="yMiscellaneousBody"/>
        <w:rPr>
          <w:sz w:val="20"/>
        </w:rPr>
      </w:pPr>
      <w:r>
        <w:rPr>
          <w:sz w:val="20"/>
        </w:rPr>
        <w:t>Dated:</w:t>
      </w:r>
    </w:p>
    <w:p w:rsidR="00425758" w:rsidRDefault="00425758">
      <w:pPr>
        <w:pStyle w:val="yMiscellaneousBody"/>
        <w:spacing w:before="120"/>
        <w:jc w:val="right"/>
        <w:rPr>
          <w:sz w:val="20"/>
        </w:rPr>
      </w:pPr>
      <w:r>
        <w:rPr>
          <w:sz w:val="20"/>
        </w:rPr>
        <w:t>BY THE COURT</w:t>
      </w:r>
    </w:p>
    <w:p w:rsidR="00425758" w:rsidRDefault="00425758">
      <w:pPr>
        <w:pStyle w:val="yMiscellaneousBody"/>
        <w:spacing w:before="0"/>
        <w:jc w:val="right"/>
        <w:rPr>
          <w:sz w:val="20"/>
        </w:rPr>
      </w:pPr>
      <w:r>
        <w:rPr>
          <w:sz w:val="20"/>
        </w:rPr>
        <w:t>[</w:t>
      </w:r>
      <w:r>
        <w:rPr>
          <w:i/>
          <w:sz w:val="20"/>
        </w:rPr>
        <w:t>Signature of appropriate officer</w:t>
      </w:r>
      <w:r>
        <w:rPr>
          <w:sz w:val="20"/>
        </w:rPr>
        <w:t>]</w:t>
      </w:r>
    </w:p>
    <w:p w:rsidR="00425758" w:rsidRDefault="00425758">
      <w:pPr>
        <w:pStyle w:val="yMiscellaneousBody"/>
        <w:ind w:left="567"/>
        <w:rPr>
          <w:i/>
          <w:sz w:val="20"/>
        </w:rPr>
      </w:pPr>
      <w:r>
        <w:rPr>
          <w:i/>
          <w:sz w:val="20"/>
        </w:rPr>
        <w:t>Note: The seal of the court is to be affixed.</w:t>
      </w:r>
    </w:p>
    <w:p w:rsidR="00425758" w:rsidRDefault="00425758">
      <w:pPr>
        <w:pStyle w:val="yFootnotesection"/>
      </w:pPr>
      <w:r>
        <w:tab/>
        <w:t>[Form 31D inserted: Gazette 3 Aug 2012 p. 3755</w:t>
      </w:r>
      <w:r>
        <w:noBreakHyphen/>
        <w:t>6.]</w:t>
      </w:r>
    </w:p>
    <w:p w:rsidR="00425758" w:rsidRDefault="00425758">
      <w:pPr>
        <w:pStyle w:val="yHeading5"/>
      </w:pPr>
      <w:bookmarkStart w:id="1372" w:name="_Toc75863937"/>
      <w:r>
        <w:rPr>
          <w:rStyle w:val="CharSClsNo"/>
        </w:rPr>
        <w:t>32</w:t>
      </w:r>
      <w:r>
        <w:t>.</w:t>
      </w:r>
      <w:r>
        <w:tab/>
        <w:t>Default judgment for liquidated demand (O. 13 r. 2; O. 42 r. 1)</w:t>
      </w:r>
      <w:bookmarkEnd w:id="1372"/>
    </w:p>
    <w:tbl>
      <w:tblPr>
        <w:tblStyle w:val="TableGrid"/>
        <w:tblW w:w="0" w:type="auto"/>
        <w:tblInd w:w="108" w:type="dxa"/>
        <w:tblLook w:val="04A0" w:firstRow="1" w:lastRow="0" w:firstColumn="1" w:lastColumn="0" w:noHBand="0" w:noVBand="1"/>
      </w:tblPr>
      <w:tblGrid>
        <w:gridCol w:w="6979"/>
      </w:tblGrid>
      <w:tr w:rsidR="00425758">
        <w:tc>
          <w:tcPr>
            <w:tcW w:w="7088" w:type="dxa"/>
            <w:tcBorders>
              <w:bottom w:val="nil"/>
            </w:tcBorders>
          </w:tcPr>
          <w:p w:rsidR="00425758" w:rsidRDefault="00425758">
            <w:pPr>
              <w:pStyle w:val="yMiscellaneousBody"/>
              <w:jc w:val="center"/>
              <w:rPr>
                <w:sz w:val="20"/>
              </w:rPr>
            </w:pPr>
            <w:r>
              <w:rPr>
                <w:b/>
                <w:sz w:val="20"/>
              </w:rPr>
              <w:t>IN THE SUPREME COURT OF WESTERN AUSTRALIA</w:t>
            </w:r>
          </w:p>
          <w:p w:rsidR="00425758" w:rsidRDefault="00425758">
            <w:pPr>
              <w:pStyle w:val="yMiscellaneousBody"/>
              <w:jc w:val="right"/>
              <w:rPr>
                <w:sz w:val="20"/>
              </w:rPr>
            </w:pPr>
            <w:r>
              <w:rPr>
                <w:sz w:val="20"/>
              </w:rPr>
              <w:t>No: .............. of 20 .......</w:t>
            </w:r>
          </w:p>
        </w:tc>
      </w:tr>
      <w:tr w:rsidR="00425758">
        <w:tc>
          <w:tcPr>
            <w:tcW w:w="7088" w:type="dxa"/>
            <w:tcBorders>
              <w:top w:val="nil"/>
              <w:bottom w:val="nil"/>
            </w:tcBorders>
          </w:tcPr>
          <w:p w:rsidR="00425758" w:rsidRDefault="00425758">
            <w:pPr>
              <w:pStyle w:val="yMiscellaneousBody"/>
              <w:rPr>
                <w:sz w:val="20"/>
              </w:rPr>
            </w:pPr>
            <w:r>
              <w:rPr>
                <w:sz w:val="20"/>
              </w:rPr>
              <w:t>BETWEEN:</w:t>
            </w:r>
          </w:p>
          <w:p w:rsidR="00425758" w:rsidRDefault="00425758">
            <w:pPr>
              <w:pStyle w:val="yMiscellaneousBody"/>
              <w:rPr>
                <w:sz w:val="20"/>
              </w:rPr>
            </w:pPr>
            <w:r>
              <w:rPr>
                <w:sz w:val="20"/>
              </w:rPr>
              <w:t>AB</w:t>
            </w:r>
          </w:p>
          <w:p w:rsidR="00425758" w:rsidRDefault="00425758">
            <w:pPr>
              <w:pStyle w:val="yMiscellaneousBody"/>
              <w:jc w:val="right"/>
              <w:rPr>
                <w:sz w:val="20"/>
              </w:rPr>
            </w:pPr>
            <w:r>
              <w:rPr>
                <w:sz w:val="20"/>
              </w:rPr>
              <w:t>Plaintiff,</w:t>
            </w:r>
          </w:p>
          <w:p w:rsidR="00425758" w:rsidRDefault="00425758">
            <w:pPr>
              <w:pStyle w:val="yMiscellaneousBody"/>
              <w:rPr>
                <w:sz w:val="20"/>
              </w:rPr>
            </w:pPr>
            <w:r>
              <w:rPr>
                <w:sz w:val="20"/>
              </w:rPr>
              <w:t>and</w:t>
            </w:r>
          </w:p>
          <w:p w:rsidR="00425758" w:rsidRDefault="00425758">
            <w:pPr>
              <w:pStyle w:val="yMiscellaneousBody"/>
              <w:rPr>
                <w:sz w:val="20"/>
              </w:rPr>
            </w:pPr>
            <w:r>
              <w:rPr>
                <w:sz w:val="20"/>
              </w:rPr>
              <w:t>CD</w:t>
            </w:r>
          </w:p>
          <w:p w:rsidR="00425758" w:rsidRDefault="00425758">
            <w:pPr>
              <w:pStyle w:val="yMiscellaneousBody"/>
              <w:jc w:val="right"/>
              <w:rPr>
                <w:sz w:val="20"/>
              </w:rPr>
            </w:pPr>
            <w:r>
              <w:rPr>
                <w:sz w:val="20"/>
              </w:rPr>
              <w:t>Defendant.</w:t>
            </w:r>
          </w:p>
        </w:tc>
      </w:tr>
      <w:tr w:rsidR="00425758">
        <w:tc>
          <w:tcPr>
            <w:tcW w:w="7088" w:type="dxa"/>
            <w:tcBorders>
              <w:top w:val="nil"/>
              <w:bottom w:val="nil"/>
            </w:tcBorders>
          </w:tcPr>
          <w:p w:rsidR="00425758" w:rsidRDefault="00425758">
            <w:pPr>
              <w:pStyle w:val="yMiscellaneousBody"/>
              <w:jc w:val="center"/>
              <w:rPr>
                <w:sz w:val="20"/>
              </w:rPr>
            </w:pPr>
            <w:r>
              <w:rPr>
                <w:b/>
                <w:sz w:val="20"/>
              </w:rPr>
              <w:lastRenderedPageBreak/>
              <w:t>DEFAULT JUDGMENT FOR LIQUIDATED DEMAND</w:t>
            </w:r>
          </w:p>
          <w:p w:rsidR="00425758" w:rsidRDefault="00425758">
            <w:pPr>
              <w:pStyle w:val="yMiscellaneousBody"/>
              <w:rPr>
                <w:sz w:val="20"/>
              </w:rPr>
            </w:pPr>
            <w:r>
              <w:rPr>
                <w:sz w:val="20"/>
              </w:rPr>
              <w:t>Judicial officer:</w:t>
            </w:r>
          </w:p>
          <w:p w:rsidR="00425758" w:rsidRDefault="00425758">
            <w:pPr>
              <w:pStyle w:val="yMiscellaneousBody"/>
              <w:rPr>
                <w:sz w:val="20"/>
              </w:rPr>
            </w:pPr>
            <w:r>
              <w:rPr>
                <w:sz w:val="20"/>
              </w:rPr>
              <w:t>Date of order:</w:t>
            </w:r>
          </w:p>
        </w:tc>
      </w:tr>
      <w:tr w:rsidR="00425758">
        <w:tc>
          <w:tcPr>
            <w:tcW w:w="7088" w:type="dxa"/>
            <w:tcBorders>
              <w:top w:val="nil"/>
              <w:bottom w:val="nil"/>
            </w:tcBorders>
          </w:tcPr>
          <w:p w:rsidR="00425758" w:rsidRDefault="00425758">
            <w:pPr>
              <w:pStyle w:val="yMiscellaneousBody"/>
              <w:rPr>
                <w:sz w:val="20"/>
              </w:rPr>
            </w:pPr>
            <w:r>
              <w:rPr>
                <w:b/>
                <w:sz w:val="20"/>
              </w:rPr>
              <w:t>THE COURT ORDERS THAT:</w:t>
            </w:r>
          </w:p>
          <w:p w:rsidR="00425758" w:rsidRDefault="00425758">
            <w:pPr>
              <w:pStyle w:val="yMiscellaneousBody"/>
              <w:rPr>
                <w:sz w:val="20"/>
              </w:rPr>
            </w:pPr>
            <w:r>
              <w:rPr>
                <w:sz w:val="20"/>
              </w:rPr>
              <w:t xml:space="preserve">The defendant pay the plaintiff — </w:t>
            </w:r>
          </w:p>
          <w:p w:rsidR="00425758" w:rsidRDefault="00425758">
            <w:pPr>
              <w:pStyle w:val="yMiscellaneousBody"/>
              <w:tabs>
                <w:tab w:val="left" w:pos="396"/>
              </w:tabs>
              <w:rPr>
                <w:sz w:val="20"/>
              </w:rPr>
            </w:pPr>
            <w:r>
              <w:rPr>
                <w:sz w:val="20"/>
              </w:rPr>
              <w:t>(a)</w:t>
            </w:r>
            <w:r>
              <w:rPr>
                <w:sz w:val="20"/>
              </w:rPr>
              <w:tab/>
              <w:t>$[</w:t>
            </w:r>
            <w:r>
              <w:rPr>
                <w:i/>
                <w:sz w:val="20"/>
              </w:rPr>
              <w:t>insert amount</w:t>
            </w:r>
            <w:r>
              <w:rPr>
                <w:sz w:val="20"/>
              </w:rPr>
              <w:t>]; and</w:t>
            </w:r>
          </w:p>
          <w:p w:rsidR="00425758" w:rsidRDefault="00425758">
            <w:pPr>
              <w:pStyle w:val="yMiscellaneousBody"/>
              <w:tabs>
                <w:tab w:val="left" w:pos="396"/>
              </w:tabs>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rsidR="00425758">
        <w:tc>
          <w:tcPr>
            <w:tcW w:w="7088" w:type="dxa"/>
            <w:tcBorders>
              <w:top w:val="nil"/>
              <w:bottom w:val="nil"/>
            </w:tcBorders>
          </w:tcPr>
          <w:p w:rsidR="00425758" w:rsidRDefault="00425758">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rsidR="00425758" w:rsidRDefault="00425758">
            <w:pPr>
              <w:pStyle w:val="yMiscellaneousBody"/>
              <w:tabs>
                <w:tab w:val="left" w:pos="4567"/>
              </w:tabs>
              <w:rPr>
                <w:sz w:val="20"/>
              </w:rPr>
            </w:pPr>
            <w:r>
              <w:rPr>
                <w:sz w:val="20"/>
              </w:rPr>
              <w:tab/>
              <w:t>BY THE COURT</w:t>
            </w:r>
          </w:p>
          <w:p w:rsidR="00425758" w:rsidRDefault="00425758">
            <w:pPr>
              <w:pStyle w:val="yMiscellaneousBody"/>
              <w:tabs>
                <w:tab w:val="left" w:pos="4567"/>
              </w:tabs>
              <w:rPr>
                <w:sz w:val="20"/>
              </w:rPr>
            </w:pPr>
            <w:r>
              <w:rPr>
                <w:sz w:val="20"/>
              </w:rPr>
              <w:tab/>
              <w:t>REGISTRAR</w:t>
            </w:r>
          </w:p>
        </w:tc>
      </w:tr>
      <w:tr w:rsidR="00425758">
        <w:tc>
          <w:tcPr>
            <w:tcW w:w="7088" w:type="dxa"/>
            <w:tcBorders>
              <w:top w:val="nil"/>
              <w:bottom w:val="nil"/>
            </w:tcBorders>
          </w:tcPr>
          <w:p w:rsidR="00425758" w:rsidRDefault="00425758">
            <w:pPr>
              <w:pStyle w:val="yMiscellaneousBody"/>
              <w:rPr>
                <w:sz w:val="20"/>
              </w:rPr>
            </w:pPr>
            <w:r>
              <w:rPr>
                <w:b/>
                <w:sz w:val="20"/>
              </w:rPr>
              <w:t>NOTICE TO DEFENDANT</w:t>
            </w:r>
          </w:p>
          <w:p w:rsidR="00425758" w:rsidRDefault="00425758">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rsidR="00425758" w:rsidRDefault="00425758">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rsidR="00425758">
        <w:tc>
          <w:tcPr>
            <w:tcW w:w="7088" w:type="dxa"/>
            <w:tcBorders>
              <w:top w:val="nil"/>
              <w:bottom w:val="nil"/>
            </w:tcBorders>
          </w:tcPr>
          <w:p w:rsidR="00425758" w:rsidRDefault="00425758">
            <w:pPr>
              <w:pStyle w:val="yMiscellaneousBody"/>
              <w:tabs>
                <w:tab w:val="left" w:pos="295"/>
                <w:tab w:val="left" w:pos="573"/>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rsidR="00425758" w:rsidRDefault="00425758">
            <w:pPr>
              <w:pStyle w:val="yMiscellaneousBody"/>
              <w:tabs>
                <w:tab w:val="left" w:pos="295"/>
                <w:tab w:val="left" w:pos="573"/>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rsidR="00425758">
        <w:tc>
          <w:tcPr>
            <w:tcW w:w="7088" w:type="dxa"/>
            <w:tcBorders>
              <w:top w:val="nil"/>
              <w:bottom w:val="nil"/>
            </w:tcBorders>
          </w:tcPr>
          <w:p w:rsidR="00425758" w:rsidRDefault="00425758">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rsidR="00425758">
        <w:tc>
          <w:tcPr>
            <w:tcW w:w="7088" w:type="dxa"/>
            <w:tcBorders>
              <w:top w:val="nil"/>
            </w:tcBorders>
          </w:tcPr>
          <w:p w:rsidR="00425758" w:rsidRDefault="00425758">
            <w:pPr>
              <w:pStyle w:val="yMiscellaneousBody"/>
              <w:rPr>
                <w:sz w:val="20"/>
              </w:rPr>
            </w:pPr>
            <w:r>
              <w:rPr>
                <w:b/>
                <w:sz w:val="20"/>
              </w:rPr>
              <w:t>CONTACT DETAILS</w:t>
            </w:r>
          </w:p>
          <w:p w:rsidR="00425758" w:rsidRDefault="00425758">
            <w:pPr>
              <w:pStyle w:val="yMiscellaneousBody"/>
              <w:rPr>
                <w:sz w:val="20"/>
              </w:rPr>
            </w:pPr>
            <w:r>
              <w:rPr>
                <w:sz w:val="20"/>
              </w:rPr>
              <w:t>The name and address of the law firm representing the plaintiff is: [</w:t>
            </w:r>
            <w:r>
              <w:rPr>
                <w:i/>
                <w:sz w:val="20"/>
              </w:rPr>
              <w:t>insert name and address</w:t>
            </w:r>
            <w:r>
              <w:rPr>
                <w:sz w:val="20"/>
              </w:rPr>
              <w:t>].</w:t>
            </w:r>
          </w:p>
          <w:p w:rsidR="00425758" w:rsidRDefault="00425758">
            <w:pPr>
              <w:pStyle w:val="yMiscellaneousBody"/>
              <w:rPr>
                <w:sz w:val="20"/>
                <w:highlight w:val="yellow"/>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rsidR="00425758" w:rsidRDefault="00425758">
      <w:pPr>
        <w:pStyle w:val="yFootnotesection"/>
      </w:pPr>
      <w:r>
        <w:lastRenderedPageBreak/>
        <w:tab/>
        <w:t>[Form 32 inserted: Gazette 16 Nov 2016 p. 5202-3.]</w:t>
      </w:r>
    </w:p>
    <w:p w:rsidR="00425758" w:rsidRDefault="00425758">
      <w:pPr>
        <w:pStyle w:val="yHeading5"/>
      </w:pPr>
      <w:bookmarkStart w:id="1373" w:name="_Toc75863938"/>
      <w:r>
        <w:rPr>
          <w:rStyle w:val="CharSClsNo"/>
        </w:rPr>
        <w:t>33</w:t>
      </w:r>
      <w:r>
        <w:t>.</w:t>
      </w:r>
      <w:r>
        <w:tab/>
        <w:t>Default judgment where demand unliquidated (O. 13 r. 3; O. 42 r. 1)</w:t>
      </w:r>
      <w:bookmarkEnd w:id="1373"/>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rsidR="00425758">
        <w:tc>
          <w:tcPr>
            <w:tcW w:w="7088" w:type="dxa"/>
            <w:tcBorders>
              <w:bottom w:val="nil"/>
            </w:tcBorders>
          </w:tcPr>
          <w:p w:rsidR="00425758" w:rsidRDefault="00425758">
            <w:pPr>
              <w:pStyle w:val="yMiscellaneousBody"/>
              <w:rPr>
                <w:sz w:val="20"/>
              </w:rPr>
            </w:pPr>
            <w:r>
              <w:rPr>
                <w:b/>
                <w:sz w:val="20"/>
              </w:rPr>
              <w:t>IN THE SUPREME COURT OF WESTERN AUSTRALIA</w:t>
            </w:r>
          </w:p>
          <w:p w:rsidR="00425758" w:rsidRDefault="00425758">
            <w:pPr>
              <w:pStyle w:val="yMiscellaneousBody"/>
              <w:jc w:val="right"/>
              <w:rPr>
                <w:sz w:val="20"/>
              </w:rPr>
            </w:pPr>
            <w:r>
              <w:rPr>
                <w:sz w:val="20"/>
              </w:rPr>
              <w:t>No: .............. of 20 .......</w:t>
            </w:r>
          </w:p>
        </w:tc>
      </w:tr>
      <w:tr w:rsidR="00425758">
        <w:tc>
          <w:tcPr>
            <w:tcW w:w="7088" w:type="dxa"/>
            <w:tcBorders>
              <w:bottom w:val="nil"/>
            </w:tcBorders>
          </w:tcPr>
          <w:p w:rsidR="00425758" w:rsidRDefault="00425758">
            <w:pPr>
              <w:pStyle w:val="yMiscellaneousBody"/>
              <w:rPr>
                <w:sz w:val="20"/>
              </w:rPr>
            </w:pPr>
            <w:r>
              <w:rPr>
                <w:sz w:val="20"/>
              </w:rPr>
              <w:t>BETWEEN:</w:t>
            </w:r>
          </w:p>
          <w:p w:rsidR="00425758" w:rsidRDefault="00425758">
            <w:pPr>
              <w:pStyle w:val="yMiscellaneousBody"/>
              <w:rPr>
                <w:sz w:val="20"/>
              </w:rPr>
            </w:pPr>
            <w:r>
              <w:rPr>
                <w:sz w:val="20"/>
              </w:rPr>
              <w:t>AB</w:t>
            </w:r>
          </w:p>
          <w:p w:rsidR="00425758" w:rsidRDefault="00425758">
            <w:pPr>
              <w:pStyle w:val="yMiscellaneousBody"/>
              <w:jc w:val="right"/>
              <w:rPr>
                <w:sz w:val="20"/>
              </w:rPr>
            </w:pPr>
            <w:r>
              <w:rPr>
                <w:sz w:val="20"/>
              </w:rPr>
              <w:t>Plaintiff,</w:t>
            </w:r>
          </w:p>
          <w:p w:rsidR="00425758" w:rsidRDefault="00425758">
            <w:pPr>
              <w:pStyle w:val="yMiscellaneousBody"/>
              <w:rPr>
                <w:sz w:val="20"/>
              </w:rPr>
            </w:pPr>
            <w:r>
              <w:rPr>
                <w:sz w:val="20"/>
              </w:rPr>
              <w:t>and</w:t>
            </w:r>
          </w:p>
          <w:p w:rsidR="00425758" w:rsidRDefault="00425758">
            <w:pPr>
              <w:pStyle w:val="yMiscellaneousBody"/>
              <w:rPr>
                <w:sz w:val="20"/>
              </w:rPr>
            </w:pPr>
            <w:r>
              <w:rPr>
                <w:sz w:val="20"/>
              </w:rPr>
              <w:t>CD</w:t>
            </w:r>
          </w:p>
          <w:p w:rsidR="00425758" w:rsidRDefault="00425758">
            <w:pPr>
              <w:pStyle w:val="yMiscellaneousBody"/>
              <w:jc w:val="right"/>
              <w:rPr>
                <w:sz w:val="20"/>
              </w:rPr>
            </w:pPr>
            <w:r>
              <w:rPr>
                <w:sz w:val="20"/>
              </w:rPr>
              <w:t>Defendant.</w:t>
            </w:r>
          </w:p>
        </w:tc>
      </w:tr>
      <w:tr w:rsidR="00425758">
        <w:tc>
          <w:tcPr>
            <w:tcW w:w="7088" w:type="dxa"/>
            <w:tcBorders>
              <w:top w:val="nil"/>
              <w:bottom w:val="nil"/>
            </w:tcBorders>
          </w:tcPr>
          <w:p w:rsidR="00425758" w:rsidRDefault="00425758">
            <w:pPr>
              <w:pStyle w:val="yMiscellaneousBody"/>
              <w:rPr>
                <w:sz w:val="20"/>
              </w:rPr>
            </w:pPr>
            <w:r>
              <w:rPr>
                <w:b/>
                <w:sz w:val="20"/>
              </w:rPr>
              <w:t>DEFAULT JUDGMENT WHERE DEMAND UNLIQUIDATED</w:t>
            </w:r>
          </w:p>
          <w:p w:rsidR="00425758" w:rsidRDefault="00425758">
            <w:pPr>
              <w:pStyle w:val="yMiscellaneousBody"/>
              <w:rPr>
                <w:sz w:val="20"/>
              </w:rPr>
            </w:pPr>
            <w:r>
              <w:rPr>
                <w:sz w:val="20"/>
              </w:rPr>
              <w:t>Judicial officer:</w:t>
            </w:r>
          </w:p>
          <w:p w:rsidR="00425758" w:rsidRDefault="00425758">
            <w:pPr>
              <w:pStyle w:val="yMiscellaneousBody"/>
              <w:rPr>
                <w:sz w:val="20"/>
              </w:rPr>
            </w:pPr>
            <w:r>
              <w:rPr>
                <w:sz w:val="20"/>
              </w:rPr>
              <w:t>Date of order:</w:t>
            </w:r>
          </w:p>
          <w:p w:rsidR="00425758" w:rsidRDefault="00425758">
            <w:pPr>
              <w:pStyle w:val="yMiscellaneousBody"/>
              <w:rPr>
                <w:b/>
                <w:sz w:val="20"/>
              </w:rPr>
            </w:pPr>
            <w:r>
              <w:rPr>
                <w:b/>
                <w:sz w:val="20"/>
              </w:rPr>
              <w:t>THE COURT ORDERS THAT:</w:t>
            </w:r>
          </w:p>
          <w:p w:rsidR="00425758" w:rsidRDefault="00425758">
            <w:pPr>
              <w:pStyle w:val="yMiscellaneousBody"/>
              <w:rPr>
                <w:sz w:val="20"/>
              </w:rPr>
            </w:pPr>
            <w:r>
              <w:rPr>
                <w:sz w:val="20"/>
              </w:rPr>
              <w:t>The defendant pay the plaintiff the value of the goods [</w:t>
            </w:r>
            <w:r>
              <w:rPr>
                <w:i/>
                <w:sz w:val="20"/>
              </w:rPr>
              <w:t>or damages, or both, as the case requires</w:t>
            </w:r>
            <w:r>
              <w:rPr>
                <w:sz w:val="20"/>
              </w:rPr>
              <w:t>] to be assessed.</w:t>
            </w:r>
          </w:p>
          <w:p w:rsidR="00425758" w:rsidRDefault="00425758">
            <w:pPr>
              <w:pStyle w:val="yMiscellaneousBody"/>
              <w:tabs>
                <w:tab w:val="left" w:pos="4538"/>
              </w:tabs>
              <w:rPr>
                <w:sz w:val="20"/>
              </w:rPr>
            </w:pPr>
            <w:r>
              <w:rPr>
                <w:sz w:val="20"/>
              </w:rPr>
              <w:tab/>
              <w:t>BY THE COURT</w:t>
            </w:r>
          </w:p>
          <w:p w:rsidR="00425758" w:rsidRDefault="00425758">
            <w:pPr>
              <w:pStyle w:val="yMiscellaneousBody"/>
              <w:tabs>
                <w:tab w:val="left" w:pos="4538"/>
              </w:tabs>
              <w:rPr>
                <w:sz w:val="20"/>
              </w:rPr>
            </w:pPr>
            <w:r>
              <w:rPr>
                <w:sz w:val="20"/>
              </w:rPr>
              <w:tab/>
              <w:t>REGISTRAR</w:t>
            </w:r>
          </w:p>
          <w:p w:rsidR="00425758" w:rsidRDefault="00425758">
            <w:pPr>
              <w:pStyle w:val="yMiscellaneousBody"/>
              <w:rPr>
                <w:sz w:val="20"/>
              </w:rPr>
            </w:pPr>
            <w:r>
              <w:rPr>
                <w:i/>
                <w:sz w:val="20"/>
              </w:rPr>
              <w:t>Note: Default judgment after assessment of damages is to be in Form 35.</w:t>
            </w:r>
          </w:p>
        </w:tc>
      </w:tr>
      <w:tr w:rsidR="00425758">
        <w:tc>
          <w:tcPr>
            <w:tcW w:w="7088" w:type="dxa"/>
            <w:tcBorders>
              <w:top w:val="nil"/>
              <w:bottom w:val="nil"/>
            </w:tcBorders>
          </w:tcPr>
          <w:p w:rsidR="00425758" w:rsidRDefault="00425758">
            <w:pPr>
              <w:pStyle w:val="yMiscellaneousBody"/>
              <w:rPr>
                <w:sz w:val="20"/>
              </w:rPr>
            </w:pPr>
            <w:r>
              <w:rPr>
                <w:b/>
                <w:sz w:val="20"/>
              </w:rPr>
              <w:t>NOTICE TO DEFENDANT</w:t>
            </w:r>
          </w:p>
          <w:p w:rsidR="00425758" w:rsidRDefault="00425758">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rsidR="00425758" w:rsidRDefault="00425758">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rsidR="00425758">
        <w:tc>
          <w:tcPr>
            <w:tcW w:w="7088" w:type="dxa"/>
            <w:tcBorders>
              <w:top w:val="nil"/>
              <w:bottom w:val="nil"/>
            </w:tcBorders>
          </w:tcPr>
          <w:p w:rsidR="00425758" w:rsidRDefault="00425758">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rsidR="00425758">
        <w:tc>
          <w:tcPr>
            <w:tcW w:w="7088" w:type="dxa"/>
            <w:tcBorders>
              <w:top w:val="nil"/>
              <w:bottom w:val="single" w:sz="4" w:space="0" w:color="auto"/>
            </w:tcBorders>
          </w:tcPr>
          <w:p w:rsidR="00425758" w:rsidRDefault="00425758">
            <w:pPr>
              <w:pStyle w:val="yMiscellaneousBody"/>
              <w:rPr>
                <w:sz w:val="20"/>
              </w:rPr>
            </w:pPr>
            <w:r>
              <w:rPr>
                <w:b/>
                <w:sz w:val="20"/>
              </w:rPr>
              <w:lastRenderedPageBreak/>
              <w:t>CONTACT DETAILS</w:t>
            </w:r>
          </w:p>
          <w:p w:rsidR="00425758" w:rsidRDefault="00425758">
            <w:pPr>
              <w:pStyle w:val="yMiscellaneousBody"/>
              <w:rPr>
                <w:sz w:val="20"/>
              </w:rPr>
            </w:pPr>
            <w:r>
              <w:rPr>
                <w:sz w:val="20"/>
              </w:rPr>
              <w:t>The name and address of the law firm representing the plaintiff is: [</w:t>
            </w:r>
            <w:r>
              <w:rPr>
                <w:i/>
                <w:sz w:val="20"/>
              </w:rPr>
              <w:t>insert name and address</w:t>
            </w:r>
            <w:r>
              <w:rPr>
                <w:sz w:val="20"/>
              </w:rPr>
              <w:t>].</w:t>
            </w:r>
          </w:p>
          <w:p w:rsidR="00425758" w:rsidRDefault="00425758">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rsidR="00425758" w:rsidRDefault="00425758">
      <w:pPr>
        <w:pStyle w:val="yFootnotesection"/>
      </w:pPr>
      <w:r>
        <w:tab/>
        <w:t>[Form 33 inserted: Gazette 16 Nov 2016 p. 5204</w:t>
      </w:r>
      <w:r>
        <w:noBreakHyphen/>
        <w:t>5.]</w:t>
      </w:r>
    </w:p>
    <w:p w:rsidR="00425758" w:rsidRDefault="00425758">
      <w:pPr>
        <w:pStyle w:val="yHeading5"/>
      </w:pPr>
      <w:bookmarkStart w:id="1374" w:name="_Toc75863939"/>
      <w:r>
        <w:rPr>
          <w:rStyle w:val="CharSClsNo"/>
        </w:rPr>
        <w:t>34</w:t>
      </w:r>
      <w:r>
        <w:t>.</w:t>
      </w:r>
      <w:r>
        <w:tab/>
        <w:t>Default judgment in action relating to detention of goods other than in a mortgage action (O. 13 r. 4; O. 42 r. 1)</w:t>
      </w:r>
      <w:bookmarkEnd w:id="1374"/>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rsidR="00425758">
        <w:tc>
          <w:tcPr>
            <w:tcW w:w="7088" w:type="dxa"/>
            <w:tcBorders>
              <w:top w:val="single" w:sz="4" w:space="0" w:color="auto"/>
              <w:bottom w:val="nil"/>
            </w:tcBorders>
          </w:tcPr>
          <w:p w:rsidR="00425758" w:rsidRDefault="00425758">
            <w:pPr>
              <w:pStyle w:val="yMiscellaneousBody"/>
              <w:jc w:val="center"/>
              <w:rPr>
                <w:sz w:val="20"/>
              </w:rPr>
            </w:pPr>
            <w:r>
              <w:rPr>
                <w:b/>
                <w:sz w:val="20"/>
              </w:rPr>
              <w:t>IN THE SUPREME COURT OF WESTERN AUSTRALIA</w:t>
            </w:r>
          </w:p>
          <w:p w:rsidR="00425758" w:rsidRDefault="00425758">
            <w:pPr>
              <w:pStyle w:val="yMiscellaneousBody"/>
              <w:jc w:val="right"/>
              <w:rPr>
                <w:sz w:val="20"/>
              </w:rPr>
            </w:pPr>
            <w:r>
              <w:rPr>
                <w:sz w:val="20"/>
              </w:rPr>
              <w:t>No: .............. of 20 .......</w:t>
            </w:r>
          </w:p>
        </w:tc>
      </w:tr>
      <w:tr w:rsidR="00425758">
        <w:tc>
          <w:tcPr>
            <w:tcW w:w="7088" w:type="dxa"/>
            <w:tcBorders>
              <w:top w:val="nil"/>
              <w:bottom w:val="nil"/>
            </w:tcBorders>
          </w:tcPr>
          <w:p w:rsidR="00425758" w:rsidRDefault="00425758">
            <w:pPr>
              <w:pStyle w:val="yMiscellaneousBody"/>
              <w:rPr>
                <w:sz w:val="20"/>
              </w:rPr>
            </w:pPr>
            <w:r>
              <w:rPr>
                <w:sz w:val="20"/>
              </w:rPr>
              <w:t>BETWEEN:</w:t>
            </w:r>
          </w:p>
          <w:p w:rsidR="00425758" w:rsidRDefault="00425758">
            <w:pPr>
              <w:pStyle w:val="yMiscellaneousBody"/>
              <w:rPr>
                <w:sz w:val="20"/>
              </w:rPr>
            </w:pPr>
            <w:r>
              <w:rPr>
                <w:sz w:val="20"/>
              </w:rPr>
              <w:t>AB</w:t>
            </w:r>
          </w:p>
          <w:p w:rsidR="00425758" w:rsidRDefault="00425758">
            <w:pPr>
              <w:pStyle w:val="yMiscellaneousBody"/>
              <w:jc w:val="right"/>
              <w:rPr>
                <w:sz w:val="20"/>
              </w:rPr>
            </w:pPr>
            <w:r>
              <w:rPr>
                <w:sz w:val="20"/>
              </w:rPr>
              <w:t>Plaintiff,</w:t>
            </w:r>
          </w:p>
          <w:p w:rsidR="00425758" w:rsidRDefault="00425758">
            <w:pPr>
              <w:pStyle w:val="yMiscellaneousBody"/>
              <w:rPr>
                <w:sz w:val="20"/>
              </w:rPr>
            </w:pPr>
            <w:r>
              <w:rPr>
                <w:sz w:val="20"/>
              </w:rPr>
              <w:t>and</w:t>
            </w:r>
          </w:p>
          <w:p w:rsidR="00425758" w:rsidRDefault="00425758">
            <w:pPr>
              <w:pStyle w:val="yMiscellaneousBody"/>
              <w:rPr>
                <w:sz w:val="20"/>
              </w:rPr>
            </w:pPr>
            <w:r>
              <w:rPr>
                <w:sz w:val="20"/>
              </w:rPr>
              <w:t>CD</w:t>
            </w:r>
          </w:p>
          <w:p w:rsidR="00425758" w:rsidRDefault="00425758">
            <w:pPr>
              <w:pStyle w:val="yMiscellaneousBody"/>
              <w:jc w:val="right"/>
              <w:rPr>
                <w:sz w:val="20"/>
              </w:rPr>
            </w:pPr>
            <w:r>
              <w:rPr>
                <w:sz w:val="20"/>
              </w:rPr>
              <w:t>Defendant.</w:t>
            </w:r>
          </w:p>
        </w:tc>
      </w:tr>
      <w:tr w:rsidR="00425758">
        <w:tc>
          <w:tcPr>
            <w:tcW w:w="7088" w:type="dxa"/>
            <w:tcBorders>
              <w:top w:val="nil"/>
              <w:bottom w:val="nil"/>
            </w:tcBorders>
          </w:tcPr>
          <w:p w:rsidR="00425758" w:rsidRDefault="00425758">
            <w:pPr>
              <w:pStyle w:val="yMiscellaneousBody"/>
              <w:jc w:val="center"/>
              <w:rPr>
                <w:sz w:val="20"/>
              </w:rPr>
            </w:pPr>
            <w:r>
              <w:rPr>
                <w:b/>
                <w:sz w:val="20"/>
              </w:rPr>
              <w:t>DEFAULT JUDGMENT IN ACTION RELATING TO DETENTION OF GOODS OTHER THAN IN A MORTGAGE ACTION</w:t>
            </w:r>
          </w:p>
          <w:p w:rsidR="00425758" w:rsidRDefault="00425758">
            <w:pPr>
              <w:pStyle w:val="yMiscellaneousBody"/>
              <w:rPr>
                <w:sz w:val="20"/>
              </w:rPr>
            </w:pPr>
            <w:r>
              <w:rPr>
                <w:sz w:val="20"/>
              </w:rPr>
              <w:t>Judicial officer:</w:t>
            </w:r>
          </w:p>
          <w:p w:rsidR="00425758" w:rsidRDefault="00425758">
            <w:pPr>
              <w:pStyle w:val="yMiscellaneousBody"/>
              <w:rPr>
                <w:sz w:val="20"/>
              </w:rPr>
            </w:pPr>
            <w:r>
              <w:rPr>
                <w:sz w:val="20"/>
              </w:rPr>
              <w:t>Date of order:</w:t>
            </w:r>
          </w:p>
        </w:tc>
      </w:tr>
      <w:tr w:rsidR="00425758">
        <w:tc>
          <w:tcPr>
            <w:tcW w:w="7088" w:type="dxa"/>
            <w:tcBorders>
              <w:top w:val="nil"/>
              <w:bottom w:val="nil"/>
            </w:tcBorders>
          </w:tcPr>
          <w:p w:rsidR="00425758" w:rsidRDefault="00425758">
            <w:pPr>
              <w:pStyle w:val="yMiscellaneousBody"/>
              <w:rPr>
                <w:sz w:val="20"/>
              </w:rPr>
            </w:pPr>
            <w:r>
              <w:rPr>
                <w:b/>
                <w:sz w:val="20"/>
              </w:rPr>
              <w:t>THE COURT ORDERS THAT:</w:t>
            </w:r>
          </w:p>
          <w:p w:rsidR="00425758" w:rsidRDefault="00425758">
            <w:pPr>
              <w:pStyle w:val="yMiscellaneousBody"/>
              <w:rPr>
                <w:sz w:val="20"/>
              </w:rPr>
            </w:pPr>
            <w:r>
              <w:rPr>
                <w:sz w:val="20"/>
              </w:rPr>
              <w:t>The defendant deliver to the plaintiff the goods described in the writ of summons [</w:t>
            </w:r>
            <w:r>
              <w:rPr>
                <w:i/>
                <w:sz w:val="20"/>
              </w:rPr>
              <w:t>or statement of claim</w:t>
            </w:r>
            <w:r>
              <w:rPr>
                <w:sz w:val="20"/>
              </w:rPr>
              <w:t>] as [</w:t>
            </w:r>
            <w:r>
              <w:rPr>
                <w:i/>
                <w:sz w:val="20"/>
              </w:rPr>
              <w:t>insert description of goods</w:t>
            </w:r>
            <w:r>
              <w:rPr>
                <w:sz w:val="20"/>
              </w:rPr>
              <w:t>] or pay to the plaintiff the value of those goods to be assessed [</w:t>
            </w:r>
            <w:r>
              <w:rPr>
                <w:i/>
                <w:sz w:val="20"/>
              </w:rPr>
              <w:t>and also damages for their detention to be assessed</w:t>
            </w:r>
            <w:r>
              <w:rPr>
                <w:sz w:val="20"/>
              </w:rPr>
              <w:t>].</w:t>
            </w:r>
            <w:r>
              <w:rPr>
                <w:sz w:val="20"/>
                <w:vertAlign w:val="superscript"/>
              </w:rPr>
              <w:t>1</w:t>
            </w:r>
          </w:p>
        </w:tc>
      </w:tr>
      <w:tr w:rsidR="00425758">
        <w:tc>
          <w:tcPr>
            <w:tcW w:w="7088" w:type="dxa"/>
            <w:tcBorders>
              <w:top w:val="nil"/>
              <w:bottom w:val="nil"/>
            </w:tcBorders>
          </w:tcPr>
          <w:p w:rsidR="00425758" w:rsidRDefault="00425758">
            <w:pPr>
              <w:pStyle w:val="yMiscellaneousBody"/>
              <w:jc w:val="center"/>
              <w:rPr>
                <w:sz w:val="20"/>
              </w:rPr>
            </w:pPr>
            <w:r>
              <w:rPr>
                <w:i/>
                <w:sz w:val="20"/>
              </w:rPr>
              <w:t>or</w:t>
            </w:r>
          </w:p>
          <w:p w:rsidR="00425758" w:rsidRDefault="00425758">
            <w:pPr>
              <w:pStyle w:val="yMiscellaneousBody"/>
              <w:rPr>
                <w:sz w:val="20"/>
              </w:rPr>
            </w:pPr>
            <w:r>
              <w:rPr>
                <w:sz w:val="20"/>
              </w:rPr>
              <w:t>The defendant pay the plaintiff the value of the goods described in the statement of claim to be assessed [</w:t>
            </w:r>
            <w:r>
              <w:rPr>
                <w:i/>
                <w:sz w:val="20"/>
              </w:rPr>
              <w:t>and also damages for their detention to be assessed</w:t>
            </w:r>
            <w:r>
              <w:rPr>
                <w:sz w:val="20"/>
              </w:rPr>
              <w:t>].</w:t>
            </w:r>
            <w:r>
              <w:rPr>
                <w:sz w:val="20"/>
                <w:vertAlign w:val="superscript"/>
              </w:rPr>
              <w:t>2</w:t>
            </w:r>
          </w:p>
          <w:p w:rsidR="00425758" w:rsidRDefault="00425758">
            <w:pPr>
              <w:pStyle w:val="yMiscellaneousBody"/>
              <w:tabs>
                <w:tab w:val="left" w:pos="4538"/>
              </w:tabs>
              <w:rPr>
                <w:sz w:val="20"/>
              </w:rPr>
            </w:pPr>
            <w:r>
              <w:rPr>
                <w:sz w:val="20"/>
              </w:rPr>
              <w:tab/>
              <w:t>BY THE COURT</w:t>
            </w:r>
          </w:p>
          <w:p w:rsidR="00425758" w:rsidRDefault="00425758">
            <w:pPr>
              <w:pStyle w:val="yMiscellaneousBody"/>
              <w:tabs>
                <w:tab w:val="left" w:pos="4538"/>
              </w:tabs>
              <w:rPr>
                <w:sz w:val="20"/>
              </w:rPr>
            </w:pPr>
            <w:r>
              <w:rPr>
                <w:sz w:val="20"/>
              </w:rPr>
              <w:lastRenderedPageBreak/>
              <w:tab/>
              <w:t>REGISTRAR</w:t>
            </w:r>
          </w:p>
          <w:p w:rsidR="00425758" w:rsidRDefault="00425758">
            <w:pPr>
              <w:pStyle w:val="yMiscellaneousBody"/>
              <w:rPr>
                <w:i/>
                <w:sz w:val="20"/>
              </w:rPr>
            </w:pPr>
            <w:r>
              <w:rPr>
                <w:i/>
                <w:sz w:val="20"/>
              </w:rPr>
              <w:t>Note: Default judgment after assessment of the value of the goods and damages for their detention (if applicable) is to be in Form 35.</w:t>
            </w:r>
          </w:p>
        </w:tc>
      </w:tr>
      <w:tr w:rsidR="00425758">
        <w:tc>
          <w:tcPr>
            <w:tcW w:w="7088" w:type="dxa"/>
            <w:tcBorders>
              <w:top w:val="nil"/>
            </w:tcBorders>
          </w:tcPr>
          <w:p w:rsidR="00425758" w:rsidRDefault="00425758">
            <w:pPr>
              <w:pStyle w:val="yMiscellaneousBody"/>
              <w:rPr>
                <w:sz w:val="20"/>
              </w:rPr>
            </w:pPr>
            <w:r>
              <w:rPr>
                <w:b/>
                <w:sz w:val="20"/>
              </w:rPr>
              <w:lastRenderedPageBreak/>
              <w:t>NOTICE TO DEFENDANT</w:t>
            </w:r>
            <w:r>
              <w:rPr>
                <w:sz w:val="20"/>
                <w:vertAlign w:val="superscript"/>
              </w:rPr>
              <w:t>1</w:t>
            </w:r>
          </w:p>
          <w:p w:rsidR="00425758" w:rsidRDefault="00425758">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rsidR="00425758">
        <w:tc>
          <w:tcPr>
            <w:tcW w:w="7088" w:type="dxa"/>
          </w:tcPr>
          <w:p w:rsidR="00425758" w:rsidRDefault="00425758">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rsidR="00425758">
        <w:tc>
          <w:tcPr>
            <w:tcW w:w="7088" w:type="dxa"/>
          </w:tcPr>
          <w:p w:rsidR="00425758" w:rsidRDefault="00425758">
            <w:pPr>
              <w:pStyle w:val="yMiscellaneousBody"/>
              <w:tabs>
                <w:tab w:val="left" w:pos="151"/>
                <w:tab w:val="left" w:pos="564"/>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rsidR="00425758" w:rsidRDefault="00425758">
            <w:pPr>
              <w:pStyle w:val="yMiscellaneousBody"/>
              <w:tabs>
                <w:tab w:val="left" w:pos="151"/>
                <w:tab w:val="left" w:pos="564"/>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rsidR="00425758">
        <w:tc>
          <w:tcPr>
            <w:tcW w:w="7088" w:type="dxa"/>
            <w:tcBorders>
              <w:bottom w:val="nil"/>
            </w:tcBorders>
          </w:tcPr>
          <w:p w:rsidR="00425758" w:rsidRDefault="00425758">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p w:rsidR="00425758" w:rsidRDefault="00425758">
            <w:pPr>
              <w:pStyle w:val="yMiscellaneousBody"/>
              <w:jc w:val="center"/>
              <w:rPr>
                <w:sz w:val="20"/>
              </w:rPr>
            </w:pPr>
            <w:r>
              <w:rPr>
                <w:i/>
                <w:sz w:val="20"/>
              </w:rPr>
              <w:t>or</w:t>
            </w:r>
          </w:p>
        </w:tc>
      </w:tr>
      <w:tr w:rsidR="00425758">
        <w:tc>
          <w:tcPr>
            <w:tcW w:w="7088" w:type="dxa"/>
            <w:tcBorders>
              <w:top w:val="nil"/>
              <w:bottom w:val="nil"/>
            </w:tcBorders>
          </w:tcPr>
          <w:p w:rsidR="00425758" w:rsidRDefault="00425758">
            <w:pPr>
              <w:pStyle w:val="yMiscellaneousBody"/>
              <w:rPr>
                <w:sz w:val="20"/>
              </w:rPr>
            </w:pPr>
            <w:r>
              <w:rPr>
                <w:b/>
                <w:sz w:val="20"/>
              </w:rPr>
              <w:t>NOTICE TO DEFENDANT</w:t>
            </w:r>
            <w:r>
              <w:rPr>
                <w:sz w:val="20"/>
                <w:vertAlign w:val="superscript"/>
              </w:rPr>
              <w:t>2</w:t>
            </w:r>
          </w:p>
          <w:p w:rsidR="00425758" w:rsidRDefault="00425758">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rsidR="00425758" w:rsidRDefault="00425758">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rsidR="00425758">
        <w:tc>
          <w:tcPr>
            <w:tcW w:w="7088" w:type="dxa"/>
            <w:tcBorders>
              <w:top w:val="nil"/>
              <w:bottom w:val="nil"/>
            </w:tcBorders>
          </w:tcPr>
          <w:p w:rsidR="00425758" w:rsidRDefault="00425758">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rsidR="00425758">
        <w:tc>
          <w:tcPr>
            <w:tcW w:w="7088" w:type="dxa"/>
            <w:tcBorders>
              <w:top w:val="nil"/>
              <w:bottom w:val="nil"/>
            </w:tcBorders>
          </w:tcPr>
          <w:p w:rsidR="00425758" w:rsidRDefault="00425758">
            <w:pPr>
              <w:pStyle w:val="yMiscellaneousBody"/>
              <w:rPr>
                <w:sz w:val="20"/>
              </w:rPr>
            </w:pPr>
            <w:r>
              <w:rPr>
                <w:b/>
                <w:sz w:val="20"/>
              </w:rPr>
              <w:t>CONTACT DETAILS</w:t>
            </w:r>
          </w:p>
          <w:p w:rsidR="00425758" w:rsidRDefault="00425758">
            <w:pPr>
              <w:pStyle w:val="yMiscellaneousBody"/>
              <w:rPr>
                <w:sz w:val="20"/>
              </w:rPr>
            </w:pPr>
            <w:r>
              <w:rPr>
                <w:sz w:val="20"/>
              </w:rPr>
              <w:t>The name and address of the law firm representing the plaintiff is: [</w:t>
            </w:r>
            <w:r>
              <w:rPr>
                <w:i/>
                <w:sz w:val="20"/>
              </w:rPr>
              <w:t>insert name and address</w:t>
            </w:r>
            <w:r>
              <w:rPr>
                <w:sz w:val="20"/>
              </w:rPr>
              <w:t>].</w:t>
            </w:r>
          </w:p>
        </w:tc>
      </w:tr>
      <w:tr w:rsidR="00425758">
        <w:tc>
          <w:tcPr>
            <w:tcW w:w="7088" w:type="dxa"/>
            <w:tcBorders>
              <w:top w:val="nil"/>
              <w:bottom w:val="single" w:sz="4" w:space="0" w:color="auto"/>
            </w:tcBorders>
          </w:tcPr>
          <w:p w:rsidR="00425758" w:rsidRDefault="00425758">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rsidR="00425758" w:rsidRDefault="00425758">
      <w:pPr>
        <w:pStyle w:val="yMiscellaneousBody"/>
        <w:tabs>
          <w:tab w:val="left" w:pos="142"/>
          <w:tab w:val="left" w:pos="567"/>
        </w:tabs>
        <w:rPr>
          <w:sz w:val="16"/>
          <w:szCs w:val="16"/>
        </w:rPr>
      </w:pPr>
      <w:r>
        <w:rPr>
          <w:sz w:val="16"/>
          <w:szCs w:val="16"/>
        </w:rPr>
        <w:lastRenderedPageBreak/>
        <w:t>Notes to Form 34:</w:t>
      </w:r>
    </w:p>
    <w:p w:rsidR="00425758" w:rsidRDefault="00425758">
      <w:pPr>
        <w:pStyle w:val="yMiscellaneousBody"/>
        <w:tabs>
          <w:tab w:val="left" w:pos="142"/>
          <w:tab w:val="left" w:pos="567"/>
        </w:tabs>
        <w:rPr>
          <w:sz w:val="16"/>
          <w:szCs w:val="16"/>
        </w:rPr>
      </w:pPr>
      <w:r>
        <w:rPr>
          <w:sz w:val="16"/>
          <w:szCs w:val="16"/>
        </w:rPr>
        <w:tab/>
        <w:t>1.</w:t>
      </w:r>
      <w:r>
        <w:rPr>
          <w:sz w:val="16"/>
          <w:szCs w:val="16"/>
        </w:rPr>
        <w:tab/>
        <w:t>To be used for a default judgment referred to in Order 13 rule 4(1)(a)(i).</w:t>
      </w:r>
    </w:p>
    <w:p w:rsidR="00425758" w:rsidRDefault="00425758">
      <w:pPr>
        <w:pStyle w:val="yMiscellaneousBody"/>
        <w:tabs>
          <w:tab w:val="left" w:pos="142"/>
          <w:tab w:val="left" w:pos="567"/>
        </w:tabs>
        <w:rPr>
          <w:sz w:val="16"/>
          <w:szCs w:val="16"/>
        </w:rPr>
      </w:pPr>
      <w:r>
        <w:rPr>
          <w:sz w:val="16"/>
          <w:szCs w:val="16"/>
        </w:rPr>
        <w:tab/>
        <w:t>2.</w:t>
      </w:r>
      <w:r>
        <w:rPr>
          <w:sz w:val="16"/>
          <w:szCs w:val="16"/>
        </w:rPr>
        <w:tab/>
        <w:t>To be used for a default judgment referred to in Order 13 rule 4(1)(a)(ii).</w:t>
      </w:r>
    </w:p>
    <w:p w:rsidR="00425758" w:rsidRDefault="00425758">
      <w:pPr>
        <w:pStyle w:val="yFootnotesection"/>
      </w:pPr>
      <w:r>
        <w:tab/>
        <w:t>[Form 34 inserted: Gazette 16 Nov 2016 p. 5205</w:t>
      </w:r>
      <w:r>
        <w:noBreakHyphen/>
        <w:t>7.]</w:t>
      </w:r>
    </w:p>
    <w:p w:rsidR="00425758" w:rsidRDefault="00425758">
      <w:pPr>
        <w:pStyle w:val="yHeading5"/>
      </w:pPr>
      <w:bookmarkStart w:id="1375" w:name="_Toc75863940"/>
      <w:r>
        <w:rPr>
          <w:rStyle w:val="CharSClsNo"/>
        </w:rPr>
        <w:t>35</w:t>
      </w:r>
      <w:r>
        <w:t>.</w:t>
      </w:r>
      <w:r>
        <w:tab/>
        <w:t>Default judgment after assessment of damages etc. (O. 13 r. 3 &amp; 4; O. 42 r. 1)</w:t>
      </w:r>
      <w:bookmarkEnd w:id="1375"/>
    </w:p>
    <w:tbl>
      <w:tblPr>
        <w:tblStyle w:val="TableGrid"/>
        <w:tblW w:w="0" w:type="auto"/>
        <w:tblInd w:w="108" w:type="dxa"/>
        <w:tblLook w:val="04A0" w:firstRow="1" w:lastRow="0" w:firstColumn="1" w:lastColumn="0" w:noHBand="0" w:noVBand="1"/>
      </w:tblPr>
      <w:tblGrid>
        <w:gridCol w:w="6979"/>
      </w:tblGrid>
      <w:tr w:rsidR="00425758">
        <w:tc>
          <w:tcPr>
            <w:tcW w:w="7088" w:type="dxa"/>
            <w:tcBorders>
              <w:bottom w:val="nil"/>
            </w:tcBorders>
          </w:tcPr>
          <w:p w:rsidR="00425758" w:rsidRDefault="00425758">
            <w:pPr>
              <w:pStyle w:val="yMiscellaneousBody"/>
              <w:jc w:val="center"/>
              <w:rPr>
                <w:sz w:val="20"/>
              </w:rPr>
            </w:pPr>
            <w:r>
              <w:rPr>
                <w:b/>
                <w:sz w:val="20"/>
              </w:rPr>
              <w:t>IN THE SUPREME COURT OF WESTERN AUSTRALIA</w:t>
            </w:r>
          </w:p>
          <w:p w:rsidR="00425758" w:rsidRDefault="00425758">
            <w:pPr>
              <w:pStyle w:val="yMiscellaneousBody"/>
              <w:jc w:val="right"/>
              <w:rPr>
                <w:sz w:val="20"/>
              </w:rPr>
            </w:pPr>
            <w:r>
              <w:rPr>
                <w:sz w:val="20"/>
              </w:rPr>
              <w:t>No: .............. of 20 .......</w:t>
            </w:r>
          </w:p>
        </w:tc>
      </w:tr>
      <w:tr w:rsidR="00425758">
        <w:tc>
          <w:tcPr>
            <w:tcW w:w="7088" w:type="dxa"/>
            <w:tcBorders>
              <w:top w:val="nil"/>
              <w:bottom w:val="nil"/>
            </w:tcBorders>
          </w:tcPr>
          <w:p w:rsidR="00425758" w:rsidRDefault="00425758">
            <w:pPr>
              <w:pStyle w:val="yMiscellaneousBody"/>
              <w:rPr>
                <w:sz w:val="20"/>
              </w:rPr>
            </w:pPr>
            <w:r>
              <w:rPr>
                <w:sz w:val="20"/>
              </w:rPr>
              <w:t>BETWEEN:</w:t>
            </w:r>
          </w:p>
          <w:p w:rsidR="00425758" w:rsidRDefault="00425758">
            <w:pPr>
              <w:pStyle w:val="yMiscellaneousBody"/>
              <w:rPr>
                <w:sz w:val="20"/>
              </w:rPr>
            </w:pPr>
            <w:r>
              <w:rPr>
                <w:sz w:val="20"/>
              </w:rPr>
              <w:t>AB</w:t>
            </w:r>
          </w:p>
          <w:p w:rsidR="00425758" w:rsidRDefault="00425758">
            <w:pPr>
              <w:pStyle w:val="yMiscellaneousBody"/>
              <w:jc w:val="right"/>
              <w:rPr>
                <w:sz w:val="20"/>
              </w:rPr>
            </w:pPr>
            <w:r>
              <w:rPr>
                <w:sz w:val="20"/>
              </w:rPr>
              <w:t>Plaintiff,</w:t>
            </w:r>
          </w:p>
          <w:p w:rsidR="00425758" w:rsidRDefault="00425758">
            <w:pPr>
              <w:pStyle w:val="yMiscellaneousBody"/>
              <w:rPr>
                <w:sz w:val="20"/>
              </w:rPr>
            </w:pPr>
            <w:r>
              <w:rPr>
                <w:sz w:val="20"/>
              </w:rPr>
              <w:t>and</w:t>
            </w:r>
          </w:p>
          <w:p w:rsidR="00425758" w:rsidRDefault="00425758">
            <w:pPr>
              <w:pStyle w:val="yMiscellaneousBody"/>
              <w:rPr>
                <w:sz w:val="20"/>
              </w:rPr>
            </w:pPr>
            <w:r>
              <w:rPr>
                <w:sz w:val="20"/>
              </w:rPr>
              <w:t>CD</w:t>
            </w:r>
          </w:p>
          <w:p w:rsidR="00425758" w:rsidRDefault="00425758">
            <w:pPr>
              <w:pStyle w:val="yMiscellaneousBody"/>
              <w:jc w:val="right"/>
              <w:rPr>
                <w:sz w:val="20"/>
              </w:rPr>
            </w:pPr>
            <w:r>
              <w:rPr>
                <w:sz w:val="20"/>
              </w:rPr>
              <w:t>Defendant.</w:t>
            </w:r>
          </w:p>
        </w:tc>
      </w:tr>
      <w:tr w:rsidR="00425758">
        <w:tc>
          <w:tcPr>
            <w:tcW w:w="7088" w:type="dxa"/>
            <w:tcBorders>
              <w:top w:val="nil"/>
              <w:bottom w:val="nil"/>
            </w:tcBorders>
          </w:tcPr>
          <w:p w:rsidR="00425758" w:rsidRDefault="00425758">
            <w:pPr>
              <w:pStyle w:val="yMiscellaneousBody"/>
              <w:jc w:val="center"/>
              <w:rPr>
                <w:sz w:val="20"/>
              </w:rPr>
            </w:pPr>
            <w:r>
              <w:rPr>
                <w:b/>
                <w:sz w:val="20"/>
              </w:rPr>
              <w:t>DEFAULT JUDGMENT AFTER ASSESSMENT OF DAMAGES ETC.</w:t>
            </w:r>
            <w:r>
              <w:rPr>
                <w:sz w:val="20"/>
                <w:vertAlign w:val="superscript"/>
              </w:rPr>
              <w:t>1</w:t>
            </w:r>
          </w:p>
          <w:p w:rsidR="00425758" w:rsidRDefault="00425758">
            <w:pPr>
              <w:pStyle w:val="yMiscellaneousBody"/>
              <w:rPr>
                <w:sz w:val="20"/>
              </w:rPr>
            </w:pPr>
            <w:r>
              <w:rPr>
                <w:sz w:val="20"/>
              </w:rPr>
              <w:t>Judicial officer:</w:t>
            </w:r>
          </w:p>
          <w:p w:rsidR="00425758" w:rsidRDefault="00425758">
            <w:pPr>
              <w:pStyle w:val="yMiscellaneousBody"/>
              <w:rPr>
                <w:sz w:val="20"/>
              </w:rPr>
            </w:pPr>
            <w:r>
              <w:rPr>
                <w:sz w:val="20"/>
              </w:rPr>
              <w:t>Date of order:</w:t>
            </w:r>
          </w:p>
        </w:tc>
      </w:tr>
      <w:tr w:rsidR="00425758">
        <w:tc>
          <w:tcPr>
            <w:tcW w:w="7088" w:type="dxa"/>
            <w:tcBorders>
              <w:top w:val="nil"/>
              <w:bottom w:val="nil"/>
            </w:tcBorders>
          </w:tcPr>
          <w:p w:rsidR="00425758" w:rsidRDefault="00425758">
            <w:pPr>
              <w:pStyle w:val="yMiscellaneousBody"/>
              <w:rPr>
                <w:sz w:val="20"/>
              </w:rPr>
            </w:pPr>
            <w:r>
              <w:rPr>
                <w:sz w:val="20"/>
              </w:rPr>
              <w:t>The plaintiff having on the                 day of                        20     , obtained default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rsidR="00425758">
        <w:tc>
          <w:tcPr>
            <w:tcW w:w="7088" w:type="dxa"/>
            <w:tcBorders>
              <w:top w:val="nil"/>
              <w:bottom w:val="nil"/>
            </w:tcBorders>
          </w:tcPr>
          <w:p w:rsidR="00425758" w:rsidRDefault="00425758">
            <w:pPr>
              <w:pStyle w:val="yMiscellaneousBody"/>
              <w:rPr>
                <w:sz w:val="20"/>
              </w:rPr>
            </w:pPr>
            <w:r>
              <w:rPr>
                <w:b/>
                <w:sz w:val="20"/>
              </w:rPr>
              <w:t>THE COURT ORDERS THAT:</w:t>
            </w:r>
          </w:p>
          <w:p w:rsidR="00425758" w:rsidRDefault="00425758">
            <w:pPr>
              <w:pStyle w:val="yMiscellaneousBody"/>
              <w:rPr>
                <w:sz w:val="20"/>
              </w:rPr>
            </w:pPr>
            <w:r>
              <w:rPr>
                <w:sz w:val="20"/>
              </w:rPr>
              <w:t xml:space="preserve">The defendant pay the plaintiff — </w:t>
            </w:r>
          </w:p>
          <w:p w:rsidR="00425758" w:rsidRDefault="00425758">
            <w:pPr>
              <w:pStyle w:val="yMiscellaneousBody"/>
              <w:rPr>
                <w:sz w:val="20"/>
              </w:rPr>
            </w:pPr>
            <w:r>
              <w:rPr>
                <w:sz w:val="20"/>
              </w:rPr>
              <w:t>(a)</w:t>
            </w:r>
            <w:r>
              <w:rPr>
                <w:sz w:val="20"/>
              </w:rPr>
              <w:tab/>
              <w:t>$[</w:t>
            </w:r>
            <w:r>
              <w:rPr>
                <w:i/>
                <w:sz w:val="20"/>
              </w:rPr>
              <w:t>insert amount</w:t>
            </w:r>
            <w:r>
              <w:rPr>
                <w:sz w:val="20"/>
              </w:rPr>
              <w:t>]; and</w:t>
            </w:r>
          </w:p>
          <w:p w:rsidR="00425758" w:rsidRDefault="00425758">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rsidR="00425758">
        <w:tc>
          <w:tcPr>
            <w:tcW w:w="7088" w:type="dxa"/>
            <w:tcBorders>
              <w:top w:val="nil"/>
              <w:bottom w:val="nil"/>
            </w:tcBorders>
          </w:tcPr>
          <w:p w:rsidR="00425758" w:rsidRDefault="00425758">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rsidR="00425758" w:rsidRDefault="00425758">
            <w:pPr>
              <w:pStyle w:val="yMiscellaneousBody"/>
              <w:tabs>
                <w:tab w:val="left" w:pos="4538"/>
              </w:tabs>
              <w:rPr>
                <w:sz w:val="20"/>
              </w:rPr>
            </w:pPr>
            <w:r>
              <w:rPr>
                <w:sz w:val="20"/>
              </w:rPr>
              <w:tab/>
              <w:t>BY THE COURT</w:t>
            </w:r>
          </w:p>
          <w:p w:rsidR="00425758" w:rsidRDefault="00425758">
            <w:pPr>
              <w:pStyle w:val="yMiscellaneousBody"/>
              <w:tabs>
                <w:tab w:val="left" w:pos="4538"/>
              </w:tabs>
              <w:rPr>
                <w:sz w:val="20"/>
              </w:rPr>
            </w:pPr>
            <w:r>
              <w:rPr>
                <w:sz w:val="20"/>
              </w:rPr>
              <w:lastRenderedPageBreak/>
              <w:tab/>
              <w:t>REGISTRAR</w:t>
            </w:r>
          </w:p>
        </w:tc>
      </w:tr>
      <w:tr w:rsidR="00425758">
        <w:tc>
          <w:tcPr>
            <w:tcW w:w="7088" w:type="dxa"/>
            <w:tcBorders>
              <w:top w:val="nil"/>
              <w:bottom w:val="nil"/>
            </w:tcBorders>
          </w:tcPr>
          <w:p w:rsidR="00425758" w:rsidRDefault="00425758">
            <w:pPr>
              <w:pStyle w:val="yMiscellaneousBody"/>
              <w:rPr>
                <w:sz w:val="20"/>
              </w:rPr>
            </w:pPr>
            <w:r>
              <w:rPr>
                <w:b/>
                <w:sz w:val="20"/>
              </w:rPr>
              <w:lastRenderedPageBreak/>
              <w:t>NOTICE TO DEFENDANT</w:t>
            </w:r>
          </w:p>
          <w:p w:rsidR="00425758" w:rsidRDefault="00425758">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rsidR="00425758">
        <w:tc>
          <w:tcPr>
            <w:tcW w:w="7088" w:type="dxa"/>
            <w:tcBorders>
              <w:top w:val="nil"/>
              <w:bottom w:val="nil"/>
            </w:tcBorders>
          </w:tcPr>
          <w:p w:rsidR="00425758" w:rsidRDefault="00425758">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rsidR="00425758">
        <w:tc>
          <w:tcPr>
            <w:tcW w:w="7088" w:type="dxa"/>
            <w:tcBorders>
              <w:top w:val="nil"/>
              <w:bottom w:val="nil"/>
            </w:tcBorders>
          </w:tcPr>
          <w:p w:rsidR="00425758" w:rsidRDefault="00425758">
            <w:pPr>
              <w:pStyle w:val="yMiscellaneousBody"/>
              <w:tabs>
                <w:tab w:val="left" w:pos="176"/>
                <w:tab w:val="left" w:pos="601"/>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rsidR="00425758" w:rsidRDefault="00425758">
            <w:pPr>
              <w:pStyle w:val="yMiscellaneousBody"/>
              <w:tabs>
                <w:tab w:val="left" w:pos="176"/>
                <w:tab w:val="left" w:pos="601"/>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rsidR="00425758">
        <w:tc>
          <w:tcPr>
            <w:tcW w:w="7088" w:type="dxa"/>
            <w:tcBorders>
              <w:top w:val="nil"/>
              <w:bottom w:val="nil"/>
            </w:tcBorders>
          </w:tcPr>
          <w:p w:rsidR="00425758" w:rsidRDefault="00425758">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rsidR="00425758">
        <w:tc>
          <w:tcPr>
            <w:tcW w:w="7088" w:type="dxa"/>
            <w:tcBorders>
              <w:top w:val="nil"/>
            </w:tcBorders>
          </w:tcPr>
          <w:p w:rsidR="00425758" w:rsidRDefault="00425758">
            <w:pPr>
              <w:pStyle w:val="yMiscellaneousBody"/>
              <w:rPr>
                <w:sz w:val="20"/>
              </w:rPr>
            </w:pPr>
            <w:r>
              <w:rPr>
                <w:b/>
                <w:sz w:val="20"/>
              </w:rPr>
              <w:t>CONTACT DETAILS</w:t>
            </w:r>
          </w:p>
          <w:p w:rsidR="00425758" w:rsidRDefault="00425758">
            <w:pPr>
              <w:pStyle w:val="yMiscellaneousBody"/>
              <w:rPr>
                <w:sz w:val="20"/>
              </w:rPr>
            </w:pPr>
            <w:r>
              <w:rPr>
                <w:sz w:val="20"/>
              </w:rPr>
              <w:t>The name and address of the law firm representing the plaintiff is: [</w:t>
            </w:r>
            <w:r>
              <w:rPr>
                <w:i/>
                <w:sz w:val="20"/>
              </w:rPr>
              <w:t>insert name and address</w:t>
            </w:r>
            <w:r>
              <w:rPr>
                <w:sz w:val="20"/>
              </w:rPr>
              <w:t>].</w:t>
            </w:r>
          </w:p>
          <w:p w:rsidR="00425758" w:rsidRDefault="00425758">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rsidR="00425758" w:rsidRDefault="00425758">
      <w:pPr>
        <w:pStyle w:val="yMiscellaneousBody"/>
        <w:rPr>
          <w:sz w:val="16"/>
          <w:szCs w:val="16"/>
        </w:rPr>
      </w:pPr>
      <w:r>
        <w:rPr>
          <w:sz w:val="16"/>
          <w:szCs w:val="16"/>
        </w:rPr>
        <w:t>Note to Form 35:</w:t>
      </w:r>
    </w:p>
    <w:p w:rsidR="00425758" w:rsidRDefault="00425758">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rsidR="00425758" w:rsidRDefault="00425758">
      <w:pPr>
        <w:pStyle w:val="yFootnotesection"/>
      </w:pPr>
      <w:r>
        <w:tab/>
        <w:t>[Form 35 inserted: Gazette 16 Nov 2016 p. 5207</w:t>
      </w:r>
      <w:r>
        <w:noBreakHyphen/>
        <w:t>8.]</w:t>
      </w:r>
    </w:p>
    <w:p w:rsidR="00425758" w:rsidRDefault="00425758">
      <w:pPr>
        <w:pStyle w:val="yHeading5"/>
      </w:pPr>
      <w:bookmarkStart w:id="1376" w:name="_Toc75863941"/>
      <w:r>
        <w:rPr>
          <w:rStyle w:val="CharSClsNo"/>
        </w:rPr>
        <w:lastRenderedPageBreak/>
        <w:t>36</w:t>
      </w:r>
      <w:r>
        <w:t>.</w:t>
      </w:r>
      <w:r>
        <w:tab/>
        <w:t>Default judgment for possession of land other than in a mortgage action (O. 13 r. 5; O. 42 r. 1)</w:t>
      </w:r>
      <w:bookmarkEnd w:id="1376"/>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rsidR="00425758">
        <w:tc>
          <w:tcPr>
            <w:tcW w:w="7088" w:type="dxa"/>
            <w:tcBorders>
              <w:bottom w:val="nil"/>
            </w:tcBorders>
          </w:tcPr>
          <w:p w:rsidR="00425758" w:rsidRDefault="00425758">
            <w:pPr>
              <w:pStyle w:val="yMiscellaneousBody"/>
              <w:keepNext/>
              <w:keepLines/>
              <w:jc w:val="center"/>
              <w:rPr>
                <w:sz w:val="20"/>
              </w:rPr>
            </w:pPr>
            <w:r>
              <w:rPr>
                <w:b/>
                <w:sz w:val="20"/>
              </w:rPr>
              <w:t>IN THE SUPREME COURT OF WESTERN AUSTRALIA</w:t>
            </w:r>
          </w:p>
          <w:p w:rsidR="00425758" w:rsidRDefault="00425758">
            <w:pPr>
              <w:pStyle w:val="yMiscellaneousBody"/>
              <w:keepNext/>
              <w:keepLines/>
              <w:jc w:val="right"/>
              <w:rPr>
                <w:sz w:val="20"/>
              </w:rPr>
            </w:pPr>
            <w:r>
              <w:rPr>
                <w:sz w:val="20"/>
              </w:rPr>
              <w:t>No: .............. of 20 .......</w:t>
            </w:r>
          </w:p>
        </w:tc>
      </w:tr>
      <w:tr w:rsidR="00425758">
        <w:tc>
          <w:tcPr>
            <w:tcW w:w="7088" w:type="dxa"/>
            <w:tcBorders>
              <w:top w:val="nil"/>
              <w:bottom w:val="nil"/>
            </w:tcBorders>
          </w:tcPr>
          <w:p w:rsidR="00425758" w:rsidRDefault="00425758">
            <w:pPr>
              <w:pStyle w:val="yMiscellaneousBody"/>
              <w:keepNext/>
              <w:keepLines/>
              <w:rPr>
                <w:sz w:val="20"/>
              </w:rPr>
            </w:pPr>
            <w:r>
              <w:rPr>
                <w:sz w:val="20"/>
              </w:rPr>
              <w:t>BETWEEN:</w:t>
            </w:r>
          </w:p>
          <w:p w:rsidR="00425758" w:rsidRDefault="00425758">
            <w:pPr>
              <w:pStyle w:val="yMiscellaneousBody"/>
              <w:keepNext/>
              <w:keepLines/>
              <w:rPr>
                <w:sz w:val="20"/>
              </w:rPr>
            </w:pPr>
            <w:r>
              <w:rPr>
                <w:sz w:val="20"/>
              </w:rPr>
              <w:t>AB</w:t>
            </w:r>
          </w:p>
          <w:p w:rsidR="00425758" w:rsidRDefault="00425758">
            <w:pPr>
              <w:pStyle w:val="yMiscellaneousBody"/>
              <w:keepNext/>
              <w:keepLines/>
              <w:jc w:val="right"/>
              <w:rPr>
                <w:sz w:val="20"/>
              </w:rPr>
            </w:pPr>
            <w:r>
              <w:rPr>
                <w:sz w:val="20"/>
              </w:rPr>
              <w:t>Plaintiff,</w:t>
            </w:r>
          </w:p>
          <w:p w:rsidR="00425758" w:rsidRDefault="00425758">
            <w:pPr>
              <w:pStyle w:val="yMiscellaneousBody"/>
              <w:keepNext/>
              <w:keepLines/>
              <w:rPr>
                <w:sz w:val="20"/>
              </w:rPr>
            </w:pPr>
            <w:r>
              <w:rPr>
                <w:sz w:val="20"/>
              </w:rPr>
              <w:t>and</w:t>
            </w:r>
          </w:p>
          <w:p w:rsidR="00425758" w:rsidRDefault="00425758">
            <w:pPr>
              <w:pStyle w:val="yMiscellaneousBody"/>
              <w:keepNext/>
              <w:keepLines/>
              <w:rPr>
                <w:sz w:val="20"/>
              </w:rPr>
            </w:pPr>
            <w:r>
              <w:rPr>
                <w:sz w:val="20"/>
              </w:rPr>
              <w:t>CD</w:t>
            </w:r>
          </w:p>
          <w:p w:rsidR="00425758" w:rsidRDefault="00425758">
            <w:pPr>
              <w:pStyle w:val="yMiscellaneousBody"/>
              <w:keepNext/>
              <w:keepLines/>
              <w:jc w:val="right"/>
              <w:rPr>
                <w:sz w:val="20"/>
              </w:rPr>
            </w:pPr>
            <w:r>
              <w:rPr>
                <w:sz w:val="20"/>
              </w:rPr>
              <w:t>Defendant.</w:t>
            </w:r>
          </w:p>
        </w:tc>
      </w:tr>
      <w:tr w:rsidR="00425758">
        <w:tc>
          <w:tcPr>
            <w:tcW w:w="7088" w:type="dxa"/>
            <w:tcBorders>
              <w:top w:val="nil"/>
            </w:tcBorders>
          </w:tcPr>
          <w:p w:rsidR="00425758" w:rsidRDefault="00425758">
            <w:pPr>
              <w:pStyle w:val="yMiscellaneousBody"/>
              <w:keepNext/>
              <w:keepLines/>
              <w:jc w:val="center"/>
              <w:rPr>
                <w:sz w:val="20"/>
              </w:rPr>
            </w:pPr>
            <w:r>
              <w:rPr>
                <w:b/>
                <w:sz w:val="20"/>
              </w:rPr>
              <w:t>DEFAULT JUDGMENT FOR POSSESSION OF LAND OTHER THAN IN A MORTGAGE ACTION</w:t>
            </w:r>
          </w:p>
          <w:p w:rsidR="00425758" w:rsidRDefault="00425758">
            <w:pPr>
              <w:pStyle w:val="yMiscellaneousBody"/>
              <w:keepNext/>
              <w:keepLines/>
              <w:rPr>
                <w:sz w:val="20"/>
              </w:rPr>
            </w:pPr>
            <w:r>
              <w:rPr>
                <w:sz w:val="20"/>
              </w:rPr>
              <w:t>Judicial officer:</w:t>
            </w:r>
          </w:p>
          <w:p w:rsidR="00425758" w:rsidRDefault="00425758">
            <w:pPr>
              <w:pStyle w:val="yMiscellaneousBody"/>
              <w:keepNext/>
              <w:keepLines/>
              <w:rPr>
                <w:sz w:val="20"/>
              </w:rPr>
            </w:pPr>
            <w:r>
              <w:rPr>
                <w:sz w:val="20"/>
              </w:rPr>
              <w:t>Date of order:</w:t>
            </w:r>
          </w:p>
        </w:tc>
      </w:tr>
      <w:tr w:rsidR="00425758">
        <w:tc>
          <w:tcPr>
            <w:tcW w:w="7088" w:type="dxa"/>
          </w:tcPr>
          <w:p w:rsidR="00425758" w:rsidRDefault="00425758">
            <w:pPr>
              <w:pStyle w:val="yMiscellaneousBody"/>
              <w:rPr>
                <w:sz w:val="20"/>
              </w:rPr>
            </w:pPr>
            <w:r>
              <w:rPr>
                <w:b/>
                <w:sz w:val="20"/>
              </w:rPr>
              <w:t>THE COURT ORDERS THAT:</w:t>
            </w:r>
          </w:p>
          <w:p w:rsidR="00425758" w:rsidRDefault="00425758">
            <w:pPr>
              <w:pStyle w:val="yMiscellaneousBody"/>
              <w:tabs>
                <w:tab w:val="left" w:pos="400"/>
              </w:tabs>
              <w:ind w:left="410" w:hanging="410"/>
              <w:rPr>
                <w:sz w:val="20"/>
              </w:rPr>
            </w:pPr>
            <w:r>
              <w:rPr>
                <w:sz w:val="20"/>
              </w:rPr>
              <w:t>1.</w:t>
            </w:r>
            <w:r>
              <w:rPr>
                <w:sz w:val="20"/>
              </w:rPr>
              <w:tab/>
              <w:t>The defendant give the plaintiff vacant possession of the land described in the writ of summons [</w:t>
            </w:r>
            <w:r>
              <w:rPr>
                <w:i/>
                <w:sz w:val="20"/>
              </w:rPr>
              <w:t>or statement of claim</w:t>
            </w:r>
            <w:r>
              <w:rPr>
                <w:sz w:val="20"/>
              </w:rPr>
              <w:t>] as [</w:t>
            </w:r>
            <w:r>
              <w:rPr>
                <w:i/>
                <w:sz w:val="20"/>
              </w:rPr>
              <w:t>insert description of land</w:t>
            </w:r>
            <w:r>
              <w:rPr>
                <w:sz w:val="20"/>
              </w:rPr>
              <w:t>].</w:t>
            </w:r>
          </w:p>
          <w:p w:rsidR="00425758" w:rsidRDefault="00425758">
            <w:pPr>
              <w:pStyle w:val="yMiscellaneousBody"/>
              <w:tabs>
                <w:tab w:val="left" w:pos="400"/>
              </w:tabs>
              <w:ind w:left="410" w:hanging="410"/>
              <w:rPr>
                <w:sz w:val="20"/>
              </w:rPr>
            </w:pPr>
            <w:r>
              <w:rPr>
                <w:sz w:val="20"/>
              </w:rPr>
              <w:t>2.</w:t>
            </w:r>
            <w:r>
              <w:rPr>
                <w:sz w:val="20"/>
              </w:rPr>
              <w:tab/>
              <w:t>The defendant pay the plaintiff $[</w:t>
            </w:r>
            <w:r>
              <w:rPr>
                <w:i/>
                <w:sz w:val="20"/>
              </w:rPr>
              <w:t>insert amount</w:t>
            </w:r>
            <w:r>
              <w:rPr>
                <w:sz w:val="20"/>
              </w:rPr>
              <w:t>] costs [</w:t>
            </w:r>
            <w:r>
              <w:rPr>
                <w:i/>
                <w:sz w:val="20"/>
              </w:rPr>
              <w:t>or costs to be taxed</w:t>
            </w:r>
            <w:r>
              <w:rPr>
                <w:sz w:val="20"/>
              </w:rPr>
              <w:t>].</w:t>
            </w:r>
          </w:p>
        </w:tc>
      </w:tr>
      <w:tr w:rsidR="00425758">
        <w:tc>
          <w:tcPr>
            <w:tcW w:w="7088" w:type="dxa"/>
            <w:tcBorders>
              <w:bottom w:val="nil"/>
            </w:tcBorders>
          </w:tcPr>
          <w:p w:rsidR="00425758" w:rsidRDefault="00425758">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rsidR="00425758" w:rsidRDefault="00425758">
            <w:pPr>
              <w:pStyle w:val="yMiscellaneousBody"/>
              <w:tabs>
                <w:tab w:val="left" w:pos="4528"/>
              </w:tabs>
              <w:rPr>
                <w:sz w:val="20"/>
              </w:rPr>
            </w:pPr>
            <w:r>
              <w:rPr>
                <w:sz w:val="20"/>
              </w:rPr>
              <w:tab/>
              <w:t>BY THE COURT</w:t>
            </w:r>
          </w:p>
          <w:p w:rsidR="00425758" w:rsidRDefault="00425758">
            <w:pPr>
              <w:pStyle w:val="yMiscellaneousBody"/>
              <w:tabs>
                <w:tab w:val="left" w:pos="4519"/>
              </w:tabs>
              <w:rPr>
                <w:sz w:val="20"/>
              </w:rPr>
            </w:pPr>
            <w:r>
              <w:rPr>
                <w:sz w:val="20"/>
              </w:rPr>
              <w:tab/>
              <w:t>REGISTRAR</w:t>
            </w:r>
          </w:p>
        </w:tc>
      </w:tr>
      <w:tr w:rsidR="00425758">
        <w:tc>
          <w:tcPr>
            <w:tcW w:w="7088" w:type="dxa"/>
            <w:tcBorders>
              <w:top w:val="nil"/>
              <w:bottom w:val="nil"/>
            </w:tcBorders>
          </w:tcPr>
          <w:p w:rsidR="00425758" w:rsidRDefault="00425758">
            <w:pPr>
              <w:pStyle w:val="yMiscellaneousBody"/>
              <w:rPr>
                <w:sz w:val="20"/>
              </w:rPr>
            </w:pPr>
            <w:r>
              <w:rPr>
                <w:b/>
                <w:sz w:val="20"/>
              </w:rPr>
              <w:t>NOTICE TO DEFENDANT</w:t>
            </w:r>
          </w:p>
          <w:p w:rsidR="00425758" w:rsidRDefault="00425758">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rsidR="00425758" w:rsidRDefault="00425758">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rsidR="00425758">
        <w:tc>
          <w:tcPr>
            <w:tcW w:w="7088" w:type="dxa"/>
            <w:tcBorders>
              <w:top w:val="nil"/>
            </w:tcBorders>
          </w:tcPr>
          <w:p w:rsidR="00425758" w:rsidRDefault="00425758">
            <w:pPr>
              <w:pStyle w:val="yMiscellaneousBody"/>
              <w:tabs>
                <w:tab w:val="left" w:pos="160"/>
                <w:tab w:val="left" w:pos="573"/>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rsidR="00425758" w:rsidRDefault="00425758">
            <w:pPr>
              <w:pStyle w:val="yMiscellaneousBody"/>
              <w:tabs>
                <w:tab w:val="left" w:pos="160"/>
                <w:tab w:val="left" w:pos="573"/>
              </w:tabs>
              <w:ind w:left="601" w:hanging="601"/>
              <w:rPr>
                <w:sz w:val="20"/>
              </w:rPr>
            </w:pPr>
            <w:r>
              <w:rPr>
                <w:sz w:val="20"/>
              </w:rPr>
              <w:lastRenderedPageBreak/>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rsidR="00425758">
        <w:tc>
          <w:tcPr>
            <w:tcW w:w="7088" w:type="dxa"/>
            <w:tcBorders>
              <w:bottom w:val="nil"/>
            </w:tcBorders>
          </w:tcPr>
          <w:p w:rsidR="00425758" w:rsidRDefault="00425758">
            <w:pPr>
              <w:pStyle w:val="yMiscellaneousBody"/>
              <w:rPr>
                <w:sz w:val="20"/>
              </w:rPr>
            </w:pPr>
            <w:r>
              <w:rPr>
                <w:sz w:val="20"/>
              </w:rPr>
              <w:lastRenderedPageBreak/>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rsidR="00425758">
        <w:tc>
          <w:tcPr>
            <w:tcW w:w="7088" w:type="dxa"/>
            <w:tcBorders>
              <w:top w:val="nil"/>
              <w:bottom w:val="single" w:sz="4" w:space="0" w:color="auto"/>
            </w:tcBorders>
          </w:tcPr>
          <w:p w:rsidR="00425758" w:rsidRDefault="00425758">
            <w:pPr>
              <w:pStyle w:val="yMiscellaneousBody"/>
              <w:rPr>
                <w:sz w:val="20"/>
              </w:rPr>
            </w:pPr>
            <w:r>
              <w:rPr>
                <w:b/>
                <w:sz w:val="20"/>
              </w:rPr>
              <w:t>CONTACT DETAILS</w:t>
            </w:r>
          </w:p>
          <w:p w:rsidR="00425758" w:rsidRDefault="00425758">
            <w:pPr>
              <w:pStyle w:val="yMiscellaneousBody"/>
              <w:rPr>
                <w:sz w:val="20"/>
              </w:rPr>
            </w:pPr>
            <w:r>
              <w:rPr>
                <w:sz w:val="20"/>
              </w:rPr>
              <w:t>The name and address of the law firm representing the plaintiff is: [</w:t>
            </w:r>
            <w:r>
              <w:rPr>
                <w:i/>
                <w:sz w:val="20"/>
              </w:rPr>
              <w:t>insert name and address</w:t>
            </w:r>
            <w:r>
              <w:rPr>
                <w:sz w:val="20"/>
              </w:rPr>
              <w:t>].</w:t>
            </w:r>
          </w:p>
          <w:p w:rsidR="00425758" w:rsidRDefault="00425758">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rsidR="00425758" w:rsidRDefault="00425758">
      <w:pPr>
        <w:pStyle w:val="yFootnotesection"/>
      </w:pPr>
      <w:r>
        <w:tab/>
        <w:t>[Form 36 inserted: Gazette 16 Nov 2016 p. 5209-10.]</w:t>
      </w:r>
    </w:p>
    <w:p w:rsidR="00425758" w:rsidRDefault="00425758">
      <w:pPr>
        <w:pStyle w:val="yHeading5"/>
      </w:pPr>
      <w:bookmarkStart w:id="1377" w:name="_Toc75863942"/>
      <w:r>
        <w:rPr>
          <w:rStyle w:val="CharSClsNo"/>
        </w:rPr>
        <w:t>36A</w:t>
      </w:r>
      <w:r>
        <w:t>.</w:t>
      </w:r>
      <w:r>
        <w:tab/>
        <w:t>Notice to defendant of intention to request Court to make orders for possession, foreclosure or sale of mortgaged property (O. 13 r. 6)</w:t>
      </w:r>
      <w:bookmarkEnd w:id="1377"/>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rsidR="00425758">
        <w:trPr>
          <w:trHeight w:val="244"/>
        </w:trPr>
        <w:tc>
          <w:tcPr>
            <w:tcW w:w="3969" w:type="dxa"/>
            <w:gridSpan w:val="2"/>
            <w:vMerge w:val="restart"/>
          </w:tcPr>
          <w:p w:rsidR="00425758" w:rsidRDefault="00425758">
            <w:pPr>
              <w:pStyle w:val="yMiscellaneousBody"/>
              <w:rPr>
                <w:sz w:val="20"/>
              </w:rPr>
            </w:pPr>
            <w:r>
              <w:rPr>
                <w:b/>
                <w:sz w:val="20"/>
              </w:rPr>
              <w:t>Supreme Court of Western Australia</w:t>
            </w:r>
          </w:p>
        </w:tc>
        <w:tc>
          <w:tcPr>
            <w:tcW w:w="3111" w:type="dxa"/>
          </w:tcPr>
          <w:p w:rsidR="00425758" w:rsidRDefault="00425758">
            <w:pPr>
              <w:pStyle w:val="yMiscellaneousBody"/>
              <w:rPr>
                <w:sz w:val="20"/>
              </w:rPr>
            </w:pPr>
            <w:r>
              <w:rPr>
                <w:sz w:val="20"/>
              </w:rPr>
              <w:t>Action No:</w:t>
            </w:r>
          </w:p>
        </w:tc>
      </w:tr>
      <w:tr w:rsidR="00425758">
        <w:trPr>
          <w:trHeight w:val="243"/>
        </w:trPr>
        <w:tc>
          <w:tcPr>
            <w:tcW w:w="3969" w:type="dxa"/>
            <w:gridSpan w:val="2"/>
            <w:vMerge/>
          </w:tcPr>
          <w:p w:rsidR="00425758" w:rsidRDefault="00425758">
            <w:pPr>
              <w:pStyle w:val="zyMiscellaneousBody"/>
              <w:rPr>
                <w:sz w:val="20"/>
              </w:rPr>
            </w:pPr>
          </w:p>
        </w:tc>
        <w:tc>
          <w:tcPr>
            <w:tcW w:w="3111" w:type="dxa"/>
          </w:tcPr>
          <w:p w:rsidR="00425758" w:rsidRDefault="00425758">
            <w:pPr>
              <w:pStyle w:val="yMiscellaneousBody"/>
              <w:rPr>
                <w:sz w:val="20"/>
              </w:rPr>
            </w:pPr>
            <w:r>
              <w:rPr>
                <w:b/>
                <w:bCs/>
                <w:sz w:val="20"/>
              </w:rPr>
              <w:t>Notice to defendant of intention to request court to make orders for possession, foreclosure or sale of mortgaged property</w:t>
            </w:r>
          </w:p>
        </w:tc>
      </w:tr>
      <w:tr w:rsidR="00425758">
        <w:tc>
          <w:tcPr>
            <w:tcW w:w="1200" w:type="dxa"/>
          </w:tcPr>
          <w:p w:rsidR="00425758" w:rsidRDefault="00425758">
            <w:pPr>
              <w:pStyle w:val="yMiscellaneousBody"/>
              <w:rPr>
                <w:sz w:val="20"/>
              </w:rPr>
            </w:pPr>
            <w:r>
              <w:rPr>
                <w:sz w:val="20"/>
              </w:rPr>
              <w:t>Parties</w:t>
            </w:r>
          </w:p>
        </w:tc>
        <w:tc>
          <w:tcPr>
            <w:tcW w:w="5880" w:type="dxa"/>
            <w:gridSpan w:val="2"/>
          </w:tcPr>
          <w:p w:rsidR="00425758" w:rsidRDefault="00425758">
            <w:pPr>
              <w:pStyle w:val="yMiscellaneousBody"/>
              <w:tabs>
                <w:tab w:val="left" w:pos="3341"/>
              </w:tabs>
              <w:rPr>
                <w:sz w:val="20"/>
              </w:rPr>
            </w:pPr>
            <w:r>
              <w:rPr>
                <w:sz w:val="20"/>
              </w:rPr>
              <w:tab/>
              <w:t>Plaintiff</w:t>
            </w:r>
          </w:p>
          <w:p w:rsidR="00425758" w:rsidRDefault="00425758">
            <w:pPr>
              <w:pStyle w:val="yMiscellaneousBody"/>
              <w:tabs>
                <w:tab w:val="left" w:pos="3331"/>
              </w:tabs>
              <w:rPr>
                <w:sz w:val="20"/>
              </w:rPr>
            </w:pPr>
            <w:r>
              <w:rPr>
                <w:sz w:val="20"/>
              </w:rPr>
              <w:tab/>
              <w:t>Defendant</w:t>
            </w:r>
          </w:p>
        </w:tc>
      </w:tr>
      <w:tr w:rsidR="00425758">
        <w:tc>
          <w:tcPr>
            <w:tcW w:w="7080" w:type="dxa"/>
            <w:gridSpan w:val="3"/>
            <w:tcBorders>
              <w:bottom w:val="single" w:sz="4" w:space="0" w:color="auto"/>
            </w:tcBorders>
          </w:tcPr>
          <w:p w:rsidR="00425758" w:rsidRDefault="00425758">
            <w:pPr>
              <w:pStyle w:val="yMiscellaneousBody"/>
              <w:jc w:val="center"/>
              <w:rPr>
                <w:sz w:val="20"/>
              </w:rPr>
            </w:pPr>
            <w:r>
              <w:rPr>
                <w:b/>
                <w:sz w:val="20"/>
              </w:rPr>
              <w:t>Notice to [</w:t>
            </w:r>
            <w:r>
              <w:rPr>
                <w:b/>
                <w:i/>
                <w:sz w:val="20"/>
              </w:rPr>
              <w:t>insert name of defendant</w:t>
            </w:r>
            <w:r>
              <w:rPr>
                <w:b/>
                <w:sz w:val="20"/>
              </w:rPr>
              <w:t>]</w:t>
            </w:r>
          </w:p>
          <w:p w:rsidR="00425758" w:rsidRDefault="00425758">
            <w:pPr>
              <w:pStyle w:val="yMiscellaneousBody"/>
              <w:jc w:val="center"/>
              <w:rPr>
                <w:b/>
                <w:sz w:val="20"/>
              </w:rPr>
            </w:pPr>
            <w:r>
              <w:rPr>
                <w:b/>
                <w:sz w:val="20"/>
              </w:rPr>
              <w:t>THIS NOTICE CONTAINS IMPORTANT INFORMATION ABOUT YOUR RIGHTS. PLEASE READ IT CAREFULLY</w:t>
            </w:r>
          </w:p>
        </w:tc>
      </w:tr>
      <w:tr w:rsidR="00425758">
        <w:tc>
          <w:tcPr>
            <w:tcW w:w="7080" w:type="dxa"/>
            <w:gridSpan w:val="3"/>
            <w:tcBorders>
              <w:bottom w:val="nil"/>
            </w:tcBorders>
          </w:tcPr>
          <w:p w:rsidR="00425758" w:rsidRDefault="00425758">
            <w:pPr>
              <w:pStyle w:val="yMiscellaneousBody"/>
              <w:rPr>
                <w:sz w:val="20"/>
              </w:rPr>
            </w:pPr>
            <w:r>
              <w:rPr>
                <w:sz w:val="20"/>
              </w:rPr>
              <w:t>On [</w:t>
            </w:r>
            <w:r>
              <w:rPr>
                <w:i/>
                <w:sz w:val="20"/>
              </w:rPr>
              <w:t>date</w:t>
            </w:r>
            <w:r>
              <w:rPr>
                <w:sz w:val="20"/>
              </w:rPr>
              <w:t>] the plaintiff [</w:t>
            </w:r>
            <w:r>
              <w:rPr>
                <w:i/>
                <w:sz w:val="20"/>
              </w:rPr>
              <w:t>name</w:t>
            </w:r>
            <w:r>
              <w:rPr>
                <w:sz w:val="20"/>
              </w:rPr>
              <w:t xml:space="preserve"> </w:t>
            </w:r>
            <w:r>
              <w:rPr>
                <w:i/>
                <w:sz w:val="20"/>
              </w:rPr>
              <w:t>of plaintif</w:t>
            </w:r>
            <w:r>
              <w:rPr>
                <w:i/>
                <w:spacing w:val="20"/>
                <w:sz w:val="20"/>
              </w:rPr>
              <w:t>f</w:t>
            </w:r>
            <w:r>
              <w:rPr>
                <w:sz w:val="20"/>
              </w:rPr>
              <w:t>] served you with a notice and a writ of summons, copies of which are attached to this notice. You have not filed a Memorandum of Appearance at the Supreme Court of Western Australia.</w:t>
            </w:r>
          </w:p>
          <w:p w:rsidR="00425758" w:rsidRDefault="00425758">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now intends to ask the Court to order that</w:t>
            </w:r>
            <w:r>
              <w:rPr>
                <w:sz w:val="20"/>
                <w:vertAlign w:val="superscript"/>
              </w:rPr>
              <w:t>1</w:t>
            </w:r>
            <w:r>
              <w:rPr>
                <w:sz w:val="20"/>
              </w:rPr>
              <w:t xml:space="preserve"> — </w:t>
            </w:r>
          </w:p>
        </w:tc>
      </w:tr>
      <w:tr w:rsidR="00425758">
        <w:tc>
          <w:tcPr>
            <w:tcW w:w="7080" w:type="dxa"/>
            <w:gridSpan w:val="3"/>
            <w:tcBorders>
              <w:top w:val="nil"/>
              <w:bottom w:val="nil"/>
            </w:tcBorders>
          </w:tcPr>
          <w:p w:rsidR="00425758" w:rsidRDefault="00425758">
            <w:pPr>
              <w:pStyle w:val="yMiscellaneousBody"/>
              <w:tabs>
                <w:tab w:val="left" w:pos="227"/>
                <w:tab w:val="left" w:pos="652"/>
              </w:tabs>
              <w:ind w:left="652" w:hanging="652"/>
              <w:rPr>
                <w:sz w:val="20"/>
              </w:rPr>
            </w:pPr>
            <w:r>
              <w:rPr>
                <w:sz w:val="20"/>
              </w:rPr>
              <w:lastRenderedPageBreak/>
              <w:tab/>
              <w:t>1.</w:t>
            </w:r>
            <w:r>
              <w:rPr>
                <w:sz w:val="20"/>
              </w:rPr>
              <w:tab/>
              <w:t>You pay [</w:t>
            </w:r>
            <w:r>
              <w:rPr>
                <w:i/>
                <w:sz w:val="20"/>
              </w:rPr>
              <w:t>name</w:t>
            </w:r>
            <w:r>
              <w:rPr>
                <w:sz w:val="20"/>
              </w:rPr>
              <w:t xml:space="preserve"> </w:t>
            </w:r>
            <w:r>
              <w:rPr>
                <w:i/>
                <w:sz w:val="20"/>
              </w:rPr>
              <w:t>of plaintif</w:t>
            </w:r>
            <w:r>
              <w:rPr>
                <w:i/>
                <w:spacing w:val="20"/>
                <w:sz w:val="20"/>
              </w:rPr>
              <w:t>f</w:t>
            </w:r>
            <w:r>
              <w:rPr>
                <w:sz w:val="20"/>
              </w:rPr>
              <w:t>] $[</w:t>
            </w:r>
            <w:r>
              <w:rPr>
                <w:i/>
                <w:sz w:val="20"/>
              </w:rPr>
              <w:t>amount claimed</w:t>
            </w:r>
            <w:r>
              <w:rPr>
                <w:sz w:val="20"/>
              </w:rPr>
              <w:t>] plus interest of $[</w:t>
            </w:r>
            <w:r>
              <w:rPr>
                <w:i/>
                <w:sz w:val="20"/>
              </w:rPr>
              <w:t>amount of interest per day</w:t>
            </w:r>
            <w:r>
              <w:rPr>
                <w:sz w:val="20"/>
              </w:rPr>
              <w:t>] per day [</w:t>
            </w:r>
            <w:r>
              <w:rPr>
                <w:i/>
                <w:sz w:val="20"/>
              </w:rPr>
              <w:t>plus other amounts and reason (e.g. penalties)</w:t>
            </w:r>
            <w:r>
              <w:rPr>
                <w:sz w:val="20"/>
              </w:rPr>
              <w:t>] [</w:t>
            </w:r>
            <w:r>
              <w:rPr>
                <w:i/>
                <w:sz w:val="20"/>
              </w:rPr>
              <w:t>etc. as required</w:t>
            </w:r>
            <w:r>
              <w:rPr>
                <w:sz w:val="20"/>
              </w:rPr>
              <w:t>].</w:t>
            </w:r>
          </w:p>
        </w:tc>
      </w:tr>
      <w:tr w:rsidR="00425758">
        <w:tc>
          <w:tcPr>
            <w:tcW w:w="7080" w:type="dxa"/>
            <w:gridSpan w:val="3"/>
            <w:tcBorders>
              <w:top w:val="nil"/>
              <w:bottom w:val="nil"/>
            </w:tcBorders>
          </w:tcPr>
          <w:p w:rsidR="00425758" w:rsidRDefault="00425758">
            <w:pPr>
              <w:pStyle w:val="yMiscellaneousBody"/>
              <w:tabs>
                <w:tab w:val="left" w:pos="227"/>
                <w:tab w:val="left" w:pos="652"/>
              </w:tabs>
              <w:ind w:left="652" w:hanging="652"/>
              <w:rPr>
                <w:sz w:val="20"/>
              </w:rPr>
            </w:pPr>
            <w:r>
              <w:rPr>
                <w:sz w:val="20"/>
              </w:rPr>
              <w:tab/>
              <w:t>2.</w:t>
            </w:r>
            <w:r>
              <w:rPr>
                <w:sz w:val="20"/>
              </w:rPr>
              <w:tab/>
              <w:t>You give possession of your [</w:t>
            </w:r>
            <w:r>
              <w:rPr>
                <w:i/>
                <w:sz w:val="20"/>
              </w:rPr>
              <w:t>description of property</w:t>
            </w:r>
            <w:r>
              <w:rPr>
                <w:sz w:val="20"/>
              </w:rPr>
              <w:t>] [</w:t>
            </w:r>
            <w:r>
              <w:rPr>
                <w:i/>
                <w:sz w:val="20"/>
              </w:rPr>
              <w:t>at location of property if relevant</w:t>
            </w:r>
            <w:r>
              <w:rPr>
                <w:sz w:val="20"/>
              </w:rPr>
              <w:t>] to [</w:t>
            </w:r>
            <w:r>
              <w:rPr>
                <w:i/>
                <w:sz w:val="20"/>
              </w:rPr>
              <w:t>name</w:t>
            </w:r>
            <w:r>
              <w:rPr>
                <w:sz w:val="20"/>
              </w:rPr>
              <w:t xml:space="preserve"> </w:t>
            </w:r>
            <w:r>
              <w:rPr>
                <w:i/>
                <w:sz w:val="20"/>
              </w:rPr>
              <w:t>of plaintif</w:t>
            </w:r>
            <w:r>
              <w:rPr>
                <w:i/>
                <w:spacing w:val="20"/>
                <w:sz w:val="20"/>
              </w:rPr>
              <w:t>f</w:t>
            </w:r>
            <w:r>
              <w:rPr>
                <w:sz w:val="20"/>
              </w:rPr>
              <w:t>].</w:t>
            </w:r>
          </w:p>
        </w:tc>
      </w:tr>
      <w:tr w:rsidR="00425758">
        <w:tc>
          <w:tcPr>
            <w:tcW w:w="7080" w:type="dxa"/>
            <w:gridSpan w:val="3"/>
            <w:tcBorders>
              <w:top w:val="nil"/>
              <w:bottom w:val="nil"/>
            </w:tcBorders>
          </w:tcPr>
          <w:p w:rsidR="00425758" w:rsidRDefault="00425758">
            <w:pPr>
              <w:pStyle w:val="yMiscellaneousBody"/>
              <w:tabs>
                <w:tab w:val="left" w:pos="227"/>
                <w:tab w:val="left" w:pos="652"/>
              </w:tabs>
              <w:ind w:left="652" w:hanging="652"/>
              <w:rPr>
                <w:sz w:val="20"/>
              </w:rPr>
            </w:pPr>
            <w:r>
              <w:rPr>
                <w:sz w:val="20"/>
              </w:rPr>
              <w:tab/>
              <w:t>3.</w:t>
            </w:r>
            <w:r>
              <w:rPr>
                <w:sz w:val="20"/>
              </w:rPr>
              <w:tab/>
              <w:t>You pay [</w:t>
            </w:r>
            <w:r>
              <w:rPr>
                <w:i/>
                <w:sz w:val="20"/>
              </w:rPr>
              <w:t>name</w:t>
            </w:r>
            <w:r>
              <w:rPr>
                <w:sz w:val="20"/>
              </w:rPr>
              <w:t xml:space="preserve"> </w:t>
            </w:r>
            <w:r>
              <w:rPr>
                <w:i/>
                <w:sz w:val="20"/>
              </w:rPr>
              <w:t>of plaintif</w:t>
            </w:r>
            <w:r>
              <w:rPr>
                <w:i/>
                <w:spacing w:val="20"/>
                <w:sz w:val="20"/>
              </w:rPr>
              <w:t>f</w:t>
            </w:r>
            <w:r>
              <w:rPr>
                <w:sz w:val="20"/>
              </w:rPr>
              <w:t>] costs of the action.</w:t>
            </w:r>
          </w:p>
          <w:p w:rsidR="00425758" w:rsidRDefault="00425758">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may request the Court to make these orders 11 days after this notice is served on you.</w:t>
            </w:r>
          </w:p>
        </w:tc>
      </w:tr>
      <w:tr w:rsidR="00425758">
        <w:tc>
          <w:tcPr>
            <w:tcW w:w="7080" w:type="dxa"/>
            <w:gridSpan w:val="3"/>
            <w:tcBorders>
              <w:top w:val="nil"/>
              <w:bottom w:val="nil"/>
            </w:tcBorders>
          </w:tcPr>
          <w:p w:rsidR="00425758" w:rsidRDefault="00425758">
            <w:pPr>
              <w:pStyle w:val="yMiscellaneousBody"/>
              <w:rPr>
                <w:sz w:val="20"/>
              </w:rPr>
            </w:pPr>
            <w:r>
              <w:rPr>
                <w:sz w:val="20"/>
              </w:rPr>
              <w:t xml:space="preserve">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rsidR="00425758">
        <w:tc>
          <w:tcPr>
            <w:tcW w:w="7080" w:type="dxa"/>
            <w:gridSpan w:val="3"/>
            <w:tcBorders>
              <w:top w:val="nil"/>
            </w:tcBorders>
          </w:tcPr>
          <w:p w:rsidR="00425758" w:rsidRDefault="00425758">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p w:rsidR="00425758" w:rsidRDefault="00425758">
            <w:pPr>
              <w:pStyle w:val="yMiscellaneousBody"/>
              <w:rPr>
                <w:sz w:val="20"/>
              </w:rPr>
            </w:pPr>
            <w:r>
              <w:rPr>
                <w:sz w:val="20"/>
              </w:rPr>
              <w:t>Date ________________________________</w:t>
            </w:r>
          </w:p>
          <w:p w:rsidR="00425758" w:rsidRDefault="00425758">
            <w:pPr>
              <w:pStyle w:val="yMiscellaneousBody"/>
              <w:rPr>
                <w:sz w:val="20"/>
              </w:rPr>
            </w:pPr>
            <w:r>
              <w:rPr>
                <w:sz w:val="20"/>
              </w:rPr>
              <w:t xml:space="preserve">        _________________________________</w:t>
            </w:r>
            <w:r>
              <w:rPr>
                <w:sz w:val="20"/>
              </w:rPr>
              <w:br/>
              <w:t xml:space="preserve">        [</w:t>
            </w:r>
            <w:r>
              <w:rPr>
                <w:i/>
                <w:sz w:val="20"/>
              </w:rPr>
              <w:t>Name of law firm representing plaintiff</w:t>
            </w:r>
            <w:r>
              <w:rPr>
                <w:sz w:val="20"/>
              </w:rPr>
              <w:t>]</w:t>
            </w:r>
          </w:p>
        </w:tc>
      </w:tr>
    </w:tbl>
    <w:p w:rsidR="00425758" w:rsidRDefault="00425758">
      <w:pPr>
        <w:pStyle w:val="yMiscellaneousBody"/>
        <w:rPr>
          <w:sz w:val="16"/>
          <w:szCs w:val="16"/>
        </w:rPr>
      </w:pPr>
      <w:r>
        <w:rPr>
          <w:sz w:val="16"/>
          <w:szCs w:val="16"/>
        </w:rPr>
        <w:t>Note to Form 36A:</w:t>
      </w:r>
    </w:p>
    <w:p w:rsidR="00425758" w:rsidRDefault="00425758">
      <w:pPr>
        <w:pStyle w:val="yMiscellaneousBody"/>
        <w:tabs>
          <w:tab w:val="left" w:pos="426"/>
        </w:tabs>
        <w:ind w:left="426" w:hanging="426"/>
        <w:rPr>
          <w:sz w:val="16"/>
          <w:szCs w:val="16"/>
        </w:rPr>
      </w:pPr>
      <w:r>
        <w:rPr>
          <w:sz w:val="16"/>
          <w:szCs w:val="16"/>
        </w:rPr>
        <w:t>1.</w:t>
      </w:r>
      <w:r>
        <w:rPr>
          <w:sz w:val="16"/>
          <w:szCs w:val="16"/>
        </w:rPr>
        <w:tab/>
        <w:t>The text of the order, or orders, should reflect the orders that will be sought. The proposed orders in this form are to be used only if applicable.</w:t>
      </w:r>
    </w:p>
    <w:p w:rsidR="00425758" w:rsidRDefault="00425758">
      <w:pPr>
        <w:pStyle w:val="yFootnotesection"/>
      </w:pPr>
      <w:r>
        <w:tab/>
        <w:t>[Form 36A inserted: Gazette 16 Nov 2016 p. 5210</w:t>
      </w:r>
      <w:r>
        <w:noBreakHyphen/>
        <w:t>11.]</w:t>
      </w:r>
    </w:p>
    <w:p w:rsidR="00425758" w:rsidRDefault="00425758">
      <w:pPr>
        <w:pStyle w:val="yHeading5"/>
      </w:pPr>
      <w:bookmarkStart w:id="1378" w:name="_Toc75863943"/>
      <w:r>
        <w:rPr>
          <w:rStyle w:val="CharSClsNo"/>
        </w:rPr>
        <w:t>36B</w:t>
      </w:r>
      <w:r>
        <w:t>.</w:t>
      </w:r>
      <w:r>
        <w:tab/>
        <w:t>Request to enter default judgment in a mortgage action (O. 13 r. 6)</w:t>
      </w:r>
      <w:bookmarkEnd w:id="137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567"/>
        <w:gridCol w:w="284"/>
        <w:gridCol w:w="709"/>
        <w:gridCol w:w="708"/>
        <w:gridCol w:w="284"/>
        <w:gridCol w:w="1693"/>
        <w:gridCol w:w="8"/>
      </w:tblGrid>
      <w:tr w:rsidR="00425758">
        <w:trPr>
          <w:gridAfter w:val="1"/>
          <w:wAfter w:w="8" w:type="dxa"/>
          <w:cantSplit/>
          <w:trHeight w:val="329"/>
        </w:trPr>
        <w:tc>
          <w:tcPr>
            <w:tcW w:w="3686" w:type="dxa"/>
            <w:gridSpan w:val="4"/>
            <w:vMerge w:val="restart"/>
          </w:tcPr>
          <w:p w:rsidR="00425758" w:rsidRDefault="00425758">
            <w:pPr>
              <w:pStyle w:val="yMiscellaneousBody"/>
              <w:rPr>
                <w:sz w:val="20"/>
              </w:rPr>
            </w:pPr>
            <w:r>
              <w:rPr>
                <w:b/>
                <w:sz w:val="20"/>
              </w:rPr>
              <w:t>Supreme Court of Western Australia</w:t>
            </w:r>
          </w:p>
        </w:tc>
        <w:tc>
          <w:tcPr>
            <w:tcW w:w="3394" w:type="dxa"/>
            <w:gridSpan w:val="4"/>
            <w:tcBorders>
              <w:bottom w:val="nil"/>
            </w:tcBorders>
            <w:vAlign w:val="center"/>
          </w:tcPr>
          <w:p w:rsidR="00425758" w:rsidRDefault="00425758">
            <w:pPr>
              <w:pStyle w:val="yMiscellaneousBody"/>
              <w:rPr>
                <w:sz w:val="20"/>
              </w:rPr>
            </w:pPr>
            <w:r>
              <w:rPr>
                <w:sz w:val="20"/>
              </w:rPr>
              <w:t>Action No:</w:t>
            </w:r>
          </w:p>
        </w:tc>
      </w:tr>
      <w:tr w:rsidR="00425758">
        <w:trPr>
          <w:gridAfter w:val="1"/>
          <w:wAfter w:w="8" w:type="dxa"/>
          <w:cantSplit/>
          <w:trHeight w:val="328"/>
        </w:trPr>
        <w:tc>
          <w:tcPr>
            <w:tcW w:w="3686" w:type="dxa"/>
            <w:gridSpan w:val="4"/>
            <w:vMerge/>
            <w:tcBorders>
              <w:bottom w:val="nil"/>
            </w:tcBorders>
          </w:tcPr>
          <w:p w:rsidR="00425758" w:rsidRDefault="00425758">
            <w:pPr>
              <w:pStyle w:val="zyMiscellaneousBody"/>
              <w:rPr>
                <w:sz w:val="20"/>
              </w:rPr>
            </w:pPr>
          </w:p>
        </w:tc>
        <w:tc>
          <w:tcPr>
            <w:tcW w:w="3394" w:type="dxa"/>
            <w:gridSpan w:val="4"/>
            <w:tcBorders>
              <w:bottom w:val="nil"/>
            </w:tcBorders>
            <w:vAlign w:val="center"/>
          </w:tcPr>
          <w:p w:rsidR="00425758" w:rsidRDefault="00425758">
            <w:pPr>
              <w:pStyle w:val="yMiscellaneousBody"/>
              <w:rPr>
                <w:sz w:val="20"/>
              </w:rPr>
            </w:pPr>
            <w:r>
              <w:rPr>
                <w:b/>
                <w:sz w:val="20"/>
              </w:rPr>
              <w:t>Request to enter default judgment in a mortgage action</w:t>
            </w:r>
          </w:p>
        </w:tc>
      </w:tr>
      <w:tr w:rsidR="00425758">
        <w:trPr>
          <w:gridAfter w:val="1"/>
          <w:wAfter w:w="8" w:type="dxa"/>
          <w:cantSplit/>
        </w:trPr>
        <w:tc>
          <w:tcPr>
            <w:tcW w:w="1560" w:type="dxa"/>
            <w:tcBorders>
              <w:bottom w:val="nil"/>
            </w:tcBorders>
          </w:tcPr>
          <w:p w:rsidR="00425758" w:rsidRDefault="00425758">
            <w:pPr>
              <w:pStyle w:val="yMiscellaneousBody"/>
              <w:rPr>
                <w:sz w:val="20"/>
              </w:rPr>
            </w:pPr>
            <w:r>
              <w:rPr>
                <w:sz w:val="20"/>
              </w:rPr>
              <w:t>Parties</w:t>
            </w:r>
          </w:p>
        </w:tc>
        <w:tc>
          <w:tcPr>
            <w:tcW w:w="5520" w:type="dxa"/>
            <w:gridSpan w:val="7"/>
            <w:tcBorders>
              <w:bottom w:val="nil"/>
            </w:tcBorders>
          </w:tcPr>
          <w:p w:rsidR="00425758" w:rsidRDefault="00425758">
            <w:pPr>
              <w:pStyle w:val="yMiscellaneousBody"/>
              <w:tabs>
                <w:tab w:val="left" w:pos="3251"/>
              </w:tabs>
              <w:rPr>
                <w:sz w:val="20"/>
              </w:rPr>
            </w:pPr>
            <w:r>
              <w:rPr>
                <w:sz w:val="20"/>
              </w:rPr>
              <w:tab/>
              <w:t>Plaintiff</w:t>
            </w:r>
          </w:p>
          <w:p w:rsidR="00425758" w:rsidRDefault="00425758">
            <w:pPr>
              <w:pStyle w:val="yMiscellaneousBody"/>
              <w:tabs>
                <w:tab w:val="left" w:pos="3251"/>
              </w:tabs>
              <w:rPr>
                <w:sz w:val="20"/>
              </w:rPr>
            </w:pPr>
            <w:r>
              <w:rPr>
                <w:sz w:val="20"/>
              </w:rPr>
              <w:tab/>
              <w:t>Defendant</w:t>
            </w:r>
          </w:p>
        </w:tc>
      </w:tr>
      <w:tr w:rsidR="00425758">
        <w:trPr>
          <w:gridAfter w:val="1"/>
          <w:wAfter w:w="8" w:type="dxa"/>
          <w:cantSplit/>
        </w:trPr>
        <w:tc>
          <w:tcPr>
            <w:tcW w:w="1560" w:type="dxa"/>
          </w:tcPr>
          <w:p w:rsidR="00425758" w:rsidRDefault="00425758">
            <w:pPr>
              <w:pStyle w:val="yMiscellaneousBody"/>
              <w:rPr>
                <w:sz w:val="20"/>
              </w:rPr>
            </w:pPr>
            <w:r>
              <w:rPr>
                <w:sz w:val="20"/>
              </w:rPr>
              <w:lastRenderedPageBreak/>
              <w:t>Request</w:t>
            </w:r>
          </w:p>
        </w:tc>
        <w:tc>
          <w:tcPr>
            <w:tcW w:w="5520" w:type="dxa"/>
            <w:gridSpan w:val="7"/>
          </w:tcPr>
          <w:p w:rsidR="00425758" w:rsidRDefault="00425758">
            <w:pPr>
              <w:pStyle w:val="yMiscellaneousBody"/>
              <w:rPr>
                <w:sz w:val="20"/>
              </w:rPr>
            </w:pPr>
            <w:r>
              <w:rPr>
                <w:sz w:val="20"/>
              </w:rPr>
              <w:t>The plaintiff requests the Supreme Court to enter default judgment against [</w:t>
            </w:r>
            <w:r>
              <w:rPr>
                <w:i/>
                <w:sz w:val="20"/>
              </w:rPr>
              <w:t>insert defendant</w:t>
            </w:r>
            <w:r>
              <w:rPr>
                <w:sz w:val="20"/>
              </w:rPr>
              <w:t>] on the ground that [</w:t>
            </w:r>
            <w:r>
              <w:rPr>
                <w:i/>
                <w:sz w:val="20"/>
              </w:rPr>
              <w:t>insert defendant</w:t>
            </w:r>
            <w:r>
              <w:rPr>
                <w:sz w:val="20"/>
              </w:rPr>
              <w:t>] has failed to enter an appearance to the writ of summons filed on [</w:t>
            </w:r>
            <w:r>
              <w:rPr>
                <w:i/>
                <w:sz w:val="20"/>
              </w:rPr>
              <w:t>insert</w:t>
            </w:r>
            <w:r>
              <w:rPr>
                <w:sz w:val="20"/>
              </w:rPr>
              <w:t xml:space="preserve"> </w:t>
            </w:r>
            <w:r>
              <w:rPr>
                <w:i/>
                <w:sz w:val="20"/>
              </w:rPr>
              <w:t>date</w:t>
            </w:r>
            <w:r>
              <w:rPr>
                <w:sz w:val="20"/>
              </w:rPr>
              <w:t>] and served on [</w:t>
            </w:r>
            <w:r>
              <w:rPr>
                <w:i/>
                <w:sz w:val="20"/>
              </w:rPr>
              <w:t>insert</w:t>
            </w:r>
            <w:r>
              <w:rPr>
                <w:sz w:val="20"/>
              </w:rPr>
              <w:t xml:space="preserve"> </w:t>
            </w:r>
            <w:r>
              <w:rPr>
                <w:i/>
                <w:sz w:val="20"/>
              </w:rPr>
              <w:t>date</w:t>
            </w:r>
            <w:r>
              <w:rPr>
                <w:sz w:val="20"/>
              </w:rPr>
              <w:t>].</w:t>
            </w:r>
          </w:p>
        </w:tc>
      </w:tr>
      <w:tr w:rsidR="00425758">
        <w:trPr>
          <w:gridAfter w:val="1"/>
          <w:wAfter w:w="8" w:type="dxa"/>
          <w:cantSplit/>
        </w:trPr>
        <w:tc>
          <w:tcPr>
            <w:tcW w:w="1560" w:type="dxa"/>
            <w:tcBorders>
              <w:bottom w:val="single" w:sz="4" w:space="0" w:color="auto"/>
            </w:tcBorders>
          </w:tcPr>
          <w:p w:rsidR="00425758" w:rsidRDefault="00425758">
            <w:pPr>
              <w:pStyle w:val="yMiscellaneousBody"/>
              <w:rPr>
                <w:sz w:val="20"/>
              </w:rPr>
            </w:pPr>
            <w:r>
              <w:rPr>
                <w:sz w:val="20"/>
              </w:rPr>
              <w:t>Orders sought</w:t>
            </w:r>
          </w:p>
        </w:tc>
        <w:tc>
          <w:tcPr>
            <w:tcW w:w="5520" w:type="dxa"/>
            <w:gridSpan w:val="7"/>
            <w:tcBorders>
              <w:bottom w:val="single" w:sz="4" w:space="0" w:color="auto"/>
            </w:tcBorders>
          </w:tcPr>
          <w:p w:rsidR="00425758" w:rsidRDefault="00425758">
            <w:pPr>
              <w:pStyle w:val="yMiscellaneousBody"/>
              <w:rPr>
                <w:sz w:val="20"/>
              </w:rPr>
            </w:pPr>
            <w:r>
              <w:rPr>
                <w:sz w:val="20"/>
              </w:rPr>
              <w:t>The plaintiff seeks the following orders:</w:t>
            </w:r>
          </w:p>
          <w:p w:rsidR="00425758" w:rsidRDefault="00425758">
            <w:pPr>
              <w:pStyle w:val="yMiscellaneousBody"/>
              <w:rPr>
                <w:sz w:val="20"/>
              </w:rPr>
            </w:pPr>
            <w:r>
              <w:rPr>
                <w:sz w:val="20"/>
              </w:rPr>
              <w:t>1.</w:t>
            </w:r>
            <w:r>
              <w:rPr>
                <w:sz w:val="20"/>
              </w:rPr>
              <w:tab/>
            </w:r>
          </w:p>
          <w:p w:rsidR="00425758" w:rsidRDefault="00425758">
            <w:pPr>
              <w:pStyle w:val="yMiscellaneousBody"/>
              <w:rPr>
                <w:sz w:val="20"/>
              </w:rPr>
            </w:pPr>
            <w:r>
              <w:rPr>
                <w:sz w:val="20"/>
              </w:rPr>
              <w:t>2.</w:t>
            </w:r>
            <w:r>
              <w:rPr>
                <w:sz w:val="20"/>
              </w:rPr>
              <w:tab/>
            </w:r>
          </w:p>
        </w:tc>
      </w:tr>
      <w:tr w:rsidR="00425758">
        <w:trPr>
          <w:gridAfter w:val="1"/>
          <w:wAfter w:w="8" w:type="dxa"/>
          <w:cantSplit/>
        </w:trPr>
        <w:tc>
          <w:tcPr>
            <w:tcW w:w="1560" w:type="dxa"/>
            <w:tcBorders>
              <w:bottom w:val="single" w:sz="4" w:space="0" w:color="auto"/>
            </w:tcBorders>
          </w:tcPr>
          <w:p w:rsidR="00425758" w:rsidRDefault="00425758">
            <w:pPr>
              <w:pStyle w:val="yMiscellaneousBody"/>
              <w:rPr>
                <w:sz w:val="20"/>
              </w:rPr>
            </w:pPr>
            <w:r>
              <w:rPr>
                <w:sz w:val="20"/>
              </w:rPr>
              <w:t>Amount owing and daily interest</w:t>
            </w:r>
          </w:p>
        </w:tc>
        <w:tc>
          <w:tcPr>
            <w:tcW w:w="5520" w:type="dxa"/>
            <w:gridSpan w:val="7"/>
            <w:tcBorders>
              <w:bottom w:val="single" w:sz="4" w:space="0" w:color="auto"/>
            </w:tcBorders>
          </w:tcPr>
          <w:p w:rsidR="00425758" w:rsidRDefault="00425758">
            <w:pPr>
              <w:pStyle w:val="yMiscellaneousBody"/>
              <w:rPr>
                <w:sz w:val="20"/>
              </w:rPr>
            </w:pPr>
            <w:r>
              <w:rPr>
                <w:sz w:val="20"/>
              </w:rPr>
              <w:t>The amount owing to the plaintiff under the mortgage as at the date of the filing of this notice is $[</w:t>
            </w:r>
            <w:r>
              <w:rPr>
                <w:i/>
                <w:sz w:val="20"/>
              </w:rPr>
              <w:t>insert amount</w:t>
            </w:r>
            <w:r>
              <w:rPr>
                <w:sz w:val="20"/>
              </w:rPr>
              <w:t>].</w:t>
            </w:r>
          </w:p>
          <w:p w:rsidR="00425758" w:rsidRDefault="00425758">
            <w:pPr>
              <w:pStyle w:val="yMiscellaneousBody"/>
              <w:rPr>
                <w:sz w:val="20"/>
              </w:rPr>
            </w:pPr>
            <w:r>
              <w:rPr>
                <w:sz w:val="20"/>
              </w:rPr>
              <w:t>The amount of a day’s interest is $[</w:t>
            </w:r>
            <w:r>
              <w:rPr>
                <w:i/>
                <w:sz w:val="20"/>
              </w:rPr>
              <w:t>insert amount</w:t>
            </w:r>
            <w:r>
              <w:rPr>
                <w:sz w:val="20"/>
              </w:rPr>
              <w:t>].</w:t>
            </w:r>
            <w:r>
              <w:rPr>
                <w:sz w:val="20"/>
                <w:vertAlign w:val="superscript"/>
              </w:rPr>
              <w:t>1</w:t>
            </w:r>
          </w:p>
        </w:tc>
      </w:tr>
      <w:tr w:rsidR="00425758">
        <w:trPr>
          <w:gridAfter w:val="1"/>
          <w:wAfter w:w="8" w:type="dxa"/>
          <w:cantSplit/>
        </w:trPr>
        <w:tc>
          <w:tcPr>
            <w:tcW w:w="1560" w:type="dxa"/>
            <w:tcBorders>
              <w:top w:val="single" w:sz="4" w:space="0" w:color="auto"/>
            </w:tcBorders>
          </w:tcPr>
          <w:p w:rsidR="00425758" w:rsidRDefault="00425758">
            <w:pPr>
              <w:pStyle w:val="yMiscellaneousBody"/>
              <w:rPr>
                <w:sz w:val="20"/>
              </w:rPr>
            </w:pPr>
            <w:r>
              <w:rPr>
                <w:sz w:val="20"/>
              </w:rPr>
              <w:t>Affidavits in support</w:t>
            </w:r>
          </w:p>
        </w:tc>
        <w:tc>
          <w:tcPr>
            <w:tcW w:w="5520" w:type="dxa"/>
            <w:gridSpan w:val="7"/>
            <w:tcBorders>
              <w:top w:val="single" w:sz="4" w:space="0" w:color="auto"/>
            </w:tcBorders>
          </w:tcPr>
          <w:p w:rsidR="00425758" w:rsidRDefault="00425758">
            <w:pPr>
              <w:pStyle w:val="yMiscellaneousBody"/>
              <w:rPr>
                <w:sz w:val="20"/>
              </w:rPr>
            </w:pPr>
            <w:r>
              <w:rPr>
                <w:sz w:val="20"/>
              </w:rPr>
              <w:t>The following affidavits containing all the information required by Order 13 rule 6(2)(b)(ii) are filed with this notice:</w:t>
            </w:r>
          </w:p>
          <w:p w:rsidR="00425758" w:rsidRDefault="00425758">
            <w:pPr>
              <w:pStyle w:val="yMiscellaneousBody"/>
              <w:rPr>
                <w:sz w:val="20"/>
              </w:rPr>
            </w:pPr>
            <w:r>
              <w:rPr>
                <w:sz w:val="20"/>
              </w:rPr>
              <w:t>1.</w:t>
            </w:r>
            <w:r>
              <w:rPr>
                <w:sz w:val="20"/>
              </w:rPr>
              <w:tab/>
            </w:r>
          </w:p>
          <w:p w:rsidR="00425758" w:rsidRDefault="00425758">
            <w:pPr>
              <w:pStyle w:val="yMiscellaneousBody"/>
              <w:rPr>
                <w:sz w:val="20"/>
              </w:rPr>
            </w:pPr>
            <w:r>
              <w:rPr>
                <w:sz w:val="20"/>
              </w:rPr>
              <w:t>2.</w:t>
            </w:r>
            <w:r>
              <w:rPr>
                <w:sz w:val="20"/>
              </w:rPr>
              <w:tab/>
            </w:r>
          </w:p>
        </w:tc>
      </w:tr>
      <w:tr w:rsidR="00425758">
        <w:trPr>
          <w:gridAfter w:val="1"/>
          <w:wAfter w:w="8" w:type="dxa"/>
          <w:cantSplit/>
          <w:trHeight w:val="473"/>
        </w:trPr>
        <w:tc>
          <w:tcPr>
            <w:tcW w:w="1560" w:type="dxa"/>
            <w:tcBorders>
              <w:top w:val="single" w:sz="4" w:space="0" w:color="auto"/>
              <w:bottom w:val="single" w:sz="4" w:space="0" w:color="auto"/>
            </w:tcBorders>
          </w:tcPr>
          <w:p w:rsidR="00425758" w:rsidRDefault="00425758">
            <w:pPr>
              <w:pStyle w:val="yMiscellaneousBody"/>
              <w:rPr>
                <w:sz w:val="20"/>
              </w:rPr>
            </w:pPr>
            <w:r>
              <w:rPr>
                <w:sz w:val="20"/>
              </w:rPr>
              <w:t>Date of Notice</w:t>
            </w:r>
          </w:p>
        </w:tc>
        <w:tc>
          <w:tcPr>
            <w:tcW w:w="1842" w:type="dxa"/>
            <w:gridSpan w:val="2"/>
            <w:tcBorders>
              <w:top w:val="single" w:sz="4" w:space="0" w:color="auto"/>
              <w:bottom w:val="single" w:sz="4" w:space="0" w:color="auto"/>
            </w:tcBorders>
          </w:tcPr>
          <w:p w:rsidR="00425758" w:rsidRDefault="00425758">
            <w:pPr>
              <w:pStyle w:val="zyMiscellaneousBody"/>
              <w:rPr>
                <w:sz w:val="20"/>
              </w:rPr>
            </w:pPr>
          </w:p>
        </w:tc>
        <w:tc>
          <w:tcPr>
            <w:tcW w:w="1701" w:type="dxa"/>
            <w:gridSpan w:val="3"/>
            <w:tcBorders>
              <w:top w:val="single" w:sz="4" w:space="0" w:color="auto"/>
              <w:bottom w:val="single" w:sz="4" w:space="0" w:color="auto"/>
            </w:tcBorders>
          </w:tcPr>
          <w:p w:rsidR="00425758" w:rsidRDefault="00425758">
            <w:pPr>
              <w:pStyle w:val="yMiscellaneousBody"/>
              <w:rPr>
                <w:sz w:val="20"/>
              </w:rPr>
            </w:pPr>
            <w:r>
              <w:rPr>
                <w:sz w:val="20"/>
              </w:rPr>
              <w:t>Date of filing</w:t>
            </w:r>
          </w:p>
        </w:tc>
        <w:tc>
          <w:tcPr>
            <w:tcW w:w="1977" w:type="dxa"/>
            <w:gridSpan w:val="2"/>
            <w:tcBorders>
              <w:top w:val="single" w:sz="4" w:space="0" w:color="auto"/>
              <w:bottom w:val="single" w:sz="4" w:space="0" w:color="auto"/>
            </w:tcBorders>
          </w:tcPr>
          <w:p w:rsidR="00425758" w:rsidRDefault="00425758">
            <w:pPr>
              <w:pStyle w:val="yMiscellaneousBody"/>
              <w:rPr>
                <w:sz w:val="20"/>
              </w:rPr>
            </w:pPr>
          </w:p>
        </w:tc>
      </w:tr>
      <w:tr w:rsidR="00425758">
        <w:trPr>
          <w:gridAfter w:val="1"/>
          <w:wAfter w:w="8" w:type="dxa"/>
          <w:cantSplit/>
          <w:trHeight w:val="473"/>
        </w:trPr>
        <w:tc>
          <w:tcPr>
            <w:tcW w:w="1560" w:type="dxa"/>
            <w:vMerge w:val="restart"/>
            <w:tcBorders>
              <w:top w:val="single" w:sz="4" w:space="0" w:color="auto"/>
            </w:tcBorders>
          </w:tcPr>
          <w:p w:rsidR="00425758" w:rsidRDefault="00425758">
            <w:pPr>
              <w:pStyle w:val="yMiscellaneousBody"/>
              <w:rPr>
                <w:sz w:val="20"/>
              </w:rPr>
            </w:pPr>
            <w:r>
              <w:rPr>
                <w:sz w:val="20"/>
              </w:rPr>
              <w:t>Contact details of party or lawyer</w:t>
            </w:r>
          </w:p>
        </w:tc>
        <w:tc>
          <w:tcPr>
            <w:tcW w:w="1275" w:type="dxa"/>
            <w:tcBorders>
              <w:top w:val="single" w:sz="4" w:space="0" w:color="auto"/>
              <w:bottom w:val="single" w:sz="4" w:space="0" w:color="auto"/>
            </w:tcBorders>
          </w:tcPr>
          <w:p w:rsidR="00425758" w:rsidRDefault="00425758">
            <w:pPr>
              <w:pStyle w:val="yMiscellaneousBody"/>
              <w:rPr>
                <w:sz w:val="20"/>
              </w:rPr>
            </w:pPr>
            <w:r>
              <w:rPr>
                <w:sz w:val="20"/>
              </w:rPr>
              <w:t>Name</w:t>
            </w:r>
          </w:p>
        </w:tc>
        <w:tc>
          <w:tcPr>
            <w:tcW w:w="4245" w:type="dxa"/>
            <w:gridSpan w:val="6"/>
            <w:tcBorders>
              <w:top w:val="single" w:sz="4" w:space="0" w:color="auto"/>
              <w:bottom w:val="single" w:sz="4" w:space="0" w:color="auto"/>
            </w:tcBorders>
          </w:tcPr>
          <w:p w:rsidR="00425758" w:rsidRDefault="00425758">
            <w:pPr>
              <w:pStyle w:val="yMiscellaneousBody"/>
              <w:rPr>
                <w:sz w:val="20"/>
              </w:rPr>
            </w:pPr>
          </w:p>
        </w:tc>
      </w:tr>
      <w:tr w:rsidR="00425758">
        <w:trPr>
          <w:gridAfter w:val="1"/>
          <w:wAfter w:w="8" w:type="dxa"/>
          <w:cantSplit/>
          <w:trHeight w:val="473"/>
        </w:trPr>
        <w:tc>
          <w:tcPr>
            <w:tcW w:w="1560" w:type="dxa"/>
            <w:vMerge/>
          </w:tcPr>
          <w:p w:rsidR="00425758" w:rsidRDefault="00425758">
            <w:pPr>
              <w:pStyle w:val="zyMiscellaneousBody"/>
              <w:ind w:left="0"/>
              <w:rPr>
                <w:sz w:val="20"/>
              </w:rPr>
            </w:pPr>
          </w:p>
        </w:tc>
        <w:tc>
          <w:tcPr>
            <w:tcW w:w="1275" w:type="dxa"/>
            <w:tcBorders>
              <w:top w:val="single" w:sz="4" w:space="0" w:color="auto"/>
              <w:bottom w:val="single" w:sz="4" w:space="0" w:color="auto"/>
            </w:tcBorders>
          </w:tcPr>
          <w:p w:rsidR="00425758" w:rsidRDefault="00425758">
            <w:pPr>
              <w:pStyle w:val="yMiscellaneousBody"/>
              <w:rPr>
                <w:sz w:val="20"/>
              </w:rPr>
            </w:pPr>
            <w:r>
              <w:rPr>
                <w:sz w:val="20"/>
              </w:rPr>
              <w:t>Firm</w:t>
            </w:r>
          </w:p>
        </w:tc>
        <w:tc>
          <w:tcPr>
            <w:tcW w:w="4245" w:type="dxa"/>
            <w:gridSpan w:val="6"/>
            <w:tcBorders>
              <w:top w:val="single" w:sz="4" w:space="0" w:color="auto"/>
              <w:bottom w:val="single" w:sz="4" w:space="0" w:color="auto"/>
            </w:tcBorders>
          </w:tcPr>
          <w:p w:rsidR="00425758" w:rsidRDefault="00425758">
            <w:pPr>
              <w:pStyle w:val="yMiscellaneousBody"/>
              <w:rPr>
                <w:sz w:val="20"/>
              </w:rPr>
            </w:pPr>
          </w:p>
        </w:tc>
      </w:tr>
      <w:tr w:rsidR="00425758">
        <w:trPr>
          <w:gridAfter w:val="1"/>
          <w:wAfter w:w="8" w:type="dxa"/>
          <w:cantSplit/>
          <w:trHeight w:val="473"/>
        </w:trPr>
        <w:tc>
          <w:tcPr>
            <w:tcW w:w="1560" w:type="dxa"/>
            <w:vMerge/>
            <w:tcBorders>
              <w:bottom w:val="nil"/>
            </w:tcBorders>
          </w:tcPr>
          <w:p w:rsidR="00425758" w:rsidRDefault="00425758">
            <w:pPr>
              <w:pStyle w:val="zyMiscellaneousBody"/>
              <w:ind w:left="0"/>
              <w:rPr>
                <w:sz w:val="20"/>
              </w:rPr>
            </w:pPr>
          </w:p>
        </w:tc>
        <w:tc>
          <w:tcPr>
            <w:tcW w:w="1275" w:type="dxa"/>
            <w:tcBorders>
              <w:top w:val="single" w:sz="4" w:space="0" w:color="auto"/>
              <w:bottom w:val="single" w:sz="4" w:space="0" w:color="auto"/>
            </w:tcBorders>
          </w:tcPr>
          <w:p w:rsidR="00425758" w:rsidRDefault="00425758">
            <w:pPr>
              <w:pStyle w:val="yMiscellaneousBody"/>
              <w:rPr>
                <w:sz w:val="20"/>
              </w:rPr>
            </w:pPr>
            <w:r>
              <w:rPr>
                <w:sz w:val="20"/>
              </w:rPr>
              <w:t>Address</w:t>
            </w:r>
          </w:p>
        </w:tc>
        <w:tc>
          <w:tcPr>
            <w:tcW w:w="4245" w:type="dxa"/>
            <w:gridSpan w:val="6"/>
            <w:tcBorders>
              <w:top w:val="single" w:sz="4" w:space="0" w:color="auto"/>
              <w:bottom w:val="single" w:sz="4" w:space="0" w:color="auto"/>
            </w:tcBorders>
          </w:tcPr>
          <w:p w:rsidR="00425758" w:rsidRDefault="00425758">
            <w:pPr>
              <w:pStyle w:val="yMiscellaneousBody"/>
              <w:rPr>
                <w:sz w:val="20"/>
              </w:rPr>
            </w:pPr>
          </w:p>
        </w:tc>
      </w:tr>
      <w:tr w:rsidR="00425758">
        <w:trPr>
          <w:gridAfter w:val="1"/>
          <w:wAfter w:w="8" w:type="dxa"/>
          <w:cantSplit/>
          <w:trHeight w:val="473"/>
        </w:trPr>
        <w:tc>
          <w:tcPr>
            <w:tcW w:w="1560" w:type="dxa"/>
            <w:vMerge w:val="restart"/>
            <w:tcBorders>
              <w:top w:val="nil"/>
            </w:tcBorders>
          </w:tcPr>
          <w:p w:rsidR="00425758" w:rsidRDefault="00425758">
            <w:pPr>
              <w:pStyle w:val="yMiscellaneousBody"/>
              <w:rPr>
                <w:sz w:val="20"/>
              </w:rPr>
            </w:pPr>
            <w:r>
              <w:rPr>
                <w:sz w:val="20"/>
              </w:rPr>
              <w:t>(These details will be inserted into the judgment.)</w:t>
            </w:r>
          </w:p>
        </w:tc>
        <w:tc>
          <w:tcPr>
            <w:tcW w:w="1275" w:type="dxa"/>
            <w:tcBorders>
              <w:top w:val="single" w:sz="4" w:space="0" w:color="auto"/>
              <w:bottom w:val="single" w:sz="4" w:space="0" w:color="auto"/>
            </w:tcBorders>
          </w:tcPr>
          <w:p w:rsidR="00425758" w:rsidRDefault="00425758">
            <w:pPr>
              <w:pStyle w:val="yMiscellaneousBody"/>
              <w:rPr>
                <w:sz w:val="20"/>
              </w:rPr>
            </w:pPr>
            <w:r>
              <w:rPr>
                <w:sz w:val="20"/>
              </w:rPr>
              <w:t>Phone</w:t>
            </w:r>
          </w:p>
        </w:tc>
        <w:tc>
          <w:tcPr>
            <w:tcW w:w="1560" w:type="dxa"/>
            <w:gridSpan w:val="3"/>
            <w:tcBorders>
              <w:top w:val="single" w:sz="4" w:space="0" w:color="auto"/>
              <w:bottom w:val="single" w:sz="4" w:space="0" w:color="auto"/>
            </w:tcBorders>
          </w:tcPr>
          <w:p w:rsidR="00425758" w:rsidRDefault="00425758">
            <w:pPr>
              <w:pStyle w:val="zyMiscellaneousBody"/>
              <w:keepNext/>
              <w:keepLines/>
              <w:widowControl w:val="0"/>
              <w:rPr>
                <w:sz w:val="20"/>
              </w:rPr>
            </w:pPr>
          </w:p>
        </w:tc>
        <w:tc>
          <w:tcPr>
            <w:tcW w:w="992" w:type="dxa"/>
            <w:gridSpan w:val="2"/>
            <w:tcBorders>
              <w:top w:val="single" w:sz="4" w:space="0" w:color="auto"/>
              <w:bottom w:val="single" w:sz="4" w:space="0" w:color="auto"/>
            </w:tcBorders>
          </w:tcPr>
          <w:p w:rsidR="00425758" w:rsidRDefault="00425758">
            <w:pPr>
              <w:pStyle w:val="yMiscellaneousBody"/>
              <w:rPr>
                <w:sz w:val="20"/>
              </w:rPr>
            </w:pPr>
            <w:r>
              <w:rPr>
                <w:sz w:val="20"/>
              </w:rPr>
              <w:t>Fax</w:t>
            </w:r>
          </w:p>
        </w:tc>
        <w:tc>
          <w:tcPr>
            <w:tcW w:w="1693" w:type="dxa"/>
            <w:tcBorders>
              <w:top w:val="single" w:sz="4" w:space="0" w:color="auto"/>
              <w:bottom w:val="single" w:sz="4" w:space="0" w:color="auto"/>
            </w:tcBorders>
          </w:tcPr>
          <w:p w:rsidR="00425758" w:rsidRDefault="00425758">
            <w:pPr>
              <w:pStyle w:val="yMiscellaneousBody"/>
              <w:rPr>
                <w:sz w:val="20"/>
              </w:rPr>
            </w:pPr>
          </w:p>
        </w:tc>
      </w:tr>
      <w:tr w:rsidR="00425758">
        <w:trPr>
          <w:gridAfter w:val="1"/>
          <w:wAfter w:w="8" w:type="dxa"/>
          <w:cantSplit/>
          <w:trHeight w:val="473"/>
        </w:trPr>
        <w:tc>
          <w:tcPr>
            <w:tcW w:w="1560" w:type="dxa"/>
            <w:vMerge/>
          </w:tcPr>
          <w:p w:rsidR="00425758" w:rsidRDefault="00425758">
            <w:pPr>
              <w:pStyle w:val="zyMiscellaneousBody"/>
              <w:keepNext/>
              <w:keepLines/>
              <w:widowControl w:val="0"/>
              <w:ind w:left="0"/>
              <w:rPr>
                <w:sz w:val="20"/>
              </w:rPr>
            </w:pPr>
          </w:p>
        </w:tc>
        <w:tc>
          <w:tcPr>
            <w:tcW w:w="1275" w:type="dxa"/>
            <w:tcBorders>
              <w:top w:val="single" w:sz="4" w:space="0" w:color="auto"/>
              <w:bottom w:val="single" w:sz="4" w:space="0" w:color="auto"/>
            </w:tcBorders>
          </w:tcPr>
          <w:p w:rsidR="00425758" w:rsidRDefault="00425758">
            <w:pPr>
              <w:pStyle w:val="yMiscellaneousBody"/>
              <w:rPr>
                <w:sz w:val="20"/>
              </w:rPr>
            </w:pPr>
            <w:r>
              <w:rPr>
                <w:sz w:val="20"/>
              </w:rPr>
              <w:t>Email</w:t>
            </w:r>
          </w:p>
        </w:tc>
        <w:tc>
          <w:tcPr>
            <w:tcW w:w="4245" w:type="dxa"/>
            <w:gridSpan w:val="6"/>
            <w:tcBorders>
              <w:top w:val="single" w:sz="4" w:space="0" w:color="auto"/>
              <w:bottom w:val="single" w:sz="4" w:space="0" w:color="auto"/>
            </w:tcBorders>
          </w:tcPr>
          <w:p w:rsidR="00425758" w:rsidRDefault="00425758">
            <w:pPr>
              <w:pStyle w:val="yMiscellaneousBody"/>
              <w:rPr>
                <w:sz w:val="20"/>
              </w:rPr>
            </w:pPr>
          </w:p>
        </w:tc>
      </w:tr>
      <w:tr w:rsidR="00425758">
        <w:trPr>
          <w:gridAfter w:val="1"/>
          <w:wAfter w:w="8" w:type="dxa"/>
          <w:cantSplit/>
          <w:trHeight w:val="473"/>
        </w:trPr>
        <w:tc>
          <w:tcPr>
            <w:tcW w:w="1560" w:type="dxa"/>
            <w:vMerge/>
            <w:tcBorders>
              <w:bottom w:val="single" w:sz="4" w:space="0" w:color="auto"/>
            </w:tcBorders>
          </w:tcPr>
          <w:p w:rsidR="00425758" w:rsidRDefault="00425758">
            <w:pPr>
              <w:pStyle w:val="zyMiscellaneousBody"/>
              <w:keepNext/>
              <w:keepLines/>
              <w:widowControl w:val="0"/>
              <w:ind w:left="0"/>
              <w:rPr>
                <w:sz w:val="20"/>
              </w:rPr>
            </w:pPr>
          </w:p>
        </w:tc>
        <w:tc>
          <w:tcPr>
            <w:tcW w:w="1275" w:type="dxa"/>
            <w:tcBorders>
              <w:top w:val="single" w:sz="4" w:space="0" w:color="auto"/>
              <w:bottom w:val="single" w:sz="4" w:space="0" w:color="auto"/>
            </w:tcBorders>
          </w:tcPr>
          <w:p w:rsidR="00425758" w:rsidRDefault="00425758">
            <w:pPr>
              <w:pStyle w:val="yMiscellaneousBody"/>
              <w:rPr>
                <w:sz w:val="20"/>
              </w:rPr>
            </w:pPr>
            <w:r>
              <w:rPr>
                <w:sz w:val="20"/>
              </w:rPr>
              <w:t>Reference</w:t>
            </w:r>
          </w:p>
        </w:tc>
        <w:tc>
          <w:tcPr>
            <w:tcW w:w="4245" w:type="dxa"/>
            <w:gridSpan w:val="6"/>
            <w:tcBorders>
              <w:top w:val="single" w:sz="4" w:space="0" w:color="auto"/>
              <w:bottom w:val="single" w:sz="4" w:space="0" w:color="auto"/>
            </w:tcBorders>
          </w:tcPr>
          <w:p w:rsidR="00425758" w:rsidRDefault="00425758">
            <w:pPr>
              <w:pStyle w:val="yMiscellaneousBody"/>
              <w:rPr>
                <w:sz w:val="20"/>
              </w:rPr>
            </w:pPr>
          </w:p>
        </w:tc>
      </w:tr>
      <w:tr w:rsidR="00425758">
        <w:trPr>
          <w:cantSplit/>
          <w:trHeight w:val="473"/>
        </w:trPr>
        <w:tc>
          <w:tcPr>
            <w:tcW w:w="1560" w:type="dxa"/>
            <w:tcBorders>
              <w:top w:val="single" w:sz="4" w:space="0" w:color="auto"/>
              <w:bottom w:val="single" w:sz="4" w:space="0" w:color="auto"/>
            </w:tcBorders>
          </w:tcPr>
          <w:p w:rsidR="00425758" w:rsidRDefault="00425758">
            <w:pPr>
              <w:pStyle w:val="yMiscellaneousBody"/>
              <w:rPr>
                <w:sz w:val="20"/>
              </w:rPr>
            </w:pPr>
            <w:r>
              <w:rPr>
                <w:sz w:val="20"/>
              </w:rPr>
              <w:t>Signature of party or lawyer</w:t>
            </w:r>
          </w:p>
        </w:tc>
        <w:tc>
          <w:tcPr>
            <w:tcW w:w="3827" w:type="dxa"/>
            <w:gridSpan w:val="6"/>
            <w:tcBorders>
              <w:top w:val="single" w:sz="4" w:space="0" w:color="auto"/>
              <w:bottom w:val="single" w:sz="4" w:space="0" w:color="auto"/>
            </w:tcBorders>
          </w:tcPr>
          <w:p w:rsidR="00425758" w:rsidRDefault="00425758">
            <w:pPr>
              <w:pStyle w:val="yMiscellaneousBody"/>
              <w:rPr>
                <w:sz w:val="20"/>
              </w:rPr>
            </w:pPr>
            <w:r>
              <w:rPr>
                <w:b/>
                <w:sz w:val="20"/>
              </w:rPr>
              <w:br/>
            </w:r>
            <w:r>
              <w:rPr>
                <w:b/>
                <w:sz w:val="20"/>
              </w:rPr>
              <w:br/>
            </w:r>
            <w:r>
              <w:rPr>
                <w:sz w:val="20"/>
              </w:rPr>
              <w:t>Party/Party’s Lawyer</w:t>
            </w:r>
          </w:p>
        </w:tc>
        <w:tc>
          <w:tcPr>
            <w:tcW w:w="1701" w:type="dxa"/>
            <w:gridSpan w:val="2"/>
            <w:tcBorders>
              <w:top w:val="single" w:sz="4" w:space="0" w:color="auto"/>
              <w:bottom w:val="single" w:sz="4" w:space="0" w:color="auto"/>
            </w:tcBorders>
          </w:tcPr>
          <w:p w:rsidR="00425758" w:rsidRDefault="00425758">
            <w:pPr>
              <w:pStyle w:val="yMiscellaneousBody"/>
              <w:rPr>
                <w:sz w:val="20"/>
              </w:rPr>
            </w:pPr>
            <w:r>
              <w:rPr>
                <w:sz w:val="20"/>
              </w:rPr>
              <w:t>Date</w:t>
            </w:r>
          </w:p>
        </w:tc>
      </w:tr>
    </w:tbl>
    <w:p w:rsidR="00425758" w:rsidRDefault="00425758">
      <w:pPr>
        <w:pStyle w:val="yMiscellaneousBody"/>
        <w:rPr>
          <w:sz w:val="16"/>
          <w:szCs w:val="16"/>
        </w:rPr>
      </w:pPr>
      <w:r>
        <w:rPr>
          <w:sz w:val="16"/>
          <w:szCs w:val="16"/>
        </w:rPr>
        <w:t>Note to Form 36B:</w:t>
      </w:r>
    </w:p>
    <w:p w:rsidR="00425758" w:rsidRDefault="00425758">
      <w:pPr>
        <w:pStyle w:val="yMiscellaneousBody"/>
        <w:tabs>
          <w:tab w:val="left" w:pos="426"/>
        </w:tabs>
        <w:ind w:left="426" w:hanging="426"/>
        <w:rPr>
          <w:sz w:val="16"/>
          <w:szCs w:val="16"/>
        </w:rPr>
      </w:pPr>
      <w:r>
        <w:rPr>
          <w:sz w:val="16"/>
          <w:szCs w:val="16"/>
        </w:rPr>
        <w:t>1.</w:t>
      </w:r>
      <w:r>
        <w:rPr>
          <w:sz w:val="16"/>
          <w:szCs w:val="16"/>
        </w:rPr>
        <w:tab/>
        <w:t>This item must be included if the claim includes a claim for interest to judgment. See Order 13 rule 6(3)(b).</w:t>
      </w:r>
    </w:p>
    <w:p w:rsidR="00425758" w:rsidRDefault="00425758">
      <w:pPr>
        <w:pStyle w:val="yFootnotesection"/>
      </w:pPr>
      <w:r>
        <w:tab/>
        <w:t>[Form 36B inserted: Gazette 16 Nov 2016 p. 5212</w:t>
      </w:r>
      <w:r>
        <w:noBreakHyphen/>
        <w:t>13.]</w:t>
      </w:r>
    </w:p>
    <w:p w:rsidR="00425758" w:rsidRDefault="00425758">
      <w:pPr>
        <w:pStyle w:val="yHeading5"/>
      </w:pPr>
      <w:bookmarkStart w:id="1379" w:name="_Toc75863944"/>
      <w:r>
        <w:rPr>
          <w:rStyle w:val="CharSClsNo"/>
        </w:rPr>
        <w:lastRenderedPageBreak/>
        <w:t>36C</w:t>
      </w:r>
      <w:r>
        <w:t>.</w:t>
      </w:r>
      <w:r>
        <w:tab/>
        <w:t>Default judgment in a mortgage action (O. 13 r. 6; O. 42 r. 1)</w:t>
      </w:r>
      <w:bookmarkEnd w:id="1379"/>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rsidR="00425758">
        <w:tc>
          <w:tcPr>
            <w:tcW w:w="7088" w:type="dxa"/>
            <w:tcBorders>
              <w:bottom w:val="nil"/>
            </w:tcBorders>
          </w:tcPr>
          <w:p w:rsidR="00425758" w:rsidRDefault="00425758">
            <w:pPr>
              <w:pStyle w:val="yMiscellaneousBody"/>
              <w:jc w:val="center"/>
              <w:rPr>
                <w:sz w:val="20"/>
              </w:rPr>
            </w:pPr>
            <w:r>
              <w:rPr>
                <w:b/>
                <w:sz w:val="20"/>
              </w:rPr>
              <w:t>IN THE SUPREME COURT OF WESTERN AUSTRALIA</w:t>
            </w:r>
          </w:p>
          <w:p w:rsidR="00425758" w:rsidRDefault="00425758">
            <w:pPr>
              <w:pStyle w:val="yMiscellaneousBody"/>
              <w:jc w:val="right"/>
              <w:rPr>
                <w:sz w:val="20"/>
              </w:rPr>
            </w:pPr>
            <w:r>
              <w:rPr>
                <w:sz w:val="20"/>
              </w:rPr>
              <w:t>No: .............. of 20 .......</w:t>
            </w:r>
          </w:p>
        </w:tc>
      </w:tr>
      <w:tr w:rsidR="00425758">
        <w:tc>
          <w:tcPr>
            <w:tcW w:w="7088" w:type="dxa"/>
            <w:tcBorders>
              <w:top w:val="nil"/>
              <w:bottom w:val="nil"/>
            </w:tcBorders>
          </w:tcPr>
          <w:p w:rsidR="00425758" w:rsidRDefault="00425758">
            <w:pPr>
              <w:pStyle w:val="yMiscellaneousBody"/>
              <w:rPr>
                <w:sz w:val="20"/>
              </w:rPr>
            </w:pPr>
            <w:r>
              <w:rPr>
                <w:sz w:val="20"/>
              </w:rPr>
              <w:t>BETWEEN:</w:t>
            </w:r>
          </w:p>
          <w:p w:rsidR="00425758" w:rsidRDefault="00425758">
            <w:pPr>
              <w:pStyle w:val="yMiscellaneousBody"/>
              <w:rPr>
                <w:sz w:val="20"/>
              </w:rPr>
            </w:pPr>
            <w:r>
              <w:rPr>
                <w:sz w:val="20"/>
              </w:rPr>
              <w:t>AB</w:t>
            </w:r>
          </w:p>
          <w:p w:rsidR="00425758" w:rsidRDefault="00425758">
            <w:pPr>
              <w:pStyle w:val="yMiscellaneousBody"/>
              <w:jc w:val="right"/>
              <w:rPr>
                <w:sz w:val="20"/>
              </w:rPr>
            </w:pPr>
            <w:r>
              <w:rPr>
                <w:sz w:val="20"/>
              </w:rPr>
              <w:t>Plaintiff,</w:t>
            </w:r>
          </w:p>
          <w:p w:rsidR="00425758" w:rsidRDefault="00425758">
            <w:pPr>
              <w:pStyle w:val="yMiscellaneousBody"/>
              <w:rPr>
                <w:sz w:val="20"/>
              </w:rPr>
            </w:pPr>
            <w:r>
              <w:rPr>
                <w:sz w:val="20"/>
              </w:rPr>
              <w:t>and</w:t>
            </w:r>
          </w:p>
          <w:p w:rsidR="00425758" w:rsidRDefault="00425758">
            <w:pPr>
              <w:pStyle w:val="yMiscellaneousBody"/>
              <w:rPr>
                <w:sz w:val="20"/>
              </w:rPr>
            </w:pPr>
            <w:r>
              <w:rPr>
                <w:sz w:val="20"/>
              </w:rPr>
              <w:t>CD</w:t>
            </w:r>
          </w:p>
          <w:p w:rsidR="00425758" w:rsidRDefault="00425758">
            <w:pPr>
              <w:pStyle w:val="yMiscellaneousBody"/>
              <w:jc w:val="right"/>
              <w:rPr>
                <w:sz w:val="20"/>
              </w:rPr>
            </w:pPr>
            <w:r>
              <w:rPr>
                <w:sz w:val="20"/>
              </w:rPr>
              <w:t>Defendant.</w:t>
            </w:r>
          </w:p>
        </w:tc>
      </w:tr>
      <w:tr w:rsidR="00425758">
        <w:tc>
          <w:tcPr>
            <w:tcW w:w="7088" w:type="dxa"/>
            <w:tcBorders>
              <w:top w:val="nil"/>
              <w:bottom w:val="nil"/>
            </w:tcBorders>
          </w:tcPr>
          <w:p w:rsidR="00425758" w:rsidRDefault="00425758">
            <w:pPr>
              <w:pStyle w:val="yMiscellaneousBody"/>
              <w:jc w:val="right"/>
              <w:rPr>
                <w:sz w:val="20"/>
              </w:rPr>
            </w:pPr>
            <w:r>
              <w:rPr>
                <w:b/>
                <w:sz w:val="20"/>
              </w:rPr>
              <w:t>DEFAULT JUDGMENT IN A MORTGAGE ACTION</w:t>
            </w:r>
          </w:p>
          <w:p w:rsidR="00425758" w:rsidRDefault="00425758">
            <w:pPr>
              <w:pStyle w:val="yMiscellaneousBody"/>
              <w:rPr>
                <w:sz w:val="20"/>
              </w:rPr>
            </w:pPr>
            <w:r>
              <w:rPr>
                <w:sz w:val="20"/>
              </w:rPr>
              <w:t>Judicial officer:</w:t>
            </w:r>
          </w:p>
          <w:p w:rsidR="00425758" w:rsidRDefault="00425758">
            <w:pPr>
              <w:pStyle w:val="yMiscellaneousBody"/>
              <w:rPr>
                <w:sz w:val="20"/>
              </w:rPr>
            </w:pPr>
            <w:r>
              <w:rPr>
                <w:sz w:val="20"/>
              </w:rPr>
              <w:t>Date of order:</w:t>
            </w:r>
          </w:p>
        </w:tc>
      </w:tr>
      <w:tr w:rsidR="00425758">
        <w:tc>
          <w:tcPr>
            <w:tcW w:w="7088" w:type="dxa"/>
            <w:tcBorders>
              <w:top w:val="nil"/>
              <w:bottom w:val="nil"/>
            </w:tcBorders>
          </w:tcPr>
          <w:p w:rsidR="00425758" w:rsidRDefault="00425758">
            <w:pPr>
              <w:pStyle w:val="yMiscellaneousBody"/>
              <w:rPr>
                <w:sz w:val="20"/>
              </w:rPr>
            </w:pPr>
            <w:r>
              <w:rPr>
                <w:b/>
                <w:sz w:val="20"/>
              </w:rPr>
              <w:t>THE COURT ORDERS THAT</w:t>
            </w:r>
            <w:r>
              <w:rPr>
                <w:sz w:val="20"/>
                <w:vertAlign w:val="superscript"/>
              </w:rPr>
              <w:t>1</w:t>
            </w:r>
            <w:r>
              <w:rPr>
                <w:b/>
                <w:sz w:val="20"/>
              </w:rPr>
              <w:t>:</w:t>
            </w:r>
          </w:p>
          <w:p w:rsidR="00425758" w:rsidRDefault="00425758">
            <w:pPr>
              <w:pStyle w:val="yMiscellaneousBody"/>
              <w:tabs>
                <w:tab w:val="left" w:pos="410"/>
              </w:tabs>
              <w:ind w:left="424" w:hanging="424"/>
              <w:rPr>
                <w:sz w:val="20"/>
              </w:rPr>
            </w:pPr>
            <w:r>
              <w:rPr>
                <w:sz w:val="20"/>
              </w:rPr>
              <w:t>1.</w:t>
            </w:r>
            <w:r>
              <w:rPr>
                <w:sz w:val="20"/>
              </w:rPr>
              <w:tab/>
              <w:t>The defendant, within [</w:t>
            </w:r>
            <w:r>
              <w:rPr>
                <w:i/>
                <w:sz w:val="20"/>
              </w:rPr>
              <w:t>insert number</w:t>
            </w:r>
            <w:r>
              <w:rPr>
                <w:sz w:val="20"/>
              </w:rPr>
              <w:t>]</w:t>
            </w:r>
            <w:r>
              <w:rPr>
                <w:sz w:val="20"/>
                <w:vertAlign w:val="superscript"/>
              </w:rPr>
              <w:t>2 </w:t>
            </w:r>
            <w:r>
              <w:rPr>
                <w:sz w:val="20"/>
              </w:rPr>
              <w:t>days after service of this judgment, give the plaintiff [</w:t>
            </w:r>
            <w:r>
              <w:rPr>
                <w:i/>
                <w:sz w:val="20"/>
              </w:rPr>
              <w:t>insert “vacant” if applicable</w:t>
            </w:r>
            <w:r>
              <w:rPr>
                <w:sz w:val="20"/>
              </w:rPr>
              <w:t>] possession of [</w:t>
            </w:r>
            <w:r>
              <w:rPr>
                <w:i/>
                <w:sz w:val="20"/>
              </w:rPr>
              <w:t>description of property</w:t>
            </w:r>
            <w:r>
              <w:rPr>
                <w:sz w:val="20"/>
              </w:rPr>
              <w:t>] [</w:t>
            </w:r>
            <w:r>
              <w:rPr>
                <w:i/>
                <w:sz w:val="20"/>
              </w:rPr>
              <w:t>at location of property if relevant</w:t>
            </w:r>
            <w:r>
              <w:rPr>
                <w:sz w:val="20"/>
              </w:rPr>
              <w:t>].</w:t>
            </w:r>
          </w:p>
        </w:tc>
      </w:tr>
      <w:tr w:rsidR="00425758">
        <w:tc>
          <w:tcPr>
            <w:tcW w:w="7088" w:type="dxa"/>
            <w:tcBorders>
              <w:top w:val="nil"/>
            </w:tcBorders>
          </w:tcPr>
          <w:p w:rsidR="00425758" w:rsidRDefault="00425758">
            <w:pPr>
              <w:pStyle w:val="yMiscellaneousBody"/>
              <w:tabs>
                <w:tab w:val="left" w:pos="410"/>
              </w:tabs>
              <w:ind w:left="424" w:hanging="424"/>
              <w:rPr>
                <w:sz w:val="20"/>
              </w:rPr>
            </w:pPr>
            <w:r>
              <w:rPr>
                <w:sz w:val="20"/>
              </w:rPr>
              <w:t>2.</w:t>
            </w:r>
            <w:r>
              <w:rPr>
                <w:sz w:val="20"/>
              </w:rPr>
              <w:tab/>
              <w:t>The defendant pay the plaintiff —</w:t>
            </w:r>
          </w:p>
          <w:p w:rsidR="00425758" w:rsidRDefault="00425758">
            <w:pPr>
              <w:pStyle w:val="yMiscellaneousBody"/>
              <w:tabs>
                <w:tab w:val="left" w:pos="704"/>
                <w:tab w:val="left" w:pos="1293"/>
              </w:tabs>
              <w:ind w:left="1306" w:hanging="1306"/>
              <w:rPr>
                <w:sz w:val="20"/>
              </w:rPr>
            </w:pPr>
            <w:r>
              <w:rPr>
                <w:sz w:val="20"/>
              </w:rPr>
              <w:tab/>
              <w:t>(a)</w:t>
            </w:r>
            <w:r>
              <w:rPr>
                <w:sz w:val="20"/>
              </w:rPr>
              <w:tab/>
              <w:t>$[</w:t>
            </w:r>
            <w:r>
              <w:rPr>
                <w:i/>
                <w:sz w:val="20"/>
              </w:rPr>
              <w:t>insert amount</w:t>
            </w:r>
            <w:r>
              <w:rPr>
                <w:sz w:val="20"/>
              </w:rPr>
              <w:t>], which is the amount due under the mortgage as at today’s date; and</w:t>
            </w:r>
          </w:p>
          <w:p w:rsidR="00425758" w:rsidRDefault="00425758">
            <w:pPr>
              <w:pStyle w:val="yMiscellaneousBody"/>
              <w:tabs>
                <w:tab w:val="left" w:pos="704"/>
                <w:tab w:val="left" w:pos="1293"/>
              </w:tabs>
              <w:ind w:left="1306" w:hanging="1306"/>
              <w:rPr>
                <w:sz w:val="20"/>
              </w:rPr>
            </w:pPr>
            <w:r>
              <w:rPr>
                <w:sz w:val="20"/>
              </w:rPr>
              <w:tab/>
              <w:t>(b)</w:t>
            </w:r>
            <w:r>
              <w:rPr>
                <w:sz w:val="20"/>
              </w:rPr>
              <w:tab/>
              <w:t>interest of $[</w:t>
            </w:r>
            <w:r>
              <w:rPr>
                <w:i/>
                <w:sz w:val="20"/>
              </w:rPr>
              <w:t>insert amount</w:t>
            </w:r>
            <w:r>
              <w:rPr>
                <w:sz w:val="20"/>
              </w:rPr>
              <w:t>] per day from [</w:t>
            </w:r>
            <w:r>
              <w:rPr>
                <w:i/>
                <w:sz w:val="20"/>
              </w:rPr>
              <w:t>insert date</w:t>
            </w:r>
            <w:r>
              <w:rPr>
                <w:sz w:val="20"/>
              </w:rPr>
              <w:t>] until payment in full in accordance with the terms of the mortgage; and</w:t>
            </w:r>
          </w:p>
          <w:p w:rsidR="00425758" w:rsidRDefault="00425758">
            <w:pPr>
              <w:pStyle w:val="yMiscellaneousBody"/>
              <w:tabs>
                <w:tab w:val="left" w:pos="704"/>
                <w:tab w:val="left" w:pos="1293"/>
              </w:tabs>
              <w:ind w:left="1306" w:hanging="1306"/>
              <w:rPr>
                <w:sz w:val="20"/>
              </w:rPr>
            </w:pPr>
            <w:r>
              <w:rPr>
                <w:sz w:val="20"/>
              </w:rPr>
              <w:tab/>
              <w:t>(c)</w:t>
            </w:r>
            <w:r>
              <w:rPr>
                <w:sz w:val="20"/>
              </w:rPr>
              <w:tab/>
              <w:t>$[</w:t>
            </w:r>
            <w:r>
              <w:rPr>
                <w:i/>
                <w:sz w:val="20"/>
              </w:rPr>
              <w:t>insert amount</w:t>
            </w:r>
            <w:r>
              <w:rPr>
                <w:sz w:val="20"/>
              </w:rPr>
              <w:t>] costs [</w:t>
            </w:r>
            <w:r>
              <w:rPr>
                <w:i/>
                <w:sz w:val="20"/>
              </w:rPr>
              <w:t>or costs to be taxed</w:t>
            </w:r>
            <w:r>
              <w:rPr>
                <w:sz w:val="20"/>
              </w:rPr>
              <w:t>].</w:t>
            </w:r>
          </w:p>
        </w:tc>
      </w:tr>
      <w:tr w:rsidR="00425758">
        <w:tc>
          <w:tcPr>
            <w:tcW w:w="7088" w:type="dxa"/>
          </w:tcPr>
          <w:p w:rsidR="00425758" w:rsidRDefault="00425758">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rsidR="00425758" w:rsidRDefault="00425758">
            <w:pPr>
              <w:pStyle w:val="yMiscellaneousBody"/>
              <w:tabs>
                <w:tab w:val="left" w:pos="4548"/>
              </w:tabs>
              <w:rPr>
                <w:sz w:val="20"/>
              </w:rPr>
            </w:pPr>
            <w:r>
              <w:rPr>
                <w:sz w:val="20"/>
              </w:rPr>
              <w:tab/>
              <w:t>BY THE COURT</w:t>
            </w:r>
          </w:p>
          <w:p w:rsidR="00425758" w:rsidRDefault="00425758">
            <w:pPr>
              <w:pStyle w:val="yMiscellaneousBody"/>
              <w:tabs>
                <w:tab w:val="left" w:pos="4519"/>
              </w:tabs>
              <w:rPr>
                <w:sz w:val="20"/>
              </w:rPr>
            </w:pPr>
            <w:r>
              <w:rPr>
                <w:sz w:val="20"/>
              </w:rPr>
              <w:tab/>
              <w:t>REGISTRAR</w:t>
            </w:r>
          </w:p>
        </w:tc>
      </w:tr>
      <w:tr w:rsidR="00425758">
        <w:tc>
          <w:tcPr>
            <w:tcW w:w="7088" w:type="dxa"/>
          </w:tcPr>
          <w:p w:rsidR="00425758" w:rsidRDefault="00425758">
            <w:pPr>
              <w:pStyle w:val="yMiscellaneousBody"/>
              <w:rPr>
                <w:sz w:val="20"/>
              </w:rPr>
            </w:pPr>
            <w:r>
              <w:rPr>
                <w:b/>
                <w:sz w:val="20"/>
              </w:rPr>
              <w:t>NOTICE TO DEFENDANT</w:t>
            </w:r>
          </w:p>
          <w:p w:rsidR="00425758" w:rsidRDefault="00425758">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rsidR="00425758" w:rsidRDefault="00425758">
            <w:pPr>
              <w:pStyle w:val="yMiscellaneousBody"/>
              <w:rPr>
                <w:sz w:val="20"/>
              </w:rPr>
            </w:pPr>
            <w:r>
              <w:rPr>
                <w:sz w:val="20"/>
              </w:rPr>
              <w:lastRenderedPageBreak/>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rsidR="00425758">
        <w:tc>
          <w:tcPr>
            <w:tcW w:w="7088" w:type="dxa"/>
          </w:tcPr>
          <w:p w:rsidR="00425758" w:rsidRDefault="00425758">
            <w:pPr>
              <w:pStyle w:val="yMiscellaneousBody"/>
              <w:tabs>
                <w:tab w:val="left" w:pos="160"/>
                <w:tab w:val="left" w:pos="602"/>
              </w:tabs>
              <w:ind w:left="606" w:hanging="606"/>
              <w:rPr>
                <w:sz w:val="20"/>
              </w:rPr>
            </w:pPr>
            <w:r>
              <w:rPr>
                <w:sz w:val="20"/>
              </w:rPr>
              <w:lastRenderedPageBreak/>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rsidR="00425758" w:rsidRDefault="00425758">
            <w:pPr>
              <w:pStyle w:val="yMiscellaneousBody"/>
              <w:tabs>
                <w:tab w:val="left" w:pos="160"/>
                <w:tab w:val="left" w:pos="602"/>
              </w:tabs>
              <w:ind w:left="606" w:hanging="606"/>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rsidR="00425758">
        <w:tc>
          <w:tcPr>
            <w:tcW w:w="7088" w:type="dxa"/>
          </w:tcPr>
          <w:p w:rsidR="00425758" w:rsidRDefault="00425758">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rsidR="00425758">
        <w:tc>
          <w:tcPr>
            <w:tcW w:w="7088" w:type="dxa"/>
            <w:tcBorders>
              <w:bottom w:val="nil"/>
            </w:tcBorders>
          </w:tcPr>
          <w:p w:rsidR="00425758" w:rsidRDefault="00425758">
            <w:pPr>
              <w:pStyle w:val="yMiscellaneousBody"/>
              <w:rPr>
                <w:sz w:val="20"/>
              </w:rPr>
            </w:pPr>
            <w:r>
              <w:rPr>
                <w:sz w:val="20"/>
              </w:rPr>
              <w:t xml:space="preserve">Legal Aid WA has an online ‘Mortgage stress </w:t>
            </w:r>
            <w:r>
              <w:rPr>
                <w:sz w:val="20"/>
              </w:rPr>
              <w:noBreakHyphen/>
              <w:t xml:space="preserve"> self help guide’ available on its website at www.legalaid.wa.gov.au which includes information about what to do if a judgment is made against you.</w:t>
            </w:r>
          </w:p>
        </w:tc>
      </w:tr>
      <w:tr w:rsidR="00425758">
        <w:tc>
          <w:tcPr>
            <w:tcW w:w="7088" w:type="dxa"/>
            <w:tcBorders>
              <w:top w:val="nil"/>
              <w:bottom w:val="nil"/>
            </w:tcBorders>
          </w:tcPr>
          <w:p w:rsidR="00425758" w:rsidRDefault="00425758">
            <w:pPr>
              <w:pStyle w:val="yMiscellaneousBody"/>
              <w:rPr>
                <w:sz w:val="20"/>
              </w:rPr>
            </w:pPr>
            <w:r>
              <w:rPr>
                <w:sz w:val="20"/>
              </w:rPr>
              <w:t>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rsidR="00425758">
        <w:tc>
          <w:tcPr>
            <w:tcW w:w="7088" w:type="dxa"/>
            <w:tcBorders>
              <w:top w:val="nil"/>
            </w:tcBorders>
          </w:tcPr>
          <w:p w:rsidR="00425758" w:rsidRDefault="00425758">
            <w:pPr>
              <w:pStyle w:val="yMiscellaneousBody"/>
              <w:rPr>
                <w:sz w:val="20"/>
              </w:rPr>
            </w:pPr>
            <w:r>
              <w:rPr>
                <w:b/>
                <w:sz w:val="20"/>
              </w:rPr>
              <w:t>CONTACT DETAILS</w:t>
            </w:r>
          </w:p>
          <w:p w:rsidR="00425758" w:rsidRDefault="00425758">
            <w:pPr>
              <w:pStyle w:val="yMiscellaneousBody"/>
              <w:rPr>
                <w:sz w:val="20"/>
              </w:rPr>
            </w:pPr>
            <w:r>
              <w:rPr>
                <w:sz w:val="20"/>
              </w:rPr>
              <w:t>The name and address of the law firm representing the plaintiff is: [</w:t>
            </w:r>
            <w:r>
              <w:rPr>
                <w:i/>
                <w:sz w:val="20"/>
              </w:rPr>
              <w:t>insert name and address</w:t>
            </w:r>
            <w:r>
              <w:rPr>
                <w:sz w:val="20"/>
              </w:rPr>
              <w:t>].</w:t>
            </w:r>
          </w:p>
          <w:p w:rsidR="00425758" w:rsidRDefault="00425758">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rsidR="00425758" w:rsidRDefault="00425758">
      <w:pPr>
        <w:pStyle w:val="yMiscellaneousBody"/>
        <w:rPr>
          <w:sz w:val="16"/>
          <w:szCs w:val="16"/>
        </w:rPr>
      </w:pPr>
      <w:r>
        <w:rPr>
          <w:sz w:val="16"/>
          <w:szCs w:val="16"/>
        </w:rPr>
        <w:t>Notes to Form 36C:</w:t>
      </w:r>
    </w:p>
    <w:p w:rsidR="00425758" w:rsidRDefault="00425758">
      <w:pPr>
        <w:pStyle w:val="yMiscellaneousBody"/>
        <w:tabs>
          <w:tab w:val="left" w:pos="426"/>
        </w:tabs>
        <w:ind w:left="426" w:hanging="426"/>
        <w:rPr>
          <w:sz w:val="16"/>
          <w:szCs w:val="16"/>
        </w:rPr>
      </w:pPr>
      <w:r>
        <w:rPr>
          <w:sz w:val="16"/>
          <w:szCs w:val="16"/>
        </w:rPr>
        <w:t>1.</w:t>
      </w:r>
      <w:r>
        <w:rPr>
          <w:sz w:val="16"/>
          <w:szCs w:val="16"/>
        </w:rPr>
        <w:tab/>
        <w:t>This form is to be used for default judgment in any mortgage action. The text of the order, or orders, should reflect the effect of the mortgage in question and the orders sought. The proposed orders in this form are to be used only if applicable.</w:t>
      </w:r>
    </w:p>
    <w:p w:rsidR="00425758" w:rsidRDefault="00425758">
      <w:pPr>
        <w:pStyle w:val="yMiscellaneousBody"/>
        <w:tabs>
          <w:tab w:val="left" w:pos="426"/>
        </w:tabs>
        <w:ind w:left="426" w:hanging="426"/>
        <w:rPr>
          <w:sz w:val="16"/>
          <w:szCs w:val="16"/>
        </w:rPr>
      </w:pPr>
      <w:r>
        <w:rPr>
          <w:sz w:val="16"/>
          <w:szCs w:val="16"/>
        </w:rPr>
        <w:t>2.</w:t>
      </w:r>
      <w:r>
        <w:rPr>
          <w:sz w:val="16"/>
          <w:szCs w:val="16"/>
        </w:rPr>
        <w:tab/>
        <w:t>28 days unless the Court orders otherwise. See Order 13 rule 6(6).</w:t>
      </w:r>
    </w:p>
    <w:p w:rsidR="00425758" w:rsidRDefault="00425758">
      <w:pPr>
        <w:pStyle w:val="yFootnotesection"/>
      </w:pPr>
      <w:r>
        <w:tab/>
        <w:t>[Form 36C inserted: Gazette 16 Nov 2016 p. 5213</w:t>
      </w:r>
      <w:r>
        <w:noBreakHyphen/>
        <w:t>15.]</w:t>
      </w:r>
    </w:p>
    <w:p w:rsidR="00425758" w:rsidRDefault="00425758">
      <w:pPr>
        <w:pStyle w:val="yHeading5"/>
      </w:pPr>
      <w:bookmarkStart w:id="1380" w:name="_Toc75863945"/>
      <w:r>
        <w:rPr>
          <w:rStyle w:val="CharSClsNo"/>
        </w:rPr>
        <w:lastRenderedPageBreak/>
        <w:t>37</w:t>
      </w:r>
      <w:r>
        <w:t>.</w:t>
      </w:r>
      <w:r>
        <w:tab/>
        <w:t>Judgment (other than default judgment) after assessment of damages etc. (O. 42 r. 1)</w:t>
      </w:r>
      <w:bookmarkEnd w:id="1380"/>
    </w:p>
    <w:tbl>
      <w:tblPr>
        <w:tblStyle w:val="TableGrid"/>
        <w:tblW w:w="0" w:type="auto"/>
        <w:tblInd w:w="108" w:type="dxa"/>
        <w:tblLook w:val="04A0" w:firstRow="1" w:lastRow="0" w:firstColumn="1" w:lastColumn="0" w:noHBand="0" w:noVBand="1"/>
      </w:tblPr>
      <w:tblGrid>
        <w:gridCol w:w="6979"/>
      </w:tblGrid>
      <w:tr w:rsidR="00425758">
        <w:tc>
          <w:tcPr>
            <w:tcW w:w="7088" w:type="dxa"/>
            <w:tcBorders>
              <w:bottom w:val="nil"/>
            </w:tcBorders>
          </w:tcPr>
          <w:p w:rsidR="00425758" w:rsidRDefault="00425758">
            <w:pPr>
              <w:pStyle w:val="yMiscellaneousBody"/>
              <w:keepNext/>
              <w:jc w:val="center"/>
              <w:rPr>
                <w:sz w:val="20"/>
              </w:rPr>
            </w:pPr>
            <w:r>
              <w:rPr>
                <w:b/>
                <w:sz w:val="20"/>
              </w:rPr>
              <w:t>IN THE SUPREME COURT OF WESTERN AUSTRALIA</w:t>
            </w:r>
          </w:p>
          <w:p w:rsidR="00425758" w:rsidRDefault="00425758">
            <w:pPr>
              <w:pStyle w:val="yMiscellaneousBody"/>
              <w:keepNext/>
              <w:jc w:val="right"/>
              <w:rPr>
                <w:sz w:val="20"/>
              </w:rPr>
            </w:pPr>
            <w:r>
              <w:rPr>
                <w:sz w:val="20"/>
              </w:rPr>
              <w:t>No: .............. of 20 .......</w:t>
            </w:r>
          </w:p>
        </w:tc>
      </w:tr>
      <w:tr w:rsidR="00425758">
        <w:tc>
          <w:tcPr>
            <w:tcW w:w="7088" w:type="dxa"/>
            <w:tcBorders>
              <w:top w:val="nil"/>
              <w:bottom w:val="nil"/>
            </w:tcBorders>
          </w:tcPr>
          <w:p w:rsidR="00425758" w:rsidRDefault="00425758">
            <w:pPr>
              <w:pStyle w:val="yMiscellaneousBody"/>
              <w:rPr>
                <w:sz w:val="20"/>
              </w:rPr>
            </w:pPr>
            <w:r>
              <w:rPr>
                <w:sz w:val="20"/>
              </w:rPr>
              <w:t>BETWEEN:</w:t>
            </w:r>
          </w:p>
          <w:p w:rsidR="00425758" w:rsidRDefault="00425758">
            <w:pPr>
              <w:pStyle w:val="yMiscellaneousBody"/>
              <w:rPr>
                <w:sz w:val="20"/>
              </w:rPr>
            </w:pPr>
            <w:r>
              <w:rPr>
                <w:sz w:val="20"/>
              </w:rPr>
              <w:t>AB</w:t>
            </w:r>
          </w:p>
          <w:p w:rsidR="00425758" w:rsidRDefault="00425758">
            <w:pPr>
              <w:pStyle w:val="yMiscellaneousBody"/>
              <w:jc w:val="right"/>
              <w:rPr>
                <w:sz w:val="20"/>
              </w:rPr>
            </w:pPr>
            <w:r>
              <w:rPr>
                <w:sz w:val="20"/>
              </w:rPr>
              <w:t>Plaintiff,</w:t>
            </w:r>
          </w:p>
          <w:p w:rsidR="00425758" w:rsidRDefault="00425758">
            <w:pPr>
              <w:pStyle w:val="yMiscellaneousBody"/>
              <w:rPr>
                <w:sz w:val="20"/>
              </w:rPr>
            </w:pPr>
            <w:r>
              <w:rPr>
                <w:sz w:val="20"/>
              </w:rPr>
              <w:t>and</w:t>
            </w:r>
          </w:p>
          <w:p w:rsidR="00425758" w:rsidRDefault="00425758">
            <w:pPr>
              <w:pStyle w:val="yMiscellaneousBody"/>
              <w:rPr>
                <w:sz w:val="20"/>
              </w:rPr>
            </w:pPr>
            <w:r>
              <w:rPr>
                <w:sz w:val="20"/>
              </w:rPr>
              <w:t>CD</w:t>
            </w:r>
          </w:p>
          <w:p w:rsidR="00425758" w:rsidRDefault="00425758">
            <w:pPr>
              <w:pStyle w:val="yMiscellaneousBody"/>
              <w:jc w:val="right"/>
              <w:rPr>
                <w:sz w:val="20"/>
              </w:rPr>
            </w:pPr>
            <w:r>
              <w:rPr>
                <w:sz w:val="20"/>
              </w:rPr>
              <w:t>Defendant.</w:t>
            </w:r>
          </w:p>
        </w:tc>
      </w:tr>
      <w:tr w:rsidR="00425758">
        <w:tc>
          <w:tcPr>
            <w:tcW w:w="7088" w:type="dxa"/>
            <w:tcBorders>
              <w:top w:val="nil"/>
              <w:bottom w:val="nil"/>
            </w:tcBorders>
          </w:tcPr>
          <w:p w:rsidR="00425758" w:rsidRDefault="00425758">
            <w:pPr>
              <w:pStyle w:val="yMiscellaneousBody"/>
              <w:jc w:val="center"/>
              <w:rPr>
                <w:sz w:val="20"/>
              </w:rPr>
            </w:pPr>
            <w:r>
              <w:rPr>
                <w:b/>
                <w:sz w:val="20"/>
              </w:rPr>
              <w:t>JUDGMENT (OTHER THAN DEFAULT JUDGMENT) AFTER ASSESSMENT OF DAMAGES ETC.</w:t>
            </w:r>
            <w:r>
              <w:rPr>
                <w:sz w:val="20"/>
                <w:vertAlign w:val="superscript"/>
              </w:rPr>
              <w:t>1</w:t>
            </w:r>
          </w:p>
          <w:p w:rsidR="00425758" w:rsidRDefault="00425758">
            <w:pPr>
              <w:pStyle w:val="yMiscellaneousBody"/>
              <w:rPr>
                <w:sz w:val="20"/>
              </w:rPr>
            </w:pPr>
            <w:r>
              <w:rPr>
                <w:sz w:val="20"/>
              </w:rPr>
              <w:t>Judicial officer:</w:t>
            </w:r>
          </w:p>
          <w:p w:rsidR="00425758" w:rsidRDefault="00425758">
            <w:pPr>
              <w:pStyle w:val="yMiscellaneousBody"/>
              <w:rPr>
                <w:sz w:val="20"/>
              </w:rPr>
            </w:pPr>
            <w:r>
              <w:rPr>
                <w:sz w:val="20"/>
              </w:rPr>
              <w:t>Date of order:</w:t>
            </w:r>
          </w:p>
        </w:tc>
      </w:tr>
      <w:tr w:rsidR="00425758">
        <w:tc>
          <w:tcPr>
            <w:tcW w:w="7088" w:type="dxa"/>
            <w:tcBorders>
              <w:top w:val="nil"/>
              <w:bottom w:val="nil"/>
            </w:tcBorders>
          </w:tcPr>
          <w:p w:rsidR="00425758" w:rsidRDefault="00425758">
            <w:pPr>
              <w:pStyle w:val="yMiscellaneousBody"/>
              <w:rPr>
                <w:sz w:val="20"/>
              </w:rPr>
            </w:pPr>
            <w:r>
              <w:rPr>
                <w:sz w:val="20"/>
              </w:rPr>
              <w:t>The plaintiff having on the                 day of                        20     , obtained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rsidR="00425758">
        <w:tc>
          <w:tcPr>
            <w:tcW w:w="7088" w:type="dxa"/>
            <w:tcBorders>
              <w:top w:val="nil"/>
              <w:bottom w:val="nil"/>
            </w:tcBorders>
          </w:tcPr>
          <w:p w:rsidR="00425758" w:rsidRDefault="00425758">
            <w:pPr>
              <w:pStyle w:val="yMiscellaneousBody"/>
              <w:rPr>
                <w:sz w:val="20"/>
              </w:rPr>
            </w:pPr>
            <w:r>
              <w:rPr>
                <w:b/>
                <w:sz w:val="20"/>
              </w:rPr>
              <w:t>THE COURT ORDERS THAT:</w:t>
            </w:r>
          </w:p>
          <w:p w:rsidR="00425758" w:rsidRDefault="00425758">
            <w:pPr>
              <w:pStyle w:val="yMiscellaneousBody"/>
              <w:rPr>
                <w:sz w:val="20"/>
              </w:rPr>
            </w:pPr>
            <w:r>
              <w:rPr>
                <w:sz w:val="20"/>
              </w:rPr>
              <w:t xml:space="preserve">The defendant pay the plaintiff — </w:t>
            </w:r>
          </w:p>
          <w:p w:rsidR="00425758" w:rsidRDefault="00425758">
            <w:pPr>
              <w:pStyle w:val="yMiscellaneousBody"/>
              <w:rPr>
                <w:sz w:val="20"/>
              </w:rPr>
            </w:pPr>
            <w:r>
              <w:rPr>
                <w:sz w:val="20"/>
              </w:rPr>
              <w:t>(a)</w:t>
            </w:r>
            <w:r>
              <w:rPr>
                <w:sz w:val="20"/>
              </w:rPr>
              <w:tab/>
              <w:t>$[</w:t>
            </w:r>
            <w:r>
              <w:rPr>
                <w:i/>
                <w:sz w:val="20"/>
              </w:rPr>
              <w:t>insert amount</w:t>
            </w:r>
            <w:r>
              <w:rPr>
                <w:sz w:val="20"/>
              </w:rPr>
              <w:t>]; and</w:t>
            </w:r>
          </w:p>
          <w:p w:rsidR="00425758" w:rsidRDefault="00425758">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rsidR="00425758">
        <w:tc>
          <w:tcPr>
            <w:tcW w:w="7088" w:type="dxa"/>
            <w:tcBorders>
              <w:top w:val="nil"/>
            </w:tcBorders>
          </w:tcPr>
          <w:p w:rsidR="00425758" w:rsidRDefault="00425758">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rsidR="00425758" w:rsidRDefault="00425758">
            <w:pPr>
              <w:pStyle w:val="yMiscellaneousBody"/>
              <w:tabs>
                <w:tab w:val="left" w:pos="4538"/>
              </w:tabs>
              <w:rPr>
                <w:sz w:val="20"/>
              </w:rPr>
            </w:pPr>
            <w:r>
              <w:rPr>
                <w:sz w:val="20"/>
              </w:rPr>
              <w:tab/>
              <w:t>BY THE COURT</w:t>
            </w:r>
          </w:p>
          <w:p w:rsidR="00425758" w:rsidRDefault="00425758">
            <w:pPr>
              <w:pStyle w:val="yMiscellaneousBody"/>
              <w:tabs>
                <w:tab w:val="left" w:pos="4528"/>
              </w:tabs>
              <w:rPr>
                <w:sz w:val="20"/>
              </w:rPr>
            </w:pPr>
            <w:r>
              <w:rPr>
                <w:sz w:val="20"/>
              </w:rPr>
              <w:tab/>
              <w:t>REGISTRAR</w:t>
            </w:r>
          </w:p>
        </w:tc>
      </w:tr>
    </w:tbl>
    <w:p w:rsidR="00425758" w:rsidRDefault="00425758">
      <w:pPr>
        <w:pStyle w:val="yMiscellaneousBody"/>
        <w:rPr>
          <w:sz w:val="16"/>
          <w:szCs w:val="16"/>
        </w:rPr>
      </w:pPr>
      <w:r>
        <w:rPr>
          <w:sz w:val="16"/>
          <w:szCs w:val="16"/>
        </w:rPr>
        <w:t>Note to Form 37:</w:t>
      </w:r>
    </w:p>
    <w:p w:rsidR="00425758" w:rsidRDefault="00425758">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rsidR="00425758" w:rsidRDefault="00425758">
      <w:pPr>
        <w:pStyle w:val="yFootnotesection"/>
      </w:pPr>
      <w:r>
        <w:tab/>
        <w:t>[Form 37 inserted: Gazette 16 Nov 2016 p. 5215</w:t>
      </w:r>
      <w:r>
        <w:noBreakHyphen/>
        <w:t>16.]</w:t>
      </w:r>
    </w:p>
    <w:p w:rsidR="00425758" w:rsidRDefault="00425758">
      <w:pPr>
        <w:pStyle w:val="yHeading5"/>
        <w:keepNext w:val="0"/>
        <w:keepLines w:val="0"/>
        <w:pageBreakBefore/>
        <w:spacing w:before="0" w:after="120"/>
      </w:pPr>
      <w:bookmarkStart w:id="1381" w:name="_Toc75863946"/>
      <w:r>
        <w:rPr>
          <w:rStyle w:val="CharSClsNo"/>
        </w:rPr>
        <w:lastRenderedPageBreak/>
        <w:t>38</w:t>
      </w:r>
      <w:r>
        <w:t>.</w:t>
      </w:r>
      <w:r>
        <w:rPr>
          <w:b w:val="0"/>
        </w:rPr>
        <w:tab/>
      </w:r>
      <w:r>
        <w:t>Judgment under Order 14 (O. 14 r. 3)</w:t>
      </w:r>
      <w:bookmarkEnd w:id="1381"/>
    </w:p>
    <w:p w:rsidR="00425758" w:rsidRDefault="00425758">
      <w:pPr>
        <w:pStyle w:val="yMiscellaneousBody"/>
        <w:spacing w:before="120"/>
        <w:jc w:val="center"/>
        <w:rPr>
          <w:sz w:val="20"/>
        </w:rPr>
      </w:pPr>
      <w:r>
        <w:rPr>
          <w:sz w:val="20"/>
        </w:rPr>
        <w:t>(</w:t>
      </w:r>
      <w:r>
        <w:rPr>
          <w:i/>
          <w:sz w:val="20"/>
        </w:rPr>
        <w:t>Heading as in action</w:t>
      </w:r>
      <w:r>
        <w:rPr>
          <w:sz w:val="20"/>
        </w:rPr>
        <w:t>)</w:t>
      </w:r>
    </w:p>
    <w:p w:rsidR="00425758" w:rsidRDefault="00425758">
      <w:pPr>
        <w:pStyle w:val="yMiscellaneousBody"/>
        <w:spacing w:before="120"/>
        <w:rPr>
          <w:sz w:val="20"/>
        </w:rPr>
      </w:pPr>
      <w:r>
        <w:rPr>
          <w:sz w:val="20"/>
        </w:rPr>
        <w:t>The                              day of                                            20       .</w:t>
      </w:r>
    </w:p>
    <w:p w:rsidR="00425758" w:rsidRDefault="00425758">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rsidR="00425758" w:rsidRDefault="00425758">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rsidR="00425758" w:rsidRDefault="00425758">
      <w:pPr>
        <w:pStyle w:val="yMiscellaneousBody"/>
        <w:spacing w:before="110"/>
        <w:jc w:val="center"/>
        <w:rPr>
          <w:i/>
          <w:sz w:val="20"/>
        </w:rPr>
      </w:pPr>
      <w:r>
        <w:rPr>
          <w:i/>
          <w:sz w:val="20"/>
        </w:rPr>
        <w:t>or</w:t>
      </w:r>
    </w:p>
    <w:p w:rsidR="00425758" w:rsidRDefault="00425758">
      <w:pPr>
        <w:pStyle w:val="yMiscellaneousBody"/>
        <w:spacing w:before="110"/>
        <w:ind w:left="600"/>
        <w:rPr>
          <w:sz w:val="20"/>
        </w:rPr>
      </w:pPr>
      <w:r>
        <w:rPr>
          <w:sz w:val="20"/>
        </w:rPr>
        <w:t>pay to the plaintiff damages to be assessed and costs to be taxed,</w:t>
      </w:r>
    </w:p>
    <w:p w:rsidR="00425758" w:rsidRDefault="00425758">
      <w:pPr>
        <w:pStyle w:val="yMiscellaneousBody"/>
        <w:spacing w:before="110"/>
        <w:jc w:val="center"/>
        <w:rPr>
          <w:i/>
          <w:sz w:val="20"/>
        </w:rPr>
      </w:pPr>
      <w:r>
        <w:rPr>
          <w:i/>
          <w:sz w:val="20"/>
        </w:rPr>
        <w:t>or</w:t>
      </w:r>
    </w:p>
    <w:p w:rsidR="00425758" w:rsidRDefault="00425758">
      <w:pPr>
        <w:pStyle w:val="yMiscellaneousBody"/>
        <w:spacing w:before="110"/>
        <w:ind w:left="600"/>
        <w:rPr>
          <w:sz w:val="20"/>
        </w:rPr>
      </w:pPr>
      <w:r>
        <w:rPr>
          <w:sz w:val="20"/>
        </w:rPr>
        <w:t>deliver to the plaintiff the goods described in the statement of claim as</w:t>
      </w:r>
    </w:p>
    <w:p w:rsidR="00425758" w:rsidRDefault="00425758">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rsidR="00425758" w:rsidRDefault="00425758">
      <w:pPr>
        <w:pStyle w:val="yMiscellaneousBody"/>
        <w:spacing w:before="110"/>
        <w:jc w:val="center"/>
        <w:rPr>
          <w:i/>
          <w:sz w:val="20"/>
        </w:rPr>
      </w:pPr>
      <w:r>
        <w:rPr>
          <w:i/>
          <w:sz w:val="20"/>
        </w:rPr>
        <w:t>or</w:t>
      </w:r>
    </w:p>
    <w:p w:rsidR="00425758" w:rsidRDefault="00425758">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rsidR="00425758" w:rsidRDefault="00425758">
      <w:pPr>
        <w:pStyle w:val="yMiscellaneousBody"/>
        <w:spacing w:before="120"/>
        <w:rPr>
          <w:sz w:val="20"/>
        </w:rPr>
      </w:pPr>
      <w:r>
        <w:rPr>
          <w:sz w:val="20"/>
        </w:rPr>
        <w:t>The above costs, etc. (</w:t>
      </w:r>
      <w:r>
        <w:rPr>
          <w:i/>
          <w:sz w:val="20"/>
        </w:rPr>
        <w:t>as in No. 32</w:t>
      </w:r>
      <w:r>
        <w:rPr>
          <w:sz w:val="20"/>
        </w:rPr>
        <w:t>).</w:t>
      </w:r>
    </w:p>
    <w:p w:rsidR="00425758" w:rsidRDefault="00425758">
      <w:pPr>
        <w:pStyle w:val="yFootnotesection"/>
        <w:spacing w:before="100"/>
      </w:pPr>
      <w:r>
        <w:tab/>
        <w:t>[Form 38 amended: Gazette 28 Jun 2011 p. 2559.]</w:t>
      </w:r>
    </w:p>
    <w:p w:rsidR="00425758" w:rsidRDefault="00425758">
      <w:pPr>
        <w:pStyle w:val="yHeading5"/>
      </w:pPr>
      <w:bookmarkStart w:id="1382" w:name="_Toc75863947"/>
      <w:r>
        <w:rPr>
          <w:rStyle w:val="CharSClsNo"/>
        </w:rPr>
        <w:t>39</w:t>
      </w:r>
      <w:r>
        <w:t>.</w:t>
      </w:r>
      <w:r>
        <w:tab/>
        <w:t>Judgment after trial without jury (O. 42 r. 1)</w:t>
      </w:r>
      <w:bookmarkEnd w:id="1382"/>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rsidR="00425758">
        <w:trPr>
          <w:cantSplit/>
          <w:trHeight w:val="194"/>
        </w:trPr>
        <w:tc>
          <w:tcPr>
            <w:tcW w:w="3402" w:type="dxa"/>
            <w:gridSpan w:val="2"/>
            <w:vMerge w:val="restart"/>
          </w:tcPr>
          <w:p w:rsidR="00425758" w:rsidRDefault="00425758">
            <w:pPr>
              <w:pStyle w:val="yTableNAm"/>
              <w:rPr>
                <w:sz w:val="20"/>
              </w:rPr>
            </w:pPr>
            <w:r>
              <w:rPr>
                <w:sz w:val="20"/>
              </w:rPr>
              <w:t>Supreme Court of Western Australia</w:t>
            </w:r>
          </w:p>
          <w:p w:rsidR="00425758" w:rsidRDefault="00425758">
            <w:pPr>
              <w:pStyle w:val="yTableNAm"/>
              <w:rPr>
                <w:sz w:val="20"/>
              </w:rPr>
            </w:pPr>
            <w:r>
              <w:rPr>
                <w:sz w:val="20"/>
              </w:rPr>
              <w:t>General Division</w:t>
            </w:r>
          </w:p>
        </w:tc>
        <w:tc>
          <w:tcPr>
            <w:tcW w:w="3028" w:type="dxa"/>
          </w:tcPr>
          <w:p w:rsidR="00425758" w:rsidRDefault="00425758">
            <w:pPr>
              <w:pStyle w:val="yTableNAm"/>
              <w:rPr>
                <w:sz w:val="20"/>
              </w:rPr>
            </w:pPr>
            <w:r>
              <w:rPr>
                <w:sz w:val="20"/>
              </w:rPr>
              <w:t>No.:</w:t>
            </w:r>
          </w:p>
        </w:tc>
      </w:tr>
      <w:tr w:rsidR="00425758">
        <w:trPr>
          <w:cantSplit/>
          <w:trHeight w:val="194"/>
        </w:trPr>
        <w:tc>
          <w:tcPr>
            <w:tcW w:w="3402" w:type="dxa"/>
            <w:gridSpan w:val="2"/>
            <w:vMerge/>
          </w:tcPr>
          <w:p w:rsidR="00425758" w:rsidRDefault="00425758">
            <w:pPr>
              <w:pStyle w:val="zyTableNAm"/>
              <w:spacing w:before="0"/>
              <w:rPr>
                <w:sz w:val="20"/>
              </w:rPr>
            </w:pPr>
          </w:p>
        </w:tc>
        <w:tc>
          <w:tcPr>
            <w:tcW w:w="3028" w:type="dxa"/>
          </w:tcPr>
          <w:p w:rsidR="00425758" w:rsidRDefault="00425758">
            <w:pPr>
              <w:pStyle w:val="yTableNAm"/>
              <w:rPr>
                <w:sz w:val="20"/>
              </w:rPr>
            </w:pPr>
            <w:r>
              <w:rPr>
                <w:b/>
                <w:sz w:val="20"/>
              </w:rPr>
              <w:t>Judgment after trial without jury</w:t>
            </w:r>
          </w:p>
        </w:tc>
      </w:tr>
      <w:tr w:rsidR="00425758">
        <w:trPr>
          <w:cantSplit/>
        </w:trPr>
        <w:tc>
          <w:tcPr>
            <w:tcW w:w="1418" w:type="dxa"/>
          </w:tcPr>
          <w:p w:rsidR="00425758" w:rsidRDefault="00425758">
            <w:pPr>
              <w:pStyle w:val="yTableNAm"/>
              <w:rPr>
                <w:sz w:val="20"/>
                <w:vertAlign w:val="superscript"/>
              </w:rPr>
            </w:pPr>
            <w:r>
              <w:rPr>
                <w:sz w:val="20"/>
              </w:rPr>
              <w:t>Parties</w:t>
            </w:r>
          </w:p>
        </w:tc>
        <w:tc>
          <w:tcPr>
            <w:tcW w:w="5012" w:type="dxa"/>
            <w:gridSpan w:val="2"/>
          </w:tcPr>
          <w:p w:rsidR="00425758" w:rsidRDefault="00425758">
            <w:pPr>
              <w:pStyle w:val="yTableNAm"/>
              <w:tabs>
                <w:tab w:val="left" w:pos="3345"/>
              </w:tabs>
              <w:rPr>
                <w:sz w:val="20"/>
              </w:rPr>
            </w:pPr>
            <w:r>
              <w:rPr>
                <w:sz w:val="20"/>
              </w:rPr>
              <w:tab/>
            </w:r>
            <w:r>
              <w:rPr>
                <w:sz w:val="20"/>
              </w:rPr>
              <w:tab/>
              <w:t>Plaintiff</w:t>
            </w:r>
          </w:p>
          <w:p w:rsidR="00425758" w:rsidRDefault="00425758">
            <w:pPr>
              <w:pStyle w:val="yTableNAm"/>
              <w:tabs>
                <w:tab w:val="left" w:pos="3345"/>
              </w:tabs>
              <w:rPr>
                <w:sz w:val="20"/>
              </w:rPr>
            </w:pPr>
            <w:r>
              <w:rPr>
                <w:sz w:val="20"/>
              </w:rPr>
              <w:tab/>
            </w:r>
            <w:r>
              <w:rPr>
                <w:sz w:val="20"/>
              </w:rPr>
              <w:tab/>
              <w:t>Defendant</w:t>
            </w:r>
          </w:p>
        </w:tc>
      </w:tr>
      <w:tr w:rsidR="00425758">
        <w:trPr>
          <w:cantSplit/>
        </w:trPr>
        <w:tc>
          <w:tcPr>
            <w:tcW w:w="1418" w:type="dxa"/>
          </w:tcPr>
          <w:p w:rsidR="00425758" w:rsidRDefault="00425758">
            <w:pPr>
              <w:pStyle w:val="yTableNAm"/>
              <w:rPr>
                <w:sz w:val="20"/>
              </w:rPr>
            </w:pPr>
            <w:r>
              <w:rPr>
                <w:sz w:val="20"/>
              </w:rPr>
              <w:t>Trial details</w:t>
            </w:r>
          </w:p>
        </w:tc>
        <w:tc>
          <w:tcPr>
            <w:tcW w:w="5012" w:type="dxa"/>
            <w:gridSpan w:val="2"/>
          </w:tcPr>
          <w:p w:rsidR="00425758" w:rsidRDefault="00425758">
            <w:pPr>
              <w:pStyle w:val="yTableNAm"/>
              <w:rPr>
                <w:sz w:val="20"/>
              </w:rPr>
            </w:pPr>
            <w:r>
              <w:rPr>
                <w:sz w:val="20"/>
              </w:rPr>
              <w:t>This case was tried in the Supreme Court without a jury on [</w:t>
            </w:r>
            <w:r>
              <w:rPr>
                <w:i/>
                <w:sz w:val="20"/>
              </w:rPr>
              <w:t>date(s)</w:t>
            </w:r>
            <w:r>
              <w:rPr>
                <w:sz w:val="20"/>
              </w:rPr>
              <w:t>].</w:t>
            </w:r>
          </w:p>
        </w:tc>
      </w:tr>
      <w:tr w:rsidR="00425758">
        <w:trPr>
          <w:cantSplit/>
        </w:trPr>
        <w:tc>
          <w:tcPr>
            <w:tcW w:w="1418" w:type="dxa"/>
          </w:tcPr>
          <w:p w:rsidR="00425758" w:rsidRDefault="00425758">
            <w:pPr>
              <w:pStyle w:val="yTableNAm"/>
              <w:rPr>
                <w:sz w:val="20"/>
              </w:rPr>
            </w:pPr>
            <w:r>
              <w:rPr>
                <w:sz w:val="20"/>
              </w:rPr>
              <w:t>Judgment</w:t>
            </w:r>
          </w:p>
        </w:tc>
        <w:tc>
          <w:tcPr>
            <w:tcW w:w="5012" w:type="dxa"/>
            <w:gridSpan w:val="2"/>
          </w:tcPr>
          <w:p w:rsidR="00425758" w:rsidRDefault="00425758">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rsidR="00425758">
        <w:trPr>
          <w:cantSplit/>
        </w:trPr>
        <w:tc>
          <w:tcPr>
            <w:tcW w:w="1418" w:type="dxa"/>
          </w:tcPr>
          <w:p w:rsidR="00425758" w:rsidRDefault="00425758">
            <w:pPr>
              <w:pStyle w:val="yTableNAm"/>
              <w:rPr>
                <w:sz w:val="20"/>
              </w:rPr>
            </w:pPr>
            <w:r>
              <w:rPr>
                <w:sz w:val="20"/>
              </w:rPr>
              <w:t>Judgment details</w:t>
            </w:r>
          </w:p>
        </w:tc>
        <w:tc>
          <w:tcPr>
            <w:tcW w:w="5012" w:type="dxa"/>
            <w:gridSpan w:val="2"/>
          </w:tcPr>
          <w:p w:rsidR="00425758" w:rsidRDefault="00425758">
            <w:pPr>
              <w:pStyle w:val="yTableNAm"/>
              <w:rPr>
                <w:sz w:val="20"/>
              </w:rPr>
            </w:pPr>
            <w:r>
              <w:rPr>
                <w:sz w:val="20"/>
              </w:rPr>
              <w:t>[</w:t>
            </w:r>
            <w:r>
              <w:rPr>
                <w:i/>
                <w:sz w:val="20"/>
              </w:rPr>
              <w:t>Set out the Court’s orders.</w:t>
            </w:r>
            <w:r>
              <w:rPr>
                <w:sz w:val="20"/>
              </w:rPr>
              <w:t>]</w:t>
            </w:r>
          </w:p>
          <w:p w:rsidR="00425758" w:rsidRDefault="00425758">
            <w:pPr>
              <w:pStyle w:val="yTableNAm"/>
              <w:rPr>
                <w:sz w:val="20"/>
              </w:rPr>
            </w:pPr>
            <w:r>
              <w:rPr>
                <w:sz w:val="20"/>
              </w:rPr>
              <w:t>[</w:t>
            </w:r>
            <w:r>
              <w:rPr>
                <w:i/>
                <w:sz w:val="20"/>
              </w:rPr>
              <w:t>Set out details of any taxation of costs as in Form 32.</w:t>
            </w:r>
            <w:r>
              <w:rPr>
                <w:sz w:val="20"/>
              </w:rPr>
              <w:t>]</w:t>
            </w:r>
          </w:p>
        </w:tc>
      </w:tr>
      <w:tr w:rsidR="00425758">
        <w:trPr>
          <w:cantSplit/>
        </w:trPr>
        <w:tc>
          <w:tcPr>
            <w:tcW w:w="1418" w:type="dxa"/>
          </w:tcPr>
          <w:p w:rsidR="00425758" w:rsidRDefault="00425758">
            <w:pPr>
              <w:pStyle w:val="yTableNAm"/>
              <w:rPr>
                <w:sz w:val="20"/>
              </w:rPr>
            </w:pPr>
            <w:r>
              <w:rPr>
                <w:sz w:val="20"/>
              </w:rPr>
              <w:t>Date judgment entered</w:t>
            </w:r>
          </w:p>
        </w:tc>
        <w:tc>
          <w:tcPr>
            <w:tcW w:w="5012" w:type="dxa"/>
            <w:gridSpan w:val="2"/>
          </w:tcPr>
          <w:p w:rsidR="00425758" w:rsidRDefault="00425758">
            <w:pPr>
              <w:pStyle w:val="yTableNAm"/>
              <w:rPr>
                <w:sz w:val="20"/>
              </w:rPr>
            </w:pPr>
            <w:r>
              <w:rPr>
                <w:sz w:val="20"/>
              </w:rPr>
              <w:t>Judgment dated and entered on [</w:t>
            </w:r>
            <w:r>
              <w:rPr>
                <w:i/>
                <w:sz w:val="20"/>
              </w:rPr>
              <w:t>date</w:t>
            </w:r>
            <w:r>
              <w:rPr>
                <w:sz w:val="20"/>
              </w:rPr>
              <w:t>].</w:t>
            </w:r>
          </w:p>
        </w:tc>
      </w:tr>
    </w:tbl>
    <w:p w:rsidR="00425758" w:rsidRDefault="00425758">
      <w:pPr>
        <w:pStyle w:val="yFootnotesection"/>
        <w:spacing w:before="100"/>
      </w:pPr>
      <w:r>
        <w:lastRenderedPageBreak/>
        <w:tab/>
        <w:t>[Form 39 inserted: Gazette 16 Aug 2017 p. 4422.]</w:t>
      </w:r>
    </w:p>
    <w:p w:rsidR="00425758" w:rsidRDefault="00425758">
      <w:pPr>
        <w:pStyle w:val="yHeading5"/>
      </w:pPr>
      <w:bookmarkStart w:id="1383" w:name="_Toc75863948"/>
      <w:r>
        <w:rPr>
          <w:rStyle w:val="CharSClsNo"/>
        </w:rPr>
        <w:t>40</w:t>
      </w:r>
      <w:r>
        <w:t>.</w:t>
      </w:r>
      <w:r>
        <w:tab/>
        <w:t>Judgment after trial with jury (O. 42 r. 1)</w:t>
      </w:r>
      <w:bookmarkEnd w:id="1383"/>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rsidR="00425758">
        <w:trPr>
          <w:cantSplit/>
          <w:trHeight w:val="194"/>
        </w:trPr>
        <w:tc>
          <w:tcPr>
            <w:tcW w:w="3402" w:type="dxa"/>
            <w:gridSpan w:val="2"/>
            <w:vMerge w:val="restart"/>
          </w:tcPr>
          <w:p w:rsidR="00425758" w:rsidRDefault="00425758">
            <w:pPr>
              <w:pStyle w:val="yTableNAm"/>
              <w:rPr>
                <w:sz w:val="20"/>
              </w:rPr>
            </w:pPr>
            <w:r>
              <w:rPr>
                <w:sz w:val="20"/>
              </w:rPr>
              <w:t>Supreme Court of Western Australia</w:t>
            </w:r>
          </w:p>
          <w:p w:rsidR="00425758" w:rsidRDefault="00425758">
            <w:pPr>
              <w:pStyle w:val="yTableNAm"/>
              <w:rPr>
                <w:sz w:val="20"/>
              </w:rPr>
            </w:pPr>
            <w:r>
              <w:rPr>
                <w:sz w:val="20"/>
              </w:rPr>
              <w:t>General Division</w:t>
            </w:r>
          </w:p>
        </w:tc>
        <w:tc>
          <w:tcPr>
            <w:tcW w:w="3028" w:type="dxa"/>
          </w:tcPr>
          <w:p w:rsidR="00425758" w:rsidRDefault="00425758">
            <w:pPr>
              <w:pStyle w:val="yTableNAm"/>
              <w:rPr>
                <w:sz w:val="20"/>
              </w:rPr>
            </w:pPr>
            <w:r>
              <w:rPr>
                <w:sz w:val="20"/>
              </w:rPr>
              <w:t>No.:</w:t>
            </w:r>
          </w:p>
        </w:tc>
      </w:tr>
      <w:tr w:rsidR="00425758">
        <w:trPr>
          <w:cantSplit/>
          <w:trHeight w:val="194"/>
        </w:trPr>
        <w:tc>
          <w:tcPr>
            <w:tcW w:w="3402" w:type="dxa"/>
            <w:gridSpan w:val="2"/>
            <w:vMerge/>
          </w:tcPr>
          <w:p w:rsidR="00425758" w:rsidRDefault="00425758">
            <w:pPr>
              <w:pStyle w:val="zyTableNAm"/>
              <w:spacing w:before="0"/>
              <w:rPr>
                <w:sz w:val="20"/>
              </w:rPr>
            </w:pPr>
          </w:p>
        </w:tc>
        <w:tc>
          <w:tcPr>
            <w:tcW w:w="3028" w:type="dxa"/>
          </w:tcPr>
          <w:p w:rsidR="00425758" w:rsidRDefault="00425758">
            <w:pPr>
              <w:pStyle w:val="yTableNAm"/>
              <w:rPr>
                <w:sz w:val="20"/>
              </w:rPr>
            </w:pPr>
            <w:r>
              <w:rPr>
                <w:b/>
                <w:sz w:val="20"/>
              </w:rPr>
              <w:t>Judgment after trial with jury</w:t>
            </w:r>
          </w:p>
        </w:tc>
      </w:tr>
      <w:tr w:rsidR="00425758">
        <w:trPr>
          <w:cantSplit/>
        </w:trPr>
        <w:tc>
          <w:tcPr>
            <w:tcW w:w="1418" w:type="dxa"/>
          </w:tcPr>
          <w:p w:rsidR="00425758" w:rsidRDefault="00425758">
            <w:pPr>
              <w:pStyle w:val="yTableNAm"/>
              <w:rPr>
                <w:sz w:val="20"/>
                <w:vertAlign w:val="superscript"/>
              </w:rPr>
            </w:pPr>
            <w:r>
              <w:rPr>
                <w:sz w:val="20"/>
              </w:rPr>
              <w:t>Parties</w:t>
            </w:r>
          </w:p>
        </w:tc>
        <w:tc>
          <w:tcPr>
            <w:tcW w:w="5012" w:type="dxa"/>
            <w:gridSpan w:val="2"/>
          </w:tcPr>
          <w:p w:rsidR="00425758" w:rsidRDefault="00425758">
            <w:pPr>
              <w:pStyle w:val="yTableNAm"/>
              <w:tabs>
                <w:tab w:val="left" w:pos="3345"/>
              </w:tabs>
              <w:rPr>
                <w:sz w:val="20"/>
              </w:rPr>
            </w:pPr>
            <w:r>
              <w:rPr>
                <w:sz w:val="20"/>
              </w:rPr>
              <w:tab/>
            </w:r>
            <w:r>
              <w:rPr>
                <w:sz w:val="20"/>
              </w:rPr>
              <w:tab/>
              <w:t>Plaintiff</w:t>
            </w:r>
          </w:p>
          <w:p w:rsidR="00425758" w:rsidRDefault="00425758">
            <w:pPr>
              <w:pStyle w:val="yTableNAm"/>
              <w:tabs>
                <w:tab w:val="left" w:pos="3345"/>
              </w:tabs>
              <w:rPr>
                <w:sz w:val="20"/>
              </w:rPr>
            </w:pPr>
            <w:r>
              <w:rPr>
                <w:sz w:val="20"/>
              </w:rPr>
              <w:tab/>
            </w:r>
            <w:r>
              <w:rPr>
                <w:sz w:val="20"/>
              </w:rPr>
              <w:tab/>
              <w:t>Defendant</w:t>
            </w:r>
          </w:p>
        </w:tc>
      </w:tr>
      <w:tr w:rsidR="00425758">
        <w:trPr>
          <w:cantSplit/>
        </w:trPr>
        <w:tc>
          <w:tcPr>
            <w:tcW w:w="1418" w:type="dxa"/>
          </w:tcPr>
          <w:p w:rsidR="00425758" w:rsidRDefault="00425758">
            <w:pPr>
              <w:pStyle w:val="yTableNAm"/>
              <w:rPr>
                <w:sz w:val="20"/>
              </w:rPr>
            </w:pPr>
            <w:r>
              <w:rPr>
                <w:sz w:val="20"/>
              </w:rPr>
              <w:t>Trial details</w:t>
            </w:r>
          </w:p>
        </w:tc>
        <w:tc>
          <w:tcPr>
            <w:tcW w:w="5012" w:type="dxa"/>
            <w:gridSpan w:val="2"/>
          </w:tcPr>
          <w:p w:rsidR="00425758" w:rsidRDefault="00425758">
            <w:pPr>
              <w:pStyle w:val="yTableNAm"/>
              <w:rPr>
                <w:sz w:val="20"/>
              </w:rPr>
            </w:pPr>
            <w:r>
              <w:rPr>
                <w:sz w:val="20"/>
              </w:rPr>
              <w:t>This case was tried in the Supreme Court with a jury on [</w:t>
            </w:r>
            <w:r>
              <w:rPr>
                <w:i/>
                <w:sz w:val="20"/>
              </w:rPr>
              <w:t>date(s)</w:t>
            </w:r>
            <w:r>
              <w:rPr>
                <w:sz w:val="20"/>
              </w:rPr>
              <w:t>].</w:t>
            </w:r>
          </w:p>
        </w:tc>
      </w:tr>
      <w:tr w:rsidR="00425758">
        <w:trPr>
          <w:cantSplit/>
        </w:trPr>
        <w:tc>
          <w:tcPr>
            <w:tcW w:w="1418" w:type="dxa"/>
          </w:tcPr>
          <w:p w:rsidR="00425758" w:rsidRDefault="00425758">
            <w:pPr>
              <w:pStyle w:val="yTableNAm"/>
              <w:rPr>
                <w:sz w:val="20"/>
              </w:rPr>
            </w:pPr>
            <w:r>
              <w:rPr>
                <w:sz w:val="20"/>
              </w:rPr>
              <w:t>Jury’s findings</w:t>
            </w:r>
          </w:p>
        </w:tc>
        <w:tc>
          <w:tcPr>
            <w:tcW w:w="5012" w:type="dxa"/>
            <w:gridSpan w:val="2"/>
          </w:tcPr>
          <w:p w:rsidR="00425758" w:rsidRDefault="00425758">
            <w:pPr>
              <w:pStyle w:val="yTableNAm"/>
              <w:rPr>
                <w:sz w:val="20"/>
              </w:rPr>
            </w:pPr>
            <w:r>
              <w:rPr>
                <w:sz w:val="20"/>
              </w:rPr>
              <w:t>The jury found [</w:t>
            </w:r>
            <w:r>
              <w:rPr>
                <w:i/>
                <w:sz w:val="20"/>
              </w:rPr>
              <w:t>state finding as in officer’s certificate</w:t>
            </w:r>
            <w:r>
              <w:rPr>
                <w:sz w:val="20"/>
              </w:rPr>
              <w:t>].</w:t>
            </w:r>
          </w:p>
        </w:tc>
      </w:tr>
      <w:tr w:rsidR="00425758">
        <w:trPr>
          <w:cantSplit/>
        </w:trPr>
        <w:tc>
          <w:tcPr>
            <w:tcW w:w="1418" w:type="dxa"/>
          </w:tcPr>
          <w:p w:rsidR="00425758" w:rsidRDefault="00425758">
            <w:pPr>
              <w:pStyle w:val="yTableNAm"/>
              <w:rPr>
                <w:sz w:val="20"/>
              </w:rPr>
            </w:pPr>
            <w:r>
              <w:rPr>
                <w:sz w:val="20"/>
              </w:rPr>
              <w:t>Judgment</w:t>
            </w:r>
          </w:p>
        </w:tc>
        <w:tc>
          <w:tcPr>
            <w:tcW w:w="5012" w:type="dxa"/>
            <w:gridSpan w:val="2"/>
          </w:tcPr>
          <w:p w:rsidR="00425758" w:rsidRDefault="00425758">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rsidR="00425758">
        <w:trPr>
          <w:cantSplit/>
        </w:trPr>
        <w:tc>
          <w:tcPr>
            <w:tcW w:w="1418" w:type="dxa"/>
          </w:tcPr>
          <w:p w:rsidR="00425758" w:rsidRDefault="00425758">
            <w:pPr>
              <w:pStyle w:val="yTableNAm"/>
              <w:rPr>
                <w:sz w:val="20"/>
              </w:rPr>
            </w:pPr>
            <w:r>
              <w:rPr>
                <w:sz w:val="20"/>
              </w:rPr>
              <w:t>Judgment details</w:t>
            </w:r>
          </w:p>
        </w:tc>
        <w:tc>
          <w:tcPr>
            <w:tcW w:w="5012" w:type="dxa"/>
            <w:gridSpan w:val="2"/>
          </w:tcPr>
          <w:p w:rsidR="00425758" w:rsidRDefault="00425758">
            <w:pPr>
              <w:pStyle w:val="yTableNAm"/>
              <w:rPr>
                <w:sz w:val="20"/>
              </w:rPr>
            </w:pPr>
            <w:r>
              <w:rPr>
                <w:sz w:val="20"/>
              </w:rPr>
              <w:t>[</w:t>
            </w:r>
            <w:r>
              <w:rPr>
                <w:i/>
                <w:sz w:val="20"/>
              </w:rPr>
              <w:t>Set out the Court’s orders.</w:t>
            </w:r>
            <w:r>
              <w:rPr>
                <w:sz w:val="20"/>
              </w:rPr>
              <w:t>]</w:t>
            </w:r>
          </w:p>
          <w:p w:rsidR="00425758" w:rsidRDefault="00425758">
            <w:pPr>
              <w:pStyle w:val="yTableNAm"/>
              <w:rPr>
                <w:sz w:val="20"/>
              </w:rPr>
            </w:pPr>
            <w:r>
              <w:rPr>
                <w:sz w:val="20"/>
              </w:rPr>
              <w:t>[</w:t>
            </w:r>
            <w:r>
              <w:rPr>
                <w:i/>
                <w:sz w:val="20"/>
              </w:rPr>
              <w:t>Set out details of any taxation of costs as in Form 32.</w:t>
            </w:r>
            <w:r>
              <w:rPr>
                <w:sz w:val="20"/>
              </w:rPr>
              <w:t>]</w:t>
            </w:r>
          </w:p>
        </w:tc>
      </w:tr>
      <w:tr w:rsidR="00425758">
        <w:trPr>
          <w:cantSplit/>
        </w:trPr>
        <w:tc>
          <w:tcPr>
            <w:tcW w:w="1418" w:type="dxa"/>
          </w:tcPr>
          <w:p w:rsidR="00425758" w:rsidRDefault="00425758">
            <w:pPr>
              <w:pStyle w:val="yTableNAm"/>
            </w:pPr>
            <w:r>
              <w:rPr>
                <w:sz w:val="20"/>
              </w:rPr>
              <w:t>Date judgment entered</w:t>
            </w:r>
          </w:p>
        </w:tc>
        <w:tc>
          <w:tcPr>
            <w:tcW w:w="5012" w:type="dxa"/>
            <w:gridSpan w:val="2"/>
          </w:tcPr>
          <w:p w:rsidR="00425758" w:rsidRDefault="00425758">
            <w:pPr>
              <w:pStyle w:val="yTableNAm"/>
            </w:pPr>
            <w:r>
              <w:rPr>
                <w:sz w:val="20"/>
              </w:rPr>
              <w:t>Judgment dated and entered on [</w:t>
            </w:r>
            <w:r>
              <w:rPr>
                <w:i/>
                <w:sz w:val="20"/>
              </w:rPr>
              <w:t>date</w:t>
            </w:r>
            <w:r>
              <w:rPr>
                <w:sz w:val="20"/>
              </w:rPr>
              <w:t>].</w:t>
            </w:r>
          </w:p>
        </w:tc>
      </w:tr>
    </w:tbl>
    <w:p w:rsidR="00425758" w:rsidRDefault="00425758">
      <w:pPr>
        <w:pStyle w:val="yFootnotesection"/>
        <w:spacing w:before="100"/>
      </w:pPr>
      <w:r>
        <w:tab/>
        <w:t>[Form 40 inserted: Gazette 16 Aug 2017 p. 4422.]</w:t>
      </w:r>
    </w:p>
    <w:p w:rsidR="00425758" w:rsidRDefault="00425758">
      <w:pPr>
        <w:pStyle w:val="yHeading5"/>
        <w:keepNext w:val="0"/>
        <w:keepLines w:val="0"/>
        <w:widowControl w:val="0"/>
        <w:spacing w:before="480" w:after="120"/>
      </w:pPr>
      <w:bookmarkStart w:id="1384" w:name="_Toc75863949"/>
      <w:r>
        <w:rPr>
          <w:rStyle w:val="CharSClsNo"/>
        </w:rPr>
        <w:t>41</w:t>
      </w:r>
      <w:r>
        <w:t>.</w:t>
      </w:r>
      <w:r>
        <w:rPr>
          <w:b w:val="0"/>
        </w:rPr>
        <w:tab/>
      </w:r>
      <w:r>
        <w:t>Judgment after trial before master or special referee (O. 42 r. 1)</w:t>
      </w:r>
      <w:bookmarkEnd w:id="1384"/>
    </w:p>
    <w:p w:rsidR="00425758" w:rsidRDefault="00425758">
      <w:pPr>
        <w:pStyle w:val="yMiscellaneousBody"/>
        <w:spacing w:before="120"/>
        <w:jc w:val="center"/>
        <w:rPr>
          <w:sz w:val="20"/>
        </w:rPr>
      </w:pPr>
      <w:r>
        <w:rPr>
          <w:sz w:val="20"/>
        </w:rPr>
        <w:t>(</w:t>
      </w:r>
      <w:r>
        <w:rPr>
          <w:i/>
          <w:sz w:val="20"/>
        </w:rPr>
        <w:t>Heading as in action</w:t>
      </w:r>
      <w:r>
        <w:rPr>
          <w:sz w:val="20"/>
        </w:rPr>
        <w:t>)</w:t>
      </w:r>
    </w:p>
    <w:p w:rsidR="00425758" w:rsidRDefault="00425758">
      <w:pPr>
        <w:pStyle w:val="yMiscellaneousBody"/>
        <w:spacing w:before="120"/>
        <w:rPr>
          <w:sz w:val="20"/>
        </w:rPr>
      </w:pPr>
      <w:r>
        <w:rPr>
          <w:sz w:val="20"/>
        </w:rPr>
        <w:t>Dated and entered the                   day of                            20      .</w:t>
      </w:r>
    </w:p>
    <w:p w:rsidR="00425758" w:rsidRDefault="00425758">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rsidR="00425758" w:rsidRDefault="00425758">
      <w:pPr>
        <w:pStyle w:val="yMiscellaneousBody"/>
        <w:spacing w:before="120"/>
        <w:rPr>
          <w:sz w:val="20"/>
        </w:rPr>
      </w:pPr>
      <w:r>
        <w:rPr>
          <w:sz w:val="20"/>
        </w:rPr>
        <w:t>It is adjudged that (</w:t>
      </w:r>
      <w:r>
        <w:rPr>
          <w:i/>
          <w:sz w:val="20"/>
        </w:rPr>
        <w:t>as in No. 39, according to the master’s or special referee’s certificate</w:t>
      </w:r>
      <w:r>
        <w:rPr>
          <w:sz w:val="20"/>
        </w:rPr>
        <w:t>).</w:t>
      </w:r>
    </w:p>
    <w:p w:rsidR="00425758" w:rsidRDefault="00425758">
      <w:pPr>
        <w:pStyle w:val="yFootnotesection"/>
      </w:pPr>
      <w:r>
        <w:tab/>
        <w:t>[Form 41 amended: Gazette 30 Nov 1984 p. 3954; 28 Jun 2011 p. 2560.]</w:t>
      </w:r>
    </w:p>
    <w:p w:rsidR="00425758" w:rsidRDefault="00425758">
      <w:pPr>
        <w:pStyle w:val="yHeading5"/>
        <w:keepNext w:val="0"/>
        <w:keepLines w:val="0"/>
        <w:pageBreakBefore/>
        <w:spacing w:before="120" w:after="120"/>
      </w:pPr>
      <w:bookmarkStart w:id="1385" w:name="_Toc75863950"/>
      <w:r>
        <w:rPr>
          <w:rStyle w:val="CharSClsNo"/>
        </w:rPr>
        <w:lastRenderedPageBreak/>
        <w:t>42</w:t>
      </w:r>
      <w:r>
        <w:t>.</w:t>
      </w:r>
      <w:r>
        <w:rPr>
          <w:b w:val="0"/>
        </w:rPr>
        <w:tab/>
      </w:r>
      <w:r>
        <w:t>Judgment after decision of preliminary issue (O. 32 r. 7; O. 42 r. 1)</w:t>
      </w:r>
      <w:bookmarkEnd w:id="1385"/>
    </w:p>
    <w:p w:rsidR="00425758" w:rsidRDefault="00425758">
      <w:pPr>
        <w:pStyle w:val="yMiscellaneousBody"/>
        <w:spacing w:before="120"/>
        <w:jc w:val="center"/>
        <w:rPr>
          <w:sz w:val="20"/>
        </w:rPr>
      </w:pPr>
      <w:r>
        <w:rPr>
          <w:sz w:val="20"/>
        </w:rPr>
        <w:t>(</w:t>
      </w:r>
      <w:r>
        <w:rPr>
          <w:i/>
          <w:sz w:val="20"/>
        </w:rPr>
        <w:t>Heading as in cause or matter</w:t>
      </w:r>
      <w:r>
        <w:rPr>
          <w:sz w:val="20"/>
        </w:rPr>
        <w:t>)</w:t>
      </w:r>
    </w:p>
    <w:p w:rsidR="00425758" w:rsidRDefault="00425758">
      <w:pPr>
        <w:pStyle w:val="yMiscellaneousBody"/>
        <w:spacing w:before="120"/>
        <w:rPr>
          <w:sz w:val="20"/>
        </w:rPr>
      </w:pPr>
      <w:r>
        <w:rPr>
          <w:sz w:val="20"/>
        </w:rPr>
        <w:t>Dated and entered the                 day of                             20      .</w:t>
      </w:r>
    </w:p>
    <w:p w:rsidR="00425758" w:rsidRDefault="00425758">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rsidR="00425758" w:rsidRDefault="00425758">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rsidR="00425758" w:rsidRDefault="00425758">
      <w:pPr>
        <w:pStyle w:val="yFootnotesection"/>
      </w:pPr>
      <w:r>
        <w:tab/>
        <w:t>[Form 42 amended: Gazette 28 Jun 2011 p. 2560.]</w:t>
      </w:r>
    </w:p>
    <w:p w:rsidR="00425758" w:rsidRDefault="00425758">
      <w:pPr>
        <w:pStyle w:val="yHeading5"/>
        <w:keepNext w:val="0"/>
        <w:keepLines w:val="0"/>
        <w:widowControl w:val="0"/>
        <w:spacing w:before="480" w:after="120"/>
      </w:pPr>
      <w:bookmarkStart w:id="1386" w:name="_Toc75863951"/>
      <w:r>
        <w:rPr>
          <w:rStyle w:val="CharSClsNo"/>
        </w:rPr>
        <w:t>43</w:t>
      </w:r>
      <w:r>
        <w:t>.</w:t>
      </w:r>
      <w:r>
        <w:rPr>
          <w:b w:val="0"/>
        </w:rPr>
        <w:tab/>
      </w:r>
      <w:r>
        <w:t>Judgment for defendant’s costs on discontinuance (O. 23 r. 2)</w:t>
      </w:r>
      <w:bookmarkEnd w:id="1386"/>
    </w:p>
    <w:p w:rsidR="00425758" w:rsidRDefault="00425758">
      <w:pPr>
        <w:pStyle w:val="yMiscellaneousBody"/>
        <w:spacing w:before="120"/>
        <w:jc w:val="center"/>
        <w:rPr>
          <w:sz w:val="20"/>
        </w:rPr>
      </w:pPr>
      <w:r>
        <w:rPr>
          <w:sz w:val="20"/>
        </w:rPr>
        <w:t>(</w:t>
      </w:r>
      <w:r>
        <w:rPr>
          <w:i/>
          <w:sz w:val="20"/>
        </w:rPr>
        <w:t>Heading as in action</w:t>
      </w:r>
      <w:r>
        <w:rPr>
          <w:sz w:val="20"/>
        </w:rPr>
        <w:t>)</w:t>
      </w:r>
    </w:p>
    <w:p w:rsidR="00425758" w:rsidRDefault="00425758">
      <w:pPr>
        <w:pStyle w:val="yMiscellaneousBody"/>
        <w:spacing w:before="120"/>
        <w:rPr>
          <w:sz w:val="20"/>
        </w:rPr>
      </w:pPr>
      <w:r>
        <w:rPr>
          <w:sz w:val="20"/>
        </w:rPr>
        <w:t>The                              day of                                         20          .</w:t>
      </w:r>
    </w:p>
    <w:p w:rsidR="00425758" w:rsidRDefault="00425758">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rsidR="00425758" w:rsidRDefault="00425758">
      <w:pPr>
        <w:pStyle w:val="yMiscellaneousBody"/>
        <w:spacing w:before="120"/>
        <w:rPr>
          <w:sz w:val="20"/>
        </w:rPr>
      </w:pPr>
      <w:r>
        <w:rPr>
          <w:sz w:val="20"/>
        </w:rPr>
        <w:t>It is this day adjudged that the plaintiff do pay to the defendant $                     the said taxed costs, and $                     the costs of entering judgment for such taxed costs.</w:t>
      </w:r>
    </w:p>
    <w:p w:rsidR="00425758" w:rsidRDefault="00425758">
      <w:pPr>
        <w:pStyle w:val="yFootnotesection"/>
      </w:pPr>
      <w:r>
        <w:tab/>
        <w:t>[Form 43 amended: Gazette 28 Jun 2011 p. 2560.]</w:t>
      </w:r>
    </w:p>
    <w:p w:rsidR="00425758" w:rsidRDefault="00425758">
      <w:pPr>
        <w:pStyle w:val="yHeading5"/>
        <w:keepNext w:val="0"/>
        <w:keepLines w:val="0"/>
        <w:pageBreakBefore/>
        <w:spacing w:before="120" w:after="120"/>
      </w:pPr>
      <w:bookmarkStart w:id="1387" w:name="_Toc75863952"/>
      <w:r>
        <w:rPr>
          <w:rStyle w:val="CharSClsNo"/>
        </w:rPr>
        <w:lastRenderedPageBreak/>
        <w:t>44</w:t>
      </w:r>
      <w:r>
        <w:t>.</w:t>
      </w:r>
      <w:r>
        <w:rPr>
          <w:b w:val="0"/>
        </w:rPr>
        <w:tab/>
      </w:r>
      <w:r>
        <w:t>Judgment by consent (O. 42 r. 1(2))</w:t>
      </w:r>
      <w:bookmarkEnd w:id="138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rsidR="00425758">
        <w:trPr>
          <w:cantSplit/>
        </w:trPr>
        <w:tc>
          <w:tcPr>
            <w:tcW w:w="4253" w:type="dxa"/>
            <w:gridSpan w:val="2"/>
            <w:vMerge w:val="restart"/>
          </w:tcPr>
          <w:p w:rsidR="00425758" w:rsidRDefault="00425758">
            <w:pPr>
              <w:pStyle w:val="yTableNAm"/>
              <w:spacing w:before="0"/>
            </w:pPr>
            <w:r>
              <w:rPr>
                <w:sz w:val="20"/>
              </w:rPr>
              <w:t>In the Supreme Court of Western Australia</w:t>
            </w:r>
          </w:p>
          <w:p w:rsidR="00425758" w:rsidRDefault="00425758">
            <w:pPr>
              <w:pStyle w:val="zyTableNAm"/>
              <w:spacing w:before="0"/>
              <w:rPr>
                <w:sz w:val="20"/>
              </w:rPr>
            </w:pPr>
          </w:p>
        </w:tc>
        <w:tc>
          <w:tcPr>
            <w:tcW w:w="2835" w:type="dxa"/>
            <w:gridSpan w:val="2"/>
            <w:tcBorders>
              <w:bottom w:val="nil"/>
            </w:tcBorders>
            <w:vAlign w:val="center"/>
          </w:tcPr>
          <w:p w:rsidR="00425758" w:rsidRDefault="00425758">
            <w:pPr>
              <w:pStyle w:val="yTableNAm"/>
              <w:spacing w:before="0"/>
            </w:pPr>
            <w:r>
              <w:rPr>
                <w:sz w:val="20"/>
              </w:rPr>
              <w:t>No:</w:t>
            </w:r>
          </w:p>
        </w:tc>
      </w:tr>
      <w:tr w:rsidR="00425758">
        <w:trPr>
          <w:cantSplit/>
        </w:trPr>
        <w:tc>
          <w:tcPr>
            <w:tcW w:w="4253" w:type="dxa"/>
            <w:gridSpan w:val="2"/>
            <w:vMerge/>
            <w:tcBorders>
              <w:bottom w:val="single" w:sz="4" w:space="0" w:color="auto"/>
            </w:tcBorders>
          </w:tcPr>
          <w:p w:rsidR="00425758" w:rsidRDefault="00425758">
            <w:pPr>
              <w:pStyle w:val="zyTableNAm"/>
              <w:spacing w:before="0"/>
              <w:rPr>
                <w:sz w:val="20"/>
              </w:rPr>
            </w:pPr>
          </w:p>
        </w:tc>
        <w:tc>
          <w:tcPr>
            <w:tcW w:w="2835" w:type="dxa"/>
            <w:gridSpan w:val="2"/>
            <w:tcBorders>
              <w:bottom w:val="single" w:sz="4" w:space="0" w:color="auto"/>
            </w:tcBorders>
          </w:tcPr>
          <w:p w:rsidR="00425758" w:rsidRDefault="00425758">
            <w:pPr>
              <w:pStyle w:val="yTableNAm"/>
              <w:spacing w:before="0"/>
            </w:pPr>
            <w:r>
              <w:rPr>
                <w:b/>
                <w:sz w:val="20"/>
              </w:rPr>
              <w:t xml:space="preserve">Judgment by consent </w:t>
            </w:r>
          </w:p>
        </w:tc>
      </w:tr>
      <w:tr w:rsidR="00425758">
        <w:trPr>
          <w:cantSplit/>
        </w:trPr>
        <w:tc>
          <w:tcPr>
            <w:tcW w:w="1701" w:type="dxa"/>
            <w:tcBorders>
              <w:bottom w:val="single" w:sz="4" w:space="0" w:color="auto"/>
              <w:right w:val="nil"/>
            </w:tcBorders>
          </w:tcPr>
          <w:p w:rsidR="00425758" w:rsidRDefault="00425758">
            <w:pPr>
              <w:pStyle w:val="yTableNAm"/>
              <w:spacing w:before="0"/>
            </w:pPr>
            <w:r>
              <w:rPr>
                <w:sz w:val="20"/>
              </w:rPr>
              <w:t>Parties</w:t>
            </w:r>
          </w:p>
        </w:tc>
        <w:tc>
          <w:tcPr>
            <w:tcW w:w="5387" w:type="dxa"/>
            <w:gridSpan w:val="3"/>
            <w:tcBorders>
              <w:left w:val="nil"/>
              <w:bottom w:val="single" w:sz="4" w:space="0" w:color="auto"/>
            </w:tcBorders>
          </w:tcPr>
          <w:p w:rsidR="00425758" w:rsidRDefault="00425758">
            <w:pPr>
              <w:pStyle w:val="yTableNAm"/>
              <w:tabs>
                <w:tab w:val="clear" w:pos="567"/>
                <w:tab w:val="left" w:pos="3943"/>
              </w:tabs>
              <w:spacing w:before="0"/>
            </w:pPr>
            <w:r>
              <w:rPr>
                <w:sz w:val="20"/>
              </w:rPr>
              <w:tab/>
              <w:t>Plaintiff</w:t>
            </w:r>
          </w:p>
          <w:p w:rsidR="00425758" w:rsidRDefault="00425758">
            <w:pPr>
              <w:pStyle w:val="yTableNAm"/>
              <w:tabs>
                <w:tab w:val="clear" w:pos="567"/>
                <w:tab w:val="left" w:pos="3943"/>
              </w:tabs>
              <w:spacing w:before="0"/>
              <w:rPr>
                <w:sz w:val="20"/>
              </w:rPr>
            </w:pPr>
            <w:r>
              <w:tab/>
            </w:r>
            <w:r>
              <w:rPr>
                <w:sz w:val="20"/>
              </w:rPr>
              <w:t>Defendant</w:t>
            </w:r>
          </w:p>
        </w:tc>
      </w:tr>
      <w:tr w:rsidR="00425758">
        <w:trPr>
          <w:cantSplit/>
        </w:trPr>
        <w:tc>
          <w:tcPr>
            <w:tcW w:w="1701" w:type="dxa"/>
            <w:tcBorders>
              <w:top w:val="single" w:sz="4" w:space="0" w:color="auto"/>
              <w:bottom w:val="single" w:sz="4" w:space="0" w:color="auto"/>
            </w:tcBorders>
          </w:tcPr>
          <w:p w:rsidR="00425758" w:rsidRDefault="00425758">
            <w:pPr>
              <w:pStyle w:val="yTableNAm"/>
              <w:spacing w:before="0"/>
            </w:pPr>
            <w:r>
              <w:rPr>
                <w:sz w:val="20"/>
              </w:rPr>
              <w:t>Judgment</w:t>
            </w:r>
          </w:p>
        </w:tc>
        <w:tc>
          <w:tcPr>
            <w:tcW w:w="5387" w:type="dxa"/>
            <w:gridSpan w:val="3"/>
            <w:tcBorders>
              <w:top w:val="single" w:sz="4" w:space="0" w:color="auto"/>
              <w:bottom w:val="single" w:sz="4" w:space="0" w:color="auto"/>
            </w:tcBorders>
          </w:tcPr>
          <w:p w:rsidR="00425758" w:rsidRDefault="00425758">
            <w:pPr>
              <w:pStyle w:val="yTableNAm"/>
              <w:spacing w:before="0"/>
            </w:pPr>
            <w:r>
              <w:rPr>
                <w:sz w:val="20"/>
              </w:rPr>
              <w:t xml:space="preserve">In accordance with the consent of the parties, the Court orders — </w:t>
            </w:r>
          </w:p>
          <w:p w:rsidR="00425758" w:rsidRDefault="00425758">
            <w:pPr>
              <w:pStyle w:val="yTableNAm"/>
              <w:spacing w:before="0"/>
            </w:pPr>
            <w:r>
              <w:t>1.</w:t>
            </w:r>
          </w:p>
          <w:p w:rsidR="00425758" w:rsidRDefault="00425758">
            <w:pPr>
              <w:pStyle w:val="yTableNAm"/>
              <w:spacing w:before="0"/>
            </w:pPr>
            <w:r>
              <w:t>2.</w:t>
            </w:r>
          </w:p>
        </w:tc>
      </w:tr>
      <w:tr w:rsidR="00425758">
        <w:trPr>
          <w:cantSplit/>
        </w:trPr>
        <w:tc>
          <w:tcPr>
            <w:tcW w:w="1701" w:type="dxa"/>
            <w:tcBorders>
              <w:top w:val="single" w:sz="4" w:space="0" w:color="auto"/>
              <w:bottom w:val="single" w:sz="4" w:space="0" w:color="auto"/>
            </w:tcBorders>
          </w:tcPr>
          <w:p w:rsidR="00425758" w:rsidRDefault="00425758">
            <w:pPr>
              <w:pStyle w:val="yTableNAm"/>
              <w:spacing w:before="0"/>
            </w:pPr>
            <w:r>
              <w:rPr>
                <w:sz w:val="20"/>
              </w:rPr>
              <w:t>Judicial officer’s signature</w:t>
            </w:r>
          </w:p>
        </w:tc>
        <w:tc>
          <w:tcPr>
            <w:tcW w:w="4092" w:type="dxa"/>
            <w:gridSpan w:val="2"/>
            <w:tcBorders>
              <w:top w:val="single" w:sz="4" w:space="0" w:color="auto"/>
              <w:bottom w:val="single" w:sz="4" w:space="0" w:color="auto"/>
            </w:tcBorders>
          </w:tcPr>
          <w:p w:rsidR="00425758" w:rsidRDefault="00425758">
            <w:pPr>
              <w:pStyle w:val="yTableNAm"/>
              <w:spacing w:before="0"/>
              <w:rPr>
                <w:sz w:val="20"/>
              </w:rPr>
            </w:pPr>
          </w:p>
          <w:p w:rsidR="00425758" w:rsidRDefault="00425758">
            <w:pPr>
              <w:pStyle w:val="yTableNAm"/>
              <w:spacing w:before="0"/>
              <w:rPr>
                <w:sz w:val="20"/>
              </w:rPr>
            </w:pPr>
          </w:p>
          <w:p w:rsidR="00425758" w:rsidRDefault="00425758">
            <w:pPr>
              <w:pStyle w:val="yTableNAm"/>
              <w:spacing w:before="0"/>
            </w:pPr>
            <w:r>
              <w:rPr>
                <w:sz w:val="20"/>
              </w:rPr>
              <w:t>Judicial officer</w:t>
            </w:r>
          </w:p>
        </w:tc>
        <w:tc>
          <w:tcPr>
            <w:tcW w:w="1295" w:type="dxa"/>
            <w:tcBorders>
              <w:top w:val="single" w:sz="4" w:space="0" w:color="auto"/>
              <w:bottom w:val="single" w:sz="4" w:space="0" w:color="auto"/>
            </w:tcBorders>
          </w:tcPr>
          <w:p w:rsidR="00425758" w:rsidRDefault="00425758">
            <w:pPr>
              <w:pStyle w:val="yTableNAm"/>
              <w:spacing w:before="0"/>
            </w:pPr>
            <w:r>
              <w:rPr>
                <w:sz w:val="20"/>
              </w:rPr>
              <w:t>Date:</w:t>
            </w:r>
          </w:p>
        </w:tc>
      </w:tr>
    </w:tbl>
    <w:p w:rsidR="00425758" w:rsidRDefault="00425758">
      <w:pPr>
        <w:pStyle w:val="yFootnotesection"/>
      </w:pPr>
      <w:r>
        <w:tab/>
        <w:t>[Form 44 inserted: Gazette 12 Jun 2012 p. 2452.]</w:t>
      </w:r>
    </w:p>
    <w:p w:rsidR="00425758" w:rsidRDefault="00425758">
      <w:pPr>
        <w:pStyle w:val="yEdnotedivision"/>
        <w:spacing w:before="180"/>
        <w:outlineLvl w:val="9"/>
      </w:pPr>
      <w:r>
        <w:t>[Forms 45</w:t>
      </w:r>
      <w:r>
        <w:noBreakHyphen/>
        <w:t>59 deleted: Gazette 21 Feb 2007 p. 553.]</w:t>
      </w:r>
    </w:p>
    <w:p w:rsidR="00425758" w:rsidRDefault="00425758">
      <w:pPr>
        <w:pStyle w:val="yHeading5"/>
        <w:keepNext w:val="0"/>
        <w:keepLines w:val="0"/>
        <w:widowControl w:val="0"/>
        <w:spacing w:before="480" w:after="120"/>
      </w:pPr>
      <w:bookmarkStart w:id="1388" w:name="_Toc75863953"/>
      <w:r>
        <w:rPr>
          <w:rStyle w:val="CharSClsNo"/>
        </w:rPr>
        <w:t>60</w:t>
      </w:r>
      <w:r>
        <w:t>.</w:t>
      </w:r>
      <w:r>
        <w:rPr>
          <w:b w:val="0"/>
        </w:rPr>
        <w:tab/>
      </w:r>
      <w:r>
        <w:t>Summons for appointment of receiver (O. 51 r. 1)</w:t>
      </w:r>
      <w:bookmarkEnd w:id="1388"/>
    </w:p>
    <w:p w:rsidR="00425758" w:rsidRDefault="00425758">
      <w:pPr>
        <w:pStyle w:val="yMiscellaneousBody"/>
        <w:spacing w:before="120"/>
        <w:jc w:val="center"/>
        <w:rPr>
          <w:sz w:val="20"/>
        </w:rPr>
      </w:pPr>
      <w:r>
        <w:rPr>
          <w:sz w:val="20"/>
        </w:rPr>
        <w:t>(</w:t>
      </w:r>
      <w:r>
        <w:rPr>
          <w:i/>
          <w:sz w:val="20"/>
        </w:rPr>
        <w:t>Heading as in action</w:t>
      </w:r>
      <w:r>
        <w:rPr>
          <w:sz w:val="20"/>
        </w:rPr>
        <w:t>)</w:t>
      </w:r>
    </w:p>
    <w:p w:rsidR="00425758" w:rsidRDefault="00425758">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rsidR="00425758" w:rsidRDefault="00425758">
      <w:pPr>
        <w:pStyle w:val="yMiscellaneousBody"/>
        <w:spacing w:before="120"/>
        <w:rPr>
          <w:sz w:val="20"/>
        </w:rPr>
      </w:pPr>
      <w:r>
        <w:rPr>
          <w:sz w:val="20"/>
        </w:rPr>
        <w:t>Dated, etc.</w:t>
      </w:r>
    </w:p>
    <w:p w:rsidR="00425758" w:rsidRDefault="00425758">
      <w:pPr>
        <w:pStyle w:val="yMiscellaneousBody"/>
        <w:spacing w:before="120"/>
        <w:rPr>
          <w:sz w:val="20"/>
        </w:rPr>
      </w:pPr>
      <w:r>
        <w:rPr>
          <w:sz w:val="20"/>
        </w:rPr>
        <w:t>This summons was taken out by                                  of                                                   .</w:t>
      </w:r>
    </w:p>
    <w:p w:rsidR="00425758" w:rsidRDefault="00425758">
      <w:pPr>
        <w:pStyle w:val="yMiscellaneousBody"/>
        <w:spacing w:before="120"/>
        <w:rPr>
          <w:sz w:val="20"/>
        </w:rPr>
      </w:pPr>
      <w:r>
        <w:rPr>
          <w:sz w:val="20"/>
        </w:rPr>
        <w:t>To the abovenamed</w:t>
      </w:r>
    </w:p>
    <w:p w:rsidR="00425758" w:rsidRDefault="00425758">
      <w:pPr>
        <w:pStyle w:val="yMiscellaneousBody"/>
        <w:spacing w:before="120"/>
        <w:ind w:left="600"/>
        <w:rPr>
          <w:sz w:val="20"/>
        </w:rPr>
      </w:pPr>
      <w:r>
        <w:rPr>
          <w:sz w:val="20"/>
        </w:rPr>
        <w:t>[and his solicitor].</w:t>
      </w:r>
    </w:p>
    <w:p w:rsidR="00425758" w:rsidRDefault="00425758">
      <w:pPr>
        <w:pStyle w:val="yFootnotesection"/>
        <w:spacing w:before="80"/>
      </w:pPr>
      <w:r>
        <w:tab/>
        <w:t>[Form 60 amended: Gazette 21 Feb 2007 p. 553; 28 Jun 2011 p. 2560; 16 Nov 2016 p. 5216; 16 Aug 2017 p. 4422</w:t>
      </w:r>
      <w:r>
        <w:noBreakHyphen/>
        <w:t>3.]</w:t>
      </w:r>
    </w:p>
    <w:p w:rsidR="00425758" w:rsidRDefault="00425758">
      <w:pPr>
        <w:pStyle w:val="yHeading5"/>
        <w:pageBreakBefore/>
      </w:pPr>
      <w:bookmarkStart w:id="1389" w:name="_Toc75863954"/>
      <w:r>
        <w:rPr>
          <w:rStyle w:val="CharSClsNo"/>
        </w:rPr>
        <w:lastRenderedPageBreak/>
        <w:t>61</w:t>
      </w:r>
      <w:r>
        <w:t>.</w:t>
      </w:r>
      <w:r>
        <w:rPr>
          <w:b w:val="0"/>
        </w:rPr>
        <w:tab/>
      </w:r>
      <w:r>
        <w:t>Order directing summons for appointment of receiver and granting injunction meanwhile (O. 51 r. 1)</w:t>
      </w:r>
      <w:bookmarkEnd w:id="1389"/>
    </w:p>
    <w:p w:rsidR="00425758" w:rsidRDefault="00425758">
      <w:pPr>
        <w:pStyle w:val="yMiscellaneousBody"/>
        <w:spacing w:before="120"/>
        <w:jc w:val="center"/>
        <w:rPr>
          <w:sz w:val="20"/>
        </w:rPr>
      </w:pPr>
      <w:r>
        <w:rPr>
          <w:sz w:val="20"/>
        </w:rPr>
        <w:t>(</w:t>
      </w:r>
      <w:r>
        <w:rPr>
          <w:i/>
          <w:sz w:val="20"/>
        </w:rPr>
        <w:t>Heading as in action</w:t>
      </w:r>
      <w:r>
        <w:rPr>
          <w:sz w:val="20"/>
        </w:rPr>
        <w:t>)</w:t>
      </w:r>
    </w:p>
    <w:p w:rsidR="00425758" w:rsidRDefault="00425758">
      <w:pPr>
        <w:pStyle w:val="yMiscellaneousBody"/>
        <w:spacing w:before="120"/>
        <w:rPr>
          <w:sz w:val="20"/>
        </w:rPr>
      </w:pPr>
      <w:r>
        <w:rPr>
          <w:sz w:val="20"/>
        </w:rPr>
        <w:t>Before                                                 in chambers.</w:t>
      </w:r>
    </w:p>
    <w:p w:rsidR="00425758" w:rsidRDefault="00425758">
      <w:pPr>
        <w:pStyle w:val="yMiscellaneousBody"/>
        <w:spacing w:before="120"/>
        <w:rPr>
          <w:sz w:val="20"/>
        </w:rPr>
      </w:pPr>
      <w:r>
        <w:rPr>
          <w:sz w:val="20"/>
        </w:rPr>
        <w:t xml:space="preserve">Upon reading the affidavit of                                                 filed the                      day </w:t>
      </w:r>
      <w:r>
        <w:rPr>
          <w:sz w:val="20"/>
        </w:rPr>
        <w:br/>
        <w:t>of                                          20     :</w:t>
      </w:r>
    </w:p>
    <w:p w:rsidR="00425758" w:rsidRDefault="00425758">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rsidR="00425758" w:rsidRDefault="00425758">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rsidR="00425758" w:rsidRDefault="00425758">
      <w:pPr>
        <w:pStyle w:val="yMiscellaneousBody"/>
        <w:spacing w:before="120"/>
        <w:rPr>
          <w:sz w:val="20"/>
        </w:rPr>
      </w:pPr>
      <w:r>
        <w:rPr>
          <w:sz w:val="20"/>
        </w:rPr>
        <w:t>Dated the                     day of                                      20     .</w:t>
      </w:r>
    </w:p>
    <w:p w:rsidR="00425758" w:rsidRDefault="00425758">
      <w:pPr>
        <w:pStyle w:val="yFootnotesection"/>
      </w:pPr>
      <w:r>
        <w:tab/>
        <w:t>[Form 61 amended: Gazette 21 Feb 2007 p. 553</w:t>
      </w:r>
      <w:r>
        <w:noBreakHyphen/>
        <w:t>4; 28 Jun 2011 p. 2560; 16 Nov 2016 p. 5216; 16 Aug 2017 p. 4423.]</w:t>
      </w:r>
    </w:p>
    <w:p w:rsidR="00425758" w:rsidRDefault="00425758">
      <w:pPr>
        <w:pStyle w:val="yHeading5"/>
        <w:pageBreakBefore/>
        <w:spacing w:before="0" w:after="120"/>
      </w:pPr>
      <w:bookmarkStart w:id="1390" w:name="_Toc75863955"/>
      <w:r>
        <w:rPr>
          <w:rStyle w:val="CharSClsNo"/>
        </w:rPr>
        <w:lastRenderedPageBreak/>
        <w:t>62</w:t>
      </w:r>
      <w:r>
        <w:t>.</w:t>
      </w:r>
      <w:r>
        <w:rPr>
          <w:b w:val="0"/>
        </w:rPr>
        <w:tab/>
      </w:r>
      <w:r>
        <w:t>Receiver order (interim) (O. 51 r. 1)</w:t>
      </w:r>
      <w:bookmarkEnd w:id="1390"/>
    </w:p>
    <w:p w:rsidR="00425758" w:rsidRDefault="00425758">
      <w:pPr>
        <w:pStyle w:val="yMiscellaneousBody"/>
        <w:spacing w:before="120"/>
        <w:jc w:val="center"/>
        <w:rPr>
          <w:sz w:val="20"/>
        </w:rPr>
      </w:pPr>
      <w:r>
        <w:rPr>
          <w:sz w:val="20"/>
        </w:rPr>
        <w:t>(</w:t>
      </w:r>
      <w:r>
        <w:rPr>
          <w:i/>
          <w:sz w:val="20"/>
        </w:rPr>
        <w:t>Heading as in action</w:t>
      </w:r>
      <w:r>
        <w:rPr>
          <w:sz w:val="20"/>
        </w:rPr>
        <w:t>)</w:t>
      </w:r>
    </w:p>
    <w:p w:rsidR="00425758" w:rsidRDefault="00425758">
      <w:pPr>
        <w:pStyle w:val="yMiscellaneousBody"/>
        <w:spacing w:before="120"/>
        <w:rPr>
          <w:sz w:val="20"/>
        </w:rPr>
      </w:pPr>
      <w:r>
        <w:rPr>
          <w:sz w:val="20"/>
        </w:rPr>
        <w:t>Before                                              in chambers.</w:t>
      </w:r>
    </w:p>
    <w:p w:rsidR="00425758" w:rsidRDefault="00425758">
      <w:pPr>
        <w:pStyle w:val="yMiscellaneousBody"/>
        <w:spacing w:before="120"/>
        <w:rPr>
          <w:sz w:val="20"/>
        </w:rPr>
      </w:pPr>
      <w:r>
        <w:rPr>
          <w:sz w:val="20"/>
        </w:rPr>
        <w:t>Upon hearing                                    and upon reading the affidavit of                                   filed the                day of                         20     .</w:t>
      </w:r>
    </w:p>
    <w:p w:rsidR="00425758" w:rsidRDefault="00425758">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rsidR="00425758" w:rsidRDefault="00425758">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rsidR="00425758" w:rsidRDefault="00425758">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rsidR="00425758" w:rsidRDefault="00425758">
      <w:pPr>
        <w:pStyle w:val="yMiscellaneousBody"/>
        <w:spacing w:before="120"/>
        <w:rPr>
          <w:sz w:val="20"/>
        </w:rPr>
      </w:pPr>
      <w:r>
        <w:rPr>
          <w:sz w:val="20"/>
        </w:rPr>
        <w:t>Defendant to be at liberty to apply in the meantime.</w:t>
      </w:r>
    </w:p>
    <w:p w:rsidR="00425758" w:rsidRDefault="00425758">
      <w:pPr>
        <w:pStyle w:val="yMiscellaneousBody"/>
        <w:spacing w:before="120"/>
        <w:rPr>
          <w:sz w:val="20"/>
        </w:rPr>
      </w:pPr>
      <w:r>
        <w:rPr>
          <w:sz w:val="20"/>
        </w:rPr>
        <w:t>Dated the              day of                                     20     .</w:t>
      </w:r>
    </w:p>
    <w:p w:rsidR="00425758" w:rsidRDefault="00425758">
      <w:pPr>
        <w:pStyle w:val="yFootnotesection"/>
      </w:pPr>
      <w:r>
        <w:tab/>
        <w:t>[Form 62 amended: Gazette 28 Jun 2011 p. 2560.]</w:t>
      </w:r>
    </w:p>
    <w:p w:rsidR="00425758" w:rsidRDefault="00425758">
      <w:pPr>
        <w:pStyle w:val="yEdnotedivision"/>
        <w:spacing w:before="180"/>
        <w:outlineLvl w:val="9"/>
      </w:pPr>
      <w:r>
        <w:t>[Form 63 deleted: Gazette 16 Aug 2017 p. 4423.]</w:t>
      </w:r>
    </w:p>
    <w:p w:rsidR="00425758" w:rsidRDefault="00425758">
      <w:pPr>
        <w:pStyle w:val="yHeading5"/>
      </w:pPr>
      <w:bookmarkStart w:id="1391" w:name="_Toc75863956"/>
      <w:r>
        <w:t>64.</w:t>
      </w:r>
      <w:r>
        <w:tab/>
        <w:t>Notice of originating motion (O. 54 r. 5)</w:t>
      </w:r>
      <w:bookmarkEnd w:id="1391"/>
    </w:p>
    <w:p w:rsidR="00425758" w:rsidRDefault="00425758">
      <w:pPr>
        <w:pStyle w:val="yMiscellaneousBody"/>
      </w:pPr>
      <w:r>
        <w:rPr>
          <w:sz w:val="20"/>
        </w:rPr>
        <w:t>In the Supreme Court of Western Australia</w:t>
      </w:r>
      <w:r>
        <w:rPr>
          <w:sz w:val="20"/>
        </w:rPr>
        <w:br/>
        <w:t xml:space="preserve">*General Division/Court of Appeal </w:t>
      </w:r>
      <w:r>
        <w:rPr>
          <w:sz w:val="20"/>
        </w:rPr>
        <w:tab/>
        <w:t xml:space="preserve">No.                          </w:t>
      </w:r>
    </w:p>
    <w:p w:rsidR="00425758" w:rsidRDefault="00425758">
      <w:pPr>
        <w:pStyle w:val="yMiscellaneousBody"/>
        <w:jc w:val="right"/>
        <w:rPr>
          <w:b/>
        </w:rPr>
      </w:pPr>
      <w:r>
        <w:rPr>
          <w:b/>
        </w:rPr>
        <w:tab/>
        <w:t>Notice of originating motion</w:t>
      </w:r>
    </w:p>
    <w:p w:rsidR="00425758" w:rsidRDefault="00425758">
      <w:pPr>
        <w:pStyle w:val="yMiscellaneousBody"/>
        <w:tabs>
          <w:tab w:val="left" w:pos="4536"/>
        </w:tabs>
      </w:pPr>
      <w:r>
        <w:t>Parties</w:t>
      </w:r>
      <w:r>
        <w:tab/>
        <w:t>Plaintiff</w:t>
      </w:r>
    </w:p>
    <w:p w:rsidR="00425758" w:rsidRDefault="00425758">
      <w:pPr>
        <w:pStyle w:val="yMiscellaneousBody"/>
        <w:tabs>
          <w:tab w:val="left" w:pos="4536"/>
        </w:tabs>
      </w:pPr>
      <w:r>
        <w:tab/>
        <w:t>Defendant</w:t>
      </w:r>
    </w:p>
    <w:p w:rsidR="00425758" w:rsidRDefault="00425758">
      <w:pPr>
        <w:pStyle w:val="yMiscellaneousBody"/>
      </w:pPr>
      <w:r>
        <w:t>Notice</w:t>
      </w:r>
    </w:p>
    <w:p w:rsidR="00425758" w:rsidRDefault="00425758">
      <w:pPr>
        <w:pStyle w:val="yMiscellaneousBody"/>
      </w:pPr>
      <w:r>
        <w:t>At the hearing below in the *Supreme Court/Court of Appeal, the [</w:t>
      </w:r>
      <w:r>
        <w:rPr>
          <w:i/>
        </w:rPr>
        <w:t>name of party</w:t>
      </w:r>
      <w:r>
        <w:t>] will apply for [</w:t>
      </w:r>
      <w:r>
        <w:rPr>
          <w:i/>
        </w:rPr>
        <w:t>state concisely the nature of the claim or the relief or remedy sought</w:t>
      </w:r>
      <w:r>
        <w:t>].</w:t>
      </w:r>
    </w:p>
    <w:p w:rsidR="00425758" w:rsidRDefault="00425758">
      <w:pPr>
        <w:pStyle w:val="yMiscellaneousBody"/>
      </w:pPr>
      <w:r>
        <w:lastRenderedPageBreak/>
        <w:t>Grounds of application</w:t>
      </w:r>
    </w:p>
    <w:p w:rsidR="00425758" w:rsidRDefault="00425758">
      <w:pPr>
        <w:pStyle w:val="yMiscellaneousBody"/>
      </w:pPr>
      <w:r>
        <w:t xml:space="preserve">The grounds of the application are: </w:t>
      </w:r>
      <w:r>
        <w:br/>
        <w:t>[</w:t>
      </w:r>
      <w:r>
        <w:rPr>
          <w:i/>
        </w:rPr>
        <w:t>State grounds in numbered paragraphs</w:t>
      </w:r>
      <w:r>
        <w:t>]</w:t>
      </w:r>
    </w:p>
    <w:p w:rsidR="00425758" w:rsidRDefault="00425758">
      <w:pPr>
        <w:pStyle w:val="yMiscellaneousBody"/>
      </w:pPr>
      <w:r>
        <w:t>Hearing details</w:t>
      </w:r>
    </w:p>
    <w:p w:rsidR="00425758" w:rsidRDefault="00425758">
      <w:pPr>
        <w:pStyle w:val="yMiscellaneousBody"/>
      </w:pPr>
      <w:r>
        <w:t>The court will hear this application —</w:t>
      </w:r>
      <w:r>
        <w:br/>
        <w:t>on [</w:t>
      </w:r>
      <w:r>
        <w:rPr>
          <w:i/>
        </w:rPr>
        <w:t>date</w:t>
      </w:r>
      <w:r>
        <w:t>] at [</w:t>
      </w:r>
      <w:r>
        <w:rPr>
          <w:i/>
        </w:rPr>
        <w:t>time</w:t>
      </w:r>
      <w:r>
        <w:t>],</w:t>
      </w:r>
      <w:r>
        <w:br/>
        <w:t>at the *Supreme Court, David Malcolm Justice Centre, 28 Barrack Street, Perth.</w:t>
      </w:r>
      <w:r>
        <w:br/>
        <w:t>*Supreme Court of Western Australia, Court of Appeal, Stirling Gardens, Barrack Street, Perth.</w:t>
      </w:r>
    </w:p>
    <w:p w:rsidR="00425758" w:rsidRDefault="00425758">
      <w:pPr>
        <w:pStyle w:val="yMiscellaneousBody"/>
      </w:pPr>
      <w:r>
        <w:t>*Short notice</w:t>
      </w:r>
    </w:p>
    <w:p w:rsidR="00425758" w:rsidRDefault="00425758">
      <w:pPr>
        <w:pStyle w:val="yMiscellaneousBody"/>
      </w:pPr>
      <w:r>
        <w:t>On [</w:t>
      </w:r>
      <w:r>
        <w:rPr>
          <w:i/>
        </w:rPr>
        <w:t>date</w:t>
      </w:r>
      <w:r>
        <w:t xml:space="preserve">], under the </w:t>
      </w:r>
      <w:r>
        <w:rPr>
          <w:i/>
        </w:rPr>
        <w:t>Rules of the Supreme Court 1971</w:t>
      </w:r>
      <w:r>
        <w:t xml:space="preserve"> Order 54 rule 4, the Court abridged the time for serving this notice.</w:t>
      </w:r>
    </w:p>
    <w:p w:rsidR="00425758" w:rsidRDefault="00425758">
      <w:pPr>
        <w:pStyle w:val="yMiscellaneousBody"/>
      </w:pPr>
      <w:r>
        <w:t>Applicant’s service details</w:t>
      </w:r>
      <w:r>
        <w:rPr>
          <w:vertAlign w:val="superscript"/>
        </w:rPr>
        <w:t>1</w:t>
      </w:r>
    </w:p>
    <w:p w:rsidR="00425758" w:rsidRDefault="00425758">
      <w:pPr>
        <w:pStyle w:val="yMiscellaneousBody"/>
      </w:pPr>
      <w:r>
        <w:t>*Name of lawyer:</w:t>
      </w:r>
      <w:r>
        <w:br/>
        <w:t>*Address where lawyer conducts business:</w:t>
      </w:r>
      <w:r>
        <w:br/>
        <w:t>Postal address for service of documents:</w:t>
      </w:r>
      <w:r>
        <w:br/>
        <w:t>*Email address:</w:t>
      </w:r>
      <w:r>
        <w:br/>
        <w:t>*Fax no.: ........................................... *Telephone no.: .........................</w:t>
      </w:r>
    </w:p>
    <w:p w:rsidR="00425758" w:rsidRDefault="00425758">
      <w:pPr>
        <w:pStyle w:val="yMiscellaneousBody"/>
      </w:pPr>
      <w:r>
        <w:t>Applicant’s signature</w:t>
      </w:r>
    </w:p>
    <w:p w:rsidR="00425758" w:rsidRDefault="00425758">
      <w:pPr>
        <w:pStyle w:val="yMiscellaneousBody"/>
      </w:pPr>
      <w:r>
        <w:t>..........................................................</w:t>
      </w:r>
      <w:r>
        <w:tab/>
        <w:t>Date: ..............................</w:t>
      </w:r>
      <w:r>
        <w:br/>
        <w:t>Applicant/Applicant’s lawyer</w:t>
      </w:r>
    </w:p>
    <w:p w:rsidR="00425758" w:rsidRDefault="00425758">
      <w:pPr>
        <w:pStyle w:val="PermNoteHeading"/>
        <w:tabs>
          <w:tab w:val="left" w:pos="567"/>
          <w:tab w:val="left" w:pos="1276"/>
        </w:tabs>
        <w:ind w:left="1418" w:hanging="1334"/>
        <w:rPr>
          <w:szCs w:val="18"/>
        </w:rPr>
      </w:pPr>
      <w:r>
        <w:rPr>
          <w:szCs w:val="18"/>
        </w:rPr>
        <w:t>Footnotes to Form 64 —</w:t>
      </w:r>
    </w:p>
    <w:p w:rsidR="00425758" w:rsidRDefault="00425758">
      <w:pPr>
        <w:pStyle w:val="PermNotePara"/>
        <w:tabs>
          <w:tab w:val="clear" w:pos="1843"/>
          <w:tab w:val="left" w:pos="1276"/>
        </w:tabs>
        <w:ind w:left="658" w:hanging="567"/>
        <w:rPr>
          <w:szCs w:val="18"/>
        </w:rPr>
      </w:pPr>
      <w:r>
        <w:rPr>
          <w:szCs w:val="18"/>
        </w:rPr>
        <w:t>*</w:t>
      </w:r>
      <w:r>
        <w:rPr>
          <w:szCs w:val="18"/>
        </w:rPr>
        <w:tab/>
        <w:t>Delete the inapplicable.</w:t>
      </w:r>
    </w:p>
    <w:p w:rsidR="00425758" w:rsidRDefault="00425758">
      <w:pPr>
        <w:pStyle w:val="PermNotePara"/>
        <w:tabs>
          <w:tab w:val="clear" w:pos="1843"/>
          <w:tab w:val="left" w:pos="1276"/>
        </w:tabs>
        <w:ind w:left="658" w:hanging="567"/>
        <w:rPr>
          <w:szCs w:val="18"/>
        </w:rPr>
      </w:pPr>
      <w:r>
        <w:rPr>
          <w:szCs w:val="18"/>
        </w:rPr>
        <w:t>1.</w:t>
      </w:r>
      <w:r>
        <w:rPr>
          <w:szCs w:val="18"/>
        </w:rPr>
        <w:tab/>
        <w:t>Must be provided unless otherwise ordered by the Court.  See Order 71A r. 2 and 3A.</w:t>
      </w:r>
    </w:p>
    <w:p w:rsidR="00425758" w:rsidRDefault="00425758">
      <w:pPr>
        <w:pStyle w:val="yFootnotesection"/>
      </w:pPr>
      <w:r>
        <w:tab/>
        <w:t>[Form 64 inserted: Gazette 16 Aug 2017 p. 4424</w:t>
      </w:r>
      <w:r>
        <w:noBreakHyphen/>
        <w:t>5.]</w:t>
      </w:r>
    </w:p>
    <w:p w:rsidR="00425758" w:rsidRDefault="00425758">
      <w:pPr>
        <w:pStyle w:val="yHeading5"/>
      </w:pPr>
      <w:bookmarkStart w:id="1392" w:name="_Toc75863957"/>
      <w:r>
        <w:rPr>
          <w:rStyle w:val="CharSClsNo"/>
        </w:rPr>
        <w:t>65</w:t>
      </w:r>
      <w:r>
        <w:t>.</w:t>
      </w:r>
      <w:r>
        <w:rPr>
          <w:b w:val="0"/>
        </w:rPr>
        <w:tab/>
      </w:r>
      <w:r>
        <w:t>Notice of motion (O. 54 r. 5)</w:t>
      </w:r>
      <w:bookmarkEnd w:id="1392"/>
    </w:p>
    <w:p w:rsidR="00425758" w:rsidRDefault="00425758">
      <w:pPr>
        <w:pStyle w:val="yMiscellaneousBody"/>
        <w:spacing w:before="120"/>
        <w:jc w:val="center"/>
        <w:rPr>
          <w:sz w:val="20"/>
        </w:rPr>
      </w:pPr>
      <w:r>
        <w:rPr>
          <w:sz w:val="20"/>
        </w:rPr>
        <w:t>(</w:t>
      </w:r>
      <w:r>
        <w:rPr>
          <w:i/>
          <w:sz w:val="20"/>
        </w:rPr>
        <w:t>Heading as in cause or matter</w:t>
      </w:r>
      <w:r>
        <w:rPr>
          <w:sz w:val="20"/>
        </w:rPr>
        <w:t>)</w:t>
      </w:r>
    </w:p>
    <w:p w:rsidR="00425758" w:rsidRDefault="00425758">
      <w:pPr>
        <w:pStyle w:val="yMiscellaneousBody"/>
        <w:spacing w:before="120"/>
        <w:rPr>
          <w:sz w:val="20"/>
        </w:rPr>
      </w:pPr>
      <w:r>
        <w:rPr>
          <w:sz w:val="20"/>
        </w:rPr>
        <w:t>TAKE notice that [pursuant to the leave of</w:t>
      </w:r>
      <w:r>
        <w:rPr>
          <w:sz w:val="20"/>
        </w:rPr>
        <w:br/>
        <w:t>given on the                          day of                              20    .] the Court will be moved on the          day of                                 20       at</w:t>
      </w:r>
      <w:r>
        <w:rPr>
          <w:sz w:val="20"/>
        </w:rPr>
        <w:br/>
        <w:t xml:space="preserve">                       o’clock in the              noon, or so soon thereafter as counsel can be heard, </w:t>
      </w:r>
      <w:r>
        <w:rPr>
          <w:sz w:val="20"/>
        </w:rPr>
        <w:lastRenderedPageBreak/>
        <w:t>by counsel for the abovenamed [plaintiff] [or defendant] for an order that                              and that the costs of the application be                                                   .</w:t>
      </w:r>
    </w:p>
    <w:p w:rsidR="00425758" w:rsidRDefault="00425758">
      <w:pPr>
        <w:pStyle w:val="yMiscellaneousBody"/>
        <w:spacing w:before="120"/>
        <w:rPr>
          <w:sz w:val="20"/>
        </w:rPr>
      </w:pPr>
      <w:r>
        <w:rPr>
          <w:sz w:val="20"/>
        </w:rPr>
        <w:t>Dated the                       day of                                          20     .</w:t>
      </w:r>
    </w:p>
    <w:p w:rsidR="00425758" w:rsidRDefault="00425758">
      <w:pPr>
        <w:pStyle w:val="yMiscellaneousBody"/>
        <w:spacing w:before="120"/>
        <w:rPr>
          <w:sz w:val="20"/>
        </w:rPr>
      </w:pPr>
      <w:r>
        <w:rPr>
          <w:sz w:val="20"/>
        </w:rPr>
        <w:t>(Signed)</w:t>
      </w:r>
    </w:p>
    <w:p w:rsidR="00425758" w:rsidRDefault="00425758">
      <w:pPr>
        <w:pStyle w:val="yMiscellaneousBody"/>
        <w:spacing w:before="0"/>
        <w:ind w:left="240"/>
        <w:rPr>
          <w:sz w:val="20"/>
        </w:rPr>
      </w:pPr>
      <w:r>
        <w:rPr>
          <w:sz w:val="20"/>
        </w:rPr>
        <w:t>of</w:t>
      </w:r>
    </w:p>
    <w:p w:rsidR="00425758" w:rsidRDefault="00425758">
      <w:pPr>
        <w:pStyle w:val="yMiscellaneousBody"/>
        <w:spacing w:before="0"/>
        <w:rPr>
          <w:sz w:val="20"/>
        </w:rPr>
      </w:pPr>
      <w:r>
        <w:rPr>
          <w:sz w:val="20"/>
        </w:rPr>
        <w:t>[agent for</w:t>
      </w:r>
    </w:p>
    <w:p w:rsidR="00425758" w:rsidRDefault="00425758">
      <w:pPr>
        <w:pStyle w:val="yMiscellaneousBody"/>
        <w:spacing w:before="0"/>
        <w:ind w:left="238"/>
        <w:rPr>
          <w:sz w:val="20"/>
        </w:rPr>
      </w:pPr>
      <w:r>
        <w:rPr>
          <w:sz w:val="20"/>
        </w:rPr>
        <w:t>of                                                ]</w:t>
      </w:r>
    </w:p>
    <w:p w:rsidR="00425758" w:rsidRDefault="00425758">
      <w:pPr>
        <w:pStyle w:val="yMiscellaneousBody"/>
        <w:spacing w:before="120"/>
        <w:ind w:left="1200"/>
        <w:rPr>
          <w:sz w:val="20"/>
        </w:rPr>
      </w:pPr>
      <w:r>
        <w:rPr>
          <w:sz w:val="20"/>
        </w:rPr>
        <w:t>Solicitor for the</w:t>
      </w:r>
    </w:p>
    <w:p w:rsidR="00425758" w:rsidRDefault="00425758">
      <w:pPr>
        <w:pStyle w:val="yMiscellaneousBody"/>
        <w:spacing w:before="120"/>
        <w:rPr>
          <w:sz w:val="20"/>
        </w:rPr>
      </w:pPr>
      <w:r>
        <w:rPr>
          <w:sz w:val="20"/>
        </w:rPr>
        <w:t>To Solicitor for the                                                      .</w:t>
      </w:r>
    </w:p>
    <w:p w:rsidR="00425758" w:rsidRDefault="00425758">
      <w:pPr>
        <w:pStyle w:val="yFootnotesection"/>
      </w:pPr>
      <w:r>
        <w:tab/>
        <w:t>[Form 65 amended: Gazette 28 Jun 2011 p. 2560; 16 Aug 2017 p. 4423.]</w:t>
      </w:r>
    </w:p>
    <w:p w:rsidR="00425758" w:rsidRDefault="00425758">
      <w:pPr>
        <w:pStyle w:val="yHeading5"/>
        <w:spacing w:before="480" w:after="120"/>
      </w:pPr>
      <w:bookmarkStart w:id="1393" w:name="_Toc75863958"/>
      <w:r>
        <w:rPr>
          <w:rStyle w:val="CharSClsNo"/>
        </w:rPr>
        <w:t>66</w:t>
      </w:r>
      <w:r>
        <w:t>.</w:t>
      </w:r>
      <w:r>
        <w:rPr>
          <w:b w:val="0"/>
        </w:rPr>
        <w:tab/>
      </w:r>
      <w:r>
        <w:t>Order of committal (O. 55 r. 7(4))</w:t>
      </w:r>
      <w:bookmarkEnd w:id="1393"/>
    </w:p>
    <w:p w:rsidR="00425758" w:rsidRDefault="00425758">
      <w:pPr>
        <w:pStyle w:val="yMiscellaneousBody"/>
        <w:spacing w:before="120"/>
        <w:jc w:val="center"/>
        <w:rPr>
          <w:sz w:val="20"/>
        </w:rPr>
      </w:pPr>
      <w:r>
        <w:rPr>
          <w:sz w:val="20"/>
        </w:rPr>
        <w:t>(</w:t>
      </w:r>
      <w:r>
        <w:rPr>
          <w:i/>
          <w:sz w:val="20"/>
        </w:rPr>
        <w:t>Heading as in action</w:t>
      </w:r>
      <w:r>
        <w:rPr>
          <w:sz w:val="20"/>
        </w:rPr>
        <w:t>)</w:t>
      </w:r>
    </w:p>
    <w:p w:rsidR="00425758" w:rsidRDefault="00425758">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rsidR="00425758" w:rsidRDefault="00425758">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rsidR="00425758" w:rsidRDefault="00425758">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rsidR="00425758" w:rsidRDefault="00425758">
      <w:pPr>
        <w:pStyle w:val="yMiscellaneousBody"/>
        <w:spacing w:before="120"/>
        <w:rPr>
          <w:sz w:val="20"/>
        </w:rPr>
      </w:pPr>
      <w:r>
        <w:rPr>
          <w:sz w:val="20"/>
        </w:rPr>
        <w:t>Dated the                       day of                                          20     .</w:t>
      </w:r>
    </w:p>
    <w:p w:rsidR="00425758" w:rsidRDefault="00425758">
      <w:pPr>
        <w:pStyle w:val="yFootnotesection"/>
      </w:pPr>
      <w:r>
        <w:tab/>
        <w:t>[Form 66 amended: Gazette 28 Jun 2011 p. 2561.]</w:t>
      </w:r>
    </w:p>
    <w:p w:rsidR="00425758" w:rsidRDefault="00425758">
      <w:pPr>
        <w:pStyle w:val="yMiscellaneousHeading"/>
        <w:jc w:val="left"/>
        <w:rPr>
          <w:b/>
        </w:rPr>
      </w:pPr>
      <w:r>
        <w:rPr>
          <w:rStyle w:val="CharSClsNo"/>
          <w:b/>
          <w:bCs/>
        </w:rPr>
        <w:t>67A</w:t>
      </w:r>
      <w:r>
        <w:rPr>
          <w:b/>
        </w:rPr>
        <w:t>.</w:t>
      </w:r>
      <w:r>
        <w:rPr>
          <w:b/>
        </w:rPr>
        <w:tab/>
        <w:t>Application for judicial review (O. 56 r. 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985"/>
        <w:gridCol w:w="1559"/>
        <w:gridCol w:w="142"/>
        <w:gridCol w:w="1701"/>
        <w:gridCol w:w="1551"/>
        <w:gridCol w:w="8"/>
      </w:tblGrid>
      <w:tr w:rsidR="00425758">
        <w:trPr>
          <w:cantSplit/>
        </w:trPr>
        <w:tc>
          <w:tcPr>
            <w:tcW w:w="3686" w:type="dxa"/>
            <w:gridSpan w:val="3"/>
            <w:vMerge w:val="restart"/>
          </w:tcPr>
          <w:p w:rsidR="00425758" w:rsidRDefault="00425758">
            <w:pPr>
              <w:pStyle w:val="yTableNAm"/>
              <w:rPr>
                <w:sz w:val="20"/>
              </w:rPr>
            </w:pPr>
            <w:r>
              <w:rPr>
                <w:sz w:val="20"/>
              </w:rPr>
              <w:t>Supreme Court of Western Australia</w:t>
            </w:r>
          </w:p>
        </w:tc>
        <w:tc>
          <w:tcPr>
            <w:tcW w:w="3260" w:type="dxa"/>
            <w:gridSpan w:val="3"/>
            <w:tcBorders>
              <w:bottom w:val="nil"/>
            </w:tcBorders>
            <w:vAlign w:val="center"/>
          </w:tcPr>
          <w:p w:rsidR="00425758" w:rsidRDefault="00425758">
            <w:pPr>
              <w:pStyle w:val="yTableNAm"/>
              <w:rPr>
                <w:sz w:val="20"/>
              </w:rPr>
            </w:pPr>
            <w:r>
              <w:rPr>
                <w:sz w:val="20"/>
              </w:rPr>
              <w:t>No:</w:t>
            </w:r>
          </w:p>
        </w:tc>
      </w:tr>
      <w:tr w:rsidR="00425758">
        <w:trPr>
          <w:cantSplit/>
        </w:trPr>
        <w:tc>
          <w:tcPr>
            <w:tcW w:w="3686" w:type="dxa"/>
            <w:gridSpan w:val="3"/>
            <w:vMerge/>
            <w:tcBorders>
              <w:bottom w:val="single" w:sz="4" w:space="0" w:color="auto"/>
            </w:tcBorders>
          </w:tcPr>
          <w:p w:rsidR="00425758" w:rsidRDefault="00425758">
            <w:pPr>
              <w:pStyle w:val="yTableNAm"/>
              <w:rPr>
                <w:sz w:val="20"/>
              </w:rPr>
            </w:pPr>
          </w:p>
        </w:tc>
        <w:tc>
          <w:tcPr>
            <w:tcW w:w="3260" w:type="dxa"/>
            <w:gridSpan w:val="3"/>
            <w:tcBorders>
              <w:bottom w:val="single" w:sz="4" w:space="0" w:color="auto"/>
            </w:tcBorders>
          </w:tcPr>
          <w:p w:rsidR="00425758" w:rsidRDefault="00425758">
            <w:pPr>
              <w:pStyle w:val="yTableNAm"/>
              <w:spacing w:before="0"/>
              <w:rPr>
                <w:sz w:val="20"/>
              </w:rPr>
            </w:pPr>
            <w:r>
              <w:rPr>
                <w:b/>
                <w:sz w:val="20"/>
              </w:rPr>
              <w:t>Application for judicial review</w:t>
            </w:r>
          </w:p>
        </w:tc>
      </w:tr>
      <w:tr w:rsidR="00425758">
        <w:trPr>
          <w:cantSplit/>
        </w:trPr>
        <w:tc>
          <w:tcPr>
            <w:tcW w:w="1985" w:type="dxa"/>
            <w:tcBorders>
              <w:top w:val="single" w:sz="4" w:space="0" w:color="auto"/>
              <w:bottom w:val="single" w:sz="4" w:space="0" w:color="auto"/>
            </w:tcBorders>
          </w:tcPr>
          <w:p w:rsidR="00425758" w:rsidRDefault="00425758">
            <w:pPr>
              <w:pStyle w:val="yTableNAm"/>
              <w:rPr>
                <w:sz w:val="20"/>
              </w:rPr>
            </w:pPr>
            <w:r>
              <w:rPr>
                <w:sz w:val="20"/>
              </w:rPr>
              <w:t>Applicant</w:t>
            </w:r>
          </w:p>
        </w:tc>
        <w:tc>
          <w:tcPr>
            <w:tcW w:w="4961" w:type="dxa"/>
            <w:gridSpan w:val="5"/>
            <w:tcBorders>
              <w:top w:val="single" w:sz="4" w:space="0" w:color="auto"/>
              <w:bottom w:val="single" w:sz="4" w:space="0" w:color="auto"/>
            </w:tcBorders>
          </w:tcPr>
          <w:p w:rsidR="00425758" w:rsidRDefault="00425758">
            <w:pPr>
              <w:pStyle w:val="yTableNAm"/>
              <w:rPr>
                <w:sz w:val="20"/>
              </w:rPr>
            </w:pPr>
          </w:p>
        </w:tc>
      </w:tr>
      <w:tr w:rsidR="00425758">
        <w:trPr>
          <w:cantSplit/>
        </w:trPr>
        <w:tc>
          <w:tcPr>
            <w:tcW w:w="1985" w:type="dxa"/>
            <w:tcBorders>
              <w:top w:val="single" w:sz="4" w:space="0" w:color="auto"/>
              <w:bottom w:val="single" w:sz="4" w:space="0" w:color="auto"/>
            </w:tcBorders>
          </w:tcPr>
          <w:p w:rsidR="00425758" w:rsidRDefault="00425758">
            <w:pPr>
              <w:pStyle w:val="yTableNAm"/>
              <w:rPr>
                <w:sz w:val="20"/>
              </w:rPr>
            </w:pPr>
            <w:r>
              <w:rPr>
                <w:sz w:val="20"/>
              </w:rPr>
              <w:t>Respondent</w:t>
            </w:r>
            <w:r>
              <w:rPr>
                <w:sz w:val="20"/>
                <w:vertAlign w:val="superscript"/>
              </w:rPr>
              <w:t>1</w:t>
            </w:r>
          </w:p>
        </w:tc>
        <w:tc>
          <w:tcPr>
            <w:tcW w:w="4961" w:type="dxa"/>
            <w:gridSpan w:val="5"/>
            <w:tcBorders>
              <w:top w:val="single" w:sz="4" w:space="0" w:color="auto"/>
              <w:bottom w:val="single" w:sz="4" w:space="0" w:color="auto"/>
            </w:tcBorders>
          </w:tcPr>
          <w:p w:rsidR="00425758" w:rsidRDefault="00425758">
            <w:pPr>
              <w:pStyle w:val="yTableNAm"/>
              <w:rPr>
                <w:sz w:val="20"/>
              </w:rPr>
            </w:pPr>
            <w:r>
              <w:rPr>
                <w:sz w:val="20"/>
              </w:rPr>
              <w:t xml:space="preserve">Name: </w:t>
            </w:r>
          </w:p>
          <w:p w:rsidR="00425758" w:rsidRDefault="00425758">
            <w:pPr>
              <w:pStyle w:val="yTableNAm"/>
              <w:rPr>
                <w:sz w:val="20"/>
              </w:rPr>
            </w:pPr>
            <w:r>
              <w:rPr>
                <w:sz w:val="20"/>
              </w:rPr>
              <w:t>Office:</w:t>
            </w:r>
          </w:p>
        </w:tc>
      </w:tr>
      <w:tr w:rsidR="00425758">
        <w:trPr>
          <w:cantSplit/>
        </w:trPr>
        <w:tc>
          <w:tcPr>
            <w:tcW w:w="1985" w:type="dxa"/>
            <w:tcBorders>
              <w:top w:val="single" w:sz="4" w:space="0" w:color="auto"/>
              <w:bottom w:val="single" w:sz="4" w:space="0" w:color="auto"/>
            </w:tcBorders>
          </w:tcPr>
          <w:p w:rsidR="00425758" w:rsidRDefault="00425758">
            <w:pPr>
              <w:pStyle w:val="yTableNAm"/>
              <w:rPr>
                <w:sz w:val="20"/>
              </w:rPr>
            </w:pPr>
            <w:r>
              <w:rPr>
                <w:sz w:val="20"/>
              </w:rPr>
              <w:lastRenderedPageBreak/>
              <w:t>Other parties</w:t>
            </w:r>
          </w:p>
        </w:tc>
        <w:tc>
          <w:tcPr>
            <w:tcW w:w="4961" w:type="dxa"/>
            <w:gridSpan w:val="5"/>
            <w:tcBorders>
              <w:top w:val="single" w:sz="4" w:space="0" w:color="auto"/>
              <w:bottom w:val="single" w:sz="4" w:space="0" w:color="auto"/>
            </w:tcBorders>
          </w:tcPr>
          <w:p w:rsidR="00425758" w:rsidRDefault="00425758">
            <w:pPr>
              <w:pStyle w:val="yTableNAm"/>
              <w:rPr>
                <w:sz w:val="20"/>
              </w:rPr>
            </w:pPr>
          </w:p>
        </w:tc>
      </w:tr>
      <w:tr w:rsidR="00425758">
        <w:trPr>
          <w:cantSplit/>
        </w:trPr>
        <w:tc>
          <w:tcPr>
            <w:tcW w:w="1985" w:type="dxa"/>
            <w:tcBorders>
              <w:top w:val="single" w:sz="4" w:space="0" w:color="auto"/>
              <w:bottom w:val="single" w:sz="4" w:space="0" w:color="auto"/>
            </w:tcBorders>
          </w:tcPr>
          <w:p w:rsidR="00425758" w:rsidRDefault="00425758">
            <w:pPr>
              <w:pStyle w:val="yTableNAm"/>
              <w:rPr>
                <w:sz w:val="20"/>
              </w:rPr>
            </w:pPr>
            <w:r>
              <w:rPr>
                <w:sz w:val="20"/>
              </w:rPr>
              <w:t>Decision or conduct to be reviewed</w:t>
            </w:r>
          </w:p>
        </w:tc>
        <w:tc>
          <w:tcPr>
            <w:tcW w:w="4961" w:type="dxa"/>
            <w:gridSpan w:val="5"/>
            <w:tcBorders>
              <w:top w:val="single" w:sz="4" w:space="0" w:color="auto"/>
              <w:bottom w:val="single" w:sz="4" w:space="0" w:color="auto"/>
            </w:tcBorders>
          </w:tcPr>
          <w:p w:rsidR="00425758" w:rsidRDefault="00425758">
            <w:pPr>
              <w:pStyle w:val="yTableNAm"/>
              <w:rPr>
                <w:sz w:val="20"/>
              </w:rPr>
            </w:pPr>
            <w:r>
              <w:rPr>
                <w:sz w:val="20"/>
              </w:rPr>
              <w:t>Date:</w:t>
            </w:r>
          </w:p>
          <w:p w:rsidR="00425758" w:rsidRDefault="00425758">
            <w:pPr>
              <w:pStyle w:val="yTableNAm"/>
              <w:rPr>
                <w:sz w:val="20"/>
              </w:rPr>
            </w:pPr>
            <w:r>
              <w:rPr>
                <w:sz w:val="20"/>
              </w:rPr>
              <w:t>Where made or occurring:</w:t>
            </w:r>
          </w:p>
          <w:p w:rsidR="00425758" w:rsidRDefault="00425758">
            <w:pPr>
              <w:pStyle w:val="yTableNAm"/>
              <w:rPr>
                <w:sz w:val="20"/>
              </w:rPr>
            </w:pPr>
            <w:r>
              <w:rPr>
                <w:sz w:val="20"/>
              </w:rPr>
              <w:t>Written law governing:</w:t>
            </w:r>
          </w:p>
          <w:p w:rsidR="00425758" w:rsidRDefault="00425758">
            <w:pPr>
              <w:pStyle w:val="yTableNAm"/>
              <w:rPr>
                <w:sz w:val="20"/>
              </w:rPr>
            </w:pPr>
            <w:r>
              <w:rPr>
                <w:sz w:val="20"/>
              </w:rPr>
              <w:t>Description:</w:t>
            </w:r>
          </w:p>
          <w:p w:rsidR="00425758" w:rsidRDefault="00425758">
            <w:pPr>
              <w:pStyle w:val="yTableNAm"/>
              <w:rPr>
                <w:sz w:val="20"/>
              </w:rPr>
            </w:pPr>
          </w:p>
        </w:tc>
      </w:tr>
      <w:tr w:rsidR="00425758">
        <w:trPr>
          <w:cantSplit/>
        </w:trPr>
        <w:tc>
          <w:tcPr>
            <w:tcW w:w="1985" w:type="dxa"/>
            <w:tcBorders>
              <w:top w:val="single" w:sz="4" w:space="0" w:color="auto"/>
              <w:bottom w:val="single" w:sz="4" w:space="0" w:color="auto"/>
            </w:tcBorders>
          </w:tcPr>
          <w:p w:rsidR="00425758" w:rsidRDefault="00425758">
            <w:pPr>
              <w:pStyle w:val="yTableNAm"/>
              <w:rPr>
                <w:sz w:val="20"/>
              </w:rPr>
            </w:pPr>
            <w:r>
              <w:rPr>
                <w:sz w:val="20"/>
              </w:rPr>
              <w:t>Application</w:t>
            </w:r>
            <w:r>
              <w:rPr>
                <w:sz w:val="20"/>
                <w:vertAlign w:val="superscript"/>
              </w:rPr>
              <w:t>2</w:t>
            </w:r>
          </w:p>
        </w:tc>
        <w:tc>
          <w:tcPr>
            <w:tcW w:w="4961" w:type="dxa"/>
            <w:gridSpan w:val="5"/>
            <w:tcBorders>
              <w:top w:val="single" w:sz="4" w:space="0" w:color="auto"/>
              <w:bottom w:val="single" w:sz="4" w:space="0" w:color="auto"/>
            </w:tcBorders>
          </w:tcPr>
          <w:p w:rsidR="00425758" w:rsidRDefault="00425758">
            <w:pPr>
              <w:pStyle w:val="yTableNAm"/>
              <w:rPr>
                <w:sz w:val="20"/>
              </w:rPr>
            </w:pPr>
            <w:r>
              <w:rPr>
                <w:sz w:val="20"/>
              </w:rPr>
              <w:t>The applicant applies for judicial review of the above decision or conduct and —</w:t>
            </w:r>
          </w:p>
          <w:p w:rsidR="00425758" w:rsidRDefault="00425758">
            <w:pPr>
              <w:pStyle w:val="yTableNAm"/>
              <w:rPr>
                <w:sz w:val="20"/>
              </w:rPr>
            </w:pPr>
            <w:r>
              <w:rPr>
                <w:sz w:val="20"/>
              </w:rPr>
              <w:sym w:font="Monotype Sorts" w:char="F070"/>
            </w:r>
            <w:r>
              <w:rPr>
                <w:sz w:val="20"/>
              </w:rPr>
              <w:tab/>
              <w:t>a writ of certiorari;</w:t>
            </w:r>
          </w:p>
          <w:p w:rsidR="00425758" w:rsidRDefault="00425758">
            <w:pPr>
              <w:pStyle w:val="yTableNAm"/>
              <w:rPr>
                <w:sz w:val="20"/>
              </w:rPr>
            </w:pPr>
            <w:r>
              <w:rPr>
                <w:sz w:val="20"/>
              </w:rPr>
              <w:sym w:font="Monotype Sorts" w:char="F070"/>
            </w:r>
            <w:r>
              <w:rPr>
                <w:sz w:val="20"/>
              </w:rPr>
              <w:tab/>
              <w:t>a writ of mandamus;</w:t>
            </w:r>
          </w:p>
          <w:p w:rsidR="00425758" w:rsidRDefault="00425758">
            <w:pPr>
              <w:pStyle w:val="yTableNAm"/>
              <w:rPr>
                <w:sz w:val="20"/>
              </w:rPr>
            </w:pPr>
            <w:r>
              <w:rPr>
                <w:sz w:val="20"/>
              </w:rPr>
              <w:sym w:font="Monotype Sorts" w:char="F070"/>
            </w:r>
            <w:r>
              <w:rPr>
                <w:sz w:val="20"/>
              </w:rPr>
              <w:tab/>
              <w:t>a writ of prohibition;</w:t>
            </w:r>
          </w:p>
          <w:p w:rsidR="00425758" w:rsidRDefault="00425758">
            <w:pPr>
              <w:pStyle w:val="yTableNAm"/>
              <w:rPr>
                <w:sz w:val="20"/>
              </w:rPr>
            </w:pPr>
            <w:r>
              <w:rPr>
                <w:sz w:val="20"/>
              </w:rPr>
              <w:sym w:font="Monotype Sorts" w:char="F070"/>
            </w:r>
            <w:r>
              <w:rPr>
                <w:sz w:val="20"/>
              </w:rPr>
              <w:tab/>
              <w:t xml:space="preserve">a writ of </w:t>
            </w:r>
            <w:r>
              <w:rPr>
                <w:i/>
                <w:sz w:val="20"/>
              </w:rPr>
              <w:t>procedendo</w:t>
            </w:r>
            <w:r>
              <w:rPr>
                <w:sz w:val="20"/>
              </w:rPr>
              <w:t>;</w:t>
            </w:r>
          </w:p>
          <w:p w:rsidR="00425758" w:rsidRDefault="00425758">
            <w:pPr>
              <w:pStyle w:val="yTableNAm"/>
              <w:rPr>
                <w:sz w:val="20"/>
              </w:rPr>
            </w:pPr>
            <w:r>
              <w:rPr>
                <w:sz w:val="20"/>
              </w:rPr>
              <w:sym w:font="Monotype Sorts" w:char="F070"/>
            </w:r>
            <w:r>
              <w:rPr>
                <w:sz w:val="20"/>
              </w:rPr>
              <w:tab/>
              <w:t xml:space="preserve">an information of </w:t>
            </w:r>
            <w:r>
              <w:rPr>
                <w:i/>
                <w:sz w:val="20"/>
              </w:rPr>
              <w:t>quo warranto</w:t>
            </w:r>
            <w:r>
              <w:rPr>
                <w:sz w:val="20"/>
              </w:rPr>
              <w:t>;</w:t>
            </w:r>
          </w:p>
          <w:p w:rsidR="00425758" w:rsidRDefault="00425758">
            <w:pPr>
              <w:pStyle w:val="yTableNAm"/>
              <w:rPr>
                <w:sz w:val="20"/>
              </w:rPr>
            </w:pPr>
            <w:r>
              <w:rPr>
                <w:sz w:val="20"/>
              </w:rPr>
              <w:sym w:font="Monotype Sorts" w:char="F070"/>
            </w:r>
            <w:r>
              <w:rPr>
                <w:sz w:val="20"/>
              </w:rPr>
              <w:tab/>
              <w:t>a declaration;</w:t>
            </w:r>
          </w:p>
          <w:p w:rsidR="00425758" w:rsidRDefault="00425758">
            <w:pPr>
              <w:pStyle w:val="yTableNAm"/>
              <w:rPr>
                <w:sz w:val="20"/>
              </w:rPr>
            </w:pPr>
            <w:r>
              <w:rPr>
                <w:sz w:val="20"/>
              </w:rPr>
              <w:sym w:font="Monotype Sorts" w:char="F070"/>
            </w:r>
            <w:r>
              <w:rPr>
                <w:sz w:val="20"/>
              </w:rPr>
              <w:tab/>
              <w:t>an injunction;</w:t>
            </w:r>
          </w:p>
          <w:p w:rsidR="00425758" w:rsidRDefault="00425758">
            <w:pPr>
              <w:pStyle w:val="yTableNAm"/>
              <w:ind w:left="589" w:hanging="589"/>
              <w:rPr>
                <w:sz w:val="20"/>
              </w:rPr>
            </w:pPr>
            <w:r>
              <w:rPr>
                <w:sz w:val="20"/>
              </w:rPr>
              <w:sym w:font="Monotype Sorts" w:char="F070"/>
            </w:r>
            <w:r>
              <w:rPr>
                <w:sz w:val="20"/>
              </w:rPr>
              <w:tab/>
              <w:t>this order (being an order which would have the same effect as a remedy that could be provided by means of one or more of the above writs) —</w:t>
            </w:r>
          </w:p>
          <w:p w:rsidR="00425758" w:rsidRDefault="00425758">
            <w:pPr>
              <w:pStyle w:val="yTableNAm"/>
              <w:rPr>
                <w:sz w:val="20"/>
              </w:rPr>
            </w:pPr>
          </w:p>
        </w:tc>
      </w:tr>
      <w:tr w:rsidR="00425758">
        <w:trPr>
          <w:cantSplit/>
        </w:trPr>
        <w:tc>
          <w:tcPr>
            <w:tcW w:w="1985" w:type="dxa"/>
            <w:tcBorders>
              <w:top w:val="single" w:sz="4" w:space="0" w:color="auto"/>
              <w:bottom w:val="single" w:sz="4" w:space="0" w:color="auto"/>
            </w:tcBorders>
          </w:tcPr>
          <w:p w:rsidR="00425758" w:rsidRDefault="00425758">
            <w:pPr>
              <w:pStyle w:val="yTableNAm"/>
              <w:rPr>
                <w:sz w:val="20"/>
              </w:rPr>
            </w:pPr>
            <w:r>
              <w:rPr>
                <w:sz w:val="20"/>
              </w:rPr>
              <w:t>Grounds of application</w:t>
            </w:r>
          </w:p>
        </w:tc>
        <w:tc>
          <w:tcPr>
            <w:tcW w:w="4961" w:type="dxa"/>
            <w:gridSpan w:val="5"/>
            <w:tcBorders>
              <w:top w:val="single" w:sz="4" w:space="0" w:color="auto"/>
              <w:bottom w:val="single" w:sz="4" w:space="0" w:color="auto"/>
            </w:tcBorders>
          </w:tcPr>
          <w:p w:rsidR="00425758" w:rsidRDefault="00425758">
            <w:pPr>
              <w:pStyle w:val="yTableNAm"/>
              <w:rPr>
                <w:sz w:val="20"/>
              </w:rPr>
            </w:pPr>
            <w:r>
              <w:rPr>
                <w:sz w:val="20"/>
              </w:rPr>
              <w:t>The grounds for the above application are these —</w:t>
            </w:r>
          </w:p>
          <w:p w:rsidR="00425758" w:rsidRDefault="00425758">
            <w:pPr>
              <w:pStyle w:val="yTableNAm"/>
              <w:rPr>
                <w:sz w:val="20"/>
              </w:rPr>
            </w:pPr>
            <w:r>
              <w:rPr>
                <w:sz w:val="20"/>
              </w:rPr>
              <w:t>1.</w:t>
            </w:r>
          </w:p>
          <w:p w:rsidR="00425758" w:rsidRDefault="00425758">
            <w:pPr>
              <w:pStyle w:val="yTableNAm"/>
              <w:rPr>
                <w:sz w:val="20"/>
              </w:rPr>
            </w:pPr>
          </w:p>
        </w:tc>
      </w:tr>
      <w:tr w:rsidR="00425758">
        <w:trPr>
          <w:cantSplit/>
        </w:trPr>
        <w:tc>
          <w:tcPr>
            <w:tcW w:w="1985" w:type="dxa"/>
            <w:tcBorders>
              <w:top w:val="single" w:sz="4" w:space="0" w:color="auto"/>
              <w:bottom w:val="single" w:sz="4" w:space="0" w:color="auto"/>
            </w:tcBorders>
          </w:tcPr>
          <w:p w:rsidR="00425758" w:rsidRDefault="00425758">
            <w:pPr>
              <w:pStyle w:val="yTableNAm"/>
              <w:rPr>
                <w:sz w:val="20"/>
              </w:rPr>
            </w:pPr>
            <w:r>
              <w:rPr>
                <w:sz w:val="20"/>
              </w:rPr>
              <w:t>Late application</w:t>
            </w:r>
            <w:r>
              <w:rPr>
                <w:sz w:val="20"/>
                <w:vertAlign w:val="superscript"/>
              </w:rPr>
              <w:t>3</w:t>
            </w:r>
          </w:p>
        </w:tc>
        <w:tc>
          <w:tcPr>
            <w:tcW w:w="4961" w:type="dxa"/>
            <w:gridSpan w:val="5"/>
            <w:tcBorders>
              <w:top w:val="single" w:sz="4" w:space="0" w:color="auto"/>
              <w:bottom w:val="single" w:sz="4" w:space="0" w:color="auto"/>
            </w:tcBorders>
          </w:tcPr>
          <w:p w:rsidR="00425758" w:rsidRDefault="00425758">
            <w:pPr>
              <w:pStyle w:val="yTableNAm"/>
              <w:ind w:left="575" w:hanging="575"/>
              <w:rPr>
                <w:sz w:val="20"/>
              </w:rPr>
            </w:pPr>
            <w:r>
              <w:rPr>
                <w:sz w:val="20"/>
              </w:rPr>
              <w:sym w:font="Monotype Sorts" w:char="F070"/>
            </w:r>
            <w:r>
              <w:rPr>
                <w:sz w:val="20"/>
              </w:rPr>
              <w:tab/>
              <w:t>The applicant also applies for leave to proceed with this application which is made outside the limitation period.</w:t>
            </w:r>
          </w:p>
        </w:tc>
      </w:tr>
      <w:tr w:rsidR="00425758">
        <w:trPr>
          <w:cantSplit/>
        </w:trPr>
        <w:tc>
          <w:tcPr>
            <w:tcW w:w="1985" w:type="dxa"/>
            <w:tcBorders>
              <w:top w:val="single" w:sz="4" w:space="0" w:color="auto"/>
              <w:left w:val="single" w:sz="4" w:space="0" w:color="auto"/>
              <w:bottom w:val="single" w:sz="4" w:space="0" w:color="auto"/>
              <w:right w:val="single" w:sz="4" w:space="0" w:color="auto"/>
            </w:tcBorders>
          </w:tcPr>
          <w:p w:rsidR="00425758" w:rsidRDefault="00425758">
            <w:pPr>
              <w:pStyle w:val="yTableNAm"/>
              <w:rPr>
                <w:sz w:val="20"/>
              </w:rPr>
            </w:pPr>
            <w:r>
              <w:rPr>
                <w:sz w:val="20"/>
              </w:rPr>
              <w:t>Applicant’s geographical address</w:t>
            </w:r>
            <w:r>
              <w:rPr>
                <w:sz w:val="20"/>
                <w:vertAlign w:val="superscript"/>
              </w:rPr>
              <w:t>4</w:t>
            </w:r>
          </w:p>
        </w:tc>
        <w:tc>
          <w:tcPr>
            <w:tcW w:w="4961" w:type="dxa"/>
            <w:gridSpan w:val="5"/>
            <w:tcBorders>
              <w:top w:val="single" w:sz="4" w:space="0" w:color="auto"/>
              <w:left w:val="single" w:sz="4" w:space="0" w:color="auto"/>
              <w:bottom w:val="single" w:sz="4" w:space="0" w:color="auto"/>
              <w:right w:val="single" w:sz="4" w:space="0" w:color="auto"/>
            </w:tcBorders>
          </w:tcPr>
          <w:p w:rsidR="00425758" w:rsidRDefault="00425758">
            <w:pPr>
              <w:pStyle w:val="yTableNAm"/>
              <w:rPr>
                <w:sz w:val="20"/>
              </w:rPr>
            </w:pPr>
          </w:p>
        </w:tc>
      </w:tr>
      <w:tr w:rsidR="00425758">
        <w:tblPrEx>
          <w:tblCellMar>
            <w:top w:w="0" w:type="dxa"/>
            <w:bottom w:w="0" w:type="dxa"/>
          </w:tblCellMar>
        </w:tblPrEx>
        <w:trPr>
          <w:gridAfter w:val="1"/>
          <w:wAfter w:w="8" w:type="dxa"/>
          <w:cantSplit/>
        </w:trPr>
        <w:tc>
          <w:tcPr>
            <w:tcW w:w="1985" w:type="dxa"/>
            <w:tcBorders>
              <w:bottom w:val="single" w:sz="4" w:space="0" w:color="auto"/>
            </w:tcBorders>
          </w:tcPr>
          <w:p w:rsidR="00425758" w:rsidRDefault="00425758">
            <w:pPr>
              <w:pStyle w:val="yTableNAm"/>
              <w:rPr>
                <w:sz w:val="20"/>
              </w:rPr>
            </w:pPr>
            <w:r>
              <w:rPr>
                <w:sz w:val="20"/>
              </w:rPr>
              <w:t>Applicant’s lawyer</w:t>
            </w:r>
            <w:r>
              <w:rPr>
                <w:sz w:val="20"/>
                <w:vertAlign w:val="superscript"/>
              </w:rPr>
              <w:t>5</w:t>
            </w:r>
            <w:r>
              <w:rPr>
                <w:sz w:val="20"/>
              </w:rPr>
              <w:t xml:space="preserve"> </w:t>
            </w:r>
          </w:p>
        </w:tc>
        <w:tc>
          <w:tcPr>
            <w:tcW w:w="4953" w:type="dxa"/>
            <w:gridSpan w:val="4"/>
            <w:tcBorders>
              <w:bottom w:val="single" w:sz="4" w:space="0" w:color="auto"/>
            </w:tcBorders>
          </w:tcPr>
          <w:p w:rsidR="00425758" w:rsidRDefault="00425758">
            <w:pPr>
              <w:pStyle w:val="yTableNAm"/>
              <w:rPr>
                <w:sz w:val="20"/>
              </w:rPr>
            </w:pPr>
          </w:p>
        </w:tc>
      </w:tr>
      <w:tr w:rsidR="00425758">
        <w:tblPrEx>
          <w:tblCellMar>
            <w:top w:w="0" w:type="dxa"/>
            <w:bottom w:w="0" w:type="dxa"/>
          </w:tblCellMar>
        </w:tblPrEx>
        <w:trPr>
          <w:gridAfter w:val="1"/>
          <w:wAfter w:w="8" w:type="dxa"/>
          <w:cantSplit/>
        </w:trPr>
        <w:tc>
          <w:tcPr>
            <w:tcW w:w="1985" w:type="dxa"/>
            <w:tcBorders>
              <w:bottom w:val="single" w:sz="4" w:space="0" w:color="auto"/>
            </w:tcBorders>
          </w:tcPr>
          <w:p w:rsidR="00425758" w:rsidRDefault="00425758">
            <w:pPr>
              <w:pStyle w:val="yTableNAm"/>
              <w:rPr>
                <w:sz w:val="20"/>
              </w:rPr>
            </w:pPr>
            <w:r>
              <w:rPr>
                <w:sz w:val="20"/>
              </w:rPr>
              <w:lastRenderedPageBreak/>
              <w:t>Address where lawyer conducts business</w:t>
            </w:r>
            <w:r>
              <w:rPr>
                <w:sz w:val="20"/>
                <w:vertAlign w:val="superscript"/>
              </w:rPr>
              <w:t>5</w:t>
            </w:r>
          </w:p>
        </w:tc>
        <w:tc>
          <w:tcPr>
            <w:tcW w:w="4953" w:type="dxa"/>
            <w:gridSpan w:val="4"/>
            <w:tcBorders>
              <w:bottom w:val="single" w:sz="4" w:space="0" w:color="auto"/>
            </w:tcBorders>
          </w:tcPr>
          <w:p w:rsidR="00425758" w:rsidRDefault="00425758">
            <w:pPr>
              <w:pStyle w:val="yTableNAm"/>
              <w:rPr>
                <w:sz w:val="20"/>
              </w:rPr>
            </w:pPr>
          </w:p>
        </w:tc>
      </w:tr>
      <w:tr w:rsidR="00425758">
        <w:tblPrEx>
          <w:tblCellMar>
            <w:top w:w="0" w:type="dxa"/>
            <w:bottom w:w="0" w:type="dxa"/>
          </w:tblCellMar>
        </w:tblPrEx>
        <w:trPr>
          <w:gridAfter w:val="1"/>
          <w:wAfter w:w="8" w:type="dxa"/>
          <w:cantSplit/>
        </w:trPr>
        <w:tc>
          <w:tcPr>
            <w:tcW w:w="1985" w:type="dxa"/>
            <w:tcBorders>
              <w:bottom w:val="single" w:sz="4" w:space="0" w:color="auto"/>
            </w:tcBorders>
          </w:tcPr>
          <w:p w:rsidR="00425758" w:rsidRDefault="00425758">
            <w:pPr>
              <w:pStyle w:val="yTableNAm"/>
              <w:rPr>
                <w:sz w:val="20"/>
              </w:rPr>
            </w:pPr>
            <w:r>
              <w:rPr>
                <w:sz w:val="20"/>
              </w:rPr>
              <w:t>Intention to act in person</w:t>
            </w:r>
            <w:r>
              <w:rPr>
                <w:sz w:val="20"/>
                <w:vertAlign w:val="superscript"/>
              </w:rPr>
              <w:t>3</w:t>
            </w:r>
          </w:p>
        </w:tc>
        <w:tc>
          <w:tcPr>
            <w:tcW w:w="4953" w:type="dxa"/>
            <w:gridSpan w:val="4"/>
            <w:tcBorders>
              <w:bottom w:val="single" w:sz="4" w:space="0" w:color="auto"/>
            </w:tcBorders>
          </w:tcPr>
          <w:p w:rsidR="00425758" w:rsidRDefault="00425758">
            <w:pPr>
              <w:pStyle w:val="yTableNAm"/>
              <w:rPr>
                <w:sz w:val="20"/>
              </w:rPr>
            </w:pPr>
            <w:r>
              <w:rPr>
                <w:sz w:val="20"/>
              </w:rPr>
              <w:sym w:font="Monotype Sorts" w:char="F070"/>
            </w:r>
            <w:r>
              <w:rPr>
                <w:sz w:val="20"/>
              </w:rPr>
              <w:tab/>
              <w:t>I intend to act in person in this application.</w:t>
            </w:r>
          </w:p>
        </w:tc>
      </w:tr>
      <w:tr w:rsidR="00425758">
        <w:tblPrEx>
          <w:tblCellMar>
            <w:top w:w="0" w:type="dxa"/>
            <w:bottom w:w="0" w:type="dxa"/>
          </w:tblCellMar>
        </w:tblPrEx>
        <w:trPr>
          <w:gridAfter w:val="1"/>
          <w:wAfter w:w="8" w:type="dxa"/>
          <w:cantSplit/>
        </w:trPr>
        <w:tc>
          <w:tcPr>
            <w:tcW w:w="1985" w:type="dxa"/>
            <w:tcBorders>
              <w:bottom w:val="single" w:sz="4" w:space="0" w:color="auto"/>
            </w:tcBorders>
          </w:tcPr>
          <w:p w:rsidR="00425758" w:rsidRDefault="00425758">
            <w:pPr>
              <w:pStyle w:val="yTableNAm"/>
              <w:rPr>
                <w:sz w:val="20"/>
              </w:rPr>
            </w:pPr>
            <w:r>
              <w:rPr>
                <w:sz w:val="20"/>
              </w:rPr>
              <w:t>Postal address for service of documents</w:t>
            </w:r>
            <w:r>
              <w:rPr>
                <w:sz w:val="20"/>
                <w:vertAlign w:val="superscript"/>
              </w:rPr>
              <w:t>6</w:t>
            </w:r>
          </w:p>
        </w:tc>
        <w:tc>
          <w:tcPr>
            <w:tcW w:w="4953" w:type="dxa"/>
            <w:gridSpan w:val="4"/>
            <w:tcBorders>
              <w:bottom w:val="single" w:sz="4" w:space="0" w:color="auto"/>
            </w:tcBorders>
          </w:tcPr>
          <w:p w:rsidR="00425758" w:rsidRDefault="00425758">
            <w:pPr>
              <w:pStyle w:val="yTableNAm"/>
              <w:rPr>
                <w:sz w:val="20"/>
              </w:rPr>
            </w:pPr>
          </w:p>
        </w:tc>
      </w:tr>
      <w:tr w:rsidR="00425758">
        <w:tblPrEx>
          <w:tblCellMar>
            <w:top w:w="0" w:type="dxa"/>
            <w:bottom w:w="0" w:type="dxa"/>
          </w:tblCellMar>
        </w:tblPrEx>
        <w:trPr>
          <w:gridAfter w:val="1"/>
          <w:wAfter w:w="8" w:type="dxa"/>
          <w:cantSplit/>
        </w:trPr>
        <w:tc>
          <w:tcPr>
            <w:tcW w:w="1985" w:type="dxa"/>
            <w:tcBorders>
              <w:bottom w:val="single" w:sz="4" w:space="0" w:color="auto"/>
            </w:tcBorders>
          </w:tcPr>
          <w:p w:rsidR="00425758" w:rsidRDefault="00425758">
            <w:pPr>
              <w:pStyle w:val="yTableNAm"/>
              <w:rPr>
                <w:sz w:val="20"/>
              </w:rPr>
            </w:pPr>
            <w:r>
              <w:rPr>
                <w:sz w:val="20"/>
              </w:rPr>
              <w:t>Email address</w:t>
            </w:r>
            <w:r>
              <w:rPr>
                <w:sz w:val="20"/>
                <w:vertAlign w:val="superscript"/>
              </w:rPr>
              <w:t>7</w:t>
            </w:r>
          </w:p>
        </w:tc>
        <w:tc>
          <w:tcPr>
            <w:tcW w:w="4953" w:type="dxa"/>
            <w:gridSpan w:val="4"/>
            <w:tcBorders>
              <w:bottom w:val="single" w:sz="4" w:space="0" w:color="auto"/>
            </w:tcBorders>
          </w:tcPr>
          <w:p w:rsidR="00425758" w:rsidRDefault="00425758">
            <w:pPr>
              <w:pStyle w:val="yTableNAm"/>
              <w:rPr>
                <w:sz w:val="20"/>
              </w:rPr>
            </w:pPr>
          </w:p>
        </w:tc>
      </w:tr>
      <w:tr w:rsidR="00425758">
        <w:tblPrEx>
          <w:tblCellMar>
            <w:top w:w="0" w:type="dxa"/>
            <w:bottom w:w="0" w:type="dxa"/>
          </w:tblCellMar>
        </w:tblPrEx>
        <w:trPr>
          <w:cantSplit/>
        </w:trPr>
        <w:tc>
          <w:tcPr>
            <w:tcW w:w="1985" w:type="dxa"/>
            <w:tcBorders>
              <w:bottom w:val="single" w:sz="4" w:space="0" w:color="auto"/>
            </w:tcBorders>
          </w:tcPr>
          <w:p w:rsidR="00425758" w:rsidRDefault="00425758">
            <w:pPr>
              <w:pStyle w:val="yTableNAm"/>
              <w:rPr>
                <w:sz w:val="20"/>
              </w:rPr>
            </w:pPr>
            <w:r>
              <w:rPr>
                <w:sz w:val="20"/>
              </w:rPr>
              <w:t>Telephone number</w:t>
            </w:r>
            <w:r>
              <w:rPr>
                <w:sz w:val="20"/>
                <w:vertAlign w:val="superscript"/>
              </w:rPr>
              <w:t>8</w:t>
            </w:r>
          </w:p>
        </w:tc>
        <w:tc>
          <w:tcPr>
            <w:tcW w:w="1559" w:type="dxa"/>
            <w:tcBorders>
              <w:bottom w:val="single" w:sz="4" w:space="0" w:color="auto"/>
            </w:tcBorders>
          </w:tcPr>
          <w:p w:rsidR="00425758" w:rsidRDefault="00425758">
            <w:pPr>
              <w:pStyle w:val="zyTableNAm"/>
              <w:spacing w:before="60"/>
              <w:rPr>
                <w:sz w:val="20"/>
              </w:rPr>
            </w:pPr>
          </w:p>
        </w:tc>
        <w:tc>
          <w:tcPr>
            <w:tcW w:w="3402" w:type="dxa"/>
            <w:gridSpan w:val="4"/>
            <w:tcBorders>
              <w:bottom w:val="single" w:sz="4" w:space="0" w:color="auto"/>
            </w:tcBorders>
          </w:tcPr>
          <w:p w:rsidR="00425758" w:rsidRDefault="00425758">
            <w:pPr>
              <w:pStyle w:val="yTableNAm"/>
              <w:rPr>
                <w:sz w:val="20"/>
              </w:rPr>
            </w:pPr>
            <w:r>
              <w:rPr>
                <w:sz w:val="20"/>
              </w:rPr>
              <w:t>Fax number</w:t>
            </w:r>
            <w:r>
              <w:rPr>
                <w:sz w:val="20"/>
                <w:vertAlign w:val="superscript"/>
              </w:rPr>
              <w:t>7</w:t>
            </w:r>
          </w:p>
        </w:tc>
      </w:tr>
      <w:tr w:rsidR="00425758">
        <w:trPr>
          <w:cantSplit/>
        </w:trPr>
        <w:tc>
          <w:tcPr>
            <w:tcW w:w="1985" w:type="dxa"/>
            <w:tcBorders>
              <w:top w:val="single" w:sz="4" w:space="0" w:color="auto"/>
              <w:bottom w:val="single" w:sz="4" w:space="0" w:color="auto"/>
            </w:tcBorders>
          </w:tcPr>
          <w:p w:rsidR="00425758" w:rsidRDefault="00425758">
            <w:pPr>
              <w:pStyle w:val="yTableNAm"/>
              <w:rPr>
                <w:sz w:val="20"/>
              </w:rPr>
            </w:pPr>
            <w:r>
              <w:rPr>
                <w:sz w:val="20"/>
              </w:rPr>
              <w:t>Signature of applicant or lawyer</w:t>
            </w:r>
          </w:p>
        </w:tc>
        <w:tc>
          <w:tcPr>
            <w:tcW w:w="3402" w:type="dxa"/>
            <w:gridSpan w:val="3"/>
            <w:tcBorders>
              <w:top w:val="single" w:sz="4" w:space="0" w:color="auto"/>
              <w:bottom w:val="single" w:sz="4" w:space="0" w:color="auto"/>
            </w:tcBorders>
          </w:tcPr>
          <w:p w:rsidR="00425758" w:rsidRDefault="00425758">
            <w:pPr>
              <w:pStyle w:val="BodyText3"/>
              <w:rPr>
                <w:sz w:val="20"/>
              </w:rPr>
            </w:pPr>
            <w:r>
              <w:rPr>
                <w:sz w:val="20"/>
              </w:rPr>
              <w:br/>
              <w:t>Applicant/Applicant’s lawyer</w:t>
            </w:r>
          </w:p>
        </w:tc>
        <w:tc>
          <w:tcPr>
            <w:tcW w:w="1559" w:type="dxa"/>
            <w:gridSpan w:val="2"/>
            <w:tcBorders>
              <w:top w:val="single" w:sz="4" w:space="0" w:color="auto"/>
              <w:bottom w:val="single" w:sz="4" w:space="0" w:color="auto"/>
            </w:tcBorders>
          </w:tcPr>
          <w:p w:rsidR="00425758" w:rsidRDefault="00425758">
            <w:pPr>
              <w:pStyle w:val="yTableNAm"/>
              <w:rPr>
                <w:sz w:val="20"/>
              </w:rPr>
            </w:pPr>
            <w:r>
              <w:rPr>
                <w:sz w:val="20"/>
              </w:rPr>
              <w:t>Date:</w:t>
            </w:r>
          </w:p>
        </w:tc>
      </w:tr>
    </w:tbl>
    <w:p w:rsidR="00425758" w:rsidRDefault="00425758">
      <w:pPr>
        <w:pStyle w:val="yMiscellaneousBody"/>
        <w:ind w:left="540" w:hanging="540"/>
        <w:rPr>
          <w:sz w:val="20"/>
        </w:rPr>
      </w:pPr>
      <w:r>
        <w:rPr>
          <w:sz w:val="20"/>
        </w:rPr>
        <w:t>Notes to Form No. 67A —</w:t>
      </w:r>
    </w:p>
    <w:p w:rsidR="00425758" w:rsidRDefault="00425758">
      <w:pPr>
        <w:pStyle w:val="yMiscellaneousBody"/>
        <w:spacing w:before="0"/>
        <w:ind w:left="540" w:hanging="540"/>
        <w:rPr>
          <w:sz w:val="20"/>
        </w:rPr>
      </w:pPr>
      <w:r>
        <w:rPr>
          <w:sz w:val="20"/>
        </w:rPr>
        <w:t>1.</w:t>
      </w:r>
      <w:r>
        <w:rPr>
          <w:sz w:val="20"/>
        </w:rPr>
        <w:tab/>
        <w:t>The respondent is the person whose decision or conduct is to be reviewed.</w:t>
      </w:r>
    </w:p>
    <w:p w:rsidR="00425758" w:rsidRDefault="00425758">
      <w:pPr>
        <w:pStyle w:val="yMiscellaneousBody"/>
        <w:spacing w:before="0"/>
        <w:ind w:left="540" w:hanging="540"/>
        <w:rPr>
          <w:sz w:val="20"/>
        </w:rPr>
      </w:pPr>
      <w:r>
        <w:rPr>
          <w:sz w:val="20"/>
        </w:rPr>
        <w:t>2.</w:t>
      </w:r>
      <w:r>
        <w:rPr>
          <w:sz w:val="20"/>
        </w:rPr>
        <w:tab/>
        <w:t>Tick one or more.</w:t>
      </w:r>
    </w:p>
    <w:p w:rsidR="00425758" w:rsidRDefault="00425758">
      <w:pPr>
        <w:pStyle w:val="yMiscellaneousBody"/>
        <w:spacing w:before="0"/>
        <w:ind w:left="540" w:hanging="540"/>
        <w:rPr>
          <w:sz w:val="20"/>
        </w:rPr>
      </w:pPr>
      <w:r>
        <w:rPr>
          <w:sz w:val="20"/>
        </w:rPr>
        <w:t>3.</w:t>
      </w:r>
      <w:r>
        <w:rPr>
          <w:sz w:val="20"/>
        </w:rPr>
        <w:tab/>
        <w:t>Tick only if necessary.</w:t>
      </w:r>
    </w:p>
    <w:p w:rsidR="00425758" w:rsidRDefault="00425758">
      <w:pPr>
        <w:pStyle w:val="yMiscellaneousBody"/>
        <w:spacing w:before="0"/>
        <w:ind w:left="540" w:hanging="540"/>
        <w:rPr>
          <w:sz w:val="20"/>
        </w:rPr>
      </w:pPr>
      <w:r>
        <w:rPr>
          <w:sz w:val="20"/>
        </w:rPr>
        <w:t>4.</w:t>
      </w:r>
      <w:r>
        <w:rPr>
          <w:sz w:val="20"/>
        </w:rPr>
        <w:tab/>
        <w:t>Must be provided unless otherwise ordered by the Court.  See Order 71A r. 2 and 3A.</w:t>
      </w:r>
    </w:p>
    <w:p w:rsidR="00425758" w:rsidRDefault="00425758">
      <w:pPr>
        <w:pStyle w:val="yMiscellaneousBody"/>
        <w:spacing w:before="0"/>
        <w:ind w:left="540" w:hanging="540"/>
        <w:rPr>
          <w:sz w:val="20"/>
        </w:rPr>
      </w:pPr>
      <w:r>
        <w:rPr>
          <w:sz w:val="20"/>
        </w:rPr>
        <w:t>5.</w:t>
      </w:r>
      <w:r>
        <w:rPr>
          <w:sz w:val="20"/>
        </w:rPr>
        <w:tab/>
        <w:t>Must be provided if a lawyer has been appointed.</w:t>
      </w:r>
    </w:p>
    <w:p w:rsidR="00425758" w:rsidRDefault="00425758">
      <w:pPr>
        <w:pStyle w:val="yMiscellaneousBody"/>
        <w:spacing w:before="0"/>
        <w:ind w:left="540" w:hanging="540"/>
        <w:rPr>
          <w:sz w:val="20"/>
        </w:rPr>
      </w:pPr>
      <w:r>
        <w:rPr>
          <w:sz w:val="20"/>
        </w:rPr>
        <w:t>6.</w:t>
      </w:r>
      <w:r>
        <w:rPr>
          <w:sz w:val="20"/>
        </w:rPr>
        <w:tab/>
        <w:t>Must be provided - to be lawyer’s postal address if applicant is legally represented.</w:t>
      </w:r>
    </w:p>
    <w:p w:rsidR="00425758" w:rsidRDefault="00425758">
      <w:pPr>
        <w:pStyle w:val="yMiscellaneousBody"/>
        <w:spacing w:before="0"/>
        <w:ind w:left="540" w:hanging="540"/>
        <w:rPr>
          <w:sz w:val="20"/>
        </w:rPr>
      </w:pPr>
      <w:r>
        <w:rPr>
          <w:sz w:val="20"/>
        </w:rPr>
        <w:t>7.</w:t>
      </w:r>
      <w:r>
        <w:rPr>
          <w:sz w:val="20"/>
        </w:rPr>
        <w:tab/>
        <w:t>Optional - if provided, may be used for service of documents.</w:t>
      </w:r>
    </w:p>
    <w:p w:rsidR="00425758" w:rsidRDefault="00425758">
      <w:pPr>
        <w:pStyle w:val="yMiscellaneousBody"/>
        <w:spacing w:before="0"/>
        <w:ind w:left="540" w:hanging="540"/>
        <w:rPr>
          <w:sz w:val="20"/>
        </w:rPr>
      </w:pPr>
      <w:r>
        <w:rPr>
          <w:sz w:val="20"/>
        </w:rPr>
        <w:t>8.</w:t>
      </w:r>
      <w:r>
        <w:rPr>
          <w:sz w:val="20"/>
        </w:rPr>
        <w:tab/>
        <w:t>Must be provided - to be lawyer’s telephone number if applicant is legally represented.</w:t>
      </w:r>
    </w:p>
    <w:p w:rsidR="00425758" w:rsidRDefault="00425758">
      <w:pPr>
        <w:pStyle w:val="yFootnotesection"/>
      </w:pPr>
      <w:r>
        <w:tab/>
        <w:t>[Form 67A inserted: Gazette 13 Nov 2015 p. 4653-4.]</w:t>
      </w:r>
    </w:p>
    <w:p w:rsidR="00425758" w:rsidRDefault="00425758">
      <w:pPr>
        <w:pStyle w:val="yHeading5"/>
        <w:keepNext w:val="0"/>
        <w:keepLines w:val="0"/>
        <w:spacing w:after="120"/>
      </w:pPr>
      <w:bookmarkStart w:id="1394" w:name="_Toc75863959"/>
      <w:r>
        <w:rPr>
          <w:rStyle w:val="CharSClsNo"/>
        </w:rPr>
        <w:t>67</w:t>
      </w:r>
      <w:r>
        <w:t>.</w:t>
      </w:r>
      <w:r>
        <w:tab/>
        <w:t>Certiorari (O. 56 r. 14)</w:t>
      </w:r>
      <w:bookmarkEnd w:id="1394"/>
    </w:p>
    <w:p w:rsidR="00425758" w:rsidRDefault="00425758">
      <w:pPr>
        <w:pStyle w:val="yMiscellaneousBody"/>
        <w:tabs>
          <w:tab w:val="left" w:pos="840"/>
        </w:tabs>
        <w:spacing w:before="120"/>
        <w:rPr>
          <w:i/>
          <w:iCs/>
          <w:sz w:val="20"/>
        </w:rPr>
      </w:pPr>
      <w:r>
        <w:rPr>
          <w:i/>
          <w:iCs/>
          <w:sz w:val="20"/>
        </w:rPr>
        <w:t>(Heading as in cause or matter)</w:t>
      </w:r>
    </w:p>
    <w:p w:rsidR="00425758" w:rsidRDefault="00425758">
      <w:pPr>
        <w:pStyle w:val="yMiscellaneousBody"/>
        <w:tabs>
          <w:tab w:val="left" w:pos="840"/>
        </w:tabs>
        <w:rPr>
          <w:b/>
          <w:bCs/>
          <w:sz w:val="20"/>
        </w:rPr>
      </w:pPr>
      <w:r>
        <w:rPr>
          <w:b/>
          <w:bCs/>
          <w:sz w:val="20"/>
        </w:rPr>
        <w:t>Writ of certiorari</w:t>
      </w:r>
    </w:p>
    <w:p w:rsidR="00425758" w:rsidRDefault="00425758">
      <w:pPr>
        <w:pStyle w:val="yMiscellaneousBody"/>
        <w:tabs>
          <w:tab w:val="left" w:pos="840"/>
        </w:tabs>
        <w:rPr>
          <w:sz w:val="20"/>
        </w:rPr>
      </w:pPr>
      <w:r>
        <w:rPr>
          <w:sz w:val="20"/>
        </w:rPr>
        <w:t>To:</w:t>
      </w:r>
      <w:r>
        <w:rPr>
          <w:sz w:val="20"/>
        </w:rPr>
        <w:tab/>
        <w:t>[</w:t>
      </w:r>
      <w:r>
        <w:rPr>
          <w:i/>
          <w:iCs/>
          <w:sz w:val="20"/>
        </w:rPr>
        <w:t>Name and address</w:t>
      </w:r>
      <w:r>
        <w:rPr>
          <w:sz w:val="20"/>
        </w:rPr>
        <w:t>]</w:t>
      </w:r>
    </w:p>
    <w:p w:rsidR="00425758" w:rsidRDefault="00425758">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rsidR="00425758" w:rsidRDefault="00425758">
      <w:pPr>
        <w:pStyle w:val="yMiscellaneousBody"/>
        <w:tabs>
          <w:tab w:val="left" w:pos="840"/>
        </w:tabs>
        <w:rPr>
          <w:sz w:val="20"/>
        </w:rPr>
      </w:pPr>
      <w:r>
        <w:rPr>
          <w:sz w:val="20"/>
        </w:rPr>
        <w:t>Dated:</w:t>
      </w:r>
    </w:p>
    <w:p w:rsidR="00425758" w:rsidRDefault="00425758">
      <w:pPr>
        <w:pStyle w:val="yMiscellaneousBody"/>
        <w:spacing w:before="120"/>
        <w:rPr>
          <w:sz w:val="20"/>
        </w:rPr>
      </w:pPr>
      <w:r>
        <w:rPr>
          <w:sz w:val="20"/>
        </w:rPr>
        <w:t>.....................................................</w:t>
      </w:r>
      <w:r>
        <w:rPr>
          <w:sz w:val="20"/>
        </w:rPr>
        <w:br/>
        <w:t>Judicial officer</w:t>
      </w:r>
    </w:p>
    <w:p w:rsidR="00425758" w:rsidRDefault="00425758">
      <w:pPr>
        <w:pStyle w:val="yFootnotesection"/>
      </w:pPr>
      <w:r>
        <w:tab/>
        <w:t>[Form 67 inserted: Gazette 28 Jul 2010 p. 3487.]</w:t>
      </w:r>
    </w:p>
    <w:p w:rsidR="00425758" w:rsidRDefault="00425758">
      <w:pPr>
        <w:pStyle w:val="yEdnotedivision"/>
        <w:spacing w:before="240"/>
        <w:outlineLvl w:val="9"/>
      </w:pPr>
      <w:r>
        <w:lastRenderedPageBreak/>
        <w:t>[Form 68 deleted: Gazette 29 Apr 2005 p. 1801.]</w:t>
      </w:r>
    </w:p>
    <w:p w:rsidR="00425758" w:rsidRDefault="00425758">
      <w:pPr>
        <w:pStyle w:val="yHeading5"/>
        <w:keepNext w:val="0"/>
        <w:keepLines w:val="0"/>
        <w:widowControl w:val="0"/>
        <w:spacing w:after="120"/>
      </w:pPr>
      <w:bookmarkStart w:id="1395" w:name="_Toc75863960"/>
      <w:r>
        <w:rPr>
          <w:rStyle w:val="CharSClsNo"/>
        </w:rPr>
        <w:t>69</w:t>
      </w:r>
      <w:r>
        <w:t>.</w:t>
      </w:r>
      <w:r>
        <w:tab/>
        <w:t>Mandamus (O. 56 r. 16)</w:t>
      </w:r>
      <w:bookmarkEnd w:id="1395"/>
    </w:p>
    <w:p w:rsidR="00425758" w:rsidRDefault="00425758">
      <w:pPr>
        <w:pStyle w:val="yMiscellaneousBody"/>
        <w:spacing w:before="120"/>
        <w:rPr>
          <w:i/>
          <w:iCs/>
          <w:sz w:val="20"/>
        </w:rPr>
      </w:pPr>
      <w:r>
        <w:rPr>
          <w:i/>
          <w:iCs/>
          <w:sz w:val="20"/>
        </w:rPr>
        <w:t>(Heading as in cause or matter)</w:t>
      </w:r>
    </w:p>
    <w:p w:rsidR="00425758" w:rsidRDefault="00425758">
      <w:pPr>
        <w:pStyle w:val="yMiscellaneousBody"/>
        <w:rPr>
          <w:b/>
          <w:bCs/>
          <w:sz w:val="20"/>
        </w:rPr>
      </w:pPr>
      <w:r>
        <w:rPr>
          <w:b/>
          <w:bCs/>
          <w:sz w:val="20"/>
        </w:rPr>
        <w:t>Writ of mandamus</w:t>
      </w:r>
    </w:p>
    <w:p w:rsidR="00425758" w:rsidRDefault="00425758">
      <w:pPr>
        <w:pStyle w:val="yMiscellaneousBody"/>
        <w:rPr>
          <w:sz w:val="20"/>
        </w:rPr>
      </w:pPr>
      <w:r>
        <w:rPr>
          <w:sz w:val="20"/>
        </w:rPr>
        <w:t>To:</w:t>
      </w:r>
      <w:r>
        <w:rPr>
          <w:sz w:val="20"/>
        </w:rPr>
        <w:tab/>
        <w:t>[</w:t>
      </w:r>
      <w:r>
        <w:rPr>
          <w:i/>
          <w:iCs/>
          <w:sz w:val="20"/>
        </w:rPr>
        <w:t>Name and address</w:t>
      </w:r>
      <w:r>
        <w:rPr>
          <w:sz w:val="20"/>
        </w:rPr>
        <w:t>]</w:t>
      </w:r>
    </w:p>
    <w:p w:rsidR="00425758" w:rsidRDefault="00425758">
      <w:pPr>
        <w:pStyle w:val="yMiscellaneousBody"/>
        <w:rPr>
          <w:sz w:val="20"/>
        </w:rPr>
      </w:pPr>
      <w:r>
        <w:rPr>
          <w:sz w:val="20"/>
        </w:rPr>
        <w:t>This writ commands you to [</w:t>
      </w:r>
      <w:r>
        <w:rPr>
          <w:i/>
          <w:iCs/>
          <w:sz w:val="20"/>
        </w:rPr>
        <w:t>set out the act to be done</w:t>
      </w:r>
      <w:r>
        <w:rPr>
          <w:sz w:val="20"/>
        </w:rPr>
        <w:t>] or show cause why you have not done it.</w:t>
      </w:r>
    </w:p>
    <w:p w:rsidR="00425758" w:rsidRDefault="00425758">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rsidR="00425758" w:rsidRDefault="00425758">
      <w:pPr>
        <w:pStyle w:val="yMiscellaneousBody"/>
        <w:rPr>
          <w:sz w:val="20"/>
        </w:rPr>
      </w:pPr>
      <w:r>
        <w:rPr>
          <w:sz w:val="20"/>
        </w:rPr>
        <w:t>Disobeying this writ is a contempt of court which may be punished by imprisonment or a fine or both.</w:t>
      </w:r>
    </w:p>
    <w:p w:rsidR="00425758" w:rsidRDefault="00425758">
      <w:pPr>
        <w:pStyle w:val="yMiscellaneousBody"/>
        <w:rPr>
          <w:sz w:val="20"/>
        </w:rPr>
      </w:pPr>
      <w:r>
        <w:rPr>
          <w:sz w:val="20"/>
        </w:rPr>
        <w:t>Dated:</w:t>
      </w:r>
    </w:p>
    <w:p w:rsidR="00425758" w:rsidRDefault="00425758">
      <w:pPr>
        <w:pStyle w:val="yMiscellaneousBody"/>
        <w:spacing w:before="120"/>
        <w:rPr>
          <w:sz w:val="20"/>
        </w:rPr>
      </w:pPr>
      <w:r>
        <w:rPr>
          <w:sz w:val="20"/>
        </w:rPr>
        <w:t>.....................................................</w:t>
      </w:r>
      <w:r>
        <w:rPr>
          <w:sz w:val="20"/>
        </w:rPr>
        <w:br/>
        <w:t>Judicial officer</w:t>
      </w:r>
    </w:p>
    <w:p w:rsidR="00425758" w:rsidRDefault="00425758">
      <w:pPr>
        <w:pStyle w:val="yFootnotesection"/>
      </w:pPr>
      <w:r>
        <w:tab/>
        <w:t>[Form 69 inserted: Gazette 28 Jul 2010 p. 3487</w:t>
      </w:r>
      <w:r>
        <w:noBreakHyphen/>
        <w:t>8.]</w:t>
      </w:r>
    </w:p>
    <w:p w:rsidR="00425758" w:rsidRDefault="00425758">
      <w:pPr>
        <w:pStyle w:val="yHeading5"/>
        <w:keepNext w:val="0"/>
        <w:keepLines w:val="0"/>
        <w:pageBreakBefore/>
        <w:widowControl w:val="0"/>
        <w:spacing w:after="120"/>
      </w:pPr>
      <w:bookmarkStart w:id="1396" w:name="_Toc75863961"/>
      <w:r>
        <w:rPr>
          <w:rStyle w:val="CharSClsNo"/>
        </w:rPr>
        <w:lastRenderedPageBreak/>
        <w:t>70</w:t>
      </w:r>
      <w:r>
        <w:t>.</w:t>
      </w:r>
      <w:r>
        <w:tab/>
      </w:r>
      <w:r>
        <w:rPr>
          <w:i/>
        </w:rPr>
        <w:t>Procedendo</w:t>
      </w:r>
      <w:r>
        <w:t xml:space="preserve"> (O. 56 r. 32)</w:t>
      </w:r>
      <w:bookmarkEnd w:id="1396"/>
    </w:p>
    <w:p w:rsidR="00425758" w:rsidRDefault="00425758">
      <w:pPr>
        <w:pStyle w:val="yMiscellaneousBody"/>
        <w:keepNext/>
        <w:spacing w:before="120"/>
        <w:rPr>
          <w:i/>
          <w:iCs/>
          <w:sz w:val="20"/>
        </w:rPr>
      </w:pPr>
      <w:r>
        <w:rPr>
          <w:i/>
          <w:iCs/>
          <w:sz w:val="20"/>
        </w:rPr>
        <w:t>(Heading as in cause or matter)</w:t>
      </w:r>
    </w:p>
    <w:p w:rsidR="00425758" w:rsidRDefault="00425758">
      <w:pPr>
        <w:pStyle w:val="yMiscellaneousBody"/>
        <w:rPr>
          <w:b/>
          <w:bCs/>
          <w:sz w:val="20"/>
        </w:rPr>
      </w:pPr>
      <w:r>
        <w:rPr>
          <w:b/>
          <w:bCs/>
          <w:sz w:val="20"/>
        </w:rPr>
        <w:t>Writ of</w:t>
      </w:r>
      <w:r>
        <w:rPr>
          <w:b/>
          <w:bCs/>
          <w:i/>
          <w:sz w:val="20"/>
        </w:rPr>
        <w:t xml:space="preserve"> procedendo</w:t>
      </w:r>
    </w:p>
    <w:p w:rsidR="00425758" w:rsidRDefault="00425758">
      <w:pPr>
        <w:pStyle w:val="yMiscellaneousBody"/>
        <w:rPr>
          <w:sz w:val="20"/>
        </w:rPr>
      </w:pPr>
      <w:r>
        <w:rPr>
          <w:sz w:val="20"/>
        </w:rPr>
        <w:t>To:</w:t>
      </w:r>
      <w:r>
        <w:rPr>
          <w:sz w:val="20"/>
        </w:rPr>
        <w:tab/>
        <w:t>[</w:t>
      </w:r>
      <w:r>
        <w:rPr>
          <w:i/>
          <w:iCs/>
          <w:sz w:val="20"/>
        </w:rPr>
        <w:t>Name and address</w:t>
      </w:r>
      <w:r>
        <w:rPr>
          <w:sz w:val="20"/>
        </w:rPr>
        <w:t>]</w:t>
      </w:r>
    </w:p>
    <w:p w:rsidR="00425758" w:rsidRDefault="00425758">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rsidR="00425758" w:rsidRDefault="00425758">
      <w:pPr>
        <w:pStyle w:val="yMiscellaneousBody"/>
        <w:rPr>
          <w:sz w:val="20"/>
        </w:rPr>
      </w:pPr>
      <w:r>
        <w:rPr>
          <w:sz w:val="20"/>
        </w:rPr>
        <w:t>This writ commands you to [</w:t>
      </w:r>
      <w:r>
        <w:rPr>
          <w:i/>
          <w:iCs/>
          <w:sz w:val="20"/>
        </w:rPr>
        <w:t>set out the act to be done</w:t>
      </w:r>
      <w:r>
        <w:rPr>
          <w:sz w:val="20"/>
        </w:rPr>
        <w:t>] as if that writ of prohibition had not been issued.</w:t>
      </w:r>
    </w:p>
    <w:p w:rsidR="00425758" w:rsidRDefault="00425758">
      <w:pPr>
        <w:pStyle w:val="yMiscellaneousBody"/>
        <w:rPr>
          <w:sz w:val="20"/>
        </w:rPr>
      </w:pPr>
      <w:r>
        <w:rPr>
          <w:sz w:val="20"/>
        </w:rPr>
        <w:t>Dated:</w:t>
      </w:r>
    </w:p>
    <w:p w:rsidR="00425758" w:rsidRDefault="00425758">
      <w:pPr>
        <w:pStyle w:val="yMiscellaneousBody"/>
        <w:rPr>
          <w:sz w:val="20"/>
        </w:rPr>
      </w:pPr>
      <w:r>
        <w:rPr>
          <w:sz w:val="20"/>
        </w:rPr>
        <w:t>.....................................................</w:t>
      </w:r>
      <w:r>
        <w:rPr>
          <w:sz w:val="20"/>
        </w:rPr>
        <w:br/>
        <w:t>Judicial officer</w:t>
      </w:r>
    </w:p>
    <w:p w:rsidR="00425758" w:rsidRDefault="00425758">
      <w:pPr>
        <w:pStyle w:val="yFootnotesection"/>
      </w:pPr>
      <w:r>
        <w:tab/>
        <w:t>[Form 70 inserted: Gazette 28 Jul 2010 p. 3488.]</w:t>
      </w:r>
    </w:p>
    <w:p w:rsidR="00425758" w:rsidRDefault="00425758">
      <w:pPr>
        <w:pStyle w:val="yHeading5"/>
        <w:keepNext w:val="0"/>
        <w:keepLines w:val="0"/>
        <w:widowControl w:val="0"/>
        <w:spacing w:after="120"/>
      </w:pPr>
      <w:bookmarkStart w:id="1397" w:name="_Toc75863962"/>
      <w:r>
        <w:rPr>
          <w:rStyle w:val="CharSClsNo"/>
        </w:rPr>
        <w:t>71</w:t>
      </w:r>
      <w:r>
        <w:t>.</w:t>
      </w:r>
      <w:r>
        <w:tab/>
        <w:t>Prohibition (O. 56 r. 33)</w:t>
      </w:r>
      <w:bookmarkEnd w:id="1397"/>
    </w:p>
    <w:p w:rsidR="00425758" w:rsidRDefault="00425758">
      <w:pPr>
        <w:pStyle w:val="yMiscellaneousBody"/>
        <w:spacing w:before="120"/>
        <w:rPr>
          <w:i/>
          <w:iCs/>
          <w:sz w:val="20"/>
        </w:rPr>
      </w:pPr>
      <w:r>
        <w:rPr>
          <w:i/>
          <w:iCs/>
          <w:sz w:val="20"/>
        </w:rPr>
        <w:t>(Heading as in cause or matter)</w:t>
      </w:r>
    </w:p>
    <w:p w:rsidR="00425758" w:rsidRDefault="00425758">
      <w:pPr>
        <w:pStyle w:val="yMiscellaneousBody"/>
        <w:rPr>
          <w:b/>
          <w:bCs/>
          <w:sz w:val="20"/>
        </w:rPr>
      </w:pPr>
      <w:r>
        <w:rPr>
          <w:b/>
          <w:bCs/>
          <w:sz w:val="20"/>
        </w:rPr>
        <w:t>Writ of prohibition</w:t>
      </w:r>
    </w:p>
    <w:p w:rsidR="00425758" w:rsidRDefault="00425758">
      <w:pPr>
        <w:pStyle w:val="yMiscellaneousBody"/>
        <w:rPr>
          <w:sz w:val="20"/>
        </w:rPr>
      </w:pPr>
      <w:r>
        <w:rPr>
          <w:sz w:val="20"/>
        </w:rPr>
        <w:t>To:</w:t>
      </w:r>
      <w:r>
        <w:rPr>
          <w:sz w:val="20"/>
        </w:rPr>
        <w:tab/>
        <w:t>[</w:t>
      </w:r>
      <w:r>
        <w:rPr>
          <w:i/>
          <w:iCs/>
          <w:sz w:val="20"/>
        </w:rPr>
        <w:t>Name and address</w:t>
      </w:r>
      <w:r>
        <w:rPr>
          <w:sz w:val="20"/>
        </w:rPr>
        <w:t>]</w:t>
      </w:r>
    </w:p>
    <w:p w:rsidR="00425758" w:rsidRDefault="00425758">
      <w:pPr>
        <w:pStyle w:val="yMiscellaneousBody"/>
        <w:rPr>
          <w:sz w:val="20"/>
        </w:rPr>
      </w:pPr>
      <w:r>
        <w:rPr>
          <w:sz w:val="20"/>
        </w:rPr>
        <w:t>This writ prohibits you from [</w:t>
      </w:r>
      <w:r>
        <w:rPr>
          <w:i/>
          <w:iCs/>
          <w:sz w:val="20"/>
        </w:rPr>
        <w:t>set out the prohibited act</w:t>
      </w:r>
      <w:r>
        <w:rPr>
          <w:sz w:val="20"/>
        </w:rPr>
        <w:t>].</w:t>
      </w:r>
    </w:p>
    <w:p w:rsidR="00425758" w:rsidRDefault="00425758">
      <w:pPr>
        <w:pStyle w:val="yMiscellaneousBody"/>
        <w:rPr>
          <w:sz w:val="20"/>
        </w:rPr>
      </w:pPr>
      <w:r>
        <w:rPr>
          <w:sz w:val="20"/>
        </w:rPr>
        <w:t>Dated:</w:t>
      </w:r>
    </w:p>
    <w:p w:rsidR="00425758" w:rsidRDefault="00425758">
      <w:pPr>
        <w:pStyle w:val="yMiscellaneousBody"/>
        <w:rPr>
          <w:sz w:val="20"/>
        </w:rPr>
      </w:pPr>
      <w:r>
        <w:rPr>
          <w:sz w:val="20"/>
        </w:rPr>
        <w:t>.....................................................</w:t>
      </w:r>
      <w:r>
        <w:rPr>
          <w:sz w:val="20"/>
        </w:rPr>
        <w:br/>
        <w:t>Judicial officer</w:t>
      </w:r>
    </w:p>
    <w:p w:rsidR="00425758" w:rsidRDefault="00425758">
      <w:pPr>
        <w:pStyle w:val="yFootnotesection"/>
      </w:pPr>
      <w:r>
        <w:tab/>
        <w:t>[Form 71 inserted: Gazette 28 Jul 2010 p. 3488-9.]</w:t>
      </w:r>
    </w:p>
    <w:p w:rsidR="00425758" w:rsidRDefault="00425758">
      <w:pPr>
        <w:pStyle w:val="yEdnotedivision"/>
        <w:spacing w:before="360"/>
      </w:pPr>
      <w:r>
        <w:t>[Form 72 deleted: Gazette 28 Jul 2010 p. 3489.]</w:t>
      </w:r>
    </w:p>
    <w:p w:rsidR="00425758" w:rsidRDefault="00425758">
      <w:pPr>
        <w:pStyle w:val="yHeading5"/>
        <w:keepNext w:val="0"/>
        <w:keepLines w:val="0"/>
        <w:widowControl w:val="0"/>
        <w:spacing w:after="120"/>
      </w:pPr>
      <w:bookmarkStart w:id="1398" w:name="_Toc75863963"/>
      <w:r>
        <w:rPr>
          <w:rStyle w:val="CharSClsNo"/>
        </w:rPr>
        <w:t>73</w:t>
      </w:r>
      <w:r>
        <w:t>.</w:t>
      </w:r>
      <w:r>
        <w:tab/>
        <w:t>Habeas corpus (O. 57 r. 10)</w:t>
      </w:r>
      <w:bookmarkEnd w:id="1398"/>
    </w:p>
    <w:p w:rsidR="00425758" w:rsidRDefault="00425758">
      <w:pPr>
        <w:pStyle w:val="yMiscellaneousBody"/>
        <w:spacing w:before="120"/>
        <w:rPr>
          <w:i/>
          <w:iCs/>
          <w:sz w:val="20"/>
        </w:rPr>
      </w:pPr>
      <w:r>
        <w:rPr>
          <w:i/>
          <w:iCs/>
          <w:sz w:val="20"/>
        </w:rPr>
        <w:t>(Heading as in cause or matter)</w:t>
      </w:r>
    </w:p>
    <w:p w:rsidR="00425758" w:rsidRDefault="00425758">
      <w:pPr>
        <w:pStyle w:val="yMiscellaneousBody"/>
        <w:rPr>
          <w:b/>
          <w:bCs/>
          <w:sz w:val="20"/>
        </w:rPr>
      </w:pPr>
      <w:r>
        <w:rPr>
          <w:b/>
          <w:bCs/>
          <w:sz w:val="20"/>
        </w:rPr>
        <w:t xml:space="preserve">Writ of </w:t>
      </w:r>
      <w:r>
        <w:rPr>
          <w:b/>
          <w:bCs/>
          <w:i/>
          <w:sz w:val="20"/>
        </w:rPr>
        <w:t>habeas corpus ad subjiciendum</w:t>
      </w:r>
    </w:p>
    <w:p w:rsidR="00425758" w:rsidRDefault="00425758">
      <w:pPr>
        <w:pStyle w:val="yMiscellaneousBody"/>
        <w:rPr>
          <w:sz w:val="20"/>
        </w:rPr>
      </w:pPr>
      <w:r>
        <w:rPr>
          <w:sz w:val="20"/>
        </w:rPr>
        <w:t>To:</w:t>
      </w:r>
      <w:r>
        <w:rPr>
          <w:sz w:val="20"/>
        </w:rPr>
        <w:tab/>
        <w:t>[</w:t>
      </w:r>
      <w:r>
        <w:rPr>
          <w:i/>
          <w:iCs/>
          <w:sz w:val="20"/>
        </w:rPr>
        <w:t>Name and address</w:t>
      </w:r>
      <w:r>
        <w:rPr>
          <w:sz w:val="20"/>
        </w:rPr>
        <w:t>]</w:t>
      </w:r>
    </w:p>
    <w:p w:rsidR="00425758" w:rsidRDefault="00425758">
      <w:pPr>
        <w:pStyle w:val="yMiscellaneousBody"/>
        <w:rPr>
          <w:sz w:val="20"/>
        </w:rPr>
      </w:pPr>
      <w:r>
        <w:rPr>
          <w:sz w:val="20"/>
        </w:rPr>
        <w:lastRenderedPageBreak/>
        <w:t>This writ commands you to have [</w:t>
      </w:r>
      <w:r>
        <w:rPr>
          <w:i/>
          <w:iCs/>
          <w:sz w:val="20"/>
        </w:rPr>
        <w:t>name of plaintiff or person restrained</w:t>
      </w:r>
      <w:r>
        <w:rPr>
          <w:sz w:val="20"/>
        </w:rPr>
        <w:t>] before the Supreme Court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rsidR="00425758" w:rsidRDefault="00425758">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rsidR="00425758" w:rsidRDefault="00425758">
      <w:pPr>
        <w:pStyle w:val="yMiscellaneousBody"/>
        <w:rPr>
          <w:sz w:val="20"/>
        </w:rPr>
      </w:pPr>
      <w:r>
        <w:rPr>
          <w:sz w:val="20"/>
        </w:rPr>
        <w:t>Disobeying this writ is a contempt of court which may be punished by imprisonment or a fine or both.</w:t>
      </w:r>
    </w:p>
    <w:p w:rsidR="00425758" w:rsidRDefault="00425758">
      <w:pPr>
        <w:pStyle w:val="yMiscellaneousBody"/>
        <w:rPr>
          <w:sz w:val="20"/>
        </w:rPr>
      </w:pPr>
      <w:r>
        <w:rPr>
          <w:sz w:val="20"/>
        </w:rPr>
        <w:t>Dated:</w:t>
      </w:r>
    </w:p>
    <w:p w:rsidR="00425758" w:rsidRDefault="00425758">
      <w:pPr>
        <w:pStyle w:val="yMiscellaneousBody"/>
        <w:rPr>
          <w:sz w:val="20"/>
        </w:rPr>
      </w:pPr>
      <w:r>
        <w:rPr>
          <w:sz w:val="20"/>
        </w:rPr>
        <w:t>.....................................................</w:t>
      </w:r>
      <w:r>
        <w:rPr>
          <w:sz w:val="20"/>
        </w:rPr>
        <w:br/>
        <w:t>Judicial officer</w:t>
      </w:r>
    </w:p>
    <w:p w:rsidR="00425758" w:rsidRDefault="00425758">
      <w:pPr>
        <w:pStyle w:val="yFootnotesection"/>
      </w:pPr>
      <w:r>
        <w:tab/>
        <w:t>[Form 73 inserted: Gazette 28 Jul 2010 p. 3489; amended: Gazette 16 Aug 2017 p. 4423.]</w:t>
      </w:r>
    </w:p>
    <w:p w:rsidR="00425758" w:rsidRDefault="00425758">
      <w:pPr>
        <w:pStyle w:val="yHeading5"/>
        <w:keepNext w:val="0"/>
        <w:keepLines w:val="0"/>
        <w:widowControl w:val="0"/>
        <w:spacing w:after="120"/>
      </w:pPr>
      <w:bookmarkStart w:id="1399" w:name="_Toc75863964"/>
      <w:r>
        <w:rPr>
          <w:rStyle w:val="CharSClsNo"/>
        </w:rPr>
        <w:t>74</w:t>
      </w:r>
      <w:r>
        <w:t>.</w:t>
      </w:r>
      <w:r>
        <w:rPr>
          <w:b w:val="0"/>
        </w:rPr>
        <w:tab/>
      </w:r>
      <w:r>
        <w:t>Originating summons, appearance required (O. 58 r. 14)</w:t>
      </w:r>
      <w:bookmarkEnd w:id="1399"/>
    </w:p>
    <w:p w:rsidR="00425758" w:rsidRDefault="00425758">
      <w:pPr>
        <w:pStyle w:val="yMiscellaneousBody"/>
        <w:spacing w:before="120"/>
        <w:jc w:val="right"/>
        <w:rPr>
          <w:sz w:val="20"/>
        </w:rPr>
      </w:pPr>
      <w:r>
        <w:rPr>
          <w:sz w:val="20"/>
        </w:rPr>
        <w:t>No.               of 20      .</w:t>
      </w:r>
    </w:p>
    <w:p w:rsidR="00425758" w:rsidRDefault="00425758">
      <w:pPr>
        <w:pStyle w:val="yMiscellaneousBody"/>
        <w:spacing w:before="120"/>
        <w:rPr>
          <w:sz w:val="20"/>
        </w:rPr>
      </w:pPr>
      <w:r>
        <w:rPr>
          <w:sz w:val="20"/>
        </w:rPr>
        <w:t>In the Supreme Court</w:t>
      </w:r>
      <w:r>
        <w:rPr>
          <w:sz w:val="20"/>
        </w:rPr>
        <w:br/>
        <w:t>of Western Australia.</w:t>
      </w:r>
    </w:p>
    <w:p w:rsidR="00425758" w:rsidRDefault="00425758">
      <w:pPr>
        <w:pStyle w:val="yMiscellaneousBody"/>
        <w:tabs>
          <w:tab w:val="left" w:pos="600"/>
        </w:tabs>
        <w:spacing w:before="120"/>
        <w:rPr>
          <w:sz w:val="20"/>
        </w:rPr>
      </w:pPr>
      <w:r>
        <w:rPr>
          <w:sz w:val="20"/>
        </w:rPr>
        <w:tab/>
        <w:t>[In the matter of                                           .]</w:t>
      </w:r>
    </w:p>
    <w:p w:rsidR="00425758" w:rsidRDefault="00425758">
      <w:pPr>
        <w:pStyle w:val="yMiscellaneousBody"/>
        <w:spacing w:before="120"/>
        <w:ind w:left="720"/>
        <w:rPr>
          <w:sz w:val="20"/>
        </w:rPr>
      </w:pPr>
      <w:r>
        <w:rPr>
          <w:sz w:val="20"/>
        </w:rPr>
        <w:tab/>
        <w:t>Between</w:t>
      </w:r>
    </w:p>
    <w:p w:rsidR="00425758" w:rsidRDefault="00425758">
      <w:pPr>
        <w:pStyle w:val="yMiscellaneousBody"/>
        <w:spacing w:before="120"/>
        <w:ind w:left="1440" w:right="4336"/>
        <w:jc w:val="center"/>
        <w:rPr>
          <w:sz w:val="20"/>
        </w:rPr>
      </w:pPr>
      <w:r>
        <w:rPr>
          <w:sz w:val="20"/>
        </w:rPr>
        <w:t>A.B. Plaintiff,</w:t>
      </w:r>
    </w:p>
    <w:p w:rsidR="00425758" w:rsidRDefault="00425758">
      <w:pPr>
        <w:pStyle w:val="yMiscellaneousBody"/>
        <w:spacing w:before="0"/>
        <w:ind w:left="1440" w:right="4338"/>
        <w:jc w:val="center"/>
        <w:rPr>
          <w:sz w:val="20"/>
        </w:rPr>
      </w:pPr>
      <w:r>
        <w:rPr>
          <w:sz w:val="20"/>
        </w:rPr>
        <w:t>and</w:t>
      </w:r>
    </w:p>
    <w:p w:rsidR="00425758" w:rsidRDefault="00425758">
      <w:pPr>
        <w:pStyle w:val="yMiscellaneousBody"/>
        <w:spacing w:before="0"/>
        <w:ind w:left="1440" w:right="4338"/>
        <w:jc w:val="center"/>
        <w:rPr>
          <w:sz w:val="20"/>
        </w:rPr>
      </w:pPr>
      <w:r>
        <w:rPr>
          <w:sz w:val="20"/>
        </w:rPr>
        <w:t>C.D. Defendant.</w:t>
      </w:r>
    </w:p>
    <w:p w:rsidR="00425758" w:rsidRDefault="00425758">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Court at such time and place as shall hereafter be fixed for such hearing.</w:t>
      </w:r>
    </w:p>
    <w:p w:rsidR="00425758" w:rsidRDefault="00425758">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rsidR="00425758" w:rsidRDefault="00425758">
      <w:pPr>
        <w:pStyle w:val="yMiscellaneousBody"/>
        <w:spacing w:before="120"/>
        <w:rPr>
          <w:sz w:val="20"/>
        </w:rPr>
      </w:pPr>
      <w:r>
        <w:rPr>
          <w:sz w:val="20"/>
        </w:rPr>
        <w:t>Dated, etc.</w:t>
      </w:r>
    </w:p>
    <w:p w:rsidR="00425758" w:rsidRDefault="00425758">
      <w:pPr>
        <w:pStyle w:val="yMiscellaneousBody"/>
        <w:spacing w:before="120"/>
        <w:rPr>
          <w:sz w:val="20"/>
        </w:rPr>
      </w:pPr>
      <w:r>
        <w:rPr>
          <w:sz w:val="20"/>
        </w:rPr>
        <w:t>This summons was taken out by</w:t>
      </w:r>
    </w:p>
    <w:p w:rsidR="00425758" w:rsidRDefault="00425758">
      <w:pPr>
        <w:pStyle w:val="yMiscellaneousBody"/>
        <w:spacing w:before="60"/>
        <w:rPr>
          <w:sz w:val="20"/>
        </w:rPr>
      </w:pPr>
      <w:r>
        <w:rPr>
          <w:sz w:val="20"/>
        </w:rPr>
        <w:t>Solicitor for the said plaintiff whose address for service is</w:t>
      </w:r>
    </w:p>
    <w:p w:rsidR="00425758" w:rsidRDefault="00425758">
      <w:pPr>
        <w:pStyle w:val="yMiscellaneousBody"/>
        <w:spacing w:before="120"/>
        <w:rPr>
          <w:sz w:val="20"/>
        </w:rPr>
      </w:pPr>
      <w:r>
        <w:rPr>
          <w:sz w:val="20"/>
        </w:rPr>
        <w:t>Note: If the defendant does not enter an appearance at the Central Office, Supreme Court, Perth, within the time abovementioned, and thereafter attend before the Court at such time and place as shall hereafter be fixed for such hearing, such order will be made and proceedings taken as the Court thinks just and expedient.</w:t>
      </w:r>
    </w:p>
    <w:p w:rsidR="00425758" w:rsidRDefault="00425758">
      <w:pPr>
        <w:pStyle w:val="yFootnotesection"/>
      </w:pPr>
      <w:r>
        <w:lastRenderedPageBreak/>
        <w:tab/>
        <w:t>[Form 74 amended: Gazette 27 Aug 1976 p. 3226; 30 Nov 1984 p. 3954; 28 Jun 2011 p. 2561; 16 Aug 2017 p. 4425</w:t>
      </w:r>
      <w:r>
        <w:noBreakHyphen/>
        <w:t>6.]</w:t>
      </w:r>
    </w:p>
    <w:p w:rsidR="00425758" w:rsidRDefault="00425758">
      <w:pPr>
        <w:pStyle w:val="yHeading5"/>
        <w:keepNext w:val="0"/>
        <w:keepLines w:val="0"/>
        <w:widowControl w:val="0"/>
        <w:spacing w:after="120"/>
      </w:pPr>
      <w:bookmarkStart w:id="1400" w:name="_Toc75863965"/>
      <w:r>
        <w:rPr>
          <w:rStyle w:val="CharSClsNo"/>
        </w:rPr>
        <w:t>75</w:t>
      </w:r>
      <w:r>
        <w:t>.</w:t>
      </w:r>
      <w:r>
        <w:rPr>
          <w:b w:val="0"/>
        </w:rPr>
        <w:tab/>
      </w:r>
      <w:r>
        <w:t>Originating summons, appearance not required (O. 58 r. 14)</w:t>
      </w:r>
      <w:bookmarkEnd w:id="1400"/>
    </w:p>
    <w:p w:rsidR="00425758" w:rsidRDefault="00425758">
      <w:pPr>
        <w:pStyle w:val="yMiscellaneousBody"/>
        <w:spacing w:before="120"/>
        <w:jc w:val="center"/>
        <w:rPr>
          <w:sz w:val="20"/>
        </w:rPr>
      </w:pPr>
      <w:r>
        <w:rPr>
          <w:sz w:val="20"/>
        </w:rPr>
        <w:t>(</w:t>
      </w:r>
      <w:r>
        <w:rPr>
          <w:i/>
          <w:sz w:val="20"/>
        </w:rPr>
        <w:t>Heading as in Form No. 74</w:t>
      </w:r>
      <w:r>
        <w:rPr>
          <w:sz w:val="20"/>
        </w:rPr>
        <w:t>)</w:t>
      </w:r>
    </w:p>
    <w:p w:rsidR="00425758" w:rsidRDefault="00425758">
      <w:pPr>
        <w:pStyle w:val="yMiscellaneousBody"/>
        <w:spacing w:before="120"/>
        <w:rPr>
          <w:sz w:val="20"/>
        </w:rPr>
      </w:pPr>
      <w:r>
        <w:rPr>
          <w:sz w:val="20"/>
        </w:rPr>
        <w:t>Let C.D. of                                    attend before the Supreme Court, Perth, on the              day of                        20       at               o’clock in the                  noon on the hearing of an application by the plaintiff that [</w:t>
      </w:r>
      <w:r>
        <w:rPr>
          <w:i/>
          <w:sz w:val="20"/>
        </w:rPr>
        <w:t>state the nature of the claim</w:t>
      </w:r>
      <w:r>
        <w:rPr>
          <w:sz w:val="20"/>
        </w:rPr>
        <w:t>].</w:t>
      </w:r>
    </w:p>
    <w:p w:rsidR="00425758" w:rsidRDefault="00425758">
      <w:pPr>
        <w:pStyle w:val="yMiscellaneousBody"/>
        <w:spacing w:before="120"/>
        <w:rPr>
          <w:sz w:val="20"/>
        </w:rPr>
      </w:pPr>
      <w:r>
        <w:rPr>
          <w:sz w:val="20"/>
        </w:rPr>
        <w:t>Dated, etc.</w:t>
      </w:r>
    </w:p>
    <w:p w:rsidR="00425758" w:rsidRDefault="00425758">
      <w:pPr>
        <w:pStyle w:val="yMiscellaneousBody"/>
        <w:spacing w:before="120"/>
        <w:rPr>
          <w:sz w:val="20"/>
        </w:rPr>
      </w:pPr>
      <w:r>
        <w:rPr>
          <w:sz w:val="20"/>
        </w:rPr>
        <w:t>It is intended to serve this summons on C.D. [and E.F. of                                          .]</w:t>
      </w:r>
    </w:p>
    <w:p w:rsidR="00425758" w:rsidRDefault="00425758">
      <w:pPr>
        <w:pStyle w:val="yMiscellaneousBody"/>
        <w:spacing w:before="120"/>
        <w:rPr>
          <w:sz w:val="20"/>
        </w:rPr>
      </w:pPr>
      <w:r>
        <w:rPr>
          <w:sz w:val="20"/>
        </w:rPr>
        <w:t>This summons was taken out, etc. (</w:t>
      </w:r>
      <w:r>
        <w:rPr>
          <w:i/>
          <w:sz w:val="20"/>
        </w:rPr>
        <w:t>as in Form No. 74</w:t>
      </w:r>
      <w:r>
        <w:rPr>
          <w:sz w:val="20"/>
        </w:rPr>
        <w:t>).</w:t>
      </w:r>
    </w:p>
    <w:p w:rsidR="00425758" w:rsidRDefault="00425758">
      <w:pPr>
        <w:pStyle w:val="yMiscellaneousBody"/>
        <w:spacing w:before="120"/>
        <w:rPr>
          <w:sz w:val="20"/>
        </w:rPr>
      </w:pPr>
      <w:r>
        <w:rPr>
          <w:sz w:val="20"/>
        </w:rPr>
        <w:t>Note: If a defendant does not attend personally or by his counsel or solicitor at the time and place abovementioned such order will be made as the Court thinks just and expedient.</w:t>
      </w:r>
    </w:p>
    <w:p w:rsidR="00425758" w:rsidRDefault="00425758">
      <w:pPr>
        <w:pStyle w:val="yFootnotesection"/>
      </w:pPr>
      <w:r>
        <w:tab/>
        <w:t>[Form 75 amended: Gazette 30 Nov 1984 p. 3954; 28 Jun 2011 p. 2561; 16 Aug 2017 p. 4426.]</w:t>
      </w:r>
    </w:p>
    <w:p w:rsidR="00425758" w:rsidRDefault="00425758">
      <w:pPr>
        <w:pStyle w:val="yHeading5"/>
        <w:keepNext w:val="0"/>
        <w:keepLines w:val="0"/>
        <w:widowControl w:val="0"/>
        <w:spacing w:after="120"/>
      </w:pPr>
      <w:bookmarkStart w:id="1401" w:name="_Toc75863966"/>
      <w:r>
        <w:rPr>
          <w:rStyle w:val="CharSClsNo"/>
        </w:rPr>
        <w:t>76</w:t>
      </w:r>
      <w:r>
        <w:t>.</w:t>
      </w:r>
      <w:r>
        <w:rPr>
          <w:b w:val="0"/>
        </w:rPr>
        <w:tab/>
      </w:r>
      <w:r>
        <w:t>Notice of appointment to hear originating summons (O. 58 r. 19)</w:t>
      </w:r>
      <w:bookmarkEnd w:id="1401"/>
    </w:p>
    <w:p w:rsidR="00425758" w:rsidRDefault="00425758">
      <w:pPr>
        <w:pStyle w:val="yMiscellaneousBody"/>
        <w:spacing w:before="120"/>
        <w:jc w:val="center"/>
        <w:rPr>
          <w:sz w:val="20"/>
        </w:rPr>
      </w:pPr>
      <w:r>
        <w:rPr>
          <w:sz w:val="20"/>
        </w:rPr>
        <w:t>(</w:t>
      </w:r>
      <w:r>
        <w:rPr>
          <w:i/>
          <w:sz w:val="20"/>
        </w:rPr>
        <w:t>Heading as in Form No. 74</w:t>
      </w:r>
      <w:r>
        <w:rPr>
          <w:sz w:val="20"/>
        </w:rPr>
        <w:t>)</w:t>
      </w:r>
    </w:p>
    <w:p w:rsidR="00425758" w:rsidRDefault="00425758">
      <w:pPr>
        <w:pStyle w:val="yMiscellaneousBody"/>
        <w:spacing w:before="120"/>
        <w:rPr>
          <w:sz w:val="20"/>
        </w:rPr>
      </w:pPr>
      <w:r>
        <w:rPr>
          <w:sz w:val="20"/>
        </w:rPr>
        <w:t>To [</w:t>
      </w:r>
      <w:r>
        <w:rPr>
          <w:i/>
          <w:sz w:val="20"/>
        </w:rPr>
        <w:t>name of defendant or plaintiff</w:t>
      </w:r>
      <w:r>
        <w:rPr>
          <w:sz w:val="20"/>
        </w:rPr>
        <w:t xml:space="preserve">] of </w:t>
      </w:r>
    </w:p>
    <w:p w:rsidR="00425758" w:rsidRDefault="00425758">
      <w:pPr>
        <w:pStyle w:val="yMiscellaneousBody"/>
        <w:spacing w:before="120"/>
        <w:rPr>
          <w:sz w:val="20"/>
        </w:rPr>
      </w:pPr>
      <w:r>
        <w:rPr>
          <w:sz w:val="20"/>
        </w:rPr>
        <w:t>Take notice that the originating summons issued herein on the          day of                       20      , will be heard by the Supreme Court, Perth, on the                 day of                           20      at                o’clock in the                  noon.</w:t>
      </w:r>
    </w:p>
    <w:p w:rsidR="00425758" w:rsidRDefault="00425758">
      <w:pPr>
        <w:pStyle w:val="yMiscellaneousBody"/>
        <w:spacing w:before="120"/>
        <w:rPr>
          <w:sz w:val="20"/>
        </w:rPr>
      </w:pPr>
      <w:r>
        <w:rPr>
          <w:sz w:val="20"/>
        </w:rPr>
        <w:t>If you do not attend in person or by your solicitor or counsel at the time and place mentioned, such order will be made and proceedings taken as the Court thinks just and expedient.</w:t>
      </w:r>
    </w:p>
    <w:p w:rsidR="00425758" w:rsidRDefault="00425758">
      <w:pPr>
        <w:pStyle w:val="yMiscellaneousBody"/>
        <w:spacing w:before="120"/>
        <w:rPr>
          <w:sz w:val="20"/>
        </w:rPr>
      </w:pPr>
      <w:r>
        <w:rPr>
          <w:sz w:val="20"/>
        </w:rPr>
        <w:t>Dated, etc.</w:t>
      </w:r>
    </w:p>
    <w:p w:rsidR="00425758" w:rsidRDefault="00425758">
      <w:pPr>
        <w:pStyle w:val="yMiscellaneousBody"/>
        <w:spacing w:before="120"/>
        <w:ind w:left="5160"/>
        <w:rPr>
          <w:sz w:val="20"/>
        </w:rPr>
      </w:pPr>
      <w:r>
        <w:rPr>
          <w:sz w:val="20"/>
        </w:rPr>
        <w:t>(Signed)</w:t>
      </w:r>
    </w:p>
    <w:p w:rsidR="00425758" w:rsidRDefault="00425758">
      <w:pPr>
        <w:pStyle w:val="yMiscellaneousBody"/>
        <w:tabs>
          <w:tab w:val="left" w:pos="4536"/>
        </w:tabs>
        <w:spacing w:before="0"/>
        <w:rPr>
          <w:sz w:val="20"/>
        </w:rPr>
      </w:pPr>
      <w:r>
        <w:rPr>
          <w:sz w:val="20"/>
        </w:rPr>
        <w:tab/>
        <w:t xml:space="preserve">Solicitor for                              </w:t>
      </w:r>
    </w:p>
    <w:p w:rsidR="00425758" w:rsidRDefault="00425758">
      <w:pPr>
        <w:pStyle w:val="yFootnotesection"/>
      </w:pPr>
      <w:r>
        <w:tab/>
        <w:t>[Form 76 amended: Gazette 30 Nov 1984 p. 3954; 28 Jun 2011 p. 2561; 16 Aug 2017 p. 4423.]</w:t>
      </w:r>
    </w:p>
    <w:p w:rsidR="00425758" w:rsidRDefault="00425758">
      <w:pPr>
        <w:pStyle w:val="yHeading5"/>
        <w:keepLines w:val="0"/>
        <w:widowControl w:val="0"/>
        <w:spacing w:after="120"/>
      </w:pPr>
      <w:bookmarkStart w:id="1402" w:name="_Toc75863967"/>
      <w:r>
        <w:rPr>
          <w:rStyle w:val="CharSClsNo"/>
        </w:rPr>
        <w:lastRenderedPageBreak/>
        <w:t>77</w:t>
      </w:r>
      <w:r>
        <w:t>.</w:t>
      </w:r>
      <w:r>
        <w:rPr>
          <w:b w:val="0"/>
        </w:rPr>
        <w:tab/>
      </w:r>
      <w:r>
        <w:t>Summons (general form) (O. 59 r. 4(1))</w:t>
      </w:r>
      <w:bookmarkEnd w:id="1402"/>
    </w:p>
    <w:p w:rsidR="00425758" w:rsidRDefault="00425758">
      <w:pPr>
        <w:pStyle w:val="yMiscellaneousBody"/>
        <w:keepNext/>
        <w:tabs>
          <w:tab w:val="left" w:pos="5040"/>
        </w:tabs>
        <w:spacing w:before="120"/>
        <w:rPr>
          <w:sz w:val="20"/>
        </w:rPr>
      </w:pPr>
      <w:r>
        <w:rPr>
          <w:sz w:val="20"/>
        </w:rPr>
        <w:t>In the Supreme Court</w:t>
      </w:r>
      <w:r>
        <w:rPr>
          <w:sz w:val="20"/>
        </w:rPr>
        <w:tab/>
        <w:t>No.                  of 20      .</w:t>
      </w:r>
      <w:r>
        <w:rPr>
          <w:sz w:val="20"/>
        </w:rPr>
        <w:br/>
        <w:t>of Western Australia.</w:t>
      </w:r>
    </w:p>
    <w:p w:rsidR="00425758" w:rsidRDefault="00425758">
      <w:pPr>
        <w:pStyle w:val="yMiscellaneousBody"/>
        <w:keepNext/>
        <w:tabs>
          <w:tab w:val="left" w:pos="4560"/>
        </w:tabs>
        <w:spacing w:before="120"/>
        <w:rPr>
          <w:sz w:val="20"/>
        </w:rPr>
      </w:pPr>
      <w:r>
        <w:rPr>
          <w:sz w:val="20"/>
        </w:rPr>
        <w:t>Between</w:t>
      </w:r>
      <w:r>
        <w:rPr>
          <w:sz w:val="20"/>
        </w:rPr>
        <w:tab/>
        <w:t>Plaintiff,</w:t>
      </w:r>
    </w:p>
    <w:p w:rsidR="00425758" w:rsidRDefault="00425758">
      <w:pPr>
        <w:pStyle w:val="yMiscellaneousBody"/>
        <w:tabs>
          <w:tab w:val="left" w:pos="4560"/>
        </w:tabs>
        <w:spacing w:before="120"/>
        <w:jc w:val="center"/>
        <w:rPr>
          <w:sz w:val="20"/>
        </w:rPr>
      </w:pPr>
      <w:r>
        <w:rPr>
          <w:sz w:val="20"/>
        </w:rPr>
        <w:t>and</w:t>
      </w:r>
    </w:p>
    <w:p w:rsidR="00425758" w:rsidRDefault="00425758">
      <w:pPr>
        <w:pStyle w:val="yMiscellaneousBody"/>
        <w:tabs>
          <w:tab w:val="left" w:pos="4560"/>
        </w:tabs>
        <w:spacing w:before="120"/>
        <w:rPr>
          <w:sz w:val="20"/>
        </w:rPr>
      </w:pPr>
      <w:r>
        <w:rPr>
          <w:sz w:val="20"/>
        </w:rPr>
        <w:tab/>
        <w:t>Defendant.</w:t>
      </w:r>
    </w:p>
    <w:p w:rsidR="00425758" w:rsidRDefault="00425758">
      <w:pPr>
        <w:pStyle w:val="yMiscellaneousBody"/>
        <w:spacing w:before="120"/>
        <w:rPr>
          <w:sz w:val="20"/>
        </w:rPr>
      </w:pPr>
      <w:r>
        <w:rPr>
          <w:sz w:val="20"/>
        </w:rPr>
        <w:t>Let all parties concerned attend the Supreme Court on               day the</w:t>
      </w:r>
      <w:r>
        <w:rPr>
          <w:sz w:val="20"/>
        </w:rPr>
        <w:br/>
        <w:t xml:space="preserve">              day of                          , 20     , at               o’clock in the                noon, on the hearing of an application on the part of</w:t>
      </w:r>
    </w:p>
    <w:p w:rsidR="00425758" w:rsidRDefault="00425758">
      <w:pPr>
        <w:pStyle w:val="yMiscellaneousBody"/>
        <w:spacing w:before="120"/>
        <w:rPr>
          <w:sz w:val="20"/>
        </w:rPr>
      </w:pPr>
      <w:r>
        <w:rPr>
          <w:sz w:val="20"/>
        </w:rPr>
        <w:t>Dated the                         day of                               , 20      .</w:t>
      </w:r>
    </w:p>
    <w:p w:rsidR="00425758" w:rsidRDefault="00425758">
      <w:pPr>
        <w:pStyle w:val="yMiscellaneousBody"/>
        <w:spacing w:before="120"/>
        <w:rPr>
          <w:sz w:val="20"/>
        </w:rPr>
      </w:pPr>
      <w:r>
        <w:rPr>
          <w:sz w:val="20"/>
        </w:rPr>
        <w:t xml:space="preserve">This summons was taken out by                                   of                        </w:t>
      </w:r>
      <w:r>
        <w:rPr>
          <w:sz w:val="20"/>
        </w:rPr>
        <w:br/>
        <w:t xml:space="preserve">Solicitor for                              </w:t>
      </w:r>
    </w:p>
    <w:p w:rsidR="00425758" w:rsidRDefault="00425758">
      <w:pPr>
        <w:pStyle w:val="yMiscellaneousBody"/>
        <w:spacing w:before="120"/>
        <w:rPr>
          <w:sz w:val="20"/>
        </w:rPr>
      </w:pPr>
      <w:r>
        <w:rPr>
          <w:sz w:val="20"/>
        </w:rPr>
        <w:t>To</w:t>
      </w:r>
    </w:p>
    <w:p w:rsidR="00425758" w:rsidRDefault="00425758">
      <w:pPr>
        <w:pStyle w:val="yFootnotesection"/>
      </w:pPr>
      <w:r>
        <w:tab/>
        <w:t>[Form 77 amended: Gazette 28 Jun 2011 p. 2561; 16 Aug 2017 p. 4424.]</w:t>
      </w:r>
    </w:p>
    <w:p w:rsidR="00425758" w:rsidRDefault="00425758">
      <w:pPr>
        <w:pStyle w:val="yHeading5"/>
        <w:keepNext w:val="0"/>
        <w:keepLines w:val="0"/>
        <w:widowControl w:val="0"/>
        <w:spacing w:after="120"/>
      </w:pPr>
      <w:bookmarkStart w:id="1403" w:name="_Toc75863968"/>
      <w:r>
        <w:rPr>
          <w:rStyle w:val="CharSClsNo"/>
        </w:rPr>
        <w:t>78</w:t>
      </w:r>
      <w:r>
        <w:t>.</w:t>
      </w:r>
      <w:r>
        <w:tab/>
        <w:t>Order (general form) (O. 59 r. 10)</w:t>
      </w:r>
      <w:bookmarkEnd w:id="1403"/>
    </w:p>
    <w:p w:rsidR="00425758" w:rsidRDefault="00425758">
      <w:pPr>
        <w:pStyle w:val="yMiscellaneousBody"/>
        <w:spacing w:before="120"/>
        <w:rPr>
          <w:i/>
          <w:iCs/>
          <w:sz w:val="20"/>
        </w:rPr>
      </w:pPr>
      <w:r>
        <w:rPr>
          <w:i/>
          <w:iCs/>
          <w:sz w:val="20"/>
        </w:rPr>
        <w:t>(Heading as in cause or matter)</w:t>
      </w:r>
    </w:p>
    <w:p w:rsidR="00425758" w:rsidRDefault="00425758">
      <w:pPr>
        <w:pStyle w:val="yMiscellaneousBody"/>
        <w:rPr>
          <w:sz w:val="20"/>
        </w:rPr>
      </w:pPr>
      <w:r>
        <w:rPr>
          <w:sz w:val="20"/>
        </w:rPr>
        <w:t>Judicial officer(s):</w:t>
      </w:r>
    </w:p>
    <w:p w:rsidR="00425758" w:rsidRDefault="00425758">
      <w:pPr>
        <w:pStyle w:val="yMiscellaneousBody"/>
        <w:rPr>
          <w:sz w:val="20"/>
        </w:rPr>
      </w:pPr>
      <w:r>
        <w:rPr>
          <w:sz w:val="20"/>
        </w:rPr>
        <w:t>Date of order:</w:t>
      </w:r>
    </w:p>
    <w:p w:rsidR="00425758" w:rsidRDefault="00425758">
      <w:pPr>
        <w:pStyle w:val="yMiscellaneousBody"/>
        <w:rPr>
          <w:sz w:val="20"/>
        </w:rPr>
      </w:pPr>
      <w:r>
        <w:rPr>
          <w:sz w:val="20"/>
        </w:rPr>
        <w:t>The Court orders (or declares) —</w:t>
      </w:r>
    </w:p>
    <w:p w:rsidR="00425758" w:rsidRDefault="00425758">
      <w:pPr>
        <w:pStyle w:val="yMiscellaneousBody"/>
        <w:rPr>
          <w:sz w:val="20"/>
        </w:rPr>
      </w:pPr>
      <w:r>
        <w:rPr>
          <w:sz w:val="20"/>
        </w:rPr>
        <w:t>1.</w:t>
      </w:r>
    </w:p>
    <w:p w:rsidR="00425758" w:rsidRDefault="00425758">
      <w:pPr>
        <w:pStyle w:val="yMiscellaneousBody"/>
        <w:rPr>
          <w:sz w:val="20"/>
        </w:rPr>
      </w:pPr>
      <w:r>
        <w:rPr>
          <w:sz w:val="20"/>
        </w:rPr>
        <w:t>2.</w:t>
      </w:r>
    </w:p>
    <w:p w:rsidR="00425758" w:rsidRDefault="00425758">
      <w:pPr>
        <w:pStyle w:val="yMiscellaneousBody"/>
        <w:rPr>
          <w:sz w:val="20"/>
        </w:rPr>
      </w:pPr>
      <w:r>
        <w:rPr>
          <w:sz w:val="20"/>
        </w:rPr>
        <w:t>.....................................................</w:t>
      </w:r>
      <w:r>
        <w:rPr>
          <w:sz w:val="20"/>
        </w:rPr>
        <w:br/>
        <w:t>Judicial officer</w:t>
      </w:r>
    </w:p>
    <w:p w:rsidR="00425758" w:rsidRDefault="00425758">
      <w:pPr>
        <w:pStyle w:val="yFootnotesection"/>
      </w:pPr>
      <w:r>
        <w:tab/>
        <w:t>[Form 78 inserted: Gazette 28 Jul 2010 p. 3490.]</w:t>
      </w:r>
    </w:p>
    <w:p w:rsidR="00425758" w:rsidRDefault="00425758">
      <w:pPr>
        <w:pStyle w:val="yEdnotedivision"/>
        <w:outlineLvl w:val="9"/>
      </w:pPr>
      <w:r>
        <w:t>[Form 79 deleted: Gazette 21 Feb 2007 p. 563.]</w:t>
      </w:r>
    </w:p>
    <w:p w:rsidR="00425758" w:rsidRDefault="00425758">
      <w:pPr>
        <w:pStyle w:val="yHeading5"/>
        <w:keepLines w:val="0"/>
        <w:widowControl w:val="0"/>
        <w:spacing w:after="120"/>
      </w:pPr>
      <w:bookmarkStart w:id="1404" w:name="_Toc75863969"/>
      <w:r>
        <w:rPr>
          <w:rStyle w:val="CharSClsNo"/>
          <w:bCs/>
        </w:rPr>
        <w:lastRenderedPageBreak/>
        <w:t>80A</w:t>
      </w:r>
      <w:r>
        <w:t>.</w:t>
      </w:r>
      <w:r>
        <w:tab/>
        <w:t>Appeal notice (Registrar’s decision) (O. 60A r. 5(3))</w:t>
      </w:r>
      <w:bookmarkEnd w:id="14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357"/>
        <w:gridCol w:w="567"/>
        <w:gridCol w:w="142"/>
        <w:gridCol w:w="709"/>
        <w:gridCol w:w="425"/>
        <w:gridCol w:w="425"/>
        <w:gridCol w:w="567"/>
        <w:gridCol w:w="1268"/>
      </w:tblGrid>
      <w:tr w:rsidR="00425758">
        <w:trPr>
          <w:cantSplit/>
          <w:trHeight w:val="329"/>
        </w:trPr>
        <w:tc>
          <w:tcPr>
            <w:tcW w:w="3686" w:type="dxa"/>
            <w:gridSpan w:val="4"/>
            <w:vMerge w:val="restart"/>
          </w:tcPr>
          <w:p w:rsidR="00425758" w:rsidRDefault="00425758">
            <w:pPr>
              <w:pStyle w:val="yTableNAm"/>
              <w:keepNext/>
              <w:rPr>
                <w:sz w:val="20"/>
              </w:rPr>
            </w:pPr>
            <w:r>
              <w:rPr>
                <w:sz w:val="20"/>
              </w:rPr>
              <w:t>Supreme Court of Western Australia</w:t>
            </w:r>
          </w:p>
        </w:tc>
        <w:tc>
          <w:tcPr>
            <w:tcW w:w="3394" w:type="dxa"/>
            <w:gridSpan w:val="5"/>
            <w:tcBorders>
              <w:bottom w:val="nil"/>
            </w:tcBorders>
            <w:vAlign w:val="center"/>
          </w:tcPr>
          <w:p w:rsidR="00425758" w:rsidRDefault="00425758">
            <w:pPr>
              <w:pStyle w:val="yTableNAm"/>
              <w:keepNext/>
              <w:rPr>
                <w:sz w:val="20"/>
              </w:rPr>
            </w:pPr>
            <w:r>
              <w:rPr>
                <w:sz w:val="20"/>
              </w:rPr>
              <w:t>No:</w:t>
            </w:r>
          </w:p>
        </w:tc>
      </w:tr>
      <w:tr w:rsidR="00425758">
        <w:trPr>
          <w:cantSplit/>
          <w:trHeight w:val="328"/>
        </w:trPr>
        <w:tc>
          <w:tcPr>
            <w:tcW w:w="3686" w:type="dxa"/>
            <w:gridSpan w:val="4"/>
            <w:vMerge/>
            <w:tcBorders>
              <w:bottom w:val="nil"/>
            </w:tcBorders>
          </w:tcPr>
          <w:p w:rsidR="00425758" w:rsidRDefault="00425758">
            <w:pPr>
              <w:pStyle w:val="yTableNAm"/>
              <w:keepNext/>
              <w:spacing w:before="20"/>
              <w:rPr>
                <w:sz w:val="20"/>
              </w:rPr>
            </w:pPr>
          </w:p>
        </w:tc>
        <w:tc>
          <w:tcPr>
            <w:tcW w:w="3394" w:type="dxa"/>
            <w:gridSpan w:val="5"/>
            <w:tcBorders>
              <w:bottom w:val="nil"/>
            </w:tcBorders>
            <w:vAlign w:val="center"/>
          </w:tcPr>
          <w:p w:rsidR="00425758" w:rsidRDefault="00425758">
            <w:pPr>
              <w:pStyle w:val="yTableNAm"/>
              <w:keepNext/>
              <w:spacing w:before="20"/>
              <w:rPr>
                <w:sz w:val="20"/>
              </w:rPr>
            </w:pPr>
            <w:r>
              <w:rPr>
                <w:b/>
                <w:sz w:val="20"/>
              </w:rPr>
              <w:t>Notice of appeal from decision of Registrar</w:t>
            </w:r>
          </w:p>
        </w:tc>
      </w:tr>
      <w:tr w:rsidR="00425758">
        <w:trPr>
          <w:cantSplit/>
        </w:trPr>
        <w:tc>
          <w:tcPr>
            <w:tcW w:w="1620" w:type="dxa"/>
            <w:tcBorders>
              <w:bottom w:val="nil"/>
            </w:tcBorders>
          </w:tcPr>
          <w:p w:rsidR="00425758" w:rsidRDefault="00425758">
            <w:pPr>
              <w:pStyle w:val="yTableNAm"/>
              <w:rPr>
                <w:sz w:val="20"/>
              </w:rPr>
            </w:pPr>
            <w:r>
              <w:rPr>
                <w:sz w:val="20"/>
              </w:rPr>
              <w:t>Parties</w:t>
            </w:r>
          </w:p>
        </w:tc>
        <w:tc>
          <w:tcPr>
            <w:tcW w:w="5460" w:type="dxa"/>
            <w:gridSpan w:val="8"/>
            <w:tcBorders>
              <w:bottom w:val="nil"/>
            </w:tcBorders>
          </w:tcPr>
          <w:p w:rsidR="00425758" w:rsidRDefault="00425758">
            <w:pPr>
              <w:pStyle w:val="yTableNAm"/>
              <w:tabs>
                <w:tab w:val="clear" w:pos="567"/>
              </w:tabs>
              <w:jc w:val="right"/>
              <w:rPr>
                <w:sz w:val="20"/>
              </w:rPr>
            </w:pPr>
            <w:r>
              <w:rPr>
                <w:sz w:val="20"/>
              </w:rPr>
              <w:t>Plaintiff</w:t>
            </w:r>
          </w:p>
          <w:p w:rsidR="00425758" w:rsidRDefault="00425758">
            <w:pPr>
              <w:pStyle w:val="yTableNAm"/>
              <w:tabs>
                <w:tab w:val="clear" w:pos="567"/>
              </w:tabs>
              <w:jc w:val="right"/>
              <w:rPr>
                <w:sz w:val="20"/>
              </w:rPr>
            </w:pPr>
            <w:r>
              <w:rPr>
                <w:sz w:val="20"/>
              </w:rPr>
              <w:t>Defendant</w:t>
            </w:r>
          </w:p>
        </w:tc>
      </w:tr>
      <w:tr w:rsidR="00425758">
        <w:trPr>
          <w:cantSplit/>
        </w:trPr>
        <w:tc>
          <w:tcPr>
            <w:tcW w:w="1620" w:type="dxa"/>
            <w:tcBorders>
              <w:bottom w:val="single" w:sz="4" w:space="0" w:color="auto"/>
            </w:tcBorders>
          </w:tcPr>
          <w:p w:rsidR="00425758" w:rsidRDefault="00425758">
            <w:pPr>
              <w:pStyle w:val="yTableNAm"/>
              <w:rPr>
                <w:sz w:val="20"/>
              </w:rPr>
            </w:pPr>
            <w:r>
              <w:rPr>
                <w:sz w:val="20"/>
              </w:rPr>
              <w:t>Name of party appealing</w:t>
            </w:r>
          </w:p>
        </w:tc>
        <w:tc>
          <w:tcPr>
            <w:tcW w:w="5460" w:type="dxa"/>
            <w:gridSpan w:val="8"/>
            <w:tcBorders>
              <w:bottom w:val="single" w:sz="4" w:space="0" w:color="auto"/>
            </w:tcBorders>
          </w:tcPr>
          <w:p w:rsidR="00425758" w:rsidRDefault="00425758">
            <w:pPr>
              <w:pStyle w:val="yTableNAm"/>
              <w:rPr>
                <w:sz w:val="20"/>
              </w:rPr>
            </w:pPr>
          </w:p>
        </w:tc>
      </w:tr>
      <w:tr w:rsidR="00425758">
        <w:trPr>
          <w:cantSplit/>
        </w:trPr>
        <w:tc>
          <w:tcPr>
            <w:tcW w:w="1620" w:type="dxa"/>
            <w:tcBorders>
              <w:top w:val="single" w:sz="4" w:space="0" w:color="auto"/>
              <w:left w:val="single" w:sz="4" w:space="0" w:color="auto"/>
              <w:bottom w:val="single" w:sz="4" w:space="0" w:color="auto"/>
              <w:right w:val="single" w:sz="4" w:space="0" w:color="auto"/>
            </w:tcBorders>
          </w:tcPr>
          <w:p w:rsidR="00425758" w:rsidRDefault="00425758">
            <w:pPr>
              <w:pStyle w:val="yTableNAm"/>
              <w:rPr>
                <w:sz w:val="20"/>
              </w:rPr>
            </w:pPr>
            <w:r>
              <w:rPr>
                <w:sz w:val="20"/>
              </w:rPr>
              <w:t>Name of Registrar</w:t>
            </w:r>
          </w:p>
        </w:tc>
        <w:tc>
          <w:tcPr>
            <w:tcW w:w="5460" w:type="dxa"/>
            <w:gridSpan w:val="8"/>
            <w:tcBorders>
              <w:top w:val="single" w:sz="4" w:space="0" w:color="auto"/>
              <w:left w:val="single" w:sz="4" w:space="0" w:color="auto"/>
              <w:bottom w:val="single" w:sz="4" w:space="0" w:color="auto"/>
              <w:right w:val="single" w:sz="4" w:space="0" w:color="auto"/>
            </w:tcBorders>
          </w:tcPr>
          <w:p w:rsidR="00425758" w:rsidRDefault="00425758">
            <w:pPr>
              <w:pStyle w:val="yTableNAm"/>
              <w:rPr>
                <w:sz w:val="20"/>
              </w:rPr>
            </w:pPr>
          </w:p>
        </w:tc>
      </w:tr>
      <w:tr w:rsidR="00425758">
        <w:tc>
          <w:tcPr>
            <w:tcW w:w="1620" w:type="dxa"/>
            <w:tcBorders>
              <w:top w:val="single" w:sz="4" w:space="0" w:color="auto"/>
              <w:bottom w:val="single" w:sz="4" w:space="0" w:color="auto"/>
            </w:tcBorders>
          </w:tcPr>
          <w:p w:rsidR="00425758" w:rsidRDefault="00425758">
            <w:pPr>
              <w:pStyle w:val="yTableNAm"/>
              <w:rPr>
                <w:sz w:val="20"/>
              </w:rPr>
            </w:pPr>
            <w:r>
              <w:rPr>
                <w:sz w:val="20"/>
              </w:rPr>
              <w:t>Date of decision</w:t>
            </w:r>
          </w:p>
        </w:tc>
        <w:tc>
          <w:tcPr>
            <w:tcW w:w="5460" w:type="dxa"/>
            <w:gridSpan w:val="8"/>
            <w:tcBorders>
              <w:top w:val="single" w:sz="4" w:space="0" w:color="auto"/>
              <w:bottom w:val="single" w:sz="4" w:space="0" w:color="auto"/>
            </w:tcBorders>
          </w:tcPr>
          <w:p w:rsidR="00425758" w:rsidRDefault="00425758">
            <w:pPr>
              <w:pStyle w:val="yTableNAm"/>
              <w:rPr>
                <w:sz w:val="20"/>
              </w:rPr>
            </w:pPr>
          </w:p>
        </w:tc>
      </w:tr>
      <w:tr w:rsidR="00425758">
        <w:tc>
          <w:tcPr>
            <w:tcW w:w="1620" w:type="dxa"/>
          </w:tcPr>
          <w:p w:rsidR="00425758" w:rsidRDefault="00425758">
            <w:pPr>
              <w:pStyle w:val="yTableNAm"/>
              <w:rPr>
                <w:sz w:val="20"/>
              </w:rPr>
            </w:pPr>
            <w:r>
              <w:rPr>
                <w:sz w:val="20"/>
              </w:rPr>
              <w:t>Last date for appealing</w:t>
            </w:r>
            <w:r>
              <w:rPr>
                <w:sz w:val="20"/>
                <w:vertAlign w:val="superscript"/>
              </w:rPr>
              <w:t>1</w:t>
            </w:r>
          </w:p>
        </w:tc>
        <w:tc>
          <w:tcPr>
            <w:tcW w:w="5460" w:type="dxa"/>
            <w:gridSpan w:val="8"/>
          </w:tcPr>
          <w:p w:rsidR="00425758" w:rsidRDefault="00425758">
            <w:pPr>
              <w:pStyle w:val="yTableNAm"/>
              <w:rPr>
                <w:sz w:val="20"/>
              </w:rPr>
            </w:pPr>
            <w:r>
              <w:rPr>
                <w:sz w:val="20"/>
              </w:rPr>
              <w:t>Last date:</w:t>
            </w:r>
          </w:p>
          <w:p w:rsidR="00425758" w:rsidRDefault="00425758">
            <w:pPr>
              <w:pStyle w:val="yTableNAm"/>
              <w:rPr>
                <w:sz w:val="20"/>
              </w:rPr>
            </w:pPr>
            <w:r>
              <w:rPr>
                <w:sz w:val="20"/>
              </w:rPr>
              <w:t>Is an extension of time needed?  Yes/No</w:t>
            </w:r>
          </w:p>
        </w:tc>
      </w:tr>
      <w:tr w:rsidR="00425758">
        <w:trPr>
          <w:cantSplit/>
        </w:trPr>
        <w:tc>
          <w:tcPr>
            <w:tcW w:w="1620" w:type="dxa"/>
          </w:tcPr>
          <w:p w:rsidR="00425758" w:rsidRDefault="00425758">
            <w:pPr>
              <w:pStyle w:val="yTableNAm"/>
              <w:rPr>
                <w:sz w:val="20"/>
              </w:rPr>
            </w:pPr>
            <w:r>
              <w:rPr>
                <w:sz w:val="20"/>
              </w:rPr>
              <w:t>Orders or directions appealed against</w:t>
            </w:r>
          </w:p>
        </w:tc>
        <w:tc>
          <w:tcPr>
            <w:tcW w:w="5460" w:type="dxa"/>
            <w:gridSpan w:val="8"/>
          </w:tcPr>
          <w:p w:rsidR="00425758" w:rsidRDefault="00425758">
            <w:pPr>
              <w:pStyle w:val="yTableNAm"/>
              <w:rPr>
                <w:sz w:val="20"/>
              </w:rPr>
            </w:pPr>
            <w:r>
              <w:rPr>
                <w:sz w:val="20"/>
              </w:rPr>
              <w:t>1.</w:t>
            </w:r>
          </w:p>
          <w:p w:rsidR="00425758" w:rsidRDefault="00425758">
            <w:pPr>
              <w:pStyle w:val="yTableNAm"/>
              <w:rPr>
                <w:sz w:val="20"/>
              </w:rPr>
            </w:pPr>
            <w:r>
              <w:rPr>
                <w:sz w:val="20"/>
              </w:rPr>
              <w:t>2.</w:t>
            </w:r>
          </w:p>
          <w:p w:rsidR="00425758" w:rsidRDefault="00425758">
            <w:pPr>
              <w:pStyle w:val="yTableNAm"/>
              <w:rPr>
                <w:sz w:val="20"/>
              </w:rPr>
            </w:pPr>
            <w:r>
              <w:rPr>
                <w:sz w:val="20"/>
              </w:rPr>
              <w:t>3.</w:t>
            </w:r>
          </w:p>
        </w:tc>
      </w:tr>
      <w:tr w:rsidR="00425758">
        <w:trPr>
          <w:cantSplit/>
        </w:trPr>
        <w:tc>
          <w:tcPr>
            <w:tcW w:w="1620" w:type="dxa"/>
          </w:tcPr>
          <w:p w:rsidR="00425758" w:rsidRDefault="00425758">
            <w:pPr>
              <w:pStyle w:val="yTableNAm"/>
              <w:rPr>
                <w:sz w:val="20"/>
              </w:rPr>
            </w:pPr>
            <w:r>
              <w:rPr>
                <w:sz w:val="20"/>
              </w:rPr>
              <w:t>Grounds of appeal</w:t>
            </w:r>
          </w:p>
        </w:tc>
        <w:tc>
          <w:tcPr>
            <w:tcW w:w="5460" w:type="dxa"/>
            <w:gridSpan w:val="8"/>
          </w:tcPr>
          <w:p w:rsidR="00425758" w:rsidRDefault="00425758">
            <w:pPr>
              <w:pStyle w:val="yTableNAm"/>
              <w:rPr>
                <w:sz w:val="20"/>
              </w:rPr>
            </w:pPr>
          </w:p>
        </w:tc>
      </w:tr>
      <w:tr w:rsidR="00425758">
        <w:trPr>
          <w:cantSplit/>
        </w:trPr>
        <w:tc>
          <w:tcPr>
            <w:tcW w:w="1620" w:type="dxa"/>
            <w:tcBorders>
              <w:bottom w:val="nil"/>
            </w:tcBorders>
          </w:tcPr>
          <w:p w:rsidR="00425758" w:rsidRDefault="00425758">
            <w:pPr>
              <w:pStyle w:val="yTableNAm"/>
              <w:rPr>
                <w:sz w:val="20"/>
              </w:rPr>
            </w:pPr>
            <w:r>
              <w:rPr>
                <w:sz w:val="20"/>
              </w:rPr>
              <w:t>Orders sought on appeal</w:t>
            </w:r>
          </w:p>
        </w:tc>
        <w:tc>
          <w:tcPr>
            <w:tcW w:w="5460" w:type="dxa"/>
            <w:gridSpan w:val="8"/>
            <w:tcBorders>
              <w:bottom w:val="nil"/>
            </w:tcBorders>
          </w:tcPr>
          <w:p w:rsidR="00425758" w:rsidRDefault="00425758">
            <w:pPr>
              <w:pStyle w:val="yTableNAm"/>
              <w:rPr>
                <w:sz w:val="20"/>
              </w:rPr>
            </w:pPr>
            <w:r>
              <w:rPr>
                <w:sz w:val="20"/>
              </w:rPr>
              <w:t>1.</w:t>
            </w:r>
          </w:p>
          <w:p w:rsidR="00425758" w:rsidRDefault="00425758">
            <w:pPr>
              <w:pStyle w:val="yTableNAm"/>
              <w:rPr>
                <w:sz w:val="20"/>
              </w:rPr>
            </w:pPr>
            <w:r>
              <w:rPr>
                <w:sz w:val="20"/>
              </w:rPr>
              <w:t>2.</w:t>
            </w:r>
          </w:p>
          <w:p w:rsidR="00425758" w:rsidRDefault="00425758">
            <w:pPr>
              <w:pStyle w:val="yTableNAm"/>
              <w:rPr>
                <w:sz w:val="20"/>
              </w:rPr>
            </w:pPr>
            <w:r>
              <w:rPr>
                <w:sz w:val="20"/>
              </w:rPr>
              <w:t>3.</w:t>
            </w:r>
          </w:p>
        </w:tc>
      </w:tr>
      <w:tr w:rsidR="00425758">
        <w:trPr>
          <w:cantSplit/>
        </w:trPr>
        <w:tc>
          <w:tcPr>
            <w:tcW w:w="1620" w:type="dxa"/>
            <w:tcBorders>
              <w:bottom w:val="nil"/>
            </w:tcBorders>
          </w:tcPr>
          <w:p w:rsidR="00425758" w:rsidRDefault="00425758">
            <w:pPr>
              <w:pStyle w:val="yTableNAm"/>
              <w:rPr>
                <w:sz w:val="20"/>
              </w:rPr>
            </w:pPr>
            <w:r>
              <w:rPr>
                <w:sz w:val="20"/>
              </w:rPr>
              <w:t>Directions sought to facilitate appeal</w:t>
            </w:r>
            <w:r>
              <w:rPr>
                <w:sz w:val="20"/>
                <w:vertAlign w:val="superscript"/>
              </w:rPr>
              <w:t>2</w:t>
            </w:r>
          </w:p>
        </w:tc>
        <w:tc>
          <w:tcPr>
            <w:tcW w:w="5460" w:type="dxa"/>
            <w:gridSpan w:val="8"/>
            <w:tcBorders>
              <w:bottom w:val="nil"/>
            </w:tcBorders>
          </w:tcPr>
          <w:p w:rsidR="00425758" w:rsidRDefault="00425758">
            <w:pPr>
              <w:pStyle w:val="yTableNAm"/>
              <w:rPr>
                <w:sz w:val="20"/>
              </w:rPr>
            </w:pPr>
            <w:r>
              <w:rPr>
                <w:sz w:val="20"/>
              </w:rPr>
              <w:t>1.</w:t>
            </w:r>
          </w:p>
          <w:p w:rsidR="00425758" w:rsidRDefault="00425758">
            <w:pPr>
              <w:pStyle w:val="yTableNAm"/>
              <w:rPr>
                <w:sz w:val="20"/>
              </w:rPr>
            </w:pPr>
            <w:r>
              <w:rPr>
                <w:sz w:val="20"/>
              </w:rPr>
              <w:t>2.</w:t>
            </w:r>
          </w:p>
          <w:p w:rsidR="00425758" w:rsidRDefault="00425758">
            <w:pPr>
              <w:pStyle w:val="yTableNAm"/>
              <w:rPr>
                <w:sz w:val="20"/>
              </w:rPr>
            </w:pPr>
            <w:r>
              <w:rPr>
                <w:sz w:val="20"/>
              </w:rPr>
              <w:t>3.</w:t>
            </w:r>
          </w:p>
        </w:tc>
      </w:tr>
      <w:tr w:rsidR="00425758">
        <w:trPr>
          <w:cantSplit/>
        </w:trPr>
        <w:tc>
          <w:tcPr>
            <w:tcW w:w="1620" w:type="dxa"/>
            <w:tcBorders>
              <w:bottom w:val="nil"/>
            </w:tcBorders>
          </w:tcPr>
          <w:p w:rsidR="00425758" w:rsidRDefault="00425758">
            <w:pPr>
              <w:pStyle w:val="yTableNAm"/>
              <w:rPr>
                <w:sz w:val="20"/>
              </w:rPr>
            </w:pPr>
            <w:r>
              <w:rPr>
                <w:sz w:val="20"/>
              </w:rPr>
              <w:t>Dates when unavailable for hearing of appeal</w:t>
            </w:r>
            <w:r>
              <w:rPr>
                <w:sz w:val="20"/>
                <w:vertAlign w:val="superscript"/>
              </w:rPr>
              <w:t>3</w:t>
            </w:r>
          </w:p>
        </w:tc>
        <w:tc>
          <w:tcPr>
            <w:tcW w:w="5460" w:type="dxa"/>
            <w:gridSpan w:val="8"/>
            <w:tcBorders>
              <w:bottom w:val="nil"/>
            </w:tcBorders>
          </w:tcPr>
          <w:p w:rsidR="00425758" w:rsidRDefault="00425758">
            <w:pPr>
              <w:pStyle w:val="yTableNAm"/>
              <w:rPr>
                <w:sz w:val="20"/>
              </w:rPr>
            </w:pPr>
          </w:p>
        </w:tc>
      </w:tr>
      <w:tr w:rsidR="00425758">
        <w:trPr>
          <w:cantSplit/>
        </w:trPr>
        <w:tc>
          <w:tcPr>
            <w:tcW w:w="1620" w:type="dxa"/>
            <w:tcBorders>
              <w:bottom w:val="nil"/>
            </w:tcBorders>
          </w:tcPr>
          <w:p w:rsidR="00425758" w:rsidRDefault="00425758">
            <w:pPr>
              <w:pStyle w:val="yTableNAm"/>
              <w:rPr>
                <w:sz w:val="20"/>
              </w:rPr>
            </w:pPr>
            <w:r>
              <w:rPr>
                <w:sz w:val="20"/>
              </w:rPr>
              <w:t>Date of notice</w:t>
            </w:r>
          </w:p>
        </w:tc>
        <w:tc>
          <w:tcPr>
            <w:tcW w:w="1924" w:type="dxa"/>
            <w:gridSpan w:val="2"/>
            <w:tcBorders>
              <w:bottom w:val="nil"/>
            </w:tcBorders>
          </w:tcPr>
          <w:p w:rsidR="00425758" w:rsidRDefault="00425758">
            <w:pPr>
              <w:pStyle w:val="zyTableNAm"/>
              <w:spacing w:before="20"/>
              <w:rPr>
                <w:sz w:val="20"/>
              </w:rPr>
            </w:pPr>
          </w:p>
        </w:tc>
        <w:tc>
          <w:tcPr>
            <w:tcW w:w="1276" w:type="dxa"/>
            <w:gridSpan w:val="3"/>
            <w:tcBorders>
              <w:bottom w:val="nil"/>
            </w:tcBorders>
          </w:tcPr>
          <w:p w:rsidR="00425758" w:rsidRDefault="00425758">
            <w:pPr>
              <w:pStyle w:val="yTableNAm"/>
              <w:rPr>
                <w:sz w:val="20"/>
              </w:rPr>
            </w:pPr>
            <w:r>
              <w:rPr>
                <w:sz w:val="20"/>
              </w:rPr>
              <w:t>Date of filing</w:t>
            </w:r>
          </w:p>
        </w:tc>
        <w:tc>
          <w:tcPr>
            <w:tcW w:w="2260" w:type="dxa"/>
            <w:gridSpan w:val="3"/>
            <w:tcBorders>
              <w:bottom w:val="nil"/>
            </w:tcBorders>
          </w:tcPr>
          <w:p w:rsidR="00425758" w:rsidRDefault="00425758">
            <w:pPr>
              <w:pStyle w:val="yTableNAm"/>
              <w:rPr>
                <w:sz w:val="20"/>
              </w:rPr>
            </w:pPr>
          </w:p>
        </w:tc>
      </w:tr>
      <w:tr w:rsidR="00425758">
        <w:trPr>
          <w:cantSplit/>
        </w:trPr>
        <w:tc>
          <w:tcPr>
            <w:tcW w:w="1620" w:type="dxa"/>
            <w:tcBorders>
              <w:top w:val="single" w:sz="4" w:space="0" w:color="auto"/>
              <w:bottom w:val="single" w:sz="4" w:space="0" w:color="auto"/>
            </w:tcBorders>
          </w:tcPr>
          <w:p w:rsidR="00425758" w:rsidRDefault="00425758">
            <w:pPr>
              <w:pStyle w:val="yTableNAm"/>
              <w:rPr>
                <w:sz w:val="20"/>
              </w:rPr>
            </w:pPr>
            <w:r>
              <w:rPr>
                <w:sz w:val="20"/>
              </w:rPr>
              <w:t>Signature of party appealing or lawyer</w:t>
            </w:r>
          </w:p>
        </w:tc>
        <w:tc>
          <w:tcPr>
            <w:tcW w:w="4192" w:type="dxa"/>
            <w:gridSpan w:val="7"/>
            <w:tcBorders>
              <w:top w:val="single" w:sz="4" w:space="0" w:color="auto"/>
              <w:bottom w:val="single" w:sz="4" w:space="0" w:color="auto"/>
            </w:tcBorders>
          </w:tcPr>
          <w:p w:rsidR="00425758" w:rsidRDefault="00425758">
            <w:pPr>
              <w:pStyle w:val="yTableNAm"/>
              <w:rPr>
                <w:sz w:val="20"/>
              </w:rPr>
            </w:pPr>
          </w:p>
          <w:p w:rsidR="00425758" w:rsidRDefault="00425758">
            <w:pPr>
              <w:pStyle w:val="yTableNAm"/>
              <w:rPr>
                <w:sz w:val="20"/>
              </w:rPr>
            </w:pPr>
          </w:p>
          <w:p w:rsidR="00425758" w:rsidRDefault="00425758">
            <w:pPr>
              <w:pStyle w:val="yTableNAm"/>
              <w:rPr>
                <w:sz w:val="20"/>
              </w:rPr>
            </w:pPr>
            <w:r>
              <w:rPr>
                <w:sz w:val="20"/>
              </w:rPr>
              <w:t>Party appealing/Lawyer</w:t>
            </w:r>
          </w:p>
        </w:tc>
        <w:tc>
          <w:tcPr>
            <w:tcW w:w="1268" w:type="dxa"/>
            <w:tcBorders>
              <w:top w:val="single" w:sz="4" w:space="0" w:color="auto"/>
              <w:bottom w:val="single" w:sz="4" w:space="0" w:color="auto"/>
            </w:tcBorders>
          </w:tcPr>
          <w:p w:rsidR="00425758" w:rsidRDefault="00425758">
            <w:pPr>
              <w:pStyle w:val="yTableNAm"/>
              <w:rPr>
                <w:sz w:val="20"/>
              </w:rPr>
            </w:pPr>
            <w:r>
              <w:rPr>
                <w:sz w:val="20"/>
              </w:rPr>
              <w:t>Date:</w:t>
            </w:r>
          </w:p>
        </w:tc>
      </w:tr>
      <w:tr w:rsidR="00425758">
        <w:trPr>
          <w:cantSplit/>
        </w:trPr>
        <w:tc>
          <w:tcPr>
            <w:tcW w:w="1620" w:type="dxa"/>
            <w:vMerge w:val="restart"/>
            <w:tcBorders>
              <w:top w:val="single" w:sz="4" w:space="0" w:color="auto"/>
            </w:tcBorders>
          </w:tcPr>
          <w:p w:rsidR="00425758" w:rsidRDefault="00425758">
            <w:pPr>
              <w:pStyle w:val="yTableNAm"/>
              <w:rPr>
                <w:sz w:val="20"/>
              </w:rPr>
            </w:pPr>
            <w:r>
              <w:rPr>
                <w:sz w:val="20"/>
              </w:rPr>
              <w:t>Contact details of party appealing or lawyer</w:t>
            </w:r>
          </w:p>
        </w:tc>
        <w:tc>
          <w:tcPr>
            <w:tcW w:w="1357" w:type="dxa"/>
            <w:tcBorders>
              <w:top w:val="single" w:sz="4" w:space="0" w:color="auto"/>
              <w:bottom w:val="single" w:sz="4" w:space="0" w:color="auto"/>
            </w:tcBorders>
          </w:tcPr>
          <w:p w:rsidR="00425758" w:rsidRDefault="00425758">
            <w:pPr>
              <w:pStyle w:val="yTableNAm"/>
              <w:rPr>
                <w:sz w:val="20"/>
              </w:rPr>
            </w:pPr>
            <w:r>
              <w:rPr>
                <w:sz w:val="20"/>
              </w:rPr>
              <w:t>Name</w:t>
            </w:r>
          </w:p>
        </w:tc>
        <w:tc>
          <w:tcPr>
            <w:tcW w:w="4103" w:type="dxa"/>
            <w:gridSpan w:val="7"/>
            <w:tcBorders>
              <w:top w:val="single" w:sz="4" w:space="0" w:color="auto"/>
              <w:bottom w:val="single" w:sz="4" w:space="0" w:color="auto"/>
            </w:tcBorders>
          </w:tcPr>
          <w:p w:rsidR="00425758" w:rsidRDefault="00425758">
            <w:pPr>
              <w:pStyle w:val="yTableNAm"/>
              <w:rPr>
                <w:sz w:val="20"/>
              </w:rPr>
            </w:pPr>
          </w:p>
        </w:tc>
      </w:tr>
      <w:tr w:rsidR="00425758">
        <w:trPr>
          <w:cantSplit/>
        </w:trPr>
        <w:tc>
          <w:tcPr>
            <w:tcW w:w="1620" w:type="dxa"/>
            <w:vMerge/>
          </w:tcPr>
          <w:p w:rsidR="00425758" w:rsidRDefault="00425758">
            <w:pPr>
              <w:pStyle w:val="yTableNAm"/>
              <w:spacing w:before="0"/>
              <w:rPr>
                <w:sz w:val="20"/>
              </w:rPr>
            </w:pPr>
          </w:p>
        </w:tc>
        <w:tc>
          <w:tcPr>
            <w:tcW w:w="1357" w:type="dxa"/>
            <w:tcBorders>
              <w:top w:val="single" w:sz="4" w:space="0" w:color="auto"/>
              <w:bottom w:val="single" w:sz="4" w:space="0" w:color="auto"/>
            </w:tcBorders>
          </w:tcPr>
          <w:p w:rsidR="00425758" w:rsidRDefault="00425758">
            <w:pPr>
              <w:pStyle w:val="yTableNAm"/>
              <w:spacing w:before="0"/>
              <w:rPr>
                <w:sz w:val="20"/>
              </w:rPr>
            </w:pPr>
            <w:r>
              <w:rPr>
                <w:sz w:val="20"/>
              </w:rPr>
              <w:t>Firm</w:t>
            </w:r>
          </w:p>
        </w:tc>
        <w:tc>
          <w:tcPr>
            <w:tcW w:w="4103" w:type="dxa"/>
            <w:gridSpan w:val="7"/>
            <w:tcBorders>
              <w:top w:val="single" w:sz="4" w:space="0" w:color="auto"/>
              <w:bottom w:val="single" w:sz="4" w:space="0" w:color="auto"/>
            </w:tcBorders>
          </w:tcPr>
          <w:p w:rsidR="00425758" w:rsidRDefault="00425758">
            <w:pPr>
              <w:pStyle w:val="yTableNAm"/>
              <w:rPr>
                <w:sz w:val="20"/>
              </w:rPr>
            </w:pPr>
          </w:p>
        </w:tc>
      </w:tr>
      <w:tr w:rsidR="00425758">
        <w:trPr>
          <w:cantSplit/>
        </w:trPr>
        <w:tc>
          <w:tcPr>
            <w:tcW w:w="1620" w:type="dxa"/>
            <w:vMerge/>
          </w:tcPr>
          <w:p w:rsidR="00425758" w:rsidRDefault="00425758">
            <w:pPr>
              <w:pStyle w:val="yTableNAm"/>
              <w:spacing w:before="0"/>
              <w:rPr>
                <w:sz w:val="20"/>
              </w:rPr>
            </w:pPr>
          </w:p>
        </w:tc>
        <w:tc>
          <w:tcPr>
            <w:tcW w:w="1357" w:type="dxa"/>
            <w:tcBorders>
              <w:top w:val="single" w:sz="4" w:space="0" w:color="auto"/>
              <w:bottom w:val="single" w:sz="4" w:space="0" w:color="auto"/>
            </w:tcBorders>
          </w:tcPr>
          <w:p w:rsidR="00425758" w:rsidRDefault="00425758">
            <w:pPr>
              <w:pStyle w:val="yTableNAm"/>
              <w:spacing w:before="0"/>
              <w:rPr>
                <w:sz w:val="20"/>
              </w:rPr>
            </w:pPr>
            <w:r>
              <w:rPr>
                <w:sz w:val="20"/>
              </w:rPr>
              <w:t>Address</w:t>
            </w:r>
          </w:p>
        </w:tc>
        <w:tc>
          <w:tcPr>
            <w:tcW w:w="4103" w:type="dxa"/>
            <w:gridSpan w:val="7"/>
            <w:tcBorders>
              <w:top w:val="single" w:sz="4" w:space="0" w:color="auto"/>
              <w:bottom w:val="single" w:sz="4" w:space="0" w:color="auto"/>
            </w:tcBorders>
          </w:tcPr>
          <w:p w:rsidR="00425758" w:rsidRDefault="00425758">
            <w:pPr>
              <w:pStyle w:val="yTableNAm"/>
              <w:rPr>
                <w:sz w:val="20"/>
              </w:rPr>
            </w:pPr>
          </w:p>
        </w:tc>
      </w:tr>
      <w:tr w:rsidR="00425758">
        <w:trPr>
          <w:cantSplit/>
        </w:trPr>
        <w:tc>
          <w:tcPr>
            <w:tcW w:w="1620" w:type="dxa"/>
            <w:vMerge/>
          </w:tcPr>
          <w:p w:rsidR="00425758" w:rsidRDefault="00425758">
            <w:pPr>
              <w:pStyle w:val="yTableNAm"/>
              <w:spacing w:before="0"/>
              <w:rPr>
                <w:sz w:val="20"/>
              </w:rPr>
            </w:pPr>
          </w:p>
        </w:tc>
        <w:tc>
          <w:tcPr>
            <w:tcW w:w="1357" w:type="dxa"/>
            <w:tcBorders>
              <w:top w:val="single" w:sz="4" w:space="0" w:color="auto"/>
              <w:bottom w:val="single" w:sz="4" w:space="0" w:color="auto"/>
            </w:tcBorders>
          </w:tcPr>
          <w:p w:rsidR="00425758" w:rsidRDefault="00425758">
            <w:pPr>
              <w:pStyle w:val="yTableNAm"/>
              <w:spacing w:before="0"/>
              <w:rPr>
                <w:sz w:val="20"/>
              </w:rPr>
            </w:pPr>
            <w:r>
              <w:rPr>
                <w:sz w:val="20"/>
              </w:rPr>
              <w:t>Phone</w:t>
            </w:r>
          </w:p>
        </w:tc>
        <w:tc>
          <w:tcPr>
            <w:tcW w:w="1418" w:type="dxa"/>
            <w:gridSpan w:val="3"/>
            <w:tcBorders>
              <w:top w:val="single" w:sz="4" w:space="0" w:color="auto"/>
              <w:bottom w:val="single" w:sz="4" w:space="0" w:color="auto"/>
            </w:tcBorders>
          </w:tcPr>
          <w:p w:rsidR="00425758" w:rsidRDefault="00425758">
            <w:pPr>
              <w:pStyle w:val="zyTableNAm"/>
              <w:spacing w:before="0"/>
              <w:rPr>
                <w:sz w:val="20"/>
              </w:rPr>
            </w:pPr>
          </w:p>
        </w:tc>
        <w:tc>
          <w:tcPr>
            <w:tcW w:w="850" w:type="dxa"/>
            <w:gridSpan w:val="2"/>
            <w:tcBorders>
              <w:top w:val="single" w:sz="4" w:space="0" w:color="auto"/>
              <w:bottom w:val="single" w:sz="4" w:space="0" w:color="auto"/>
            </w:tcBorders>
          </w:tcPr>
          <w:p w:rsidR="00425758" w:rsidRDefault="00425758">
            <w:pPr>
              <w:pStyle w:val="yTableNAm"/>
              <w:rPr>
                <w:sz w:val="20"/>
              </w:rPr>
            </w:pPr>
            <w:r>
              <w:rPr>
                <w:sz w:val="20"/>
              </w:rPr>
              <w:t>Fax</w:t>
            </w:r>
          </w:p>
        </w:tc>
        <w:tc>
          <w:tcPr>
            <w:tcW w:w="1835" w:type="dxa"/>
            <w:gridSpan w:val="2"/>
            <w:tcBorders>
              <w:top w:val="single" w:sz="4" w:space="0" w:color="auto"/>
              <w:bottom w:val="single" w:sz="4" w:space="0" w:color="auto"/>
            </w:tcBorders>
          </w:tcPr>
          <w:p w:rsidR="00425758" w:rsidRDefault="00425758">
            <w:pPr>
              <w:pStyle w:val="yTableNAm"/>
              <w:rPr>
                <w:sz w:val="20"/>
              </w:rPr>
            </w:pPr>
          </w:p>
        </w:tc>
      </w:tr>
      <w:tr w:rsidR="00425758">
        <w:trPr>
          <w:cantSplit/>
        </w:trPr>
        <w:tc>
          <w:tcPr>
            <w:tcW w:w="1620" w:type="dxa"/>
            <w:vMerge/>
          </w:tcPr>
          <w:p w:rsidR="00425758" w:rsidRDefault="00425758">
            <w:pPr>
              <w:pStyle w:val="yTableNAm"/>
              <w:spacing w:before="0"/>
              <w:rPr>
                <w:sz w:val="20"/>
              </w:rPr>
            </w:pPr>
          </w:p>
        </w:tc>
        <w:tc>
          <w:tcPr>
            <w:tcW w:w="1357" w:type="dxa"/>
            <w:tcBorders>
              <w:top w:val="single" w:sz="4" w:space="0" w:color="auto"/>
              <w:bottom w:val="single" w:sz="4" w:space="0" w:color="auto"/>
            </w:tcBorders>
          </w:tcPr>
          <w:p w:rsidR="00425758" w:rsidRDefault="00425758">
            <w:pPr>
              <w:pStyle w:val="yTableNAm"/>
              <w:spacing w:before="0"/>
              <w:rPr>
                <w:sz w:val="20"/>
              </w:rPr>
            </w:pPr>
            <w:r>
              <w:rPr>
                <w:sz w:val="20"/>
              </w:rPr>
              <w:t>Email</w:t>
            </w:r>
          </w:p>
        </w:tc>
        <w:tc>
          <w:tcPr>
            <w:tcW w:w="4103" w:type="dxa"/>
            <w:gridSpan w:val="7"/>
            <w:tcBorders>
              <w:top w:val="single" w:sz="4" w:space="0" w:color="auto"/>
              <w:bottom w:val="single" w:sz="4" w:space="0" w:color="auto"/>
            </w:tcBorders>
          </w:tcPr>
          <w:p w:rsidR="00425758" w:rsidRDefault="00425758">
            <w:pPr>
              <w:pStyle w:val="yTableNAm"/>
              <w:rPr>
                <w:sz w:val="20"/>
              </w:rPr>
            </w:pPr>
          </w:p>
        </w:tc>
      </w:tr>
      <w:tr w:rsidR="00425758">
        <w:trPr>
          <w:cantSplit/>
        </w:trPr>
        <w:tc>
          <w:tcPr>
            <w:tcW w:w="1620" w:type="dxa"/>
            <w:vMerge/>
            <w:tcBorders>
              <w:bottom w:val="single" w:sz="4" w:space="0" w:color="auto"/>
            </w:tcBorders>
          </w:tcPr>
          <w:p w:rsidR="00425758" w:rsidRDefault="00425758">
            <w:pPr>
              <w:pStyle w:val="yTableNAm"/>
              <w:spacing w:before="0"/>
              <w:rPr>
                <w:sz w:val="20"/>
              </w:rPr>
            </w:pPr>
          </w:p>
        </w:tc>
        <w:tc>
          <w:tcPr>
            <w:tcW w:w="1357" w:type="dxa"/>
            <w:tcBorders>
              <w:top w:val="single" w:sz="4" w:space="0" w:color="auto"/>
              <w:bottom w:val="single" w:sz="4" w:space="0" w:color="auto"/>
            </w:tcBorders>
          </w:tcPr>
          <w:p w:rsidR="00425758" w:rsidRDefault="00425758">
            <w:pPr>
              <w:pStyle w:val="yTableNAm"/>
              <w:spacing w:before="0"/>
              <w:rPr>
                <w:sz w:val="20"/>
              </w:rPr>
            </w:pPr>
            <w:r>
              <w:rPr>
                <w:sz w:val="20"/>
              </w:rPr>
              <w:t>Reference</w:t>
            </w:r>
          </w:p>
        </w:tc>
        <w:tc>
          <w:tcPr>
            <w:tcW w:w="4103" w:type="dxa"/>
            <w:gridSpan w:val="7"/>
            <w:tcBorders>
              <w:top w:val="single" w:sz="4" w:space="0" w:color="auto"/>
              <w:bottom w:val="single" w:sz="4" w:space="0" w:color="auto"/>
            </w:tcBorders>
          </w:tcPr>
          <w:p w:rsidR="00425758" w:rsidRDefault="00425758">
            <w:pPr>
              <w:pStyle w:val="yTableNAm"/>
              <w:rPr>
                <w:sz w:val="20"/>
              </w:rPr>
            </w:pPr>
          </w:p>
        </w:tc>
      </w:tr>
    </w:tbl>
    <w:p w:rsidR="00425758" w:rsidRDefault="00425758">
      <w:pPr>
        <w:pStyle w:val="yMiscellaneousBody"/>
        <w:ind w:left="540" w:hanging="540"/>
        <w:rPr>
          <w:sz w:val="20"/>
        </w:rPr>
      </w:pPr>
      <w:r>
        <w:rPr>
          <w:sz w:val="20"/>
        </w:rPr>
        <w:t>Notes to Form No. 80A —</w:t>
      </w:r>
    </w:p>
    <w:p w:rsidR="00425758" w:rsidRDefault="00425758">
      <w:pPr>
        <w:pStyle w:val="yMiscellaneousBody"/>
        <w:spacing w:before="0"/>
        <w:ind w:left="540" w:hanging="540"/>
        <w:rPr>
          <w:sz w:val="20"/>
        </w:rPr>
      </w:pPr>
      <w:r>
        <w:rPr>
          <w:sz w:val="20"/>
        </w:rPr>
        <w:t>1.</w:t>
      </w:r>
      <w:r>
        <w:rPr>
          <w:sz w:val="20"/>
        </w:rPr>
        <w:tab/>
        <w:t>The date being 10 days after the date of the order or decision appealed against.  See Order 60A r. 5(1).</w:t>
      </w:r>
    </w:p>
    <w:p w:rsidR="00425758" w:rsidRDefault="00425758">
      <w:pPr>
        <w:pStyle w:val="yMiscellaneousBody"/>
        <w:spacing w:before="0"/>
        <w:ind w:left="540" w:hanging="540"/>
        <w:rPr>
          <w:sz w:val="20"/>
        </w:rPr>
      </w:pPr>
      <w:r>
        <w:rPr>
          <w:sz w:val="20"/>
        </w:rPr>
        <w:t>2.</w:t>
      </w:r>
      <w:r>
        <w:rPr>
          <w:sz w:val="20"/>
        </w:rPr>
        <w:tab/>
        <w:t>For example, filing of further affidavits or submission.</w:t>
      </w:r>
    </w:p>
    <w:p w:rsidR="00425758" w:rsidRDefault="00425758">
      <w:pPr>
        <w:pStyle w:val="yMiscellaneousBody"/>
        <w:spacing w:before="0"/>
        <w:ind w:left="540" w:hanging="540"/>
        <w:rPr>
          <w:sz w:val="20"/>
        </w:rPr>
      </w:pPr>
      <w:r>
        <w:rPr>
          <w:sz w:val="20"/>
        </w:rPr>
        <w:t>3.</w:t>
      </w:r>
      <w:r>
        <w:rPr>
          <w:sz w:val="20"/>
        </w:rPr>
        <w:tab/>
        <w:t>For the period of 32 days beginning on the 14th day after the date of the filing of the appeal notice.  See Order 60A r. 5(3)(e).</w:t>
      </w:r>
    </w:p>
    <w:p w:rsidR="00425758" w:rsidRDefault="00425758">
      <w:pPr>
        <w:pStyle w:val="yFootnotesection"/>
      </w:pPr>
      <w:r>
        <w:tab/>
        <w:t>[Form 80A inserted: Gazette 13 Nov 2015 p. 4654.]</w:t>
      </w:r>
    </w:p>
    <w:p w:rsidR="00425758" w:rsidRDefault="00425758">
      <w:pPr>
        <w:pStyle w:val="yHeading5"/>
      </w:pPr>
      <w:bookmarkStart w:id="1405" w:name="_Toc75863970"/>
      <w:r>
        <w:rPr>
          <w:rStyle w:val="CharSClsNo"/>
        </w:rPr>
        <w:t>80</w:t>
      </w:r>
      <w:r>
        <w:t>.</w:t>
      </w:r>
      <w:r>
        <w:rPr>
          <w:b w:val="0"/>
        </w:rPr>
        <w:tab/>
      </w:r>
      <w:r>
        <w:t>Notice of judgment or order (O. 61 r. 3(3))</w:t>
      </w:r>
      <w:bookmarkEnd w:id="1405"/>
    </w:p>
    <w:p w:rsidR="00425758" w:rsidRDefault="00425758">
      <w:pPr>
        <w:pStyle w:val="yMiscellaneousBody"/>
        <w:spacing w:before="120"/>
        <w:jc w:val="center"/>
        <w:rPr>
          <w:sz w:val="20"/>
        </w:rPr>
      </w:pPr>
      <w:r>
        <w:rPr>
          <w:sz w:val="20"/>
        </w:rPr>
        <w:t>(</w:t>
      </w:r>
      <w:r>
        <w:rPr>
          <w:i/>
          <w:sz w:val="20"/>
        </w:rPr>
        <w:t>Heading as in cause or matter</w:t>
      </w:r>
      <w:r>
        <w:rPr>
          <w:sz w:val="20"/>
        </w:rPr>
        <w:t>)</w:t>
      </w:r>
    </w:p>
    <w:p w:rsidR="00425758" w:rsidRDefault="00425758">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rsidR="00425758" w:rsidRDefault="00425758">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rsidR="00425758" w:rsidRDefault="00425758">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rsidR="00425758" w:rsidRDefault="00425758">
      <w:pPr>
        <w:pStyle w:val="yMiscellaneousBody"/>
        <w:spacing w:before="120"/>
        <w:rPr>
          <w:sz w:val="20"/>
        </w:rPr>
      </w:pPr>
      <w:r>
        <w:rPr>
          <w:sz w:val="20"/>
        </w:rPr>
        <w:t>Dated the                day of                                        20     .</w:t>
      </w:r>
    </w:p>
    <w:p w:rsidR="00425758" w:rsidRDefault="00425758">
      <w:pPr>
        <w:pStyle w:val="yMiscellaneousBody"/>
        <w:spacing w:before="120"/>
        <w:jc w:val="center"/>
        <w:rPr>
          <w:sz w:val="20"/>
        </w:rPr>
      </w:pPr>
      <w:r>
        <w:rPr>
          <w:sz w:val="20"/>
        </w:rPr>
        <w:t>(Signed)</w:t>
      </w:r>
    </w:p>
    <w:p w:rsidR="00425758" w:rsidRDefault="00425758">
      <w:pPr>
        <w:pStyle w:val="yMiscellaneousBody"/>
        <w:spacing w:before="120"/>
        <w:rPr>
          <w:sz w:val="20"/>
        </w:rPr>
      </w:pPr>
      <w:r>
        <w:rPr>
          <w:sz w:val="20"/>
        </w:rPr>
        <w:t>To</w:t>
      </w:r>
    </w:p>
    <w:p w:rsidR="00425758" w:rsidRDefault="00425758">
      <w:pPr>
        <w:pStyle w:val="yFootnotesection"/>
      </w:pPr>
      <w:r>
        <w:tab/>
        <w:t>[Form 80 amended: Gazette 22 Jul 1984 p. 3748; 28 Jun 2011 p. 2561.]</w:t>
      </w:r>
    </w:p>
    <w:p w:rsidR="00425758" w:rsidRDefault="00425758">
      <w:pPr>
        <w:pStyle w:val="yHeading5"/>
        <w:spacing w:before="480" w:after="120"/>
      </w:pPr>
      <w:bookmarkStart w:id="1406" w:name="_Toc75863971"/>
      <w:r>
        <w:rPr>
          <w:rStyle w:val="CharSClsNo"/>
        </w:rPr>
        <w:lastRenderedPageBreak/>
        <w:t>81</w:t>
      </w:r>
      <w:r>
        <w:t>.</w:t>
      </w:r>
      <w:r>
        <w:rPr>
          <w:b w:val="0"/>
        </w:rPr>
        <w:tab/>
      </w:r>
      <w:r>
        <w:t>Advertisement for creditors (O. 61 r. 15(2))</w:t>
      </w:r>
      <w:bookmarkEnd w:id="1406"/>
    </w:p>
    <w:p w:rsidR="00425758" w:rsidRDefault="00425758">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rsidR="00425758" w:rsidRDefault="00425758">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rsidR="00425758" w:rsidRDefault="00425758">
      <w:pPr>
        <w:pStyle w:val="yMiscellaneousBody"/>
        <w:spacing w:before="120"/>
        <w:rPr>
          <w:sz w:val="20"/>
        </w:rPr>
      </w:pPr>
      <w:r>
        <w:rPr>
          <w:sz w:val="20"/>
        </w:rPr>
        <w:t>Dated this                day of                                        20     .</w:t>
      </w:r>
    </w:p>
    <w:p w:rsidR="00425758" w:rsidRDefault="00425758">
      <w:pPr>
        <w:pStyle w:val="yMiscellaneousBody"/>
        <w:spacing w:before="120"/>
        <w:rPr>
          <w:sz w:val="20"/>
        </w:rPr>
      </w:pPr>
      <w:r>
        <w:rPr>
          <w:i/>
          <w:sz w:val="20"/>
        </w:rPr>
        <w:t>(Signature and address of the solicitor of the party prosecuting the judgment or order).</w:t>
      </w:r>
    </w:p>
    <w:p w:rsidR="00425758" w:rsidRDefault="00425758">
      <w:pPr>
        <w:pStyle w:val="yFootnotesection"/>
      </w:pPr>
      <w:r>
        <w:tab/>
        <w:t>[Form 81 amended: Gazette 28 Jun 2011 p. 2561.]</w:t>
      </w:r>
    </w:p>
    <w:p w:rsidR="00425758" w:rsidRDefault="00425758">
      <w:pPr>
        <w:pStyle w:val="yHeading5"/>
        <w:spacing w:after="120"/>
      </w:pPr>
      <w:bookmarkStart w:id="1407" w:name="_Toc75863972"/>
      <w:r>
        <w:rPr>
          <w:rStyle w:val="CharSClsNo"/>
        </w:rPr>
        <w:t>82</w:t>
      </w:r>
      <w:r>
        <w:t>.</w:t>
      </w:r>
      <w:r>
        <w:rPr>
          <w:b w:val="0"/>
        </w:rPr>
        <w:tab/>
      </w:r>
      <w:r>
        <w:t>Advertisement for claimants other than creditors (O. 61 r. 15(2))</w:t>
      </w:r>
      <w:bookmarkEnd w:id="1407"/>
    </w:p>
    <w:p w:rsidR="00425758" w:rsidRDefault="00425758">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rsidR="00425758" w:rsidRDefault="00425758">
      <w:pPr>
        <w:pStyle w:val="yMiscellaneousBody"/>
        <w:spacing w:before="120"/>
        <w:jc w:val="center"/>
        <w:rPr>
          <w:sz w:val="20"/>
        </w:rPr>
      </w:pPr>
      <w:r>
        <w:rPr>
          <w:sz w:val="20"/>
        </w:rPr>
        <w:t>[</w:t>
      </w:r>
      <w:r>
        <w:rPr>
          <w:i/>
          <w:sz w:val="20"/>
        </w:rPr>
        <w:t>Set out inquiry or inquiries</w:t>
      </w:r>
      <w:r>
        <w:rPr>
          <w:sz w:val="20"/>
        </w:rPr>
        <w:t>.]</w:t>
      </w:r>
    </w:p>
    <w:p w:rsidR="00425758" w:rsidRDefault="00425758">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Supreme Court, David Malcolm Justice Centre, 28 Barrack Street, Perth, on                   </w:t>
      </w:r>
      <w:r>
        <w:rPr>
          <w:sz w:val="20"/>
        </w:rPr>
        <w:br/>
        <w:t xml:space="preserve">                              at                 o’clock in the                  noon, being the time appointed for adjudicating upon the claims.</w:t>
      </w:r>
    </w:p>
    <w:p w:rsidR="00425758" w:rsidRDefault="00425758">
      <w:pPr>
        <w:pStyle w:val="yMiscellaneousBody"/>
        <w:spacing w:before="120"/>
        <w:rPr>
          <w:sz w:val="20"/>
        </w:rPr>
      </w:pPr>
      <w:r>
        <w:rPr>
          <w:sz w:val="20"/>
        </w:rPr>
        <w:t>Dated this                 day of                                        20    .</w:t>
      </w:r>
    </w:p>
    <w:p w:rsidR="00425758" w:rsidRDefault="00425758">
      <w:pPr>
        <w:pStyle w:val="yMiscellaneousBody"/>
        <w:spacing w:before="120"/>
        <w:jc w:val="right"/>
        <w:rPr>
          <w:sz w:val="20"/>
        </w:rPr>
      </w:pPr>
      <w:r>
        <w:rPr>
          <w:sz w:val="20"/>
        </w:rPr>
        <w:t>Master.</w:t>
      </w:r>
    </w:p>
    <w:p w:rsidR="00425758" w:rsidRDefault="00425758">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rsidR="00425758" w:rsidRDefault="00425758">
      <w:pPr>
        <w:pStyle w:val="yFootnotesection"/>
      </w:pPr>
      <w:r>
        <w:tab/>
        <w:t>[Form 82 amended: Gazette 28 Jun 2011 p. 2561; 16 Nov 2016 p. 5216; 16 Aug 2017 p. 4424.]</w:t>
      </w:r>
    </w:p>
    <w:p w:rsidR="00425758" w:rsidRDefault="00425758">
      <w:pPr>
        <w:pStyle w:val="yEdnotedivision"/>
        <w:outlineLvl w:val="9"/>
      </w:pPr>
      <w:r>
        <w:lastRenderedPageBreak/>
        <w:t>[Forms 82A, 82AA and 82B deleted: Gazette 29 Apr 2005 p. 1800.]</w:t>
      </w:r>
    </w:p>
    <w:p w:rsidR="00425758" w:rsidRDefault="00425758">
      <w:pPr>
        <w:pStyle w:val="yHeading5"/>
        <w:spacing w:before="240" w:after="120"/>
      </w:pPr>
      <w:bookmarkStart w:id="1408" w:name="_Toc75863973"/>
      <w:r>
        <w:rPr>
          <w:rStyle w:val="CharSClsNo"/>
        </w:rPr>
        <w:t>83</w:t>
      </w:r>
      <w:r>
        <w:t>.</w:t>
      </w:r>
      <w:r>
        <w:rPr>
          <w:b w:val="0"/>
        </w:rPr>
        <w:tab/>
      </w:r>
      <w:r>
        <w:t>Appeal notice (O. 65 r. 10)</w:t>
      </w:r>
      <w:bookmarkEnd w:id="140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rsidR="00425758">
        <w:trPr>
          <w:cantSplit/>
          <w:trHeight w:val="329"/>
        </w:trPr>
        <w:tc>
          <w:tcPr>
            <w:tcW w:w="3686" w:type="dxa"/>
            <w:gridSpan w:val="2"/>
            <w:vMerge w:val="restart"/>
          </w:tcPr>
          <w:p w:rsidR="00425758" w:rsidRDefault="00425758">
            <w:pPr>
              <w:pStyle w:val="yTableNAm"/>
              <w:spacing w:before="20"/>
              <w:rPr>
                <w:sz w:val="20"/>
              </w:rPr>
            </w:pPr>
            <w:r>
              <w:rPr>
                <w:sz w:val="20"/>
              </w:rPr>
              <w:t>Supreme Court of Western Australia</w:t>
            </w:r>
          </w:p>
          <w:p w:rsidR="00425758" w:rsidRDefault="00425758">
            <w:pPr>
              <w:pStyle w:val="yTableNAm"/>
              <w:spacing w:before="20"/>
              <w:rPr>
                <w:b/>
                <w:i/>
                <w:sz w:val="20"/>
              </w:rPr>
            </w:pPr>
            <w:r>
              <w:rPr>
                <w:sz w:val="20"/>
              </w:rPr>
              <w:t>General Division</w:t>
            </w:r>
          </w:p>
        </w:tc>
        <w:tc>
          <w:tcPr>
            <w:tcW w:w="3394" w:type="dxa"/>
            <w:gridSpan w:val="2"/>
            <w:tcBorders>
              <w:bottom w:val="nil"/>
            </w:tcBorders>
            <w:vAlign w:val="center"/>
          </w:tcPr>
          <w:p w:rsidR="00425758" w:rsidRDefault="00425758">
            <w:pPr>
              <w:pStyle w:val="yTableNAm"/>
              <w:spacing w:before="20"/>
              <w:rPr>
                <w:sz w:val="20"/>
              </w:rPr>
            </w:pPr>
            <w:r>
              <w:rPr>
                <w:sz w:val="20"/>
              </w:rPr>
              <w:t>No:</w:t>
            </w:r>
          </w:p>
        </w:tc>
      </w:tr>
      <w:tr w:rsidR="00425758">
        <w:trPr>
          <w:cantSplit/>
          <w:trHeight w:val="328"/>
        </w:trPr>
        <w:tc>
          <w:tcPr>
            <w:tcW w:w="3686" w:type="dxa"/>
            <w:gridSpan w:val="2"/>
            <w:vMerge/>
            <w:tcBorders>
              <w:bottom w:val="nil"/>
            </w:tcBorders>
          </w:tcPr>
          <w:p w:rsidR="00425758" w:rsidRDefault="00425758">
            <w:pPr>
              <w:pStyle w:val="yTableNAm"/>
              <w:spacing w:before="20"/>
              <w:rPr>
                <w:sz w:val="20"/>
              </w:rPr>
            </w:pPr>
          </w:p>
        </w:tc>
        <w:tc>
          <w:tcPr>
            <w:tcW w:w="3394" w:type="dxa"/>
            <w:gridSpan w:val="2"/>
            <w:tcBorders>
              <w:bottom w:val="nil"/>
            </w:tcBorders>
            <w:vAlign w:val="center"/>
          </w:tcPr>
          <w:p w:rsidR="00425758" w:rsidRDefault="00425758">
            <w:pPr>
              <w:pStyle w:val="yTableNAm"/>
              <w:spacing w:before="20"/>
              <w:rPr>
                <w:sz w:val="20"/>
              </w:rPr>
            </w:pPr>
            <w:r>
              <w:rPr>
                <w:b/>
                <w:sz w:val="20"/>
              </w:rPr>
              <w:t>Appeal notice</w:t>
            </w:r>
          </w:p>
        </w:tc>
      </w:tr>
      <w:tr w:rsidR="00425758">
        <w:trPr>
          <w:cantSplit/>
        </w:trPr>
        <w:tc>
          <w:tcPr>
            <w:tcW w:w="1620" w:type="dxa"/>
            <w:tcBorders>
              <w:bottom w:val="nil"/>
            </w:tcBorders>
          </w:tcPr>
          <w:p w:rsidR="00425758" w:rsidRDefault="00425758">
            <w:pPr>
              <w:pStyle w:val="yTableNAm"/>
              <w:spacing w:before="20"/>
              <w:rPr>
                <w:sz w:val="20"/>
              </w:rPr>
            </w:pPr>
            <w:r>
              <w:rPr>
                <w:sz w:val="20"/>
              </w:rPr>
              <w:t>Parties to the appeal</w:t>
            </w:r>
          </w:p>
        </w:tc>
        <w:tc>
          <w:tcPr>
            <w:tcW w:w="5460" w:type="dxa"/>
            <w:gridSpan w:val="3"/>
            <w:tcBorders>
              <w:bottom w:val="nil"/>
            </w:tcBorders>
          </w:tcPr>
          <w:p w:rsidR="00425758" w:rsidRDefault="00425758">
            <w:pPr>
              <w:pStyle w:val="yTableNAm"/>
              <w:tabs>
                <w:tab w:val="clear" w:pos="567"/>
                <w:tab w:val="left" w:pos="3244"/>
              </w:tabs>
              <w:spacing w:before="20"/>
              <w:rPr>
                <w:sz w:val="20"/>
              </w:rPr>
            </w:pPr>
            <w:r>
              <w:rPr>
                <w:sz w:val="20"/>
              </w:rPr>
              <w:tab/>
              <w:t>Appellant</w:t>
            </w:r>
          </w:p>
          <w:p w:rsidR="00425758" w:rsidRDefault="00425758">
            <w:pPr>
              <w:pStyle w:val="yTableNAm"/>
              <w:tabs>
                <w:tab w:val="clear" w:pos="567"/>
                <w:tab w:val="left" w:pos="3244"/>
              </w:tabs>
              <w:spacing w:before="20"/>
              <w:rPr>
                <w:sz w:val="20"/>
              </w:rPr>
            </w:pPr>
            <w:r>
              <w:rPr>
                <w:sz w:val="20"/>
              </w:rPr>
              <w:tab/>
              <w:t>Respondent</w:t>
            </w:r>
          </w:p>
        </w:tc>
      </w:tr>
      <w:tr w:rsidR="00425758">
        <w:trPr>
          <w:cantSplit/>
        </w:trPr>
        <w:tc>
          <w:tcPr>
            <w:tcW w:w="7080" w:type="dxa"/>
            <w:gridSpan w:val="4"/>
            <w:tcBorders>
              <w:bottom w:val="nil"/>
            </w:tcBorders>
          </w:tcPr>
          <w:p w:rsidR="00425758" w:rsidRDefault="00425758">
            <w:pPr>
              <w:pStyle w:val="yTableNAm"/>
              <w:spacing w:before="20"/>
              <w:rPr>
                <w:b/>
                <w:sz w:val="20"/>
              </w:rPr>
            </w:pPr>
            <w:r>
              <w:rPr>
                <w:b/>
                <w:sz w:val="20"/>
              </w:rPr>
              <w:t>Primary court’s decision</w:t>
            </w:r>
          </w:p>
        </w:tc>
      </w:tr>
      <w:tr w:rsidR="00425758">
        <w:trPr>
          <w:cantSplit/>
        </w:trPr>
        <w:tc>
          <w:tcPr>
            <w:tcW w:w="1620" w:type="dxa"/>
            <w:tcBorders>
              <w:bottom w:val="single" w:sz="4" w:space="0" w:color="auto"/>
            </w:tcBorders>
          </w:tcPr>
          <w:p w:rsidR="00425758" w:rsidRDefault="00425758">
            <w:pPr>
              <w:pStyle w:val="yTableNAm"/>
              <w:spacing w:before="20"/>
              <w:rPr>
                <w:sz w:val="20"/>
              </w:rPr>
            </w:pPr>
            <w:r>
              <w:rPr>
                <w:sz w:val="20"/>
              </w:rPr>
              <w:t>Primary court</w:t>
            </w:r>
          </w:p>
          <w:p w:rsidR="00425758" w:rsidRDefault="00425758">
            <w:pPr>
              <w:pStyle w:val="yTableNAm"/>
              <w:spacing w:before="20"/>
              <w:rPr>
                <w:sz w:val="20"/>
              </w:rPr>
            </w:pPr>
            <w:r>
              <w:rPr>
                <w:sz w:val="20"/>
              </w:rPr>
              <w:t>Case number</w:t>
            </w:r>
          </w:p>
          <w:p w:rsidR="00425758" w:rsidRDefault="00425758">
            <w:pPr>
              <w:pStyle w:val="yTableNAm"/>
              <w:spacing w:before="20"/>
              <w:rPr>
                <w:sz w:val="20"/>
              </w:rPr>
            </w:pPr>
            <w:r>
              <w:rPr>
                <w:sz w:val="20"/>
              </w:rPr>
              <w:t>Parties</w:t>
            </w:r>
          </w:p>
          <w:p w:rsidR="00425758" w:rsidRDefault="00425758">
            <w:pPr>
              <w:pStyle w:val="yTableNAm"/>
              <w:spacing w:before="20"/>
              <w:rPr>
                <w:sz w:val="20"/>
              </w:rPr>
            </w:pPr>
            <w:r>
              <w:rPr>
                <w:sz w:val="20"/>
              </w:rPr>
              <w:t>Date of decision</w:t>
            </w:r>
          </w:p>
          <w:p w:rsidR="00425758" w:rsidRDefault="00425758">
            <w:pPr>
              <w:pStyle w:val="yTableNAm"/>
              <w:spacing w:before="20"/>
              <w:rPr>
                <w:sz w:val="20"/>
              </w:rPr>
            </w:pPr>
            <w:r>
              <w:rPr>
                <w:sz w:val="20"/>
              </w:rPr>
              <w:t>Judicial officer</w:t>
            </w:r>
          </w:p>
        </w:tc>
        <w:tc>
          <w:tcPr>
            <w:tcW w:w="5460" w:type="dxa"/>
            <w:gridSpan w:val="3"/>
            <w:tcBorders>
              <w:bottom w:val="single" w:sz="4" w:space="0" w:color="auto"/>
            </w:tcBorders>
          </w:tcPr>
          <w:p w:rsidR="00425758" w:rsidRDefault="00425758">
            <w:pPr>
              <w:pStyle w:val="yTableNAm"/>
              <w:tabs>
                <w:tab w:val="clear" w:pos="567"/>
                <w:tab w:val="left" w:pos="3244"/>
              </w:tabs>
              <w:spacing w:before="20"/>
              <w:rPr>
                <w:sz w:val="20"/>
              </w:rPr>
            </w:pPr>
            <w:r>
              <w:rPr>
                <w:sz w:val="20"/>
              </w:rPr>
              <w:tab/>
              <w:t>at</w:t>
            </w:r>
          </w:p>
        </w:tc>
      </w:tr>
      <w:tr w:rsidR="00425758">
        <w:tc>
          <w:tcPr>
            <w:tcW w:w="1620" w:type="dxa"/>
            <w:tcBorders>
              <w:bottom w:val="single" w:sz="4" w:space="0" w:color="auto"/>
            </w:tcBorders>
          </w:tcPr>
          <w:p w:rsidR="00425758" w:rsidRDefault="00425758">
            <w:pPr>
              <w:pStyle w:val="yTableNAm"/>
              <w:spacing w:before="20"/>
              <w:rPr>
                <w:sz w:val="20"/>
              </w:rPr>
            </w:pPr>
            <w:r>
              <w:rPr>
                <w:sz w:val="20"/>
              </w:rPr>
              <w:t>Decision details</w:t>
            </w:r>
          </w:p>
        </w:tc>
        <w:tc>
          <w:tcPr>
            <w:tcW w:w="5460" w:type="dxa"/>
            <w:gridSpan w:val="3"/>
            <w:tcBorders>
              <w:bottom w:val="single" w:sz="4" w:space="0" w:color="auto"/>
            </w:tcBorders>
          </w:tcPr>
          <w:p w:rsidR="00425758" w:rsidRDefault="00425758">
            <w:pPr>
              <w:pStyle w:val="yTableNAm"/>
              <w:spacing w:before="20"/>
              <w:rPr>
                <w:sz w:val="20"/>
              </w:rPr>
            </w:pPr>
          </w:p>
        </w:tc>
      </w:tr>
      <w:tr w:rsidR="00425758">
        <w:trPr>
          <w:cantSplit/>
        </w:trPr>
        <w:tc>
          <w:tcPr>
            <w:tcW w:w="7080" w:type="dxa"/>
            <w:gridSpan w:val="4"/>
            <w:tcBorders>
              <w:top w:val="single" w:sz="4" w:space="0" w:color="auto"/>
              <w:bottom w:val="nil"/>
            </w:tcBorders>
          </w:tcPr>
          <w:p w:rsidR="00425758" w:rsidRDefault="00425758">
            <w:pPr>
              <w:pStyle w:val="yTableNAm"/>
              <w:spacing w:before="20"/>
              <w:rPr>
                <w:b/>
                <w:sz w:val="20"/>
              </w:rPr>
            </w:pPr>
            <w:r>
              <w:rPr>
                <w:b/>
                <w:sz w:val="20"/>
              </w:rPr>
              <w:t>Appeal details</w:t>
            </w:r>
          </w:p>
        </w:tc>
      </w:tr>
      <w:tr w:rsidR="00425758">
        <w:tc>
          <w:tcPr>
            <w:tcW w:w="1620" w:type="dxa"/>
          </w:tcPr>
          <w:p w:rsidR="00425758" w:rsidRDefault="00425758">
            <w:pPr>
              <w:pStyle w:val="yTableNAm"/>
              <w:spacing w:before="20"/>
              <w:rPr>
                <w:sz w:val="20"/>
              </w:rPr>
            </w:pPr>
            <w:r>
              <w:rPr>
                <w:sz w:val="20"/>
              </w:rPr>
              <w:t>Notice of appeal</w:t>
            </w:r>
          </w:p>
        </w:tc>
        <w:tc>
          <w:tcPr>
            <w:tcW w:w="5460" w:type="dxa"/>
            <w:gridSpan w:val="3"/>
          </w:tcPr>
          <w:p w:rsidR="00425758" w:rsidRDefault="00425758">
            <w:pPr>
              <w:pStyle w:val="yTableNAm"/>
              <w:spacing w:before="20"/>
              <w:rPr>
                <w:sz w:val="20"/>
              </w:rPr>
            </w:pPr>
            <w:r>
              <w:rPr>
                <w:sz w:val="20"/>
              </w:rPr>
              <w:t>The appellant appeals to the Supreme Court (General Division) against the above decision.</w:t>
            </w:r>
          </w:p>
        </w:tc>
      </w:tr>
      <w:tr w:rsidR="00425758">
        <w:trPr>
          <w:cantSplit/>
        </w:trPr>
        <w:tc>
          <w:tcPr>
            <w:tcW w:w="1620" w:type="dxa"/>
          </w:tcPr>
          <w:p w:rsidR="00425758" w:rsidRDefault="00425758">
            <w:pPr>
              <w:pStyle w:val="yTableNAm"/>
              <w:spacing w:before="20"/>
              <w:rPr>
                <w:sz w:val="20"/>
              </w:rPr>
            </w:pPr>
            <w:r>
              <w:rPr>
                <w:sz w:val="20"/>
              </w:rPr>
              <w:t>Act that allows the appeal</w:t>
            </w:r>
            <w:r>
              <w:rPr>
                <w:sz w:val="20"/>
                <w:vertAlign w:val="superscript"/>
              </w:rPr>
              <w:t>1</w:t>
            </w:r>
          </w:p>
        </w:tc>
        <w:tc>
          <w:tcPr>
            <w:tcW w:w="5460" w:type="dxa"/>
            <w:gridSpan w:val="3"/>
          </w:tcPr>
          <w:p w:rsidR="00425758" w:rsidRDefault="00425758">
            <w:pPr>
              <w:pStyle w:val="yTableNAm"/>
              <w:tabs>
                <w:tab w:val="clear" w:pos="567"/>
                <w:tab w:val="left" w:pos="2764"/>
              </w:tabs>
              <w:spacing w:before="20"/>
              <w:rPr>
                <w:sz w:val="20"/>
              </w:rPr>
            </w:pPr>
            <w:r>
              <w:rPr>
                <w:sz w:val="20"/>
              </w:rPr>
              <w:tab/>
              <w:t>section:</w:t>
            </w:r>
          </w:p>
        </w:tc>
      </w:tr>
      <w:tr w:rsidR="00425758">
        <w:trPr>
          <w:cantSplit/>
        </w:trPr>
        <w:tc>
          <w:tcPr>
            <w:tcW w:w="1620" w:type="dxa"/>
          </w:tcPr>
          <w:p w:rsidR="00425758" w:rsidRDefault="00425758">
            <w:pPr>
              <w:pStyle w:val="yTableNAm"/>
              <w:spacing w:before="20"/>
              <w:rPr>
                <w:sz w:val="20"/>
              </w:rPr>
            </w:pPr>
            <w:r>
              <w:rPr>
                <w:sz w:val="20"/>
              </w:rPr>
              <w:t>Grounds of appeal</w:t>
            </w:r>
            <w:r>
              <w:rPr>
                <w:sz w:val="20"/>
                <w:vertAlign w:val="superscript"/>
              </w:rPr>
              <w:t>2</w:t>
            </w:r>
          </w:p>
        </w:tc>
        <w:tc>
          <w:tcPr>
            <w:tcW w:w="5460" w:type="dxa"/>
            <w:gridSpan w:val="3"/>
          </w:tcPr>
          <w:p w:rsidR="00425758" w:rsidRDefault="00425758">
            <w:pPr>
              <w:pStyle w:val="yTableNAm"/>
              <w:spacing w:before="20"/>
              <w:rPr>
                <w:sz w:val="20"/>
              </w:rPr>
            </w:pPr>
            <w:r>
              <w:rPr>
                <w:sz w:val="20"/>
              </w:rPr>
              <w:t>1.</w:t>
            </w:r>
          </w:p>
        </w:tc>
      </w:tr>
      <w:tr w:rsidR="00425758">
        <w:trPr>
          <w:cantSplit/>
        </w:trPr>
        <w:tc>
          <w:tcPr>
            <w:tcW w:w="1620" w:type="dxa"/>
          </w:tcPr>
          <w:p w:rsidR="00425758" w:rsidRDefault="00425758">
            <w:pPr>
              <w:pStyle w:val="yTableNAm"/>
              <w:spacing w:before="20"/>
              <w:rPr>
                <w:sz w:val="20"/>
              </w:rPr>
            </w:pPr>
            <w:r>
              <w:rPr>
                <w:sz w:val="20"/>
              </w:rPr>
              <w:t>Notice to the respondent</w:t>
            </w:r>
          </w:p>
        </w:tc>
        <w:tc>
          <w:tcPr>
            <w:tcW w:w="5460" w:type="dxa"/>
            <w:gridSpan w:val="3"/>
          </w:tcPr>
          <w:p w:rsidR="00425758" w:rsidRDefault="00425758">
            <w:pPr>
              <w:pStyle w:val="yTableNAm"/>
              <w:spacing w:before="20"/>
              <w:rPr>
                <w:sz w:val="20"/>
              </w:rPr>
            </w:pPr>
            <w:r>
              <w:rPr>
                <w:sz w:val="20"/>
              </w:rPr>
              <w:t xml:space="preserve">If you want to take part in this appeal you must file a Form No. 85 under the </w:t>
            </w:r>
            <w:r>
              <w:rPr>
                <w:i/>
                <w:sz w:val="20"/>
              </w:rPr>
              <w:t xml:space="preserve">Rules of the Supreme Court 1971 </w:t>
            </w:r>
            <w:r>
              <w:rPr>
                <w:sz w:val="20"/>
              </w:rPr>
              <w:t>within 7 days after you are served with this notice and serve it on the appellant.</w:t>
            </w:r>
          </w:p>
        </w:tc>
      </w:tr>
      <w:tr w:rsidR="00425758">
        <w:trPr>
          <w:cantSplit/>
        </w:trPr>
        <w:tc>
          <w:tcPr>
            <w:tcW w:w="1620" w:type="dxa"/>
            <w:tcBorders>
              <w:bottom w:val="nil"/>
            </w:tcBorders>
          </w:tcPr>
          <w:p w:rsidR="00425758" w:rsidRDefault="00425758">
            <w:pPr>
              <w:pStyle w:val="yTableNAm"/>
              <w:spacing w:before="20"/>
              <w:rPr>
                <w:sz w:val="20"/>
              </w:rPr>
            </w:pPr>
            <w:r>
              <w:rPr>
                <w:sz w:val="20"/>
              </w:rPr>
              <w:t>Last date for appealing</w:t>
            </w:r>
          </w:p>
        </w:tc>
        <w:tc>
          <w:tcPr>
            <w:tcW w:w="5460" w:type="dxa"/>
            <w:gridSpan w:val="3"/>
            <w:tcBorders>
              <w:bottom w:val="nil"/>
            </w:tcBorders>
          </w:tcPr>
          <w:p w:rsidR="00425758" w:rsidRDefault="00425758">
            <w:pPr>
              <w:pStyle w:val="yTableNAm"/>
              <w:spacing w:before="20"/>
              <w:rPr>
                <w:sz w:val="20"/>
              </w:rPr>
            </w:pPr>
            <w:r>
              <w:rPr>
                <w:sz w:val="20"/>
              </w:rPr>
              <w:t>Last date:</w:t>
            </w:r>
          </w:p>
          <w:p w:rsidR="00425758" w:rsidRDefault="00425758">
            <w:pPr>
              <w:pStyle w:val="yTableNAm"/>
              <w:spacing w:before="20"/>
              <w:rPr>
                <w:sz w:val="20"/>
              </w:rPr>
            </w:pPr>
            <w:r>
              <w:rPr>
                <w:sz w:val="20"/>
              </w:rPr>
              <w:t>Is an extension of time needed? Yes/No</w:t>
            </w:r>
          </w:p>
        </w:tc>
      </w:tr>
      <w:tr w:rsidR="00425758">
        <w:trPr>
          <w:cantSplit/>
        </w:trPr>
        <w:tc>
          <w:tcPr>
            <w:tcW w:w="1620" w:type="dxa"/>
            <w:tcBorders>
              <w:bottom w:val="nil"/>
            </w:tcBorders>
          </w:tcPr>
          <w:p w:rsidR="00425758" w:rsidRDefault="00425758">
            <w:pPr>
              <w:pStyle w:val="yTableNAm"/>
              <w:spacing w:before="20"/>
              <w:rPr>
                <w:sz w:val="20"/>
              </w:rPr>
            </w:pPr>
            <w:r>
              <w:rPr>
                <w:sz w:val="20"/>
              </w:rPr>
              <w:t>Leave to appeal</w:t>
            </w:r>
          </w:p>
        </w:tc>
        <w:tc>
          <w:tcPr>
            <w:tcW w:w="5460" w:type="dxa"/>
            <w:gridSpan w:val="3"/>
            <w:tcBorders>
              <w:bottom w:val="nil"/>
            </w:tcBorders>
          </w:tcPr>
          <w:p w:rsidR="00425758" w:rsidRDefault="00425758">
            <w:pPr>
              <w:pStyle w:val="yTableNAm"/>
              <w:spacing w:before="20"/>
              <w:rPr>
                <w:sz w:val="20"/>
              </w:rPr>
            </w:pPr>
            <w:r>
              <w:rPr>
                <w:sz w:val="20"/>
              </w:rPr>
              <w:t>Is leave to appeal needed? Yes/No</w:t>
            </w:r>
          </w:p>
          <w:p w:rsidR="00425758" w:rsidRDefault="00425758">
            <w:pPr>
              <w:pStyle w:val="yTableNAm"/>
              <w:spacing w:before="20"/>
              <w:rPr>
                <w:sz w:val="20"/>
              </w:rPr>
            </w:pPr>
            <w:r>
              <w:rPr>
                <w:sz w:val="20"/>
              </w:rPr>
              <w:t>If yes, state the Act and section requiring leave:</w:t>
            </w:r>
          </w:p>
        </w:tc>
      </w:tr>
      <w:tr w:rsidR="00425758">
        <w:trPr>
          <w:cantSplit/>
        </w:trPr>
        <w:tc>
          <w:tcPr>
            <w:tcW w:w="1620" w:type="dxa"/>
            <w:tcBorders>
              <w:bottom w:val="nil"/>
            </w:tcBorders>
          </w:tcPr>
          <w:p w:rsidR="00425758" w:rsidRDefault="00425758">
            <w:pPr>
              <w:pStyle w:val="yTableNAm"/>
              <w:spacing w:before="20"/>
              <w:rPr>
                <w:sz w:val="20"/>
              </w:rPr>
            </w:pPr>
            <w:r>
              <w:rPr>
                <w:sz w:val="20"/>
              </w:rPr>
              <w:t>Legal representation</w:t>
            </w:r>
          </w:p>
        </w:tc>
        <w:tc>
          <w:tcPr>
            <w:tcW w:w="5460" w:type="dxa"/>
            <w:gridSpan w:val="3"/>
            <w:tcBorders>
              <w:bottom w:val="nil"/>
            </w:tcBorders>
          </w:tcPr>
          <w:p w:rsidR="00425758" w:rsidRDefault="00425758">
            <w:pPr>
              <w:pStyle w:val="yTableNAm"/>
              <w:spacing w:before="20"/>
              <w:rPr>
                <w:sz w:val="20"/>
              </w:rPr>
            </w:pPr>
            <w:r>
              <w:rPr>
                <w:sz w:val="20"/>
              </w:rPr>
              <w:t>Is the appellant legally represented in this appeal? Yes/No</w:t>
            </w:r>
            <w:r>
              <w:rPr>
                <w:sz w:val="20"/>
                <w:vertAlign w:val="superscript"/>
              </w:rPr>
              <w:t>3</w:t>
            </w:r>
          </w:p>
          <w:p w:rsidR="00425758" w:rsidRDefault="00425758">
            <w:pPr>
              <w:pStyle w:val="yTableNAm"/>
              <w:spacing w:before="20"/>
              <w:rPr>
                <w:sz w:val="20"/>
              </w:rPr>
            </w:pPr>
            <w:r>
              <w:rPr>
                <w:sz w:val="20"/>
              </w:rPr>
              <w:t>Is the appellant applying for legal aid? Yes/No</w:t>
            </w:r>
          </w:p>
        </w:tc>
      </w:tr>
      <w:tr w:rsidR="00425758">
        <w:trPr>
          <w:cantSplit/>
        </w:trPr>
        <w:tc>
          <w:tcPr>
            <w:tcW w:w="7080" w:type="dxa"/>
            <w:gridSpan w:val="4"/>
            <w:tcBorders>
              <w:bottom w:val="single" w:sz="4" w:space="0" w:color="auto"/>
            </w:tcBorders>
          </w:tcPr>
          <w:p w:rsidR="00425758" w:rsidRDefault="00425758">
            <w:pPr>
              <w:pStyle w:val="yTableNAm"/>
              <w:spacing w:before="20"/>
              <w:rPr>
                <w:b/>
                <w:sz w:val="20"/>
              </w:rPr>
            </w:pPr>
            <w:r>
              <w:rPr>
                <w:b/>
                <w:sz w:val="20"/>
              </w:rPr>
              <w:t>Appellant’s details</w:t>
            </w:r>
          </w:p>
        </w:tc>
      </w:tr>
      <w:tr w:rsidR="00425758">
        <w:trPr>
          <w:cantSplit/>
        </w:trPr>
        <w:tc>
          <w:tcPr>
            <w:tcW w:w="1620" w:type="dxa"/>
            <w:tcBorders>
              <w:bottom w:val="single" w:sz="4" w:space="0" w:color="auto"/>
            </w:tcBorders>
          </w:tcPr>
          <w:p w:rsidR="00425758" w:rsidRDefault="00425758">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rsidR="00425758" w:rsidRDefault="00425758">
            <w:pPr>
              <w:pStyle w:val="yTableNAm"/>
              <w:spacing w:before="20"/>
              <w:rPr>
                <w:sz w:val="20"/>
              </w:rPr>
            </w:pPr>
          </w:p>
        </w:tc>
      </w:tr>
      <w:tr w:rsidR="00425758">
        <w:trPr>
          <w:cantSplit/>
        </w:trPr>
        <w:tc>
          <w:tcPr>
            <w:tcW w:w="1620" w:type="dxa"/>
            <w:tcBorders>
              <w:bottom w:val="single" w:sz="4" w:space="0" w:color="auto"/>
            </w:tcBorders>
          </w:tcPr>
          <w:p w:rsidR="00425758" w:rsidRDefault="00425758">
            <w:pPr>
              <w:pStyle w:val="yTableNAm"/>
              <w:spacing w:before="20"/>
              <w:rPr>
                <w:sz w:val="20"/>
              </w:rPr>
            </w:pPr>
            <w:r>
              <w:rPr>
                <w:sz w:val="20"/>
              </w:rPr>
              <w:t>Appellant’s service details</w:t>
            </w:r>
            <w:r>
              <w:rPr>
                <w:sz w:val="20"/>
                <w:vertAlign w:val="superscript"/>
              </w:rPr>
              <w:t>4</w:t>
            </w:r>
          </w:p>
        </w:tc>
        <w:tc>
          <w:tcPr>
            <w:tcW w:w="5460" w:type="dxa"/>
            <w:gridSpan w:val="3"/>
            <w:tcBorders>
              <w:bottom w:val="single" w:sz="4" w:space="0" w:color="auto"/>
            </w:tcBorders>
          </w:tcPr>
          <w:p w:rsidR="00425758" w:rsidRDefault="00425758">
            <w:pPr>
              <w:pStyle w:val="yTableNAm"/>
              <w:spacing w:before="20"/>
              <w:rPr>
                <w:sz w:val="20"/>
              </w:rPr>
            </w:pPr>
          </w:p>
        </w:tc>
      </w:tr>
      <w:tr w:rsidR="00425758">
        <w:trPr>
          <w:cantSplit/>
        </w:trPr>
        <w:tc>
          <w:tcPr>
            <w:tcW w:w="7080" w:type="dxa"/>
            <w:gridSpan w:val="4"/>
            <w:tcBorders>
              <w:bottom w:val="nil"/>
            </w:tcBorders>
          </w:tcPr>
          <w:p w:rsidR="00425758" w:rsidRDefault="00425758">
            <w:pPr>
              <w:pStyle w:val="yTableNAm"/>
              <w:pageBreakBefore/>
              <w:spacing w:before="0"/>
              <w:rPr>
                <w:b/>
                <w:sz w:val="20"/>
              </w:rPr>
            </w:pPr>
            <w:r>
              <w:rPr>
                <w:b/>
                <w:sz w:val="20"/>
              </w:rPr>
              <w:lastRenderedPageBreak/>
              <w:t>Signature and date</w:t>
            </w:r>
          </w:p>
        </w:tc>
      </w:tr>
      <w:tr w:rsidR="00425758">
        <w:trPr>
          <w:cantSplit/>
        </w:trPr>
        <w:tc>
          <w:tcPr>
            <w:tcW w:w="1620" w:type="dxa"/>
            <w:tcBorders>
              <w:top w:val="single" w:sz="4" w:space="0" w:color="auto"/>
              <w:bottom w:val="single" w:sz="4" w:space="0" w:color="auto"/>
            </w:tcBorders>
          </w:tcPr>
          <w:p w:rsidR="00425758" w:rsidRDefault="00425758">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rsidR="00425758" w:rsidRDefault="00425758">
            <w:pPr>
              <w:pStyle w:val="yTableNAm"/>
              <w:spacing w:before="0"/>
              <w:rPr>
                <w:sz w:val="20"/>
              </w:rPr>
            </w:pPr>
          </w:p>
          <w:p w:rsidR="00425758" w:rsidRDefault="00425758">
            <w:pPr>
              <w:pStyle w:val="yTableNAm"/>
              <w:spacing w:before="0"/>
              <w:rPr>
                <w:sz w:val="20"/>
              </w:rPr>
            </w:pPr>
          </w:p>
          <w:p w:rsidR="00425758" w:rsidRDefault="00425758">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rsidR="00425758" w:rsidRDefault="00425758">
            <w:pPr>
              <w:pStyle w:val="yTableNAm"/>
              <w:spacing w:before="0"/>
              <w:rPr>
                <w:sz w:val="20"/>
              </w:rPr>
            </w:pPr>
            <w:r>
              <w:rPr>
                <w:sz w:val="20"/>
              </w:rPr>
              <w:t>Date:</w:t>
            </w:r>
          </w:p>
        </w:tc>
      </w:tr>
    </w:tbl>
    <w:p w:rsidR="00425758" w:rsidRDefault="00425758">
      <w:pPr>
        <w:pStyle w:val="yMiscellaneousBody"/>
        <w:ind w:left="540" w:hanging="540"/>
        <w:rPr>
          <w:sz w:val="20"/>
        </w:rPr>
      </w:pPr>
      <w:r>
        <w:rPr>
          <w:sz w:val="20"/>
        </w:rPr>
        <w:t>Notes to Form No. 83 —</w:t>
      </w:r>
    </w:p>
    <w:p w:rsidR="00425758" w:rsidRDefault="00425758">
      <w:pPr>
        <w:pStyle w:val="yMiscellaneousBody"/>
        <w:spacing w:before="0"/>
        <w:ind w:left="540" w:hanging="540"/>
        <w:rPr>
          <w:sz w:val="20"/>
        </w:rPr>
      </w:pPr>
      <w:r>
        <w:rPr>
          <w:sz w:val="20"/>
        </w:rPr>
        <w:t>1.</w:t>
      </w:r>
      <w:r>
        <w:rPr>
          <w:sz w:val="20"/>
        </w:rPr>
        <w:tab/>
        <w:t>State the short title of the Act under which the appeal is being made.</w:t>
      </w:r>
    </w:p>
    <w:p w:rsidR="00425758" w:rsidRDefault="00425758">
      <w:pPr>
        <w:pStyle w:val="yMiscellaneousBody"/>
        <w:keepNext/>
        <w:spacing w:before="0"/>
        <w:ind w:left="540" w:hanging="540"/>
        <w:rPr>
          <w:sz w:val="20"/>
        </w:rPr>
      </w:pPr>
      <w:r>
        <w:rPr>
          <w:sz w:val="20"/>
        </w:rPr>
        <w:t>2.</w:t>
      </w:r>
      <w:r>
        <w:rPr>
          <w:sz w:val="20"/>
        </w:rPr>
        <w:tab/>
        <w:t>Set out the grounds in numbered paragraphs.</w:t>
      </w:r>
    </w:p>
    <w:p w:rsidR="00425758" w:rsidRDefault="00425758">
      <w:pPr>
        <w:pStyle w:val="yMiscellaneousBody"/>
        <w:keepNext/>
        <w:spacing w:before="0"/>
        <w:ind w:left="540" w:hanging="540"/>
        <w:rPr>
          <w:sz w:val="20"/>
        </w:rPr>
      </w:pPr>
      <w:r>
        <w:rPr>
          <w:sz w:val="20"/>
        </w:rPr>
        <w:t>3.</w:t>
      </w:r>
      <w:r>
        <w:rPr>
          <w:sz w:val="20"/>
        </w:rPr>
        <w:tab/>
        <w:t>Must be provided unless otherwise ordered by the Court.  See Order 71A r. 2 and 3A.</w:t>
      </w:r>
    </w:p>
    <w:p w:rsidR="00425758" w:rsidRDefault="00425758">
      <w:pPr>
        <w:pStyle w:val="yMiscellaneousBody"/>
        <w:keepNext/>
        <w:spacing w:before="0"/>
        <w:ind w:left="540" w:hanging="540"/>
        <w:rPr>
          <w:sz w:val="20"/>
        </w:rPr>
      </w:pPr>
      <w:r>
        <w:rPr>
          <w:sz w:val="20"/>
        </w:rPr>
        <w:t>4.</w:t>
      </w:r>
      <w:r>
        <w:rPr>
          <w:sz w:val="20"/>
        </w:rPr>
        <w:tab/>
        <w:t>Must be in accordance with Order 71A.</w:t>
      </w:r>
    </w:p>
    <w:p w:rsidR="00425758" w:rsidRDefault="00425758">
      <w:pPr>
        <w:pStyle w:val="yFootnotesection"/>
      </w:pPr>
      <w:r>
        <w:tab/>
        <w:t>[Form 83 inserted: Gazette 21 Feb 2007 p. 572</w:t>
      </w:r>
      <w:r>
        <w:noBreakHyphen/>
        <w:t>3; amended: Gazette 13 Nov 2015 p. 4655; 27 Feb 2018 p. 623.]</w:t>
      </w:r>
    </w:p>
    <w:p w:rsidR="00425758" w:rsidRDefault="00425758">
      <w:pPr>
        <w:pStyle w:val="yHeading5"/>
        <w:spacing w:before="480" w:after="120"/>
      </w:pPr>
      <w:bookmarkStart w:id="1409" w:name="_Toc75863974"/>
      <w:r>
        <w:rPr>
          <w:rStyle w:val="CharSClsNo"/>
        </w:rPr>
        <w:t>84</w:t>
      </w:r>
      <w:r>
        <w:t>.</w:t>
      </w:r>
      <w:r>
        <w:tab/>
        <w:t>Service certificate (O. 65 r. 10(7))</w:t>
      </w:r>
      <w:bookmarkEnd w:id="140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rsidR="00425758">
        <w:trPr>
          <w:cantSplit/>
          <w:trHeight w:val="329"/>
        </w:trPr>
        <w:tc>
          <w:tcPr>
            <w:tcW w:w="3686" w:type="dxa"/>
            <w:gridSpan w:val="2"/>
            <w:vMerge w:val="restart"/>
          </w:tcPr>
          <w:p w:rsidR="00425758" w:rsidRDefault="00425758">
            <w:pPr>
              <w:pStyle w:val="yTableNAm"/>
              <w:rPr>
                <w:sz w:val="20"/>
              </w:rPr>
            </w:pPr>
            <w:r>
              <w:rPr>
                <w:sz w:val="20"/>
              </w:rPr>
              <w:t>Supreme Court of Western Australia</w:t>
            </w:r>
          </w:p>
          <w:p w:rsidR="00425758" w:rsidRDefault="00425758">
            <w:pPr>
              <w:pStyle w:val="yTableNAm"/>
              <w:spacing w:before="0"/>
              <w:rPr>
                <w:b/>
                <w:sz w:val="20"/>
              </w:rPr>
            </w:pPr>
            <w:r>
              <w:rPr>
                <w:sz w:val="20"/>
              </w:rPr>
              <w:t>General Division</w:t>
            </w:r>
          </w:p>
        </w:tc>
        <w:tc>
          <w:tcPr>
            <w:tcW w:w="3394" w:type="dxa"/>
            <w:gridSpan w:val="2"/>
            <w:tcBorders>
              <w:bottom w:val="nil"/>
            </w:tcBorders>
            <w:vAlign w:val="center"/>
          </w:tcPr>
          <w:p w:rsidR="00425758" w:rsidRDefault="00425758">
            <w:pPr>
              <w:pStyle w:val="yTableNAm"/>
              <w:rPr>
                <w:sz w:val="20"/>
              </w:rPr>
            </w:pPr>
            <w:r>
              <w:rPr>
                <w:sz w:val="20"/>
              </w:rPr>
              <w:t>No:</w:t>
            </w:r>
          </w:p>
        </w:tc>
      </w:tr>
      <w:tr w:rsidR="00425758">
        <w:trPr>
          <w:cantSplit/>
          <w:trHeight w:val="328"/>
        </w:trPr>
        <w:tc>
          <w:tcPr>
            <w:tcW w:w="3686" w:type="dxa"/>
            <w:gridSpan w:val="2"/>
            <w:vMerge/>
            <w:tcBorders>
              <w:bottom w:val="single" w:sz="4" w:space="0" w:color="auto"/>
            </w:tcBorders>
          </w:tcPr>
          <w:p w:rsidR="00425758" w:rsidRDefault="00425758">
            <w:pPr>
              <w:pStyle w:val="yTableNAm"/>
              <w:rPr>
                <w:sz w:val="20"/>
              </w:rPr>
            </w:pPr>
          </w:p>
        </w:tc>
        <w:tc>
          <w:tcPr>
            <w:tcW w:w="3394" w:type="dxa"/>
            <w:gridSpan w:val="2"/>
            <w:tcBorders>
              <w:bottom w:val="single" w:sz="4" w:space="0" w:color="auto"/>
            </w:tcBorders>
          </w:tcPr>
          <w:p w:rsidR="00425758" w:rsidRDefault="00425758">
            <w:pPr>
              <w:pStyle w:val="yTableNAm"/>
              <w:spacing w:before="0"/>
              <w:rPr>
                <w:sz w:val="20"/>
              </w:rPr>
            </w:pPr>
            <w:r>
              <w:rPr>
                <w:b/>
                <w:sz w:val="20"/>
              </w:rPr>
              <w:t>Service certificate</w:t>
            </w:r>
          </w:p>
        </w:tc>
      </w:tr>
      <w:tr w:rsidR="00425758">
        <w:trPr>
          <w:cantSplit/>
        </w:trPr>
        <w:tc>
          <w:tcPr>
            <w:tcW w:w="1620" w:type="dxa"/>
            <w:tcBorders>
              <w:bottom w:val="single" w:sz="4" w:space="0" w:color="auto"/>
            </w:tcBorders>
          </w:tcPr>
          <w:p w:rsidR="00425758" w:rsidRDefault="00425758">
            <w:pPr>
              <w:pStyle w:val="yTableNAm"/>
              <w:rPr>
                <w:sz w:val="20"/>
              </w:rPr>
            </w:pPr>
            <w:r>
              <w:rPr>
                <w:sz w:val="20"/>
              </w:rPr>
              <w:t>Parties to the appeal</w:t>
            </w:r>
          </w:p>
        </w:tc>
        <w:tc>
          <w:tcPr>
            <w:tcW w:w="5460" w:type="dxa"/>
            <w:gridSpan w:val="3"/>
            <w:tcBorders>
              <w:bottom w:val="single" w:sz="4" w:space="0" w:color="auto"/>
            </w:tcBorders>
          </w:tcPr>
          <w:p w:rsidR="00425758" w:rsidRDefault="00425758">
            <w:pPr>
              <w:pStyle w:val="yTableNAm"/>
              <w:tabs>
                <w:tab w:val="clear" w:pos="567"/>
                <w:tab w:val="left" w:pos="2884"/>
              </w:tabs>
              <w:rPr>
                <w:sz w:val="20"/>
              </w:rPr>
            </w:pPr>
            <w:r>
              <w:rPr>
                <w:sz w:val="20"/>
              </w:rPr>
              <w:tab/>
              <w:t>Appellant</w:t>
            </w:r>
          </w:p>
          <w:p w:rsidR="00425758" w:rsidRDefault="00425758">
            <w:pPr>
              <w:pStyle w:val="yTableNAm"/>
              <w:tabs>
                <w:tab w:val="clear" w:pos="567"/>
                <w:tab w:val="left" w:pos="2884"/>
              </w:tabs>
              <w:spacing w:before="0"/>
              <w:rPr>
                <w:sz w:val="20"/>
              </w:rPr>
            </w:pPr>
            <w:r>
              <w:rPr>
                <w:sz w:val="20"/>
              </w:rPr>
              <w:tab/>
              <w:t>Respondent</w:t>
            </w:r>
          </w:p>
        </w:tc>
      </w:tr>
      <w:tr w:rsidR="00425758">
        <w:trPr>
          <w:cantSplit/>
        </w:trPr>
        <w:tc>
          <w:tcPr>
            <w:tcW w:w="1620" w:type="dxa"/>
            <w:tcBorders>
              <w:top w:val="single" w:sz="4" w:space="0" w:color="auto"/>
            </w:tcBorders>
          </w:tcPr>
          <w:p w:rsidR="00425758" w:rsidRDefault="00425758">
            <w:pPr>
              <w:pStyle w:val="yTableNAm"/>
              <w:rPr>
                <w:sz w:val="20"/>
              </w:rPr>
            </w:pPr>
            <w:r>
              <w:rPr>
                <w:sz w:val="20"/>
              </w:rPr>
              <w:t>Certificate</w:t>
            </w:r>
          </w:p>
        </w:tc>
        <w:tc>
          <w:tcPr>
            <w:tcW w:w="5460" w:type="dxa"/>
            <w:gridSpan w:val="3"/>
            <w:tcBorders>
              <w:top w:val="single" w:sz="4" w:space="0" w:color="auto"/>
            </w:tcBorders>
          </w:tcPr>
          <w:p w:rsidR="00425758" w:rsidRDefault="00425758">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rsidR="00425758" w:rsidRDefault="00425758">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rsidR="00425758" w:rsidRDefault="00425758">
            <w:pPr>
              <w:pStyle w:val="yTableNAm"/>
              <w:tabs>
                <w:tab w:val="clear" w:pos="567"/>
                <w:tab w:val="left" w:pos="364"/>
              </w:tabs>
              <w:spacing w:before="0"/>
              <w:ind w:left="364" w:hanging="364"/>
              <w:rPr>
                <w:sz w:val="20"/>
              </w:rPr>
            </w:pPr>
            <w:r>
              <w:rPr>
                <w:sz w:val="20"/>
              </w:rPr>
              <w:t>●</w:t>
            </w:r>
            <w:r>
              <w:rPr>
                <w:sz w:val="20"/>
              </w:rPr>
              <w:tab/>
              <w:t>a copy of every other document that was filed with the appeal notice.</w:t>
            </w:r>
          </w:p>
          <w:p w:rsidR="00425758" w:rsidRDefault="00425758">
            <w:pPr>
              <w:pStyle w:val="yTableNAm"/>
              <w:spacing w:before="0"/>
              <w:rPr>
                <w:sz w:val="20"/>
              </w:rPr>
            </w:pPr>
            <w:r>
              <w:rPr>
                <w:sz w:val="20"/>
              </w:rPr>
              <w:t>I undertake to file an affidavit of service if the Court requires me to.</w:t>
            </w:r>
          </w:p>
        </w:tc>
      </w:tr>
      <w:tr w:rsidR="00425758">
        <w:trPr>
          <w:cantSplit/>
        </w:trPr>
        <w:tc>
          <w:tcPr>
            <w:tcW w:w="1620" w:type="dxa"/>
            <w:tcBorders>
              <w:bottom w:val="single" w:sz="4" w:space="0" w:color="auto"/>
            </w:tcBorders>
          </w:tcPr>
          <w:p w:rsidR="00425758" w:rsidRDefault="00425758">
            <w:pPr>
              <w:pStyle w:val="yTableNAm"/>
              <w:rPr>
                <w:sz w:val="20"/>
              </w:rPr>
            </w:pPr>
            <w:r>
              <w:rPr>
                <w:sz w:val="20"/>
              </w:rPr>
              <w:t>Signature of appellant or lawyer</w:t>
            </w:r>
          </w:p>
        </w:tc>
        <w:tc>
          <w:tcPr>
            <w:tcW w:w="4173" w:type="dxa"/>
            <w:gridSpan w:val="2"/>
            <w:tcBorders>
              <w:bottom w:val="single" w:sz="4" w:space="0" w:color="auto"/>
            </w:tcBorders>
          </w:tcPr>
          <w:p w:rsidR="00425758" w:rsidRDefault="00425758">
            <w:pPr>
              <w:pStyle w:val="yTableNAm"/>
              <w:rPr>
                <w:sz w:val="20"/>
              </w:rPr>
            </w:pPr>
          </w:p>
          <w:p w:rsidR="00425758" w:rsidRDefault="00425758">
            <w:pPr>
              <w:pStyle w:val="yTableNAm"/>
              <w:spacing w:before="0"/>
              <w:rPr>
                <w:sz w:val="20"/>
              </w:rPr>
            </w:pPr>
          </w:p>
          <w:p w:rsidR="00425758" w:rsidRDefault="00425758">
            <w:pPr>
              <w:pStyle w:val="yTableNAm"/>
              <w:spacing w:before="0"/>
              <w:rPr>
                <w:sz w:val="20"/>
              </w:rPr>
            </w:pPr>
            <w:r>
              <w:rPr>
                <w:sz w:val="20"/>
              </w:rPr>
              <w:t>Appellant/Appellant’s lawyer</w:t>
            </w:r>
          </w:p>
        </w:tc>
        <w:tc>
          <w:tcPr>
            <w:tcW w:w="1287" w:type="dxa"/>
            <w:tcBorders>
              <w:bottom w:val="single" w:sz="4" w:space="0" w:color="auto"/>
            </w:tcBorders>
          </w:tcPr>
          <w:p w:rsidR="00425758" w:rsidRDefault="00425758">
            <w:pPr>
              <w:pStyle w:val="yTableNAm"/>
              <w:rPr>
                <w:sz w:val="20"/>
              </w:rPr>
            </w:pPr>
            <w:r>
              <w:rPr>
                <w:sz w:val="20"/>
              </w:rPr>
              <w:t>Date:</w:t>
            </w:r>
          </w:p>
        </w:tc>
      </w:tr>
    </w:tbl>
    <w:p w:rsidR="00425758" w:rsidRDefault="00425758">
      <w:pPr>
        <w:pStyle w:val="yFootnotesection"/>
      </w:pPr>
      <w:r>
        <w:tab/>
        <w:t>[Form 84 inserted: Gazette 21 Feb 2007 p. 573; amended: Gazette 27 Feb 2018 p. 623.]</w:t>
      </w:r>
    </w:p>
    <w:p w:rsidR="00425758" w:rsidRDefault="00425758">
      <w:pPr>
        <w:pStyle w:val="yHeading5"/>
        <w:pageBreakBefore/>
        <w:spacing w:before="0" w:after="120"/>
      </w:pPr>
      <w:bookmarkStart w:id="1410" w:name="_Toc75863975"/>
      <w:r>
        <w:rPr>
          <w:rStyle w:val="CharSClsNo"/>
        </w:rPr>
        <w:lastRenderedPageBreak/>
        <w:t>85</w:t>
      </w:r>
      <w:r>
        <w:t>.</w:t>
      </w:r>
      <w:r>
        <w:tab/>
        <w:t>Notice of respondent’s intention (O. 65 r. 12)</w:t>
      </w:r>
      <w:bookmarkEnd w:id="141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rsidR="00425758">
        <w:trPr>
          <w:cantSplit/>
          <w:trHeight w:val="329"/>
        </w:trPr>
        <w:tc>
          <w:tcPr>
            <w:tcW w:w="3686" w:type="dxa"/>
            <w:gridSpan w:val="2"/>
            <w:vMerge w:val="restart"/>
          </w:tcPr>
          <w:p w:rsidR="00425758" w:rsidRDefault="00425758">
            <w:pPr>
              <w:pStyle w:val="yTableNAm"/>
              <w:spacing w:before="40"/>
              <w:rPr>
                <w:sz w:val="20"/>
              </w:rPr>
            </w:pPr>
            <w:r>
              <w:rPr>
                <w:sz w:val="20"/>
              </w:rPr>
              <w:t>Supreme Court of Western Australia</w:t>
            </w:r>
          </w:p>
          <w:p w:rsidR="00425758" w:rsidRDefault="00425758">
            <w:pPr>
              <w:pStyle w:val="yTableNAm"/>
              <w:spacing w:before="40"/>
              <w:rPr>
                <w:b/>
                <w:sz w:val="20"/>
              </w:rPr>
            </w:pPr>
            <w:r>
              <w:rPr>
                <w:sz w:val="20"/>
              </w:rPr>
              <w:t>General Division</w:t>
            </w:r>
          </w:p>
        </w:tc>
        <w:tc>
          <w:tcPr>
            <w:tcW w:w="3394" w:type="dxa"/>
            <w:gridSpan w:val="2"/>
            <w:tcBorders>
              <w:bottom w:val="nil"/>
            </w:tcBorders>
            <w:vAlign w:val="center"/>
          </w:tcPr>
          <w:p w:rsidR="00425758" w:rsidRDefault="00425758">
            <w:pPr>
              <w:pStyle w:val="yTableNAm"/>
              <w:spacing w:before="40"/>
              <w:rPr>
                <w:sz w:val="20"/>
              </w:rPr>
            </w:pPr>
            <w:r>
              <w:rPr>
                <w:sz w:val="20"/>
              </w:rPr>
              <w:t>No:</w:t>
            </w:r>
          </w:p>
        </w:tc>
      </w:tr>
      <w:tr w:rsidR="00425758">
        <w:trPr>
          <w:cantSplit/>
          <w:trHeight w:val="328"/>
        </w:trPr>
        <w:tc>
          <w:tcPr>
            <w:tcW w:w="3686" w:type="dxa"/>
            <w:gridSpan w:val="2"/>
            <w:vMerge/>
            <w:tcBorders>
              <w:bottom w:val="nil"/>
            </w:tcBorders>
          </w:tcPr>
          <w:p w:rsidR="00425758" w:rsidRDefault="00425758">
            <w:pPr>
              <w:pStyle w:val="yTableNAm"/>
              <w:spacing w:before="40"/>
              <w:rPr>
                <w:sz w:val="20"/>
              </w:rPr>
            </w:pPr>
          </w:p>
        </w:tc>
        <w:tc>
          <w:tcPr>
            <w:tcW w:w="3394" w:type="dxa"/>
            <w:gridSpan w:val="2"/>
            <w:tcBorders>
              <w:bottom w:val="nil"/>
            </w:tcBorders>
          </w:tcPr>
          <w:p w:rsidR="00425758" w:rsidRDefault="00425758">
            <w:pPr>
              <w:pStyle w:val="yTableNAm"/>
              <w:spacing w:before="40"/>
              <w:rPr>
                <w:sz w:val="20"/>
              </w:rPr>
            </w:pPr>
            <w:r>
              <w:rPr>
                <w:b/>
                <w:sz w:val="20"/>
              </w:rPr>
              <w:t>Notice of respondent’s intention</w:t>
            </w:r>
          </w:p>
        </w:tc>
      </w:tr>
      <w:tr w:rsidR="00425758">
        <w:trPr>
          <w:cantSplit/>
        </w:trPr>
        <w:tc>
          <w:tcPr>
            <w:tcW w:w="1620" w:type="dxa"/>
            <w:tcBorders>
              <w:bottom w:val="nil"/>
            </w:tcBorders>
          </w:tcPr>
          <w:p w:rsidR="00425758" w:rsidRDefault="00425758">
            <w:pPr>
              <w:pStyle w:val="yTableNAm"/>
              <w:spacing w:before="40"/>
              <w:rPr>
                <w:sz w:val="20"/>
              </w:rPr>
            </w:pPr>
            <w:r>
              <w:rPr>
                <w:sz w:val="20"/>
              </w:rPr>
              <w:t>Parties to the appeal</w:t>
            </w:r>
          </w:p>
        </w:tc>
        <w:tc>
          <w:tcPr>
            <w:tcW w:w="5460" w:type="dxa"/>
            <w:gridSpan w:val="3"/>
            <w:tcBorders>
              <w:bottom w:val="nil"/>
            </w:tcBorders>
          </w:tcPr>
          <w:p w:rsidR="00425758" w:rsidRDefault="00425758">
            <w:pPr>
              <w:pStyle w:val="yTableNAm"/>
              <w:tabs>
                <w:tab w:val="clear" w:pos="567"/>
                <w:tab w:val="left" w:pos="2884"/>
              </w:tabs>
              <w:spacing w:before="40"/>
              <w:rPr>
                <w:sz w:val="20"/>
              </w:rPr>
            </w:pPr>
            <w:r>
              <w:rPr>
                <w:sz w:val="20"/>
              </w:rPr>
              <w:tab/>
              <w:t>Appellant</w:t>
            </w:r>
          </w:p>
          <w:p w:rsidR="00425758" w:rsidRDefault="00425758">
            <w:pPr>
              <w:pStyle w:val="yTableNAm"/>
              <w:tabs>
                <w:tab w:val="clear" w:pos="567"/>
                <w:tab w:val="left" w:pos="2884"/>
              </w:tabs>
              <w:spacing w:before="40"/>
              <w:rPr>
                <w:sz w:val="20"/>
              </w:rPr>
            </w:pPr>
            <w:r>
              <w:rPr>
                <w:sz w:val="20"/>
              </w:rPr>
              <w:tab/>
              <w:t>Respondent</w:t>
            </w:r>
          </w:p>
        </w:tc>
      </w:tr>
      <w:tr w:rsidR="00425758">
        <w:trPr>
          <w:cantSplit/>
        </w:trPr>
        <w:tc>
          <w:tcPr>
            <w:tcW w:w="1620" w:type="dxa"/>
            <w:tcBorders>
              <w:bottom w:val="single" w:sz="4" w:space="0" w:color="auto"/>
            </w:tcBorders>
          </w:tcPr>
          <w:p w:rsidR="00425758" w:rsidRDefault="00425758">
            <w:pPr>
              <w:pStyle w:val="yTableNAm"/>
              <w:spacing w:before="40"/>
              <w:rPr>
                <w:sz w:val="20"/>
              </w:rPr>
            </w:pPr>
            <w:r>
              <w:rPr>
                <w:sz w:val="20"/>
              </w:rPr>
              <w:t>Notice</w:t>
            </w:r>
          </w:p>
          <w:p w:rsidR="00425758" w:rsidRDefault="00425758">
            <w:pPr>
              <w:pStyle w:val="yTableNAm"/>
              <w:spacing w:before="40"/>
              <w:rPr>
                <w:sz w:val="16"/>
                <w:szCs w:val="16"/>
              </w:rPr>
            </w:pPr>
            <w:r>
              <w:rPr>
                <w:sz w:val="16"/>
                <w:szCs w:val="16"/>
              </w:rPr>
              <w:t>[Tick one box]</w:t>
            </w:r>
          </w:p>
          <w:p w:rsidR="00425758" w:rsidRDefault="00425758">
            <w:pPr>
              <w:pStyle w:val="yTableNAm"/>
              <w:spacing w:before="40"/>
              <w:rPr>
                <w:sz w:val="20"/>
              </w:rPr>
            </w:pPr>
          </w:p>
        </w:tc>
        <w:tc>
          <w:tcPr>
            <w:tcW w:w="5460" w:type="dxa"/>
            <w:gridSpan w:val="3"/>
            <w:tcBorders>
              <w:bottom w:val="single" w:sz="4" w:space="0" w:color="auto"/>
            </w:tcBorders>
          </w:tcPr>
          <w:p w:rsidR="00425758" w:rsidRDefault="00425758">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rsidR="00425758" w:rsidRDefault="00425758">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rsidR="00425758">
        <w:trPr>
          <w:cantSplit/>
        </w:trPr>
        <w:tc>
          <w:tcPr>
            <w:tcW w:w="1620" w:type="dxa"/>
            <w:tcBorders>
              <w:bottom w:val="single" w:sz="4" w:space="0" w:color="auto"/>
            </w:tcBorders>
          </w:tcPr>
          <w:p w:rsidR="00425758" w:rsidRDefault="00425758">
            <w:pPr>
              <w:pStyle w:val="yTableNAm"/>
              <w:spacing w:before="40"/>
              <w:rPr>
                <w:sz w:val="20"/>
              </w:rPr>
            </w:pPr>
            <w:r>
              <w:rPr>
                <w:sz w:val="20"/>
              </w:rPr>
              <w:t>Cross appeal</w:t>
            </w:r>
          </w:p>
          <w:p w:rsidR="00425758" w:rsidRDefault="00425758">
            <w:pPr>
              <w:pStyle w:val="yTableNAm"/>
              <w:spacing w:before="40"/>
              <w:rPr>
                <w:sz w:val="16"/>
                <w:szCs w:val="16"/>
              </w:rPr>
            </w:pPr>
            <w:r>
              <w:rPr>
                <w:sz w:val="16"/>
                <w:szCs w:val="16"/>
              </w:rPr>
              <w:t>[Tick one box]</w:t>
            </w:r>
          </w:p>
        </w:tc>
        <w:tc>
          <w:tcPr>
            <w:tcW w:w="5460" w:type="dxa"/>
            <w:gridSpan w:val="3"/>
            <w:tcBorders>
              <w:bottom w:val="single" w:sz="4" w:space="0" w:color="auto"/>
            </w:tcBorders>
          </w:tcPr>
          <w:p w:rsidR="00425758" w:rsidRDefault="00425758">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rsidR="00425758" w:rsidRDefault="00425758">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rsidR="00425758">
        <w:trPr>
          <w:cantSplit/>
        </w:trPr>
        <w:tc>
          <w:tcPr>
            <w:tcW w:w="1620" w:type="dxa"/>
            <w:tcBorders>
              <w:top w:val="single" w:sz="4" w:space="0" w:color="auto"/>
              <w:bottom w:val="nil"/>
            </w:tcBorders>
          </w:tcPr>
          <w:p w:rsidR="00425758" w:rsidRDefault="00425758">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rsidR="00425758" w:rsidRDefault="00425758">
            <w:pPr>
              <w:pStyle w:val="yTableNAm"/>
              <w:spacing w:before="40"/>
              <w:rPr>
                <w:sz w:val="20"/>
              </w:rPr>
            </w:pPr>
            <w:r>
              <w:rPr>
                <w:sz w:val="20"/>
              </w:rPr>
              <w:t>Last date:</w:t>
            </w:r>
          </w:p>
          <w:p w:rsidR="00425758" w:rsidRDefault="00425758">
            <w:pPr>
              <w:pStyle w:val="yTableNAm"/>
              <w:spacing w:before="40"/>
              <w:rPr>
                <w:sz w:val="20"/>
              </w:rPr>
            </w:pPr>
            <w:r>
              <w:rPr>
                <w:sz w:val="20"/>
              </w:rPr>
              <w:t>Is an extension of time needed? Yes/No</w:t>
            </w:r>
          </w:p>
        </w:tc>
      </w:tr>
      <w:tr w:rsidR="00425758">
        <w:trPr>
          <w:cantSplit/>
        </w:trPr>
        <w:tc>
          <w:tcPr>
            <w:tcW w:w="1620" w:type="dxa"/>
            <w:tcBorders>
              <w:bottom w:val="nil"/>
            </w:tcBorders>
          </w:tcPr>
          <w:p w:rsidR="00425758" w:rsidRDefault="00425758">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rsidR="00425758" w:rsidRDefault="00425758">
            <w:pPr>
              <w:pStyle w:val="yTableNAm"/>
              <w:spacing w:before="40"/>
              <w:rPr>
                <w:sz w:val="20"/>
              </w:rPr>
            </w:pPr>
            <w:r>
              <w:rPr>
                <w:sz w:val="20"/>
              </w:rPr>
              <w:t>Is leave to appeal needed? Yes/No</w:t>
            </w:r>
          </w:p>
          <w:p w:rsidR="00425758" w:rsidRDefault="00425758">
            <w:pPr>
              <w:pStyle w:val="yTableNAm"/>
              <w:spacing w:before="40"/>
              <w:rPr>
                <w:sz w:val="20"/>
              </w:rPr>
            </w:pPr>
            <w:r>
              <w:rPr>
                <w:sz w:val="20"/>
              </w:rPr>
              <w:t>If yes, state the Act and section requiring leave:</w:t>
            </w:r>
          </w:p>
        </w:tc>
      </w:tr>
      <w:tr w:rsidR="00425758">
        <w:trPr>
          <w:cantSplit/>
        </w:trPr>
        <w:tc>
          <w:tcPr>
            <w:tcW w:w="1620" w:type="dxa"/>
            <w:tcBorders>
              <w:bottom w:val="nil"/>
            </w:tcBorders>
          </w:tcPr>
          <w:p w:rsidR="00425758" w:rsidRDefault="00425758">
            <w:pPr>
              <w:pStyle w:val="yTableNAm"/>
              <w:spacing w:before="40"/>
              <w:rPr>
                <w:sz w:val="20"/>
              </w:rPr>
            </w:pPr>
            <w:r>
              <w:rPr>
                <w:sz w:val="20"/>
              </w:rPr>
              <w:t>Legal representation</w:t>
            </w:r>
          </w:p>
        </w:tc>
        <w:tc>
          <w:tcPr>
            <w:tcW w:w="5460" w:type="dxa"/>
            <w:gridSpan w:val="3"/>
            <w:tcBorders>
              <w:bottom w:val="nil"/>
            </w:tcBorders>
          </w:tcPr>
          <w:p w:rsidR="00425758" w:rsidRDefault="00425758">
            <w:pPr>
              <w:pStyle w:val="yTableNAm"/>
              <w:spacing w:before="40"/>
              <w:rPr>
                <w:sz w:val="20"/>
              </w:rPr>
            </w:pPr>
            <w:r>
              <w:rPr>
                <w:sz w:val="20"/>
              </w:rPr>
              <w:t>Is the respondent legally represented in this appeal? Yes/No</w:t>
            </w:r>
          </w:p>
          <w:p w:rsidR="00425758" w:rsidRDefault="00425758">
            <w:pPr>
              <w:pStyle w:val="yTableNAm"/>
              <w:spacing w:before="40"/>
              <w:rPr>
                <w:sz w:val="20"/>
              </w:rPr>
            </w:pPr>
            <w:r>
              <w:rPr>
                <w:sz w:val="20"/>
              </w:rPr>
              <w:t>Is the respondent applying for legal aid? Yes/No</w:t>
            </w:r>
          </w:p>
        </w:tc>
      </w:tr>
      <w:tr w:rsidR="00425758">
        <w:trPr>
          <w:cantSplit/>
        </w:trPr>
        <w:tc>
          <w:tcPr>
            <w:tcW w:w="7080" w:type="dxa"/>
            <w:gridSpan w:val="4"/>
            <w:tcBorders>
              <w:bottom w:val="single" w:sz="4" w:space="0" w:color="auto"/>
            </w:tcBorders>
          </w:tcPr>
          <w:p w:rsidR="00425758" w:rsidRDefault="00425758">
            <w:pPr>
              <w:pStyle w:val="yTableNAm"/>
              <w:spacing w:before="40"/>
              <w:rPr>
                <w:b/>
                <w:sz w:val="20"/>
              </w:rPr>
            </w:pPr>
            <w:r>
              <w:rPr>
                <w:b/>
                <w:sz w:val="20"/>
              </w:rPr>
              <w:t>Respondent’s details</w:t>
            </w:r>
          </w:p>
        </w:tc>
      </w:tr>
      <w:tr w:rsidR="00425758">
        <w:trPr>
          <w:cantSplit/>
        </w:trPr>
        <w:tc>
          <w:tcPr>
            <w:tcW w:w="1620" w:type="dxa"/>
            <w:tcBorders>
              <w:bottom w:val="single" w:sz="4" w:space="0" w:color="auto"/>
            </w:tcBorders>
          </w:tcPr>
          <w:p w:rsidR="00425758" w:rsidRDefault="00425758">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rsidR="00425758" w:rsidRDefault="00425758">
            <w:pPr>
              <w:pStyle w:val="yTableNAm"/>
              <w:spacing w:before="40"/>
              <w:rPr>
                <w:sz w:val="20"/>
              </w:rPr>
            </w:pPr>
          </w:p>
        </w:tc>
      </w:tr>
      <w:tr w:rsidR="00425758">
        <w:trPr>
          <w:cantSplit/>
        </w:trPr>
        <w:tc>
          <w:tcPr>
            <w:tcW w:w="1620" w:type="dxa"/>
            <w:tcBorders>
              <w:bottom w:val="single" w:sz="4" w:space="0" w:color="auto"/>
            </w:tcBorders>
          </w:tcPr>
          <w:p w:rsidR="00425758" w:rsidRDefault="00425758">
            <w:pPr>
              <w:pStyle w:val="yTableNAm"/>
              <w:spacing w:before="40"/>
              <w:rPr>
                <w:sz w:val="20"/>
              </w:rPr>
            </w:pPr>
            <w:r>
              <w:rPr>
                <w:sz w:val="20"/>
              </w:rPr>
              <w:t>Respondent’s service details</w:t>
            </w:r>
            <w:r>
              <w:rPr>
                <w:sz w:val="20"/>
                <w:vertAlign w:val="superscript"/>
              </w:rPr>
              <w:t>3</w:t>
            </w:r>
          </w:p>
        </w:tc>
        <w:tc>
          <w:tcPr>
            <w:tcW w:w="5460" w:type="dxa"/>
            <w:gridSpan w:val="3"/>
            <w:tcBorders>
              <w:bottom w:val="single" w:sz="4" w:space="0" w:color="auto"/>
            </w:tcBorders>
          </w:tcPr>
          <w:p w:rsidR="00425758" w:rsidRDefault="00425758">
            <w:pPr>
              <w:pStyle w:val="yTableNAm"/>
              <w:spacing w:before="40"/>
              <w:rPr>
                <w:sz w:val="20"/>
              </w:rPr>
            </w:pPr>
          </w:p>
        </w:tc>
      </w:tr>
      <w:tr w:rsidR="00425758">
        <w:trPr>
          <w:cantSplit/>
        </w:trPr>
        <w:tc>
          <w:tcPr>
            <w:tcW w:w="7080" w:type="dxa"/>
            <w:gridSpan w:val="4"/>
            <w:tcBorders>
              <w:bottom w:val="nil"/>
            </w:tcBorders>
          </w:tcPr>
          <w:p w:rsidR="00425758" w:rsidRDefault="00425758">
            <w:pPr>
              <w:pStyle w:val="yTableNAm"/>
              <w:spacing w:before="40"/>
              <w:rPr>
                <w:b/>
                <w:sz w:val="20"/>
              </w:rPr>
            </w:pPr>
            <w:r>
              <w:rPr>
                <w:b/>
                <w:sz w:val="20"/>
              </w:rPr>
              <w:t>Signature and date</w:t>
            </w:r>
          </w:p>
        </w:tc>
      </w:tr>
      <w:tr w:rsidR="00425758">
        <w:trPr>
          <w:cantSplit/>
        </w:trPr>
        <w:tc>
          <w:tcPr>
            <w:tcW w:w="1620" w:type="dxa"/>
            <w:tcBorders>
              <w:bottom w:val="single" w:sz="4" w:space="0" w:color="auto"/>
            </w:tcBorders>
          </w:tcPr>
          <w:p w:rsidR="00425758" w:rsidRDefault="00425758">
            <w:pPr>
              <w:pStyle w:val="yTableNAm"/>
              <w:spacing w:before="40"/>
              <w:rPr>
                <w:sz w:val="20"/>
              </w:rPr>
            </w:pPr>
            <w:r>
              <w:rPr>
                <w:sz w:val="20"/>
              </w:rPr>
              <w:t>Signature of respondent or lawyer</w:t>
            </w:r>
          </w:p>
        </w:tc>
        <w:tc>
          <w:tcPr>
            <w:tcW w:w="4173" w:type="dxa"/>
            <w:gridSpan w:val="2"/>
            <w:tcBorders>
              <w:bottom w:val="single" w:sz="4" w:space="0" w:color="auto"/>
            </w:tcBorders>
          </w:tcPr>
          <w:p w:rsidR="00425758" w:rsidRDefault="00425758">
            <w:pPr>
              <w:pStyle w:val="yTableNAm"/>
              <w:spacing w:before="40"/>
              <w:rPr>
                <w:sz w:val="20"/>
              </w:rPr>
            </w:pPr>
          </w:p>
          <w:p w:rsidR="00425758" w:rsidRDefault="00425758">
            <w:pPr>
              <w:pStyle w:val="yTableNAm"/>
              <w:spacing w:before="40"/>
              <w:rPr>
                <w:sz w:val="20"/>
              </w:rPr>
            </w:pPr>
          </w:p>
          <w:p w:rsidR="00425758" w:rsidRDefault="00425758">
            <w:pPr>
              <w:pStyle w:val="yTableNAm"/>
              <w:spacing w:before="40"/>
              <w:rPr>
                <w:sz w:val="20"/>
              </w:rPr>
            </w:pPr>
            <w:r>
              <w:rPr>
                <w:sz w:val="20"/>
              </w:rPr>
              <w:t>Respondent/Respondent’s lawyer</w:t>
            </w:r>
          </w:p>
        </w:tc>
        <w:tc>
          <w:tcPr>
            <w:tcW w:w="1287" w:type="dxa"/>
            <w:tcBorders>
              <w:bottom w:val="single" w:sz="4" w:space="0" w:color="auto"/>
            </w:tcBorders>
          </w:tcPr>
          <w:p w:rsidR="00425758" w:rsidRDefault="00425758">
            <w:pPr>
              <w:pStyle w:val="yTableNAm"/>
              <w:spacing w:before="40"/>
              <w:rPr>
                <w:sz w:val="20"/>
              </w:rPr>
            </w:pPr>
            <w:r>
              <w:rPr>
                <w:sz w:val="20"/>
              </w:rPr>
              <w:t>Date:</w:t>
            </w:r>
          </w:p>
        </w:tc>
      </w:tr>
    </w:tbl>
    <w:p w:rsidR="00425758" w:rsidRDefault="00425758">
      <w:pPr>
        <w:pStyle w:val="yMiscellaneousBody"/>
        <w:ind w:left="540" w:hanging="540"/>
        <w:rPr>
          <w:sz w:val="20"/>
        </w:rPr>
      </w:pPr>
      <w:r>
        <w:rPr>
          <w:sz w:val="20"/>
        </w:rPr>
        <w:t>Notes to Form No. 85 —</w:t>
      </w:r>
    </w:p>
    <w:p w:rsidR="00425758" w:rsidRDefault="00425758">
      <w:pPr>
        <w:pStyle w:val="yMiscellaneousBody"/>
        <w:spacing w:before="0"/>
        <w:ind w:left="540" w:hanging="540"/>
        <w:rPr>
          <w:sz w:val="20"/>
        </w:rPr>
      </w:pPr>
      <w:r>
        <w:rPr>
          <w:sz w:val="20"/>
        </w:rPr>
        <w:t>1.</w:t>
      </w:r>
      <w:r>
        <w:rPr>
          <w:sz w:val="20"/>
        </w:rPr>
        <w:tab/>
        <w:t>Complete this only if the respondent also appeals against the primary court’s decision.</w:t>
      </w:r>
    </w:p>
    <w:p w:rsidR="00425758" w:rsidRDefault="00425758">
      <w:pPr>
        <w:pStyle w:val="yMiscellaneousBody"/>
        <w:spacing w:before="0"/>
        <w:ind w:left="540" w:hanging="540"/>
        <w:rPr>
          <w:sz w:val="20"/>
        </w:rPr>
      </w:pPr>
      <w:r>
        <w:rPr>
          <w:sz w:val="20"/>
        </w:rPr>
        <w:t>2.</w:t>
      </w:r>
      <w:r>
        <w:rPr>
          <w:sz w:val="20"/>
        </w:rPr>
        <w:tab/>
        <w:t>Must be provided unless otherwise ordered by the Court.  See Order 71A r. 2 and 3A.</w:t>
      </w:r>
    </w:p>
    <w:p w:rsidR="00425758" w:rsidRDefault="00425758">
      <w:pPr>
        <w:pStyle w:val="yMiscellaneousBody"/>
        <w:spacing w:before="0"/>
        <w:ind w:left="540" w:hanging="540"/>
        <w:rPr>
          <w:sz w:val="20"/>
        </w:rPr>
      </w:pPr>
      <w:r>
        <w:rPr>
          <w:sz w:val="20"/>
        </w:rPr>
        <w:t>3.</w:t>
      </w:r>
      <w:r>
        <w:rPr>
          <w:sz w:val="20"/>
        </w:rPr>
        <w:tab/>
        <w:t>Must be in accordance with Order 71A.</w:t>
      </w:r>
    </w:p>
    <w:p w:rsidR="00425758" w:rsidRDefault="00425758">
      <w:pPr>
        <w:pStyle w:val="yFootnotesection"/>
      </w:pPr>
      <w:r>
        <w:tab/>
        <w:t>[Form 85 inserted: Gazette 21 Feb 2007 p. 574; amended: Gazette 13 Nov 2015 p. 4655.]</w:t>
      </w:r>
    </w:p>
    <w:p w:rsidR="00425758" w:rsidRDefault="00425758">
      <w:pPr>
        <w:pStyle w:val="yHeading5"/>
        <w:pageBreakBefore/>
        <w:spacing w:before="0" w:after="120"/>
      </w:pPr>
      <w:bookmarkStart w:id="1411" w:name="_Toc75863976"/>
      <w:r>
        <w:rPr>
          <w:rStyle w:val="CharSClsNo"/>
        </w:rPr>
        <w:lastRenderedPageBreak/>
        <w:t>86</w:t>
      </w:r>
      <w:r>
        <w:t>.</w:t>
      </w:r>
      <w:r>
        <w:tab/>
        <w:t>Application in an appeal (O. 65 r. 13)</w:t>
      </w:r>
      <w:bookmarkEnd w:id="141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rsidR="00425758">
        <w:trPr>
          <w:cantSplit/>
          <w:trHeight w:val="329"/>
        </w:trPr>
        <w:tc>
          <w:tcPr>
            <w:tcW w:w="3686" w:type="dxa"/>
            <w:gridSpan w:val="2"/>
            <w:vMerge w:val="restart"/>
          </w:tcPr>
          <w:p w:rsidR="00425758" w:rsidRDefault="00425758">
            <w:pPr>
              <w:pStyle w:val="yTableNAm"/>
              <w:spacing w:before="0"/>
              <w:rPr>
                <w:sz w:val="20"/>
              </w:rPr>
            </w:pPr>
            <w:r>
              <w:rPr>
                <w:sz w:val="20"/>
              </w:rPr>
              <w:t>Supreme Court of Western Australia</w:t>
            </w:r>
          </w:p>
          <w:p w:rsidR="00425758" w:rsidRDefault="00425758">
            <w:pPr>
              <w:pStyle w:val="yTableNAm"/>
              <w:spacing w:before="0"/>
              <w:rPr>
                <w:b/>
                <w:sz w:val="20"/>
              </w:rPr>
            </w:pPr>
            <w:r>
              <w:rPr>
                <w:sz w:val="20"/>
              </w:rPr>
              <w:t>General Division</w:t>
            </w:r>
          </w:p>
        </w:tc>
        <w:tc>
          <w:tcPr>
            <w:tcW w:w="3394" w:type="dxa"/>
            <w:gridSpan w:val="2"/>
            <w:tcBorders>
              <w:bottom w:val="nil"/>
            </w:tcBorders>
            <w:vAlign w:val="center"/>
          </w:tcPr>
          <w:p w:rsidR="00425758" w:rsidRDefault="00425758">
            <w:pPr>
              <w:pStyle w:val="yTableNAm"/>
              <w:spacing w:before="0"/>
              <w:rPr>
                <w:sz w:val="20"/>
              </w:rPr>
            </w:pPr>
            <w:r>
              <w:rPr>
                <w:sz w:val="20"/>
              </w:rPr>
              <w:t>No:</w:t>
            </w:r>
          </w:p>
        </w:tc>
      </w:tr>
      <w:tr w:rsidR="00425758">
        <w:trPr>
          <w:cantSplit/>
          <w:trHeight w:val="328"/>
        </w:trPr>
        <w:tc>
          <w:tcPr>
            <w:tcW w:w="3686" w:type="dxa"/>
            <w:gridSpan w:val="2"/>
            <w:vMerge/>
            <w:tcBorders>
              <w:bottom w:val="nil"/>
            </w:tcBorders>
          </w:tcPr>
          <w:p w:rsidR="00425758" w:rsidRDefault="00425758">
            <w:pPr>
              <w:pStyle w:val="yTableNAm"/>
              <w:spacing w:before="0"/>
              <w:rPr>
                <w:sz w:val="20"/>
              </w:rPr>
            </w:pPr>
          </w:p>
        </w:tc>
        <w:tc>
          <w:tcPr>
            <w:tcW w:w="3394" w:type="dxa"/>
            <w:gridSpan w:val="2"/>
            <w:tcBorders>
              <w:bottom w:val="nil"/>
            </w:tcBorders>
          </w:tcPr>
          <w:p w:rsidR="00425758" w:rsidRDefault="00425758">
            <w:pPr>
              <w:pStyle w:val="yTableNAm"/>
              <w:spacing w:before="0"/>
              <w:rPr>
                <w:sz w:val="20"/>
              </w:rPr>
            </w:pPr>
            <w:r>
              <w:rPr>
                <w:b/>
                <w:sz w:val="20"/>
              </w:rPr>
              <w:t>Application in an appeal</w:t>
            </w:r>
          </w:p>
        </w:tc>
      </w:tr>
      <w:tr w:rsidR="00425758">
        <w:trPr>
          <w:cantSplit/>
        </w:trPr>
        <w:tc>
          <w:tcPr>
            <w:tcW w:w="1620" w:type="dxa"/>
            <w:tcBorders>
              <w:bottom w:val="nil"/>
            </w:tcBorders>
          </w:tcPr>
          <w:p w:rsidR="00425758" w:rsidRDefault="00425758">
            <w:pPr>
              <w:pStyle w:val="yTableNAm"/>
              <w:spacing w:before="0"/>
              <w:rPr>
                <w:sz w:val="20"/>
              </w:rPr>
            </w:pPr>
            <w:r>
              <w:rPr>
                <w:sz w:val="20"/>
              </w:rPr>
              <w:t>Parties to the appeal</w:t>
            </w:r>
          </w:p>
        </w:tc>
        <w:tc>
          <w:tcPr>
            <w:tcW w:w="5460" w:type="dxa"/>
            <w:gridSpan w:val="3"/>
            <w:tcBorders>
              <w:bottom w:val="nil"/>
            </w:tcBorders>
          </w:tcPr>
          <w:p w:rsidR="00425758" w:rsidRDefault="00425758">
            <w:pPr>
              <w:pStyle w:val="yTableNAm"/>
              <w:tabs>
                <w:tab w:val="clear" w:pos="567"/>
                <w:tab w:val="left" w:pos="2884"/>
              </w:tabs>
              <w:spacing w:before="0"/>
              <w:rPr>
                <w:sz w:val="20"/>
              </w:rPr>
            </w:pPr>
            <w:r>
              <w:rPr>
                <w:sz w:val="20"/>
              </w:rPr>
              <w:tab/>
              <w:t>Appellant</w:t>
            </w:r>
          </w:p>
          <w:p w:rsidR="00425758" w:rsidRDefault="00425758">
            <w:pPr>
              <w:pStyle w:val="yTableNAm"/>
              <w:tabs>
                <w:tab w:val="clear" w:pos="567"/>
                <w:tab w:val="left" w:pos="2884"/>
              </w:tabs>
              <w:spacing w:before="0"/>
              <w:rPr>
                <w:sz w:val="20"/>
              </w:rPr>
            </w:pPr>
            <w:r>
              <w:rPr>
                <w:sz w:val="20"/>
              </w:rPr>
              <w:tab/>
              <w:t>Respondent</w:t>
            </w:r>
          </w:p>
        </w:tc>
      </w:tr>
      <w:tr w:rsidR="00425758">
        <w:trPr>
          <w:cantSplit/>
        </w:trPr>
        <w:tc>
          <w:tcPr>
            <w:tcW w:w="1620" w:type="dxa"/>
          </w:tcPr>
          <w:p w:rsidR="00425758" w:rsidRDefault="00425758">
            <w:pPr>
              <w:pStyle w:val="yTableNAm"/>
              <w:spacing w:before="0"/>
              <w:rPr>
                <w:sz w:val="20"/>
              </w:rPr>
            </w:pPr>
            <w:r>
              <w:rPr>
                <w:sz w:val="20"/>
              </w:rPr>
              <w:t>Applicant</w:t>
            </w:r>
          </w:p>
        </w:tc>
        <w:tc>
          <w:tcPr>
            <w:tcW w:w="5460" w:type="dxa"/>
            <w:gridSpan w:val="3"/>
          </w:tcPr>
          <w:p w:rsidR="00425758" w:rsidRDefault="00425758">
            <w:pPr>
              <w:pStyle w:val="yTableNAm"/>
              <w:spacing w:before="0"/>
              <w:rPr>
                <w:sz w:val="20"/>
              </w:rPr>
            </w:pPr>
            <w:r>
              <w:rPr>
                <w:sz w:val="20"/>
              </w:rPr>
              <w:t>Appellant/Respondent</w:t>
            </w:r>
          </w:p>
        </w:tc>
      </w:tr>
      <w:tr w:rsidR="00425758">
        <w:trPr>
          <w:cantSplit/>
        </w:trPr>
        <w:tc>
          <w:tcPr>
            <w:tcW w:w="1620" w:type="dxa"/>
            <w:tcBorders>
              <w:bottom w:val="single" w:sz="4" w:space="0" w:color="auto"/>
            </w:tcBorders>
          </w:tcPr>
          <w:p w:rsidR="00425758" w:rsidRDefault="00425758">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rsidR="00425758" w:rsidRDefault="00425758">
            <w:pPr>
              <w:pStyle w:val="yTableNAm"/>
              <w:spacing w:before="0"/>
              <w:rPr>
                <w:sz w:val="20"/>
              </w:rPr>
            </w:pPr>
            <w:r>
              <w:rPr>
                <w:sz w:val="20"/>
              </w:rPr>
              <w:t xml:space="preserve">The applicant applies for — </w:t>
            </w:r>
          </w:p>
          <w:p w:rsidR="00425758" w:rsidRDefault="00425758">
            <w:pPr>
              <w:pStyle w:val="yTableNAm"/>
              <w:spacing w:before="0"/>
              <w:rPr>
                <w:sz w:val="20"/>
              </w:rPr>
            </w:pPr>
          </w:p>
        </w:tc>
      </w:tr>
      <w:tr w:rsidR="00425758">
        <w:trPr>
          <w:cantSplit/>
        </w:trPr>
        <w:tc>
          <w:tcPr>
            <w:tcW w:w="1620" w:type="dxa"/>
            <w:tcBorders>
              <w:bottom w:val="single" w:sz="4" w:space="0" w:color="auto"/>
            </w:tcBorders>
          </w:tcPr>
          <w:p w:rsidR="00425758" w:rsidRDefault="00425758">
            <w:pPr>
              <w:pStyle w:val="yTableNAm"/>
              <w:spacing w:before="0"/>
              <w:rPr>
                <w:sz w:val="20"/>
              </w:rPr>
            </w:pPr>
            <w:r>
              <w:rPr>
                <w:sz w:val="20"/>
              </w:rPr>
              <w:t>Conference between parties</w:t>
            </w:r>
          </w:p>
          <w:p w:rsidR="00425758" w:rsidRDefault="00425758">
            <w:pPr>
              <w:pStyle w:val="yTableNAm"/>
              <w:spacing w:before="0"/>
              <w:rPr>
                <w:sz w:val="16"/>
                <w:szCs w:val="16"/>
              </w:rPr>
            </w:pPr>
            <w:r>
              <w:rPr>
                <w:sz w:val="16"/>
                <w:szCs w:val="16"/>
              </w:rPr>
              <w:t>[Tick one box]</w:t>
            </w:r>
          </w:p>
        </w:tc>
        <w:tc>
          <w:tcPr>
            <w:tcW w:w="5460" w:type="dxa"/>
            <w:gridSpan w:val="3"/>
            <w:tcBorders>
              <w:bottom w:val="single" w:sz="4" w:space="0" w:color="auto"/>
            </w:tcBorders>
          </w:tcPr>
          <w:p w:rsidR="00425758" w:rsidRDefault="00425758">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rsidR="00425758" w:rsidRDefault="00425758">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rsidR="00425758">
        <w:trPr>
          <w:cantSplit/>
        </w:trPr>
        <w:tc>
          <w:tcPr>
            <w:tcW w:w="1620" w:type="dxa"/>
            <w:tcBorders>
              <w:top w:val="single" w:sz="4" w:space="0" w:color="auto"/>
              <w:bottom w:val="single" w:sz="4" w:space="0" w:color="auto"/>
            </w:tcBorders>
          </w:tcPr>
          <w:p w:rsidR="00425758" w:rsidRDefault="00425758">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rsidR="00425758" w:rsidRDefault="00425758">
            <w:pPr>
              <w:pStyle w:val="yTableNAm"/>
              <w:spacing w:before="0"/>
              <w:rPr>
                <w:sz w:val="20"/>
              </w:rPr>
            </w:pPr>
          </w:p>
          <w:p w:rsidR="00425758" w:rsidRDefault="00425758">
            <w:pPr>
              <w:pStyle w:val="yTableNAm"/>
              <w:spacing w:before="0"/>
              <w:rPr>
                <w:sz w:val="20"/>
              </w:rPr>
            </w:pPr>
          </w:p>
          <w:p w:rsidR="00425758" w:rsidRDefault="00425758">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rsidR="00425758" w:rsidRDefault="00425758">
            <w:pPr>
              <w:pStyle w:val="yTableNAm"/>
              <w:spacing w:before="0"/>
              <w:rPr>
                <w:sz w:val="20"/>
              </w:rPr>
            </w:pPr>
            <w:r>
              <w:rPr>
                <w:sz w:val="20"/>
              </w:rPr>
              <w:t>Date:</w:t>
            </w:r>
          </w:p>
        </w:tc>
      </w:tr>
    </w:tbl>
    <w:p w:rsidR="00425758" w:rsidRDefault="00425758">
      <w:pPr>
        <w:pStyle w:val="yMiscellaneousBody"/>
        <w:ind w:left="540" w:hanging="540"/>
        <w:rPr>
          <w:sz w:val="20"/>
        </w:rPr>
      </w:pPr>
      <w:r>
        <w:rPr>
          <w:sz w:val="20"/>
        </w:rPr>
        <w:t>Notes to Form No. 86 —</w:t>
      </w:r>
    </w:p>
    <w:p w:rsidR="00425758" w:rsidRDefault="00425758">
      <w:pPr>
        <w:pStyle w:val="yMiscellaneousBody"/>
        <w:spacing w:before="0"/>
        <w:ind w:left="540" w:hanging="540"/>
        <w:rPr>
          <w:sz w:val="20"/>
        </w:rPr>
      </w:pPr>
      <w:r>
        <w:rPr>
          <w:sz w:val="20"/>
        </w:rPr>
        <w:t>1.</w:t>
      </w:r>
      <w:r>
        <w:rPr>
          <w:sz w:val="20"/>
        </w:rPr>
        <w:tab/>
        <w:t>State —</w:t>
      </w:r>
    </w:p>
    <w:p w:rsidR="00425758" w:rsidRDefault="00425758">
      <w:pPr>
        <w:pStyle w:val="yMiscellaneousBody"/>
        <w:numPr>
          <w:ilvl w:val="0"/>
          <w:numId w:val="1"/>
        </w:numPr>
        <w:tabs>
          <w:tab w:val="clear" w:pos="1260"/>
          <w:tab w:val="num" w:pos="1080"/>
        </w:tabs>
        <w:spacing w:before="0"/>
        <w:ind w:left="540" w:firstLine="0"/>
        <w:rPr>
          <w:sz w:val="20"/>
        </w:rPr>
      </w:pPr>
      <w:r>
        <w:rPr>
          <w:sz w:val="20"/>
        </w:rPr>
        <w:t>the order or orders sought; and</w:t>
      </w:r>
    </w:p>
    <w:p w:rsidR="00425758" w:rsidRDefault="00425758">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rsidR="00425758" w:rsidRDefault="00425758">
      <w:pPr>
        <w:pStyle w:val="yMiscellaneousBody"/>
        <w:spacing w:before="0"/>
        <w:ind w:left="540" w:hanging="540"/>
        <w:rPr>
          <w:sz w:val="20"/>
        </w:rPr>
      </w:pPr>
      <w:r>
        <w:rPr>
          <w:sz w:val="20"/>
        </w:rPr>
        <w:t>2.</w:t>
      </w:r>
      <w:r>
        <w:rPr>
          <w:sz w:val="20"/>
        </w:rPr>
        <w:tab/>
        <w:t>State the reasons why the parties have not conferred.</w:t>
      </w:r>
    </w:p>
    <w:p w:rsidR="00425758" w:rsidRDefault="00425758">
      <w:pPr>
        <w:pStyle w:val="yFootnotesection"/>
      </w:pPr>
      <w:r>
        <w:tab/>
        <w:t>[Form 86 inserted: Gazette 21 Feb 2007 p. 574</w:t>
      </w:r>
      <w:r>
        <w:noBreakHyphen/>
        <w:t>5.]</w:t>
      </w:r>
    </w:p>
    <w:p w:rsidR="00425758" w:rsidRDefault="00425758">
      <w:pPr>
        <w:pStyle w:val="yHeading5"/>
        <w:spacing w:before="480" w:after="120"/>
      </w:pPr>
      <w:bookmarkStart w:id="1412" w:name="_Toc75863977"/>
      <w:r>
        <w:rPr>
          <w:rStyle w:val="CharSClsNo"/>
        </w:rPr>
        <w:t>87</w:t>
      </w:r>
      <w:r>
        <w:t>.</w:t>
      </w:r>
      <w:r>
        <w:tab/>
        <w:t>Consent notice (O. 65 r. 15 &amp; 18)</w:t>
      </w:r>
      <w:bookmarkEnd w:id="141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rsidR="00425758">
        <w:trPr>
          <w:cantSplit/>
          <w:trHeight w:val="329"/>
        </w:trPr>
        <w:tc>
          <w:tcPr>
            <w:tcW w:w="3686" w:type="dxa"/>
            <w:gridSpan w:val="2"/>
            <w:vMerge w:val="restart"/>
          </w:tcPr>
          <w:p w:rsidR="00425758" w:rsidRDefault="00425758">
            <w:pPr>
              <w:pStyle w:val="yTableNAm"/>
              <w:spacing w:before="0"/>
              <w:rPr>
                <w:sz w:val="20"/>
              </w:rPr>
            </w:pPr>
            <w:r>
              <w:rPr>
                <w:sz w:val="20"/>
              </w:rPr>
              <w:t>Supreme Court of Western Australia</w:t>
            </w:r>
          </w:p>
          <w:p w:rsidR="00425758" w:rsidRDefault="00425758">
            <w:pPr>
              <w:pStyle w:val="yTableNAm"/>
              <w:spacing w:before="0"/>
              <w:rPr>
                <w:b/>
                <w:sz w:val="20"/>
              </w:rPr>
            </w:pPr>
            <w:r>
              <w:rPr>
                <w:sz w:val="20"/>
              </w:rPr>
              <w:t>General Division</w:t>
            </w:r>
          </w:p>
        </w:tc>
        <w:tc>
          <w:tcPr>
            <w:tcW w:w="3394" w:type="dxa"/>
            <w:gridSpan w:val="2"/>
            <w:tcBorders>
              <w:bottom w:val="nil"/>
            </w:tcBorders>
            <w:vAlign w:val="center"/>
          </w:tcPr>
          <w:p w:rsidR="00425758" w:rsidRDefault="00425758">
            <w:pPr>
              <w:pStyle w:val="yTableNAm"/>
              <w:spacing w:before="0"/>
              <w:rPr>
                <w:sz w:val="20"/>
              </w:rPr>
            </w:pPr>
            <w:r>
              <w:rPr>
                <w:sz w:val="20"/>
              </w:rPr>
              <w:t>No:</w:t>
            </w:r>
          </w:p>
        </w:tc>
      </w:tr>
      <w:tr w:rsidR="00425758">
        <w:trPr>
          <w:cantSplit/>
          <w:trHeight w:val="328"/>
        </w:trPr>
        <w:tc>
          <w:tcPr>
            <w:tcW w:w="3686" w:type="dxa"/>
            <w:gridSpan w:val="2"/>
            <w:vMerge/>
            <w:tcBorders>
              <w:bottom w:val="single" w:sz="4" w:space="0" w:color="auto"/>
            </w:tcBorders>
          </w:tcPr>
          <w:p w:rsidR="00425758" w:rsidRDefault="00425758">
            <w:pPr>
              <w:pStyle w:val="yTableNAm"/>
              <w:spacing w:before="0"/>
              <w:rPr>
                <w:sz w:val="20"/>
              </w:rPr>
            </w:pPr>
          </w:p>
        </w:tc>
        <w:tc>
          <w:tcPr>
            <w:tcW w:w="3394" w:type="dxa"/>
            <w:gridSpan w:val="2"/>
            <w:tcBorders>
              <w:bottom w:val="single" w:sz="4" w:space="0" w:color="auto"/>
            </w:tcBorders>
          </w:tcPr>
          <w:p w:rsidR="00425758" w:rsidRDefault="00425758">
            <w:pPr>
              <w:pStyle w:val="yTableNAm"/>
              <w:spacing w:before="0"/>
              <w:rPr>
                <w:sz w:val="20"/>
              </w:rPr>
            </w:pPr>
            <w:r>
              <w:rPr>
                <w:b/>
                <w:sz w:val="20"/>
              </w:rPr>
              <w:t>Consent notice</w:t>
            </w:r>
          </w:p>
        </w:tc>
      </w:tr>
      <w:tr w:rsidR="00425758">
        <w:trPr>
          <w:cantSplit/>
        </w:trPr>
        <w:tc>
          <w:tcPr>
            <w:tcW w:w="1620" w:type="dxa"/>
            <w:tcBorders>
              <w:bottom w:val="single" w:sz="4" w:space="0" w:color="auto"/>
            </w:tcBorders>
          </w:tcPr>
          <w:p w:rsidR="00425758" w:rsidRDefault="00425758">
            <w:pPr>
              <w:pStyle w:val="yTableNAm"/>
              <w:spacing w:before="0"/>
              <w:rPr>
                <w:sz w:val="20"/>
              </w:rPr>
            </w:pPr>
            <w:r>
              <w:rPr>
                <w:sz w:val="20"/>
              </w:rPr>
              <w:t>Parties to the appeal</w:t>
            </w:r>
          </w:p>
        </w:tc>
        <w:tc>
          <w:tcPr>
            <w:tcW w:w="5460" w:type="dxa"/>
            <w:gridSpan w:val="3"/>
            <w:tcBorders>
              <w:bottom w:val="single" w:sz="4" w:space="0" w:color="auto"/>
            </w:tcBorders>
          </w:tcPr>
          <w:p w:rsidR="00425758" w:rsidRDefault="00425758">
            <w:pPr>
              <w:pStyle w:val="yTableNAm"/>
              <w:tabs>
                <w:tab w:val="clear" w:pos="567"/>
                <w:tab w:val="left" w:pos="2884"/>
              </w:tabs>
              <w:spacing w:before="0"/>
              <w:rPr>
                <w:sz w:val="20"/>
              </w:rPr>
            </w:pPr>
            <w:r>
              <w:rPr>
                <w:sz w:val="20"/>
              </w:rPr>
              <w:tab/>
              <w:t>Appellant</w:t>
            </w:r>
          </w:p>
          <w:p w:rsidR="00425758" w:rsidRDefault="00425758">
            <w:pPr>
              <w:pStyle w:val="yTableNAm"/>
              <w:tabs>
                <w:tab w:val="clear" w:pos="567"/>
                <w:tab w:val="left" w:pos="2884"/>
              </w:tabs>
              <w:spacing w:before="0"/>
              <w:rPr>
                <w:sz w:val="20"/>
              </w:rPr>
            </w:pPr>
            <w:r>
              <w:rPr>
                <w:sz w:val="20"/>
              </w:rPr>
              <w:tab/>
              <w:t>Respondent</w:t>
            </w:r>
          </w:p>
        </w:tc>
      </w:tr>
      <w:tr w:rsidR="00425758">
        <w:trPr>
          <w:cantSplit/>
        </w:trPr>
        <w:tc>
          <w:tcPr>
            <w:tcW w:w="1620" w:type="dxa"/>
            <w:tcBorders>
              <w:top w:val="single" w:sz="4" w:space="0" w:color="auto"/>
            </w:tcBorders>
          </w:tcPr>
          <w:p w:rsidR="00425758" w:rsidRDefault="00425758">
            <w:pPr>
              <w:pStyle w:val="yTableNAm"/>
              <w:spacing w:before="0"/>
              <w:rPr>
                <w:sz w:val="20"/>
              </w:rPr>
            </w:pPr>
            <w:r>
              <w:rPr>
                <w:sz w:val="20"/>
              </w:rPr>
              <w:t>Consent</w:t>
            </w:r>
          </w:p>
        </w:tc>
        <w:tc>
          <w:tcPr>
            <w:tcW w:w="5460" w:type="dxa"/>
            <w:gridSpan w:val="3"/>
            <w:tcBorders>
              <w:top w:val="single" w:sz="4" w:space="0" w:color="auto"/>
            </w:tcBorders>
          </w:tcPr>
          <w:p w:rsidR="00425758" w:rsidRDefault="00425758">
            <w:pPr>
              <w:pStyle w:val="yTableNAm"/>
              <w:spacing w:before="0"/>
              <w:rPr>
                <w:sz w:val="20"/>
              </w:rPr>
            </w:pPr>
            <w:r>
              <w:rPr>
                <w:sz w:val="20"/>
              </w:rPr>
              <w:t>We consent to the following order being made —</w:t>
            </w:r>
          </w:p>
          <w:p w:rsidR="00425758" w:rsidRDefault="00425758">
            <w:pPr>
              <w:pStyle w:val="yTableNAm"/>
              <w:spacing w:before="0"/>
              <w:rPr>
                <w:sz w:val="20"/>
              </w:rPr>
            </w:pPr>
          </w:p>
        </w:tc>
      </w:tr>
      <w:tr w:rsidR="00425758">
        <w:trPr>
          <w:cantSplit/>
        </w:trPr>
        <w:tc>
          <w:tcPr>
            <w:tcW w:w="1620" w:type="dxa"/>
            <w:tcBorders>
              <w:bottom w:val="single" w:sz="4" w:space="0" w:color="auto"/>
            </w:tcBorders>
          </w:tcPr>
          <w:p w:rsidR="00425758" w:rsidRDefault="00425758">
            <w:pPr>
              <w:pStyle w:val="yTableNAm"/>
              <w:spacing w:before="0"/>
              <w:rPr>
                <w:sz w:val="20"/>
              </w:rPr>
            </w:pPr>
            <w:r>
              <w:rPr>
                <w:sz w:val="20"/>
              </w:rPr>
              <w:t>Signature of appellant or lawyer</w:t>
            </w:r>
          </w:p>
        </w:tc>
        <w:tc>
          <w:tcPr>
            <w:tcW w:w="4173" w:type="dxa"/>
            <w:gridSpan w:val="2"/>
            <w:tcBorders>
              <w:bottom w:val="single" w:sz="4" w:space="0" w:color="auto"/>
            </w:tcBorders>
          </w:tcPr>
          <w:p w:rsidR="00425758" w:rsidRDefault="00425758">
            <w:pPr>
              <w:pStyle w:val="yTableNAm"/>
              <w:spacing w:before="0"/>
              <w:rPr>
                <w:sz w:val="20"/>
              </w:rPr>
            </w:pPr>
          </w:p>
          <w:p w:rsidR="00425758" w:rsidRDefault="00425758">
            <w:pPr>
              <w:pStyle w:val="yTableNAm"/>
              <w:spacing w:before="0"/>
              <w:rPr>
                <w:sz w:val="20"/>
              </w:rPr>
            </w:pPr>
          </w:p>
          <w:p w:rsidR="00425758" w:rsidRDefault="00425758">
            <w:pPr>
              <w:pStyle w:val="yTableNAm"/>
              <w:spacing w:before="0"/>
              <w:rPr>
                <w:sz w:val="20"/>
              </w:rPr>
            </w:pPr>
            <w:r>
              <w:rPr>
                <w:sz w:val="20"/>
              </w:rPr>
              <w:t>Appellant/Appellant’s lawyer</w:t>
            </w:r>
          </w:p>
        </w:tc>
        <w:tc>
          <w:tcPr>
            <w:tcW w:w="1287" w:type="dxa"/>
            <w:tcBorders>
              <w:bottom w:val="single" w:sz="4" w:space="0" w:color="auto"/>
            </w:tcBorders>
          </w:tcPr>
          <w:p w:rsidR="00425758" w:rsidRDefault="00425758">
            <w:pPr>
              <w:pStyle w:val="yTableNAm"/>
              <w:spacing w:before="0"/>
              <w:rPr>
                <w:sz w:val="20"/>
              </w:rPr>
            </w:pPr>
            <w:r>
              <w:rPr>
                <w:sz w:val="20"/>
              </w:rPr>
              <w:t>Date:</w:t>
            </w:r>
          </w:p>
        </w:tc>
      </w:tr>
      <w:tr w:rsidR="00425758">
        <w:trPr>
          <w:cantSplit/>
        </w:trPr>
        <w:tc>
          <w:tcPr>
            <w:tcW w:w="1620" w:type="dxa"/>
            <w:tcBorders>
              <w:bottom w:val="single" w:sz="4" w:space="0" w:color="auto"/>
            </w:tcBorders>
          </w:tcPr>
          <w:p w:rsidR="00425758" w:rsidRDefault="00425758">
            <w:pPr>
              <w:pStyle w:val="yTableNAm"/>
              <w:spacing w:before="0"/>
              <w:rPr>
                <w:sz w:val="20"/>
              </w:rPr>
            </w:pPr>
            <w:r>
              <w:rPr>
                <w:sz w:val="20"/>
              </w:rPr>
              <w:t>Signature of respondent or lawyer</w:t>
            </w:r>
          </w:p>
        </w:tc>
        <w:tc>
          <w:tcPr>
            <w:tcW w:w="4173" w:type="dxa"/>
            <w:gridSpan w:val="2"/>
            <w:tcBorders>
              <w:bottom w:val="single" w:sz="4" w:space="0" w:color="auto"/>
            </w:tcBorders>
          </w:tcPr>
          <w:p w:rsidR="00425758" w:rsidRDefault="00425758">
            <w:pPr>
              <w:pStyle w:val="yTableNAm"/>
              <w:spacing w:before="0"/>
              <w:rPr>
                <w:sz w:val="20"/>
              </w:rPr>
            </w:pPr>
          </w:p>
          <w:p w:rsidR="00425758" w:rsidRDefault="00425758">
            <w:pPr>
              <w:pStyle w:val="yTableNAm"/>
              <w:spacing w:before="0"/>
              <w:rPr>
                <w:sz w:val="20"/>
              </w:rPr>
            </w:pPr>
          </w:p>
          <w:p w:rsidR="00425758" w:rsidRDefault="00425758">
            <w:pPr>
              <w:pStyle w:val="yTableNAm"/>
              <w:spacing w:before="0"/>
              <w:rPr>
                <w:sz w:val="20"/>
              </w:rPr>
            </w:pPr>
            <w:r>
              <w:rPr>
                <w:sz w:val="20"/>
              </w:rPr>
              <w:t>Respondent/Respondent’s lawyer</w:t>
            </w:r>
          </w:p>
        </w:tc>
        <w:tc>
          <w:tcPr>
            <w:tcW w:w="1287" w:type="dxa"/>
            <w:tcBorders>
              <w:bottom w:val="single" w:sz="4" w:space="0" w:color="auto"/>
            </w:tcBorders>
          </w:tcPr>
          <w:p w:rsidR="00425758" w:rsidRDefault="00425758">
            <w:pPr>
              <w:pStyle w:val="yTableNAm"/>
              <w:spacing w:before="0"/>
              <w:rPr>
                <w:sz w:val="20"/>
              </w:rPr>
            </w:pPr>
            <w:r>
              <w:rPr>
                <w:sz w:val="20"/>
              </w:rPr>
              <w:t>Date:</w:t>
            </w:r>
          </w:p>
        </w:tc>
      </w:tr>
    </w:tbl>
    <w:p w:rsidR="00425758" w:rsidRDefault="00425758">
      <w:pPr>
        <w:pStyle w:val="yFootnotesection"/>
      </w:pPr>
      <w:r>
        <w:tab/>
        <w:t>[Form 87 inserted: Gazette 21 Feb 2007 p. 575.]</w:t>
      </w:r>
    </w:p>
    <w:p w:rsidR="00425758" w:rsidRDefault="00425758">
      <w:pPr>
        <w:pStyle w:val="yHeading5"/>
        <w:spacing w:after="120"/>
      </w:pPr>
      <w:bookmarkStart w:id="1413" w:name="_Toc75863978"/>
      <w:r>
        <w:rPr>
          <w:rStyle w:val="CharSClsNo"/>
        </w:rPr>
        <w:lastRenderedPageBreak/>
        <w:t>88</w:t>
      </w:r>
      <w:r>
        <w:t>.</w:t>
      </w:r>
      <w:r>
        <w:tab/>
        <w:t>Request for hearing (O. 65 r. 7)</w:t>
      </w:r>
      <w:bookmarkEnd w:id="141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rsidR="00425758">
        <w:trPr>
          <w:cantSplit/>
          <w:trHeight w:val="329"/>
        </w:trPr>
        <w:tc>
          <w:tcPr>
            <w:tcW w:w="3686" w:type="dxa"/>
            <w:gridSpan w:val="2"/>
            <w:vMerge w:val="restart"/>
          </w:tcPr>
          <w:p w:rsidR="00425758" w:rsidRDefault="00425758">
            <w:pPr>
              <w:pStyle w:val="yTableNAm"/>
              <w:rPr>
                <w:sz w:val="20"/>
              </w:rPr>
            </w:pPr>
            <w:r>
              <w:rPr>
                <w:sz w:val="20"/>
              </w:rPr>
              <w:t>Supreme Court of Western Australia</w:t>
            </w:r>
          </w:p>
          <w:p w:rsidR="00425758" w:rsidRDefault="00425758">
            <w:pPr>
              <w:pStyle w:val="yTableNAm"/>
              <w:spacing w:before="0"/>
              <w:rPr>
                <w:sz w:val="20"/>
              </w:rPr>
            </w:pPr>
            <w:r>
              <w:rPr>
                <w:sz w:val="20"/>
              </w:rPr>
              <w:t>General Division</w:t>
            </w:r>
          </w:p>
        </w:tc>
        <w:tc>
          <w:tcPr>
            <w:tcW w:w="3118" w:type="dxa"/>
            <w:gridSpan w:val="2"/>
            <w:tcBorders>
              <w:bottom w:val="nil"/>
            </w:tcBorders>
            <w:vAlign w:val="center"/>
          </w:tcPr>
          <w:p w:rsidR="00425758" w:rsidRDefault="00425758">
            <w:pPr>
              <w:pStyle w:val="yTableNAm"/>
              <w:rPr>
                <w:sz w:val="20"/>
              </w:rPr>
            </w:pPr>
            <w:r>
              <w:rPr>
                <w:sz w:val="20"/>
              </w:rPr>
              <w:t>No:</w:t>
            </w:r>
          </w:p>
        </w:tc>
      </w:tr>
      <w:tr w:rsidR="00425758">
        <w:trPr>
          <w:cantSplit/>
          <w:trHeight w:val="328"/>
        </w:trPr>
        <w:tc>
          <w:tcPr>
            <w:tcW w:w="3686" w:type="dxa"/>
            <w:gridSpan w:val="2"/>
            <w:vMerge/>
            <w:tcBorders>
              <w:bottom w:val="nil"/>
            </w:tcBorders>
          </w:tcPr>
          <w:p w:rsidR="00425758" w:rsidRDefault="00425758">
            <w:pPr>
              <w:pStyle w:val="yTableNAm"/>
              <w:rPr>
                <w:sz w:val="20"/>
              </w:rPr>
            </w:pPr>
          </w:p>
        </w:tc>
        <w:tc>
          <w:tcPr>
            <w:tcW w:w="3118" w:type="dxa"/>
            <w:gridSpan w:val="2"/>
            <w:tcBorders>
              <w:bottom w:val="nil"/>
            </w:tcBorders>
          </w:tcPr>
          <w:p w:rsidR="00425758" w:rsidRDefault="00425758">
            <w:pPr>
              <w:pStyle w:val="yTableNAm"/>
              <w:spacing w:before="0"/>
              <w:rPr>
                <w:b/>
                <w:bCs/>
                <w:sz w:val="20"/>
              </w:rPr>
            </w:pPr>
            <w:r>
              <w:rPr>
                <w:b/>
                <w:bCs/>
                <w:sz w:val="20"/>
              </w:rPr>
              <w:t>Request for hearing</w:t>
            </w:r>
          </w:p>
        </w:tc>
      </w:tr>
      <w:tr w:rsidR="00425758">
        <w:trPr>
          <w:cantSplit/>
        </w:trPr>
        <w:tc>
          <w:tcPr>
            <w:tcW w:w="1620" w:type="dxa"/>
            <w:tcBorders>
              <w:bottom w:val="nil"/>
            </w:tcBorders>
          </w:tcPr>
          <w:p w:rsidR="00425758" w:rsidRDefault="00425758">
            <w:pPr>
              <w:pStyle w:val="yTableNAm"/>
              <w:rPr>
                <w:sz w:val="20"/>
              </w:rPr>
            </w:pPr>
            <w:r>
              <w:rPr>
                <w:sz w:val="20"/>
              </w:rPr>
              <w:t>Parties to the appeal</w:t>
            </w:r>
          </w:p>
        </w:tc>
        <w:tc>
          <w:tcPr>
            <w:tcW w:w="5184" w:type="dxa"/>
            <w:gridSpan w:val="3"/>
            <w:tcBorders>
              <w:bottom w:val="nil"/>
            </w:tcBorders>
          </w:tcPr>
          <w:p w:rsidR="00425758" w:rsidRDefault="00425758">
            <w:pPr>
              <w:pStyle w:val="yTableNAm"/>
              <w:tabs>
                <w:tab w:val="clear" w:pos="567"/>
                <w:tab w:val="left" w:pos="2884"/>
              </w:tabs>
              <w:ind w:left="4" w:hanging="4"/>
              <w:rPr>
                <w:sz w:val="20"/>
              </w:rPr>
            </w:pPr>
            <w:r>
              <w:rPr>
                <w:sz w:val="20"/>
              </w:rPr>
              <w:tab/>
            </w:r>
            <w:r>
              <w:rPr>
                <w:sz w:val="20"/>
              </w:rPr>
              <w:tab/>
              <w:t>Appellant</w:t>
            </w:r>
          </w:p>
          <w:p w:rsidR="00425758" w:rsidRDefault="00425758">
            <w:pPr>
              <w:pStyle w:val="yTableNAm"/>
              <w:tabs>
                <w:tab w:val="clear" w:pos="567"/>
                <w:tab w:val="left" w:pos="2884"/>
              </w:tabs>
              <w:spacing w:before="0"/>
              <w:ind w:left="4" w:hanging="4"/>
              <w:rPr>
                <w:sz w:val="20"/>
              </w:rPr>
            </w:pPr>
            <w:r>
              <w:rPr>
                <w:sz w:val="20"/>
              </w:rPr>
              <w:tab/>
            </w:r>
            <w:r>
              <w:rPr>
                <w:sz w:val="20"/>
              </w:rPr>
              <w:tab/>
              <w:t>Respondent</w:t>
            </w:r>
          </w:p>
        </w:tc>
      </w:tr>
      <w:tr w:rsidR="00425758">
        <w:trPr>
          <w:cantSplit/>
        </w:trPr>
        <w:tc>
          <w:tcPr>
            <w:tcW w:w="1620" w:type="dxa"/>
          </w:tcPr>
          <w:p w:rsidR="00425758" w:rsidRDefault="00425758">
            <w:pPr>
              <w:pStyle w:val="yTableNAm"/>
              <w:rPr>
                <w:sz w:val="20"/>
              </w:rPr>
            </w:pPr>
            <w:r>
              <w:rPr>
                <w:sz w:val="20"/>
              </w:rPr>
              <w:t>Request</w:t>
            </w:r>
          </w:p>
        </w:tc>
        <w:tc>
          <w:tcPr>
            <w:tcW w:w="5184" w:type="dxa"/>
            <w:gridSpan w:val="3"/>
          </w:tcPr>
          <w:p w:rsidR="00425758" w:rsidRDefault="00425758">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rsidR="00425758">
        <w:trPr>
          <w:cantSplit/>
        </w:trPr>
        <w:tc>
          <w:tcPr>
            <w:tcW w:w="1620" w:type="dxa"/>
            <w:tcBorders>
              <w:bottom w:val="single" w:sz="4" w:space="0" w:color="auto"/>
            </w:tcBorders>
          </w:tcPr>
          <w:p w:rsidR="00425758" w:rsidRDefault="00425758">
            <w:pPr>
              <w:pStyle w:val="yTableNAm"/>
              <w:rPr>
                <w:sz w:val="20"/>
              </w:rPr>
            </w:pPr>
            <w:r>
              <w:rPr>
                <w:sz w:val="20"/>
              </w:rPr>
              <w:t>Signature of party requesting or lawyer</w:t>
            </w:r>
          </w:p>
        </w:tc>
        <w:tc>
          <w:tcPr>
            <w:tcW w:w="4305" w:type="dxa"/>
            <w:gridSpan w:val="2"/>
            <w:tcBorders>
              <w:bottom w:val="single" w:sz="4" w:space="0" w:color="auto"/>
            </w:tcBorders>
          </w:tcPr>
          <w:p w:rsidR="00425758" w:rsidRDefault="00425758">
            <w:pPr>
              <w:pStyle w:val="yTableNAm"/>
              <w:rPr>
                <w:sz w:val="20"/>
              </w:rPr>
            </w:pPr>
          </w:p>
          <w:p w:rsidR="00425758" w:rsidRDefault="00425758">
            <w:pPr>
              <w:pStyle w:val="yTableNAm"/>
              <w:spacing w:before="0"/>
              <w:rPr>
                <w:sz w:val="20"/>
              </w:rPr>
            </w:pPr>
            <w:r>
              <w:rPr>
                <w:sz w:val="20"/>
              </w:rPr>
              <w:t>Appellant/Respondent/</w:t>
            </w:r>
          </w:p>
          <w:p w:rsidR="00425758" w:rsidRDefault="00425758">
            <w:pPr>
              <w:pStyle w:val="yTableNAm"/>
              <w:spacing w:before="0"/>
              <w:rPr>
                <w:sz w:val="20"/>
              </w:rPr>
            </w:pPr>
            <w:r>
              <w:rPr>
                <w:sz w:val="20"/>
              </w:rPr>
              <w:t>Appellant’s lawyer/Respondent’s lawyer</w:t>
            </w:r>
          </w:p>
        </w:tc>
        <w:tc>
          <w:tcPr>
            <w:tcW w:w="879" w:type="dxa"/>
            <w:tcBorders>
              <w:bottom w:val="single" w:sz="4" w:space="0" w:color="auto"/>
            </w:tcBorders>
          </w:tcPr>
          <w:p w:rsidR="00425758" w:rsidRDefault="00425758">
            <w:pPr>
              <w:pStyle w:val="yTableNAm"/>
              <w:rPr>
                <w:sz w:val="20"/>
              </w:rPr>
            </w:pPr>
            <w:r>
              <w:rPr>
                <w:sz w:val="20"/>
              </w:rPr>
              <w:t>Date:</w:t>
            </w:r>
          </w:p>
        </w:tc>
      </w:tr>
    </w:tbl>
    <w:p w:rsidR="00425758" w:rsidRDefault="00425758">
      <w:pPr>
        <w:pStyle w:val="yFootnotesection"/>
      </w:pPr>
      <w:r>
        <w:tab/>
        <w:t>[Form 88 inserted: Gazette 21 Feb 2007 p. 575.]</w:t>
      </w:r>
    </w:p>
    <w:p w:rsidR="00425758" w:rsidRDefault="00425758">
      <w:pPr>
        <w:pStyle w:val="yHeading5"/>
        <w:spacing w:before="480" w:after="120"/>
      </w:pPr>
      <w:bookmarkStart w:id="1414" w:name="_Toc75863979"/>
      <w:r>
        <w:rPr>
          <w:rStyle w:val="CharSClsNo"/>
        </w:rPr>
        <w:t>89</w:t>
      </w:r>
      <w:r>
        <w:t>.</w:t>
      </w:r>
      <w:r>
        <w:tab/>
        <w:t>Discontinuance notice (O. 65 r. 17)</w:t>
      </w:r>
      <w:bookmarkEnd w:id="141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rsidR="00425758">
        <w:trPr>
          <w:cantSplit/>
          <w:trHeight w:val="329"/>
        </w:trPr>
        <w:tc>
          <w:tcPr>
            <w:tcW w:w="3686" w:type="dxa"/>
            <w:gridSpan w:val="2"/>
            <w:vMerge w:val="restart"/>
          </w:tcPr>
          <w:p w:rsidR="00425758" w:rsidRDefault="00425758">
            <w:pPr>
              <w:pStyle w:val="yTableNAm"/>
              <w:rPr>
                <w:sz w:val="20"/>
              </w:rPr>
            </w:pPr>
            <w:r>
              <w:rPr>
                <w:sz w:val="20"/>
              </w:rPr>
              <w:t>Supreme Court of Western Australia</w:t>
            </w:r>
          </w:p>
          <w:p w:rsidR="00425758" w:rsidRDefault="00425758">
            <w:pPr>
              <w:pStyle w:val="yTableNAm"/>
              <w:spacing w:before="0"/>
              <w:rPr>
                <w:b/>
                <w:sz w:val="20"/>
              </w:rPr>
            </w:pPr>
            <w:r>
              <w:rPr>
                <w:sz w:val="20"/>
              </w:rPr>
              <w:t>General Division</w:t>
            </w:r>
          </w:p>
        </w:tc>
        <w:tc>
          <w:tcPr>
            <w:tcW w:w="3118" w:type="dxa"/>
            <w:gridSpan w:val="2"/>
            <w:tcBorders>
              <w:bottom w:val="nil"/>
            </w:tcBorders>
            <w:vAlign w:val="center"/>
          </w:tcPr>
          <w:p w:rsidR="00425758" w:rsidRDefault="00425758">
            <w:pPr>
              <w:pStyle w:val="yTableNAm"/>
              <w:rPr>
                <w:sz w:val="20"/>
              </w:rPr>
            </w:pPr>
            <w:r>
              <w:rPr>
                <w:sz w:val="20"/>
              </w:rPr>
              <w:t>No:</w:t>
            </w:r>
          </w:p>
        </w:tc>
      </w:tr>
      <w:tr w:rsidR="00425758">
        <w:trPr>
          <w:cantSplit/>
          <w:trHeight w:val="328"/>
        </w:trPr>
        <w:tc>
          <w:tcPr>
            <w:tcW w:w="3686" w:type="dxa"/>
            <w:gridSpan w:val="2"/>
            <w:vMerge/>
            <w:tcBorders>
              <w:bottom w:val="nil"/>
            </w:tcBorders>
          </w:tcPr>
          <w:p w:rsidR="00425758" w:rsidRDefault="00425758">
            <w:pPr>
              <w:pStyle w:val="yTableNAm"/>
              <w:rPr>
                <w:sz w:val="20"/>
              </w:rPr>
            </w:pPr>
          </w:p>
        </w:tc>
        <w:tc>
          <w:tcPr>
            <w:tcW w:w="3118" w:type="dxa"/>
            <w:gridSpan w:val="2"/>
            <w:tcBorders>
              <w:bottom w:val="nil"/>
            </w:tcBorders>
          </w:tcPr>
          <w:p w:rsidR="00425758" w:rsidRDefault="00425758">
            <w:pPr>
              <w:pStyle w:val="yTableNAm"/>
              <w:spacing w:before="0"/>
              <w:rPr>
                <w:sz w:val="20"/>
              </w:rPr>
            </w:pPr>
            <w:r>
              <w:rPr>
                <w:b/>
                <w:sz w:val="20"/>
              </w:rPr>
              <w:t>Discontinuance notice</w:t>
            </w:r>
          </w:p>
        </w:tc>
      </w:tr>
      <w:tr w:rsidR="00425758">
        <w:trPr>
          <w:cantSplit/>
        </w:trPr>
        <w:tc>
          <w:tcPr>
            <w:tcW w:w="1620" w:type="dxa"/>
            <w:tcBorders>
              <w:bottom w:val="nil"/>
            </w:tcBorders>
          </w:tcPr>
          <w:p w:rsidR="00425758" w:rsidRDefault="00425758">
            <w:pPr>
              <w:pStyle w:val="yTableNAm"/>
              <w:rPr>
                <w:sz w:val="20"/>
              </w:rPr>
            </w:pPr>
            <w:r>
              <w:rPr>
                <w:sz w:val="20"/>
              </w:rPr>
              <w:t>Parties to the appeal</w:t>
            </w:r>
          </w:p>
        </w:tc>
        <w:tc>
          <w:tcPr>
            <w:tcW w:w="5184" w:type="dxa"/>
            <w:gridSpan w:val="3"/>
            <w:tcBorders>
              <w:bottom w:val="nil"/>
            </w:tcBorders>
          </w:tcPr>
          <w:p w:rsidR="00425758" w:rsidRDefault="00425758">
            <w:pPr>
              <w:pStyle w:val="yTableNAm"/>
              <w:tabs>
                <w:tab w:val="clear" w:pos="567"/>
                <w:tab w:val="left" w:pos="2884"/>
              </w:tabs>
              <w:rPr>
                <w:sz w:val="20"/>
              </w:rPr>
            </w:pPr>
            <w:r>
              <w:rPr>
                <w:sz w:val="20"/>
              </w:rPr>
              <w:tab/>
              <w:t>Appellant</w:t>
            </w:r>
          </w:p>
          <w:p w:rsidR="00425758" w:rsidRDefault="00425758">
            <w:pPr>
              <w:pStyle w:val="yTableNAm"/>
              <w:tabs>
                <w:tab w:val="clear" w:pos="567"/>
                <w:tab w:val="left" w:pos="2884"/>
              </w:tabs>
              <w:spacing w:before="0"/>
              <w:rPr>
                <w:sz w:val="20"/>
              </w:rPr>
            </w:pPr>
            <w:r>
              <w:rPr>
                <w:sz w:val="20"/>
              </w:rPr>
              <w:tab/>
              <w:t>Respondent</w:t>
            </w:r>
          </w:p>
        </w:tc>
      </w:tr>
      <w:tr w:rsidR="00425758">
        <w:trPr>
          <w:cantSplit/>
        </w:trPr>
        <w:tc>
          <w:tcPr>
            <w:tcW w:w="1620" w:type="dxa"/>
          </w:tcPr>
          <w:p w:rsidR="00425758" w:rsidRDefault="00425758">
            <w:pPr>
              <w:pStyle w:val="yTableNAm"/>
              <w:rPr>
                <w:sz w:val="20"/>
              </w:rPr>
            </w:pPr>
            <w:r>
              <w:rPr>
                <w:sz w:val="20"/>
              </w:rPr>
              <w:t>Notice</w:t>
            </w:r>
          </w:p>
        </w:tc>
        <w:tc>
          <w:tcPr>
            <w:tcW w:w="5184" w:type="dxa"/>
            <w:gridSpan w:val="3"/>
          </w:tcPr>
          <w:p w:rsidR="00425758" w:rsidRDefault="00425758">
            <w:pPr>
              <w:pStyle w:val="yTableNAm"/>
              <w:rPr>
                <w:sz w:val="20"/>
              </w:rPr>
            </w:pPr>
            <w:r>
              <w:rPr>
                <w:sz w:val="20"/>
              </w:rPr>
              <w:t>The appellant discontinues this appeal.</w:t>
            </w:r>
          </w:p>
        </w:tc>
      </w:tr>
      <w:tr w:rsidR="00425758">
        <w:trPr>
          <w:cantSplit/>
        </w:trPr>
        <w:tc>
          <w:tcPr>
            <w:tcW w:w="1620" w:type="dxa"/>
            <w:tcBorders>
              <w:bottom w:val="single" w:sz="4" w:space="0" w:color="auto"/>
            </w:tcBorders>
          </w:tcPr>
          <w:p w:rsidR="00425758" w:rsidRDefault="00425758">
            <w:pPr>
              <w:pStyle w:val="yTableNAm"/>
              <w:rPr>
                <w:sz w:val="20"/>
              </w:rPr>
            </w:pPr>
            <w:r>
              <w:rPr>
                <w:sz w:val="20"/>
              </w:rPr>
              <w:t>Signature of appellant or lawyer</w:t>
            </w:r>
          </w:p>
        </w:tc>
        <w:tc>
          <w:tcPr>
            <w:tcW w:w="4173" w:type="dxa"/>
            <w:gridSpan w:val="2"/>
            <w:tcBorders>
              <w:bottom w:val="single" w:sz="4" w:space="0" w:color="auto"/>
            </w:tcBorders>
          </w:tcPr>
          <w:p w:rsidR="00425758" w:rsidRDefault="00425758">
            <w:pPr>
              <w:pStyle w:val="yTableNAm"/>
              <w:rPr>
                <w:sz w:val="20"/>
              </w:rPr>
            </w:pPr>
          </w:p>
          <w:p w:rsidR="00425758" w:rsidRDefault="00425758">
            <w:pPr>
              <w:pStyle w:val="yTableNAm"/>
              <w:spacing w:before="0"/>
              <w:rPr>
                <w:sz w:val="20"/>
              </w:rPr>
            </w:pPr>
          </w:p>
          <w:p w:rsidR="00425758" w:rsidRDefault="00425758">
            <w:pPr>
              <w:pStyle w:val="yTableNAm"/>
              <w:spacing w:before="0"/>
              <w:rPr>
                <w:sz w:val="20"/>
              </w:rPr>
            </w:pPr>
            <w:r>
              <w:rPr>
                <w:sz w:val="20"/>
              </w:rPr>
              <w:t>Appellant/Appellant’s lawyer</w:t>
            </w:r>
          </w:p>
        </w:tc>
        <w:tc>
          <w:tcPr>
            <w:tcW w:w="1011" w:type="dxa"/>
            <w:tcBorders>
              <w:bottom w:val="single" w:sz="4" w:space="0" w:color="auto"/>
            </w:tcBorders>
          </w:tcPr>
          <w:p w:rsidR="00425758" w:rsidRDefault="00425758">
            <w:pPr>
              <w:pStyle w:val="yTableNAm"/>
              <w:rPr>
                <w:sz w:val="20"/>
              </w:rPr>
            </w:pPr>
            <w:r>
              <w:rPr>
                <w:sz w:val="20"/>
              </w:rPr>
              <w:t>Date:</w:t>
            </w:r>
          </w:p>
        </w:tc>
      </w:tr>
    </w:tbl>
    <w:p w:rsidR="00425758" w:rsidRDefault="00425758">
      <w:pPr>
        <w:pStyle w:val="yFootnotesection"/>
      </w:pPr>
      <w:r>
        <w:tab/>
        <w:t>[Form 89 inserted: Gazette 21 Feb 2007 p. 575.]</w:t>
      </w:r>
    </w:p>
    <w:p w:rsidR="00425758" w:rsidRDefault="00425758">
      <w:pPr>
        <w:pStyle w:val="yEdnotedivision"/>
        <w:outlineLvl w:val="9"/>
      </w:pPr>
      <w:r>
        <w:t>[Forms 90</w:t>
      </w:r>
      <w:r>
        <w:noBreakHyphen/>
        <w:t>93 deleted: Gazette 21 Feb 2007 p. 572.]</w:t>
      </w:r>
    </w:p>
    <w:p w:rsidR="00425758" w:rsidRDefault="00425758">
      <w:pPr>
        <w:pStyle w:val="yHeading5"/>
        <w:pageBreakBefore/>
        <w:spacing w:after="120"/>
      </w:pPr>
      <w:bookmarkStart w:id="1415" w:name="_Toc75863980"/>
      <w:r>
        <w:rPr>
          <w:rStyle w:val="CharSClsNo"/>
        </w:rPr>
        <w:lastRenderedPageBreak/>
        <w:t>93A</w:t>
      </w:r>
      <w:r>
        <w:t>.</w:t>
      </w:r>
      <w:r>
        <w:rPr>
          <w:b w:val="0"/>
        </w:rPr>
        <w:tab/>
      </w:r>
      <w:r>
        <w:rPr>
          <w:i/>
        </w:rPr>
        <w:t>Public Notaries Act 1979</w:t>
      </w:r>
      <w:r>
        <w:t xml:space="preserve"> s. 8, certificate (O. 76 r. 2)</w:t>
      </w:r>
      <w:bookmarkEnd w:id="1415"/>
    </w:p>
    <w:p w:rsidR="00425758" w:rsidRDefault="00425758">
      <w:pPr>
        <w:pStyle w:val="yMiscellaneousBody"/>
        <w:spacing w:before="120"/>
        <w:rPr>
          <w:sz w:val="20"/>
        </w:rPr>
      </w:pPr>
      <w:r>
        <w:rPr>
          <w:sz w:val="20"/>
        </w:rPr>
        <w:t>IN THE SUPREME COURT</w:t>
      </w:r>
      <w:r>
        <w:rPr>
          <w:sz w:val="20"/>
        </w:rPr>
        <w:br/>
        <w:t>OF WESTERN AUSTRALIA</w:t>
      </w:r>
    </w:p>
    <w:p w:rsidR="00425758" w:rsidRDefault="00425758">
      <w:pPr>
        <w:pStyle w:val="yMiscellaneousBody"/>
        <w:spacing w:before="120"/>
        <w:ind w:left="3600"/>
        <w:rPr>
          <w:sz w:val="20"/>
        </w:rPr>
      </w:pPr>
      <w:r>
        <w:rPr>
          <w:sz w:val="20"/>
        </w:rPr>
        <w:t xml:space="preserve">IN THE MATTER of the </w:t>
      </w:r>
      <w:r>
        <w:rPr>
          <w:i/>
          <w:sz w:val="20"/>
        </w:rPr>
        <w:t>Public Notaries Act 1979</w:t>
      </w:r>
    </w:p>
    <w:p w:rsidR="00425758" w:rsidRDefault="00425758">
      <w:pPr>
        <w:pStyle w:val="yMiscellaneousBody"/>
        <w:spacing w:before="120"/>
        <w:ind w:left="3600"/>
        <w:jc w:val="center"/>
        <w:rPr>
          <w:sz w:val="20"/>
        </w:rPr>
      </w:pPr>
      <w:r>
        <w:rPr>
          <w:sz w:val="20"/>
        </w:rPr>
        <w:t>and</w:t>
      </w:r>
    </w:p>
    <w:p w:rsidR="00425758" w:rsidRDefault="00425758">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rsidR="00425758" w:rsidRDefault="00425758">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rsidR="00425758" w:rsidRDefault="00425758">
      <w:pPr>
        <w:pStyle w:val="yMiscellaneousBody"/>
        <w:spacing w:before="120"/>
        <w:rPr>
          <w:sz w:val="20"/>
        </w:rPr>
      </w:pPr>
      <w:r>
        <w:rPr>
          <w:sz w:val="20"/>
        </w:rPr>
        <w:t>Dated the                                     day of                          20         .</w:t>
      </w:r>
    </w:p>
    <w:p w:rsidR="00425758" w:rsidRDefault="00425758">
      <w:pPr>
        <w:pStyle w:val="yMiscellaneousBody"/>
        <w:spacing w:before="120"/>
        <w:jc w:val="right"/>
        <w:rPr>
          <w:sz w:val="20"/>
        </w:rPr>
      </w:pPr>
      <w:r>
        <w:rPr>
          <w:sz w:val="20"/>
        </w:rPr>
        <w:t>Chief Justice of Western Australia.</w:t>
      </w:r>
    </w:p>
    <w:p w:rsidR="00425758" w:rsidRDefault="00425758">
      <w:pPr>
        <w:pStyle w:val="yFootnotesection"/>
      </w:pPr>
      <w:r>
        <w:tab/>
        <w:t>[Form 93A inserted: Gazette 18 Jul 1980 p. 2386; amended: Gazette 21 Feb 2007 p. 584; 22 Feb 2008 p. 649; 28 Jun 2011 p. 2561.]</w:t>
      </w:r>
    </w:p>
    <w:p w:rsidR="00425758" w:rsidRDefault="00425758">
      <w:pPr>
        <w:pStyle w:val="yHeading5"/>
        <w:pageBreakBefore/>
        <w:spacing w:after="120"/>
      </w:pPr>
      <w:bookmarkStart w:id="1416" w:name="_Toc75863981"/>
      <w:r>
        <w:rPr>
          <w:rStyle w:val="CharSClsNo"/>
        </w:rPr>
        <w:lastRenderedPageBreak/>
        <w:t>93B</w:t>
      </w:r>
      <w:r>
        <w:t>.</w:t>
      </w:r>
      <w:r>
        <w:rPr>
          <w:b w:val="0"/>
        </w:rPr>
        <w:tab/>
      </w:r>
      <w:r>
        <w:t>Notice of intention to apply for appointment as public notary (O. 76 r. 3)</w:t>
      </w:r>
      <w:bookmarkEnd w:id="1416"/>
    </w:p>
    <w:p w:rsidR="00425758" w:rsidRDefault="00425758">
      <w:pPr>
        <w:pStyle w:val="yMiscellaneousBody"/>
        <w:spacing w:before="120"/>
        <w:jc w:val="center"/>
        <w:rPr>
          <w:sz w:val="20"/>
        </w:rPr>
      </w:pPr>
      <w:r>
        <w:rPr>
          <w:sz w:val="20"/>
        </w:rPr>
        <w:t>(</w:t>
      </w:r>
      <w:r>
        <w:rPr>
          <w:i/>
          <w:sz w:val="20"/>
        </w:rPr>
        <w:t>Heading as in Form No. 93A</w:t>
      </w:r>
      <w:r>
        <w:rPr>
          <w:sz w:val="20"/>
        </w:rPr>
        <w:t>)</w:t>
      </w:r>
    </w:p>
    <w:p w:rsidR="00425758" w:rsidRDefault="00425758">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rsidR="00425758" w:rsidRDefault="00425758">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filed not less than 7 days before the day fixed for the hearing of the application.</w:t>
      </w:r>
    </w:p>
    <w:p w:rsidR="00425758" w:rsidRDefault="00425758">
      <w:pPr>
        <w:pStyle w:val="yMiscellaneousBody"/>
        <w:spacing w:before="120"/>
        <w:rPr>
          <w:sz w:val="20"/>
        </w:rPr>
      </w:pPr>
      <w:r>
        <w:rPr>
          <w:sz w:val="20"/>
        </w:rPr>
        <w:t>Dated the                           day of                             20      .</w:t>
      </w:r>
    </w:p>
    <w:p w:rsidR="00425758" w:rsidRDefault="00425758">
      <w:pPr>
        <w:pStyle w:val="yFootnotesection"/>
      </w:pPr>
      <w:r>
        <w:tab/>
        <w:t>[Form 93B inserted: Gazette 18 Jul 1980 p. 2386; amended: Gazette 29 Apr 2005 p. 1794; 21 Feb 2007 p. 584; 28 Jun 2011 p. 2562; 27 Feb 2018 p. 623.]</w:t>
      </w:r>
    </w:p>
    <w:p w:rsidR="00425758" w:rsidRDefault="00425758">
      <w:pPr>
        <w:pStyle w:val="yHeading5"/>
        <w:spacing w:before="480" w:after="120"/>
      </w:pPr>
      <w:bookmarkStart w:id="1417" w:name="_Toc75863982"/>
      <w:r>
        <w:rPr>
          <w:rStyle w:val="CharSClsNo"/>
        </w:rPr>
        <w:t>93C</w:t>
      </w:r>
      <w:r>
        <w:t>.</w:t>
      </w:r>
      <w:r>
        <w:rPr>
          <w:b w:val="0"/>
        </w:rPr>
        <w:tab/>
      </w:r>
      <w:r>
        <w:t>Certificate of appointment as public notary Western Australia (O. 76 r. 5(1))</w:t>
      </w:r>
      <w:bookmarkEnd w:id="1417"/>
    </w:p>
    <w:p w:rsidR="00425758" w:rsidRDefault="00425758">
      <w:pPr>
        <w:pStyle w:val="yMiscellaneousBody"/>
        <w:spacing w:before="120"/>
        <w:rPr>
          <w:sz w:val="20"/>
        </w:rPr>
      </w:pPr>
      <w:r>
        <w:rPr>
          <w:sz w:val="20"/>
        </w:rPr>
        <w:t>IN THE SUPREME COURT</w:t>
      </w:r>
    </w:p>
    <w:p w:rsidR="00425758" w:rsidRDefault="00425758">
      <w:pPr>
        <w:pStyle w:val="yMiscellaneousBody"/>
        <w:spacing w:before="120"/>
        <w:rPr>
          <w:sz w:val="20"/>
        </w:rPr>
      </w:pPr>
      <w:r>
        <w:rPr>
          <w:sz w:val="20"/>
        </w:rPr>
        <w:t>I HEREBY CERTIFY that</w:t>
      </w:r>
    </w:p>
    <w:p w:rsidR="00425758" w:rsidRDefault="00425758">
      <w:pPr>
        <w:pStyle w:val="yMiscellaneousBody"/>
        <w:spacing w:before="0"/>
        <w:jc w:val="center"/>
        <w:rPr>
          <w:sz w:val="20"/>
        </w:rPr>
      </w:pPr>
      <w:r>
        <w:rPr>
          <w:sz w:val="20"/>
        </w:rPr>
        <w:t>of</w:t>
      </w:r>
    </w:p>
    <w:p w:rsidR="00425758" w:rsidRDefault="00425758">
      <w:pPr>
        <w:pStyle w:val="yMiscellaneousBody"/>
        <w:spacing w:before="0"/>
        <w:rPr>
          <w:sz w:val="20"/>
        </w:rPr>
      </w:pPr>
      <w:r>
        <w:rPr>
          <w:sz w:val="20"/>
        </w:rPr>
        <w:t>has this day been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in the State of Western Australia]</w:t>
      </w:r>
      <w:r>
        <w:rPr>
          <w:sz w:val="20"/>
        </w:rPr>
        <w:t xml:space="preserve"> and that his name has been entered on the Roll of Public Notaries.</w:t>
      </w:r>
    </w:p>
    <w:p w:rsidR="00425758" w:rsidRDefault="00425758">
      <w:pPr>
        <w:pStyle w:val="yMiscellaneousBody"/>
        <w:spacing w:before="120"/>
        <w:rPr>
          <w:sz w:val="20"/>
        </w:rPr>
      </w:pPr>
      <w:r>
        <w:rPr>
          <w:sz w:val="20"/>
        </w:rPr>
        <w:t>Given under my hand and the seal of the Court, this                day of                              20     .</w:t>
      </w:r>
    </w:p>
    <w:p w:rsidR="00425758" w:rsidRDefault="00425758">
      <w:pPr>
        <w:pStyle w:val="yMiscellaneousBody"/>
        <w:spacing w:before="120"/>
        <w:jc w:val="right"/>
        <w:rPr>
          <w:sz w:val="20"/>
        </w:rPr>
      </w:pPr>
      <w:r>
        <w:rPr>
          <w:sz w:val="20"/>
        </w:rPr>
        <w:t>Registrar of the Supreme Court.</w:t>
      </w:r>
    </w:p>
    <w:p w:rsidR="00425758" w:rsidRDefault="00425758">
      <w:pPr>
        <w:pStyle w:val="yFootnotesection"/>
      </w:pPr>
      <w:r>
        <w:tab/>
        <w:t>[Form 93C inserted: Gazette 18 Jul 1980 p. 2386; amended: Gazette 21 Feb 2007 p. 584; 28 Jun 2011 p. 2562.]</w:t>
      </w:r>
    </w:p>
    <w:p w:rsidR="00425758" w:rsidRDefault="00425758">
      <w:pPr>
        <w:pStyle w:val="yHeading5"/>
        <w:pageBreakBefore/>
        <w:spacing w:after="120"/>
      </w:pPr>
      <w:bookmarkStart w:id="1418" w:name="_Toc75863983"/>
      <w:r>
        <w:rPr>
          <w:rStyle w:val="CharSClsNo"/>
        </w:rPr>
        <w:lastRenderedPageBreak/>
        <w:t>93D</w:t>
      </w:r>
      <w:r>
        <w:t>.</w:t>
      </w:r>
      <w:r>
        <w:rPr>
          <w:b w:val="0"/>
        </w:rPr>
        <w:tab/>
      </w:r>
      <w:r>
        <w:t>Certificate that name of public notary remains on roll (O. 76 r. 5(2))</w:t>
      </w:r>
      <w:bookmarkEnd w:id="1418"/>
    </w:p>
    <w:p w:rsidR="00425758" w:rsidRDefault="00425758">
      <w:pPr>
        <w:pStyle w:val="yMiscellaneousBody"/>
        <w:jc w:val="center"/>
        <w:rPr>
          <w:sz w:val="20"/>
        </w:rPr>
      </w:pPr>
      <w:r>
        <w:rPr>
          <w:sz w:val="20"/>
        </w:rPr>
        <w:t>Western Australia</w:t>
      </w:r>
    </w:p>
    <w:p w:rsidR="00425758" w:rsidRDefault="00425758">
      <w:pPr>
        <w:pStyle w:val="yMiscellaneousBody"/>
        <w:rPr>
          <w:sz w:val="20"/>
        </w:rPr>
      </w:pPr>
      <w:r>
        <w:rPr>
          <w:sz w:val="20"/>
        </w:rPr>
        <w:t>IN THE SUPREME COURT</w:t>
      </w:r>
    </w:p>
    <w:p w:rsidR="00425758" w:rsidRDefault="00425758">
      <w:pPr>
        <w:pStyle w:val="yMiscellaneousBody"/>
        <w:rPr>
          <w:sz w:val="20"/>
        </w:rPr>
      </w:pPr>
      <w:r>
        <w:rPr>
          <w:sz w:val="20"/>
        </w:rPr>
        <w:t>I HEREBY CERTIFY that</w:t>
      </w:r>
    </w:p>
    <w:p w:rsidR="00425758" w:rsidRDefault="00425758">
      <w:pPr>
        <w:pStyle w:val="yMiscellaneousBody"/>
        <w:spacing w:before="0"/>
        <w:jc w:val="center"/>
        <w:rPr>
          <w:sz w:val="20"/>
        </w:rPr>
      </w:pPr>
      <w:r>
        <w:rPr>
          <w:sz w:val="20"/>
        </w:rPr>
        <w:t>of</w:t>
      </w:r>
    </w:p>
    <w:p w:rsidR="00425758" w:rsidRDefault="00425758">
      <w:pPr>
        <w:pStyle w:val="yMiscellaneousBody"/>
        <w:spacing w:before="0"/>
        <w:rPr>
          <w:sz w:val="20"/>
        </w:rPr>
      </w:pPr>
      <w:r>
        <w:rPr>
          <w:sz w:val="20"/>
        </w:rPr>
        <w:t>was duly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 xml:space="preserve">in the State of Western Australia] </w:t>
      </w:r>
      <w:r>
        <w:rPr>
          <w:sz w:val="20"/>
        </w:rPr>
        <w:t xml:space="preserve">and that his name was entered on the Roll of Public Notaries on the                     day of </w:t>
      </w:r>
      <w:r>
        <w:rPr>
          <w:sz w:val="20"/>
        </w:rPr>
        <w:br/>
        <w:t xml:space="preserve">                       20       , and still remains on the Roll.</w:t>
      </w:r>
    </w:p>
    <w:p w:rsidR="00425758" w:rsidRDefault="00425758">
      <w:pPr>
        <w:pStyle w:val="yMiscellaneousBody"/>
        <w:spacing w:before="120"/>
        <w:rPr>
          <w:sz w:val="20"/>
        </w:rPr>
      </w:pPr>
      <w:r>
        <w:rPr>
          <w:sz w:val="20"/>
        </w:rPr>
        <w:t>Given under my hand and the seal of the Court, this                   day of                           20      .</w:t>
      </w:r>
    </w:p>
    <w:p w:rsidR="00425758" w:rsidRDefault="00425758">
      <w:pPr>
        <w:pStyle w:val="yMiscellaneousBody"/>
        <w:spacing w:before="120"/>
        <w:jc w:val="right"/>
        <w:rPr>
          <w:sz w:val="20"/>
        </w:rPr>
      </w:pPr>
      <w:r>
        <w:rPr>
          <w:sz w:val="20"/>
        </w:rPr>
        <w:t>Registrar of the Supreme Court.</w:t>
      </w:r>
    </w:p>
    <w:p w:rsidR="00425758" w:rsidRDefault="00425758">
      <w:pPr>
        <w:pStyle w:val="yFootnotesection"/>
      </w:pPr>
      <w:r>
        <w:tab/>
        <w:t>[Form 93D inserted: Gazette 18 Jul 1980 p. 2387; amended: Gazette 21 Feb 2007 p. 584; 28 Jun 2011 p. 2562.]</w:t>
      </w:r>
    </w:p>
    <w:p w:rsidR="00425758" w:rsidRDefault="00425758">
      <w:pPr>
        <w:pStyle w:val="yEdnotedivision"/>
        <w:spacing w:before="240"/>
        <w:outlineLvl w:val="9"/>
      </w:pPr>
      <w:r>
        <w:t>[Form 94 deleted: Gazette 21 Feb 2007 p. 584.]</w:t>
      </w:r>
    </w:p>
    <w:p w:rsidR="00425758" w:rsidRDefault="00425758">
      <w:pPr>
        <w:pStyle w:val="yEdnotedivision"/>
        <w:spacing w:before="240"/>
        <w:outlineLvl w:val="9"/>
      </w:pPr>
      <w:r>
        <w:t>[Forms 95, 96, 97, 98 and 98A deleted: Gazette 29 Apr 2005 p. 1801.]</w:t>
      </w:r>
    </w:p>
    <w:p w:rsidR="00425758" w:rsidRDefault="00425758">
      <w:pPr>
        <w:pStyle w:val="yHeading5"/>
        <w:pageBreakBefore/>
        <w:spacing w:before="0" w:after="120"/>
      </w:pPr>
      <w:bookmarkStart w:id="1419" w:name="_Toc75863984"/>
      <w:r>
        <w:rPr>
          <w:rStyle w:val="CharSClsNo"/>
        </w:rPr>
        <w:lastRenderedPageBreak/>
        <w:t>99</w:t>
      </w:r>
      <w:r>
        <w:t>.</w:t>
      </w:r>
      <w:r>
        <w:rPr>
          <w:b w:val="0"/>
        </w:rPr>
        <w:tab/>
      </w:r>
      <w:r>
        <w:rPr>
          <w:i/>
        </w:rPr>
        <w:t>Escheat (Procedure) Act 1940</w:t>
      </w:r>
      <w:r>
        <w:t>, notice of application under (O. 80 r. 3)</w:t>
      </w:r>
      <w:bookmarkEnd w:id="1419"/>
    </w:p>
    <w:p w:rsidR="00425758" w:rsidRDefault="00425758">
      <w:pPr>
        <w:pStyle w:val="yMiscellaneousBody"/>
        <w:keepNext/>
        <w:spacing w:before="120"/>
        <w:rPr>
          <w:sz w:val="20"/>
        </w:rPr>
      </w:pPr>
      <w:r>
        <w:rPr>
          <w:sz w:val="20"/>
        </w:rPr>
        <w:t>IN THE SUPREME COURT</w:t>
      </w:r>
      <w:r>
        <w:rPr>
          <w:sz w:val="20"/>
        </w:rPr>
        <w:br/>
        <w:t>OF WESTERN AUSTRALIA.</w:t>
      </w:r>
    </w:p>
    <w:p w:rsidR="00425758" w:rsidRDefault="00425758">
      <w:pPr>
        <w:pStyle w:val="yMiscellaneousBody"/>
        <w:spacing w:before="80"/>
        <w:ind w:left="2880"/>
        <w:rPr>
          <w:sz w:val="20"/>
        </w:rPr>
      </w:pPr>
      <w:r>
        <w:rPr>
          <w:sz w:val="20"/>
        </w:rPr>
        <w:t>In the matter of</w:t>
      </w:r>
    </w:p>
    <w:p w:rsidR="00425758" w:rsidRDefault="00425758">
      <w:pPr>
        <w:pStyle w:val="yMiscellaneousBody"/>
        <w:spacing w:before="80"/>
        <w:ind w:left="2880"/>
        <w:jc w:val="right"/>
        <w:rPr>
          <w:sz w:val="20"/>
        </w:rPr>
      </w:pPr>
      <w:r>
        <w:rPr>
          <w:sz w:val="20"/>
        </w:rPr>
        <w:t>deceased</w:t>
      </w:r>
    </w:p>
    <w:p w:rsidR="00425758" w:rsidRDefault="00425758">
      <w:pPr>
        <w:pStyle w:val="yMiscellaneousBody"/>
        <w:spacing w:before="80"/>
        <w:jc w:val="center"/>
        <w:rPr>
          <w:i/>
          <w:sz w:val="20"/>
        </w:rPr>
      </w:pPr>
      <w:r>
        <w:rPr>
          <w:i/>
          <w:sz w:val="20"/>
        </w:rPr>
        <w:t>Ex parte</w:t>
      </w:r>
    </w:p>
    <w:p w:rsidR="00425758" w:rsidRDefault="00425758">
      <w:pPr>
        <w:pStyle w:val="yMiscellaneousBody"/>
        <w:spacing w:before="80"/>
        <w:ind w:left="3840"/>
        <w:rPr>
          <w:sz w:val="20"/>
        </w:rPr>
      </w:pPr>
      <w:r>
        <w:rPr>
          <w:sz w:val="20"/>
        </w:rPr>
        <w:t>The State of Western Australia.</w:t>
      </w:r>
    </w:p>
    <w:p w:rsidR="00425758" w:rsidRDefault="00425758">
      <w:pPr>
        <w:pStyle w:val="yMiscellaneousBody"/>
        <w:spacing w:before="120"/>
        <w:jc w:val="center"/>
        <w:rPr>
          <w:sz w:val="20"/>
        </w:rPr>
      </w:pPr>
      <w:r>
        <w:rPr>
          <w:sz w:val="20"/>
        </w:rPr>
        <w:t>Notice of Application for Order of Escheat.</w:t>
      </w:r>
    </w:p>
    <w:p w:rsidR="00425758" w:rsidRDefault="00425758">
      <w:pPr>
        <w:pStyle w:val="yMiscellaneousBody"/>
        <w:spacing w:before="120"/>
        <w:rPr>
          <w:sz w:val="20"/>
        </w:rPr>
      </w:pPr>
      <w:r>
        <w:rPr>
          <w:sz w:val="20"/>
        </w:rPr>
        <w:t>TAKE NOTICE that an application will be made on the             day of                            , 20      , at                      o’clock in the                       noon, to the judge in chambers at the Supreme Court, David Malcolm Justice Centre, 28 Barrack Street, Perth, for an Order that the property mentioned hereunder, viz:                          shall be and become the property of the State by way of Escheat.</w:t>
      </w:r>
    </w:p>
    <w:p w:rsidR="00425758" w:rsidRDefault="00425758">
      <w:pPr>
        <w:pStyle w:val="yMiscellaneousBody"/>
        <w:spacing w:before="120"/>
        <w:rPr>
          <w:sz w:val="20"/>
        </w:rPr>
      </w:pPr>
      <w:r>
        <w:rPr>
          <w:sz w:val="20"/>
        </w:rPr>
        <w:t>Any person claiming title to the abovementioned property or premises may appear at the time and place abovementioned in support of the claim.</w:t>
      </w:r>
    </w:p>
    <w:p w:rsidR="00425758" w:rsidRDefault="00425758">
      <w:pPr>
        <w:pStyle w:val="yMiscellaneousBody"/>
        <w:spacing w:before="120"/>
        <w:jc w:val="right"/>
        <w:rPr>
          <w:sz w:val="20"/>
        </w:rPr>
      </w:pPr>
      <w:r>
        <w:rPr>
          <w:sz w:val="20"/>
        </w:rPr>
        <w:t>State Solicitor.</w:t>
      </w:r>
    </w:p>
    <w:p w:rsidR="00425758" w:rsidRDefault="00425758">
      <w:pPr>
        <w:pStyle w:val="yFootnotesection"/>
      </w:pPr>
      <w:r>
        <w:tab/>
        <w:t>[Form 99 amended: Gazette 19 Apr 2005 p. 1301; 28 Jun 2011 p. 2562; 16 Nov 2016 p. 5216.]</w:t>
      </w:r>
    </w:p>
    <w:p w:rsidR="00425758" w:rsidRDefault="00425758">
      <w:pPr>
        <w:pStyle w:val="yHeading5"/>
        <w:keepNext w:val="0"/>
        <w:widowControl w:val="0"/>
      </w:pPr>
      <w:bookmarkStart w:id="1420" w:name="_Toc75863985"/>
      <w:r>
        <w:rPr>
          <w:rStyle w:val="CharSClsNo"/>
        </w:rPr>
        <w:t>100</w:t>
      </w:r>
      <w:r>
        <w:t>.</w:t>
      </w:r>
      <w:r>
        <w:rPr>
          <w:b w:val="0"/>
        </w:rPr>
        <w:tab/>
      </w:r>
      <w:r>
        <w:rPr>
          <w:i/>
        </w:rPr>
        <w:t>Escheat (Procedure) Act 1940</w:t>
      </w:r>
      <w:r>
        <w:t>, order of escheat (O. 80 r. 7)</w:t>
      </w:r>
      <w:bookmarkEnd w:id="1420"/>
    </w:p>
    <w:p w:rsidR="00425758" w:rsidRDefault="00425758">
      <w:pPr>
        <w:pStyle w:val="yMiscellaneousBody"/>
        <w:spacing w:before="120"/>
        <w:rPr>
          <w:sz w:val="20"/>
        </w:rPr>
      </w:pPr>
      <w:r>
        <w:rPr>
          <w:sz w:val="20"/>
        </w:rPr>
        <w:t>IN THE SUPREME COURT</w:t>
      </w:r>
      <w:r>
        <w:rPr>
          <w:sz w:val="20"/>
        </w:rPr>
        <w:br/>
        <w:t>OF WESTERN AUSTRALIA.</w:t>
      </w:r>
    </w:p>
    <w:p w:rsidR="00425758" w:rsidRDefault="00425758">
      <w:pPr>
        <w:pStyle w:val="yMiscellaneousBody"/>
        <w:spacing w:before="80"/>
        <w:ind w:left="2880"/>
        <w:rPr>
          <w:sz w:val="20"/>
        </w:rPr>
      </w:pPr>
      <w:r>
        <w:rPr>
          <w:sz w:val="20"/>
        </w:rPr>
        <w:t>In the matter of</w:t>
      </w:r>
    </w:p>
    <w:p w:rsidR="00425758" w:rsidRDefault="00425758">
      <w:pPr>
        <w:pStyle w:val="yMiscellaneousBody"/>
        <w:spacing w:before="80"/>
        <w:ind w:left="2880"/>
        <w:jc w:val="right"/>
        <w:rPr>
          <w:sz w:val="20"/>
        </w:rPr>
      </w:pPr>
      <w:r>
        <w:rPr>
          <w:sz w:val="20"/>
        </w:rPr>
        <w:t>deceased</w:t>
      </w:r>
    </w:p>
    <w:p w:rsidR="00425758" w:rsidRDefault="00425758">
      <w:pPr>
        <w:pStyle w:val="yMiscellaneousBody"/>
        <w:spacing w:before="80"/>
        <w:jc w:val="center"/>
        <w:rPr>
          <w:i/>
          <w:sz w:val="20"/>
        </w:rPr>
      </w:pPr>
      <w:r>
        <w:rPr>
          <w:i/>
          <w:sz w:val="20"/>
        </w:rPr>
        <w:t>Ex parte</w:t>
      </w:r>
    </w:p>
    <w:p w:rsidR="00425758" w:rsidRDefault="00425758">
      <w:pPr>
        <w:pStyle w:val="yMiscellaneousBody"/>
        <w:spacing w:before="120"/>
        <w:ind w:left="3840"/>
        <w:rPr>
          <w:sz w:val="20"/>
        </w:rPr>
      </w:pPr>
      <w:r>
        <w:rPr>
          <w:sz w:val="20"/>
        </w:rPr>
        <w:t>The State of Western Australia.</w:t>
      </w:r>
    </w:p>
    <w:p w:rsidR="00425758" w:rsidRDefault="00425758">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the Court orders that the property mentioned in the said application, viz:                            shall be and become the property of the State by way of Escheat [</w:t>
      </w:r>
      <w:r>
        <w:rPr>
          <w:i/>
          <w:sz w:val="20"/>
        </w:rPr>
        <w:t>or as the case may be</w:t>
      </w:r>
      <w:r>
        <w:rPr>
          <w:sz w:val="20"/>
        </w:rPr>
        <w:t>].</w:t>
      </w:r>
    </w:p>
    <w:p w:rsidR="00425758" w:rsidRDefault="00425758">
      <w:pPr>
        <w:pStyle w:val="yMiscellaneousBody"/>
        <w:spacing w:before="120"/>
        <w:rPr>
          <w:sz w:val="20"/>
        </w:rPr>
      </w:pPr>
      <w:r>
        <w:rPr>
          <w:sz w:val="20"/>
        </w:rPr>
        <w:t>Dated this                     day of                          20     .</w:t>
      </w:r>
    </w:p>
    <w:p w:rsidR="00425758" w:rsidRDefault="00425758">
      <w:pPr>
        <w:pStyle w:val="yFootnotesection"/>
        <w:spacing w:before="40"/>
      </w:pPr>
      <w:r>
        <w:tab/>
        <w:t>[Form 100 amended: Gazette 19 Apr 2005 p. 1301; 28 Jun 2011 p. 2562; 16 Aug 2017 p. 4424.]</w:t>
      </w:r>
    </w:p>
    <w:p w:rsidR="00425758" w:rsidRDefault="00425758">
      <w:pPr>
        <w:pStyle w:val="yHeading5"/>
        <w:pageBreakBefore/>
        <w:spacing w:after="120"/>
      </w:pPr>
      <w:bookmarkStart w:id="1421" w:name="_Toc75863986"/>
      <w:r>
        <w:rPr>
          <w:rStyle w:val="CharSClsNo"/>
        </w:rPr>
        <w:lastRenderedPageBreak/>
        <w:t>101</w:t>
      </w:r>
      <w:r>
        <w:t>.</w:t>
      </w:r>
      <w:r>
        <w:tab/>
        <w:t>Application for extraordinary licence (O. 81C r. 2(1))</w:t>
      </w:r>
      <w:bookmarkEnd w:id="142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rsidR="00425758">
        <w:trPr>
          <w:cantSplit/>
        </w:trPr>
        <w:tc>
          <w:tcPr>
            <w:tcW w:w="3600" w:type="dxa"/>
            <w:gridSpan w:val="2"/>
            <w:tcBorders>
              <w:bottom w:val="single" w:sz="4" w:space="0" w:color="auto"/>
            </w:tcBorders>
          </w:tcPr>
          <w:p w:rsidR="00425758" w:rsidRDefault="00425758">
            <w:pPr>
              <w:pStyle w:val="yTableNAm"/>
              <w:spacing w:before="80"/>
              <w:rPr>
                <w:iCs/>
                <w:sz w:val="20"/>
              </w:rPr>
            </w:pPr>
            <w:r>
              <w:rPr>
                <w:i/>
                <w:iCs/>
                <w:sz w:val="20"/>
              </w:rPr>
              <w:t>Road Traffic (Authorisation to Drive) Act 2008</w:t>
            </w:r>
            <w:r>
              <w:rPr>
                <w:iCs/>
                <w:sz w:val="20"/>
              </w:rPr>
              <w:t xml:space="preserve"> s. 27</w:t>
            </w:r>
          </w:p>
          <w:p w:rsidR="00425758" w:rsidRDefault="00425758">
            <w:pPr>
              <w:pStyle w:val="yTableNAm"/>
              <w:spacing w:before="80"/>
              <w:rPr>
                <w:sz w:val="20"/>
              </w:rPr>
            </w:pPr>
            <w:r>
              <w:rPr>
                <w:sz w:val="20"/>
              </w:rPr>
              <w:t>Supreme Court of Western Australia</w:t>
            </w:r>
          </w:p>
          <w:p w:rsidR="00425758" w:rsidRDefault="00425758">
            <w:pPr>
              <w:pStyle w:val="yTableNAm"/>
              <w:spacing w:before="0"/>
              <w:rPr>
                <w:b/>
                <w:sz w:val="20"/>
              </w:rPr>
            </w:pPr>
            <w:r>
              <w:rPr>
                <w:sz w:val="20"/>
              </w:rPr>
              <w:t>No:</w:t>
            </w:r>
          </w:p>
        </w:tc>
        <w:tc>
          <w:tcPr>
            <w:tcW w:w="3480" w:type="dxa"/>
            <w:gridSpan w:val="3"/>
            <w:tcBorders>
              <w:bottom w:val="single" w:sz="4" w:space="0" w:color="auto"/>
            </w:tcBorders>
          </w:tcPr>
          <w:p w:rsidR="00425758" w:rsidRDefault="00425758">
            <w:pPr>
              <w:pStyle w:val="yTableNAm"/>
              <w:spacing w:before="0"/>
              <w:rPr>
                <w:b/>
                <w:sz w:val="20"/>
              </w:rPr>
            </w:pPr>
            <w:r>
              <w:rPr>
                <w:b/>
                <w:sz w:val="20"/>
              </w:rPr>
              <w:t>Application for extraordinary licence</w:t>
            </w:r>
          </w:p>
        </w:tc>
      </w:tr>
      <w:tr w:rsidR="00425758">
        <w:trPr>
          <w:cantSplit/>
          <w:trHeight w:val="90"/>
        </w:trPr>
        <w:tc>
          <w:tcPr>
            <w:tcW w:w="1620" w:type="dxa"/>
            <w:vMerge w:val="restart"/>
          </w:tcPr>
          <w:p w:rsidR="00425758" w:rsidRDefault="00425758">
            <w:pPr>
              <w:pStyle w:val="yTableNAm"/>
              <w:spacing w:before="0"/>
              <w:rPr>
                <w:sz w:val="20"/>
              </w:rPr>
            </w:pPr>
            <w:r>
              <w:rPr>
                <w:sz w:val="20"/>
              </w:rPr>
              <w:t>Applicant</w:t>
            </w:r>
          </w:p>
        </w:tc>
        <w:tc>
          <w:tcPr>
            <w:tcW w:w="1980" w:type="dxa"/>
            <w:tcBorders>
              <w:bottom w:val="single" w:sz="4" w:space="0" w:color="auto"/>
            </w:tcBorders>
          </w:tcPr>
          <w:p w:rsidR="00425758" w:rsidRDefault="00425758">
            <w:pPr>
              <w:pStyle w:val="yTableNAm"/>
              <w:spacing w:before="0"/>
              <w:rPr>
                <w:sz w:val="20"/>
              </w:rPr>
            </w:pPr>
            <w:r>
              <w:rPr>
                <w:sz w:val="20"/>
              </w:rPr>
              <w:t>Full name</w:t>
            </w:r>
          </w:p>
        </w:tc>
        <w:tc>
          <w:tcPr>
            <w:tcW w:w="3480" w:type="dxa"/>
            <w:gridSpan w:val="3"/>
            <w:tcBorders>
              <w:bottom w:val="single" w:sz="4" w:space="0" w:color="auto"/>
            </w:tcBorders>
          </w:tcPr>
          <w:p w:rsidR="00425758" w:rsidRDefault="00425758">
            <w:pPr>
              <w:pStyle w:val="yTableNAm"/>
              <w:spacing w:before="0"/>
              <w:rPr>
                <w:sz w:val="20"/>
              </w:rPr>
            </w:pPr>
          </w:p>
        </w:tc>
      </w:tr>
      <w:tr w:rsidR="00425758">
        <w:trPr>
          <w:cantSplit/>
          <w:trHeight w:val="87"/>
        </w:trPr>
        <w:tc>
          <w:tcPr>
            <w:tcW w:w="1620" w:type="dxa"/>
            <w:vMerge/>
          </w:tcPr>
          <w:p w:rsidR="00425758" w:rsidRDefault="00425758">
            <w:pPr>
              <w:pStyle w:val="yTableNAm"/>
              <w:spacing w:before="0"/>
              <w:rPr>
                <w:sz w:val="20"/>
              </w:rPr>
            </w:pPr>
          </w:p>
        </w:tc>
        <w:tc>
          <w:tcPr>
            <w:tcW w:w="1980" w:type="dxa"/>
            <w:tcBorders>
              <w:bottom w:val="single" w:sz="4" w:space="0" w:color="auto"/>
            </w:tcBorders>
          </w:tcPr>
          <w:p w:rsidR="00425758" w:rsidRDefault="00425758">
            <w:pPr>
              <w:pStyle w:val="yTableNAm"/>
              <w:spacing w:before="0"/>
              <w:rPr>
                <w:sz w:val="20"/>
              </w:rPr>
            </w:pPr>
            <w:r>
              <w:rPr>
                <w:sz w:val="20"/>
              </w:rPr>
              <w:t>Address</w:t>
            </w:r>
          </w:p>
        </w:tc>
        <w:tc>
          <w:tcPr>
            <w:tcW w:w="3480" w:type="dxa"/>
            <w:gridSpan w:val="3"/>
            <w:tcBorders>
              <w:bottom w:val="single" w:sz="4" w:space="0" w:color="auto"/>
            </w:tcBorders>
          </w:tcPr>
          <w:p w:rsidR="00425758" w:rsidRDefault="00425758">
            <w:pPr>
              <w:pStyle w:val="yTableNAm"/>
              <w:spacing w:before="0"/>
              <w:rPr>
                <w:sz w:val="20"/>
              </w:rPr>
            </w:pPr>
          </w:p>
        </w:tc>
      </w:tr>
      <w:tr w:rsidR="00425758">
        <w:trPr>
          <w:cantSplit/>
          <w:trHeight w:val="87"/>
        </w:trPr>
        <w:tc>
          <w:tcPr>
            <w:tcW w:w="1620" w:type="dxa"/>
            <w:vMerge/>
          </w:tcPr>
          <w:p w:rsidR="00425758" w:rsidRDefault="00425758">
            <w:pPr>
              <w:pStyle w:val="yTableNAm"/>
              <w:spacing w:before="0"/>
              <w:rPr>
                <w:sz w:val="20"/>
              </w:rPr>
            </w:pPr>
          </w:p>
        </w:tc>
        <w:tc>
          <w:tcPr>
            <w:tcW w:w="1980" w:type="dxa"/>
          </w:tcPr>
          <w:p w:rsidR="00425758" w:rsidRDefault="00425758">
            <w:pPr>
              <w:pStyle w:val="yTableNAm"/>
              <w:spacing w:before="0"/>
              <w:rPr>
                <w:sz w:val="20"/>
              </w:rPr>
            </w:pPr>
            <w:r>
              <w:rPr>
                <w:sz w:val="20"/>
              </w:rPr>
              <w:t>Date of birth</w:t>
            </w:r>
          </w:p>
        </w:tc>
        <w:tc>
          <w:tcPr>
            <w:tcW w:w="3480" w:type="dxa"/>
            <w:gridSpan w:val="3"/>
          </w:tcPr>
          <w:p w:rsidR="00425758" w:rsidRDefault="00425758">
            <w:pPr>
              <w:pStyle w:val="yTableNAm"/>
              <w:spacing w:before="0"/>
              <w:rPr>
                <w:sz w:val="20"/>
              </w:rPr>
            </w:pPr>
          </w:p>
        </w:tc>
      </w:tr>
      <w:tr w:rsidR="00425758">
        <w:trPr>
          <w:cantSplit/>
          <w:trHeight w:val="87"/>
        </w:trPr>
        <w:tc>
          <w:tcPr>
            <w:tcW w:w="1620" w:type="dxa"/>
            <w:vMerge/>
          </w:tcPr>
          <w:p w:rsidR="00425758" w:rsidRDefault="00425758">
            <w:pPr>
              <w:pStyle w:val="yTableNAm"/>
              <w:spacing w:before="0"/>
              <w:rPr>
                <w:sz w:val="20"/>
              </w:rPr>
            </w:pPr>
          </w:p>
        </w:tc>
        <w:tc>
          <w:tcPr>
            <w:tcW w:w="1980" w:type="dxa"/>
          </w:tcPr>
          <w:p w:rsidR="00425758" w:rsidRDefault="00425758">
            <w:pPr>
              <w:pStyle w:val="yTableNAm"/>
              <w:spacing w:before="0"/>
              <w:rPr>
                <w:sz w:val="20"/>
              </w:rPr>
            </w:pPr>
            <w:r>
              <w:rPr>
                <w:sz w:val="20"/>
              </w:rPr>
              <w:t>Occupation</w:t>
            </w:r>
          </w:p>
        </w:tc>
        <w:tc>
          <w:tcPr>
            <w:tcW w:w="3480" w:type="dxa"/>
            <w:gridSpan w:val="3"/>
          </w:tcPr>
          <w:p w:rsidR="00425758" w:rsidRDefault="00425758">
            <w:pPr>
              <w:pStyle w:val="yTableNAm"/>
              <w:spacing w:before="0"/>
              <w:rPr>
                <w:sz w:val="20"/>
              </w:rPr>
            </w:pPr>
          </w:p>
        </w:tc>
      </w:tr>
      <w:tr w:rsidR="00425758">
        <w:trPr>
          <w:cantSplit/>
          <w:trHeight w:val="87"/>
        </w:trPr>
        <w:tc>
          <w:tcPr>
            <w:tcW w:w="1620" w:type="dxa"/>
            <w:vMerge/>
          </w:tcPr>
          <w:p w:rsidR="00425758" w:rsidRDefault="00425758">
            <w:pPr>
              <w:pStyle w:val="yTableNAm"/>
              <w:spacing w:before="0"/>
              <w:rPr>
                <w:sz w:val="20"/>
              </w:rPr>
            </w:pPr>
          </w:p>
        </w:tc>
        <w:tc>
          <w:tcPr>
            <w:tcW w:w="1980" w:type="dxa"/>
          </w:tcPr>
          <w:p w:rsidR="00425758" w:rsidRDefault="00425758">
            <w:pPr>
              <w:pStyle w:val="yTableNAm"/>
              <w:spacing w:before="0"/>
              <w:rPr>
                <w:sz w:val="20"/>
              </w:rPr>
            </w:pPr>
            <w:r>
              <w:rPr>
                <w:sz w:val="20"/>
              </w:rPr>
              <w:t>Employment</w:t>
            </w:r>
          </w:p>
          <w:p w:rsidR="00425758" w:rsidRDefault="00425758">
            <w:pPr>
              <w:pStyle w:val="yTableNAm"/>
              <w:spacing w:before="0"/>
              <w:rPr>
                <w:sz w:val="16"/>
                <w:szCs w:val="16"/>
              </w:rPr>
            </w:pPr>
            <w:r>
              <w:rPr>
                <w:sz w:val="16"/>
                <w:szCs w:val="16"/>
              </w:rPr>
              <w:t>[Tick one box]</w:t>
            </w:r>
          </w:p>
        </w:tc>
        <w:tc>
          <w:tcPr>
            <w:tcW w:w="3480" w:type="dxa"/>
            <w:gridSpan w:val="3"/>
          </w:tcPr>
          <w:p w:rsidR="00425758" w:rsidRDefault="00425758">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rsidR="00425758" w:rsidRDefault="00425758">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rsidR="00425758">
        <w:trPr>
          <w:cantSplit/>
          <w:trHeight w:val="87"/>
        </w:trPr>
        <w:tc>
          <w:tcPr>
            <w:tcW w:w="1620" w:type="dxa"/>
            <w:vMerge/>
            <w:tcBorders>
              <w:bottom w:val="single" w:sz="4" w:space="0" w:color="auto"/>
            </w:tcBorders>
          </w:tcPr>
          <w:p w:rsidR="00425758" w:rsidRDefault="00425758">
            <w:pPr>
              <w:pStyle w:val="yTableNAm"/>
              <w:spacing w:before="0"/>
              <w:rPr>
                <w:sz w:val="20"/>
              </w:rPr>
            </w:pPr>
          </w:p>
        </w:tc>
        <w:tc>
          <w:tcPr>
            <w:tcW w:w="1980" w:type="dxa"/>
            <w:tcBorders>
              <w:bottom w:val="single" w:sz="4" w:space="0" w:color="auto"/>
            </w:tcBorders>
          </w:tcPr>
          <w:p w:rsidR="00425758" w:rsidRDefault="00425758">
            <w:pPr>
              <w:pStyle w:val="yTableNAm"/>
              <w:spacing w:before="0"/>
              <w:rPr>
                <w:sz w:val="20"/>
              </w:rPr>
            </w:pPr>
            <w:r>
              <w:rPr>
                <w:sz w:val="20"/>
              </w:rPr>
              <w:t>Employer’s name and address</w:t>
            </w:r>
          </w:p>
        </w:tc>
        <w:tc>
          <w:tcPr>
            <w:tcW w:w="3480" w:type="dxa"/>
            <w:gridSpan w:val="3"/>
            <w:tcBorders>
              <w:bottom w:val="single" w:sz="4" w:space="0" w:color="auto"/>
            </w:tcBorders>
          </w:tcPr>
          <w:p w:rsidR="00425758" w:rsidRDefault="00425758">
            <w:pPr>
              <w:pStyle w:val="yTableNAm"/>
              <w:spacing w:before="0"/>
              <w:rPr>
                <w:sz w:val="20"/>
              </w:rPr>
            </w:pPr>
          </w:p>
        </w:tc>
      </w:tr>
      <w:tr w:rsidR="00425758">
        <w:trPr>
          <w:cantSplit/>
          <w:trHeight w:val="90"/>
        </w:trPr>
        <w:tc>
          <w:tcPr>
            <w:tcW w:w="1620" w:type="dxa"/>
            <w:vMerge w:val="restart"/>
            <w:tcBorders>
              <w:bottom w:val="single" w:sz="4" w:space="0" w:color="auto"/>
            </w:tcBorders>
          </w:tcPr>
          <w:p w:rsidR="00425758" w:rsidRDefault="00425758">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rsidR="00425758" w:rsidRDefault="00425758">
            <w:pPr>
              <w:pStyle w:val="yTableNAm"/>
              <w:spacing w:before="0"/>
              <w:rPr>
                <w:sz w:val="20"/>
              </w:rPr>
            </w:pPr>
            <w:r>
              <w:rPr>
                <w:sz w:val="20"/>
              </w:rPr>
              <w:t>Date disqualified</w:t>
            </w:r>
          </w:p>
        </w:tc>
        <w:tc>
          <w:tcPr>
            <w:tcW w:w="3480" w:type="dxa"/>
            <w:gridSpan w:val="3"/>
            <w:tcBorders>
              <w:bottom w:val="single" w:sz="4" w:space="0" w:color="auto"/>
            </w:tcBorders>
          </w:tcPr>
          <w:p w:rsidR="00425758" w:rsidRDefault="00425758">
            <w:pPr>
              <w:pStyle w:val="yTableNAm"/>
              <w:spacing w:before="0"/>
              <w:rPr>
                <w:sz w:val="20"/>
              </w:rPr>
            </w:pPr>
          </w:p>
        </w:tc>
      </w:tr>
      <w:tr w:rsidR="00425758">
        <w:trPr>
          <w:cantSplit/>
          <w:trHeight w:val="87"/>
        </w:trPr>
        <w:tc>
          <w:tcPr>
            <w:tcW w:w="1620" w:type="dxa"/>
            <w:vMerge/>
            <w:tcBorders>
              <w:bottom w:val="single" w:sz="4" w:space="0" w:color="auto"/>
            </w:tcBorders>
          </w:tcPr>
          <w:p w:rsidR="00425758" w:rsidRDefault="00425758">
            <w:pPr>
              <w:pStyle w:val="yTableNAm"/>
              <w:spacing w:before="0"/>
              <w:rPr>
                <w:sz w:val="20"/>
              </w:rPr>
            </w:pPr>
          </w:p>
        </w:tc>
        <w:tc>
          <w:tcPr>
            <w:tcW w:w="1980" w:type="dxa"/>
            <w:tcBorders>
              <w:bottom w:val="single" w:sz="4" w:space="0" w:color="auto"/>
            </w:tcBorders>
          </w:tcPr>
          <w:p w:rsidR="00425758" w:rsidRDefault="00425758">
            <w:pPr>
              <w:pStyle w:val="yTableNAm"/>
              <w:spacing w:before="0"/>
              <w:rPr>
                <w:sz w:val="20"/>
              </w:rPr>
            </w:pPr>
            <w:r>
              <w:rPr>
                <w:sz w:val="20"/>
              </w:rPr>
              <w:t>Period disqualified</w:t>
            </w:r>
          </w:p>
        </w:tc>
        <w:tc>
          <w:tcPr>
            <w:tcW w:w="3480" w:type="dxa"/>
            <w:gridSpan w:val="3"/>
            <w:tcBorders>
              <w:bottom w:val="single" w:sz="4" w:space="0" w:color="auto"/>
            </w:tcBorders>
          </w:tcPr>
          <w:p w:rsidR="00425758" w:rsidRDefault="00425758">
            <w:pPr>
              <w:pStyle w:val="yTableNAm"/>
              <w:spacing w:before="0"/>
              <w:rPr>
                <w:sz w:val="20"/>
              </w:rPr>
            </w:pPr>
          </w:p>
        </w:tc>
      </w:tr>
      <w:tr w:rsidR="00425758">
        <w:trPr>
          <w:cantSplit/>
          <w:trHeight w:val="87"/>
        </w:trPr>
        <w:tc>
          <w:tcPr>
            <w:tcW w:w="1620" w:type="dxa"/>
            <w:vMerge/>
            <w:tcBorders>
              <w:bottom w:val="single" w:sz="4" w:space="0" w:color="auto"/>
            </w:tcBorders>
          </w:tcPr>
          <w:p w:rsidR="00425758" w:rsidRDefault="00425758">
            <w:pPr>
              <w:pStyle w:val="yTableNAm"/>
              <w:spacing w:before="0"/>
              <w:rPr>
                <w:sz w:val="20"/>
              </w:rPr>
            </w:pPr>
          </w:p>
        </w:tc>
        <w:tc>
          <w:tcPr>
            <w:tcW w:w="1980" w:type="dxa"/>
            <w:tcBorders>
              <w:bottom w:val="single" w:sz="4" w:space="0" w:color="auto"/>
            </w:tcBorders>
          </w:tcPr>
          <w:p w:rsidR="00425758" w:rsidRDefault="00425758">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rsidR="00425758" w:rsidRDefault="00425758">
            <w:pPr>
              <w:pStyle w:val="yTableNAm"/>
              <w:spacing w:before="0"/>
              <w:rPr>
                <w:sz w:val="20"/>
              </w:rPr>
            </w:pPr>
          </w:p>
        </w:tc>
      </w:tr>
      <w:tr w:rsidR="00425758">
        <w:trPr>
          <w:cantSplit/>
        </w:trPr>
        <w:tc>
          <w:tcPr>
            <w:tcW w:w="1620" w:type="dxa"/>
            <w:tcBorders>
              <w:bottom w:val="single" w:sz="4" w:space="0" w:color="auto"/>
            </w:tcBorders>
          </w:tcPr>
          <w:p w:rsidR="00425758" w:rsidRDefault="00425758">
            <w:pPr>
              <w:pStyle w:val="yTableNAm"/>
              <w:spacing w:before="0"/>
              <w:rPr>
                <w:sz w:val="20"/>
              </w:rPr>
            </w:pPr>
            <w:r>
              <w:rPr>
                <w:sz w:val="20"/>
              </w:rPr>
              <w:t>Application</w:t>
            </w:r>
          </w:p>
        </w:tc>
        <w:tc>
          <w:tcPr>
            <w:tcW w:w="5460" w:type="dxa"/>
            <w:gridSpan w:val="4"/>
            <w:tcBorders>
              <w:bottom w:val="single" w:sz="4" w:space="0" w:color="auto"/>
            </w:tcBorders>
          </w:tcPr>
          <w:p w:rsidR="00425758" w:rsidRDefault="00425758">
            <w:pPr>
              <w:pStyle w:val="yTableNAm"/>
              <w:spacing w:before="0"/>
              <w:rPr>
                <w:sz w:val="20"/>
              </w:rPr>
            </w:pPr>
            <w:r>
              <w:rPr>
                <w:sz w:val="20"/>
              </w:rPr>
              <w:t xml:space="preserve">Under the </w:t>
            </w:r>
            <w:r>
              <w:rPr>
                <w:i/>
                <w:iCs/>
                <w:sz w:val="20"/>
              </w:rPr>
              <w:t>Road Traffic (Authorisation to Drive) Act 2008</w:t>
            </w:r>
            <w:r>
              <w:rPr>
                <w:iCs/>
                <w:sz w:val="20"/>
              </w:rPr>
              <w:t xml:space="preserve"> s. 27</w:t>
            </w:r>
            <w:r>
              <w:rPr>
                <w:sz w:val="20"/>
              </w:rPr>
              <w:t xml:space="preserve"> I apply for an order directing the CEO to issue an extraordinary licence that allows me to drive —</w:t>
            </w:r>
          </w:p>
          <w:p w:rsidR="00425758" w:rsidRDefault="00425758">
            <w:pPr>
              <w:pStyle w:val="yTableNAm"/>
              <w:numPr>
                <w:ilvl w:val="0"/>
                <w:numId w:val="14"/>
              </w:numPr>
              <w:spacing w:before="0"/>
              <w:rPr>
                <w:sz w:val="20"/>
              </w:rPr>
            </w:pPr>
            <w:r>
              <w:rPr>
                <w:sz w:val="20"/>
              </w:rPr>
              <w:t>vehicles of class:</w:t>
            </w:r>
          </w:p>
          <w:p w:rsidR="00425758" w:rsidRDefault="00425758">
            <w:pPr>
              <w:pStyle w:val="yTableNAm"/>
              <w:numPr>
                <w:ilvl w:val="0"/>
                <w:numId w:val="14"/>
              </w:numPr>
              <w:spacing w:before="0"/>
              <w:rPr>
                <w:sz w:val="20"/>
              </w:rPr>
            </w:pPr>
            <w:r>
              <w:rPr>
                <w:sz w:val="20"/>
              </w:rPr>
              <w:t>in these localities:</w:t>
            </w:r>
          </w:p>
          <w:p w:rsidR="00425758" w:rsidRDefault="00425758">
            <w:pPr>
              <w:pStyle w:val="yTableNAm"/>
              <w:numPr>
                <w:ilvl w:val="0"/>
                <w:numId w:val="14"/>
              </w:numPr>
              <w:spacing w:before="0"/>
              <w:rPr>
                <w:sz w:val="20"/>
              </w:rPr>
            </w:pPr>
            <w:r>
              <w:rPr>
                <w:sz w:val="20"/>
              </w:rPr>
              <w:t>on these days at these times:</w:t>
            </w:r>
          </w:p>
          <w:p w:rsidR="00425758" w:rsidRDefault="00425758">
            <w:pPr>
              <w:pStyle w:val="yTableNAm"/>
              <w:numPr>
                <w:ilvl w:val="0"/>
                <w:numId w:val="14"/>
              </w:numPr>
              <w:spacing w:before="0"/>
              <w:rPr>
                <w:sz w:val="20"/>
              </w:rPr>
            </w:pPr>
            <w:r>
              <w:rPr>
                <w:sz w:val="20"/>
              </w:rPr>
              <w:t>for these purposes:</w:t>
            </w:r>
          </w:p>
        </w:tc>
      </w:tr>
      <w:tr w:rsidR="00425758">
        <w:trPr>
          <w:cantSplit/>
        </w:trPr>
        <w:tc>
          <w:tcPr>
            <w:tcW w:w="1620" w:type="dxa"/>
            <w:tcBorders>
              <w:bottom w:val="single" w:sz="4" w:space="0" w:color="auto"/>
            </w:tcBorders>
          </w:tcPr>
          <w:p w:rsidR="00425758" w:rsidRDefault="00425758">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rsidR="00425758" w:rsidRDefault="00425758">
            <w:pPr>
              <w:pStyle w:val="yTableNAm"/>
              <w:spacing w:before="0"/>
              <w:rPr>
                <w:sz w:val="20"/>
              </w:rPr>
            </w:pPr>
            <w:r>
              <w:rPr>
                <w:sz w:val="20"/>
              </w:rPr>
              <w:t>1.</w:t>
            </w:r>
          </w:p>
        </w:tc>
      </w:tr>
      <w:tr w:rsidR="00425758">
        <w:trPr>
          <w:cantSplit/>
        </w:trPr>
        <w:tc>
          <w:tcPr>
            <w:tcW w:w="1620" w:type="dxa"/>
            <w:tcBorders>
              <w:top w:val="single" w:sz="4" w:space="0" w:color="auto"/>
            </w:tcBorders>
          </w:tcPr>
          <w:p w:rsidR="00425758" w:rsidRDefault="00425758">
            <w:pPr>
              <w:pStyle w:val="yTableNAm"/>
              <w:spacing w:before="0"/>
              <w:rPr>
                <w:sz w:val="20"/>
              </w:rPr>
            </w:pPr>
            <w:r>
              <w:rPr>
                <w:sz w:val="20"/>
              </w:rPr>
              <w:t>Certificate by applicant</w:t>
            </w:r>
          </w:p>
          <w:p w:rsidR="00425758" w:rsidRDefault="00425758">
            <w:pPr>
              <w:pStyle w:val="yTableNAm"/>
              <w:spacing w:before="0"/>
              <w:rPr>
                <w:sz w:val="16"/>
                <w:szCs w:val="16"/>
              </w:rPr>
            </w:pPr>
            <w:r>
              <w:rPr>
                <w:sz w:val="16"/>
                <w:szCs w:val="16"/>
              </w:rPr>
              <w:t>[Tick one box]</w:t>
            </w:r>
          </w:p>
        </w:tc>
        <w:tc>
          <w:tcPr>
            <w:tcW w:w="5460" w:type="dxa"/>
            <w:gridSpan w:val="4"/>
            <w:tcBorders>
              <w:top w:val="single" w:sz="4" w:space="0" w:color="auto"/>
            </w:tcBorders>
          </w:tcPr>
          <w:p w:rsidR="00425758" w:rsidRDefault="00425758">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rsidR="00425758" w:rsidRDefault="00425758">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rsidR="00425758" w:rsidRDefault="00425758">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rsidR="00425758">
        <w:trPr>
          <w:cantSplit/>
        </w:trPr>
        <w:tc>
          <w:tcPr>
            <w:tcW w:w="1620" w:type="dxa"/>
            <w:tcBorders>
              <w:top w:val="single" w:sz="4" w:space="0" w:color="auto"/>
              <w:bottom w:val="single" w:sz="4" w:space="0" w:color="auto"/>
            </w:tcBorders>
          </w:tcPr>
          <w:p w:rsidR="00425758" w:rsidRDefault="00425758">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rsidR="00425758" w:rsidRDefault="00425758">
            <w:pPr>
              <w:pStyle w:val="yTableNAm"/>
              <w:spacing w:before="0"/>
              <w:rPr>
                <w:sz w:val="20"/>
              </w:rPr>
            </w:pPr>
          </w:p>
        </w:tc>
        <w:tc>
          <w:tcPr>
            <w:tcW w:w="709" w:type="dxa"/>
            <w:tcBorders>
              <w:top w:val="single" w:sz="4" w:space="0" w:color="auto"/>
              <w:bottom w:val="single" w:sz="4" w:space="0" w:color="auto"/>
            </w:tcBorders>
          </w:tcPr>
          <w:p w:rsidR="00425758" w:rsidRDefault="00425758">
            <w:pPr>
              <w:pStyle w:val="yTableNAm"/>
              <w:spacing w:before="0"/>
              <w:rPr>
                <w:sz w:val="20"/>
              </w:rPr>
            </w:pPr>
            <w:r>
              <w:rPr>
                <w:sz w:val="20"/>
              </w:rPr>
              <w:t>Date</w:t>
            </w:r>
          </w:p>
        </w:tc>
        <w:tc>
          <w:tcPr>
            <w:tcW w:w="1213" w:type="dxa"/>
            <w:tcBorders>
              <w:top w:val="single" w:sz="4" w:space="0" w:color="auto"/>
              <w:bottom w:val="single" w:sz="4" w:space="0" w:color="auto"/>
            </w:tcBorders>
          </w:tcPr>
          <w:p w:rsidR="00425758" w:rsidRDefault="00425758">
            <w:pPr>
              <w:pStyle w:val="yTableNAm"/>
              <w:spacing w:before="0"/>
              <w:rPr>
                <w:sz w:val="20"/>
              </w:rPr>
            </w:pPr>
          </w:p>
        </w:tc>
      </w:tr>
      <w:tr w:rsidR="00425758">
        <w:trPr>
          <w:cantSplit/>
        </w:trPr>
        <w:tc>
          <w:tcPr>
            <w:tcW w:w="1620" w:type="dxa"/>
            <w:tcBorders>
              <w:bottom w:val="single" w:sz="4" w:space="0" w:color="auto"/>
            </w:tcBorders>
          </w:tcPr>
          <w:p w:rsidR="00425758" w:rsidRDefault="00425758">
            <w:pPr>
              <w:pStyle w:val="yTableNAm"/>
              <w:spacing w:before="0"/>
              <w:rPr>
                <w:sz w:val="20"/>
              </w:rPr>
            </w:pPr>
            <w:r>
              <w:rPr>
                <w:sz w:val="20"/>
              </w:rPr>
              <w:t>Hearing details</w:t>
            </w:r>
          </w:p>
        </w:tc>
        <w:tc>
          <w:tcPr>
            <w:tcW w:w="5460" w:type="dxa"/>
            <w:gridSpan w:val="4"/>
            <w:tcBorders>
              <w:bottom w:val="single" w:sz="4" w:space="0" w:color="auto"/>
            </w:tcBorders>
          </w:tcPr>
          <w:p w:rsidR="00425758" w:rsidRDefault="00425758">
            <w:pPr>
              <w:pStyle w:val="yTableNAm"/>
              <w:spacing w:before="0"/>
              <w:rPr>
                <w:sz w:val="20"/>
              </w:rPr>
            </w:pPr>
            <w:r>
              <w:rPr>
                <w:sz w:val="20"/>
              </w:rPr>
              <w:t xml:space="preserve">This application will be heard — </w:t>
            </w:r>
          </w:p>
          <w:p w:rsidR="00425758" w:rsidRDefault="00425758">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rsidR="00425758" w:rsidRDefault="00425758">
            <w:pPr>
              <w:pStyle w:val="yTableNAm"/>
              <w:spacing w:before="0"/>
              <w:rPr>
                <w:sz w:val="20"/>
              </w:rPr>
            </w:pPr>
            <w:r>
              <w:rPr>
                <w:sz w:val="20"/>
              </w:rPr>
              <w:t>at [</w:t>
            </w:r>
            <w:r>
              <w:rPr>
                <w:i/>
                <w:iCs/>
                <w:sz w:val="20"/>
              </w:rPr>
              <w:t>place</w:t>
            </w:r>
            <w:r>
              <w:rPr>
                <w:sz w:val="20"/>
              </w:rPr>
              <w:t>]</w:t>
            </w:r>
          </w:p>
        </w:tc>
      </w:tr>
    </w:tbl>
    <w:p w:rsidR="00425758" w:rsidRDefault="00425758">
      <w:pPr>
        <w:pStyle w:val="yMiscellaneousBody"/>
        <w:keepNext/>
        <w:tabs>
          <w:tab w:val="left" w:pos="540"/>
        </w:tabs>
        <w:ind w:left="540" w:hanging="540"/>
        <w:rPr>
          <w:sz w:val="20"/>
        </w:rPr>
      </w:pPr>
      <w:r>
        <w:rPr>
          <w:sz w:val="20"/>
        </w:rPr>
        <w:lastRenderedPageBreak/>
        <w:t>Notes to Form No. 101 —</w:t>
      </w:r>
    </w:p>
    <w:p w:rsidR="00425758" w:rsidRDefault="00425758">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sidRPr="00887F7D">
        <w:rPr>
          <w:i/>
          <w:sz w:val="20"/>
        </w:rPr>
        <w:t>Road Traffic Act 1974</w:t>
      </w:r>
      <w:r w:rsidRPr="00887F7D">
        <w:rPr>
          <w:sz w:val="20"/>
        </w:rPr>
        <w:t xml:space="preserve"> Part V Division 2 (including s. 63, 64, 64AB, 64B, 67, 67AA, 67AD and 67A),</w:t>
      </w:r>
      <w:r>
        <w:rPr>
          <w:sz w:val="20"/>
        </w:rPr>
        <w:t xml:space="preserve"> state whether the conviction was the applicant’s first, second or subsequent for the offence. If disqualified for some other reason, give details.</w:t>
      </w:r>
    </w:p>
    <w:p w:rsidR="00425758" w:rsidRDefault="00425758">
      <w:pPr>
        <w:pStyle w:val="yMiscellaneousBody"/>
        <w:tabs>
          <w:tab w:val="left" w:pos="540"/>
        </w:tabs>
        <w:ind w:left="540" w:hanging="540"/>
        <w:rPr>
          <w:sz w:val="20"/>
        </w:rPr>
      </w:pPr>
      <w:r>
        <w:rPr>
          <w:sz w:val="20"/>
        </w:rPr>
        <w:t>2.</w:t>
      </w:r>
      <w:r>
        <w:rPr>
          <w:sz w:val="20"/>
        </w:rPr>
        <w:tab/>
        <w:t xml:space="preserve">Note the </w:t>
      </w:r>
      <w:r>
        <w:rPr>
          <w:i/>
          <w:sz w:val="20"/>
        </w:rPr>
        <w:t>Road Traffic (Authorisation to Drive) Act 2008</w:t>
      </w:r>
      <w:r>
        <w:rPr>
          <w:iCs/>
          <w:sz w:val="20"/>
        </w:rPr>
        <w:t xml:space="preserve"> s. 30.</w:t>
      </w:r>
      <w:r>
        <w:rPr>
          <w:sz w:val="20"/>
        </w:rPr>
        <w:t xml:space="preserve"> Use numbered paragraphs.</w:t>
      </w:r>
    </w:p>
    <w:p w:rsidR="00425758" w:rsidRDefault="00425758">
      <w:pPr>
        <w:pStyle w:val="yFootnotesection"/>
      </w:pPr>
      <w:r>
        <w:tab/>
        <w:t>[Form 101 inserted: Gazette 21 Feb 2007 p. 588; amended: Gazette 19 Dec 2014 p. 4848; SL 2021/65 r. 4.]</w:t>
      </w:r>
    </w:p>
    <w:p w:rsidR="00425758" w:rsidRDefault="00425758">
      <w:pPr>
        <w:pStyle w:val="yHeading5"/>
        <w:spacing w:before="480" w:after="120"/>
        <w:outlineLvl w:val="9"/>
      </w:pPr>
      <w:bookmarkStart w:id="1422" w:name="_Toc75863987"/>
      <w:r>
        <w:rPr>
          <w:rStyle w:val="CharSClsNo"/>
        </w:rPr>
        <w:t>102</w:t>
      </w:r>
      <w:r>
        <w:t>.</w:t>
      </w:r>
      <w:r>
        <w:tab/>
        <w:t>Application by holder to vary extraordinary licence (O. 81C r. 2(2))</w:t>
      </w:r>
      <w:bookmarkEnd w:id="142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rsidR="00425758">
        <w:trPr>
          <w:cantSplit/>
        </w:trPr>
        <w:tc>
          <w:tcPr>
            <w:tcW w:w="3969" w:type="dxa"/>
            <w:gridSpan w:val="2"/>
            <w:tcBorders>
              <w:bottom w:val="single" w:sz="4" w:space="0" w:color="auto"/>
            </w:tcBorders>
          </w:tcPr>
          <w:p w:rsidR="00425758" w:rsidRDefault="00425758">
            <w:pPr>
              <w:pStyle w:val="yTableNAm"/>
              <w:spacing w:before="0"/>
              <w:rPr>
                <w:sz w:val="20"/>
              </w:rPr>
            </w:pPr>
            <w:r>
              <w:rPr>
                <w:i/>
                <w:iCs/>
                <w:sz w:val="20"/>
              </w:rPr>
              <w:t xml:space="preserve">Road Traffic (Authorisation to Drive) Act 2008 </w:t>
            </w:r>
            <w:r>
              <w:rPr>
                <w:iCs/>
                <w:sz w:val="20"/>
              </w:rPr>
              <w:t>s. 35(1)</w:t>
            </w:r>
          </w:p>
          <w:p w:rsidR="00425758" w:rsidRDefault="00425758">
            <w:pPr>
              <w:pStyle w:val="yTableNAm"/>
              <w:spacing w:before="80"/>
              <w:rPr>
                <w:sz w:val="20"/>
              </w:rPr>
            </w:pPr>
            <w:r>
              <w:rPr>
                <w:sz w:val="20"/>
              </w:rPr>
              <w:t>Supreme Court of Western Australia</w:t>
            </w:r>
          </w:p>
          <w:p w:rsidR="00425758" w:rsidRDefault="00425758">
            <w:pPr>
              <w:pStyle w:val="yTableNAm"/>
              <w:spacing w:before="0"/>
              <w:rPr>
                <w:b/>
                <w:sz w:val="20"/>
              </w:rPr>
            </w:pPr>
            <w:r>
              <w:rPr>
                <w:sz w:val="20"/>
              </w:rPr>
              <w:t>No:</w:t>
            </w:r>
          </w:p>
        </w:tc>
        <w:tc>
          <w:tcPr>
            <w:tcW w:w="3111" w:type="dxa"/>
            <w:gridSpan w:val="3"/>
            <w:tcBorders>
              <w:bottom w:val="single" w:sz="4" w:space="0" w:color="auto"/>
            </w:tcBorders>
          </w:tcPr>
          <w:p w:rsidR="00425758" w:rsidRDefault="00425758">
            <w:pPr>
              <w:pStyle w:val="yTableNAm"/>
              <w:spacing w:before="0"/>
              <w:rPr>
                <w:b/>
                <w:sz w:val="20"/>
              </w:rPr>
            </w:pPr>
            <w:r>
              <w:rPr>
                <w:b/>
                <w:sz w:val="20"/>
              </w:rPr>
              <w:t>Application by holder to vary extraordinary licence</w:t>
            </w:r>
          </w:p>
        </w:tc>
      </w:tr>
      <w:tr w:rsidR="00425758">
        <w:trPr>
          <w:cantSplit/>
          <w:trHeight w:val="90"/>
        </w:trPr>
        <w:tc>
          <w:tcPr>
            <w:tcW w:w="1620" w:type="dxa"/>
            <w:vMerge w:val="restart"/>
            <w:tcBorders>
              <w:bottom w:val="single" w:sz="4" w:space="0" w:color="auto"/>
            </w:tcBorders>
          </w:tcPr>
          <w:p w:rsidR="00425758" w:rsidRDefault="00425758">
            <w:pPr>
              <w:pStyle w:val="yTableNAm"/>
              <w:spacing w:before="0"/>
              <w:rPr>
                <w:sz w:val="20"/>
              </w:rPr>
            </w:pPr>
            <w:r>
              <w:rPr>
                <w:sz w:val="20"/>
              </w:rPr>
              <w:t>Applicant</w:t>
            </w:r>
          </w:p>
        </w:tc>
        <w:tc>
          <w:tcPr>
            <w:tcW w:w="2349" w:type="dxa"/>
            <w:tcBorders>
              <w:bottom w:val="single" w:sz="4" w:space="0" w:color="auto"/>
            </w:tcBorders>
          </w:tcPr>
          <w:p w:rsidR="00425758" w:rsidRDefault="00425758">
            <w:pPr>
              <w:pStyle w:val="yTableNAm"/>
              <w:spacing w:before="0"/>
              <w:rPr>
                <w:sz w:val="20"/>
              </w:rPr>
            </w:pPr>
            <w:r>
              <w:rPr>
                <w:sz w:val="20"/>
              </w:rPr>
              <w:t>Full name</w:t>
            </w:r>
          </w:p>
        </w:tc>
        <w:tc>
          <w:tcPr>
            <w:tcW w:w="3111" w:type="dxa"/>
            <w:gridSpan w:val="3"/>
            <w:tcBorders>
              <w:bottom w:val="single" w:sz="4" w:space="0" w:color="auto"/>
            </w:tcBorders>
          </w:tcPr>
          <w:p w:rsidR="00425758" w:rsidRDefault="00425758">
            <w:pPr>
              <w:pStyle w:val="yTableNAm"/>
              <w:spacing w:before="0"/>
              <w:rPr>
                <w:sz w:val="20"/>
              </w:rPr>
            </w:pPr>
          </w:p>
        </w:tc>
      </w:tr>
      <w:tr w:rsidR="00425758">
        <w:trPr>
          <w:cantSplit/>
          <w:trHeight w:val="87"/>
        </w:trPr>
        <w:tc>
          <w:tcPr>
            <w:tcW w:w="1620" w:type="dxa"/>
            <w:vMerge/>
            <w:tcBorders>
              <w:bottom w:val="single" w:sz="4" w:space="0" w:color="auto"/>
            </w:tcBorders>
          </w:tcPr>
          <w:p w:rsidR="00425758" w:rsidRDefault="00425758">
            <w:pPr>
              <w:pStyle w:val="yTableNAm"/>
              <w:spacing w:before="0"/>
              <w:rPr>
                <w:sz w:val="20"/>
              </w:rPr>
            </w:pPr>
          </w:p>
        </w:tc>
        <w:tc>
          <w:tcPr>
            <w:tcW w:w="2349" w:type="dxa"/>
            <w:tcBorders>
              <w:bottom w:val="single" w:sz="4" w:space="0" w:color="auto"/>
            </w:tcBorders>
          </w:tcPr>
          <w:p w:rsidR="00425758" w:rsidRDefault="00425758">
            <w:pPr>
              <w:pStyle w:val="yTableNAm"/>
              <w:spacing w:before="0"/>
              <w:rPr>
                <w:sz w:val="20"/>
              </w:rPr>
            </w:pPr>
            <w:r>
              <w:rPr>
                <w:sz w:val="20"/>
              </w:rPr>
              <w:t>Address</w:t>
            </w:r>
          </w:p>
        </w:tc>
        <w:tc>
          <w:tcPr>
            <w:tcW w:w="3111" w:type="dxa"/>
            <w:gridSpan w:val="3"/>
            <w:tcBorders>
              <w:bottom w:val="single" w:sz="4" w:space="0" w:color="auto"/>
            </w:tcBorders>
          </w:tcPr>
          <w:p w:rsidR="00425758" w:rsidRDefault="00425758">
            <w:pPr>
              <w:pStyle w:val="yTableNAm"/>
              <w:spacing w:before="0"/>
              <w:rPr>
                <w:sz w:val="20"/>
              </w:rPr>
            </w:pPr>
          </w:p>
        </w:tc>
      </w:tr>
      <w:tr w:rsidR="00425758">
        <w:trPr>
          <w:cantSplit/>
          <w:trHeight w:val="90"/>
        </w:trPr>
        <w:tc>
          <w:tcPr>
            <w:tcW w:w="1620" w:type="dxa"/>
            <w:vMerge w:val="restart"/>
            <w:tcBorders>
              <w:bottom w:val="single" w:sz="4" w:space="0" w:color="auto"/>
            </w:tcBorders>
          </w:tcPr>
          <w:p w:rsidR="00425758" w:rsidRDefault="00425758">
            <w:pPr>
              <w:pStyle w:val="yTableNAm"/>
              <w:spacing w:before="0"/>
              <w:rPr>
                <w:sz w:val="20"/>
              </w:rPr>
            </w:pPr>
            <w:r>
              <w:rPr>
                <w:sz w:val="20"/>
              </w:rPr>
              <w:t xml:space="preserve">Extraordinary licence details </w:t>
            </w:r>
          </w:p>
        </w:tc>
        <w:tc>
          <w:tcPr>
            <w:tcW w:w="2349" w:type="dxa"/>
            <w:tcBorders>
              <w:bottom w:val="single" w:sz="4" w:space="0" w:color="auto"/>
            </w:tcBorders>
          </w:tcPr>
          <w:p w:rsidR="00425758" w:rsidRDefault="00425758">
            <w:pPr>
              <w:pStyle w:val="yTableNAm"/>
              <w:spacing w:before="0"/>
              <w:rPr>
                <w:sz w:val="20"/>
              </w:rPr>
            </w:pPr>
            <w:r>
              <w:rPr>
                <w:sz w:val="20"/>
              </w:rPr>
              <w:t>Court that ordered it</w:t>
            </w:r>
          </w:p>
        </w:tc>
        <w:tc>
          <w:tcPr>
            <w:tcW w:w="3111" w:type="dxa"/>
            <w:gridSpan w:val="3"/>
            <w:tcBorders>
              <w:bottom w:val="single" w:sz="4" w:space="0" w:color="auto"/>
            </w:tcBorders>
          </w:tcPr>
          <w:p w:rsidR="00425758" w:rsidRDefault="00425758">
            <w:pPr>
              <w:pStyle w:val="yTableNAm"/>
              <w:spacing w:before="0"/>
              <w:rPr>
                <w:sz w:val="20"/>
              </w:rPr>
            </w:pPr>
          </w:p>
        </w:tc>
      </w:tr>
      <w:tr w:rsidR="00425758">
        <w:trPr>
          <w:cantSplit/>
          <w:trHeight w:val="87"/>
        </w:trPr>
        <w:tc>
          <w:tcPr>
            <w:tcW w:w="1620" w:type="dxa"/>
            <w:vMerge/>
            <w:tcBorders>
              <w:bottom w:val="single" w:sz="4" w:space="0" w:color="auto"/>
            </w:tcBorders>
          </w:tcPr>
          <w:p w:rsidR="00425758" w:rsidRDefault="00425758">
            <w:pPr>
              <w:pStyle w:val="yTableNAm"/>
              <w:spacing w:before="0"/>
              <w:rPr>
                <w:sz w:val="20"/>
              </w:rPr>
            </w:pPr>
          </w:p>
        </w:tc>
        <w:tc>
          <w:tcPr>
            <w:tcW w:w="2349" w:type="dxa"/>
            <w:tcBorders>
              <w:bottom w:val="single" w:sz="4" w:space="0" w:color="auto"/>
            </w:tcBorders>
          </w:tcPr>
          <w:p w:rsidR="00425758" w:rsidRDefault="00425758">
            <w:pPr>
              <w:pStyle w:val="yTableNAm"/>
              <w:spacing w:before="0"/>
              <w:rPr>
                <w:sz w:val="20"/>
              </w:rPr>
            </w:pPr>
            <w:r>
              <w:rPr>
                <w:sz w:val="20"/>
              </w:rPr>
              <w:t>Date of court order</w:t>
            </w:r>
          </w:p>
        </w:tc>
        <w:tc>
          <w:tcPr>
            <w:tcW w:w="3111" w:type="dxa"/>
            <w:gridSpan w:val="3"/>
            <w:tcBorders>
              <w:bottom w:val="single" w:sz="4" w:space="0" w:color="auto"/>
            </w:tcBorders>
          </w:tcPr>
          <w:p w:rsidR="00425758" w:rsidRDefault="00425758">
            <w:pPr>
              <w:pStyle w:val="yTableNAm"/>
              <w:spacing w:before="0"/>
              <w:rPr>
                <w:sz w:val="20"/>
              </w:rPr>
            </w:pPr>
          </w:p>
        </w:tc>
      </w:tr>
      <w:tr w:rsidR="00425758">
        <w:trPr>
          <w:cantSplit/>
          <w:trHeight w:val="87"/>
        </w:trPr>
        <w:tc>
          <w:tcPr>
            <w:tcW w:w="1620" w:type="dxa"/>
            <w:vMerge/>
            <w:tcBorders>
              <w:bottom w:val="single" w:sz="4" w:space="0" w:color="auto"/>
            </w:tcBorders>
          </w:tcPr>
          <w:p w:rsidR="00425758" w:rsidRDefault="00425758">
            <w:pPr>
              <w:pStyle w:val="yTableNAm"/>
              <w:spacing w:before="0"/>
              <w:rPr>
                <w:sz w:val="20"/>
              </w:rPr>
            </w:pPr>
          </w:p>
        </w:tc>
        <w:tc>
          <w:tcPr>
            <w:tcW w:w="2349" w:type="dxa"/>
            <w:tcBorders>
              <w:bottom w:val="single" w:sz="4" w:space="0" w:color="auto"/>
            </w:tcBorders>
          </w:tcPr>
          <w:p w:rsidR="00425758" w:rsidRDefault="00425758">
            <w:pPr>
              <w:pStyle w:val="yTableNAm"/>
              <w:spacing w:before="0"/>
              <w:rPr>
                <w:sz w:val="20"/>
              </w:rPr>
            </w:pPr>
            <w:r>
              <w:rPr>
                <w:sz w:val="20"/>
              </w:rPr>
              <w:t>Licence’s limitations and conditions</w:t>
            </w:r>
          </w:p>
        </w:tc>
        <w:tc>
          <w:tcPr>
            <w:tcW w:w="3111" w:type="dxa"/>
            <w:gridSpan w:val="3"/>
            <w:tcBorders>
              <w:bottom w:val="single" w:sz="4" w:space="0" w:color="auto"/>
            </w:tcBorders>
          </w:tcPr>
          <w:p w:rsidR="00425758" w:rsidRDefault="00425758">
            <w:pPr>
              <w:pStyle w:val="yTableNAm"/>
              <w:spacing w:before="0"/>
              <w:rPr>
                <w:sz w:val="20"/>
              </w:rPr>
            </w:pPr>
          </w:p>
        </w:tc>
      </w:tr>
      <w:tr w:rsidR="00425758">
        <w:trPr>
          <w:cantSplit/>
        </w:trPr>
        <w:tc>
          <w:tcPr>
            <w:tcW w:w="1620" w:type="dxa"/>
          </w:tcPr>
          <w:p w:rsidR="00425758" w:rsidRDefault="00425758">
            <w:pPr>
              <w:pStyle w:val="yTableNAm"/>
              <w:spacing w:before="0"/>
              <w:rPr>
                <w:sz w:val="20"/>
              </w:rPr>
            </w:pPr>
            <w:r>
              <w:rPr>
                <w:sz w:val="20"/>
              </w:rPr>
              <w:t>Application</w:t>
            </w:r>
          </w:p>
          <w:p w:rsidR="00425758" w:rsidRDefault="00425758">
            <w:pPr>
              <w:pStyle w:val="yTableNAm"/>
              <w:spacing w:before="0"/>
              <w:rPr>
                <w:sz w:val="16"/>
                <w:szCs w:val="16"/>
              </w:rPr>
            </w:pPr>
            <w:r>
              <w:rPr>
                <w:sz w:val="16"/>
                <w:szCs w:val="16"/>
              </w:rPr>
              <w:t>[Tick one box]</w:t>
            </w:r>
          </w:p>
        </w:tc>
        <w:tc>
          <w:tcPr>
            <w:tcW w:w="5460" w:type="dxa"/>
            <w:gridSpan w:val="4"/>
          </w:tcPr>
          <w:p w:rsidR="00425758" w:rsidRDefault="00425758">
            <w:pPr>
              <w:pStyle w:val="yTableNAm"/>
              <w:spacing w:before="0"/>
              <w:rPr>
                <w:sz w:val="20"/>
              </w:rPr>
            </w:pPr>
            <w:r>
              <w:rPr>
                <w:sz w:val="20"/>
              </w:rPr>
              <w:t xml:space="preserve">I hold the above extraordinary licence. Under the </w:t>
            </w:r>
            <w:r>
              <w:rPr>
                <w:i/>
                <w:iCs/>
                <w:sz w:val="20"/>
              </w:rPr>
              <w:t>Road Traffic (Authorisation to Drive) Act 2008</w:t>
            </w:r>
            <w:r>
              <w:rPr>
                <w:iCs/>
                <w:sz w:val="20"/>
              </w:rPr>
              <w:t xml:space="preserve"> s. 35(1)</w:t>
            </w:r>
            <w:r>
              <w:rPr>
                <w:sz w:val="20"/>
              </w:rPr>
              <w:t xml:space="preserve"> I apply for —</w:t>
            </w:r>
          </w:p>
          <w:p w:rsidR="00425758" w:rsidRDefault="00425758">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rsidR="00425758" w:rsidRDefault="00425758">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rsidR="00425758" w:rsidRDefault="00425758">
            <w:pPr>
              <w:pStyle w:val="yTableNAm"/>
              <w:spacing w:before="0"/>
              <w:rPr>
                <w:sz w:val="20"/>
              </w:rPr>
            </w:pPr>
          </w:p>
        </w:tc>
      </w:tr>
      <w:tr w:rsidR="00425758">
        <w:trPr>
          <w:cantSplit/>
        </w:trPr>
        <w:tc>
          <w:tcPr>
            <w:tcW w:w="1620" w:type="dxa"/>
          </w:tcPr>
          <w:p w:rsidR="00425758" w:rsidRDefault="00425758">
            <w:pPr>
              <w:pStyle w:val="yTableNAm"/>
              <w:spacing w:before="0"/>
              <w:rPr>
                <w:sz w:val="20"/>
              </w:rPr>
            </w:pPr>
            <w:r>
              <w:rPr>
                <w:sz w:val="20"/>
              </w:rPr>
              <w:t>Grounds for this application</w:t>
            </w:r>
            <w:r>
              <w:rPr>
                <w:sz w:val="20"/>
                <w:vertAlign w:val="superscript"/>
              </w:rPr>
              <w:t>1</w:t>
            </w:r>
          </w:p>
        </w:tc>
        <w:tc>
          <w:tcPr>
            <w:tcW w:w="5460" w:type="dxa"/>
            <w:gridSpan w:val="4"/>
          </w:tcPr>
          <w:p w:rsidR="00425758" w:rsidRDefault="00425758">
            <w:pPr>
              <w:pStyle w:val="yTableNAm"/>
              <w:spacing w:before="0"/>
              <w:rPr>
                <w:sz w:val="20"/>
              </w:rPr>
            </w:pPr>
            <w:r>
              <w:rPr>
                <w:sz w:val="20"/>
              </w:rPr>
              <w:t>1.</w:t>
            </w:r>
          </w:p>
        </w:tc>
      </w:tr>
      <w:tr w:rsidR="00425758">
        <w:trPr>
          <w:cantSplit/>
        </w:trPr>
        <w:tc>
          <w:tcPr>
            <w:tcW w:w="1620" w:type="dxa"/>
            <w:tcBorders>
              <w:top w:val="single" w:sz="4" w:space="0" w:color="auto"/>
              <w:bottom w:val="single" w:sz="4" w:space="0" w:color="auto"/>
            </w:tcBorders>
          </w:tcPr>
          <w:p w:rsidR="00425758" w:rsidRDefault="00425758">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rsidR="00425758" w:rsidRDefault="00425758">
            <w:pPr>
              <w:pStyle w:val="yTableNAm"/>
              <w:spacing w:before="0"/>
              <w:rPr>
                <w:sz w:val="20"/>
              </w:rPr>
            </w:pPr>
          </w:p>
        </w:tc>
        <w:tc>
          <w:tcPr>
            <w:tcW w:w="709" w:type="dxa"/>
            <w:tcBorders>
              <w:top w:val="single" w:sz="4" w:space="0" w:color="auto"/>
              <w:bottom w:val="single" w:sz="4" w:space="0" w:color="auto"/>
            </w:tcBorders>
          </w:tcPr>
          <w:p w:rsidR="00425758" w:rsidRDefault="00425758">
            <w:pPr>
              <w:pStyle w:val="yTableNAm"/>
              <w:spacing w:before="0"/>
              <w:rPr>
                <w:sz w:val="20"/>
              </w:rPr>
            </w:pPr>
            <w:r>
              <w:rPr>
                <w:sz w:val="20"/>
              </w:rPr>
              <w:t>Date</w:t>
            </w:r>
          </w:p>
        </w:tc>
        <w:tc>
          <w:tcPr>
            <w:tcW w:w="1409" w:type="dxa"/>
            <w:tcBorders>
              <w:top w:val="single" w:sz="4" w:space="0" w:color="auto"/>
              <w:bottom w:val="single" w:sz="4" w:space="0" w:color="auto"/>
            </w:tcBorders>
          </w:tcPr>
          <w:p w:rsidR="00425758" w:rsidRDefault="00425758">
            <w:pPr>
              <w:pStyle w:val="yTableNAm"/>
              <w:spacing w:before="0"/>
              <w:rPr>
                <w:sz w:val="20"/>
              </w:rPr>
            </w:pPr>
          </w:p>
        </w:tc>
      </w:tr>
      <w:tr w:rsidR="00425758">
        <w:trPr>
          <w:cantSplit/>
        </w:trPr>
        <w:tc>
          <w:tcPr>
            <w:tcW w:w="1620" w:type="dxa"/>
            <w:tcBorders>
              <w:bottom w:val="single" w:sz="4" w:space="0" w:color="auto"/>
            </w:tcBorders>
          </w:tcPr>
          <w:p w:rsidR="00425758" w:rsidRDefault="00425758">
            <w:pPr>
              <w:pStyle w:val="yTableNAm"/>
              <w:spacing w:before="0"/>
              <w:rPr>
                <w:sz w:val="20"/>
              </w:rPr>
            </w:pPr>
            <w:r>
              <w:rPr>
                <w:sz w:val="20"/>
              </w:rPr>
              <w:t>Hearing details</w:t>
            </w:r>
          </w:p>
        </w:tc>
        <w:tc>
          <w:tcPr>
            <w:tcW w:w="5460" w:type="dxa"/>
            <w:gridSpan w:val="4"/>
            <w:tcBorders>
              <w:bottom w:val="single" w:sz="4" w:space="0" w:color="auto"/>
            </w:tcBorders>
          </w:tcPr>
          <w:p w:rsidR="00425758" w:rsidRDefault="00425758">
            <w:pPr>
              <w:pStyle w:val="yTableNAm"/>
              <w:spacing w:before="0"/>
              <w:rPr>
                <w:sz w:val="20"/>
              </w:rPr>
            </w:pPr>
            <w:r>
              <w:rPr>
                <w:sz w:val="20"/>
              </w:rPr>
              <w:t xml:space="preserve">This application will be heard — </w:t>
            </w:r>
          </w:p>
          <w:p w:rsidR="00425758" w:rsidRDefault="00425758">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rsidR="00425758" w:rsidRDefault="00425758">
            <w:pPr>
              <w:pStyle w:val="yTableNAm"/>
              <w:spacing w:before="0"/>
              <w:rPr>
                <w:sz w:val="20"/>
              </w:rPr>
            </w:pPr>
            <w:r>
              <w:rPr>
                <w:sz w:val="20"/>
              </w:rPr>
              <w:t>at [</w:t>
            </w:r>
            <w:r>
              <w:rPr>
                <w:i/>
                <w:iCs/>
                <w:sz w:val="20"/>
              </w:rPr>
              <w:t>place</w:t>
            </w:r>
            <w:r>
              <w:rPr>
                <w:sz w:val="20"/>
              </w:rPr>
              <w:t>]</w:t>
            </w:r>
          </w:p>
        </w:tc>
      </w:tr>
    </w:tbl>
    <w:p w:rsidR="00425758" w:rsidRDefault="00425758">
      <w:pPr>
        <w:pStyle w:val="yMiscellaneousBody"/>
        <w:keepNext/>
        <w:tabs>
          <w:tab w:val="left" w:pos="540"/>
        </w:tabs>
        <w:ind w:left="540" w:hanging="540"/>
        <w:rPr>
          <w:sz w:val="20"/>
        </w:rPr>
      </w:pPr>
      <w:r>
        <w:rPr>
          <w:sz w:val="20"/>
        </w:rPr>
        <w:lastRenderedPageBreak/>
        <w:t>Note to Form No. 102 —</w:t>
      </w:r>
    </w:p>
    <w:p w:rsidR="00425758" w:rsidRDefault="00425758">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rsidR="00425758" w:rsidRDefault="00425758">
      <w:pPr>
        <w:pStyle w:val="yFootnotesection"/>
      </w:pPr>
      <w:r>
        <w:tab/>
        <w:t>[Form 102 inserted: Gazette 21 Feb 2007 p. 589; amended: Gazette 19 Dec 2014 p. 4848.]</w:t>
      </w:r>
    </w:p>
    <w:p w:rsidR="00425758" w:rsidRDefault="00425758">
      <w:pPr>
        <w:pStyle w:val="yHeading5"/>
        <w:spacing w:after="120"/>
      </w:pPr>
      <w:bookmarkStart w:id="1423" w:name="_Toc75863988"/>
      <w:r>
        <w:rPr>
          <w:rStyle w:val="CharSClsNo"/>
        </w:rPr>
        <w:t>103</w:t>
      </w:r>
      <w:r>
        <w:t>.</w:t>
      </w:r>
      <w:r>
        <w:tab/>
        <w:t>Application by CEO to vary, cancel extraordinary licence (O. 81C r. 2(3))</w:t>
      </w:r>
      <w:bookmarkEnd w:id="142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rsidR="00425758">
        <w:trPr>
          <w:cantSplit/>
        </w:trPr>
        <w:tc>
          <w:tcPr>
            <w:tcW w:w="3960" w:type="dxa"/>
            <w:gridSpan w:val="2"/>
            <w:tcBorders>
              <w:bottom w:val="single" w:sz="4" w:space="0" w:color="auto"/>
            </w:tcBorders>
          </w:tcPr>
          <w:p w:rsidR="00425758" w:rsidRDefault="00425758">
            <w:pPr>
              <w:pStyle w:val="yTableNAm"/>
              <w:rPr>
                <w:sz w:val="20"/>
              </w:rPr>
            </w:pPr>
            <w:r>
              <w:rPr>
                <w:i/>
                <w:iCs/>
                <w:sz w:val="20"/>
              </w:rPr>
              <w:t xml:space="preserve">Road Traffic (Authorisation to Drive) Act 2008 </w:t>
            </w:r>
            <w:r>
              <w:rPr>
                <w:iCs/>
                <w:sz w:val="20"/>
              </w:rPr>
              <w:t>s. 35(2)</w:t>
            </w:r>
          </w:p>
          <w:p w:rsidR="00425758" w:rsidRDefault="00425758">
            <w:pPr>
              <w:pStyle w:val="yTableNAm"/>
              <w:rPr>
                <w:sz w:val="20"/>
              </w:rPr>
            </w:pPr>
            <w:r>
              <w:rPr>
                <w:sz w:val="20"/>
              </w:rPr>
              <w:t>Supreme Court of Western Australia</w:t>
            </w:r>
          </w:p>
          <w:p w:rsidR="00425758" w:rsidRDefault="00425758">
            <w:pPr>
              <w:pStyle w:val="yTableNAm"/>
              <w:spacing w:before="0"/>
              <w:rPr>
                <w:b/>
                <w:sz w:val="20"/>
              </w:rPr>
            </w:pPr>
            <w:r>
              <w:rPr>
                <w:sz w:val="20"/>
              </w:rPr>
              <w:t>No:</w:t>
            </w:r>
          </w:p>
        </w:tc>
        <w:tc>
          <w:tcPr>
            <w:tcW w:w="3120" w:type="dxa"/>
            <w:gridSpan w:val="3"/>
            <w:tcBorders>
              <w:bottom w:val="single" w:sz="4" w:space="0" w:color="auto"/>
            </w:tcBorders>
          </w:tcPr>
          <w:p w:rsidR="00425758" w:rsidRDefault="00425758">
            <w:pPr>
              <w:pStyle w:val="yTableNAm"/>
              <w:rPr>
                <w:b/>
                <w:sz w:val="20"/>
              </w:rPr>
            </w:pPr>
            <w:r>
              <w:rPr>
                <w:b/>
                <w:sz w:val="20"/>
              </w:rPr>
              <w:t>Application by CEO to vary extraordinary licence</w:t>
            </w:r>
          </w:p>
        </w:tc>
      </w:tr>
      <w:tr w:rsidR="00425758">
        <w:trPr>
          <w:cantSplit/>
          <w:trHeight w:val="90"/>
        </w:trPr>
        <w:tc>
          <w:tcPr>
            <w:tcW w:w="1620" w:type="dxa"/>
            <w:vMerge w:val="restart"/>
          </w:tcPr>
          <w:p w:rsidR="00425758" w:rsidRDefault="00425758">
            <w:pPr>
              <w:pStyle w:val="yTableNAm"/>
              <w:rPr>
                <w:sz w:val="20"/>
              </w:rPr>
            </w:pPr>
            <w:r>
              <w:rPr>
                <w:sz w:val="20"/>
              </w:rPr>
              <w:t xml:space="preserve">Extraordinary licence details </w:t>
            </w:r>
          </w:p>
        </w:tc>
        <w:tc>
          <w:tcPr>
            <w:tcW w:w="2340" w:type="dxa"/>
            <w:tcBorders>
              <w:bottom w:val="single" w:sz="4" w:space="0" w:color="auto"/>
            </w:tcBorders>
          </w:tcPr>
          <w:p w:rsidR="00425758" w:rsidRDefault="00425758">
            <w:pPr>
              <w:pStyle w:val="yTableNAm"/>
              <w:rPr>
                <w:sz w:val="20"/>
              </w:rPr>
            </w:pPr>
            <w:r>
              <w:rPr>
                <w:sz w:val="20"/>
              </w:rPr>
              <w:t>Holder’s name</w:t>
            </w:r>
          </w:p>
        </w:tc>
        <w:tc>
          <w:tcPr>
            <w:tcW w:w="3120" w:type="dxa"/>
            <w:gridSpan w:val="3"/>
            <w:tcBorders>
              <w:bottom w:val="single" w:sz="4" w:space="0" w:color="auto"/>
            </w:tcBorders>
          </w:tcPr>
          <w:p w:rsidR="00425758" w:rsidRDefault="00425758">
            <w:pPr>
              <w:pStyle w:val="yTableNAm"/>
              <w:rPr>
                <w:sz w:val="20"/>
              </w:rPr>
            </w:pPr>
          </w:p>
        </w:tc>
      </w:tr>
      <w:tr w:rsidR="00425758">
        <w:trPr>
          <w:cantSplit/>
          <w:trHeight w:val="90"/>
        </w:trPr>
        <w:tc>
          <w:tcPr>
            <w:tcW w:w="1620" w:type="dxa"/>
            <w:vMerge/>
          </w:tcPr>
          <w:p w:rsidR="00425758" w:rsidRDefault="00425758">
            <w:pPr>
              <w:pStyle w:val="yTableNAm"/>
              <w:rPr>
                <w:sz w:val="20"/>
              </w:rPr>
            </w:pPr>
          </w:p>
        </w:tc>
        <w:tc>
          <w:tcPr>
            <w:tcW w:w="2340" w:type="dxa"/>
            <w:tcBorders>
              <w:bottom w:val="single" w:sz="4" w:space="0" w:color="auto"/>
            </w:tcBorders>
          </w:tcPr>
          <w:p w:rsidR="00425758" w:rsidRDefault="00425758">
            <w:pPr>
              <w:pStyle w:val="yTableNAm"/>
              <w:rPr>
                <w:sz w:val="20"/>
              </w:rPr>
            </w:pPr>
            <w:r>
              <w:rPr>
                <w:sz w:val="20"/>
              </w:rPr>
              <w:t>Holder’s address</w:t>
            </w:r>
          </w:p>
        </w:tc>
        <w:tc>
          <w:tcPr>
            <w:tcW w:w="3120" w:type="dxa"/>
            <w:gridSpan w:val="3"/>
            <w:tcBorders>
              <w:bottom w:val="single" w:sz="4" w:space="0" w:color="auto"/>
            </w:tcBorders>
          </w:tcPr>
          <w:p w:rsidR="00425758" w:rsidRDefault="00425758">
            <w:pPr>
              <w:pStyle w:val="yTableNAm"/>
              <w:rPr>
                <w:sz w:val="20"/>
              </w:rPr>
            </w:pPr>
          </w:p>
        </w:tc>
      </w:tr>
      <w:tr w:rsidR="00425758">
        <w:trPr>
          <w:cantSplit/>
          <w:trHeight w:val="90"/>
        </w:trPr>
        <w:tc>
          <w:tcPr>
            <w:tcW w:w="1620" w:type="dxa"/>
            <w:vMerge/>
          </w:tcPr>
          <w:p w:rsidR="00425758" w:rsidRDefault="00425758">
            <w:pPr>
              <w:pStyle w:val="yTableNAm"/>
              <w:rPr>
                <w:sz w:val="20"/>
              </w:rPr>
            </w:pPr>
          </w:p>
        </w:tc>
        <w:tc>
          <w:tcPr>
            <w:tcW w:w="2340" w:type="dxa"/>
            <w:tcBorders>
              <w:bottom w:val="single" w:sz="4" w:space="0" w:color="auto"/>
            </w:tcBorders>
          </w:tcPr>
          <w:p w:rsidR="00425758" w:rsidRDefault="00425758">
            <w:pPr>
              <w:pStyle w:val="yTableNAm"/>
              <w:rPr>
                <w:sz w:val="20"/>
              </w:rPr>
            </w:pPr>
            <w:r>
              <w:rPr>
                <w:sz w:val="20"/>
              </w:rPr>
              <w:t>Court that ordered it</w:t>
            </w:r>
          </w:p>
        </w:tc>
        <w:tc>
          <w:tcPr>
            <w:tcW w:w="3120" w:type="dxa"/>
            <w:gridSpan w:val="3"/>
            <w:tcBorders>
              <w:bottom w:val="single" w:sz="4" w:space="0" w:color="auto"/>
            </w:tcBorders>
          </w:tcPr>
          <w:p w:rsidR="00425758" w:rsidRDefault="00425758">
            <w:pPr>
              <w:pStyle w:val="yTableNAm"/>
              <w:rPr>
                <w:sz w:val="20"/>
              </w:rPr>
            </w:pPr>
          </w:p>
        </w:tc>
      </w:tr>
      <w:tr w:rsidR="00425758">
        <w:trPr>
          <w:cantSplit/>
          <w:trHeight w:val="87"/>
        </w:trPr>
        <w:tc>
          <w:tcPr>
            <w:tcW w:w="1620" w:type="dxa"/>
            <w:vMerge/>
          </w:tcPr>
          <w:p w:rsidR="00425758" w:rsidRDefault="00425758">
            <w:pPr>
              <w:pStyle w:val="yTableNAm"/>
              <w:rPr>
                <w:sz w:val="20"/>
              </w:rPr>
            </w:pPr>
          </w:p>
        </w:tc>
        <w:tc>
          <w:tcPr>
            <w:tcW w:w="2340" w:type="dxa"/>
            <w:tcBorders>
              <w:bottom w:val="single" w:sz="4" w:space="0" w:color="auto"/>
            </w:tcBorders>
          </w:tcPr>
          <w:p w:rsidR="00425758" w:rsidRDefault="00425758">
            <w:pPr>
              <w:pStyle w:val="yTableNAm"/>
              <w:rPr>
                <w:sz w:val="20"/>
              </w:rPr>
            </w:pPr>
            <w:r>
              <w:rPr>
                <w:sz w:val="20"/>
              </w:rPr>
              <w:t>Date of court order</w:t>
            </w:r>
          </w:p>
        </w:tc>
        <w:tc>
          <w:tcPr>
            <w:tcW w:w="3120" w:type="dxa"/>
            <w:gridSpan w:val="3"/>
            <w:tcBorders>
              <w:bottom w:val="single" w:sz="4" w:space="0" w:color="auto"/>
            </w:tcBorders>
          </w:tcPr>
          <w:p w:rsidR="00425758" w:rsidRDefault="00425758">
            <w:pPr>
              <w:pStyle w:val="yTableNAm"/>
              <w:rPr>
                <w:sz w:val="20"/>
              </w:rPr>
            </w:pPr>
          </w:p>
        </w:tc>
      </w:tr>
      <w:tr w:rsidR="00425758">
        <w:trPr>
          <w:cantSplit/>
          <w:trHeight w:val="87"/>
        </w:trPr>
        <w:tc>
          <w:tcPr>
            <w:tcW w:w="1620" w:type="dxa"/>
            <w:vMerge/>
            <w:tcBorders>
              <w:bottom w:val="single" w:sz="4" w:space="0" w:color="auto"/>
            </w:tcBorders>
          </w:tcPr>
          <w:p w:rsidR="00425758" w:rsidRDefault="00425758">
            <w:pPr>
              <w:pStyle w:val="yTableNAm"/>
              <w:rPr>
                <w:sz w:val="20"/>
              </w:rPr>
            </w:pPr>
          </w:p>
        </w:tc>
        <w:tc>
          <w:tcPr>
            <w:tcW w:w="2340" w:type="dxa"/>
            <w:tcBorders>
              <w:bottom w:val="single" w:sz="4" w:space="0" w:color="auto"/>
            </w:tcBorders>
          </w:tcPr>
          <w:p w:rsidR="00425758" w:rsidRDefault="00425758">
            <w:pPr>
              <w:pStyle w:val="yTableNAm"/>
              <w:rPr>
                <w:sz w:val="20"/>
              </w:rPr>
            </w:pPr>
            <w:r>
              <w:rPr>
                <w:sz w:val="20"/>
              </w:rPr>
              <w:t>Licence’s limitations and conditions</w:t>
            </w:r>
          </w:p>
        </w:tc>
        <w:tc>
          <w:tcPr>
            <w:tcW w:w="3120" w:type="dxa"/>
            <w:gridSpan w:val="3"/>
            <w:tcBorders>
              <w:bottom w:val="single" w:sz="4" w:space="0" w:color="auto"/>
            </w:tcBorders>
          </w:tcPr>
          <w:p w:rsidR="00425758" w:rsidRDefault="00425758">
            <w:pPr>
              <w:pStyle w:val="yTableNAm"/>
              <w:rPr>
                <w:sz w:val="20"/>
              </w:rPr>
            </w:pPr>
          </w:p>
        </w:tc>
      </w:tr>
      <w:tr w:rsidR="00425758">
        <w:trPr>
          <w:cantSplit/>
        </w:trPr>
        <w:tc>
          <w:tcPr>
            <w:tcW w:w="1620" w:type="dxa"/>
            <w:tcBorders>
              <w:bottom w:val="single" w:sz="4" w:space="0" w:color="auto"/>
            </w:tcBorders>
          </w:tcPr>
          <w:p w:rsidR="00425758" w:rsidRDefault="00425758">
            <w:pPr>
              <w:pStyle w:val="yTableNAm"/>
              <w:rPr>
                <w:sz w:val="20"/>
              </w:rPr>
            </w:pPr>
            <w:r>
              <w:rPr>
                <w:sz w:val="20"/>
              </w:rPr>
              <w:t>Application</w:t>
            </w:r>
          </w:p>
          <w:p w:rsidR="00425758" w:rsidRDefault="00425758">
            <w:pPr>
              <w:pStyle w:val="yTableNAm"/>
              <w:rPr>
                <w:sz w:val="16"/>
                <w:szCs w:val="16"/>
              </w:rPr>
            </w:pPr>
            <w:r>
              <w:rPr>
                <w:sz w:val="16"/>
                <w:szCs w:val="16"/>
              </w:rPr>
              <w:t>[Tick one box]</w:t>
            </w:r>
          </w:p>
        </w:tc>
        <w:tc>
          <w:tcPr>
            <w:tcW w:w="5460" w:type="dxa"/>
            <w:gridSpan w:val="4"/>
            <w:tcBorders>
              <w:bottom w:val="single" w:sz="4" w:space="0" w:color="auto"/>
            </w:tcBorders>
          </w:tcPr>
          <w:p w:rsidR="00425758" w:rsidRDefault="00425758">
            <w:pPr>
              <w:pStyle w:val="yTableNAm"/>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rsidR="00425758" w:rsidRDefault="00425758">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rsidR="00425758" w:rsidRDefault="00425758">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rsidR="00425758" w:rsidRDefault="00425758">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rsidR="00425758">
        <w:trPr>
          <w:cantSplit/>
        </w:trPr>
        <w:tc>
          <w:tcPr>
            <w:tcW w:w="1620" w:type="dxa"/>
            <w:tcBorders>
              <w:top w:val="single" w:sz="4" w:space="0" w:color="auto"/>
            </w:tcBorders>
          </w:tcPr>
          <w:p w:rsidR="00425758" w:rsidRDefault="00425758">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rsidR="00425758" w:rsidRDefault="00425758">
            <w:pPr>
              <w:pStyle w:val="yTableNAm"/>
              <w:rPr>
                <w:sz w:val="20"/>
              </w:rPr>
            </w:pPr>
            <w:r>
              <w:rPr>
                <w:sz w:val="20"/>
              </w:rPr>
              <w:t>1.</w:t>
            </w:r>
          </w:p>
        </w:tc>
      </w:tr>
      <w:tr w:rsidR="00425758">
        <w:trPr>
          <w:cantSplit/>
        </w:trPr>
        <w:tc>
          <w:tcPr>
            <w:tcW w:w="1620" w:type="dxa"/>
            <w:tcBorders>
              <w:top w:val="single" w:sz="4" w:space="0" w:color="auto"/>
              <w:bottom w:val="single" w:sz="4" w:space="0" w:color="auto"/>
            </w:tcBorders>
          </w:tcPr>
          <w:p w:rsidR="00425758" w:rsidRDefault="00425758">
            <w:pPr>
              <w:pStyle w:val="yTableNAm"/>
              <w:rPr>
                <w:sz w:val="20"/>
              </w:rPr>
            </w:pPr>
            <w:r>
              <w:rPr>
                <w:sz w:val="20"/>
              </w:rPr>
              <w:t>Signature of applicant</w:t>
            </w:r>
          </w:p>
        </w:tc>
        <w:tc>
          <w:tcPr>
            <w:tcW w:w="3474" w:type="dxa"/>
            <w:gridSpan w:val="2"/>
            <w:tcBorders>
              <w:top w:val="single" w:sz="4" w:space="0" w:color="auto"/>
              <w:bottom w:val="single" w:sz="4" w:space="0" w:color="auto"/>
            </w:tcBorders>
          </w:tcPr>
          <w:p w:rsidR="00425758" w:rsidRDefault="00425758">
            <w:pPr>
              <w:pStyle w:val="yTableNAm"/>
              <w:rPr>
                <w:sz w:val="20"/>
              </w:rPr>
            </w:pPr>
          </w:p>
          <w:p w:rsidR="00425758" w:rsidRDefault="00425758">
            <w:pPr>
              <w:pStyle w:val="yTableNAm"/>
              <w:rPr>
                <w:sz w:val="20"/>
              </w:rPr>
            </w:pPr>
            <w:r>
              <w:rPr>
                <w:sz w:val="20"/>
              </w:rPr>
              <w:t>for CEO</w:t>
            </w:r>
          </w:p>
        </w:tc>
        <w:tc>
          <w:tcPr>
            <w:tcW w:w="709" w:type="dxa"/>
            <w:tcBorders>
              <w:top w:val="single" w:sz="4" w:space="0" w:color="auto"/>
              <w:bottom w:val="single" w:sz="4" w:space="0" w:color="auto"/>
            </w:tcBorders>
          </w:tcPr>
          <w:p w:rsidR="00425758" w:rsidRDefault="00425758">
            <w:pPr>
              <w:pStyle w:val="yTableNAm"/>
              <w:rPr>
                <w:sz w:val="20"/>
              </w:rPr>
            </w:pPr>
            <w:r>
              <w:rPr>
                <w:sz w:val="20"/>
              </w:rPr>
              <w:t>Date</w:t>
            </w:r>
          </w:p>
        </w:tc>
        <w:tc>
          <w:tcPr>
            <w:tcW w:w="1277" w:type="dxa"/>
            <w:tcBorders>
              <w:top w:val="single" w:sz="4" w:space="0" w:color="auto"/>
              <w:bottom w:val="single" w:sz="4" w:space="0" w:color="auto"/>
            </w:tcBorders>
          </w:tcPr>
          <w:p w:rsidR="00425758" w:rsidRDefault="00425758">
            <w:pPr>
              <w:pStyle w:val="yTableNAm"/>
              <w:rPr>
                <w:sz w:val="20"/>
              </w:rPr>
            </w:pPr>
          </w:p>
        </w:tc>
      </w:tr>
      <w:tr w:rsidR="00425758">
        <w:trPr>
          <w:cantSplit/>
        </w:trPr>
        <w:tc>
          <w:tcPr>
            <w:tcW w:w="1620" w:type="dxa"/>
            <w:tcBorders>
              <w:bottom w:val="single" w:sz="4" w:space="0" w:color="auto"/>
            </w:tcBorders>
          </w:tcPr>
          <w:p w:rsidR="00425758" w:rsidRDefault="00425758">
            <w:pPr>
              <w:pStyle w:val="yTableNAm"/>
              <w:rPr>
                <w:sz w:val="20"/>
              </w:rPr>
            </w:pPr>
            <w:r>
              <w:rPr>
                <w:sz w:val="20"/>
              </w:rPr>
              <w:t>Hearing details</w:t>
            </w:r>
          </w:p>
        </w:tc>
        <w:tc>
          <w:tcPr>
            <w:tcW w:w="5460" w:type="dxa"/>
            <w:gridSpan w:val="4"/>
            <w:tcBorders>
              <w:bottom w:val="single" w:sz="4" w:space="0" w:color="auto"/>
            </w:tcBorders>
          </w:tcPr>
          <w:p w:rsidR="00425758" w:rsidRDefault="00425758">
            <w:pPr>
              <w:pStyle w:val="yTableNAm"/>
              <w:rPr>
                <w:sz w:val="20"/>
              </w:rPr>
            </w:pPr>
            <w:r>
              <w:rPr>
                <w:sz w:val="20"/>
              </w:rPr>
              <w:t xml:space="preserve">This application will be heard — </w:t>
            </w:r>
          </w:p>
          <w:p w:rsidR="00425758" w:rsidRDefault="00425758">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rsidR="00425758" w:rsidRDefault="00425758">
            <w:pPr>
              <w:pStyle w:val="yTableNAm"/>
              <w:spacing w:before="0"/>
              <w:rPr>
                <w:sz w:val="20"/>
              </w:rPr>
            </w:pPr>
            <w:r>
              <w:rPr>
                <w:sz w:val="20"/>
              </w:rPr>
              <w:t>at [</w:t>
            </w:r>
            <w:r>
              <w:rPr>
                <w:i/>
                <w:iCs/>
                <w:sz w:val="20"/>
              </w:rPr>
              <w:t>place</w:t>
            </w:r>
            <w:r>
              <w:rPr>
                <w:sz w:val="20"/>
              </w:rPr>
              <w:t>]</w:t>
            </w:r>
          </w:p>
        </w:tc>
      </w:tr>
    </w:tbl>
    <w:p w:rsidR="00425758" w:rsidRDefault="00425758">
      <w:pPr>
        <w:pStyle w:val="yMiscellaneousBody"/>
        <w:keepNext/>
        <w:tabs>
          <w:tab w:val="left" w:pos="540"/>
        </w:tabs>
        <w:ind w:left="540" w:hanging="540"/>
        <w:rPr>
          <w:sz w:val="20"/>
        </w:rPr>
      </w:pPr>
      <w:r>
        <w:rPr>
          <w:sz w:val="20"/>
        </w:rPr>
        <w:lastRenderedPageBreak/>
        <w:t>Note to Form No. 103 —</w:t>
      </w:r>
    </w:p>
    <w:p w:rsidR="00425758" w:rsidRDefault="00425758">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rsidR="00425758" w:rsidRDefault="00425758">
      <w:pPr>
        <w:pStyle w:val="yFootnotesection"/>
      </w:pPr>
      <w:r>
        <w:tab/>
        <w:t>[Form 103 inserted: Gazette 21 Feb 2007 p. 589</w:t>
      </w:r>
      <w:r>
        <w:noBreakHyphen/>
        <w:t>90; amended: Gazette 19 Dec 2014 p. 4848</w:t>
      </w:r>
      <w:r>
        <w:noBreakHyphen/>
        <w:t>9.]</w:t>
      </w:r>
    </w:p>
    <w:p w:rsidR="00425758" w:rsidRDefault="00425758">
      <w:pPr>
        <w:pStyle w:val="yHeading5"/>
        <w:spacing w:after="80"/>
      </w:pPr>
      <w:bookmarkStart w:id="1424" w:name="_Toc75863989"/>
      <w:r>
        <w:rPr>
          <w:rStyle w:val="CharSClsNo"/>
        </w:rPr>
        <w:t>104</w:t>
      </w:r>
      <w:r>
        <w:t>.</w:t>
      </w:r>
      <w:r>
        <w:tab/>
        <w:t>Application for removal of disqualification (O. 81C r. 2(4))</w:t>
      </w:r>
      <w:bookmarkEnd w:id="142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rsidR="00425758">
        <w:trPr>
          <w:cantSplit/>
        </w:trPr>
        <w:tc>
          <w:tcPr>
            <w:tcW w:w="3686" w:type="dxa"/>
            <w:gridSpan w:val="2"/>
            <w:tcBorders>
              <w:bottom w:val="single" w:sz="4" w:space="0" w:color="auto"/>
            </w:tcBorders>
          </w:tcPr>
          <w:p w:rsidR="00425758" w:rsidRDefault="00425758">
            <w:pPr>
              <w:pStyle w:val="yTableNAm"/>
              <w:rPr>
                <w:sz w:val="20"/>
              </w:rPr>
            </w:pPr>
            <w:r>
              <w:rPr>
                <w:i/>
                <w:sz w:val="20"/>
              </w:rPr>
              <w:t>Road Traffic (Authorisation to Drive) Act 2008</w:t>
            </w:r>
            <w:r>
              <w:rPr>
                <w:iCs/>
                <w:sz w:val="20"/>
              </w:rPr>
              <w:t xml:space="preserve"> s. 24(1)</w:t>
            </w:r>
          </w:p>
          <w:p w:rsidR="00425758" w:rsidRDefault="00425758">
            <w:pPr>
              <w:pStyle w:val="yTableNAm"/>
              <w:rPr>
                <w:sz w:val="20"/>
              </w:rPr>
            </w:pPr>
            <w:r>
              <w:rPr>
                <w:sz w:val="20"/>
              </w:rPr>
              <w:t>Supreme Court of Western Australia</w:t>
            </w:r>
          </w:p>
          <w:p w:rsidR="00425758" w:rsidRDefault="00425758">
            <w:pPr>
              <w:pStyle w:val="yTableNAm"/>
              <w:spacing w:before="0"/>
              <w:rPr>
                <w:b/>
                <w:sz w:val="20"/>
              </w:rPr>
            </w:pPr>
            <w:r>
              <w:rPr>
                <w:sz w:val="20"/>
              </w:rPr>
              <w:t>No:</w:t>
            </w:r>
          </w:p>
        </w:tc>
        <w:tc>
          <w:tcPr>
            <w:tcW w:w="3394" w:type="dxa"/>
            <w:gridSpan w:val="3"/>
            <w:tcBorders>
              <w:bottom w:val="single" w:sz="4" w:space="0" w:color="auto"/>
            </w:tcBorders>
          </w:tcPr>
          <w:p w:rsidR="00425758" w:rsidRDefault="00425758">
            <w:pPr>
              <w:pStyle w:val="yTableNAm"/>
              <w:rPr>
                <w:b/>
                <w:sz w:val="20"/>
              </w:rPr>
            </w:pPr>
            <w:r>
              <w:rPr>
                <w:b/>
                <w:sz w:val="20"/>
              </w:rPr>
              <w:t>Application for removal of disqualification</w:t>
            </w:r>
          </w:p>
        </w:tc>
      </w:tr>
      <w:tr w:rsidR="00425758">
        <w:trPr>
          <w:cantSplit/>
          <w:trHeight w:val="90"/>
        </w:trPr>
        <w:tc>
          <w:tcPr>
            <w:tcW w:w="1620" w:type="dxa"/>
            <w:vMerge w:val="restart"/>
          </w:tcPr>
          <w:p w:rsidR="00425758" w:rsidRDefault="00425758">
            <w:pPr>
              <w:pStyle w:val="yTableNAm"/>
              <w:rPr>
                <w:sz w:val="20"/>
              </w:rPr>
            </w:pPr>
            <w:r>
              <w:rPr>
                <w:sz w:val="20"/>
              </w:rPr>
              <w:t>Applicant</w:t>
            </w:r>
          </w:p>
        </w:tc>
        <w:tc>
          <w:tcPr>
            <w:tcW w:w="2066" w:type="dxa"/>
            <w:tcBorders>
              <w:bottom w:val="single" w:sz="4" w:space="0" w:color="auto"/>
            </w:tcBorders>
          </w:tcPr>
          <w:p w:rsidR="00425758" w:rsidRDefault="00425758">
            <w:pPr>
              <w:pStyle w:val="yTableNAm"/>
              <w:rPr>
                <w:sz w:val="20"/>
              </w:rPr>
            </w:pPr>
            <w:r>
              <w:rPr>
                <w:sz w:val="20"/>
              </w:rPr>
              <w:t>Full name</w:t>
            </w:r>
          </w:p>
        </w:tc>
        <w:tc>
          <w:tcPr>
            <w:tcW w:w="3394" w:type="dxa"/>
            <w:gridSpan w:val="3"/>
            <w:tcBorders>
              <w:bottom w:val="single" w:sz="4" w:space="0" w:color="auto"/>
            </w:tcBorders>
          </w:tcPr>
          <w:p w:rsidR="00425758" w:rsidRDefault="00425758">
            <w:pPr>
              <w:pStyle w:val="yTableNAm"/>
              <w:rPr>
                <w:sz w:val="20"/>
              </w:rPr>
            </w:pPr>
          </w:p>
        </w:tc>
      </w:tr>
      <w:tr w:rsidR="00425758">
        <w:trPr>
          <w:cantSplit/>
          <w:trHeight w:val="87"/>
        </w:trPr>
        <w:tc>
          <w:tcPr>
            <w:tcW w:w="1620" w:type="dxa"/>
            <w:vMerge/>
          </w:tcPr>
          <w:p w:rsidR="00425758" w:rsidRDefault="00425758">
            <w:pPr>
              <w:pStyle w:val="yTableNAm"/>
              <w:rPr>
                <w:sz w:val="20"/>
              </w:rPr>
            </w:pPr>
          </w:p>
        </w:tc>
        <w:tc>
          <w:tcPr>
            <w:tcW w:w="2066" w:type="dxa"/>
            <w:tcBorders>
              <w:bottom w:val="single" w:sz="4" w:space="0" w:color="auto"/>
            </w:tcBorders>
          </w:tcPr>
          <w:p w:rsidR="00425758" w:rsidRDefault="00425758">
            <w:pPr>
              <w:pStyle w:val="yTableNAm"/>
              <w:rPr>
                <w:sz w:val="20"/>
              </w:rPr>
            </w:pPr>
            <w:r>
              <w:rPr>
                <w:sz w:val="20"/>
              </w:rPr>
              <w:t>Address</w:t>
            </w:r>
          </w:p>
        </w:tc>
        <w:tc>
          <w:tcPr>
            <w:tcW w:w="3394" w:type="dxa"/>
            <w:gridSpan w:val="3"/>
            <w:tcBorders>
              <w:bottom w:val="single" w:sz="4" w:space="0" w:color="auto"/>
            </w:tcBorders>
          </w:tcPr>
          <w:p w:rsidR="00425758" w:rsidRDefault="00425758">
            <w:pPr>
              <w:pStyle w:val="yTableNAm"/>
              <w:rPr>
                <w:sz w:val="20"/>
              </w:rPr>
            </w:pPr>
          </w:p>
        </w:tc>
      </w:tr>
      <w:tr w:rsidR="00425758">
        <w:trPr>
          <w:cantSplit/>
          <w:trHeight w:val="87"/>
        </w:trPr>
        <w:tc>
          <w:tcPr>
            <w:tcW w:w="1620" w:type="dxa"/>
            <w:vMerge/>
          </w:tcPr>
          <w:p w:rsidR="00425758" w:rsidRDefault="00425758">
            <w:pPr>
              <w:pStyle w:val="yTableNAm"/>
              <w:rPr>
                <w:sz w:val="20"/>
              </w:rPr>
            </w:pPr>
          </w:p>
        </w:tc>
        <w:tc>
          <w:tcPr>
            <w:tcW w:w="2066" w:type="dxa"/>
          </w:tcPr>
          <w:p w:rsidR="00425758" w:rsidRDefault="00425758">
            <w:pPr>
              <w:pStyle w:val="yTableNAm"/>
              <w:rPr>
                <w:sz w:val="20"/>
              </w:rPr>
            </w:pPr>
            <w:r>
              <w:rPr>
                <w:sz w:val="20"/>
              </w:rPr>
              <w:t>Date of birth</w:t>
            </w:r>
          </w:p>
        </w:tc>
        <w:tc>
          <w:tcPr>
            <w:tcW w:w="3394" w:type="dxa"/>
            <w:gridSpan w:val="3"/>
          </w:tcPr>
          <w:p w:rsidR="00425758" w:rsidRDefault="00425758">
            <w:pPr>
              <w:pStyle w:val="yTableNAm"/>
              <w:rPr>
                <w:sz w:val="20"/>
              </w:rPr>
            </w:pPr>
          </w:p>
        </w:tc>
      </w:tr>
      <w:tr w:rsidR="00425758">
        <w:trPr>
          <w:cantSplit/>
          <w:trHeight w:val="87"/>
        </w:trPr>
        <w:tc>
          <w:tcPr>
            <w:tcW w:w="1620" w:type="dxa"/>
            <w:vMerge/>
          </w:tcPr>
          <w:p w:rsidR="00425758" w:rsidRDefault="00425758">
            <w:pPr>
              <w:pStyle w:val="yTableNAm"/>
              <w:rPr>
                <w:sz w:val="20"/>
              </w:rPr>
            </w:pPr>
          </w:p>
        </w:tc>
        <w:tc>
          <w:tcPr>
            <w:tcW w:w="2066" w:type="dxa"/>
          </w:tcPr>
          <w:p w:rsidR="00425758" w:rsidRDefault="00425758">
            <w:pPr>
              <w:pStyle w:val="yTableNAm"/>
              <w:rPr>
                <w:sz w:val="20"/>
              </w:rPr>
            </w:pPr>
            <w:r>
              <w:rPr>
                <w:sz w:val="20"/>
              </w:rPr>
              <w:t>Occupation</w:t>
            </w:r>
          </w:p>
        </w:tc>
        <w:tc>
          <w:tcPr>
            <w:tcW w:w="3394" w:type="dxa"/>
            <w:gridSpan w:val="3"/>
          </w:tcPr>
          <w:p w:rsidR="00425758" w:rsidRDefault="00425758">
            <w:pPr>
              <w:pStyle w:val="yTableNAm"/>
              <w:rPr>
                <w:sz w:val="20"/>
              </w:rPr>
            </w:pPr>
          </w:p>
        </w:tc>
      </w:tr>
      <w:tr w:rsidR="00425758">
        <w:trPr>
          <w:cantSplit/>
          <w:trHeight w:val="90"/>
        </w:trPr>
        <w:tc>
          <w:tcPr>
            <w:tcW w:w="1620" w:type="dxa"/>
            <w:vMerge w:val="restart"/>
          </w:tcPr>
          <w:p w:rsidR="00425758" w:rsidRDefault="00425758">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rsidR="00425758" w:rsidRDefault="00425758">
            <w:pPr>
              <w:pStyle w:val="yTableNAm"/>
              <w:rPr>
                <w:sz w:val="20"/>
              </w:rPr>
            </w:pPr>
            <w:r>
              <w:rPr>
                <w:sz w:val="20"/>
              </w:rPr>
              <w:t>Court that made the order</w:t>
            </w:r>
          </w:p>
        </w:tc>
        <w:tc>
          <w:tcPr>
            <w:tcW w:w="3394" w:type="dxa"/>
            <w:gridSpan w:val="3"/>
            <w:tcBorders>
              <w:bottom w:val="single" w:sz="4" w:space="0" w:color="auto"/>
            </w:tcBorders>
          </w:tcPr>
          <w:p w:rsidR="00425758" w:rsidRDefault="00425758">
            <w:pPr>
              <w:pStyle w:val="yTableNAm"/>
              <w:rPr>
                <w:sz w:val="20"/>
              </w:rPr>
            </w:pPr>
          </w:p>
        </w:tc>
      </w:tr>
      <w:tr w:rsidR="00425758">
        <w:trPr>
          <w:cantSplit/>
          <w:trHeight w:val="87"/>
        </w:trPr>
        <w:tc>
          <w:tcPr>
            <w:tcW w:w="1620" w:type="dxa"/>
            <w:vMerge/>
          </w:tcPr>
          <w:p w:rsidR="00425758" w:rsidRDefault="00425758">
            <w:pPr>
              <w:pStyle w:val="yTableNAm"/>
              <w:rPr>
                <w:sz w:val="20"/>
              </w:rPr>
            </w:pPr>
          </w:p>
        </w:tc>
        <w:tc>
          <w:tcPr>
            <w:tcW w:w="2066" w:type="dxa"/>
            <w:tcBorders>
              <w:bottom w:val="single" w:sz="4" w:space="0" w:color="auto"/>
            </w:tcBorders>
          </w:tcPr>
          <w:p w:rsidR="00425758" w:rsidRDefault="00425758">
            <w:pPr>
              <w:pStyle w:val="yTableNAm"/>
              <w:rPr>
                <w:sz w:val="20"/>
              </w:rPr>
            </w:pPr>
            <w:r>
              <w:rPr>
                <w:sz w:val="20"/>
              </w:rPr>
              <w:t>Date of order</w:t>
            </w:r>
          </w:p>
        </w:tc>
        <w:tc>
          <w:tcPr>
            <w:tcW w:w="3394" w:type="dxa"/>
            <w:gridSpan w:val="3"/>
            <w:tcBorders>
              <w:bottom w:val="single" w:sz="4" w:space="0" w:color="auto"/>
            </w:tcBorders>
          </w:tcPr>
          <w:p w:rsidR="00425758" w:rsidRDefault="00425758">
            <w:pPr>
              <w:pStyle w:val="yTableNAm"/>
              <w:rPr>
                <w:sz w:val="20"/>
              </w:rPr>
            </w:pPr>
          </w:p>
        </w:tc>
      </w:tr>
      <w:tr w:rsidR="00425758">
        <w:trPr>
          <w:cantSplit/>
          <w:trHeight w:val="87"/>
        </w:trPr>
        <w:tc>
          <w:tcPr>
            <w:tcW w:w="1620" w:type="dxa"/>
            <w:vMerge/>
          </w:tcPr>
          <w:p w:rsidR="00425758" w:rsidRDefault="00425758">
            <w:pPr>
              <w:pStyle w:val="yTableNAm"/>
              <w:rPr>
                <w:sz w:val="20"/>
              </w:rPr>
            </w:pPr>
          </w:p>
        </w:tc>
        <w:tc>
          <w:tcPr>
            <w:tcW w:w="2066" w:type="dxa"/>
            <w:tcBorders>
              <w:bottom w:val="single" w:sz="4" w:space="0" w:color="auto"/>
            </w:tcBorders>
          </w:tcPr>
          <w:p w:rsidR="00425758" w:rsidRDefault="00425758">
            <w:pPr>
              <w:pStyle w:val="yTableNAm"/>
              <w:rPr>
                <w:sz w:val="20"/>
              </w:rPr>
            </w:pPr>
            <w:r>
              <w:rPr>
                <w:sz w:val="20"/>
              </w:rPr>
              <w:t>Period disqualified</w:t>
            </w:r>
          </w:p>
        </w:tc>
        <w:tc>
          <w:tcPr>
            <w:tcW w:w="3394" w:type="dxa"/>
            <w:gridSpan w:val="3"/>
            <w:tcBorders>
              <w:bottom w:val="single" w:sz="4" w:space="0" w:color="auto"/>
            </w:tcBorders>
          </w:tcPr>
          <w:p w:rsidR="00425758" w:rsidRDefault="00425758">
            <w:pPr>
              <w:pStyle w:val="yTableNAm"/>
              <w:rPr>
                <w:sz w:val="20"/>
              </w:rPr>
            </w:pPr>
          </w:p>
        </w:tc>
      </w:tr>
      <w:tr w:rsidR="00425758">
        <w:trPr>
          <w:cantSplit/>
          <w:trHeight w:val="87"/>
        </w:trPr>
        <w:tc>
          <w:tcPr>
            <w:tcW w:w="1620" w:type="dxa"/>
            <w:vMerge/>
            <w:tcBorders>
              <w:bottom w:val="single" w:sz="4" w:space="0" w:color="auto"/>
            </w:tcBorders>
          </w:tcPr>
          <w:p w:rsidR="00425758" w:rsidRDefault="00425758">
            <w:pPr>
              <w:pStyle w:val="yTableNAm"/>
              <w:rPr>
                <w:sz w:val="20"/>
              </w:rPr>
            </w:pPr>
          </w:p>
        </w:tc>
        <w:tc>
          <w:tcPr>
            <w:tcW w:w="2066" w:type="dxa"/>
            <w:tcBorders>
              <w:bottom w:val="single" w:sz="4" w:space="0" w:color="auto"/>
            </w:tcBorders>
          </w:tcPr>
          <w:p w:rsidR="00425758" w:rsidRDefault="00425758">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rsidR="00425758" w:rsidRDefault="00425758">
            <w:pPr>
              <w:pStyle w:val="yTableNAm"/>
              <w:rPr>
                <w:sz w:val="20"/>
              </w:rPr>
            </w:pPr>
          </w:p>
        </w:tc>
      </w:tr>
      <w:tr w:rsidR="00425758">
        <w:trPr>
          <w:cantSplit/>
        </w:trPr>
        <w:tc>
          <w:tcPr>
            <w:tcW w:w="1620" w:type="dxa"/>
            <w:tcBorders>
              <w:bottom w:val="single" w:sz="4" w:space="0" w:color="auto"/>
            </w:tcBorders>
          </w:tcPr>
          <w:p w:rsidR="00425758" w:rsidRDefault="00425758">
            <w:pPr>
              <w:pStyle w:val="yTableNAm"/>
              <w:rPr>
                <w:sz w:val="20"/>
              </w:rPr>
            </w:pPr>
            <w:r>
              <w:rPr>
                <w:sz w:val="20"/>
              </w:rPr>
              <w:t>Application</w:t>
            </w:r>
          </w:p>
        </w:tc>
        <w:tc>
          <w:tcPr>
            <w:tcW w:w="5460" w:type="dxa"/>
            <w:gridSpan w:val="4"/>
            <w:tcBorders>
              <w:bottom w:val="single" w:sz="4" w:space="0" w:color="auto"/>
            </w:tcBorders>
          </w:tcPr>
          <w:p w:rsidR="00425758" w:rsidRDefault="00425758">
            <w:pPr>
              <w:pStyle w:val="yTableNAm"/>
              <w:rPr>
                <w:sz w:val="20"/>
              </w:rPr>
            </w:pPr>
            <w:r>
              <w:rPr>
                <w:sz w:val="20"/>
              </w:rPr>
              <w:t xml:space="preserve">Under the </w:t>
            </w:r>
            <w:r>
              <w:rPr>
                <w:i/>
                <w:sz w:val="20"/>
              </w:rPr>
              <w:t>Road Traffic (Authorisation to Drive) Act 2008</w:t>
            </w:r>
            <w:r>
              <w:rPr>
                <w:iCs/>
                <w:sz w:val="20"/>
              </w:rPr>
              <w:t xml:space="preserve"> s. 24(1),</w:t>
            </w:r>
            <w:r>
              <w:rPr>
                <w:sz w:val="20"/>
              </w:rPr>
              <w:t xml:space="preserve"> I apply for an order removing the above disqualification.</w:t>
            </w:r>
          </w:p>
        </w:tc>
      </w:tr>
      <w:tr w:rsidR="00425758">
        <w:trPr>
          <w:cantSplit/>
        </w:trPr>
        <w:tc>
          <w:tcPr>
            <w:tcW w:w="1620" w:type="dxa"/>
            <w:tcBorders>
              <w:bottom w:val="single" w:sz="4" w:space="0" w:color="auto"/>
            </w:tcBorders>
          </w:tcPr>
          <w:p w:rsidR="00425758" w:rsidRDefault="00425758">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rsidR="00425758" w:rsidRDefault="00425758">
            <w:pPr>
              <w:pStyle w:val="yTableNAm"/>
              <w:rPr>
                <w:sz w:val="20"/>
              </w:rPr>
            </w:pPr>
            <w:r>
              <w:rPr>
                <w:sz w:val="20"/>
              </w:rPr>
              <w:t>1.</w:t>
            </w:r>
          </w:p>
        </w:tc>
      </w:tr>
      <w:tr w:rsidR="00425758">
        <w:trPr>
          <w:cantSplit/>
        </w:trPr>
        <w:tc>
          <w:tcPr>
            <w:tcW w:w="1620" w:type="dxa"/>
            <w:tcBorders>
              <w:top w:val="single" w:sz="4" w:space="0" w:color="auto"/>
            </w:tcBorders>
          </w:tcPr>
          <w:p w:rsidR="00425758" w:rsidRDefault="00425758">
            <w:pPr>
              <w:pStyle w:val="yTableNAm"/>
              <w:rPr>
                <w:sz w:val="20"/>
              </w:rPr>
            </w:pPr>
            <w:r>
              <w:rPr>
                <w:sz w:val="20"/>
              </w:rPr>
              <w:t>Certificate by applicant</w:t>
            </w:r>
          </w:p>
        </w:tc>
        <w:tc>
          <w:tcPr>
            <w:tcW w:w="5460" w:type="dxa"/>
            <w:gridSpan w:val="4"/>
            <w:tcBorders>
              <w:top w:val="single" w:sz="4" w:space="0" w:color="auto"/>
            </w:tcBorders>
          </w:tcPr>
          <w:p w:rsidR="00425758" w:rsidRDefault="00425758">
            <w:pPr>
              <w:pStyle w:val="yTableNAm"/>
              <w:rPr>
                <w:sz w:val="20"/>
              </w:rPr>
            </w:pPr>
            <w:r>
              <w:rPr>
                <w:sz w:val="20"/>
              </w:rPr>
              <w:t xml:space="preserve">An application made under the </w:t>
            </w:r>
            <w:r>
              <w:rPr>
                <w:i/>
                <w:sz w:val="20"/>
              </w:rPr>
              <w:t>Road Traffic (Authorisation to Drive) Act 2008</w:t>
            </w:r>
            <w:r>
              <w:rPr>
                <w:iCs/>
                <w:sz w:val="20"/>
              </w:rPr>
              <w:t xml:space="preserve"> s. 24(1)</w:t>
            </w:r>
            <w:r>
              <w:rPr>
                <w:sz w:val="20"/>
              </w:rPr>
              <w:t xml:space="preserve"> in respect of the above disqualification has not been refused in the year preceding the date of this application.</w:t>
            </w:r>
          </w:p>
        </w:tc>
      </w:tr>
      <w:tr w:rsidR="00425758">
        <w:trPr>
          <w:cantSplit/>
        </w:trPr>
        <w:tc>
          <w:tcPr>
            <w:tcW w:w="1620" w:type="dxa"/>
            <w:tcBorders>
              <w:top w:val="single" w:sz="4" w:space="0" w:color="auto"/>
              <w:bottom w:val="single" w:sz="4" w:space="0" w:color="auto"/>
            </w:tcBorders>
          </w:tcPr>
          <w:p w:rsidR="00425758" w:rsidRDefault="00425758">
            <w:pPr>
              <w:pStyle w:val="yTableNAm"/>
              <w:rPr>
                <w:sz w:val="20"/>
              </w:rPr>
            </w:pPr>
            <w:r>
              <w:rPr>
                <w:sz w:val="20"/>
              </w:rPr>
              <w:t>Signature of applicant</w:t>
            </w:r>
          </w:p>
        </w:tc>
        <w:tc>
          <w:tcPr>
            <w:tcW w:w="3538" w:type="dxa"/>
            <w:gridSpan w:val="2"/>
            <w:tcBorders>
              <w:top w:val="single" w:sz="4" w:space="0" w:color="auto"/>
              <w:bottom w:val="single" w:sz="4" w:space="0" w:color="auto"/>
            </w:tcBorders>
          </w:tcPr>
          <w:p w:rsidR="00425758" w:rsidRDefault="00425758">
            <w:pPr>
              <w:pStyle w:val="yTableNAm"/>
              <w:rPr>
                <w:sz w:val="20"/>
              </w:rPr>
            </w:pPr>
          </w:p>
        </w:tc>
        <w:tc>
          <w:tcPr>
            <w:tcW w:w="709" w:type="dxa"/>
            <w:tcBorders>
              <w:top w:val="single" w:sz="4" w:space="0" w:color="auto"/>
              <w:bottom w:val="single" w:sz="4" w:space="0" w:color="auto"/>
            </w:tcBorders>
          </w:tcPr>
          <w:p w:rsidR="00425758" w:rsidRDefault="00425758">
            <w:pPr>
              <w:pStyle w:val="yTableNAm"/>
              <w:rPr>
                <w:sz w:val="20"/>
              </w:rPr>
            </w:pPr>
            <w:r>
              <w:rPr>
                <w:sz w:val="20"/>
              </w:rPr>
              <w:t>Date</w:t>
            </w:r>
          </w:p>
        </w:tc>
        <w:tc>
          <w:tcPr>
            <w:tcW w:w="1213" w:type="dxa"/>
            <w:tcBorders>
              <w:top w:val="single" w:sz="4" w:space="0" w:color="auto"/>
              <w:bottom w:val="single" w:sz="4" w:space="0" w:color="auto"/>
            </w:tcBorders>
          </w:tcPr>
          <w:p w:rsidR="00425758" w:rsidRDefault="00425758">
            <w:pPr>
              <w:pStyle w:val="yTableNAm"/>
              <w:rPr>
                <w:sz w:val="20"/>
              </w:rPr>
            </w:pPr>
          </w:p>
        </w:tc>
      </w:tr>
      <w:tr w:rsidR="00425758">
        <w:trPr>
          <w:cantSplit/>
        </w:trPr>
        <w:tc>
          <w:tcPr>
            <w:tcW w:w="1620" w:type="dxa"/>
            <w:tcBorders>
              <w:bottom w:val="single" w:sz="4" w:space="0" w:color="auto"/>
            </w:tcBorders>
          </w:tcPr>
          <w:p w:rsidR="00425758" w:rsidRDefault="00425758">
            <w:pPr>
              <w:pStyle w:val="yTableNAm"/>
              <w:rPr>
                <w:sz w:val="20"/>
              </w:rPr>
            </w:pPr>
            <w:r>
              <w:rPr>
                <w:sz w:val="20"/>
              </w:rPr>
              <w:t>Hearing details</w:t>
            </w:r>
          </w:p>
        </w:tc>
        <w:tc>
          <w:tcPr>
            <w:tcW w:w="5460" w:type="dxa"/>
            <w:gridSpan w:val="4"/>
            <w:tcBorders>
              <w:bottom w:val="single" w:sz="4" w:space="0" w:color="auto"/>
            </w:tcBorders>
          </w:tcPr>
          <w:p w:rsidR="00425758" w:rsidRDefault="00425758">
            <w:pPr>
              <w:pStyle w:val="yTableNAm"/>
              <w:rPr>
                <w:sz w:val="20"/>
              </w:rPr>
            </w:pPr>
            <w:r>
              <w:rPr>
                <w:sz w:val="20"/>
              </w:rPr>
              <w:t xml:space="preserve">This application will be heard — </w:t>
            </w:r>
          </w:p>
          <w:p w:rsidR="00425758" w:rsidRDefault="00425758">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rsidR="00425758" w:rsidRDefault="00425758">
            <w:pPr>
              <w:pStyle w:val="yTableNAm"/>
              <w:spacing w:before="0"/>
              <w:rPr>
                <w:sz w:val="20"/>
              </w:rPr>
            </w:pPr>
            <w:r>
              <w:rPr>
                <w:sz w:val="20"/>
              </w:rPr>
              <w:t>at [</w:t>
            </w:r>
            <w:r>
              <w:rPr>
                <w:i/>
                <w:iCs/>
                <w:sz w:val="20"/>
              </w:rPr>
              <w:t>place</w:t>
            </w:r>
            <w:r>
              <w:rPr>
                <w:sz w:val="20"/>
              </w:rPr>
              <w:t>]</w:t>
            </w:r>
          </w:p>
        </w:tc>
      </w:tr>
    </w:tbl>
    <w:p w:rsidR="00425758" w:rsidRDefault="00425758">
      <w:pPr>
        <w:pStyle w:val="yMiscellaneousBody"/>
        <w:keepNext/>
        <w:tabs>
          <w:tab w:val="left" w:pos="540"/>
        </w:tabs>
        <w:ind w:left="540" w:hanging="540"/>
        <w:rPr>
          <w:sz w:val="20"/>
        </w:rPr>
      </w:pPr>
      <w:r>
        <w:rPr>
          <w:sz w:val="20"/>
        </w:rPr>
        <w:lastRenderedPageBreak/>
        <w:t>Notes to Form No. 104 —</w:t>
      </w:r>
    </w:p>
    <w:p w:rsidR="00425758" w:rsidRDefault="00425758">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sidRPr="00887F7D">
        <w:rPr>
          <w:i/>
          <w:sz w:val="20"/>
        </w:rPr>
        <w:t>Road Traffic Act 1974</w:t>
      </w:r>
      <w:r w:rsidRPr="00887F7D">
        <w:rPr>
          <w:sz w:val="20"/>
        </w:rPr>
        <w:t xml:space="preserve"> Part V Division 2 (including s. 63, 64, 64AB, 64B, 67, 67AA, 67AD and 67A),</w:t>
      </w:r>
      <w:r>
        <w:rPr>
          <w:sz w:val="20"/>
        </w:rPr>
        <w:t xml:space="preserve"> state whether the conviction was the applicant’s first, second or subsequent for the offence. If disqualified for some other reason, give details.</w:t>
      </w:r>
    </w:p>
    <w:p w:rsidR="00425758" w:rsidRDefault="00425758">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(Authorisation to Drive) Act 2008</w:t>
      </w:r>
      <w:r>
        <w:rPr>
          <w:iCs/>
          <w:sz w:val="20"/>
        </w:rPr>
        <w:t xml:space="preserve"> s. 24(5).</w:t>
      </w:r>
      <w:r>
        <w:rPr>
          <w:sz w:val="20"/>
        </w:rPr>
        <w:t xml:space="preserve"> Use numbered paragraphs.</w:t>
      </w:r>
    </w:p>
    <w:p w:rsidR="00425758" w:rsidRDefault="00425758">
      <w:pPr>
        <w:pStyle w:val="yFootnotesection"/>
      </w:pPr>
      <w:r>
        <w:tab/>
        <w:t>[Form 104 inserted: Gazette 21 Feb 2007 p. 590; amended: Gazette 19 Dec 2014 p. 4849; SL 2021/65 r. 5.]</w:t>
      </w:r>
    </w:p>
    <w:p w:rsidR="00425758" w:rsidRDefault="00425758">
      <w:pPr>
        <w:pStyle w:val="yEdnotedivision"/>
        <w:spacing w:before="160"/>
      </w:pPr>
      <w:r>
        <w:t>[Forms 105-107 deleted: Gazette 15 Mar 2013 p. 1207.]</w:t>
      </w:r>
    </w:p>
    <w:p w:rsidR="00425758" w:rsidRDefault="00425758">
      <w:pPr>
        <w:pStyle w:val="yHeading5"/>
        <w:spacing w:after="120"/>
      </w:pPr>
      <w:bookmarkStart w:id="1425" w:name="_Toc75863990"/>
      <w:r>
        <w:rPr>
          <w:rStyle w:val="CharSClsNo"/>
        </w:rPr>
        <w:t>108</w:t>
      </w:r>
      <w:r>
        <w:t>.</w:t>
      </w:r>
      <w:r>
        <w:tab/>
      </w:r>
      <w:r>
        <w:rPr>
          <w:i/>
        </w:rPr>
        <w:t>Criminal and Found Property Disposal Act 2006</w:t>
      </w:r>
      <w:r>
        <w:t>, claim under (O. 81G r. 3)</w:t>
      </w:r>
      <w:bookmarkEnd w:id="1425"/>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rsidR="00425758">
        <w:trPr>
          <w:cantSplit/>
          <w:trHeight w:val="329"/>
        </w:trPr>
        <w:tc>
          <w:tcPr>
            <w:tcW w:w="3686" w:type="dxa"/>
            <w:gridSpan w:val="2"/>
            <w:vMerge w:val="restart"/>
          </w:tcPr>
          <w:p w:rsidR="00425758" w:rsidRDefault="00425758">
            <w:pPr>
              <w:pStyle w:val="yTableNAm"/>
              <w:spacing w:before="20"/>
              <w:rPr>
                <w:sz w:val="20"/>
              </w:rPr>
            </w:pPr>
            <w:r>
              <w:rPr>
                <w:sz w:val="20"/>
              </w:rPr>
              <w:t>Supreme Court of Western Australia</w:t>
            </w:r>
          </w:p>
          <w:p w:rsidR="00425758" w:rsidRDefault="00425758">
            <w:pPr>
              <w:pStyle w:val="yTableNAm"/>
              <w:spacing w:before="20"/>
              <w:rPr>
                <w:b/>
                <w:sz w:val="20"/>
              </w:rPr>
            </w:pPr>
            <w:r>
              <w:rPr>
                <w:sz w:val="20"/>
              </w:rPr>
              <w:t>General Division</w:t>
            </w:r>
          </w:p>
        </w:tc>
        <w:tc>
          <w:tcPr>
            <w:tcW w:w="3394" w:type="dxa"/>
            <w:gridSpan w:val="2"/>
            <w:tcBorders>
              <w:bottom w:val="nil"/>
            </w:tcBorders>
            <w:vAlign w:val="center"/>
          </w:tcPr>
          <w:p w:rsidR="00425758" w:rsidRDefault="00425758">
            <w:pPr>
              <w:pStyle w:val="yTableNAm"/>
              <w:spacing w:before="20"/>
              <w:rPr>
                <w:sz w:val="20"/>
              </w:rPr>
            </w:pPr>
            <w:r>
              <w:rPr>
                <w:sz w:val="20"/>
              </w:rPr>
              <w:t>No:</w:t>
            </w:r>
          </w:p>
        </w:tc>
      </w:tr>
      <w:tr w:rsidR="00425758">
        <w:trPr>
          <w:cantSplit/>
          <w:trHeight w:val="328"/>
        </w:trPr>
        <w:tc>
          <w:tcPr>
            <w:tcW w:w="3686" w:type="dxa"/>
            <w:gridSpan w:val="2"/>
            <w:vMerge/>
            <w:tcBorders>
              <w:bottom w:val="nil"/>
            </w:tcBorders>
          </w:tcPr>
          <w:p w:rsidR="00425758" w:rsidRDefault="00425758">
            <w:pPr>
              <w:pStyle w:val="yTableNAm"/>
              <w:spacing w:before="20"/>
              <w:rPr>
                <w:sz w:val="20"/>
              </w:rPr>
            </w:pPr>
          </w:p>
        </w:tc>
        <w:tc>
          <w:tcPr>
            <w:tcW w:w="3394" w:type="dxa"/>
            <w:gridSpan w:val="2"/>
            <w:tcBorders>
              <w:bottom w:val="nil"/>
            </w:tcBorders>
          </w:tcPr>
          <w:p w:rsidR="00425758" w:rsidRDefault="00425758">
            <w:pPr>
              <w:pStyle w:val="yTableNAm"/>
              <w:spacing w:before="20"/>
              <w:rPr>
                <w:sz w:val="20"/>
              </w:rPr>
            </w:pPr>
            <w:r>
              <w:rPr>
                <w:b/>
                <w:i/>
                <w:iCs/>
                <w:sz w:val="20"/>
              </w:rPr>
              <w:t xml:space="preserve">Criminal and Found Property Disposal Act 2006 </w:t>
            </w:r>
            <w:r>
              <w:rPr>
                <w:b/>
                <w:sz w:val="20"/>
              </w:rPr>
              <w:t>claim</w:t>
            </w:r>
          </w:p>
        </w:tc>
      </w:tr>
      <w:tr w:rsidR="00425758">
        <w:trPr>
          <w:cantSplit/>
        </w:trPr>
        <w:tc>
          <w:tcPr>
            <w:tcW w:w="1560" w:type="dxa"/>
            <w:tcBorders>
              <w:bottom w:val="nil"/>
            </w:tcBorders>
          </w:tcPr>
          <w:p w:rsidR="00425758" w:rsidRDefault="00425758">
            <w:pPr>
              <w:pStyle w:val="yTableNAm"/>
              <w:spacing w:before="20"/>
              <w:rPr>
                <w:sz w:val="20"/>
              </w:rPr>
            </w:pPr>
            <w:r>
              <w:rPr>
                <w:sz w:val="20"/>
              </w:rPr>
              <w:t>Parties</w:t>
            </w:r>
          </w:p>
        </w:tc>
        <w:tc>
          <w:tcPr>
            <w:tcW w:w="5520" w:type="dxa"/>
            <w:gridSpan w:val="3"/>
            <w:tcBorders>
              <w:bottom w:val="nil"/>
            </w:tcBorders>
          </w:tcPr>
          <w:p w:rsidR="00425758" w:rsidRDefault="00425758">
            <w:pPr>
              <w:pStyle w:val="yTableNAm"/>
              <w:tabs>
                <w:tab w:val="clear" w:pos="567"/>
                <w:tab w:val="left" w:pos="2944"/>
              </w:tabs>
              <w:spacing w:before="20"/>
              <w:rPr>
                <w:sz w:val="20"/>
              </w:rPr>
            </w:pPr>
            <w:r>
              <w:rPr>
                <w:sz w:val="20"/>
              </w:rPr>
              <w:tab/>
              <w:t>Claimant</w:t>
            </w:r>
          </w:p>
          <w:p w:rsidR="00425758" w:rsidRDefault="00425758">
            <w:pPr>
              <w:pStyle w:val="yTableNAm"/>
              <w:tabs>
                <w:tab w:val="clear" w:pos="567"/>
                <w:tab w:val="left" w:pos="2944"/>
              </w:tabs>
              <w:spacing w:before="20"/>
              <w:rPr>
                <w:sz w:val="20"/>
              </w:rPr>
            </w:pPr>
            <w:r>
              <w:rPr>
                <w:sz w:val="20"/>
              </w:rPr>
              <w:tab/>
              <w:t>Defendant</w:t>
            </w:r>
          </w:p>
        </w:tc>
      </w:tr>
      <w:tr w:rsidR="00425758">
        <w:trPr>
          <w:cantSplit/>
        </w:trPr>
        <w:tc>
          <w:tcPr>
            <w:tcW w:w="1560" w:type="dxa"/>
            <w:tcBorders>
              <w:bottom w:val="single" w:sz="4" w:space="0" w:color="auto"/>
            </w:tcBorders>
          </w:tcPr>
          <w:p w:rsidR="00425758" w:rsidRDefault="00425758">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rsidR="00425758" w:rsidRDefault="00425758">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rsidR="00425758" w:rsidRDefault="00425758">
            <w:pPr>
              <w:pStyle w:val="yTableNAm"/>
              <w:spacing w:before="20"/>
              <w:rPr>
                <w:sz w:val="20"/>
              </w:rPr>
            </w:pPr>
            <w:r>
              <w:rPr>
                <w:sz w:val="20"/>
              </w:rPr>
              <w:t>In relation to the property described below, the claimant applies for —</w:t>
            </w:r>
          </w:p>
          <w:p w:rsidR="00425758" w:rsidRDefault="00425758">
            <w:pPr>
              <w:pStyle w:val="yTableNAm"/>
              <w:spacing w:before="20"/>
              <w:rPr>
                <w:sz w:val="20"/>
              </w:rPr>
            </w:pPr>
            <w:r>
              <w:rPr>
                <w:sz w:val="20"/>
              </w:rPr>
              <w:t>1.</w:t>
            </w:r>
          </w:p>
        </w:tc>
      </w:tr>
      <w:tr w:rsidR="00425758">
        <w:trPr>
          <w:cantSplit/>
        </w:trPr>
        <w:tc>
          <w:tcPr>
            <w:tcW w:w="1560" w:type="dxa"/>
            <w:tcBorders>
              <w:bottom w:val="single" w:sz="4" w:space="0" w:color="auto"/>
            </w:tcBorders>
          </w:tcPr>
          <w:p w:rsidR="00425758" w:rsidRDefault="00425758">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rsidR="00425758" w:rsidRDefault="00425758">
            <w:pPr>
              <w:pStyle w:val="yTableNAm"/>
              <w:spacing w:before="20"/>
              <w:rPr>
                <w:sz w:val="20"/>
              </w:rPr>
            </w:pPr>
          </w:p>
        </w:tc>
      </w:tr>
      <w:tr w:rsidR="00425758">
        <w:trPr>
          <w:cantSplit/>
        </w:trPr>
        <w:tc>
          <w:tcPr>
            <w:tcW w:w="1560" w:type="dxa"/>
            <w:tcBorders>
              <w:bottom w:val="single" w:sz="4" w:space="0" w:color="auto"/>
            </w:tcBorders>
          </w:tcPr>
          <w:p w:rsidR="00425758" w:rsidRDefault="00425758">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rsidR="00425758" w:rsidRDefault="00425758">
            <w:pPr>
              <w:pStyle w:val="yTableNAm"/>
              <w:spacing w:before="20"/>
              <w:rPr>
                <w:sz w:val="20"/>
              </w:rPr>
            </w:pPr>
            <w:r>
              <w:rPr>
                <w:sz w:val="20"/>
              </w:rPr>
              <w:t>$</w:t>
            </w:r>
          </w:p>
        </w:tc>
      </w:tr>
      <w:tr w:rsidR="00425758">
        <w:trPr>
          <w:cantSplit/>
        </w:trPr>
        <w:tc>
          <w:tcPr>
            <w:tcW w:w="1560" w:type="dxa"/>
            <w:tcBorders>
              <w:bottom w:val="single" w:sz="4" w:space="0" w:color="auto"/>
            </w:tcBorders>
          </w:tcPr>
          <w:p w:rsidR="00425758" w:rsidRDefault="00425758">
            <w:pPr>
              <w:pStyle w:val="yTableNAm"/>
              <w:spacing w:before="20"/>
              <w:rPr>
                <w:sz w:val="20"/>
              </w:rPr>
            </w:pPr>
            <w:r>
              <w:rPr>
                <w:sz w:val="20"/>
              </w:rPr>
              <w:t>Hearing details</w:t>
            </w:r>
          </w:p>
        </w:tc>
        <w:tc>
          <w:tcPr>
            <w:tcW w:w="5520" w:type="dxa"/>
            <w:gridSpan w:val="3"/>
            <w:tcBorders>
              <w:bottom w:val="single" w:sz="4" w:space="0" w:color="auto"/>
            </w:tcBorders>
          </w:tcPr>
          <w:p w:rsidR="00425758" w:rsidRDefault="00425758">
            <w:pPr>
              <w:pStyle w:val="yTableNAm"/>
              <w:tabs>
                <w:tab w:val="clear" w:pos="567"/>
                <w:tab w:val="left" w:pos="3904"/>
              </w:tabs>
              <w:spacing w:before="20"/>
              <w:rPr>
                <w:sz w:val="20"/>
              </w:rPr>
            </w:pPr>
            <w:r>
              <w:rPr>
                <w:sz w:val="20"/>
              </w:rPr>
              <w:t>This claim will be heard on</w:t>
            </w:r>
            <w:r>
              <w:rPr>
                <w:sz w:val="20"/>
              </w:rPr>
              <w:tab/>
              <w:t>20</w:t>
            </w:r>
          </w:p>
          <w:p w:rsidR="00425758" w:rsidRDefault="00425758">
            <w:pPr>
              <w:pStyle w:val="yTableNAm"/>
              <w:spacing w:before="20"/>
              <w:rPr>
                <w:sz w:val="20"/>
              </w:rPr>
            </w:pPr>
            <w:r>
              <w:rPr>
                <w:sz w:val="20"/>
              </w:rPr>
              <w:t>not before</w:t>
            </w:r>
            <w:r>
              <w:rPr>
                <w:sz w:val="20"/>
              </w:rPr>
              <w:tab/>
              <w:t>a.m./p.m. at the Supreme Court, David Malcolm Justice Centre, 28 Barrack Street, Perth.</w:t>
            </w:r>
          </w:p>
        </w:tc>
      </w:tr>
      <w:tr w:rsidR="00425758">
        <w:trPr>
          <w:cantSplit/>
        </w:trPr>
        <w:tc>
          <w:tcPr>
            <w:tcW w:w="7080" w:type="dxa"/>
            <w:gridSpan w:val="4"/>
            <w:tcBorders>
              <w:bottom w:val="single" w:sz="4" w:space="0" w:color="auto"/>
            </w:tcBorders>
          </w:tcPr>
          <w:p w:rsidR="00425758" w:rsidRDefault="00425758">
            <w:pPr>
              <w:pStyle w:val="yTableNAm"/>
              <w:spacing w:before="20"/>
              <w:rPr>
                <w:b/>
                <w:sz w:val="20"/>
              </w:rPr>
            </w:pPr>
            <w:r>
              <w:rPr>
                <w:b/>
                <w:sz w:val="20"/>
              </w:rPr>
              <w:t>Claimant’s details</w:t>
            </w:r>
          </w:p>
        </w:tc>
      </w:tr>
      <w:tr w:rsidR="00425758">
        <w:trPr>
          <w:cantSplit/>
        </w:trPr>
        <w:tc>
          <w:tcPr>
            <w:tcW w:w="1560" w:type="dxa"/>
            <w:tcBorders>
              <w:bottom w:val="single" w:sz="4" w:space="0" w:color="auto"/>
            </w:tcBorders>
          </w:tcPr>
          <w:p w:rsidR="00425758" w:rsidRDefault="00425758">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rsidR="00425758" w:rsidRDefault="00425758">
            <w:pPr>
              <w:pStyle w:val="yTableNAm"/>
              <w:spacing w:before="20"/>
              <w:rPr>
                <w:sz w:val="20"/>
              </w:rPr>
            </w:pPr>
          </w:p>
        </w:tc>
      </w:tr>
      <w:tr w:rsidR="00425758">
        <w:trPr>
          <w:cantSplit/>
        </w:trPr>
        <w:tc>
          <w:tcPr>
            <w:tcW w:w="1560" w:type="dxa"/>
            <w:tcBorders>
              <w:bottom w:val="single" w:sz="4" w:space="0" w:color="auto"/>
            </w:tcBorders>
          </w:tcPr>
          <w:p w:rsidR="00425758" w:rsidRDefault="00425758">
            <w:pPr>
              <w:pStyle w:val="yTableNAm"/>
              <w:spacing w:before="20"/>
              <w:rPr>
                <w:sz w:val="20"/>
              </w:rPr>
            </w:pPr>
            <w:r>
              <w:rPr>
                <w:sz w:val="20"/>
              </w:rPr>
              <w:t>Claimant’s service details</w:t>
            </w:r>
            <w:r>
              <w:rPr>
                <w:sz w:val="20"/>
                <w:vertAlign w:val="superscript"/>
              </w:rPr>
              <w:t>5</w:t>
            </w:r>
          </w:p>
        </w:tc>
        <w:tc>
          <w:tcPr>
            <w:tcW w:w="5520" w:type="dxa"/>
            <w:gridSpan w:val="3"/>
            <w:tcBorders>
              <w:bottom w:val="single" w:sz="4" w:space="0" w:color="auto"/>
            </w:tcBorders>
          </w:tcPr>
          <w:p w:rsidR="00425758" w:rsidRDefault="00425758">
            <w:pPr>
              <w:pStyle w:val="yTableNAm"/>
              <w:spacing w:before="20"/>
              <w:rPr>
                <w:sz w:val="20"/>
              </w:rPr>
            </w:pPr>
          </w:p>
        </w:tc>
      </w:tr>
      <w:tr w:rsidR="00425758">
        <w:trPr>
          <w:cantSplit/>
        </w:trPr>
        <w:tc>
          <w:tcPr>
            <w:tcW w:w="7080" w:type="dxa"/>
            <w:gridSpan w:val="4"/>
            <w:tcBorders>
              <w:bottom w:val="nil"/>
            </w:tcBorders>
          </w:tcPr>
          <w:p w:rsidR="00425758" w:rsidRDefault="00425758">
            <w:pPr>
              <w:pStyle w:val="yTableNAm"/>
              <w:spacing w:before="20"/>
              <w:rPr>
                <w:b/>
                <w:sz w:val="20"/>
              </w:rPr>
            </w:pPr>
            <w:r>
              <w:rPr>
                <w:b/>
                <w:sz w:val="20"/>
              </w:rPr>
              <w:t>Signature and date</w:t>
            </w:r>
          </w:p>
        </w:tc>
      </w:tr>
      <w:tr w:rsidR="00425758">
        <w:trPr>
          <w:cantSplit/>
        </w:trPr>
        <w:tc>
          <w:tcPr>
            <w:tcW w:w="1560" w:type="dxa"/>
            <w:tcBorders>
              <w:top w:val="single" w:sz="4" w:space="0" w:color="auto"/>
              <w:bottom w:val="single" w:sz="4" w:space="0" w:color="auto"/>
            </w:tcBorders>
          </w:tcPr>
          <w:p w:rsidR="00425758" w:rsidRDefault="00425758">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rsidR="00425758" w:rsidRDefault="00425758">
            <w:pPr>
              <w:pStyle w:val="yTableNAm"/>
              <w:spacing w:before="20"/>
              <w:rPr>
                <w:sz w:val="20"/>
              </w:rPr>
            </w:pPr>
          </w:p>
          <w:p w:rsidR="00425758" w:rsidRDefault="00425758">
            <w:pPr>
              <w:pStyle w:val="yTableNAm"/>
              <w:spacing w:before="0"/>
              <w:rPr>
                <w:sz w:val="20"/>
              </w:rPr>
            </w:pPr>
          </w:p>
          <w:p w:rsidR="00425758" w:rsidRDefault="00425758">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rsidR="00425758" w:rsidRDefault="00425758">
            <w:pPr>
              <w:pStyle w:val="yTableNAm"/>
              <w:spacing w:before="20"/>
              <w:rPr>
                <w:sz w:val="20"/>
              </w:rPr>
            </w:pPr>
            <w:r>
              <w:rPr>
                <w:sz w:val="20"/>
              </w:rPr>
              <w:t>Date:</w:t>
            </w:r>
          </w:p>
        </w:tc>
      </w:tr>
    </w:tbl>
    <w:p w:rsidR="00425758" w:rsidRDefault="00425758">
      <w:pPr>
        <w:pStyle w:val="yMiscellaneousBody"/>
        <w:tabs>
          <w:tab w:val="left" w:pos="540"/>
        </w:tabs>
        <w:spacing w:before="120"/>
        <w:ind w:left="539" w:hanging="539"/>
        <w:rPr>
          <w:sz w:val="20"/>
        </w:rPr>
      </w:pPr>
      <w:r>
        <w:rPr>
          <w:sz w:val="20"/>
        </w:rPr>
        <w:lastRenderedPageBreak/>
        <w:t>Notes to Form No. 108 —</w:t>
      </w:r>
    </w:p>
    <w:p w:rsidR="00425758" w:rsidRDefault="00425758">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rsidR="00425758" w:rsidRDefault="00425758">
      <w:pPr>
        <w:pStyle w:val="yMiscellaneousBody"/>
        <w:tabs>
          <w:tab w:val="left" w:pos="540"/>
        </w:tabs>
        <w:spacing w:before="40"/>
        <w:ind w:left="540" w:hanging="540"/>
        <w:rPr>
          <w:sz w:val="20"/>
        </w:rPr>
      </w:pPr>
      <w:r>
        <w:rPr>
          <w:sz w:val="20"/>
        </w:rPr>
        <w:tab/>
        <w:t>State the order(s) the claimant wants the Court to make in numbered paragraphs.</w:t>
      </w:r>
    </w:p>
    <w:p w:rsidR="00425758" w:rsidRDefault="00425758">
      <w:pPr>
        <w:pStyle w:val="yMiscellaneousBody"/>
        <w:tabs>
          <w:tab w:val="left" w:pos="540"/>
        </w:tabs>
        <w:spacing w:before="40"/>
        <w:ind w:left="539" w:hanging="539"/>
        <w:rPr>
          <w:sz w:val="20"/>
        </w:rPr>
      </w:pPr>
      <w:r>
        <w:rPr>
          <w:sz w:val="20"/>
        </w:rPr>
        <w:t>2.</w:t>
      </w:r>
      <w:r>
        <w:rPr>
          <w:sz w:val="20"/>
        </w:rPr>
        <w:tab/>
        <w:t>Describe the property to which the claim relates.</w:t>
      </w:r>
    </w:p>
    <w:p w:rsidR="00425758" w:rsidRDefault="00425758">
      <w:pPr>
        <w:pStyle w:val="yMiscellaneousBody"/>
        <w:tabs>
          <w:tab w:val="left" w:pos="540"/>
        </w:tabs>
        <w:spacing w:before="40"/>
        <w:ind w:left="540" w:hanging="540"/>
        <w:rPr>
          <w:sz w:val="20"/>
        </w:rPr>
      </w:pPr>
      <w:r>
        <w:rPr>
          <w:sz w:val="20"/>
        </w:rPr>
        <w:t>3.</w:t>
      </w:r>
      <w:r>
        <w:rPr>
          <w:sz w:val="20"/>
        </w:rPr>
        <w:tab/>
        <w:t>State the estimated value of the property.</w:t>
      </w:r>
    </w:p>
    <w:p w:rsidR="00425758" w:rsidRDefault="00425758">
      <w:pPr>
        <w:pStyle w:val="yMiscellaneousBody"/>
        <w:tabs>
          <w:tab w:val="left" w:pos="540"/>
        </w:tabs>
        <w:spacing w:before="40"/>
        <w:ind w:left="540" w:hanging="540"/>
        <w:rPr>
          <w:sz w:val="20"/>
        </w:rPr>
      </w:pPr>
      <w:r>
        <w:rPr>
          <w:sz w:val="20"/>
        </w:rPr>
        <w:t>4.</w:t>
      </w:r>
      <w:r>
        <w:rPr>
          <w:sz w:val="20"/>
        </w:rPr>
        <w:tab/>
        <w:t>Must be provided unless otherwise ordered by the Court.  See Order 71A r. 2 and 3A.</w:t>
      </w:r>
    </w:p>
    <w:p w:rsidR="00425758" w:rsidRDefault="00425758">
      <w:pPr>
        <w:pStyle w:val="yMiscellaneousBody"/>
        <w:tabs>
          <w:tab w:val="left" w:pos="540"/>
        </w:tabs>
        <w:spacing w:before="40"/>
        <w:ind w:left="540" w:hanging="540"/>
        <w:rPr>
          <w:sz w:val="20"/>
        </w:rPr>
      </w:pPr>
      <w:r>
        <w:rPr>
          <w:sz w:val="20"/>
        </w:rPr>
        <w:t>5.</w:t>
      </w:r>
      <w:r>
        <w:rPr>
          <w:sz w:val="20"/>
        </w:rPr>
        <w:tab/>
        <w:t>Must be in accordance with Order 71A.</w:t>
      </w:r>
    </w:p>
    <w:p w:rsidR="00425758" w:rsidRDefault="00425758">
      <w:pPr>
        <w:pStyle w:val="yFootnotesection"/>
        <w:spacing w:before="80"/>
      </w:pPr>
      <w:r>
        <w:tab/>
        <w:t>[Form 108 inserted: Gazette 22 Feb 2008 p. 648</w:t>
      </w:r>
      <w:r>
        <w:noBreakHyphen/>
        <w:t>9; amended: Gazette 13 Nov 2015 p. 4655; 16 Nov 2016 p. 5216.]</w:t>
      </w:r>
    </w:p>
    <w:p w:rsidR="00425758" w:rsidRDefault="00425758">
      <w:pPr>
        <w:sectPr w:rsidR="00425758">
          <w:headerReference w:type="even" r:id="rId24"/>
          <w:headerReference w:type="default" r:id="rId25"/>
          <w:headerReference w:type="first" r:id="rId26"/>
          <w:type w:val="continuous"/>
          <w:pgSz w:w="11907" w:h="16840" w:code="9"/>
          <w:pgMar w:top="2376" w:right="2405" w:bottom="3542" w:left="2405" w:header="706" w:footer="3380" w:gutter="0"/>
          <w:cols w:space="720"/>
          <w:noEndnote/>
          <w:docGrid w:linePitch="326"/>
        </w:sectPr>
      </w:pPr>
    </w:p>
    <w:p w:rsidR="00425758" w:rsidRDefault="00425758">
      <w:pPr>
        <w:pStyle w:val="yScheduleHeading"/>
      </w:pPr>
      <w:bookmarkStart w:id="1427" w:name="_Toc75512895"/>
      <w:bookmarkStart w:id="1428" w:name="_Toc75863991"/>
      <w:r>
        <w:rPr>
          <w:rStyle w:val="CharSchNo"/>
        </w:rPr>
        <w:lastRenderedPageBreak/>
        <w:t>Schedule 3</w:t>
      </w:r>
      <w:r>
        <w:rPr>
          <w:rStyle w:val="CharDivNo"/>
        </w:rPr>
        <w:t> </w:t>
      </w:r>
      <w:r>
        <w:t>—</w:t>
      </w:r>
      <w:r>
        <w:rPr>
          <w:rStyle w:val="CharSDivText"/>
        </w:rPr>
        <w:t> </w:t>
      </w:r>
      <w:r>
        <w:rPr>
          <w:rStyle w:val="CharSchText"/>
        </w:rPr>
        <w:t>Payment into and out of court</w:t>
      </w:r>
      <w:bookmarkEnd w:id="1427"/>
      <w:bookmarkEnd w:id="1428"/>
    </w:p>
    <w:p w:rsidR="00425758" w:rsidRDefault="00425758">
      <w:pPr>
        <w:pStyle w:val="yShoulderClause"/>
      </w:pPr>
      <w:r>
        <w:t>[O. 24 r. 12]</w:t>
      </w:r>
    </w:p>
    <w:p w:rsidR="00425758" w:rsidRDefault="00425758">
      <w:pPr>
        <w:pStyle w:val="yFootnoteheading"/>
      </w:pPr>
      <w:r>
        <w:tab/>
        <w:t>[Heading inserted: Gazette 28 Jun 2011 p. 2563.]</w:t>
      </w:r>
    </w:p>
    <w:p w:rsidR="00425758" w:rsidRDefault="00425758">
      <w:pPr>
        <w:pStyle w:val="yEdnotesection"/>
        <w:outlineLvl w:val="9"/>
      </w:pPr>
      <w:r>
        <w:t>[</w:t>
      </w:r>
      <w:r>
        <w:rPr>
          <w:b/>
        </w:rPr>
        <w:t>1.</w:t>
      </w:r>
      <w:r>
        <w:tab/>
        <w:t>Deleted: Gazette 21 Feb 2007 p. 596.]</w:t>
      </w:r>
    </w:p>
    <w:p w:rsidR="00425758" w:rsidRDefault="00425758">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rsidR="00425758" w:rsidRDefault="00425758">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rsidR="00425758" w:rsidRDefault="00425758">
      <w:pPr>
        <w:pStyle w:val="ySubsection"/>
      </w:pPr>
      <w:r>
        <w:rPr>
          <w:b/>
          <w:bCs/>
        </w:rPr>
        <w:t>4.</w:t>
      </w:r>
      <w:r>
        <w:tab/>
      </w:r>
      <w:r>
        <w:tab/>
        <w:t>Where money is paid into court under a judgment or order, a copy of the judgment or order shall be lodged with the Accountant forthwith by the person or party making the payment in or his solicitor.  If the money or any part of the money is transferred to the Public Trustee for investment the copy of the judgment or order shall be forwarded by the Accountant to the Public Trustee.</w:t>
      </w:r>
    </w:p>
    <w:p w:rsidR="00425758" w:rsidRDefault="00425758">
      <w:pPr>
        <w:pStyle w:val="yFootnotesection"/>
      </w:pPr>
      <w:r>
        <w:tab/>
        <w:t>[Clause 4 amended: Gazette 27 Feb 2018 p. 624.]</w:t>
      </w:r>
    </w:p>
    <w:p w:rsidR="00425758" w:rsidRDefault="00425758">
      <w:pPr>
        <w:pStyle w:val="yFootnotesection"/>
        <w:rPr>
          <w:b/>
        </w:rPr>
      </w:pPr>
      <w:r>
        <w:t>[</w:t>
      </w:r>
      <w:r>
        <w:rPr>
          <w:b/>
        </w:rPr>
        <w:t>5.</w:t>
      </w:r>
      <w:r>
        <w:tab/>
        <w:t>Deleted: Gazette 5 Apr 1991 p. 1401.]</w:t>
      </w:r>
    </w:p>
    <w:p w:rsidR="00425758" w:rsidRDefault="00425758">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rsidR="00425758" w:rsidRDefault="00425758">
      <w:pPr>
        <w:pStyle w:val="ySubsection"/>
        <w:widowControl w:val="0"/>
      </w:pPr>
      <w:r>
        <w:rPr>
          <w:b/>
          <w:bCs/>
        </w:rPr>
        <w:t>7.</w:t>
      </w:r>
      <w:r>
        <w:tab/>
      </w:r>
      <w:r>
        <w:tab/>
        <w:t xml:space="preserve">On bespeaking payment out of court of money paid in on a notice or pleading, a copy of the original receipted notice or pleading must be </w:t>
      </w:r>
      <w:r>
        <w:lastRenderedPageBreak/>
        <w:t>lodged at the office of the Accountant.</w:t>
      </w:r>
    </w:p>
    <w:p w:rsidR="00425758" w:rsidRDefault="00425758">
      <w:pPr>
        <w:pStyle w:val="yFootnotesection"/>
      </w:pPr>
      <w:r>
        <w:tab/>
        <w:t>[Clause 7 amended: Gazette 27 Feb 2018 p. 624.]</w:t>
      </w:r>
    </w:p>
    <w:p w:rsidR="00425758" w:rsidRDefault="00425758">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 copy of the order or authority shall also be lodged with the Accountant by the solicitor or party seeking the payment out.</w:t>
      </w:r>
    </w:p>
    <w:p w:rsidR="00425758" w:rsidRDefault="00425758">
      <w:pPr>
        <w:pStyle w:val="yFootnotesection"/>
      </w:pPr>
      <w:r>
        <w:tab/>
        <w:t>[Clause 8 amended: Gazette 14 Dec 1979 p. 3872; 27 Feb 2018 p. 624.]</w:t>
      </w:r>
    </w:p>
    <w:p w:rsidR="00425758" w:rsidRDefault="00425758">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rsidR="00425758" w:rsidRDefault="00425758">
      <w:pPr>
        <w:pStyle w:val="yFootnotesection"/>
      </w:pPr>
      <w:r>
        <w:tab/>
        <w:t>[Clause 9 amended: Gazette 28 Jun 2011 p. 2555.]</w:t>
      </w:r>
    </w:p>
    <w:p w:rsidR="00425758" w:rsidRDefault="00425758">
      <w:pPr>
        <w:pStyle w:val="ySubsection"/>
      </w:pPr>
      <w:r>
        <w:rPr>
          <w:b/>
          <w:bCs/>
        </w:rPr>
        <w:t>10.</w:t>
      </w:r>
      <w:r>
        <w:tab/>
      </w:r>
      <w:r>
        <w:tab/>
        <w:t>Every authority for the payment of money out of court must be attested by a witness, whose residence and description must be added to his attestation.</w:t>
      </w:r>
    </w:p>
    <w:p w:rsidR="00425758" w:rsidRDefault="00425758">
      <w:pPr>
        <w:pStyle w:val="ySubsection"/>
      </w:pPr>
      <w:r>
        <w:rPr>
          <w:b/>
          <w:bCs/>
        </w:rPr>
        <w:t>11.</w:t>
      </w:r>
      <w:r>
        <w:tab/>
      </w:r>
      <w:r>
        <w:tab/>
        <w:t>Each sum paid into court shall, as regards its payment out of court, be deemed when the time for payment out arrives, to be money standing to the credit of the Supreme Court.</w:t>
      </w:r>
    </w:p>
    <w:p w:rsidR="00425758" w:rsidRDefault="00425758">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rsidR="00425758" w:rsidRDefault="00425758">
      <w:pPr>
        <w:pStyle w:val="yFootnotesection"/>
      </w:pPr>
      <w:r>
        <w:tab/>
        <w:t>[Clause 12 amended: Gazette 14 Dec 1979 p. 3872; 26 Aug 1984 p. 4415.]</w:t>
      </w:r>
    </w:p>
    <w:p w:rsidR="00425758" w:rsidRDefault="00425758">
      <w:pPr>
        <w:pStyle w:val="ySubsection"/>
      </w:pPr>
      <w:r>
        <w:rPr>
          <w:b/>
          <w:bCs/>
        </w:rPr>
        <w:t>13.</w:t>
      </w:r>
      <w:r>
        <w:tab/>
      </w:r>
      <w:r>
        <w:tab/>
        <w:t xml:space="preserve">Whenever the order is required to be drawn in favour of any person not a solicitor of the Supreme Court, the Accountant or Public Trustee as the case may be, may require him to be identified by a solicitor. If </w:t>
      </w:r>
      <w:r>
        <w:lastRenderedPageBreak/>
        <w:t>such person shall be represented in the cause or matter by a solicitor, the identifying solicitor must be such solicitor.</w:t>
      </w:r>
    </w:p>
    <w:p w:rsidR="00425758" w:rsidRDefault="00425758">
      <w:pPr>
        <w:pStyle w:val="ySubsection"/>
      </w:pPr>
      <w:r>
        <w:rPr>
          <w:b/>
          <w:bCs/>
        </w:rPr>
        <w:t>14.</w:t>
      </w:r>
      <w:r>
        <w:tab/>
      </w:r>
      <w:r>
        <w:tab/>
        <w:t>Where an order directs that money paid into court is to be invested, the Public Trustee shall make the investment.</w:t>
      </w:r>
    </w:p>
    <w:p w:rsidR="00425758" w:rsidRDefault="00425758">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rsidR="00425758" w:rsidRDefault="00425758">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rsidR="00425758" w:rsidRDefault="00425758">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rsidR="00425758" w:rsidRDefault="00425758">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rsidR="00425758" w:rsidRDefault="00425758">
      <w:pPr>
        <w:pStyle w:val="yFootnotesection"/>
      </w:pPr>
      <w:r>
        <w:tab/>
        <w:t>[Regulation 15 amended: Gazette 14 Dec 1979 p. 3872.]</w:t>
      </w:r>
    </w:p>
    <w:p w:rsidR="00425758" w:rsidRDefault="00425758">
      <w:pPr>
        <w:pStyle w:val="ySubsection"/>
      </w:pPr>
      <w:r>
        <w:rPr>
          <w:b/>
          <w:bCs/>
        </w:rPr>
        <w:t>16.</w:t>
      </w:r>
      <w:r>
        <w:tab/>
      </w:r>
      <w:r>
        <w:tab/>
        <w:t>The Principal Registrar shall furnish to the Accountant or Public Trustee, free of charge a copy of any document filed with the Principal Registrar, which the Accountant or Public Trustee may reasonably require for the purpose of carrying out his duties under this Schedule.</w:t>
      </w:r>
    </w:p>
    <w:p w:rsidR="00425758" w:rsidRDefault="00425758">
      <w:pPr>
        <w:pStyle w:val="yFootnotesection"/>
      </w:pPr>
      <w:r>
        <w:tab/>
        <w:t>[Regulation 16 amended: Gazette 14 Dec 1979 p. 3872; 27 Feb 2018 p. 624.]</w:t>
      </w:r>
    </w:p>
    <w:p w:rsidR="00425758" w:rsidRDefault="00425758">
      <w:pPr>
        <w:pStyle w:val="yEdnoteschedule"/>
      </w:pPr>
      <w:r>
        <w:t>[Fourth Schedule deleted: Gazette 21 Feb 2007 p. 596.]</w:t>
      </w:r>
    </w:p>
    <w:p w:rsidR="00425758" w:rsidRDefault="00425758">
      <w:pPr>
        <w:pStyle w:val="yEdnoteschedule"/>
      </w:pPr>
      <w:r>
        <w:t>[Fifth Schedule deleted: Gazette 27 Jul 2001 p. 3895.]</w:t>
      </w:r>
    </w:p>
    <w:p w:rsidR="00425758" w:rsidRDefault="00425758">
      <w:pPr>
        <w:pStyle w:val="yEdnoteschedule"/>
      </w:pPr>
      <w:r>
        <w:t>[Sixth Schedule deleted: Gazette 16 Jul 1999 p. 3201.]</w:t>
      </w:r>
    </w:p>
    <w:p w:rsidR="00425758" w:rsidRDefault="00425758">
      <w:pPr>
        <w:pStyle w:val="Ednotesection"/>
        <w:ind w:left="890" w:hanging="890"/>
        <w:rPr>
          <w:sz w:val="22"/>
        </w:rPr>
      </w:pPr>
      <w:r>
        <w:rPr>
          <w:sz w:val="22"/>
        </w:rPr>
        <w:lastRenderedPageBreak/>
        <w:t>[Seventh Schedule deleted: Gazette 21 May 2004 p. 1712.]</w:t>
      </w:r>
    </w:p>
    <w:p w:rsidR="00425758" w:rsidRDefault="00425758">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rsidR="00425758" w:rsidRDefault="00425758">
      <w:pPr>
        <w:pStyle w:val="CentredBaseLine"/>
        <w:jc w:val="center"/>
        <w:rPr>
          <w:sz w:val="22"/>
        </w:rPr>
      </w:pPr>
    </w:p>
    <w:p w:rsidR="00425758" w:rsidRDefault="00425758">
      <w:pPr>
        <w:sectPr w:rsidR="00425758">
          <w:headerReference w:type="even" r:id="rId28"/>
          <w:headerReference w:type="default" r:id="rId29"/>
          <w:pgSz w:w="11907" w:h="16840" w:code="9"/>
          <w:pgMar w:top="2376" w:right="2405" w:bottom="3542" w:left="2405" w:header="706" w:footer="3380" w:gutter="0"/>
          <w:cols w:space="720"/>
          <w:noEndnote/>
          <w:docGrid w:linePitch="326"/>
        </w:sectPr>
      </w:pPr>
    </w:p>
    <w:p w:rsidR="00425758" w:rsidRDefault="00425758">
      <w:pPr>
        <w:pStyle w:val="nHeading2"/>
      </w:pPr>
      <w:bookmarkStart w:id="1429" w:name="_Toc75512896"/>
      <w:bookmarkStart w:id="1430" w:name="_Toc75863992"/>
      <w:r>
        <w:lastRenderedPageBreak/>
        <w:t>Notes</w:t>
      </w:r>
      <w:bookmarkEnd w:id="1429"/>
      <w:bookmarkEnd w:id="1430"/>
    </w:p>
    <w:p w:rsidR="00425758" w:rsidRDefault="00425758">
      <w:pPr>
        <w:pStyle w:val="nStatement"/>
      </w:pPr>
      <w:r>
        <w:t xml:space="preserve">This is a compilation of the </w:t>
      </w:r>
      <w:r>
        <w:rPr>
          <w:i/>
          <w:noProof/>
        </w:rPr>
        <w:t>Rules of the Supreme Court 1971</w:t>
      </w:r>
      <w:r>
        <w:t xml:space="preserve"> and includes amendments made by other written laws. For provisions that have come into operation, and for information about any reprints, see the compilation table. </w:t>
      </w:r>
    </w:p>
    <w:p w:rsidR="00425758" w:rsidRDefault="00425758">
      <w:pPr>
        <w:pStyle w:val="nHeading3"/>
      </w:pPr>
      <w:bookmarkStart w:id="1431" w:name="_Toc75863993"/>
      <w:r>
        <w:t>Compilation table</w:t>
      </w:r>
      <w:bookmarkEnd w:id="1431"/>
    </w:p>
    <w:tbl>
      <w:tblPr>
        <w:tblW w:w="7090"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6"/>
      </w:tblGrid>
      <w:tr w:rsidR="00425758">
        <w:trPr>
          <w:tblHeader/>
        </w:trPr>
        <w:tc>
          <w:tcPr>
            <w:tcW w:w="3118" w:type="dxa"/>
          </w:tcPr>
          <w:p w:rsidR="00425758" w:rsidRDefault="00425758">
            <w:pPr>
              <w:pStyle w:val="nTable"/>
              <w:spacing w:after="40"/>
              <w:rPr>
                <w:b/>
              </w:rPr>
            </w:pPr>
            <w:r>
              <w:rPr>
                <w:b/>
              </w:rPr>
              <w:t>Citation</w:t>
            </w:r>
          </w:p>
        </w:tc>
        <w:tc>
          <w:tcPr>
            <w:tcW w:w="1276" w:type="dxa"/>
          </w:tcPr>
          <w:p w:rsidR="00425758" w:rsidRDefault="00425758">
            <w:pPr>
              <w:pStyle w:val="nTable"/>
              <w:spacing w:after="40"/>
              <w:rPr>
                <w:b/>
              </w:rPr>
            </w:pPr>
            <w:r>
              <w:rPr>
                <w:b/>
              </w:rPr>
              <w:t>Published</w:t>
            </w:r>
          </w:p>
        </w:tc>
        <w:tc>
          <w:tcPr>
            <w:tcW w:w="2696" w:type="dxa"/>
          </w:tcPr>
          <w:p w:rsidR="00425758" w:rsidRDefault="00425758">
            <w:pPr>
              <w:pStyle w:val="nTable"/>
              <w:spacing w:after="40"/>
              <w:rPr>
                <w:b/>
              </w:rPr>
            </w:pPr>
            <w:r>
              <w:rPr>
                <w:b/>
              </w:rPr>
              <w:t>Commencement</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spacing w:after="40"/>
              <w:ind w:right="113"/>
            </w:pPr>
            <w:r>
              <w:rPr>
                <w:i/>
              </w:rPr>
              <w:t>Rules of the Supreme Court 1971</w:t>
            </w:r>
          </w:p>
        </w:tc>
        <w:tc>
          <w:tcPr>
            <w:tcW w:w="1276" w:type="dxa"/>
          </w:tcPr>
          <w:p w:rsidR="00425758" w:rsidRDefault="00425758">
            <w:pPr>
              <w:pStyle w:val="nTable"/>
              <w:spacing w:after="40"/>
            </w:pPr>
            <w:r>
              <w:t>18 Nov 1971 p. 4397</w:t>
            </w:r>
            <w:r>
              <w:noBreakHyphen/>
              <w:t>758</w:t>
            </w:r>
          </w:p>
        </w:tc>
        <w:tc>
          <w:tcPr>
            <w:tcW w:w="2696" w:type="dxa"/>
          </w:tcPr>
          <w:p w:rsidR="00425758" w:rsidRDefault="00425758">
            <w:pPr>
              <w:pStyle w:val="nTable"/>
              <w:spacing w:after="40"/>
            </w:pPr>
            <w:r>
              <w:t>14 Feb 1972 (see O. 1 r. 2(1))</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spacing w:after="40"/>
              <w:ind w:right="113"/>
            </w:pPr>
            <w:r>
              <w:t>Untitled rules</w:t>
            </w:r>
          </w:p>
        </w:tc>
        <w:tc>
          <w:tcPr>
            <w:tcW w:w="1276" w:type="dxa"/>
          </w:tcPr>
          <w:p w:rsidR="00425758" w:rsidRDefault="00425758">
            <w:pPr>
              <w:pStyle w:val="nTable"/>
              <w:spacing w:after="40"/>
            </w:pPr>
            <w:r>
              <w:t>17 Dec 1971 p. 5266</w:t>
            </w:r>
          </w:p>
        </w:tc>
        <w:tc>
          <w:tcPr>
            <w:tcW w:w="2696" w:type="dxa"/>
          </w:tcPr>
          <w:p w:rsidR="00425758" w:rsidRDefault="00425758">
            <w:pPr>
              <w:pStyle w:val="nTable"/>
              <w:spacing w:after="40"/>
            </w:pPr>
            <w:r>
              <w:t>14 Feb 1972 (see r. 1)</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spacing w:after="40"/>
              <w:ind w:right="113"/>
            </w:pPr>
            <w:r>
              <w:t>Untitled rules</w:t>
            </w:r>
          </w:p>
        </w:tc>
        <w:tc>
          <w:tcPr>
            <w:tcW w:w="1276" w:type="dxa"/>
          </w:tcPr>
          <w:p w:rsidR="00425758" w:rsidRDefault="00425758">
            <w:pPr>
              <w:pStyle w:val="nTable"/>
              <w:spacing w:after="40"/>
            </w:pPr>
            <w:r>
              <w:t xml:space="preserve">7 Jun 1972 </w:t>
            </w:r>
            <w:r>
              <w:br/>
              <w:t>p. 1703</w:t>
            </w:r>
          </w:p>
        </w:tc>
        <w:tc>
          <w:tcPr>
            <w:tcW w:w="2696" w:type="dxa"/>
          </w:tcPr>
          <w:p w:rsidR="00425758" w:rsidRDefault="00425758">
            <w:pPr>
              <w:pStyle w:val="nTable"/>
              <w:spacing w:after="40"/>
            </w:pPr>
            <w:r>
              <w:t>7 Jun 1972</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spacing w:after="40"/>
              <w:ind w:right="113"/>
            </w:pPr>
            <w:r>
              <w:t>Untitled rules</w:t>
            </w:r>
          </w:p>
        </w:tc>
        <w:tc>
          <w:tcPr>
            <w:tcW w:w="1276" w:type="dxa"/>
          </w:tcPr>
          <w:p w:rsidR="00425758" w:rsidRDefault="00425758">
            <w:pPr>
              <w:pStyle w:val="nTable"/>
              <w:spacing w:after="40"/>
            </w:pPr>
            <w:r>
              <w:t>15 Jun 1973 p. 2247</w:t>
            </w:r>
            <w:r>
              <w:noBreakHyphen/>
              <w:t>52</w:t>
            </w:r>
          </w:p>
        </w:tc>
        <w:tc>
          <w:tcPr>
            <w:tcW w:w="2696" w:type="dxa"/>
          </w:tcPr>
          <w:p w:rsidR="00425758" w:rsidRDefault="00425758">
            <w:pPr>
              <w:pStyle w:val="nTable"/>
              <w:spacing w:after="40"/>
            </w:pPr>
            <w:r>
              <w:t>15 Jun 1973</w:t>
            </w:r>
          </w:p>
        </w:tc>
      </w:tr>
      <w:tr w:rsidR="00425758">
        <w:tblPrEx>
          <w:tblBorders>
            <w:top w:val="none" w:sz="0" w:space="0" w:color="auto"/>
            <w:bottom w:val="none" w:sz="0" w:space="0" w:color="auto"/>
            <w:insideH w:val="none" w:sz="0" w:space="0" w:color="auto"/>
          </w:tblBorders>
        </w:tblPrEx>
        <w:tc>
          <w:tcPr>
            <w:tcW w:w="3118" w:type="dxa"/>
          </w:tcPr>
          <w:p w:rsidR="00425758" w:rsidRDefault="00425758">
            <w:pPr>
              <w:pStyle w:val="nTable"/>
              <w:spacing w:after="40"/>
            </w:pPr>
            <w:r>
              <w:t>Untitled rules</w:t>
            </w:r>
          </w:p>
        </w:tc>
        <w:tc>
          <w:tcPr>
            <w:tcW w:w="1276" w:type="dxa"/>
          </w:tcPr>
          <w:p w:rsidR="00425758" w:rsidRDefault="00425758">
            <w:pPr>
              <w:pStyle w:val="nTable"/>
              <w:spacing w:after="40"/>
            </w:pPr>
            <w:r>
              <w:t>10 Sep 1973</w:t>
            </w:r>
            <w:r>
              <w:br/>
              <w:t>p. 3425</w:t>
            </w:r>
            <w:r>
              <w:noBreakHyphen/>
              <w:t>36</w:t>
            </w:r>
          </w:p>
        </w:tc>
        <w:tc>
          <w:tcPr>
            <w:tcW w:w="2696" w:type="dxa"/>
          </w:tcPr>
          <w:p w:rsidR="00425758" w:rsidRDefault="00425758">
            <w:pPr>
              <w:pStyle w:val="nTable"/>
              <w:spacing w:after="40"/>
            </w:pPr>
            <w:r>
              <w:t>1 Oct 1973 (see r. 2)</w:t>
            </w:r>
          </w:p>
        </w:tc>
      </w:tr>
      <w:tr w:rsidR="00425758">
        <w:tblPrEx>
          <w:tblBorders>
            <w:top w:val="none" w:sz="0" w:space="0" w:color="auto"/>
            <w:bottom w:val="none" w:sz="0" w:space="0" w:color="auto"/>
            <w:insideH w:val="none" w:sz="0" w:space="0" w:color="auto"/>
          </w:tblBorders>
        </w:tblPrEx>
        <w:tc>
          <w:tcPr>
            <w:tcW w:w="3118" w:type="dxa"/>
          </w:tcPr>
          <w:p w:rsidR="00425758" w:rsidRDefault="00425758">
            <w:pPr>
              <w:pStyle w:val="nTable"/>
              <w:spacing w:after="40"/>
            </w:pPr>
            <w:r>
              <w:t>Untitled rules</w:t>
            </w:r>
          </w:p>
        </w:tc>
        <w:tc>
          <w:tcPr>
            <w:tcW w:w="1276" w:type="dxa"/>
          </w:tcPr>
          <w:p w:rsidR="00425758" w:rsidRDefault="00425758">
            <w:pPr>
              <w:pStyle w:val="nTable"/>
              <w:spacing w:after="40"/>
            </w:pPr>
            <w:r>
              <w:t>9 Nov 1973</w:t>
            </w:r>
            <w:r>
              <w:br/>
              <w:t>p. 4162</w:t>
            </w:r>
            <w:r>
              <w:noBreakHyphen/>
              <w:t>6</w:t>
            </w:r>
          </w:p>
        </w:tc>
        <w:tc>
          <w:tcPr>
            <w:tcW w:w="2696" w:type="dxa"/>
          </w:tcPr>
          <w:p w:rsidR="00425758" w:rsidRDefault="00425758">
            <w:pPr>
              <w:pStyle w:val="nTable"/>
              <w:spacing w:after="40"/>
            </w:pPr>
            <w:r>
              <w:t>Rules other than r. 5 and 6: 9 Nov 1973 (see r. 2(1));</w:t>
            </w:r>
            <w:r>
              <w:br/>
              <w:t xml:space="preserve">r. 5 and 6: 1 Jan 1974 (see r. 2(2) and </w:t>
            </w:r>
            <w:r>
              <w:rPr>
                <w:i/>
              </w:rPr>
              <w:t>Gazette</w:t>
            </w:r>
            <w:r>
              <w:t xml:space="preserve"> 14 Dec 1973 p. 4528)</w:t>
            </w:r>
          </w:p>
        </w:tc>
      </w:tr>
      <w:tr w:rsidR="00425758">
        <w:tblPrEx>
          <w:tblBorders>
            <w:top w:val="none" w:sz="0" w:space="0" w:color="auto"/>
            <w:bottom w:val="none" w:sz="0" w:space="0" w:color="auto"/>
            <w:insideH w:val="none" w:sz="0" w:space="0" w:color="auto"/>
          </w:tblBorders>
        </w:tblPrEx>
        <w:tc>
          <w:tcPr>
            <w:tcW w:w="3118" w:type="dxa"/>
          </w:tcPr>
          <w:p w:rsidR="00425758" w:rsidRDefault="00425758">
            <w:pPr>
              <w:pStyle w:val="nTable"/>
              <w:spacing w:after="40"/>
            </w:pPr>
            <w:r>
              <w:t>Untitled rules</w:t>
            </w:r>
          </w:p>
        </w:tc>
        <w:tc>
          <w:tcPr>
            <w:tcW w:w="1276" w:type="dxa"/>
          </w:tcPr>
          <w:p w:rsidR="00425758" w:rsidRDefault="00425758">
            <w:pPr>
              <w:pStyle w:val="nTable"/>
              <w:spacing w:after="40"/>
            </w:pPr>
            <w:r>
              <w:t>7 Dec 1973</w:t>
            </w:r>
            <w:r>
              <w:br/>
              <w:t>p. 4488</w:t>
            </w:r>
            <w:r>
              <w:noBreakHyphen/>
              <w:t>9</w:t>
            </w:r>
          </w:p>
        </w:tc>
        <w:tc>
          <w:tcPr>
            <w:tcW w:w="2696" w:type="dxa"/>
          </w:tcPr>
          <w:p w:rsidR="00425758" w:rsidRDefault="00425758">
            <w:pPr>
              <w:pStyle w:val="nTable"/>
              <w:spacing w:after="40"/>
            </w:pPr>
            <w:r>
              <w:t>1 Jan 1974 (see r. 2)</w:t>
            </w:r>
          </w:p>
        </w:tc>
      </w:tr>
      <w:tr w:rsidR="00425758">
        <w:tblPrEx>
          <w:tblBorders>
            <w:top w:val="none" w:sz="0" w:space="0" w:color="auto"/>
            <w:bottom w:val="none" w:sz="0" w:space="0" w:color="auto"/>
            <w:insideH w:val="none" w:sz="0" w:space="0" w:color="auto"/>
          </w:tblBorders>
        </w:tblPrEx>
        <w:tc>
          <w:tcPr>
            <w:tcW w:w="3118" w:type="dxa"/>
          </w:tcPr>
          <w:p w:rsidR="00425758" w:rsidRDefault="00425758">
            <w:pPr>
              <w:pStyle w:val="nTable"/>
              <w:spacing w:after="40"/>
            </w:pPr>
            <w:r>
              <w:t>Untitled rules</w:t>
            </w:r>
          </w:p>
        </w:tc>
        <w:tc>
          <w:tcPr>
            <w:tcW w:w="1276" w:type="dxa"/>
          </w:tcPr>
          <w:p w:rsidR="00425758" w:rsidRDefault="00425758">
            <w:pPr>
              <w:pStyle w:val="nTable"/>
              <w:spacing w:after="40"/>
            </w:pPr>
            <w:r>
              <w:t>29 Mar 1974</w:t>
            </w:r>
            <w:r>
              <w:br/>
              <w:t>p. 1037</w:t>
            </w:r>
            <w:r>
              <w:noBreakHyphen/>
              <w:t>40</w:t>
            </w:r>
          </w:p>
        </w:tc>
        <w:tc>
          <w:tcPr>
            <w:tcW w:w="2696" w:type="dxa"/>
          </w:tcPr>
          <w:p w:rsidR="00425758" w:rsidRDefault="00425758">
            <w:pPr>
              <w:pStyle w:val="nTable"/>
              <w:spacing w:after="40"/>
            </w:pPr>
            <w:r>
              <w:t>15 Apr 1974 (see r. 2)</w:t>
            </w:r>
          </w:p>
        </w:tc>
      </w:tr>
      <w:tr w:rsidR="00425758">
        <w:tblPrEx>
          <w:tblBorders>
            <w:top w:val="none" w:sz="0" w:space="0" w:color="auto"/>
            <w:bottom w:val="none" w:sz="0" w:space="0" w:color="auto"/>
            <w:insideH w:val="none" w:sz="0" w:space="0" w:color="auto"/>
          </w:tblBorders>
        </w:tblPrEx>
        <w:trPr>
          <w:cantSplit/>
          <w:trHeight w:val="1245"/>
        </w:trPr>
        <w:tc>
          <w:tcPr>
            <w:tcW w:w="3118" w:type="dxa"/>
            <w:tcBorders>
              <w:bottom w:val="nil"/>
            </w:tcBorders>
          </w:tcPr>
          <w:p w:rsidR="00425758" w:rsidRDefault="00425758">
            <w:pPr>
              <w:pStyle w:val="nTable"/>
              <w:spacing w:after="40"/>
            </w:pPr>
            <w:r>
              <w:t>Untitled rules</w:t>
            </w:r>
          </w:p>
        </w:tc>
        <w:tc>
          <w:tcPr>
            <w:tcW w:w="1276" w:type="dxa"/>
            <w:tcBorders>
              <w:bottom w:val="nil"/>
            </w:tcBorders>
          </w:tcPr>
          <w:p w:rsidR="00425758" w:rsidRDefault="00425758">
            <w:pPr>
              <w:pStyle w:val="nTable"/>
              <w:spacing w:after="40"/>
            </w:pPr>
            <w:r>
              <w:t>29 Mar 1974</w:t>
            </w:r>
            <w:r>
              <w:br/>
              <w:t>p. 1041</w:t>
            </w:r>
            <w:r>
              <w:noBreakHyphen/>
              <w:t>2</w:t>
            </w:r>
            <w:r>
              <w:br/>
              <w:t>(erratum 5 Apr 1974 p. 1195)</w:t>
            </w:r>
          </w:p>
        </w:tc>
        <w:tc>
          <w:tcPr>
            <w:tcW w:w="2696" w:type="dxa"/>
            <w:tcBorders>
              <w:bottom w:val="nil"/>
            </w:tcBorders>
          </w:tcPr>
          <w:p w:rsidR="00425758" w:rsidRDefault="00425758">
            <w:pPr>
              <w:pStyle w:val="nTable"/>
              <w:spacing w:after="40"/>
            </w:pPr>
            <w:r>
              <w:t>29 Mar 1974</w:t>
            </w:r>
          </w:p>
        </w:tc>
      </w:tr>
      <w:tr w:rsidR="00425758">
        <w:tblPrEx>
          <w:tblBorders>
            <w:top w:val="none" w:sz="0" w:space="0" w:color="auto"/>
            <w:bottom w:val="none" w:sz="0" w:space="0" w:color="auto"/>
            <w:insideH w:val="none" w:sz="0" w:space="0" w:color="auto"/>
          </w:tblBorders>
        </w:tblPrEx>
        <w:tc>
          <w:tcPr>
            <w:tcW w:w="3118" w:type="dxa"/>
          </w:tcPr>
          <w:p w:rsidR="00425758" w:rsidRDefault="00425758">
            <w:pPr>
              <w:pStyle w:val="nTable"/>
              <w:spacing w:after="40"/>
            </w:pPr>
            <w:r>
              <w:rPr>
                <w:i/>
              </w:rPr>
              <w:t>Supreme Court (Costs) Rules 1974</w:t>
            </w:r>
          </w:p>
        </w:tc>
        <w:tc>
          <w:tcPr>
            <w:tcW w:w="1276" w:type="dxa"/>
          </w:tcPr>
          <w:p w:rsidR="00425758" w:rsidRDefault="00425758">
            <w:pPr>
              <w:pStyle w:val="nTable"/>
              <w:spacing w:after="40"/>
            </w:pPr>
            <w:r>
              <w:t>30 Aug 1974</w:t>
            </w:r>
            <w:r>
              <w:br/>
              <w:t>p. 3242</w:t>
            </w:r>
            <w:r>
              <w:noBreakHyphen/>
              <w:t>3</w:t>
            </w:r>
          </w:p>
        </w:tc>
        <w:tc>
          <w:tcPr>
            <w:tcW w:w="2696" w:type="dxa"/>
          </w:tcPr>
          <w:p w:rsidR="00425758" w:rsidRDefault="00425758">
            <w:pPr>
              <w:pStyle w:val="nTable"/>
              <w:spacing w:after="40"/>
            </w:pPr>
            <w:r>
              <w:t>30 Aug 1974 (see r. 1)</w:t>
            </w:r>
          </w:p>
        </w:tc>
      </w:tr>
      <w:tr w:rsidR="00425758">
        <w:tblPrEx>
          <w:tblBorders>
            <w:top w:val="none" w:sz="0" w:space="0" w:color="auto"/>
            <w:bottom w:val="none" w:sz="0" w:space="0" w:color="auto"/>
            <w:insideH w:val="none" w:sz="0" w:space="0" w:color="auto"/>
          </w:tblBorders>
        </w:tblPrEx>
        <w:tc>
          <w:tcPr>
            <w:tcW w:w="3118" w:type="dxa"/>
          </w:tcPr>
          <w:p w:rsidR="00425758" w:rsidRDefault="00425758">
            <w:pPr>
              <w:pStyle w:val="nTable"/>
              <w:spacing w:after="40"/>
            </w:pPr>
            <w:r>
              <w:t>Untitled rules</w:t>
            </w:r>
          </w:p>
        </w:tc>
        <w:tc>
          <w:tcPr>
            <w:tcW w:w="1276" w:type="dxa"/>
          </w:tcPr>
          <w:p w:rsidR="00425758" w:rsidRDefault="00425758">
            <w:pPr>
              <w:pStyle w:val="nTable"/>
              <w:spacing w:after="40"/>
            </w:pPr>
            <w:r>
              <w:t>10 Jan 1975</w:t>
            </w:r>
            <w:r>
              <w:br/>
              <w:t>p. 50</w:t>
            </w:r>
            <w:r>
              <w:noBreakHyphen/>
              <w:t>5</w:t>
            </w:r>
          </w:p>
        </w:tc>
        <w:tc>
          <w:tcPr>
            <w:tcW w:w="2696" w:type="dxa"/>
          </w:tcPr>
          <w:p w:rsidR="00425758" w:rsidRDefault="00425758">
            <w:pPr>
              <w:pStyle w:val="nTable"/>
              <w:spacing w:after="40"/>
            </w:pPr>
            <w:r>
              <w:t xml:space="preserve">1 Mar 1975 (see r. 2 and </w:t>
            </w:r>
            <w:r>
              <w:rPr>
                <w:i/>
              </w:rPr>
              <w:t>Gazette</w:t>
            </w:r>
            <w:r>
              <w:t xml:space="preserve"> 14 Feb 1975 p. 505)</w:t>
            </w:r>
          </w:p>
        </w:tc>
      </w:tr>
      <w:tr w:rsidR="00425758">
        <w:tblPrEx>
          <w:tblBorders>
            <w:top w:val="none" w:sz="0" w:space="0" w:color="auto"/>
            <w:bottom w:val="none" w:sz="0" w:space="0" w:color="auto"/>
            <w:insideH w:val="none" w:sz="0" w:space="0" w:color="auto"/>
          </w:tblBorders>
        </w:tblPrEx>
        <w:tc>
          <w:tcPr>
            <w:tcW w:w="3118" w:type="dxa"/>
          </w:tcPr>
          <w:p w:rsidR="00425758" w:rsidRDefault="00425758">
            <w:pPr>
              <w:pStyle w:val="nTable"/>
              <w:spacing w:after="40"/>
            </w:pPr>
            <w:r>
              <w:t>Untitled rules</w:t>
            </w:r>
          </w:p>
        </w:tc>
        <w:tc>
          <w:tcPr>
            <w:tcW w:w="1276" w:type="dxa"/>
          </w:tcPr>
          <w:p w:rsidR="00425758" w:rsidRDefault="00425758">
            <w:pPr>
              <w:pStyle w:val="nTable"/>
              <w:spacing w:after="40"/>
            </w:pPr>
            <w:r>
              <w:t>23 May 1975</w:t>
            </w:r>
            <w:r>
              <w:br/>
              <w:t>p. 1404</w:t>
            </w:r>
          </w:p>
        </w:tc>
        <w:tc>
          <w:tcPr>
            <w:tcW w:w="2696" w:type="dxa"/>
          </w:tcPr>
          <w:p w:rsidR="00425758" w:rsidRDefault="00425758">
            <w:pPr>
              <w:pStyle w:val="nTable"/>
              <w:spacing w:after="40"/>
            </w:pPr>
            <w:r>
              <w:t>1 Jun 1975 (see r. 2)</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spacing w:after="40"/>
            </w:pPr>
            <w:r>
              <w:t>Untitled rules</w:t>
            </w:r>
          </w:p>
        </w:tc>
        <w:tc>
          <w:tcPr>
            <w:tcW w:w="1276" w:type="dxa"/>
          </w:tcPr>
          <w:p w:rsidR="00425758" w:rsidRDefault="00425758">
            <w:pPr>
              <w:pStyle w:val="nTable"/>
              <w:spacing w:after="40"/>
            </w:pPr>
            <w:r>
              <w:t>3 Oct 1975</w:t>
            </w:r>
            <w:r>
              <w:br/>
              <w:t>p. 3769</w:t>
            </w:r>
            <w:r>
              <w:noBreakHyphen/>
              <w:t>71</w:t>
            </w:r>
          </w:p>
        </w:tc>
        <w:tc>
          <w:tcPr>
            <w:tcW w:w="2696" w:type="dxa"/>
          </w:tcPr>
          <w:p w:rsidR="00425758" w:rsidRDefault="00425758">
            <w:pPr>
              <w:pStyle w:val="nTable"/>
              <w:spacing w:after="40"/>
            </w:pPr>
            <w:r>
              <w:t>1 Nov 1975 (see r. 2)</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spacing w:after="40"/>
            </w:pPr>
            <w:r>
              <w:lastRenderedPageBreak/>
              <w:t>Untitled rules</w:t>
            </w:r>
          </w:p>
        </w:tc>
        <w:tc>
          <w:tcPr>
            <w:tcW w:w="1276" w:type="dxa"/>
          </w:tcPr>
          <w:p w:rsidR="00425758" w:rsidRDefault="00425758">
            <w:pPr>
              <w:pStyle w:val="nTable"/>
              <w:spacing w:after="40"/>
            </w:pPr>
            <w:r>
              <w:t>19 Dec 1975</w:t>
            </w:r>
            <w:r>
              <w:br/>
              <w:t>p. 4571</w:t>
            </w:r>
            <w:r>
              <w:noBreakHyphen/>
              <w:t>7</w:t>
            </w:r>
          </w:p>
        </w:tc>
        <w:tc>
          <w:tcPr>
            <w:tcW w:w="2696" w:type="dxa"/>
          </w:tcPr>
          <w:p w:rsidR="00425758" w:rsidRDefault="00425758">
            <w:pPr>
              <w:pStyle w:val="nTable"/>
              <w:spacing w:after="40"/>
            </w:pPr>
            <w:r>
              <w:t>1 Jan 1976 (see r. 2)</w:t>
            </w:r>
          </w:p>
        </w:tc>
      </w:tr>
      <w:tr w:rsidR="00425758">
        <w:tblPrEx>
          <w:tblBorders>
            <w:top w:val="none" w:sz="0" w:space="0" w:color="auto"/>
            <w:bottom w:val="none" w:sz="0" w:space="0" w:color="auto"/>
            <w:insideH w:val="none" w:sz="0" w:space="0" w:color="auto"/>
          </w:tblBorders>
        </w:tblPrEx>
        <w:tc>
          <w:tcPr>
            <w:tcW w:w="3118" w:type="dxa"/>
          </w:tcPr>
          <w:p w:rsidR="00425758" w:rsidRDefault="00425758">
            <w:pPr>
              <w:pStyle w:val="nTable"/>
              <w:spacing w:after="40"/>
            </w:pPr>
            <w:r>
              <w:t>Untitled rules</w:t>
            </w:r>
          </w:p>
        </w:tc>
        <w:tc>
          <w:tcPr>
            <w:tcW w:w="1276" w:type="dxa"/>
          </w:tcPr>
          <w:p w:rsidR="00425758" w:rsidRDefault="00425758">
            <w:pPr>
              <w:pStyle w:val="nTable"/>
              <w:keepLines/>
              <w:spacing w:after="40"/>
            </w:pPr>
            <w:r>
              <w:t>2 Apr 1976</w:t>
            </w:r>
            <w:r>
              <w:br/>
              <w:t>p. 1039</w:t>
            </w:r>
            <w:r>
              <w:noBreakHyphen/>
              <w:t>41</w:t>
            </w:r>
          </w:p>
        </w:tc>
        <w:tc>
          <w:tcPr>
            <w:tcW w:w="2696" w:type="dxa"/>
          </w:tcPr>
          <w:p w:rsidR="00425758" w:rsidRDefault="00425758">
            <w:pPr>
              <w:pStyle w:val="nTable"/>
              <w:spacing w:after="40"/>
            </w:pPr>
            <w:r>
              <w:t>2 Apr 1976 (see r. 2)</w:t>
            </w:r>
          </w:p>
        </w:tc>
      </w:tr>
      <w:tr w:rsidR="00425758">
        <w:tblPrEx>
          <w:tblBorders>
            <w:top w:val="none" w:sz="0" w:space="0" w:color="auto"/>
            <w:bottom w:val="none" w:sz="0" w:space="0" w:color="auto"/>
            <w:insideH w:val="none" w:sz="0" w:space="0" w:color="auto"/>
          </w:tblBorders>
        </w:tblPrEx>
        <w:tc>
          <w:tcPr>
            <w:tcW w:w="3118" w:type="dxa"/>
          </w:tcPr>
          <w:p w:rsidR="00425758" w:rsidRDefault="00425758">
            <w:pPr>
              <w:pStyle w:val="nTable"/>
              <w:spacing w:after="40"/>
            </w:pPr>
            <w:r>
              <w:t>Untitled rules</w:t>
            </w:r>
          </w:p>
        </w:tc>
        <w:tc>
          <w:tcPr>
            <w:tcW w:w="1276" w:type="dxa"/>
          </w:tcPr>
          <w:p w:rsidR="00425758" w:rsidRDefault="00425758">
            <w:pPr>
              <w:pStyle w:val="nTable"/>
              <w:keepNext/>
              <w:keepLines/>
              <w:spacing w:after="40"/>
            </w:pPr>
            <w:r>
              <w:t>14 May 1976</w:t>
            </w:r>
            <w:r>
              <w:br/>
              <w:t>p. 1431</w:t>
            </w:r>
          </w:p>
        </w:tc>
        <w:tc>
          <w:tcPr>
            <w:tcW w:w="2696" w:type="dxa"/>
          </w:tcPr>
          <w:p w:rsidR="00425758" w:rsidRDefault="00425758">
            <w:pPr>
              <w:pStyle w:val="nTable"/>
              <w:keepNext/>
              <w:keepLines/>
              <w:spacing w:after="40"/>
            </w:pPr>
            <w:r>
              <w:t>1 Jun 1976 (see r. 2)</w:t>
            </w:r>
          </w:p>
        </w:tc>
      </w:tr>
      <w:tr w:rsidR="00425758">
        <w:tblPrEx>
          <w:tblBorders>
            <w:top w:val="none" w:sz="0" w:space="0" w:color="auto"/>
            <w:bottom w:val="none" w:sz="0" w:space="0" w:color="auto"/>
            <w:insideH w:val="none" w:sz="0" w:space="0" w:color="auto"/>
          </w:tblBorders>
        </w:tblPrEx>
        <w:trPr>
          <w:cantSplit/>
        </w:trPr>
        <w:tc>
          <w:tcPr>
            <w:tcW w:w="7090" w:type="dxa"/>
            <w:gridSpan w:val="3"/>
          </w:tcPr>
          <w:p w:rsidR="00425758" w:rsidRDefault="00425758">
            <w:pPr>
              <w:pStyle w:val="nTable"/>
              <w:keepNext/>
              <w:keepLines/>
              <w:spacing w:after="40"/>
            </w:pPr>
            <w:r>
              <w:rPr>
                <w:b/>
              </w:rPr>
              <w:t xml:space="preserve">Reprint of the </w:t>
            </w:r>
            <w:r>
              <w:rPr>
                <w:b/>
                <w:i/>
              </w:rPr>
              <w:t>Rules of the Supreme Court 1971</w:t>
            </w:r>
            <w:r>
              <w:rPr>
                <w:b/>
              </w:rPr>
              <w:t xml:space="preserve"> dated 25 May 1976</w:t>
            </w:r>
            <w:r>
              <w:t xml:space="preserve"> (see </w:t>
            </w:r>
            <w:r>
              <w:rPr>
                <w:i/>
              </w:rPr>
              <w:t>Gazette</w:t>
            </w:r>
            <w:r>
              <w:t xml:space="preserve"> 9 Aug 1976 p. 2725</w:t>
            </w:r>
            <w:r>
              <w:noBreakHyphen/>
              <w:t xml:space="preserve">3030) (includes amendments listed above except those in </w:t>
            </w:r>
            <w:r>
              <w:rPr>
                <w:i/>
              </w:rPr>
              <w:t>Gazette</w:t>
            </w:r>
            <w:r>
              <w:t xml:space="preserve"> 14 May 1976)</w:t>
            </w:r>
          </w:p>
        </w:tc>
      </w:tr>
      <w:tr w:rsidR="00425758">
        <w:tblPrEx>
          <w:tblBorders>
            <w:top w:val="none" w:sz="0" w:space="0" w:color="auto"/>
            <w:bottom w:val="none" w:sz="0" w:space="0" w:color="auto"/>
            <w:insideH w:val="none" w:sz="0" w:space="0" w:color="auto"/>
          </w:tblBorders>
        </w:tblPrEx>
        <w:tc>
          <w:tcPr>
            <w:tcW w:w="3118" w:type="dxa"/>
          </w:tcPr>
          <w:p w:rsidR="00425758" w:rsidRDefault="00425758">
            <w:pPr>
              <w:pStyle w:val="nTable"/>
              <w:widowControl w:val="0"/>
              <w:spacing w:after="40"/>
            </w:pPr>
            <w:r>
              <w:t>Untitled rules</w:t>
            </w:r>
          </w:p>
        </w:tc>
        <w:tc>
          <w:tcPr>
            <w:tcW w:w="1276" w:type="dxa"/>
          </w:tcPr>
          <w:p w:rsidR="00425758" w:rsidRDefault="00425758">
            <w:pPr>
              <w:pStyle w:val="nTable"/>
              <w:spacing w:after="40"/>
            </w:pPr>
            <w:r>
              <w:t>27 Aug 1976</w:t>
            </w:r>
            <w:r>
              <w:br/>
              <w:t>p. 3223</w:t>
            </w:r>
            <w:r>
              <w:noBreakHyphen/>
              <w:t>6</w:t>
            </w:r>
          </w:p>
        </w:tc>
        <w:tc>
          <w:tcPr>
            <w:tcW w:w="2696" w:type="dxa"/>
          </w:tcPr>
          <w:p w:rsidR="00425758" w:rsidRDefault="00425758">
            <w:pPr>
              <w:pStyle w:val="nTable"/>
              <w:spacing w:after="40"/>
            </w:pPr>
            <w:r>
              <w:t>13 Sep 1976 (see r. 2)</w:t>
            </w:r>
          </w:p>
        </w:tc>
      </w:tr>
      <w:tr w:rsidR="00425758">
        <w:tblPrEx>
          <w:tblBorders>
            <w:top w:val="none" w:sz="0" w:space="0" w:color="auto"/>
            <w:bottom w:val="none" w:sz="0" w:space="0" w:color="auto"/>
            <w:insideH w:val="none" w:sz="0" w:space="0" w:color="auto"/>
          </w:tblBorders>
        </w:tblPrEx>
        <w:tc>
          <w:tcPr>
            <w:tcW w:w="3118" w:type="dxa"/>
          </w:tcPr>
          <w:p w:rsidR="00425758" w:rsidRDefault="00425758">
            <w:pPr>
              <w:pStyle w:val="nTable"/>
              <w:spacing w:after="40"/>
            </w:pPr>
            <w:r>
              <w:t>Untitled rules</w:t>
            </w:r>
          </w:p>
        </w:tc>
        <w:tc>
          <w:tcPr>
            <w:tcW w:w="1276" w:type="dxa"/>
          </w:tcPr>
          <w:p w:rsidR="00425758" w:rsidRDefault="00425758">
            <w:pPr>
              <w:pStyle w:val="nTable"/>
              <w:spacing w:after="40"/>
            </w:pPr>
            <w:r>
              <w:t>12 Nov 1976</w:t>
            </w:r>
            <w:r>
              <w:br/>
              <w:t>p. 4275</w:t>
            </w:r>
            <w:r>
              <w:noBreakHyphen/>
              <w:t>7</w:t>
            </w:r>
          </w:p>
        </w:tc>
        <w:tc>
          <w:tcPr>
            <w:tcW w:w="2696" w:type="dxa"/>
          </w:tcPr>
          <w:p w:rsidR="00425758" w:rsidRDefault="00425758">
            <w:pPr>
              <w:pStyle w:val="nTable"/>
              <w:spacing w:after="40"/>
            </w:pPr>
            <w:r>
              <w:t xml:space="preserve">17 Jun 1977 (see r. 2 and </w:t>
            </w:r>
            <w:r>
              <w:rPr>
                <w:i/>
              </w:rPr>
              <w:t>Gazette</w:t>
            </w:r>
            <w:r>
              <w:t xml:space="preserve"> 17 Jun 1977 p. 1811)</w:t>
            </w:r>
          </w:p>
        </w:tc>
      </w:tr>
      <w:tr w:rsidR="00425758">
        <w:tblPrEx>
          <w:tblBorders>
            <w:top w:val="none" w:sz="0" w:space="0" w:color="auto"/>
            <w:bottom w:val="none" w:sz="0" w:space="0" w:color="auto"/>
            <w:insideH w:val="none" w:sz="0" w:space="0" w:color="auto"/>
          </w:tblBorders>
        </w:tblPrEx>
        <w:tc>
          <w:tcPr>
            <w:tcW w:w="3118" w:type="dxa"/>
          </w:tcPr>
          <w:p w:rsidR="00425758" w:rsidRDefault="00425758">
            <w:pPr>
              <w:pStyle w:val="nTable"/>
              <w:spacing w:after="40"/>
            </w:pPr>
            <w:r>
              <w:t>Untitled rules</w:t>
            </w:r>
          </w:p>
        </w:tc>
        <w:tc>
          <w:tcPr>
            <w:tcW w:w="1276" w:type="dxa"/>
          </w:tcPr>
          <w:p w:rsidR="00425758" w:rsidRDefault="00425758">
            <w:pPr>
              <w:pStyle w:val="nTable"/>
              <w:spacing w:after="40"/>
            </w:pPr>
            <w:r>
              <w:t>24 Jun 1977</w:t>
            </w:r>
            <w:r>
              <w:br/>
              <w:t>p. 1914</w:t>
            </w:r>
            <w:r>
              <w:noBreakHyphen/>
              <w:t>16</w:t>
            </w:r>
          </w:p>
        </w:tc>
        <w:tc>
          <w:tcPr>
            <w:tcW w:w="2696" w:type="dxa"/>
          </w:tcPr>
          <w:p w:rsidR="00425758" w:rsidRDefault="00425758">
            <w:pPr>
              <w:pStyle w:val="nTable"/>
              <w:spacing w:after="40"/>
            </w:pPr>
            <w:r>
              <w:t>1 Sep 1977 (see r. 2)</w:t>
            </w:r>
          </w:p>
        </w:tc>
      </w:tr>
      <w:tr w:rsidR="00425758">
        <w:tblPrEx>
          <w:tblBorders>
            <w:top w:val="none" w:sz="0" w:space="0" w:color="auto"/>
            <w:bottom w:val="none" w:sz="0" w:space="0" w:color="auto"/>
            <w:insideH w:val="none" w:sz="0" w:space="0" w:color="auto"/>
          </w:tblBorders>
        </w:tblPrEx>
        <w:tc>
          <w:tcPr>
            <w:tcW w:w="3118" w:type="dxa"/>
          </w:tcPr>
          <w:p w:rsidR="00425758" w:rsidRDefault="00425758">
            <w:pPr>
              <w:pStyle w:val="nTable"/>
              <w:spacing w:after="40"/>
            </w:pPr>
            <w:r>
              <w:t>Untitled rules</w:t>
            </w:r>
          </w:p>
        </w:tc>
        <w:tc>
          <w:tcPr>
            <w:tcW w:w="1276" w:type="dxa"/>
          </w:tcPr>
          <w:p w:rsidR="00425758" w:rsidRDefault="00425758">
            <w:pPr>
              <w:pStyle w:val="nTable"/>
              <w:spacing w:after="40"/>
            </w:pPr>
            <w:r>
              <w:t>7 Oct 1977</w:t>
            </w:r>
            <w:r>
              <w:br/>
              <w:t>p. 3602</w:t>
            </w:r>
            <w:r>
              <w:noBreakHyphen/>
              <w:t>3</w:t>
            </w:r>
          </w:p>
        </w:tc>
        <w:tc>
          <w:tcPr>
            <w:tcW w:w="2696" w:type="dxa"/>
          </w:tcPr>
          <w:p w:rsidR="00425758" w:rsidRDefault="00425758">
            <w:pPr>
              <w:pStyle w:val="nTable"/>
              <w:spacing w:after="40"/>
            </w:pPr>
            <w:r>
              <w:t>1 Nov 1977 (see r. 2)</w:t>
            </w:r>
          </w:p>
        </w:tc>
      </w:tr>
      <w:tr w:rsidR="00425758">
        <w:tblPrEx>
          <w:tblBorders>
            <w:top w:val="none" w:sz="0" w:space="0" w:color="auto"/>
            <w:bottom w:val="none" w:sz="0" w:space="0" w:color="auto"/>
            <w:insideH w:val="none" w:sz="0" w:space="0" w:color="auto"/>
          </w:tblBorders>
        </w:tblPrEx>
        <w:tc>
          <w:tcPr>
            <w:tcW w:w="3118" w:type="dxa"/>
          </w:tcPr>
          <w:p w:rsidR="00425758" w:rsidRDefault="00425758">
            <w:pPr>
              <w:pStyle w:val="nTable"/>
              <w:spacing w:after="40"/>
              <w:rPr>
                <w:i/>
              </w:rPr>
            </w:pPr>
            <w:r>
              <w:rPr>
                <w:i/>
              </w:rPr>
              <w:t>Supreme Court (Costs) Rules 1978</w:t>
            </w:r>
          </w:p>
        </w:tc>
        <w:tc>
          <w:tcPr>
            <w:tcW w:w="1276" w:type="dxa"/>
          </w:tcPr>
          <w:p w:rsidR="00425758" w:rsidRDefault="00425758">
            <w:pPr>
              <w:pStyle w:val="nTable"/>
              <w:spacing w:after="40"/>
            </w:pPr>
            <w:r>
              <w:t>13 Jan 1978</w:t>
            </w:r>
            <w:r>
              <w:br/>
              <w:t>p. 117</w:t>
            </w:r>
          </w:p>
        </w:tc>
        <w:tc>
          <w:tcPr>
            <w:tcW w:w="2696" w:type="dxa"/>
          </w:tcPr>
          <w:p w:rsidR="00425758" w:rsidRDefault="00425758">
            <w:pPr>
              <w:pStyle w:val="nTable"/>
              <w:spacing w:after="40"/>
            </w:pPr>
            <w:r>
              <w:t>13 Jan 1978 (see r. 2)</w:t>
            </w:r>
          </w:p>
        </w:tc>
      </w:tr>
      <w:tr w:rsidR="00425758">
        <w:tblPrEx>
          <w:tblBorders>
            <w:top w:val="none" w:sz="0" w:space="0" w:color="auto"/>
            <w:bottom w:val="none" w:sz="0" w:space="0" w:color="auto"/>
            <w:insideH w:val="none" w:sz="0" w:space="0" w:color="auto"/>
          </w:tblBorders>
        </w:tblPrEx>
        <w:tc>
          <w:tcPr>
            <w:tcW w:w="3118" w:type="dxa"/>
          </w:tcPr>
          <w:p w:rsidR="00425758" w:rsidRDefault="00425758">
            <w:pPr>
              <w:pStyle w:val="nTable"/>
              <w:spacing w:after="40"/>
            </w:pPr>
            <w:r>
              <w:t>Untitled rules</w:t>
            </w:r>
          </w:p>
        </w:tc>
        <w:tc>
          <w:tcPr>
            <w:tcW w:w="1276" w:type="dxa"/>
          </w:tcPr>
          <w:p w:rsidR="00425758" w:rsidRDefault="00425758">
            <w:pPr>
              <w:pStyle w:val="nTable"/>
              <w:spacing w:after="40"/>
            </w:pPr>
            <w:r>
              <w:t>23 Jun 1978</w:t>
            </w:r>
            <w:r>
              <w:br/>
              <w:t>p. 2025</w:t>
            </w:r>
            <w:r>
              <w:noBreakHyphen/>
              <w:t>30</w:t>
            </w:r>
          </w:p>
        </w:tc>
        <w:tc>
          <w:tcPr>
            <w:tcW w:w="2696" w:type="dxa"/>
          </w:tcPr>
          <w:p w:rsidR="00425758" w:rsidRDefault="00425758">
            <w:pPr>
              <w:pStyle w:val="nTable"/>
              <w:spacing w:after="40"/>
            </w:pPr>
            <w:r>
              <w:t>1 Aug 1978 (see r. 2)</w:t>
            </w:r>
          </w:p>
        </w:tc>
      </w:tr>
      <w:tr w:rsidR="00425758">
        <w:tblPrEx>
          <w:tblBorders>
            <w:top w:val="none" w:sz="0" w:space="0" w:color="auto"/>
            <w:bottom w:val="none" w:sz="0" w:space="0" w:color="auto"/>
            <w:insideH w:val="none" w:sz="0" w:space="0" w:color="auto"/>
          </w:tblBorders>
        </w:tblPrEx>
        <w:tc>
          <w:tcPr>
            <w:tcW w:w="3118" w:type="dxa"/>
          </w:tcPr>
          <w:p w:rsidR="00425758" w:rsidRDefault="00425758">
            <w:pPr>
              <w:pStyle w:val="nTable"/>
              <w:spacing w:after="40"/>
            </w:pPr>
            <w:r>
              <w:t>Untitled rules</w:t>
            </w:r>
          </w:p>
        </w:tc>
        <w:tc>
          <w:tcPr>
            <w:tcW w:w="1276" w:type="dxa"/>
          </w:tcPr>
          <w:p w:rsidR="00425758" w:rsidRDefault="00425758">
            <w:pPr>
              <w:pStyle w:val="nTable"/>
              <w:spacing w:after="40"/>
            </w:pPr>
            <w:r>
              <w:t>13 Oct 1978</w:t>
            </w:r>
            <w:r>
              <w:br/>
              <w:t>p. 3698</w:t>
            </w:r>
            <w:r>
              <w:noBreakHyphen/>
              <w:t>704</w:t>
            </w:r>
          </w:p>
        </w:tc>
        <w:tc>
          <w:tcPr>
            <w:tcW w:w="2696" w:type="dxa"/>
          </w:tcPr>
          <w:p w:rsidR="00425758" w:rsidRDefault="00425758">
            <w:pPr>
              <w:pStyle w:val="nTable"/>
              <w:spacing w:after="40"/>
            </w:pPr>
            <w:r>
              <w:t>Rules other than r. 3</w:t>
            </w:r>
            <w:r>
              <w:noBreakHyphen/>
              <w:t>5, 9</w:t>
            </w:r>
            <w:r>
              <w:noBreakHyphen/>
              <w:t>11: 13 Oct 1978 (see r. 2);</w:t>
            </w:r>
            <w:r>
              <w:br/>
              <w:t>r. 3-5 and 9-11: 1 Jan 1979 (see r. 2)</w:t>
            </w:r>
          </w:p>
        </w:tc>
      </w:tr>
      <w:tr w:rsidR="00425758">
        <w:tblPrEx>
          <w:tblBorders>
            <w:top w:val="none" w:sz="0" w:space="0" w:color="auto"/>
            <w:bottom w:val="none" w:sz="0" w:space="0" w:color="auto"/>
            <w:insideH w:val="none" w:sz="0" w:space="0" w:color="auto"/>
          </w:tblBorders>
        </w:tblPrEx>
        <w:tc>
          <w:tcPr>
            <w:tcW w:w="3118" w:type="dxa"/>
          </w:tcPr>
          <w:p w:rsidR="00425758" w:rsidRDefault="00425758">
            <w:pPr>
              <w:pStyle w:val="nTable"/>
              <w:spacing w:after="40"/>
            </w:pPr>
            <w:r>
              <w:rPr>
                <w:i/>
              </w:rPr>
              <w:t>Supreme Court (Miscellaneous Amendments) Rules 1979</w:t>
            </w:r>
          </w:p>
        </w:tc>
        <w:tc>
          <w:tcPr>
            <w:tcW w:w="1276" w:type="dxa"/>
          </w:tcPr>
          <w:p w:rsidR="00425758" w:rsidRDefault="00425758">
            <w:pPr>
              <w:pStyle w:val="nTable"/>
              <w:spacing w:after="40"/>
            </w:pPr>
            <w:r>
              <w:t>14 Dec 1979</w:t>
            </w:r>
            <w:r>
              <w:br/>
              <w:t>p. 3869</w:t>
            </w:r>
            <w:r>
              <w:noBreakHyphen/>
              <w:t>76</w:t>
            </w:r>
          </w:p>
        </w:tc>
        <w:tc>
          <w:tcPr>
            <w:tcW w:w="2696" w:type="dxa"/>
          </w:tcPr>
          <w:p w:rsidR="00425758" w:rsidRDefault="00425758">
            <w:pPr>
              <w:pStyle w:val="nTable"/>
              <w:spacing w:after="40"/>
            </w:pPr>
            <w:r>
              <w:t xml:space="preserve">11 Feb 1980 (see r. 1 and </w:t>
            </w:r>
            <w:r>
              <w:rPr>
                <w:i/>
              </w:rPr>
              <w:t>Gazette</w:t>
            </w:r>
            <w:r>
              <w:t xml:space="preserve"> 8 Feb 1980 p. 383)</w:t>
            </w:r>
          </w:p>
        </w:tc>
      </w:tr>
      <w:tr w:rsidR="00425758">
        <w:tblPrEx>
          <w:tblBorders>
            <w:top w:val="none" w:sz="0" w:space="0" w:color="auto"/>
            <w:bottom w:val="none" w:sz="0" w:space="0" w:color="auto"/>
            <w:insideH w:val="none" w:sz="0" w:space="0" w:color="auto"/>
          </w:tblBorders>
        </w:tblPrEx>
        <w:tc>
          <w:tcPr>
            <w:tcW w:w="3118" w:type="dxa"/>
          </w:tcPr>
          <w:p w:rsidR="00425758" w:rsidRDefault="00425758">
            <w:pPr>
              <w:pStyle w:val="nTable"/>
              <w:spacing w:after="40"/>
            </w:pPr>
            <w:r>
              <w:rPr>
                <w:i/>
              </w:rPr>
              <w:t>Supreme Court (Costs) Rules 1980</w:t>
            </w:r>
          </w:p>
        </w:tc>
        <w:tc>
          <w:tcPr>
            <w:tcW w:w="1276" w:type="dxa"/>
          </w:tcPr>
          <w:p w:rsidR="00425758" w:rsidRDefault="00425758">
            <w:pPr>
              <w:pStyle w:val="nTable"/>
              <w:spacing w:after="40"/>
            </w:pPr>
            <w:r>
              <w:t>21 Mar 1980</w:t>
            </w:r>
            <w:r>
              <w:br/>
              <w:t>p. 960</w:t>
            </w:r>
            <w:r>
              <w:noBreakHyphen/>
              <w:t>2</w:t>
            </w:r>
          </w:p>
        </w:tc>
        <w:tc>
          <w:tcPr>
            <w:tcW w:w="2696" w:type="dxa"/>
          </w:tcPr>
          <w:p w:rsidR="00425758" w:rsidRDefault="00425758">
            <w:pPr>
              <w:pStyle w:val="nTable"/>
              <w:spacing w:after="40"/>
            </w:pPr>
            <w:r>
              <w:t>21 Mar 1980 (see r. 2)</w:t>
            </w:r>
          </w:p>
        </w:tc>
      </w:tr>
      <w:tr w:rsidR="00425758">
        <w:tblPrEx>
          <w:tblBorders>
            <w:top w:val="none" w:sz="0" w:space="0" w:color="auto"/>
            <w:bottom w:val="none" w:sz="0" w:space="0" w:color="auto"/>
            <w:insideH w:val="none" w:sz="0" w:space="0" w:color="auto"/>
          </w:tblBorders>
        </w:tblPrEx>
        <w:tc>
          <w:tcPr>
            <w:tcW w:w="3118" w:type="dxa"/>
          </w:tcPr>
          <w:p w:rsidR="00425758" w:rsidRDefault="00425758">
            <w:pPr>
              <w:pStyle w:val="nTable"/>
              <w:spacing w:after="40"/>
            </w:pPr>
            <w:r>
              <w:t>Untitled rules</w:t>
            </w:r>
          </w:p>
        </w:tc>
        <w:tc>
          <w:tcPr>
            <w:tcW w:w="1276" w:type="dxa"/>
          </w:tcPr>
          <w:p w:rsidR="00425758" w:rsidRDefault="00425758">
            <w:pPr>
              <w:pStyle w:val="nTable"/>
              <w:spacing w:after="40"/>
            </w:pPr>
            <w:r>
              <w:t>13 Jun 1980</w:t>
            </w:r>
            <w:r>
              <w:br/>
              <w:t>p. 1719</w:t>
            </w:r>
            <w:r>
              <w:noBreakHyphen/>
              <w:t>22</w:t>
            </w:r>
          </w:p>
        </w:tc>
        <w:tc>
          <w:tcPr>
            <w:tcW w:w="2696" w:type="dxa"/>
          </w:tcPr>
          <w:p w:rsidR="00425758" w:rsidRDefault="00425758">
            <w:pPr>
              <w:pStyle w:val="nTable"/>
              <w:spacing w:after="40"/>
            </w:pPr>
            <w:r>
              <w:t>1 Jul 1980 (see r. 2)</w:t>
            </w:r>
          </w:p>
        </w:tc>
      </w:tr>
      <w:tr w:rsidR="00425758">
        <w:tblPrEx>
          <w:tblBorders>
            <w:top w:val="none" w:sz="0" w:space="0" w:color="auto"/>
            <w:bottom w:val="none" w:sz="0" w:space="0" w:color="auto"/>
            <w:insideH w:val="none" w:sz="0" w:space="0" w:color="auto"/>
          </w:tblBorders>
        </w:tblPrEx>
        <w:tc>
          <w:tcPr>
            <w:tcW w:w="3118" w:type="dxa"/>
          </w:tcPr>
          <w:p w:rsidR="00425758" w:rsidRDefault="00425758">
            <w:pPr>
              <w:pStyle w:val="nTable"/>
              <w:spacing w:after="40"/>
            </w:pPr>
            <w:r>
              <w:t>Untitled rules</w:t>
            </w:r>
          </w:p>
        </w:tc>
        <w:tc>
          <w:tcPr>
            <w:tcW w:w="1276" w:type="dxa"/>
          </w:tcPr>
          <w:p w:rsidR="00425758" w:rsidRDefault="00425758">
            <w:pPr>
              <w:pStyle w:val="nTable"/>
              <w:spacing w:after="40"/>
            </w:pPr>
            <w:r>
              <w:t>18 Jul 1980</w:t>
            </w:r>
            <w:r>
              <w:br/>
              <w:t>p. 2384</w:t>
            </w:r>
            <w:r>
              <w:noBreakHyphen/>
              <w:t>8</w:t>
            </w:r>
          </w:p>
        </w:tc>
        <w:tc>
          <w:tcPr>
            <w:tcW w:w="2696" w:type="dxa"/>
          </w:tcPr>
          <w:p w:rsidR="00425758" w:rsidRDefault="00425758">
            <w:pPr>
              <w:pStyle w:val="nTable"/>
              <w:spacing w:after="40"/>
            </w:pPr>
            <w:r>
              <w:t xml:space="preserve">1 Aug 1980 (see r. 2 and </w:t>
            </w:r>
            <w:r>
              <w:rPr>
                <w:i/>
              </w:rPr>
              <w:t>Gazette</w:t>
            </w:r>
            <w:r>
              <w:t xml:space="preserve"> 1 Aug 1980 p. 2537)</w:t>
            </w:r>
          </w:p>
        </w:tc>
      </w:tr>
      <w:tr w:rsidR="00425758">
        <w:tblPrEx>
          <w:tblBorders>
            <w:top w:val="none" w:sz="0" w:space="0" w:color="auto"/>
            <w:bottom w:val="none" w:sz="0" w:space="0" w:color="auto"/>
            <w:insideH w:val="none" w:sz="0" w:space="0" w:color="auto"/>
          </w:tblBorders>
        </w:tblPrEx>
        <w:tc>
          <w:tcPr>
            <w:tcW w:w="3118" w:type="dxa"/>
          </w:tcPr>
          <w:p w:rsidR="00425758" w:rsidRDefault="00425758">
            <w:pPr>
              <w:pStyle w:val="nTable"/>
              <w:spacing w:after="40"/>
            </w:pPr>
            <w:r>
              <w:t>Untitled rules</w:t>
            </w:r>
          </w:p>
        </w:tc>
        <w:tc>
          <w:tcPr>
            <w:tcW w:w="1276" w:type="dxa"/>
          </w:tcPr>
          <w:p w:rsidR="00425758" w:rsidRDefault="00425758">
            <w:pPr>
              <w:pStyle w:val="nTable"/>
              <w:spacing w:after="40"/>
            </w:pPr>
            <w:r>
              <w:t>1 Aug 1980</w:t>
            </w:r>
            <w:r>
              <w:br/>
              <w:t>p. 2550</w:t>
            </w:r>
            <w:r>
              <w:noBreakHyphen/>
              <w:t>6</w:t>
            </w:r>
          </w:p>
        </w:tc>
        <w:tc>
          <w:tcPr>
            <w:tcW w:w="2696" w:type="dxa"/>
          </w:tcPr>
          <w:p w:rsidR="00425758" w:rsidRDefault="00425758">
            <w:pPr>
              <w:pStyle w:val="nTable"/>
              <w:spacing w:after="40"/>
            </w:pPr>
            <w:r>
              <w:t>1 Aug 1980 (see r. 2)</w:t>
            </w:r>
          </w:p>
        </w:tc>
      </w:tr>
      <w:tr w:rsidR="00425758">
        <w:tblPrEx>
          <w:tblBorders>
            <w:top w:val="none" w:sz="0" w:space="0" w:color="auto"/>
            <w:bottom w:val="none" w:sz="0" w:space="0" w:color="auto"/>
            <w:insideH w:val="none" w:sz="0" w:space="0" w:color="auto"/>
          </w:tblBorders>
        </w:tblPrEx>
        <w:tc>
          <w:tcPr>
            <w:tcW w:w="3118" w:type="dxa"/>
          </w:tcPr>
          <w:p w:rsidR="00425758" w:rsidRDefault="00425758">
            <w:pPr>
              <w:pStyle w:val="nTable"/>
              <w:spacing w:after="40"/>
            </w:pPr>
            <w:r>
              <w:t>Untitled rules</w:t>
            </w:r>
          </w:p>
        </w:tc>
        <w:tc>
          <w:tcPr>
            <w:tcW w:w="1276" w:type="dxa"/>
          </w:tcPr>
          <w:p w:rsidR="00425758" w:rsidRDefault="00425758">
            <w:pPr>
              <w:pStyle w:val="nTable"/>
              <w:spacing w:after="40"/>
            </w:pPr>
            <w:r>
              <w:t>1 Aug 1980</w:t>
            </w:r>
            <w:r>
              <w:br/>
              <w:t>p. 2558</w:t>
            </w:r>
          </w:p>
        </w:tc>
        <w:tc>
          <w:tcPr>
            <w:tcW w:w="2696" w:type="dxa"/>
          </w:tcPr>
          <w:p w:rsidR="00425758" w:rsidRDefault="00425758">
            <w:pPr>
              <w:pStyle w:val="nTable"/>
              <w:spacing w:after="40"/>
            </w:pPr>
            <w:r>
              <w:t>1 Aug 1980 (see r. 2)</w:t>
            </w:r>
          </w:p>
        </w:tc>
      </w:tr>
      <w:tr w:rsidR="00425758">
        <w:tblPrEx>
          <w:tblBorders>
            <w:top w:val="none" w:sz="0" w:space="0" w:color="auto"/>
            <w:bottom w:val="none" w:sz="0" w:space="0" w:color="auto"/>
            <w:insideH w:val="none" w:sz="0" w:space="0" w:color="auto"/>
          </w:tblBorders>
        </w:tblPrEx>
        <w:trPr>
          <w:cantSplit/>
        </w:trPr>
        <w:tc>
          <w:tcPr>
            <w:tcW w:w="7090" w:type="dxa"/>
            <w:gridSpan w:val="3"/>
          </w:tcPr>
          <w:p w:rsidR="00425758" w:rsidRDefault="00425758">
            <w:pPr>
              <w:pStyle w:val="nTable"/>
              <w:spacing w:after="40"/>
            </w:pPr>
            <w:r>
              <w:rPr>
                <w:b/>
              </w:rPr>
              <w:t xml:space="preserve">Reprint of the </w:t>
            </w:r>
            <w:r>
              <w:rPr>
                <w:b/>
                <w:i/>
              </w:rPr>
              <w:t>Rules of the Supreme Court 1971</w:t>
            </w:r>
            <w:r>
              <w:rPr>
                <w:b/>
              </w:rPr>
              <w:t xml:space="preserve"> dated 11 May 1981</w:t>
            </w:r>
            <w:r>
              <w:t xml:space="preserve"> (see </w:t>
            </w:r>
            <w:r>
              <w:rPr>
                <w:i/>
              </w:rPr>
              <w:t>Gazette</w:t>
            </w:r>
            <w:r>
              <w:t xml:space="preserve"> 11 Jun 1981 p. 1731</w:t>
            </w:r>
            <w:r>
              <w:noBreakHyphen/>
              <w:t>2046) (includes amendments listed above)</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spacing w:after="40"/>
            </w:pPr>
            <w:r>
              <w:lastRenderedPageBreak/>
              <w:t>Untitled rules</w:t>
            </w:r>
          </w:p>
        </w:tc>
        <w:tc>
          <w:tcPr>
            <w:tcW w:w="1276" w:type="dxa"/>
          </w:tcPr>
          <w:p w:rsidR="00425758" w:rsidRDefault="00425758">
            <w:pPr>
              <w:pStyle w:val="nTable"/>
              <w:keepLines/>
              <w:spacing w:after="40"/>
            </w:pPr>
            <w:r>
              <w:t>20 Nov 1981</w:t>
            </w:r>
            <w:r>
              <w:br/>
              <w:t>p. 4724</w:t>
            </w:r>
            <w:r>
              <w:noBreakHyphen/>
              <w:t>9</w:t>
            </w:r>
          </w:p>
        </w:tc>
        <w:tc>
          <w:tcPr>
            <w:tcW w:w="2696" w:type="dxa"/>
          </w:tcPr>
          <w:p w:rsidR="00425758" w:rsidRDefault="00425758">
            <w:pPr>
              <w:pStyle w:val="nTable"/>
              <w:spacing w:after="40"/>
            </w:pPr>
            <w:r>
              <w:t>20 Nov 1981 (see r. 2)</w:t>
            </w:r>
          </w:p>
        </w:tc>
      </w:tr>
      <w:tr w:rsidR="00425758">
        <w:tblPrEx>
          <w:tblBorders>
            <w:top w:val="none" w:sz="0" w:space="0" w:color="auto"/>
            <w:bottom w:val="none" w:sz="0" w:space="0" w:color="auto"/>
            <w:insideH w:val="none" w:sz="0" w:space="0" w:color="auto"/>
          </w:tblBorders>
        </w:tblPrEx>
        <w:tc>
          <w:tcPr>
            <w:tcW w:w="3118" w:type="dxa"/>
          </w:tcPr>
          <w:p w:rsidR="00425758" w:rsidRDefault="00425758">
            <w:pPr>
              <w:pStyle w:val="nTable"/>
              <w:spacing w:after="40"/>
            </w:pPr>
            <w:r>
              <w:t>Untitled rules</w:t>
            </w:r>
          </w:p>
        </w:tc>
        <w:tc>
          <w:tcPr>
            <w:tcW w:w="1276" w:type="dxa"/>
          </w:tcPr>
          <w:p w:rsidR="00425758" w:rsidRDefault="00425758">
            <w:pPr>
              <w:pStyle w:val="nTable"/>
              <w:spacing w:after="40"/>
            </w:pPr>
            <w:r>
              <w:t>2 Jul 1982</w:t>
            </w:r>
            <w:r>
              <w:br/>
              <w:t>p. 2315</w:t>
            </w:r>
            <w:r>
              <w:noBreakHyphen/>
              <w:t>20</w:t>
            </w:r>
          </w:p>
        </w:tc>
        <w:tc>
          <w:tcPr>
            <w:tcW w:w="2696" w:type="dxa"/>
          </w:tcPr>
          <w:p w:rsidR="00425758" w:rsidRDefault="00425758">
            <w:pPr>
              <w:pStyle w:val="nTable"/>
              <w:spacing w:after="40"/>
            </w:pPr>
            <w:r>
              <w:t>2 Jul 1982 (see r. 2)</w:t>
            </w:r>
          </w:p>
        </w:tc>
      </w:tr>
      <w:tr w:rsidR="00425758">
        <w:tblPrEx>
          <w:tblBorders>
            <w:top w:val="none" w:sz="0" w:space="0" w:color="auto"/>
            <w:bottom w:val="none" w:sz="0" w:space="0" w:color="auto"/>
            <w:insideH w:val="none" w:sz="0" w:space="0" w:color="auto"/>
          </w:tblBorders>
        </w:tblPrEx>
        <w:tc>
          <w:tcPr>
            <w:tcW w:w="3118" w:type="dxa"/>
          </w:tcPr>
          <w:p w:rsidR="00425758" w:rsidRDefault="00425758">
            <w:pPr>
              <w:pStyle w:val="nTable"/>
              <w:spacing w:after="40"/>
            </w:pPr>
            <w:r>
              <w:rPr>
                <w:i/>
              </w:rPr>
              <w:t>Supreme Court (Costs) Rules 1982</w:t>
            </w:r>
          </w:p>
        </w:tc>
        <w:tc>
          <w:tcPr>
            <w:tcW w:w="1276" w:type="dxa"/>
          </w:tcPr>
          <w:p w:rsidR="00425758" w:rsidRDefault="00425758">
            <w:pPr>
              <w:pStyle w:val="nTable"/>
              <w:spacing w:after="40"/>
            </w:pPr>
            <w:r>
              <w:t>2 Jul 1982</w:t>
            </w:r>
            <w:r>
              <w:br/>
              <w:t>p. 2320</w:t>
            </w:r>
            <w:r>
              <w:noBreakHyphen/>
              <w:t>1</w:t>
            </w:r>
          </w:p>
        </w:tc>
        <w:tc>
          <w:tcPr>
            <w:tcW w:w="2696" w:type="dxa"/>
          </w:tcPr>
          <w:p w:rsidR="00425758" w:rsidRDefault="00425758">
            <w:pPr>
              <w:pStyle w:val="nTable"/>
              <w:spacing w:after="40"/>
            </w:pPr>
            <w:r>
              <w:t>2 Jul 1982</w:t>
            </w:r>
            <w:r>
              <w:rPr>
                <w:vertAlign w:val="superscript"/>
              </w:rPr>
              <w:t> 5</w:t>
            </w:r>
            <w:r>
              <w:t xml:space="preserve"> (see r. 1)</w:t>
            </w:r>
          </w:p>
        </w:tc>
      </w:tr>
      <w:tr w:rsidR="00425758">
        <w:tblPrEx>
          <w:tblBorders>
            <w:top w:val="none" w:sz="0" w:space="0" w:color="auto"/>
            <w:bottom w:val="none" w:sz="0" w:space="0" w:color="auto"/>
            <w:insideH w:val="none" w:sz="0" w:space="0" w:color="auto"/>
          </w:tblBorders>
        </w:tblPrEx>
        <w:tc>
          <w:tcPr>
            <w:tcW w:w="3118" w:type="dxa"/>
          </w:tcPr>
          <w:p w:rsidR="00425758" w:rsidRDefault="00425758">
            <w:pPr>
              <w:pStyle w:val="nTable"/>
              <w:spacing w:after="40"/>
            </w:pPr>
            <w:r>
              <w:t>Untitled rules</w:t>
            </w:r>
          </w:p>
        </w:tc>
        <w:tc>
          <w:tcPr>
            <w:tcW w:w="1276" w:type="dxa"/>
          </w:tcPr>
          <w:p w:rsidR="00425758" w:rsidRDefault="00425758">
            <w:pPr>
              <w:pStyle w:val="nTable"/>
              <w:spacing w:after="40"/>
            </w:pPr>
            <w:r>
              <w:t>30 Jul 1982</w:t>
            </w:r>
            <w:r>
              <w:br/>
              <w:t>p. 2946</w:t>
            </w:r>
            <w:r>
              <w:noBreakHyphen/>
              <w:t>7</w:t>
            </w:r>
          </w:p>
        </w:tc>
        <w:tc>
          <w:tcPr>
            <w:tcW w:w="2696" w:type="dxa"/>
          </w:tcPr>
          <w:p w:rsidR="00425758" w:rsidRDefault="00425758">
            <w:pPr>
              <w:pStyle w:val="nTable"/>
              <w:spacing w:after="40"/>
            </w:pPr>
            <w:r>
              <w:t>30 Jul 1982</w:t>
            </w:r>
          </w:p>
        </w:tc>
      </w:tr>
      <w:tr w:rsidR="00425758">
        <w:tblPrEx>
          <w:tblBorders>
            <w:top w:val="none" w:sz="0" w:space="0" w:color="auto"/>
            <w:bottom w:val="none" w:sz="0" w:space="0" w:color="auto"/>
            <w:insideH w:val="none" w:sz="0" w:space="0" w:color="auto"/>
          </w:tblBorders>
        </w:tblPrEx>
        <w:tc>
          <w:tcPr>
            <w:tcW w:w="3118" w:type="dxa"/>
          </w:tcPr>
          <w:p w:rsidR="00425758" w:rsidRDefault="00425758">
            <w:pPr>
              <w:pStyle w:val="nTable"/>
              <w:spacing w:after="40"/>
            </w:pPr>
            <w:r>
              <w:t>Untitled rules</w:t>
            </w:r>
          </w:p>
        </w:tc>
        <w:tc>
          <w:tcPr>
            <w:tcW w:w="1276" w:type="dxa"/>
          </w:tcPr>
          <w:p w:rsidR="00425758" w:rsidRDefault="00425758">
            <w:pPr>
              <w:pStyle w:val="nTable"/>
              <w:spacing w:after="40"/>
            </w:pPr>
            <w:r>
              <w:t>31 Mar 1983</w:t>
            </w:r>
            <w:r>
              <w:br/>
              <w:t>p. 1090</w:t>
            </w:r>
            <w:r>
              <w:noBreakHyphen/>
              <w:t>1</w:t>
            </w:r>
          </w:p>
        </w:tc>
        <w:tc>
          <w:tcPr>
            <w:tcW w:w="2696" w:type="dxa"/>
          </w:tcPr>
          <w:p w:rsidR="00425758" w:rsidRDefault="00425758">
            <w:pPr>
              <w:pStyle w:val="nTable"/>
              <w:spacing w:after="40"/>
            </w:pPr>
            <w:r>
              <w:t xml:space="preserve">20 Jun 1983 (see r. 2 and </w:t>
            </w:r>
            <w:r>
              <w:rPr>
                <w:i/>
              </w:rPr>
              <w:t>Gazette</w:t>
            </w:r>
            <w:r>
              <w:t xml:space="preserve"> 3 Jun 1983 p. 1675)</w:t>
            </w:r>
          </w:p>
        </w:tc>
      </w:tr>
      <w:tr w:rsidR="00425758">
        <w:tblPrEx>
          <w:tblBorders>
            <w:top w:val="none" w:sz="0" w:space="0" w:color="auto"/>
            <w:bottom w:val="none" w:sz="0" w:space="0" w:color="auto"/>
            <w:insideH w:val="none" w:sz="0" w:space="0" w:color="auto"/>
          </w:tblBorders>
        </w:tblPrEx>
        <w:tc>
          <w:tcPr>
            <w:tcW w:w="3118" w:type="dxa"/>
          </w:tcPr>
          <w:p w:rsidR="00425758" w:rsidRDefault="00425758">
            <w:pPr>
              <w:pStyle w:val="nTable"/>
              <w:spacing w:after="40"/>
            </w:pPr>
            <w:r>
              <w:t>Untitled rules</w:t>
            </w:r>
          </w:p>
        </w:tc>
        <w:tc>
          <w:tcPr>
            <w:tcW w:w="1276" w:type="dxa"/>
          </w:tcPr>
          <w:p w:rsidR="00425758" w:rsidRDefault="00425758">
            <w:pPr>
              <w:pStyle w:val="nTable"/>
              <w:spacing w:after="40"/>
            </w:pPr>
            <w:r>
              <w:t>23 Sep 1983</w:t>
            </w:r>
            <w:r>
              <w:br/>
              <w:t>p. 3797</w:t>
            </w:r>
            <w:r>
              <w:noBreakHyphen/>
              <w:t>8</w:t>
            </w:r>
          </w:p>
        </w:tc>
        <w:tc>
          <w:tcPr>
            <w:tcW w:w="2696" w:type="dxa"/>
          </w:tcPr>
          <w:p w:rsidR="00425758" w:rsidRDefault="00425758">
            <w:pPr>
              <w:pStyle w:val="nTable"/>
              <w:spacing w:after="40"/>
            </w:pPr>
            <w:r>
              <w:t>23 Sep 1983</w:t>
            </w:r>
          </w:p>
        </w:tc>
      </w:tr>
      <w:tr w:rsidR="00425758">
        <w:tblPrEx>
          <w:tblBorders>
            <w:top w:val="none" w:sz="0" w:space="0" w:color="auto"/>
            <w:bottom w:val="none" w:sz="0" w:space="0" w:color="auto"/>
            <w:insideH w:val="none" w:sz="0" w:space="0" w:color="auto"/>
          </w:tblBorders>
        </w:tblPrEx>
        <w:tc>
          <w:tcPr>
            <w:tcW w:w="3118" w:type="dxa"/>
          </w:tcPr>
          <w:p w:rsidR="00425758" w:rsidRDefault="00425758">
            <w:pPr>
              <w:pStyle w:val="nTable"/>
              <w:spacing w:after="40"/>
            </w:pPr>
            <w:r>
              <w:t>Untitled rules</w:t>
            </w:r>
          </w:p>
        </w:tc>
        <w:tc>
          <w:tcPr>
            <w:tcW w:w="1276" w:type="dxa"/>
          </w:tcPr>
          <w:p w:rsidR="00425758" w:rsidRDefault="00425758">
            <w:pPr>
              <w:pStyle w:val="nTable"/>
              <w:spacing w:after="40"/>
            </w:pPr>
            <w:r>
              <w:t>20 Jan 1984</w:t>
            </w:r>
            <w:r>
              <w:br/>
              <w:t>p. 129</w:t>
            </w:r>
            <w:r>
              <w:noBreakHyphen/>
              <w:t>34</w:t>
            </w:r>
          </w:p>
        </w:tc>
        <w:tc>
          <w:tcPr>
            <w:tcW w:w="2696" w:type="dxa"/>
          </w:tcPr>
          <w:p w:rsidR="00425758" w:rsidRDefault="00425758">
            <w:pPr>
              <w:pStyle w:val="nTable"/>
              <w:spacing w:after="40"/>
            </w:pPr>
            <w:r>
              <w:t>20 Jan 1984 (see r. 2)</w:t>
            </w:r>
          </w:p>
        </w:tc>
      </w:tr>
      <w:tr w:rsidR="00425758">
        <w:tblPrEx>
          <w:tblBorders>
            <w:top w:val="none" w:sz="0" w:space="0" w:color="auto"/>
            <w:bottom w:val="none" w:sz="0" w:space="0" w:color="auto"/>
            <w:insideH w:val="none" w:sz="0" w:space="0" w:color="auto"/>
          </w:tblBorders>
        </w:tblPrEx>
        <w:tc>
          <w:tcPr>
            <w:tcW w:w="3118" w:type="dxa"/>
          </w:tcPr>
          <w:p w:rsidR="00425758" w:rsidRDefault="00425758">
            <w:pPr>
              <w:pStyle w:val="nTable"/>
              <w:spacing w:after="40"/>
            </w:pPr>
            <w:r>
              <w:t>Untitled rules</w:t>
            </w:r>
          </w:p>
        </w:tc>
        <w:tc>
          <w:tcPr>
            <w:tcW w:w="1276" w:type="dxa"/>
          </w:tcPr>
          <w:p w:rsidR="00425758" w:rsidRDefault="00425758">
            <w:pPr>
              <w:pStyle w:val="nTable"/>
              <w:spacing w:after="40"/>
            </w:pPr>
            <w:r>
              <w:t>30 Nov 1984</w:t>
            </w:r>
            <w:r>
              <w:br/>
              <w:t>p. 3951</w:t>
            </w:r>
            <w:r>
              <w:noBreakHyphen/>
              <w:t>6</w:t>
            </w:r>
          </w:p>
        </w:tc>
        <w:tc>
          <w:tcPr>
            <w:tcW w:w="2696" w:type="dxa"/>
          </w:tcPr>
          <w:p w:rsidR="00425758" w:rsidRDefault="00425758">
            <w:pPr>
              <w:pStyle w:val="nTable"/>
              <w:spacing w:after="40"/>
            </w:pPr>
            <w:r>
              <w:t>30 Nov 1984</w:t>
            </w:r>
          </w:p>
        </w:tc>
      </w:tr>
      <w:tr w:rsidR="00425758">
        <w:tblPrEx>
          <w:tblBorders>
            <w:top w:val="none" w:sz="0" w:space="0" w:color="auto"/>
            <w:bottom w:val="none" w:sz="0" w:space="0" w:color="auto"/>
            <w:insideH w:val="none" w:sz="0" w:space="0" w:color="auto"/>
          </w:tblBorders>
        </w:tblPrEx>
        <w:tc>
          <w:tcPr>
            <w:tcW w:w="3118" w:type="dxa"/>
          </w:tcPr>
          <w:p w:rsidR="00425758" w:rsidRDefault="00425758">
            <w:pPr>
              <w:pStyle w:val="nTable"/>
              <w:spacing w:after="40"/>
            </w:pPr>
            <w:r>
              <w:rPr>
                <w:i/>
              </w:rPr>
              <w:t>Supreme Court (Costs) Rules 1985</w:t>
            </w:r>
          </w:p>
        </w:tc>
        <w:tc>
          <w:tcPr>
            <w:tcW w:w="1276" w:type="dxa"/>
          </w:tcPr>
          <w:p w:rsidR="00425758" w:rsidRDefault="00425758">
            <w:pPr>
              <w:pStyle w:val="nTable"/>
              <w:spacing w:after="40"/>
            </w:pPr>
            <w:r>
              <w:t>15 Feb 1985</w:t>
            </w:r>
            <w:r>
              <w:br/>
              <w:t>p. 583</w:t>
            </w:r>
            <w:r>
              <w:noBreakHyphen/>
              <w:t>7</w:t>
            </w:r>
            <w:r>
              <w:br/>
              <w:t>(erratum 22 Feb 1985 p. 658)</w:t>
            </w:r>
          </w:p>
        </w:tc>
        <w:tc>
          <w:tcPr>
            <w:tcW w:w="2696" w:type="dxa"/>
          </w:tcPr>
          <w:p w:rsidR="00425758" w:rsidRDefault="00425758">
            <w:pPr>
              <w:pStyle w:val="nTable"/>
              <w:spacing w:after="40"/>
            </w:pPr>
            <w:r>
              <w:t>15 Feb 1985(see r. 1)</w:t>
            </w:r>
          </w:p>
        </w:tc>
      </w:tr>
      <w:tr w:rsidR="00425758">
        <w:tblPrEx>
          <w:tblBorders>
            <w:top w:val="none" w:sz="0" w:space="0" w:color="auto"/>
            <w:bottom w:val="none" w:sz="0" w:space="0" w:color="auto"/>
            <w:insideH w:val="none" w:sz="0" w:space="0" w:color="auto"/>
          </w:tblBorders>
        </w:tblPrEx>
        <w:trPr>
          <w:cantSplit/>
        </w:trPr>
        <w:tc>
          <w:tcPr>
            <w:tcW w:w="7090" w:type="dxa"/>
            <w:gridSpan w:val="3"/>
          </w:tcPr>
          <w:p w:rsidR="00425758" w:rsidRDefault="00425758">
            <w:pPr>
              <w:pStyle w:val="nTable"/>
              <w:spacing w:after="40"/>
            </w:pPr>
            <w:r>
              <w:rPr>
                <w:b/>
              </w:rPr>
              <w:t xml:space="preserve">Reprint of the </w:t>
            </w:r>
            <w:r>
              <w:rPr>
                <w:b/>
                <w:i/>
              </w:rPr>
              <w:t>Rules of the Supreme Court 1971</w:t>
            </w:r>
            <w:r>
              <w:rPr>
                <w:b/>
              </w:rPr>
              <w:t xml:space="preserve"> as at 12 Dec 1985</w:t>
            </w:r>
            <w:r>
              <w:t xml:space="preserve"> (see </w:t>
            </w:r>
            <w:r>
              <w:rPr>
                <w:i/>
              </w:rPr>
              <w:t>Gazette</w:t>
            </w:r>
            <w:r>
              <w:t xml:space="preserve"> 18 Mar 1986 p. 779</w:t>
            </w:r>
            <w:r>
              <w:noBreakHyphen/>
              <w:t>1179) (includes amendments listed above)</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widowControl w:val="0"/>
              <w:spacing w:after="40"/>
              <w:ind w:right="113"/>
              <w:rPr>
                <w:i/>
              </w:rPr>
            </w:pPr>
            <w:r>
              <w:rPr>
                <w:i/>
              </w:rPr>
              <w:t>Supreme Court (Costs) Rules No. 2 1985</w:t>
            </w:r>
          </w:p>
        </w:tc>
        <w:tc>
          <w:tcPr>
            <w:tcW w:w="1276" w:type="dxa"/>
          </w:tcPr>
          <w:p w:rsidR="00425758" w:rsidRDefault="00425758">
            <w:pPr>
              <w:pStyle w:val="nTable"/>
              <w:spacing w:after="40"/>
            </w:pPr>
            <w:r>
              <w:t>13 Dec 1985 p. 4760-4 (erratum 3 Jan 1986 p. 11)</w:t>
            </w:r>
          </w:p>
        </w:tc>
        <w:tc>
          <w:tcPr>
            <w:tcW w:w="2696" w:type="dxa"/>
          </w:tcPr>
          <w:p w:rsidR="00425758" w:rsidRDefault="00425758">
            <w:pPr>
              <w:pStyle w:val="nTable"/>
              <w:spacing w:after="40"/>
            </w:pPr>
            <w:r>
              <w:t>1 Jan 1986 (see r. 1)</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widowControl w:val="0"/>
              <w:spacing w:after="40"/>
              <w:ind w:right="113"/>
            </w:pPr>
            <w:r>
              <w:t>Untitled rules</w:t>
            </w:r>
          </w:p>
        </w:tc>
        <w:tc>
          <w:tcPr>
            <w:tcW w:w="1276" w:type="dxa"/>
          </w:tcPr>
          <w:p w:rsidR="00425758" w:rsidRDefault="00425758">
            <w:pPr>
              <w:pStyle w:val="nTable"/>
              <w:spacing w:after="40"/>
            </w:pPr>
            <w:r>
              <w:t>20 Jun 1986 p. 2040</w:t>
            </w:r>
            <w:r>
              <w:noBreakHyphen/>
              <w:t>5</w:t>
            </w:r>
          </w:p>
        </w:tc>
        <w:tc>
          <w:tcPr>
            <w:tcW w:w="2696" w:type="dxa"/>
          </w:tcPr>
          <w:p w:rsidR="00425758" w:rsidRDefault="00425758">
            <w:pPr>
              <w:pStyle w:val="nTable"/>
              <w:spacing w:after="40"/>
            </w:pPr>
            <w:r>
              <w:t>20 Jun 1986</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widowControl w:val="0"/>
              <w:spacing w:after="40"/>
              <w:ind w:right="113"/>
            </w:pPr>
            <w:r>
              <w:rPr>
                <w:i/>
              </w:rPr>
              <w:t>Rules of the Supreme Court 1971 Amendment Rules (No. 2) 1986</w:t>
            </w:r>
          </w:p>
        </w:tc>
        <w:tc>
          <w:tcPr>
            <w:tcW w:w="1276" w:type="dxa"/>
          </w:tcPr>
          <w:p w:rsidR="00425758" w:rsidRDefault="00425758">
            <w:pPr>
              <w:pStyle w:val="nTable"/>
              <w:spacing w:after="40"/>
            </w:pPr>
            <w:r>
              <w:t>4 Jul 1986 p. 2280-6</w:t>
            </w:r>
          </w:p>
        </w:tc>
        <w:tc>
          <w:tcPr>
            <w:tcW w:w="2696" w:type="dxa"/>
          </w:tcPr>
          <w:p w:rsidR="00425758" w:rsidRDefault="00425758">
            <w:pPr>
              <w:pStyle w:val="nTable"/>
              <w:spacing w:after="40"/>
            </w:pPr>
            <w:r>
              <w:t>4 Jul 1986 (see r. 3)</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widowControl w:val="0"/>
              <w:spacing w:after="40"/>
              <w:ind w:right="113"/>
              <w:rPr>
                <w:i/>
              </w:rPr>
            </w:pPr>
            <w:r>
              <w:rPr>
                <w:i/>
              </w:rPr>
              <w:t>Rules of the Supreme Court 1971 Amendment Rules 1987</w:t>
            </w:r>
          </w:p>
        </w:tc>
        <w:tc>
          <w:tcPr>
            <w:tcW w:w="1276" w:type="dxa"/>
          </w:tcPr>
          <w:p w:rsidR="00425758" w:rsidRDefault="00425758">
            <w:pPr>
              <w:pStyle w:val="nTable"/>
              <w:spacing w:after="40"/>
            </w:pPr>
            <w:r>
              <w:t>18 Dec 1987 p. 4456-7</w:t>
            </w:r>
          </w:p>
        </w:tc>
        <w:tc>
          <w:tcPr>
            <w:tcW w:w="2696" w:type="dxa"/>
          </w:tcPr>
          <w:p w:rsidR="00425758" w:rsidRDefault="00425758">
            <w:pPr>
              <w:pStyle w:val="nTable"/>
              <w:spacing w:after="40"/>
            </w:pPr>
            <w:r>
              <w:t>1 Jan 1988 (see r. 3)</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widowControl w:val="0"/>
              <w:spacing w:after="40"/>
              <w:ind w:right="113"/>
              <w:rPr>
                <w:i/>
              </w:rPr>
            </w:pPr>
            <w:r>
              <w:rPr>
                <w:i/>
              </w:rPr>
              <w:t>Supreme Court Amendment Rules 1988</w:t>
            </w:r>
          </w:p>
        </w:tc>
        <w:tc>
          <w:tcPr>
            <w:tcW w:w="1276" w:type="dxa"/>
          </w:tcPr>
          <w:p w:rsidR="00425758" w:rsidRDefault="00425758">
            <w:pPr>
              <w:pStyle w:val="nTable"/>
              <w:spacing w:after="40"/>
            </w:pPr>
            <w:r>
              <w:t>1 Jul 1988 p. 2140-2</w:t>
            </w:r>
          </w:p>
        </w:tc>
        <w:tc>
          <w:tcPr>
            <w:tcW w:w="2696" w:type="dxa"/>
          </w:tcPr>
          <w:p w:rsidR="00425758" w:rsidRDefault="00425758">
            <w:pPr>
              <w:pStyle w:val="nTable"/>
              <w:spacing w:after="40"/>
            </w:pPr>
            <w:r>
              <w:t xml:space="preserve">1 Jul 1988 (see r. 2 and </w:t>
            </w:r>
            <w:r>
              <w:rPr>
                <w:i/>
              </w:rPr>
              <w:t xml:space="preserve">Gazette </w:t>
            </w:r>
            <w:r>
              <w:t>24 Jun 1988 p. 1995)</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widowControl w:val="0"/>
              <w:spacing w:after="40"/>
              <w:ind w:right="113"/>
            </w:pPr>
            <w:r>
              <w:rPr>
                <w:i/>
              </w:rPr>
              <w:t>Supreme Court Amendment Rules 1989</w:t>
            </w:r>
          </w:p>
        </w:tc>
        <w:tc>
          <w:tcPr>
            <w:tcW w:w="1276" w:type="dxa"/>
          </w:tcPr>
          <w:p w:rsidR="00425758" w:rsidRDefault="00425758">
            <w:pPr>
              <w:pStyle w:val="nTable"/>
              <w:spacing w:after="40"/>
            </w:pPr>
            <w:r>
              <w:t>15 Dec 1989 p. 4520</w:t>
            </w:r>
          </w:p>
        </w:tc>
        <w:tc>
          <w:tcPr>
            <w:tcW w:w="2696" w:type="dxa"/>
          </w:tcPr>
          <w:p w:rsidR="00425758" w:rsidRDefault="00425758">
            <w:pPr>
              <w:pStyle w:val="nTable"/>
              <w:spacing w:after="40"/>
            </w:pPr>
            <w:r>
              <w:t>1 Jan 1990 (see r. 2)</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widowControl w:val="0"/>
              <w:spacing w:after="40"/>
              <w:ind w:right="113"/>
            </w:pPr>
            <w:r>
              <w:rPr>
                <w:i/>
              </w:rPr>
              <w:t>Supreme Court Amendment Rules (No. 2) 1990</w:t>
            </w:r>
          </w:p>
        </w:tc>
        <w:tc>
          <w:tcPr>
            <w:tcW w:w="1276" w:type="dxa"/>
          </w:tcPr>
          <w:p w:rsidR="00425758" w:rsidRDefault="00425758">
            <w:pPr>
              <w:pStyle w:val="nTable"/>
              <w:spacing w:after="40"/>
            </w:pPr>
            <w:r>
              <w:t>23 </w:t>
            </w:r>
            <w:r>
              <w:rPr>
                <w:iCs/>
              </w:rPr>
              <w:t>Feb</w:t>
            </w:r>
            <w:r>
              <w:t> 1990 p. 1153</w:t>
            </w:r>
            <w:r>
              <w:noBreakHyphen/>
              <w:t>6</w:t>
            </w:r>
          </w:p>
        </w:tc>
        <w:tc>
          <w:tcPr>
            <w:tcW w:w="2696" w:type="dxa"/>
          </w:tcPr>
          <w:p w:rsidR="00425758" w:rsidRDefault="00425758">
            <w:pPr>
              <w:pStyle w:val="nTable"/>
              <w:spacing w:after="40"/>
            </w:pPr>
            <w:r>
              <w:t>23 Feb 1990</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widowControl w:val="0"/>
              <w:spacing w:after="40"/>
              <w:ind w:right="113"/>
              <w:rPr>
                <w:i/>
              </w:rPr>
            </w:pPr>
            <w:r>
              <w:rPr>
                <w:i/>
              </w:rPr>
              <w:lastRenderedPageBreak/>
              <w:t>Supreme Court Amendment Rules 1990</w:t>
            </w:r>
          </w:p>
        </w:tc>
        <w:tc>
          <w:tcPr>
            <w:tcW w:w="1276" w:type="dxa"/>
          </w:tcPr>
          <w:p w:rsidR="00425758" w:rsidRDefault="00425758">
            <w:pPr>
              <w:pStyle w:val="nTable"/>
              <w:spacing w:after="40"/>
            </w:pPr>
            <w:r>
              <w:t>30 Mar 1990 p. 1573-4</w:t>
            </w:r>
          </w:p>
        </w:tc>
        <w:tc>
          <w:tcPr>
            <w:tcW w:w="2696" w:type="dxa"/>
          </w:tcPr>
          <w:p w:rsidR="00425758" w:rsidRDefault="00425758">
            <w:pPr>
              <w:pStyle w:val="nTable"/>
              <w:spacing w:after="40"/>
            </w:pPr>
            <w:r>
              <w:t>30 Mar 1990 (see r. 2)</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widowControl w:val="0"/>
              <w:spacing w:after="40"/>
              <w:ind w:right="113"/>
              <w:rPr>
                <w:i/>
              </w:rPr>
            </w:pPr>
            <w:r>
              <w:rPr>
                <w:i/>
              </w:rPr>
              <w:t>Supreme Court Amendment Rules (No. 3) 1990</w:t>
            </w:r>
          </w:p>
        </w:tc>
        <w:tc>
          <w:tcPr>
            <w:tcW w:w="1276" w:type="dxa"/>
          </w:tcPr>
          <w:p w:rsidR="00425758" w:rsidRDefault="00425758">
            <w:pPr>
              <w:pStyle w:val="nTable"/>
              <w:spacing w:after="40"/>
            </w:pPr>
            <w:r>
              <w:t>17 Aug 1990 p. 4071-8</w:t>
            </w:r>
          </w:p>
        </w:tc>
        <w:tc>
          <w:tcPr>
            <w:tcW w:w="2696" w:type="dxa"/>
          </w:tcPr>
          <w:p w:rsidR="00425758" w:rsidRDefault="00425758">
            <w:pPr>
              <w:pStyle w:val="nTable"/>
              <w:spacing w:after="40"/>
            </w:pPr>
            <w:r>
              <w:t>1 Sep 1990 (see r. 2)</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widowControl w:val="0"/>
              <w:spacing w:after="40"/>
              <w:ind w:right="113"/>
              <w:rPr>
                <w:i/>
              </w:rPr>
            </w:pPr>
            <w:r>
              <w:rPr>
                <w:i/>
              </w:rPr>
              <w:t>Supreme Court Amendment Rules (No. 7) 1990</w:t>
            </w:r>
          </w:p>
        </w:tc>
        <w:tc>
          <w:tcPr>
            <w:tcW w:w="1276" w:type="dxa"/>
          </w:tcPr>
          <w:p w:rsidR="00425758" w:rsidRDefault="00425758">
            <w:pPr>
              <w:pStyle w:val="nTable"/>
              <w:spacing w:after="40"/>
            </w:pPr>
            <w:r>
              <w:t>9 Nov 1990 p. 5526</w:t>
            </w:r>
          </w:p>
        </w:tc>
        <w:tc>
          <w:tcPr>
            <w:tcW w:w="2696" w:type="dxa"/>
          </w:tcPr>
          <w:p w:rsidR="00425758" w:rsidRDefault="00425758">
            <w:pPr>
              <w:pStyle w:val="nTable"/>
              <w:spacing w:after="40"/>
            </w:pPr>
            <w:r>
              <w:t>9 Nov 1990 (see r. 2)</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widowControl w:val="0"/>
              <w:spacing w:after="40"/>
              <w:ind w:right="113"/>
              <w:rPr>
                <w:i/>
              </w:rPr>
            </w:pPr>
            <w:r>
              <w:rPr>
                <w:i/>
              </w:rPr>
              <w:t>Supreme Court Amendment Rules (No. 6) 1990</w:t>
            </w:r>
          </w:p>
        </w:tc>
        <w:tc>
          <w:tcPr>
            <w:tcW w:w="1276" w:type="dxa"/>
          </w:tcPr>
          <w:p w:rsidR="00425758" w:rsidRDefault="00425758">
            <w:pPr>
              <w:pStyle w:val="nTable"/>
              <w:spacing w:after="40"/>
            </w:pPr>
            <w:r>
              <w:t>16 Nov 1990 p. 5698</w:t>
            </w:r>
            <w:r>
              <w:noBreakHyphen/>
              <w:t>9</w:t>
            </w:r>
          </w:p>
        </w:tc>
        <w:tc>
          <w:tcPr>
            <w:tcW w:w="2696" w:type="dxa"/>
          </w:tcPr>
          <w:p w:rsidR="00425758" w:rsidRDefault="00425758">
            <w:pPr>
              <w:pStyle w:val="nTable"/>
              <w:spacing w:after="40"/>
            </w:pPr>
            <w:r>
              <w:t>16 Nov 1990 (see r. 2)</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widowControl w:val="0"/>
              <w:spacing w:after="40"/>
              <w:ind w:right="113"/>
              <w:rPr>
                <w:i/>
              </w:rPr>
            </w:pPr>
            <w:r>
              <w:rPr>
                <w:i/>
              </w:rPr>
              <w:t>Supreme Court Amendment Rules (No. 8) 1990</w:t>
            </w:r>
          </w:p>
        </w:tc>
        <w:tc>
          <w:tcPr>
            <w:tcW w:w="1276" w:type="dxa"/>
          </w:tcPr>
          <w:p w:rsidR="00425758" w:rsidRDefault="00425758">
            <w:pPr>
              <w:pStyle w:val="nTable"/>
              <w:spacing w:after="40"/>
            </w:pPr>
            <w:r>
              <w:t>30 Nov 1990 p. 5900</w:t>
            </w:r>
            <w:r>
              <w:noBreakHyphen/>
              <w:t>1</w:t>
            </w:r>
          </w:p>
        </w:tc>
        <w:tc>
          <w:tcPr>
            <w:tcW w:w="2696" w:type="dxa"/>
          </w:tcPr>
          <w:p w:rsidR="00425758" w:rsidRDefault="00425758">
            <w:pPr>
              <w:pStyle w:val="nTable"/>
              <w:spacing w:after="40"/>
            </w:pPr>
            <w:r>
              <w:t>30 Nov 1990</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widowControl w:val="0"/>
              <w:spacing w:after="40"/>
              <w:ind w:right="113"/>
              <w:rPr>
                <w:i/>
              </w:rPr>
            </w:pPr>
            <w:r>
              <w:rPr>
                <w:i/>
              </w:rPr>
              <w:t>Supreme Court Amendment Rules (No. 4) 1990</w:t>
            </w:r>
          </w:p>
        </w:tc>
        <w:tc>
          <w:tcPr>
            <w:tcW w:w="1276" w:type="dxa"/>
          </w:tcPr>
          <w:p w:rsidR="00425758" w:rsidRDefault="00425758">
            <w:pPr>
              <w:pStyle w:val="nTable"/>
              <w:spacing w:after="40"/>
            </w:pPr>
            <w:r>
              <w:t>8 Feb 1991 p. 582</w:t>
            </w:r>
            <w:r>
              <w:noBreakHyphen/>
              <w:t>8</w:t>
            </w:r>
          </w:p>
        </w:tc>
        <w:tc>
          <w:tcPr>
            <w:tcW w:w="2696" w:type="dxa"/>
          </w:tcPr>
          <w:p w:rsidR="00425758" w:rsidRDefault="00425758">
            <w:pPr>
              <w:pStyle w:val="nTable"/>
              <w:spacing w:after="40"/>
            </w:pPr>
            <w:r>
              <w:t>8 Mar 1991 (see r. 2 and Gazette 8 Mar 1991 p. 1029</w:t>
            </w:r>
            <w:r>
              <w:noBreakHyphen/>
              <w:t>30)</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widowControl w:val="0"/>
              <w:spacing w:after="40"/>
              <w:ind w:right="113"/>
              <w:rPr>
                <w:i/>
              </w:rPr>
            </w:pPr>
            <w:r>
              <w:rPr>
                <w:i/>
              </w:rPr>
              <w:t>Supreme Court Amendment Rules 1991</w:t>
            </w:r>
          </w:p>
        </w:tc>
        <w:tc>
          <w:tcPr>
            <w:tcW w:w="1276" w:type="dxa"/>
          </w:tcPr>
          <w:p w:rsidR="00425758" w:rsidRDefault="00425758">
            <w:pPr>
              <w:pStyle w:val="nTable"/>
              <w:spacing w:after="40"/>
            </w:pPr>
            <w:r>
              <w:t>5 Apr 1991 p. 1397</w:t>
            </w:r>
            <w:r>
              <w:noBreakHyphen/>
              <w:t>8</w:t>
            </w:r>
          </w:p>
        </w:tc>
        <w:tc>
          <w:tcPr>
            <w:tcW w:w="2696" w:type="dxa"/>
          </w:tcPr>
          <w:p w:rsidR="00425758" w:rsidRDefault="00425758">
            <w:pPr>
              <w:pStyle w:val="nTable"/>
              <w:spacing w:after="40"/>
            </w:pPr>
            <w:r>
              <w:t>5 Apr 1991</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widowControl w:val="0"/>
              <w:spacing w:after="40"/>
              <w:ind w:right="113"/>
              <w:rPr>
                <w:i/>
              </w:rPr>
            </w:pPr>
            <w:r>
              <w:rPr>
                <w:i/>
              </w:rPr>
              <w:t>Supreme Court Amendment Rules (No. 3) 1991</w:t>
            </w:r>
          </w:p>
        </w:tc>
        <w:tc>
          <w:tcPr>
            <w:tcW w:w="1276" w:type="dxa"/>
          </w:tcPr>
          <w:p w:rsidR="00425758" w:rsidRDefault="00425758">
            <w:pPr>
              <w:pStyle w:val="nTable"/>
              <w:spacing w:after="40"/>
            </w:pPr>
            <w:r>
              <w:t>5 Apr 1991 p. 1398</w:t>
            </w:r>
            <w:r>
              <w:noBreakHyphen/>
              <w:t>401</w:t>
            </w:r>
          </w:p>
        </w:tc>
        <w:tc>
          <w:tcPr>
            <w:tcW w:w="2696" w:type="dxa"/>
          </w:tcPr>
          <w:p w:rsidR="00425758" w:rsidRDefault="00425758">
            <w:pPr>
              <w:pStyle w:val="nTable"/>
              <w:spacing w:after="40"/>
            </w:pPr>
            <w:r>
              <w:t>5 Apr 1991</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widowControl w:val="0"/>
              <w:spacing w:after="40"/>
              <w:ind w:right="113"/>
              <w:rPr>
                <w:i/>
              </w:rPr>
            </w:pPr>
            <w:r>
              <w:rPr>
                <w:i/>
              </w:rPr>
              <w:t>Supreme Court Amendment Rules (No. 2) 1991</w:t>
            </w:r>
          </w:p>
        </w:tc>
        <w:tc>
          <w:tcPr>
            <w:tcW w:w="1276" w:type="dxa"/>
          </w:tcPr>
          <w:p w:rsidR="00425758" w:rsidRDefault="00425758">
            <w:pPr>
              <w:pStyle w:val="nTable"/>
              <w:spacing w:after="40"/>
            </w:pPr>
            <w:r>
              <w:t>19 Apr 1991 p. 1714</w:t>
            </w:r>
            <w:r>
              <w:noBreakHyphen/>
              <w:t>19</w:t>
            </w:r>
          </w:p>
        </w:tc>
        <w:tc>
          <w:tcPr>
            <w:tcW w:w="2696" w:type="dxa"/>
          </w:tcPr>
          <w:p w:rsidR="00425758" w:rsidRDefault="00425758">
            <w:pPr>
              <w:pStyle w:val="nTable"/>
              <w:spacing w:after="40"/>
            </w:pPr>
            <w:r>
              <w:t xml:space="preserve">1 Jun 1991 (see r. 2 and </w:t>
            </w:r>
            <w:r>
              <w:rPr>
                <w:i/>
              </w:rPr>
              <w:t>Gazette</w:t>
            </w:r>
            <w:r>
              <w:t xml:space="preserve"> 17 May 1991 p. 2455)</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widowControl w:val="0"/>
              <w:spacing w:after="40"/>
              <w:ind w:right="113"/>
              <w:rPr>
                <w:i/>
              </w:rPr>
            </w:pPr>
            <w:r>
              <w:rPr>
                <w:i/>
              </w:rPr>
              <w:t>Supreme Court Amendment Rules (No. 4) </w:t>
            </w:r>
            <w:r>
              <w:rPr>
                <w:i/>
                <w:iCs/>
              </w:rPr>
              <w:t>1991</w:t>
            </w:r>
          </w:p>
        </w:tc>
        <w:tc>
          <w:tcPr>
            <w:tcW w:w="1276" w:type="dxa"/>
          </w:tcPr>
          <w:p w:rsidR="00425758" w:rsidRDefault="00425758">
            <w:pPr>
              <w:pStyle w:val="nTable"/>
              <w:spacing w:after="40"/>
            </w:pPr>
            <w:r>
              <w:t>7 Feb 1992 p. 676</w:t>
            </w:r>
            <w:r>
              <w:noBreakHyphen/>
              <w:t>93</w:t>
            </w:r>
          </w:p>
        </w:tc>
        <w:tc>
          <w:tcPr>
            <w:tcW w:w="2696" w:type="dxa"/>
          </w:tcPr>
          <w:p w:rsidR="00425758" w:rsidRDefault="00425758">
            <w:pPr>
              <w:pStyle w:val="nTable"/>
              <w:spacing w:after="40"/>
            </w:pPr>
            <w:r>
              <w:t>7 Feb 1992</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widowControl w:val="0"/>
              <w:spacing w:after="40"/>
              <w:ind w:right="113"/>
              <w:rPr>
                <w:i/>
              </w:rPr>
            </w:pPr>
            <w:r>
              <w:rPr>
                <w:i/>
                <w:iCs/>
              </w:rPr>
              <w:t>Supreme</w:t>
            </w:r>
            <w:r>
              <w:rPr>
                <w:i/>
              </w:rPr>
              <w:t xml:space="preserve"> Court Amendment Rules (No. 6) 1991</w:t>
            </w:r>
          </w:p>
        </w:tc>
        <w:tc>
          <w:tcPr>
            <w:tcW w:w="1276" w:type="dxa"/>
          </w:tcPr>
          <w:p w:rsidR="00425758" w:rsidRDefault="00425758">
            <w:pPr>
              <w:pStyle w:val="nTable"/>
              <w:spacing w:after="40"/>
            </w:pPr>
            <w:r>
              <w:t>28 Feb 1992 p. 995</w:t>
            </w:r>
            <w:r>
              <w:noBreakHyphen/>
              <w:t>8</w:t>
            </w:r>
          </w:p>
        </w:tc>
        <w:tc>
          <w:tcPr>
            <w:tcW w:w="2696" w:type="dxa"/>
          </w:tcPr>
          <w:p w:rsidR="00425758" w:rsidRDefault="00425758">
            <w:pPr>
              <w:pStyle w:val="nTable"/>
              <w:spacing w:after="40"/>
            </w:pPr>
            <w:r>
              <w:t>28 Feb 1992</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widowControl w:val="0"/>
              <w:spacing w:after="40"/>
              <w:ind w:right="113"/>
              <w:rPr>
                <w:i/>
              </w:rPr>
            </w:pPr>
            <w:r>
              <w:rPr>
                <w:i/>
                <w:iCs/>
              </w:rPr>
              <w:t>Supreme</w:t>
            </w:r>
            <w:r>
              <w:rPr>
                <w:i/>
              </w:rPr>
              <w:t xml:space="preserve"> Court Amendment Rules 1992</w:t>
            </w:r>
          </w:p>
        </w:tc>
        <w:tc>
          <w:tcPr>
            <w:tcW w:w="1276" w:type="dxa"/>
          </w:tcPr>
          <w:p w:rsidR="00425758" w:rsidRDefault="00425758">
            <w:pPr>
              <w:pStyle w:val="nTable"/>
              <w:spacing w:after="40"/>
            </w:pPr>
            <w:r>
              <w:t>5 Jun 1992 p. 2278</w:t>
            </w:r>
            <w:r>
              <w:noBreakHyphen/>
              <w:t>82</w:t>
            </w:r>
          </w:p>
        </w:tc>
        <w:tc>
          <w:tcPr>
            <w:tcW w:w="2696" w:type="dxa"/>
          </w:tcPr>
          <w:p w:rsidR="00425758" w:rsidRDefault="00425758">
            <w:pPr>
              <w:pStyle w:val="nTable"/>
              <w:spacing w:after="40"/>
            </w:pPr>
            <w:r>
              <w:t>5 Jun 1992</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widowControl w:val="0"/>
              <w:spacing w:after="40"/>
              <w:ind w:right="113"/>
              <w:rPr>
                <w:i/>
              </w:rPr>
            </w:pPr>
            <w:r>
              <w:rPr>
                <w:i/>
                <w:iCs/>
              </w:rPr>
              <w:t>Supreme</w:t>
            </w:r>
            <w:r>
              <w:rPr>
                <w:i/>
              </w:rPr>
              <w:t xml:space="preserve"> Court Amendment Rules (No. 3) 1992</w:t>
            </w:r>
          </w:p>
        </w:tc>
        <w:tc>
          <w:tcPr>
            <w:tcW w:w="1276" w:type="dxa"/>
          </w:tcPr>
          <w:p w:rsidR="00425758" w:rsidRDefault="00425758">
            <w:pPr>
              <w:pStyle w:val="nTable"/>
              <w:spacing w:after="40"/>
            </w:pPr>
            <w:r>
              <w:t>21 Aug 1992 p. 4121</w:t>
            </w:r>
            <w:r>
              <w:noBreakHyphen/>
              <w:t>4</w:t>
            </w:r>
          </w:p>
        </w:tc>
        <w:tc>
          <w:tcPr>
            <w:tcW w:w="2696" w:type="dxa"/>
          </w:tcPr>
          <w:p w:rsidR="00425758" w:rsidRDefault="00425758">
            <w:pPr>
              <w:pStyle w:val="nTable"/>
              <w:spacing w:after="40"/>
            </w:pPr>
            <w:r>
              <w:t>1 Sep 1992 (see r. 2)</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widowControl w:val="0"/>
              <w:spacing w:after="40"/>
              <w:ind w:right="113"/>
              <w:rPr>
                <w:i/>
              </w:rPr>
            </w:pPr>
            <w:r>
              <w:rPr>
                <w:i/>
              </w:rPr>
              <w:t>Supreme Court Amendment Rules (No. 4) 1992</w:t>
            </w:r>
          </w:p>
        </w:tc>
        <w:tc>
          <w:tcPr>
            <w:tcW w:w="1276" w:type="dxa"/>
          </w:tcPr>
          <w:p w:rsidR="00425758" w:rsidRDefault="00425758">
            <w:pPr>
              <w:pStyle w:val="nTable"/>
              <w:spacing w:after="40"/>
            </w:pPr>
            <w:r>
              <w:t>30 Oct 1992 p. 5309</w:t>
            </w:r>
            <w:r>
              <w:noBreakHyphen/>
              <w:t>10</w:t>
            </w:r>
          </w:p>
        </w:tc>
        <w:tc>
          <w:tcPr>
            <w:tcW w:w="2696" w:type="dxa"/>
          </w:tcPr>
          <w:p w:rsidR="00425758" w:rsidRDefault="00425758">
            <w:pPr>
              <w:pStyle w:val="nTable"/>
              <w:spacing w:after="40"/>
            </w:pPr>
            <w:r>
              <w:t>30 Oct 1992</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widowControl w:val="0"/>
              <w:spacing w:after="40"/>
              <w:ind w:right="113"/>
              <w:rPr>
                <w:i/>
              </w:rPr>
            </w:pPr>
            <w:r>
              <w:rPr>
                <w:i/>
              </w:rPr>
              <w:t>Supreme Court Amendment Rules (No. 5) 1992</w:t>
            </w:r>
          </w:p>
        </w:tc>
        <w:tc>
          <w:tcPr>
            <w:tcW w:w="1276" w:type="dxa"/>
          </w:tcPr>
          <w:p w:rsidR="00425758" w:rsidRDefault="00425758">
            <w:pPr>
              <w:pStyle w:val="nTable"/>
              <w:spacing w:after="40"/>
            </w:pPr>
            <w:r>
              <w:t>30 Oct 1992 p. 5310</w:t>
            </w:r>
            <w:r>
              <w:noBreakHyphen/>
              <w:t>11</w:t>
            </w:r>
          </w:p>
        </w:tc>
        <w:tc>
          <w:tcPr>
            <w:tcW w:w="2696" w:type="dxa"/>
          </w:tcPr>
          <w:p w:rsidR="00425758" w:rsidRDefault="00425758">
            <w:pPr>
              <w:pStyle w:val="nTable"/>
              <w:spacing w:after="40"/>
            </w:pPr>
            <w:r>
              <w:t>30 Oct 1992</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widowControl w:val="0"/>
              <w:spacing w:after="40"/>
              <w:ind w:right="113"/>
              <w:rPr>
                <w:i/>
              </w:rPr>
            </w:pPr>
            <w:r>
              <w:rPr>
                <w:i/>
              </w:rPr>
              <w:t>Supreme Court Amendment Rules (No. 6) 1992</w:t>
            </w:r>
          </w:p>
        </w:tc>
        <w:tc>
          <w:tcPr>
            <w:tcW w:w="1276" w:type="dxa"/>
          </w:tcPr>
          <w:p w:rsidR="00425758" w:rsidRDefault="00425758">
            <w:pPr>
              <w:pStyle w:val="nTable"/>
              <w:spacing w:after="40"/>
            </w:pPr>
            <w:r>
              <w:t>26 Jan 1993 p. 823</w:t>
            </w:r>
            <w:r>
              <w:noBreakHyphen/>
              <w:t>30</w:t>
            </w:r>
          </w:p>
        </w:tc>
        <w:tc>
          <w:tcPr>
            <w:tcW w:w="2696" w:type="dxa"/>
          </w:tcPr>
          <w:p w:rsidR="00425758" w:rsidRDefault="00425758">
            <w:pPr>
              <w:pStyle w:val="nTable"/>
              <w:spacing w:after="40"/>
            </w:pPr>
            <w:r>
              <w:t>26 Jan 1993</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widowControl w:val="0"/>
              <w:spacing w:after="40"/>
              <w:ind w:right="113"/>
              <w:rPr>
                <w:i/>
              </w:rPr>
            </w:pPr>
            <w:r>
              <w:rPr>
                <w:i/>
              </w:rPr>
              <w:t>Supreme Court Amendment Rules 1993</w:t>
            </w:r>
          </w:p>
        </w:tc>
        <w:tc>
          <w:tcPr>
            <w:tcW w:w="1276" w:type="dxa"/>
          </w:tcPr>
          <w:p w:rsidR="00425758" w:rsidRDefault="00425758">
            <w:pPr>
              <w:pStyle w:val="nTable"/>
              <w:spacing w:after="40"/>
            </w:pPr>
            <w:r>
              <w:t>26 Mar 1993 p. 1840</w:t>
            </w:r>
            <w:r>
              <w:noBreakHyphen/>
              <w:t>6</w:t>
            </w:r>
          </w:p>
        </w:tc>
        <w:tc>
          <w:tcPr>
            <w:tcW w:w="2696" w:type="dxa"/>
          </w:tcPr>
          <w:p w:rsidR="00425758" w:rsidRDefault="00425758">
            <w:pPr>
              <w:pStyle w:val="nTable"/>
              <w:spacing w:after="40"/>
            </w:pPr>
            <w:r>
              <w:t>26 Mar 1993</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widowControl w:val="0"/>
              <w:spacing w:after="40"/>
              <w:ind w:right="113"/>
              <w:rPr>
                <w:i/>
              </w:rPr>
            </w:pPr>
            <w:r>
              <w:rPr>
                <w:i/>
              </w:rPr>
              <w:t>Supreme Court Amendment Rules (No. 2) 1993</w:t>
            </w:r>
          </w:p>
        </w:tc>
        <w:tc>
          <w:tcPr>
            <w:tcW w:w="1276" w:type="dxa"/>
          </w:tcPr>
          <w:p w:rsidR="00425758" w:rsidRDefault="00425758">
            <w:pPr>
              <w:pStyle w:val="nTable"/>
              <w:spacing w:after="40"/>
            </w:pPr>
            <w:r>
              <w:t>20 Apr 1993 p. 2103</w:t>
            </w:r>
            <w:r>
              <w:noBreakHyphen/>
              <w:t>4</w:t>
            </w:r>
          </w:p>
        </w:tc>
        <w:tc>
          <w:tcPr>
            <w:tcW w:w="2696" w:type="dxa"/>
          </w:tcPr>
          <w:p w:rsidR="00425758" w:rsidRDefault="00425758">
            <w:pPr>
              <w:pStyle w:val="nTable"/>
              <w:spacing w:after="40"/>
            </w:pPr>
            <w:r>
              <w:t>20 Apr 1993</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widowControl w:val="0"/>
              <w:spacing w:after="40"/>
              <w:ind w:right="113"/>
              <w:rPr>
                <w:i/>
              </w:rPr>
            </w:pPr>
            <w:r>
              <w:rPr>
                <w:i/>
              </w:rPr>
              <w:t>Supreme Court Amendment Rules (No. 3) 1993</w:t>
            </w:r>
          </w:p>
        </w:tc>
        <w:tc>
          <w:tcPr>
            <w:tcW w:w="1276" w:type="dxa"/>
          </w:tcPr>
          <w:p w:rsidR="00425758" w:rsidRDefault="00425758">
            <w:pPr>
              <w:pStyle w:val="nTable"/>
              <w:spacing w:after="40"/>
            </w:pPr>
            <w:r>
              <w:t>29 Jun 1993 p. 3166</w:t>
            </w:r>
            <w:r>
              <w:noBreakHyphen/>
              <w:t>7</w:t>
            </w:r>
          </w:p>
        </w:tc>
        <w:tc>
          <w:tcPr>
            <w:tcW w:w="2696" w:type="dxa"/>
          </w:tcPr>
          <w:p w:rsidR="00425758" w:rsidRDefault="00425758">
            <w:pPr>
              <w:pStyle w:val="nTable"/>
              <w:spacing w:after="40"/>
            </w:pPr>
            <w:r>
              <w:t>29 Jun 1993</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widowControl w:val="0"/>
              <w:spacing w:after="40"/>
              <w:ind w:right="113"/>
              <w:rPr>
                <w:i/>
              </w:rPr>
            </w:pPr>
            <w:r>
              <w:rPr>
                <w:i/>
              </w:rPr>
              <w:lastRenderedPageBreak/>
              <w:t>Supreme Court Amendment Rules (No. 4) 1993</w:t>
            </w:r>
          </w:p>
        </w:tc>
        <w:tc>
          <w:tcPr>
            <w:tcW w:w="1276" w:type="dxa"/>
          </w:tcPr>
          <w:p w:rsidR="00425758" w:rsidRDefault="00425758">
            <w:pPr>
              <w:pStyle w:val="nTable"/>
              <w:spacing w:after="40"/>
            </w:pPr>
            <w:r>
              <w:t>17 Sep 1993 p. 5054</w:t>
            </w:r>
            <w:r>
              <w:noBreakHyphen/>
              <w:t>61</w:t>
            </w:r>
          </w:p>
        </w:tc>
        <w:tc>
          <w:tcPr>
            <w:tcW w:w="2696" w:type="dxa"/>
          </w:tcPr>
          <w:p w:rsidR="00425758" w:rsidRDefault="00425758">
            <w:pPr>
              <w:pStyle w:val="nTable"/>
              <w:spacing w:after="40"/>
            </w:pPr>
            <w:r>
              <w:t>17 Sep 1993</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widowControl w:val="0"/>
              <w:spacing w:after="40"/>
              <w:ind w:right="113"/>
              <w:rPr>
                <w:i/>
              </w:rPr>
            </w:pPr>
            <w:r>
              <w:rPr>
                <w:i/>
              </w:rPr>
              <w:t>Supreme Court Amendment Rules (No. 6) 1993</w:t>
            </w:r>
          </w:p>
        </w:tc>
        <w:tc>
          <w:tcPr>
            <w:tcW w:w="1276" w:type="dxa"/>
          </w:tcPr>
          <w:p w:rsidR="00425758" w:rsidRDefault="00425758">
            <w:pPr>
              <w:pStyle w:val="nTable"/>
              <w:spacing w:after="40"/>
            </w:pPr>
            <w:r>
              <w:t>1 Dec 1993 p. 6451</w:t>
            </w:r>
            <w:r>
              <w:noBreakHyphen/>
              <w:t>2</w:t>
            </w:r>
          </w:p>
        </w:tc>
        <w:tc>
          <w:tcPr>
            <w:tcW w:w="2696" w:type="dxa"/>
          </w:tcPr>
          <w:p w:rsidR="00425758" w:rsidRDefault="00425758">
            <w:pPr>
              <w:pStyle w:val="nTable"/>
              <w:spacing w:after="40"/>
            </w:pPr>
            <w:r>
              <w:t xml:space="preserve">1 Dec 1993 (see r. 2 and </w:t>
            </w:r>
            <w:r>
              <w:rPr>
                <w:i/>
              </w:rPr>
              <w:t>Gazette</w:t>
            </w:r>
            <w:r>
              <w:t xml:space="preserve"> 30 Nov 1993 p. 6439)</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widowControl w:val="0"/>
              <w:spacing w:after="40"/>
              <w:ind w:right="113"/>
              <w:rPr>
                <w:i/>
              </w:rPr>
            </w:pPr>
            <w:r>
              <w:rPr>
                <w:i/>
              </w:rPr>
              <w:t>Supreme Court Amendment Rules 1994</w:t>
            </w:r>
            <w:r>
              <w:rPr>
                <w:vertAlign w:val="superscript"/>
              </w:rPr>
              <w:t> 6</w:t>
            </w:r>
          </w:p>
        </w:tc>
        <w:tc>
          <w:tcPr>
            <w:tcW w:w="1276" w:type="dxa"/>
          </w:tcPr>
          <w:p w:rsidR="00425758" w:rsidRDefault="00425758">
            <w:pPr>
              <w:pStyle w:val="nTable"/>
              <w:spacing w:after="40"/>
            </w:pPr>
            <w:r>
              <w:t>1 Mar 1994 p. 784-93</w:t>
            </w:r>
          </w:p>
        </w:tc>
        <w:tc>
          <w:tcPr>
            <w:tcW w:w="2696" w:type="dxa"/>
          </w:tcPr>
          <w:p w:rsidR="00425758" w:rsidRDefault="00425758">
            <w:pPr>
              <w:pStyle w:val="nTable"/>
              <w:spacing w:after="40"/>
            </w:pPr>
            <w:r>
              <w:t>1 Mar 1994</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widowControl w:val="0"/>
              <w:spacing w:after="40"/>
              <w:ind w:right="113"/>
              <w:rPr>
                <w:i/>
              </w:rPr>
            </w:pPr>
            <w:r>
              <w:rPr>
                <w:i/>
              </w:rPr>
              <w:t>Supreme Court Amendment Rules (No. 4) 1994</w:t>
            </w:r>
          </w:p>
        </w:tc>
        <w:tc>
          <w:tcPr>
            <w:tcW w:w="1276" w:type="dxa"/>
          </w:tcPr>
          <w:p w:rsidR="00425758" w:rsidRDefault="00425758">
            <w:pPr>
              <w:pStyle w:val="nTable"/>
              <w:spacing w:after="40"/>
            </w:pPr>
            <w:r>
              <w:t>28 Jun 1994 p. 3047</w:t>
            </w:r>
            <w:r>
              <w:noBreakHyphen/>
              <w:t>141</w:t>
            </w:r>
          </w:p>
        </w:tc>
        <w:tc>
          <w:tcPr>
            <w:tcW w:w="2696" w:type="dxa"/>
          </w:tcPr>
          <w:p w:rsidR="00425758" w:rsidRDefault="00425758">
            <w:pPr>
              <w:pStyle w:val="nTable"/>
              <w:spacing w:after="40"/>
            </w:pPr>
            <w:r>
              <w:t>1 Aug 1994 (see r. 2)</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widowControl w:val="0"/>
              <w:spacing w:after="40"/>
              <w:ind w:right="113"/>
              <w:rPr>
                <w:i/>
              </w:rPr>
            </w:pPr>
            <w:r>
              <w:rPr>
                <w:i/>
              </w:rPr>
              <w:t>Supreme Court Amendment Rules (No. 2) 1994</w:t>
            </w:r>
          </w:p>
        </w:tc>
        <w:tc>
          <w:tcPr>
            <w:tcW w:w="1276" w:type="dxa"/>
          </w:tcPr>
          <w:p w:rsidR="00425758" w:rsidRDefault="00425758">
            <w:pPr>
              <w:pStyle w:val="nTable"/>
              <w:spacing w:after="40"/>
            </w:pPr>
            <w:r>
              <w:t>1 Jul 1994 p. 3238</w:t>
            </w:r>
            <w:r>
              <w:noBreakHyphen/>
              <w:t>9</w:t>
            </w:r>
          </w:p>
        </w:tc>
        <w:tc>
          <w:tcPr>
            <w:tcW w:w="2696" w:type="dxa"/>
          </w:tcPr>
          <w:p w:rsidR="00425758" w:rsidRDefault="00425758">
            <w:pPr>
              <w:pStyle w:val="nTable"/>
              <w:spacing w:after="40"/>
            </w:pPr>
            <w:r>
              <w:t>1 Jul 1994</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widowControl w:val="0"/>
              <w:spacing w:after="40"/>
              <w:ind w:right="113"/>
              <w:rPr>
                <w:i/>
              </w:rPr>
            </w:pPr>
            <w:r>
              <w:rPr>
                <w:i/>
              </w:rPr>
              <w:t>Supreme Court Amendment Rules (No. 3) 1994</w:t>
            </w:r>
          </w:p>
        </w:tc>
        <w:tc>
          <w:tcPr>
            <w:tcW w:w="1276" w:type="dxa"/>
          </w:tcPr>
          <w:p w:rsidR="00425758" w:rsidRDefault="00425758">
            <w:pPr>
              <w:pStyle w:val="nTable"/>
              <w:spacing w:after="40"/>
            </w:pPr>
            <w:r>
              <w:t>22 Jul 1994 p. 3746</w:t>
            </w:r>
            <w:r>
              <w:noBreakHyphen/>
              <w:t>8</w:t>
            </w:r>
          </w:p>
        </w:tc>
        <w:tc>
          <w:tcPr>
            <w:tcW w:w="2696" w:type="dxa"/>
          </w:tcPr>
          <w:p w:rsidR="00425758" w:rsidRDefault="00425758">
            <w:pPr>
              <w:pStyle w:val="nTable"/>
              <w:spacing w:after="40"/>
            </w:pPr>
            <w:r>
              <w:t>22 Jul 1994</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widowControl w:val="0"/>
              <w:spacing w:after="40"/>
              <w:ind w:right="113"/>
              <w:rPr>
                <w:i/>
              </w:rPr>
            </w:pPr>
            <w:r>
              <w:rPr>
                <w:i/>
              </w:rPr>
              <w:t>Supreme Court Amendment Rules (No. 5) 1994</w:t>
            </w:r>
          </w:p>
        </w:tc>
        <w:tc>
          <w:tcPr>
            <w:tcW w:w="1276" w:type="dxa"/>
          </w:tcPr>
          <w:p w:rsidR="00425758" w:rsidRDefault="00425758">
            <w:pPr>
              <w:pStyle w:val="nTable"/>
              <w:spacing w:after="40"/>
            </w:pPr>
            <w:r>
              <w:t>26 Aug 1994 p. 4410</w:t>
            </w:r>
            <w:r>
              <w:noBreakHyphen/>
              <w:t>13</w:t>
            </w:r>
          </w:p>
        </w:tc>
        <w:tc>
          <w:tcPr>
            <w:tcW w:w="2696" w:type="dxa"/>
          </w:tcPr>
          <w:p w:rsidR="00425758" w:rsidRDefault="00425758">
            <w:pPr>
              <w:pStyle w:val="nTable"/>
              <w:spacing w:after="40"/>
            </w:pPr>
            <w:r>
              <w:t>26 Aug 1994</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widowControl w:val="0"/>
              <w:spacing w:after="40"/>
              <w:ind w:right="113"/>
              <w:rPr>
                <w:i/>
              </w:rPr>
            </w:pPr>
            <w:r>
              <w:rPr>
                <w:i/>
              </w:rPr>
              <w:t>Supreme Court Amendment Rules (No. 7) 1994</w:t>
            </w:r>
          </w:p>
        </w:tc>
        <w:tc>
          <w:tcPr>
            <w:tcW w:w="1276" w:type="dxa"/>
          </w:tcPr>
          <w:p w:rsidR="00425758" w:rsidRDefault="00425758">
            <w:pPr>
              <w:pStyle w:val="nTable"/>
              <w:spacing w:after="40"/>
            </w:pPr>
            <w:r>
              <w:t>26 Aug 1994 p. 4414</w:t>
            </w:r>
            <w:r>
              <w:noBreakHyphen/>
              <w:t>15</w:t>
            </w:r>
          </w:p>
        </w:tc>
        <w:tc>
          <w:tcPr>
            <w:tcW w:w="2696" w:type="dxa"/>
          </w:tcPr>
          <w:p w:rsidR="00425758" w:rsidRDefault="00425758">
            <w:pPr>
              <w:pStyle w:val="nTable"/>
              <w:spacing w:after="40"/>
            </w:pPr>
            <w:r>
              <w:t>26 Aug 1994</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widowControl w:val="0"/>
              <w:spacing w:after="40"/>
              <w:ind w:right="113"/>
              <w:rPr>
                <w:i/>
              </w:rPr>
            </w:pPr>
            <w:r>
              <w:rPr>
                <w:i/>
              </w:rPr>
              <w:t>Supreme Court Amendment Rules (No. 6) 1994</w:t>
            </w:r>
          </w:p>
        </w:tc>
        <w:tc>
          <w:tcPr>
            <w:tcW w:w="1276" w:type="dxa"/>
          </w:tcPr>
          <w:p w:rsidR="00425758" w:rsidRDefault="00425758">
            <w:pPr>
              <w:pStyle w:val="nTable"/>
              <w:spacing w:after="40"/>
            </w:pPr>
            <w:r>
              <w:t>9 Sep 1994 p. 4630</w:t>
            </w:r>
          </w:p>
        </w:tc>
        <w:tc>
          <w:tcPr>
            <w:tcW w:w="2696" w:type="dxa"/>
          </w:tcPr>
          <w:p w:rsidR="00425758" w:rsidRDefault="00425758">
            <w:pPr>
              <w:pStyle w:val="nTable"/>
              <w:spacing w:after="40"/>
            </w:pPr>
            <w:r>
              <w:t>9 Sep 1994</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widowControl w:val="0"/>
              <w:spacing w:after="40"/>
              <w:ind w:right="113"/>
              <w:rPr>
                <w:i/>
              </w:rPr>
            </w:pPr>
            <w:r>
              <w:rPr>
                <w:i/>
              </w:rPr>
              <w:t>Supreme Court Amendment Rules (No. 8) 1994</w:t>
            </w:r>
          </w:p>
        </w:tc>
        <w:tc>
          <w:tcPr>
            <w:tcW w:w="1276" w:type="dxa"/>
          </w:tcPr>
          <w:p w:rsidR="00425758" w:rsidRDefault="00425758">
            <w:pPr>
              <w:pStyle w:val="nTable"/>
              <w:spacing w:after="40"/>
            </w:pPr>
            <w:r>
              <w:t>11 Nov 1994 p. 5701</w:t>
            </w:r>
            <w:r>
              <w:noBreakHyphen/>
              <w:t>2</w:t>
            </w:r>
          </w:p>
        </w:tc>
        <w:tc>
          <w:tcPr>
            <w:tcW w:w="2696" w:type="dxa"/>
          </w:tcPr>
          <w:p w:rsidR="00425758" w:rsidRDefault="00425758">
            <w:pPr>
              <w:pStyle w:val="nTable"/>
              <w:spacing w:after="40"/>
            </w:pPr>
            <w:r>
              <w:t>11 Nov 1994</w:t>
            </w:r>
          </w:p>
        </w:tc>
      </w:tr>
      <w:tr w:rsidR="00425758">
        <w:tblPrEx>
          <w:tblBorders>
            <w:top w:val="none" w:sz="0" w:space="0" w:color="auto"/>
            <w:bottom w:val="none" w:sz="0" w:space="0" w:color="auto"/>
            <w:insideH w:val="none" w:sz="0" w:space="0" w:color="auto"/>
          </w:tblBorders>
        </w:tblPrEx>
        <w:trPr>
          <w:cantSplit/>
        </w:trPr>
        <w:tc>
          <w:tcPr>
            <w:tcW w:w="7090" w:type="dxa"/>
            <w:gridSpan w:val="3"/>
          </w:tcPr>
          <w:p w:rsidR="00425758" w:rsidRDefault="00425758">
            <w:pPr>
              <w:pStyle w:val="nTable"/>
              <w:spacing w:after="40"/>
            </w:pPr>
            <w:r>
              <w:rPr>
                <w:b/>
              </w:rPr>
              <w:t xml:space="preserve">Reprint of the </w:t>
            </w:r>
            <w:r>
              <w:rPr>
                <w:b/>
                <w:i/>
              </w:rPr>
              <w:t>Rules of the Supreme Court 1971</w:t>
            </w:r>
            <w:r>
              <w:rPr>
                <w:b/>
              </w:rPr>
              <w:t xml:space="preserve"> as at 21 Nov 1994</w:t>
            </w:r>
            <w:r>
              <w:t xml:space="preserve"> (includes amendments listed above)</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widowControl w:val="0"/>
              <w:spacing w:after="40"/>
              <w:ind w:right="113"/>
              <w:rPr>
                <w:i/>
              </w:rPr>
            </w:pPr>
            <w:r>
              <w:rPr>
                <w:i/>
              </w:rPr>
              <w:t>Supreme Court Amendment Rules 1995</w:t>
            </w:r>
          </w:p>
        </w:tc>
        <w:tc>
          <w:tcPr>
            <w:tcW w:w="1276" w:type="dxa"/>
          </w:tcPr>
          <w:p w:rsidR="00425758" w:rsidRDefault="00425758">
            <w:pPr>
              <w:pStyle w:val="nTable"/>
              <w:spacing w:after="40"/>
            </w:pPr>
            <w:r>
              <w:t>24 Jan 1995 p. 269</w:t>
            </w:r>
            <w:r>
              <w:noBreakHyphen/>
              <w:t>72</w:t>
            </w:r>
          </w:p>
        </w:tc>
        <w:tc>
          <w:tcPr>
            <w:tcW w:w="2696" w:type="dxa"/>
          </w:tcPr>
          <w:p w:rsidR="00425758" w:rsidRDefault="00425758">
            <w:pPr>
              <w:pStyle w:val="nTable"/>
              <w:spacing w:after="40"/>
            </w:pPr>
            <w:r>
              <w:t>24 Jan 1995</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widowControl w:val="0"/>
              <w:spacing w:after="40"/>
              <w:ind w:right="113"/>
              <w:rPr>
                <w:i/>
              </w:rPr>
            </w:pPr>
            <w:r>
              <w:rPr>
                <w:i/>
              </w:rPr>
              <w:t>Supreme Court Amendment Rules (No. 2) 1995</w:t>
            </w:r>
          </w:p>
        </w:tc>
        <w:tc>
          <w:tcPr>
            <w:tcW w:w="1276" w:type="dxa"/>
          </w:tcPr>
          <w:p w:rsidR="00425758" w:rsidRDefault="00425758">
            <w:pPr>
              <w:pStyle w:val="nTable"/>
              <w:spacing w:after="40"/>
            </w:pPr>
            <w:r>
              <w:t>24 Jan 1995 p. 272</w:t>
            </w:r>
            <w:r>
              <w:noBreakHyphen/>
              <w:t>3</w:t>
            </w:r>
          </w:p>
        </w:tc>
        <w:tc>
          <w:tcPr>
            <w:tcW w:w="2696" w:type="dxa"/>
          </w:tcPr>
          <w:p w:rsidR="00425758" w:rsidRDefault="00425758">
            <w:pPr>
              <w:pStyle w:val="nTable"/>
              <w:spacing w:after="40"/>
            </w:pPr>
            <w:r>
              <w:t>24 Jan 1995</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widowControl w:val="0"/>
              <w:spacing w:after="40"/>
              <w:ind w:right="113"/>
              <w:rPr>
                <w:i/>
              </w:rPr>
            </w:pPr>
            <w:r>
              <w:rPr>
                <w:i/>
              </w:rPr>
              <w:t>Supreme Court Amendment Rules (No. 4) 1995</w:t>
            </w:r>
          </w:p>
        </w:tc>
        <w:tc>
          <w:tcPr>
            <w:tcW w:w="1276" w:type="dxa"/>
          </w:tcPr>
          <w:p w:rsidR="00425758" w:rsidRDefault="00425758">
            <w:pPr>
              <w:pStyle w:val="nTable"/>
              <w:spacing w:after="40"/>
            </w:pPr>
            <w:r>
              <w:t>7 Jul 1995 p. 2819</w:t>
            </w:r>
          </w:p>
        </w:tc>
        <w:tc>
          <w:tcPr>
            <w:tcW w:w="2696" w:type="dxa"/>
          </w:tcPr>
          <w:p w:rsidR="00425758" w:rsidRDefault="00425758">
            <w:pPr>
              <w:pStyle w:val="nTable"/>
              <w:spacing w:after="40"/>
            </w:pPr>
            <w:r>
              <w:t>7 Jul 1995</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widowControl w:val="0"/>
              <w:spacing w:after="40"/>
              <w:ind w:right="113"/>
              <w:rPr>
                <w:i/>
              </w:rPr>
            </w:pPr>
            <w:r>
              <w:rPr>
                <w:i/>
              </w:rPr>
              <w:t>Supreme Court Amendment Rules (No. 5) 1995</w:t>
            </w:r>
          </w:p>
        </w:tc>
        <w:tc>
          <w:tcPr>
            <w:tcW w:w="1276" w:type="dxa"/>
          </w:tcPr>
          <w:p w:rsidR="00425758" w:rsidRDefault="00425758">
            <w:pPr>
              <w:pStyle w:val="nTable"/>
              <w:spacing w:after="40"/>
            </w:pPr>
            <w:r>
              <w:t>24 Oct 1995 p. 4917</w:t>
            </w:r>
            <w:r>
              <w:noBreakHyphen/>
              <w:t>21</w:t>
            </w:r>
          </w:p>
        </w:tc>
        <w:tc>
          <w:tcPr>
            <w:tcW w:w="2696" w:type="dxa"/>
          </w:tcPr>
          <w:p w:rsidR="00425758" w:rsidRDefault="00425758">
            <w:pPr>
              <w:pStyle w:val="nTable"/>
              <w:spacing w:after="40"/>
            </w:pPr>
            <w:r>
              <w:t>24 Oct 1995</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widowControl w:val="0"/>
              <w:spacing w:after="40"/>
              <w:ind w:right="113"/>
              <w:rPr>
                <w:i/>
              </w:rPr>
            </w:pPr>
            <w:r>
              <w:rPr>
                <w:i/>
              </w:rPr>
              <w:t>Supreme Court Amendment Rules (No. 6) 1995</w:t>
            </w:r>
          </w:p>
        </w:tc>
        <w:tc>
          <w:tcPr>
            <w:tcW w:w="1276" w:type="dxa"/>
          </w:tcPr>
          <w:p w:rsidR="00425758" w:rsidRDefault="00425758">
            <w:pPr>
              <w:pStyle w:val="nTable"/>
              <w:spacing w:after="40"/>
            </w:pPr>
            <w:r>
              <w:t>10 Nov 1995 p. 5246</w:t>
            </w:r>
            <w:r>
              <w:noBreakHyphen/>
              <w:t>7</w:t>
            </w:r>
          </w:p>
        </w:tc>
        <w:tc>
          <w:tcPr>
            <w:tcW w:w="2696" w:type="dxa"/>
          </w:tcPr>
          <w:p w:rsidR="00425758" w:rsidRDefault="00425758">
            <w:pPr>
              <w:pStyle w:val="nTable"/>
              <w:spacing w:after="40"/>
            </w:pPr>
            <w:r>
              <w:t>10 Nov 1995</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widowControl w:val="0"/>
              <w:spacing w:after="40"/>
              <w:ind w:right="113"/>
              <w:rPr>
                <w:i/>
              </w:rPr>
            </w:pPr>
            <w:r>
              <w:rPr>
                <w:i/>
              </w:rPr>
              <w:t>Supreme Court Amendment Rules 1996</w:t>
            </w:r>
          </w:p>
        </w:tc>
        <w:tc>
          <w:tcPr>
            <w:tcW w:w="1276" w:type="dxa"/>
          </w:tcPr>
          <w:p w:rsidR="00425758" w:rsidRDefault="00425758">
            <w:pPr>
              <w:pStyle w:val="nTable"/>
              <w:spacing w:after="40"/>
            </w:pPr>
            <w:r>
              <w:t>9 Aug 1996 p. 3949</w:t>
            </w:r>
            <w:r>
              <w:noBreakHyphen/>
              <w:t>51</w:t>
            </w:r>
          </w:p>
        </w:tc>
        <w:tc>
          <w:tcPr>
            <w:tcW w:w="2696" w:type="dxa"/>
          </w:tcPr>
          <w:p w:rsidR="00425758" w:rsidRDefault="00425758">
            <w:pPr>
              <w:pStyle w:val="nTable"/>
              <w:spacing w:after="40"/>
            </w:pPr>
            <w:r>
              <w:t>9 Aug 1996</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widowControl w:val="0"/>
              <w:spacing w:after="40"/>
              <w:ind w:right="113"/>
              <w:rPr>
                <w:i/>
              </w:rPr>
            </w:pPr>
            <w:r>
              <w:rPr>
                <w:i/>
              </w:rPr>
              <w:t>Supreme Court Amendment Rules (No. 3) 1996</w:t>
            </w:r>
          </w:p>
        </w:tc>
        <w:tc>
          <w:tcPr>
            <w:tcW w:w="1276" w:type="dxa"/>
          </w:tcPr>
          <w:p w:rsidR="00425758" w:rsidRDefault="00425758">
            <w:pPr>
              <w:pStyle w:val="nTable"/>
              <w:spacing w:after="40"/>
            </w:pPr>
            <w:r>
              <w:t>13 Sep 1996 p. 4568</w:t>
            </w:r>
          </w:p>
        </w:tc>
        <w:tc>
          <w:tcPr>
            <w:tcW w:w="2696" w:type="dxa"/>
          </w:tcPr>
          <w:p w:rsidR="00425758" w:rsidRDefault="00425758">
            <w:pPr>
              <w:pStyle w:val="nTable"/>
              <w:spacing w:after="40"/>
            </w:pPr>
            <w:r>
              <w:t xml:space="preserve">7 Apr 1997 (see r. 2 and </w:t>
            </w:r>
            <w:r>
              <w:rPr>
                <w:i/>
              </w:rPr>
              <w:t>Gazette</w:t>
            </w:r>
            <w:r>
              <w:t xml:space="preserve"> 18 Mar 1997 p. 1529)</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widowControl w:val="0"/>
              <w:spacing w:after="40"/>
              <w:ind w:right="113"/>
              <w:rPr>
                <w:i/>
              </w:rPr>
            </w:pPr>
            <w:r>
              <w:rPr>
                <w:i/>
              </w:rPr>
              <w:t>Supreme Court Amendment Rules (No. 4) 1996</w:t>
            </w:r>
          </w:p>
        </w:tc>
        <w:tc>
          <w:tcPr>
            <w:tcW w:w="1276" w:type="dxa"/>
          </w:tcPr>
          <w:p w:rsidR="00425758" w:rsidRDefault="00425758">
            <w:pPr>
              <w:pStyle w:val="nTable"/>
              <w:spacing w:after="40"/>
            </w:pPr>
            <w:r>
              <w:t>28 Oct 1996 p. 5671</w:t>
            </w:r>
            <w:r>
              <w:noBreakHyphen/>
              <w:t>712</w:t>
            </w:r>
          </w:p>
        </w:tc>
        <w:tc>
          <w:tcPr>
            <w:tcW w:w="2696" w:type="dxa"/>
          </w:tcPr>
          <w:p w:rsidR="00425758" w:rsidRDefault="00425758">
            <w:pPr>
              <w:pStyle w:val="nTable"/>
              <w:spacing w:after="40"/>
            </w:pPr>
            <w:r>
              <w:t>1 Nov 1996 (see r. 2)</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widowControl w:val="0"/>
              <w:spacing w:after="40"/>
              <w:ind w:right="113"/>
              <w:rPr>
                <w:i/>
              </w:rPr>
            </w:pPr>
            <w:r>
              <w:rPr>
                <w:i/>
              </w:rPr>
              <w:lastRenderedPageBreak/>
              <w:t>Supreme Court Amendment Rules (No. 2) 1997</w:t>
            </w:r>
            <w:r>
              <w:rPr>
                <w:vertAlign w:val="superscript"/>
              </w:rPr>
              <w:t> 7</w:t>
            </w:r>
          </w:p>
        </w:tc>
        <w:tc>
          <w:tcPr>
            <w:tcW w:w="1276" w:type="dxa"/>
          </w:tcPr>
          <w:p w:rsidR="00425758" w:rsidRDefault="00425758">
            <w:pPr>
              <w:pStyle w:val="nTable"/>
              <w:spacing w:after="40"/>
            </w:pPr>
            <w:r>
              <w:t>1 Jul 1997 p. 3258</w:t>
            </w:r>
            <w:r>
              <w:noBreakHyphen/>
              <w:t>60</w:t>
            </w:r>
          </w:p>
        </w:tc>
        <w:tc>
          <w:tcPr>
            <w:tcW w:w="2696" w:type="dxa"/>
          </w:tcPr>
          <w:p w:rsidR="00425758" w:rsidRDefault="00425758">
            <w:pPr>
              <w:pStyle w:val="nTable"/>
              <w:spacing w:after="40"/>
            </w:pPr>
            <w:r>
              <w:t xml:space="preserve">21 Jul 1997 (see r. 2 and correction in </w:t>
            </w:r>
            <w:r>
              <w:rPr>
                <w:i/>
              </w:rPr>
              <w:t>Gazette</w:t>
            </w:r>
            <w:r>
              <w:t xml:space="preserve"> 4 Jul 1997 p. 3480)</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widowControl w:val="0"/>
              <w:spacing w:after="40"/>
              <w:ind w:right="113"/>
              <w:rPr>
                <w:i/>
              </w:rPr>
            </w:pPr>
            <w:r>
              <w:rPr>
                <w:i/>
              </w:rPr>
              <w:t>Supreme Court Amendment Rules (No. 1) 1998</w:t>
            </w:r>
          </w:p>
        </w:tc>
        <w:tc>
          <w:tcPr>
            <w:tcW w:w="1276" w:type="dxa"/>
          </w:tcPr>
          <w:p w:rsidR="00425758" w:rsidRDefault="00425758">
            <w:pPr>
              <w:pStyle w:val="nTable"/>
              <w:spacing w:after="40"/>
            </w:pPr>
            <w:r>
              <w:t>6 Mar 1998  p. 1177</w:t>
            </w:r>
          </w:p>
        </w:tc>
        <w:tc>
          <w:tcPr>
            <w:tcW w:w="2696" w:type="dxa"/>
          </w:tcPr>
          <w:p w:rsidR="00425758" w:rsidRDefault="00425758">
            <w:pPr>
              <w:pStyle w:val="nTable"/>
              <w:spacing w:after="40"/>
            </w:pPr>
            <w:r>
              <w:t>6 Mar 1998</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widowControl w:val="0"/>
              <w:spacing w:after="40"/>
              <w:ind w:right="113"/>
              <w:rPr>
                <w:i/>
              </w:rPr>
            </w:pPr>
            <w:r>
              <w:rPr>
                <w:i/>
              </w:rPr>
              <w:t>Supreme Court Amendment Rules (No. 2) 1998</w:t>
            </w:r>
          </w:p>
        </w:tc>
        <w:tc>
          <w:tcPr>
            <w:tcW w:w="1276" w:type="dxa"/>
          </w:tcPr>
          <w:p w:rsidR="00425758" w:rsidRDefault="00425758">
            <w:pPr>
              <w:pStyle w:val="nTable"/>
              <w:spacing w:after="40"/>
            </w:pPr>
            <w:r>
              <w:t>6 Mar 1998  p. 1178</w:t>
            </w:r>
          </w:p>
        </w:tc>
        <w:tc>
          <w:tcPr>
            <w:tcW w:w="2696" w:type="dxa"/>
          </w:tcPr>
          <w:p w:rsidR="00425758" w:rsidRDefault="00425758">
            <w:pPr>
              <w:pStyle w:val="nTable"/>
              <w:spacing w:after="40"/>
            </w:pPr>
            <w:r>
              <w:t>6 Mar 1998</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widowControl w:val="0"/>
              <w:spacing w:after="40"/>
              <w:ind w:right="113"/>
              <w:rPr>
                <w:i/>
              </w:rPr>
            </w:pPr>
            <w:r>
              <w:rPr>
                <w:i/>
              </w:rPr>
              <w:t>Supreme Court Amendment Rules 1999</w:t>
            </w:r>
          </w:p>
        </w:tc>
        <w:tc>
          <w:tcPr>
            <w:tcW w:w="1276" w:type="dxa"/>
          </w:tcPr>
          <w:p w:rsidR="00425758" w:rsidRDefault="00425758">
            <w:pPr>
              <w:pStyle w:val="nTable"/>
              <w:spacing w:after="40"/>
            </w:pPr>
            <w:r>
              <w:t>16 Jul 1999 p. 3187</w:t>
            </w:r>
            <w:r>
              <w:noBreakHyphen/>
              <w:t>200</w:t>
            </w:r>
            <w:r>
              <w:br/>
              <w:t>(as amended 5 Nov 1999 p. 5632)</w:t>
            </w:r>
          </w:p>
        </w:tc>
        <w:tc>
          <w:tcPr>
            <w:tcW w:w="2696" w:type="dxa"/>
          </w:tcPr>
          <w:p w:rsidR="00425758" w:rsidRDefault="00425758">
            <w:pPr>
              <w:pStyle w:val="nTable"/>
              <w:spacing w:after="40"/>
            </w:pPr>
            <w:r>
              <w:t>16 Jul 1999</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widowControl w:val="0"/>
              <w:spacing w:after="40"/>
              <w:ind w:right="113"/>
              <w:rPr>
                <w:i/>
              </w:rPr>
            </w:pPr>
            <w:r>
              <w:rPr>
                <w:i/>
              </w:rPr>
              <w:t>Supreme Court Amendment Rules (No. 2) 1999</w:t>
            </w:r>
          </w:p>
        </w:tc>
        <w:tc>
          <w:tcPr>
            <w:tcW w:w="1276" w:type="dxa"/>
          </w:tcPr>
          <w:p w:rsidR="00425758" w:rsidRDefault="00425758">
            <w:pPr>
              <w:pStyle w:val="nTable"/>
              <w:spacing w:after="40"/>
            </w:pPr>
            <w:r>
              <w:t>16 Jul 1999 p. 3201</w:t>
            </w:r>
          </w:p>
        </w:tc>
        <w:tc>
          <w:tcPr>
            <w:tcW w:w="2696" w:type="dxa"/>
          </w:tcPr>
          <w:p w:rsidR="00425758" w:rsidRDefault="00425758">
            <w:pPr>
              <w:pStyle w:val="nTable"/>
              <w:spacing w:after="40"/>
            </w:pPr>
            <w:r>
              <w:t xml:space="preserve">8 Jan 2000 (see r. 2 and </w:t>
            </w:r>
            <w:r>
              <w:rPr>
                <w:i/>
              </w:rPr>
              <w:t>Gazette</w:t>
            </w:r>
            <w:r>
              <w:t xml:space="preserve"> 7 Jan 2000 p. 19)</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widowControl w:val="0"/>
              <w:spacing w:after="40"/>
              <w:ind w:right="113"/>
              <w:rPr>
                <w:i/>
              </w:rPr>
            </w:pPr>
            <w:r>
              <w:rPr>
                <w:i/>
              </w:rPr>
              <w:t>Supreme Court Amendment Rules (No. 5) 1999</w:t>
            </w:r>
          </w:p>
        </w:tc>
        <w:tc>
          <w:tcPr>
            <w:tcW w:w="1276" w:type="dxa"/>
          </w:tcPr>
          <w:p w:rsidR="00425758" w:rsidRDefault="00425758">
            <w:pPr>
              <w:pStyle w:val="nTable"/>
              <w:spacing w:after="40"/>
            </w:pPr>
            <w:r>
              <w:t>5 Nov 1999 p. 5625</w:t>
            </w:r>
            <w:r>
              <w:noBreakHyphen/>
              <w:t>33</w:t>
            </w:r>
          </w:p>
        </w:tc>
        <w:tc>
          <w:tcPr>
            <w:tcW w:w="2696" w:type="dxa"/>
          </w:tcPr>
          <w:p w:rsidR="00425758" w:rsidRDefault="00425758">
            <w:pPr>
              <w:pStyle w:val="nTable"/>
              <w:spacing w:after="40"/>
            </w:pPr>
            <w:r>
              <w:t>5 Nov 1999</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widowControl w:val="0"/>
              <w:spacing w:after="40"/>
              <w:ind w:right="113"/>
              <w:rPr>
                <w:i/>
              </w:rPr>
            </w:pPr>
            <w:r>
              <w:rPr>
                <w:i/>
              </w:rPr>
              <w:t>Supreme Court Amendment Rules (No. 4) 1999</w:t>
            </w:r>
          </w:p>
        </w:tc>
        <w:tc>
          <w:tcPr>
            <w:tcW w:w="1276" w:type="dxa"/>
          </w:tcPr>
          <w:p w:rsidR="00425758" w:rsidRDefault="00425758">
            <w:pPr>
              <w:pStyle w:val="nTable"/>
              <w:spacing w:after="40"/>
            </w:pPr>
            <w:r>
              <w:t>26 Nov 1999 p. 5903</w:t>
            </w:r>
            <w:r>
              <w:noBreakHyphen/>
              <w:t>5</w:t>
            </w:r>
          </w:p>
        </w:tc>
        <w:tc>
          <w:tcPr>
            <w:tcW w:w="2696" w:type="dxa"/>
          </w:tcPr>
          <w:p w:rsidR="00425758" w:rsidRDefault="00425758">
            <w:pPr>
              <w:pStyle w:val="nTable"/>
              <w:spacing w:after="40"/>
            </w:pPr>
            <w:r>
              <w:t>26 Nov 1999 (see r. 2)</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widowControl w:val="0"/>
              <w:spacing w:after="40"/>
              <w:ind w:right="113"/>
              <w:rPr>
                <w:i/>
              </w:rPr>
            </w:pPr>
            <w:r>
              <w:rPr>
                <w:i/>
              </w:rPr>
              <w:t>Supreme Court Amendment Rules 2000</w:t>
            </w:r>
          </w:p>
        </w:tc>
        <w:tc>
          <w:tcPr>
            <w:tcW w:w="1276" w:type="dxa"/>
          </w:tcPr>
          <w:p w:rsidR="00425758" w:rsidRDefault="00425758">
            <w:pPr>
              <w:pStyle w:val="nTable"/>
              <w:widowControl w:val="0"/>
              <w:spacing w:after="40"/>
              <w:ind w:right="113"/>
              <w:rPr>
                <w:i/>
              </w:rPr>
            </w:pPr>
            <w:r>
              <w:t>10 Mar 2000 p. 1121</w:t>
            </w:r>
          </w:p>
        </w:tc>
        <w:tc>
          <w:tcPr>
            <w:tcW w:w="2696" w:type="dxa"/>
          </w:tcPr>
          <w:p w:rsidR="00425758" w:rsidRDefault="00425758">
            <w:pPr>
              <w:pStyle w:val="nTable"/>
              <w:widowControl w:val="0"/>
              <w:spacing w:after="40"/>
              <w:ind w:right="113"/>
              <w:rPr>
                <w:i/>
              </w:rPr>
            </w:pPr>
            <w:r>
              <w:t>10 Mar 2000</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spacing w:after="40"/>
              <w:ind w:right="113"/>
              <w:rPr>
                <w:i/>
              </w:rPr>
            </w:pPr>
            <w:r>
              <w:rPr>
                <w:i/>
              </w:rPr>
              <w:t>Supreme Court Amendment Rules (No. 2) 2000</w:t>
            </w:r>
          </w:p>
        </w:tc>
        <w:tc>
          <w:tcPr>
            <w:tcW w:w="1276" w:type="dxa"/>
          </w:tcPr>
          <w:p w:rsidR="00425758" w:rsidRDefault="00425758">
            <w:pPr>
              <w:pStyle w:val="nTable"/>
              <w:spacing w:after="40"/>
            </w:pPr>
            <w:r>
              <w:t>8 May 2000 p. 2159</w:t>
            </w:r>
            <w:r>
              <w:noBreakHyphen/>
              <w:t>232</w:t>
            </w:r>
          </w:p>
        </w:tc>
        <w:tc>
          <w:tcPr>
            <w:tcW w:w="2696" w:type="dxa"/>
          </w:tcPr>
          <w:p w:rsidR="00425758" w:rsidRDefault="00425758">
            <w:pPr>
              <w:pStyle w:val="nTable"/>
              <w:spacing w:after="40"/>
            </w:pPr>
            <w:r>
              <w:t>1 Jun 2000 (see r. 2)</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spacing w:after="40"/>
              <w:ind w:right="113"/>
              <w:rPr>
                <w:i/>
              </w:rPr>
            </w:pPr>
            <w:r>
              <w:rPr>
                <w:i/>
              </w:rPr>
              <w:t>Supreme Court Amendment Rules (No. 3) 2000</w:t>
            </w:r>
          </w:p>
        </w:tc>
        <w:tc>
          <w:tcPr>
            <w:tcW w:w="1276" w:type="dxa"/>
          </w:tcPr>
          <w:p w:rsidR="00425758" w:rsidRDefault="00425758">
            <w:pPr>
              <w:pStyle w:val="nTable"/>
              <w:spacing w:after="40"/>
            </w:pPr>
            <w:r>
              <w:t>30 Jun 2000</w:t>
            </w:r>
            <w:r>
              <w:br/>
              <w:t>p. 3417</w:t>
            </w:r>
            <w:r>
              <w:noBreakHyphen/>
              <w:t>19</w:t>
            </w:r>
          </w:p>
        </w:tc>
        <w:tc>
          <w:tcPr>
            <w:tcW w:w="2696" w:type="dxa"/>
          </w:tcPr>
          <w:p w:rsidR="00425758" w:rsidRDefault="00425758">
            <w:pPr>
              <w:pStyle w:val="nTable"/>
              <w:spacing w:after="40"/>
            </w:pPr>
            <w:r>
              <w:t>30 Jun 2000</w:t>
            </w:r>
          </w:p>
        </w:tc>
      </w:tr>
      <w:tr w:rsidR="00425758">
        <w:tblPrEx>
          <w:tblBorders>
            <w:top w:val="none" w:sz="0" w:space="0" w:color="auto"/>
            <w:bottom w:val="none" w:sz="0" w:space="0" w:color="auto"/>
            <w:insideH w:val="none" w:sz="0" w:space="0" w:color="auto"/>
          </w:tblBorders>
        </w:tblPrEx>
        <w:trPr>
          <w:cantSplit/>
        </w:trPr>
        <w:tc>
          <w:tcPr>
            <w:tcW w:w="7090" w:type="dxa"/>
            <w:gridSpan w:val="3"/>
          </w:tcPr>
          <w:p w:rsidR="00425758" w:rsidRDefault="00425758">
            <w:pPr>
              <w:pStyle w:val="nTable"/>
              <w:spacing w:after="40"/>
            </w:pPr>
            <w:r>
              <w:rPr>
                <w:b/>
              </w:rPr>
              <w:t xml:space="preserve">Reprint of the </w:t>
            </w:r>
            <w:r>
              <w:rPr>
                <w:b/>
                <w:i/>
              </w:rPr>
              <w:t>Rules of the Supreme Court 1971</w:t>
            </w:r>
            <w:r>
              <w:rPr>
                <w:b/>
              </w:rPr>
              <w:t xml:space="preserve"> as at 1 Dec 2000</w:t>
            </w:r>
            <w:r>
              <w:t xml:space="preserve"> (includes amendments listed above)</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spacing w:after="40"/>
              <w:ind w:right="113"/>
              <w:rPr>
                <w:i/>
              </w:rPr>
            </w:pPr>
            <w:r>
              <w:rPr>
                <w:i/>
              </w:rPr>
              <w:t>Supreme Court Amendment Rules (No. 5) 2000</w:t>
            </w:r>
          </w:p>
        </w:tc>
        <w:tc>
          <w:tcPr>
            <w:tcW w:w="1276" w:type="dxa"/>
          </w:tcPr>
          <w:p w:rsidR="00425758" w:rsidRDefault="00425758">
            <w:pPr>
              <w:pStyle w:val="nTable"/>
              <w:spacing w:after="40"/>
            </w:pPr>
            <w:r>
              <w:t>29 Dec 2000 p. 7917</w:t>
            </w:r>
            <w:r>
              <w:noBreakHyphen/>
              <w:t>19</w:t>
            </w:r>
          </w:p>
        </w:tc>
        <w:tc>
          <w:tcPr>
            <w:tcW w:w="2696" w:type="dxa"/>
          </w:tcPr>
          <w:p w:rsidR="00425758" w:rsidRDefault="00425758">
            <w:pPr>
              <w:pStyle w:val="nTable"/>
              <w:spacing w:after="40"/>
            </w:pPr>
            <w:r>
              <w:t xml:space="preserve">5 Feb 2001 (see r. 2 and </w:t>
            </w:r>
            <w:r>
              <w:rPr>
                <w:i/>
              </w:rPr>
              <w:t xml:space="preserve">Gazette </w:t>
            </w:r>
            <w:r>
              <w:t>2 Jan 2001 p. 7)</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spacing w:after="40"/>
              <w:ind w:right="113"/>
              <w:rPr>
                <w:i/>
              </w:rPr>
            </w:pPr>
            <w:r>
              <w:rPr>
                <w:i/>
              </w:rPr>
              <w:t>Supreme Court Amendment Rules (No. 2) 2001</w:t>
            </w:r>
          </w:p>
        </w:tc>
        <w:tc>
          <w:tcPr>
            <w:tcW w:w="1276" w:type="dxa"/>
          </w:tcPr>
          <w:p w:rsidR="00425758" w:rsidRDefault="00425758">
            <w:pPr>
              <w:pStyle w:val="nTable"/>
              <w:spacing w:after="40"/>
            </w:pPr>
            <w:r>
              <w:t>23 Jan 2001 p. 555</w:t>
            </w:r>
            <w:r>
              <w:noBreakHyphen/>
              <w:t>61</w:t>
            </w:r>
          </w:p>
        </w:tc>
        <w:tc>
          <w:tcPr>
            <w:tcW w:w="2696" w:type="dxa"/>
          </w:tcPr>
          <w:p w:rsidR="00425758" w:rsidRDefault="00425758">
            <w:pPr>
              <w:pStyle w:val="nTable"/>
              <w:spacing w:after="40"/>
            </w:pPr>
            <w:r>
              <w:t>23 Jan 2001</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spacing w:after="40"/>
              <w:ind w:right="113"/>
              <w:rPr>
                <w:i/>
              </w:rPr>
            </w:pPr>
            <w:r>
              <w:rPr>
                <w:i/>
              </w:rPr>
              <w:t>Supreme Court Amendment Rules (No. 3) 2001</w:t>
            </w:r>
          </w:p>
        </w:tc>
        <w:tc>
          <w:tcPr>
            <w:tcW w:w="1276" w:type="dxa"/>
          </w:tcPr>
          <w:p w:rsidR="00425758" w:rsidRDefault="00425758">
            <w:pPr>
              <w:pStyle w:val="nTable"/>
              <w:spacing w:after="40"/>
            </w:pPr>
            <w:r>
              <w:t>23 Jan 2001 p. 561</w:t>
            </w:r>
            <w:r>
              <w:noBreakHyphen/>
              <w:t>3</w:t>
            </w:r>
          </w:p>
        </w:tc>
        <w:tc>
          <w:tcPr>
            <w:tcW w:w="2696" w:type="dxa"/>
          </w:tcPr>
          <w:p w:rsidR="00425758" w:rsidRDefault="00425758">
            <w:pPr>
              <w:pStyle w:val="nTable"/>
              <w:spacing w:after="40"/>
            </w:pPr>
            <w:r>
              <w:t>23 Jan 2001</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spacing w:after="40"/>
              <w:ind w:right="113"/>
              <w:rPr>
                <w:i/>
              </w:rPr>
            </w:pPr>
            <w:r>
              <w:rPr>
                <w:i/>
              </w:rPr>
              <w:t>Supreme Court Amendment Rules 2001</w:t>
            </w:r>
          </w:p>
        </w:tc>
        <w:tc>
          <w:tcPr>
            <w:tcW w:w="1276" w:type="dxa"/>
          </w:tcPr>
          <w:p w:rsidR="00425758" w:rsidRDefault="00425758">
            <w:pPr>
              <w:pStyle w:val="nTable"/>
              <w:spacing w:after="40"/>
            </w:pPr>
            <w:r>
              <w:t>2 Feb 2001 p. 697</w:t>
            </w:r>
            <w:r>
              <w:noBreakHyphen/>
              <w:t>701</w:t>
            </w:r>
          </w:p>
        </w:tc>
        <w:tc>
          <w:tcPr>
            <w:tcW w:w="2696" w:type="dxa"/>
          </w:tcPr>
          <w:p w:rsidR="00425758" w:rsidRDefault="00425758">
            <w:pPr>
              <w:pStyle w:val="nTable"/>
              <w:spacing w:after="40"/>
            </w:pPr>
            <w:r>
              <w:t>2 Feb 2001</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spacing w:after="40"/>
              <w:ind w:right="113"/>
              <w:rPr>
                <w:i/>
              </w:rPr>
            </w:pPr>
            <w:r>
              <w:rPr>
                <w:i/>
              </w:rPr>
              <w:t>Supreme Court Amendment Rules (No. 7) 2001</w:t>
            </w:r>
          </w:p>
        </w:tc>
        <w:tc>
          <w:tcPr>
            <w:tcW w:w="1276" w:type="dxa"/>
          </w:tcPr>
          <w:p w:rsidR="00425758" w:rsidRDefault="00425758">
            <w:pPr>
              <w:pStyle w:val="nTable"/>
              <w:spacing w:after="40"/>
            </w:pPr>
            <w:r>
              <w:t>29 May 2001 p. 2701</w:t>
            </w:r>
            <w:r>
              <w:noBreakHyphen/>
              <w:t>3</w:t>
            </w:r>
          </w:p>
        </w:tc>
        <w:tc>
          <w:tcPr>
            <w:tcW w:w="2696" w:type="dxa"/>
          </w:tcPr>
          <w:p w:rsidR="00425758" w:rsidRDefault="00425758">
            <w:pPr>
              <w:pStyle w:val="nTable"/>
              <w:spacing w:after="40"/>
            </w:pPr>
            <w:r>
              <w:t>30 Jun 2001 (see r. 2)</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spacing w:after="40"/>
              <w:ind w:right="113"/>
              <w:rPr>
                <w:i/>
              </w:rPr>
            </w:pPr>
            <w:r>
              <w:rPr>
                <w:i/>
              </w:rPr>
              <w:t>Supreme Court Amendment Rules (No. 5) 2001</w:t>
            </w:r>
          </w:p>
        </w:tc>
        <w:tc>
          <w:tcPr>
            <w:tcW w:w="1276" w:type="dxa"/>
          </w:tcPr>
          <w:p w:rsidR="00425758" w:rsidRDefault="00425758">
            <w:pPr>
              <w:pStyle w:val="nTable"/>
              <w:spacing w:after="40"/>
            </w:pPr>
            <w:r>
              <w:t>27 Jul 2001 p. 3895</w:t>
            </w:r>
            <w:r>
              <w:noBreakHyphen/>
              <w:t>6</w:t>
            </w:r>
          </w:p>
        </w:tc>
        <w:tc>
          <w:tcPr>
            <w:tcW w:w="2696" w:type="dxa"/>
          </w:tcPr>
          <w:p w:rsidR="00425758" w:rsidRDefault="00425758">
            <w:pPr>
              <w:pStyle w:val="nTable"/>
              <w:spacing w:after="40"/>
            </w:pPr>
            <w:r>
              <w:t>27 Jul 2001</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spacing w:after="40"/>
              <w:ind w:right="113"/>
              <w:rPr>
                <w:i/>
              </w:rPr>
            </w:pPr>
            <w:r>
              <w:rPr>
                <w:i/>
              </w:rPr>
              <w:lastRenderedPageBreak/>
              <w:t>Supreme Court Amendment Rules (No. 8) 2001</w:t>
            </w:r>
          </w:p>
        </w:tc>
        <w:tc>
          <w:tcPr>
            <w:tcW w:w="1276" w:type="dxa"/>
          </w:tcPr>
          <w:p w:rsidR="00425758" w:rsidRDefault="00425758">
            <w:pPr>
              <w:pStyle w:val="nTable"/>
              <w:spacing w:after="40"/>
            </w:pPr>
            <w:r>
              <w:t>5 Oct 2001 p. 5474</w:t>
            </w:r>
            <w:r>
              <w:noBreakHyphen/>
              <w:t>5</w:t>
            </w:r>
          </w:p>
        </w:tc>
        <w:tc>
          <w:tcPr>
            <w:tcW w:w="2696" w:type="dxa"/>
          </w:tcPr>
          <w:p w:rsidR="00425758" w:rsidRDefault="00425758">
            <w:pPr>
              <w:pStyle w:val="nTable"/>
              <w:spacing w:after="40"/>
            </w:pPr>
            <w:r>
              <w:t>5 Oct 2001</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spacing w:after="40"/>
              <w:ind w:right="34"/>
              <w:rPr>
                <w:i/>
              </w:rPr>
            </w:pPr>
            <w:r>
              <w:rPr>
                <w:i/>
              </w:rPr>
              <w:t>Supreme Court Amendment Rules 2002</w:t>
            </w:r>
          </w:p>
        </w:tc>
        <w:tc>
          <w:tcPr>
            <w:tcW w:w="1276" w:type="dxa"/>
          </w:tcPr>
          <w:p w:rsidR="00425758" w:rsidRDefault="00425758">
            <w:pPr>
              <w:pStyle w:val="nTable"/>
              <w:keepNext/>
              <w:spacing w:after="40"/>
            </w:pPr>
            <w:r>
              <w:t>12 Apr 2002 p. 1903</w:t>
            </w:r>
            <w:r>
              <w:noBreakHyphen/>
              <w:t>4</w:t>
            </w:r>
          </w:p>
        </w:tc>
        <w:tc>
          <w:tcPr>
            <w:tcW w:w="2696" w:type="dxa"/>
          </w:tcPr>
          <w:p w:rsidR="00425758" w:rsidRDefault="00425758">
            <w:pPr>
              <w:pStyle w:val="nTable"/>
              <w:keepNext/>
              <w:spacing w:after="40"/>
            </w:pPr>
            <w:r>
              <w:t>12 Apr 2002</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spacing w:after="40"/>
              <w:ind w:right="113"/>
              <w:rPr>
                <w:i/>
              </w:rPr>
            </w:pPr>
            <w:r>
              <w:rPr>
                <w:i/>
              </w:rPr>
              <w:t>Supreme Court Amendment Rules (No. 2) 2002</w:t>
            </w:r>
          </w:p>
        </w:tc>
        <w:tc>
          <w:tcPr>
            <w:tcW w:w="1276" w:type="dxa"/>
          </w:tcPr>
          <w:p w:rsidR="00425758" w:rsidRDefault="00425758">
            <w:pPr>
              <w:pStyle w:val="nTable"/>
              <w:keepNext/>
              <w:spacing w:after="40"/>
            </w:pPr>
            <w:r>
              <w:t>27 Sep 2002 p. 4829</w:t>
            </w:r>
            <w:r>
              <w:noBreakHyphen/>
              <w:t>34</w:t>
            </w:r>
          </w:p>
        </w:tc>
        <w:tc>
          <w:tcPr>
            <w:tcW w:w="2696" w:type="dxa"/>
          </w:tcPr>
          <w:p w:rsidR="00425758" w:rsidRDefault="00425758">
            <w:pPr>
              <w:pStyle w:val="nTable"/>
              <w:keepNext/>
              <w:spacing w:after="40"/>
            </w:pPr>
            <w:r>
              <w:t>27 Sep 2002</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spacing w:after="40"/>
              <w:ind w:right="113"/>
              <w:rPr>
                <w:i/>
              </w:rPr>
            </w:pPr>
            <w:r>
              <w:rPr>
                <w:i/>
              </w:rPr>
              <w:t>Equality of Status Subsidiary Legislation Amendment Regulations 2003</w:t>
            </w:r>
            <w:r>
              <w:t xml:space="preserve"> Pt. 36</w:t>
            </w:r>
          </w:p>
        </w:tc>
        <w:tc>
          <w:tcPr>
            <w:tcW w:w="1276" w:type="dxa"/>
          </w:tcPr>
          <w:p w:rsidR="00425758" w:rsidRDefault="00425758">
            <w:pPr>
              <w:pStyle w:val="nTable"/>
              <w:keepNext/>
              <w:spacing w:after="40"/>
            </w:pPr>
            <w:r>
              <w:t>30 Jun 2003 p. 2581</w:t>
            </w:r>
            <w:r>
              <w:noBreakHyphen/>
              <w:t>638</w:t>
            </w:r>
          </w:p>
        </w:tc>
        <w:tc>
          <w:tcPr>
            <w:tcW w:w="2696" w:type="dxa"/>
          </w:tcPr>
          <w:p w:rsidR="00425758" w:rsidRDefault="00425758">
            <w:pPr>
              <w:pStyle w:val="nTable"/>
              <w:keepNext/>
              <w:spacing w:after="40"/>
            </w:pPr>
            <w:r>
              <w:t xml:space="preserve">1 Jul 2003 (see r. 2 and </w:t>
            </w:r>
            <w:r>
              <w:rPr>
                <w:i/>
              </w:rPr>
              <w:t xml:space="preserve">Gazette </w:t>
            </w:r>
            <w:r>
              <w:t>30 Jun 2003 p. 2579)</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spacing w:after="40"/>
              <w:rPr>
                <w:vertAlign w:val="superscript"/>
              </w:rPr>
            </w:pPr>
            <w:r>
              <w:rPr>
                <w:i/>
              </w:rPr>
              <w:t>Labour Relations Reform (Consequential Amendments) Regulations 2003</w:t>
            </w:r>
            <w:r>
              <w:t xml:space="preserve"> r. 16</w:t>
            </w:r>
          </w:p>
        </w:tc>
        <w:tc>
          <w:tcPr>
            <w:tcW w:w="1276" w:type="dxa"/>
          </w:tcPr>
          <w:p w:rsidR="00425758" w:rsidRDefault="00425758">
            <w:pPr>
              <w:pStyle w:val="nTable"/>
              <w:keepNext/>
              <w:spacing w:after="40"/>
            </w:pPr>
            <w:r>
              <w:t>15 Aug 2003 p. 3685</w:t>
            </w:r>
            <w:r>
              <w:noBreakHyphen/>
              <w:t>92</w:t>
            </w:r>
          </w:p>
        </w:tc>
        <w:tc>
          <w:tcPr>
            <w:tcW w:w="2696" w:type="dxa"/>
          </w:tcPr>
          <w:p w:rsidR="00425758" w:rsidRDefault="00425758">
            <w:pPr>
              <w:pStyle w:val="nTable"/>
              <w:keepNext/>
              <w:spacing w:after="40"/>
            </w:pPr>
            <w:r>
              <w:t>15 Sep 2003 (see r. 2)</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spacing w:after="40"/>
              <w:ind w:right="34"/>
              <w:rPr>
                <w:i/>
              </w:rPr>
            </w:pPr>
            <w:r>
              <w:rPr>
                <w:i/>
              </w:rPr>
              <w:t>Supreme Court Amendment Rules 2004</w:t>
            </w:r>
          </w:p>
        </w:tc>
        <w:tc>
          <w:tcPr>
            <w:tcW w:w="1276" w:type="dxa"/>
          </w:tcPr>
          <w:p w:rsidR="00425758" w:rsidRDefault="00425758">
            <w:pPr>
              <w:pStyle w:val="nTable"/>
              <w:keepNext/>
              <w:spacing w:after="40"/>
            </w:pPr>
            <w:r>
              <w:t>21 May 2004 p. 1712</w:t>
            </w:r>
          </w:p>
        </w:tc>
        <w:tc>
          <w:tcPr>
            <w:tcW w:w="2696" w:type="dxa"/>
          </w:tcPr>
          <w:p w:rsidR="00425758" w:rsidRDefault="00425758">
            <w:pPr>
              <w:pStyle w:val="nTable"/>
              <w:keepNext/>
              <w:spacing w:after="40"/>
            </w:pPr>
            <w:r>
              <w:t>1 Jun 2004 (see r. 2)</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spacing w:after="40"/>
              <w:ind w:right="34"/>
              <w:rPr>
                <w:i/>
              </w:rPr>
            </w:pPr>
            <w:r>
              <w:rPr>
                <w:i/>
              </w:rPr>
              <w:t>Supreme Court Amendment Rules (No. 4) 2004</w:t>
            </w:r>
          </w:p>
        </w:tc>
        <w:tc>
          <w:tcPr>
            <w:tcW w:w="1276" w:type="dxa"/>
          </w:tcPr>
          <w:p w:rsidR="00425758" w:rsidRDefault="00425758">
            <w:pPr>
              <w:pStyle w:val="nTable"/>
              <w:keepNext/>
              <w:spacing w:after="40"/>
            </w:pPr>
            <w:r>
              <w:t>10 Aug 2004 p. 3185</w:t>
            </w:r>
          </w:p>
        </w:tc>
        <w:tc>
          <w:tcPr>
            <w:tcW w:w="2696" w:type="dxa"/>
          </w:tcPr>
          <w:p w:rsidR="00425758" w:rsidRDefault="00425758">
            <w:pPr>
              <w:pStyle w:val="nTable"/>
              <w:keepNext/>
              <w:spacing w:after="40"/>
            </w:pPr>
            <w:r>
              <w:t>10 Aug 2004</w:t>
            </w:r>
          </w:p>
        </w:tc>
      </w:tr>
      <w:tr w:rsidR="00425758">
        <w:tblPrEx>
          <w:tblBorders>
            <w:top w:val="none" w:sz="0" w:space="0" w:color="auto"/>
            <w:bottom w:val="none" w:sz="0" w:space="0" w:color="auto"/>
            <w:insideH w:val="none" w:sz="0" w:space="0" w:color="auto"/>
          </w:tblBorders>
        </w:tblPrEx>
        <w:trPr>
          <w:cantSplit/>
        </w:trPr>
        <w:tc>
          <w:tcPr>
            <w:tcW w:w="7090" w:type="dxa"/>
            <w:gridSpan w:val="3"/>
          </w:tcPr>
          <w:p w:rsidR="00425758" w:rsidRDefault="00425758">
            <w:pPr>
              <w:pStyle w:val="nTable"/>
              <w:spacing w:after="40"/>
            </w:pPr>
            <w:r>
              <w:rPr>
                <w:b/>
              </w:rPr>
              <w:t xml:space="preserve">Reprint 6: The </w:t>
            </w:r>
            <w:r>
              <w:rPr>
                <w:b/>
                <w:i/>
              </w:rPr>
              <w:t>Rules of the Supreme Court 1971</w:t>
            </w:r>
            <w:r>
              <w:rPr>
                <w:b/>
              </w:rPr>
              <w:t xml:space="preserve"> as at 15 Oct 2004</w:t>
            </w:r>
            <w:r>
              <w:t xml:space="preserve"> (includes amendments listed above)</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spacing w:after="40"/>
              <w:ind w:right="34"/>
            </w:pPr>
            <w:r>
              <w:rPr>
                <w:i/>
              </w:rPr>
              <w:t>Courts and Legal Practice (Consequential Amendments) Regulations 2005</w:t>
            </w:r>
            <w:r>
              <w:t xml:space="preserve"> r. 12</w:t>
            </w:r>
          </w:p>
        </w:tc>
        <w:tc>
          <w:tcPr>
            <w:tcW w:w="1276" w:type="dxa"/>
          </w:tcPr>
          <w:p w:rsidR="00425758" w:rsidRDefault="00425758">
            <w:pPr>
              <w:pStyle w:val="nTable"/>
              <w:keepNext/>
              <w:spacing w:after="40"/>
            </w:pPr>
            <w:r>
              <w:t>19 Apr 2005 p. 1294</w:t>
            </w:r>
            <w:r>
              <w:noBreakHyphen/>
              <w:t>302</w:t>
            </w:r>
          </w:p>
        </w:tc>
        <w:tc>
          <w:tcPr>
            <w:tcW w:w="2696" w:type="dxa"/>
          </w:tcPr>
          <w:p w:rsidR="00425758" w:rsidRDefault="00425758">
            <w:pPr>
              <w:pStyle w:val="nTable"/>
              <w:keepNext/>
              <w:spacing w:after="40"/>
            </w:pPr>
            <w:r>
              <w:t>19 Apr 2005</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spacing w:after="40"/>
              <w:ind w:right="34"/>
              <w:rPr>
                <w:i/>
              </w:rPr>
            </w:pPr>
            <w:r>
              <w:rPr>
                <w:i/>
              </w:rPr>
              <w:t>Supreme Court Amendment Rules 2005</w:t>
            </w:r>
          </w:p>
        </w:tc>
        <w:tc>
          <w:tcPr>
            <w:tcW w:w="1276" w:type="dxa"/>
          </w:tcPr>
          <w:p w:rsidR="00425758" w:rsidRDefault="00425758">
            <w:pPr>
              <w:pStyle w:val="nTable"/>
              <w:keepNext/>
              <w:spacing w:after="40"/>
            </w:pPr>
            <w:r>
              <w:t>29 Apr 2005 p. 1791</w:t>
            </w:r>
            <w:r>
              <w:noBreakHyphen/>
              <w:t>6</w:t>
            </w:r>
          </w:p>
        </w:tc>
        <w:tc>
          <w:tcPr>
            <w:tcW w:w="2696" w:type="dxa"/>
          </w:tcPr>
          <w:p w:rsidR="00425758" w:rsidRDefault="00425758">
            <w:pPr>
              <w:pStyle w:val="nTable"/>
              <w:keepNext/>
              <w:spacing w:after="40"/>
            </w:pPr>
            <w:r>
              <w:t>2 May 2005 (see r. 2)</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spacing w:after="40"/>
              <w:ind w:right="34"/>
              <w:rPr>
                <w:i/>
              </w:rPr>
            </w:pPr>
            <w:r>
              <w:rPr>
                <w:i/>
              </w:rPr>
              <w:t>Supreme Court Amendment Rules (No. 2) 2005</w:t>
            </w:r>
          </w:p>
        </w:tc>
        <w:tc>
          <w:tcPr>
            <w:tcW w:w="1276" w:type="dxa"/>
          </w:tcPr>
          <w:p w:rsidR="00425758" w:rsidRDefault="00425758">
            <w:pPr>
              <w:pStyle w:val="nTable"/>
              <w:keepNext/>
              <w:spacing w:after="40"/>
            </w:pPr>
            <w:r>
              <w:t>29 Apr 2005 p. 1797</w:t>
            </w:r>
            <w:r>
              <w:noBreakHyphen/>
              <w:t>802</w:t>
            </w:r>
          </w:p>
        </w:tc>
        <w:tc>
          <w:tcPr>
            <w:tcW w:w="2696" w:type="dxa"/>
          </w:tcPr>
          <w:p w:rsidR="00425758" w:rsidRDefault="00425758">
            <w:pPr>
              <w:pStyle w:val="nTable"/>
              <w:keepNext/>
              <w:spacing w:after="40"/>
            </w:pPr>
            <w:r>
              <w:t>2 May 2005 (see r. 2)</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spacing w:after="40"/>
              <w:ind w:right="34"/>
              <w:rPr>
                <w:i/>
              </w:rPr>
            </w:pPr>
            <w:r>
              <w:rPr>
                <w:i/>
              </w:rPr>
              <w:t>Supreme Court Amendment Rules 2007</w:t>
            </w:r>
          </w:p>
        </w:tc>
        <w:tc>
          <w:tcPr>
            <w:tcW w:w="1276" w:type="dxa"/>
          </w:tcPr>
          <w:p w:rsidR="00425758" w:rsidRDefault="00425758">
            <w:pPr>
              <w:pStyle w:val="nTable"/>
              <w:keepNext/>
              <w:spacing w:after="40"/>
            </w:pPr>
            <w:r>
              <w:t>21 Feb 2007 p. 531</w:t>
            </w:r>
            <w:r>
              <w:noBreakHyphen/>
              <w:t>96</w:t>
            </w:r>
          </w:p>
        </w:tc>
        <w:tc>
          <w:tcPr>
            <w:tcW w:w="2696" w:type="dxa"/>
          </w:tcPr>
          <w:p w:rsidR="00425758" w:rsidRDefault="00425758">
            <w:pPr>
              <w:pStyle w:val="nTable"/>
              <w:keepNext/>
              <w:spacing w:after="40"/>
            </w:pPr>
            <w:r>
              <w:t>1 Mar 2007 (see r. 2)</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spacing w:after="40"/>
              <w:ind w:right="34"/>
              <w:rPr>
                <w:iCs/>
              </w:rPr>
            </w:pPr>
            <w:r>
              <w:rPr>
                <w:i/>
              </w:rPr>
              <w:t>Supreme Court Amendment Rules 2008</w:t>
            </w:r>
          </w:p>
        </w:tc>
        <w:tc>
          <w:tcPr>
            <w:tcW w:w="1276" w:type="dxa"/>
          </w:tcPr>
          <w:p w:rsidR="00425758" w:rsidRDefault="00425758">
            <w:pPr>
              <w:pStyle w:val="nTable"/>
              <w:keepNext/>
              <w:spacing w:after="40"/>
            </w:pPr>
            <w:r>
              <w:t>22 Feb 2008 p. 629</w:t>
            </w:r>
            <w:r>
              <w:noBreakHyphen/>
              <w:t>56</w:t>
            </w:r>
          </w:p>
        </w:tc>
        <w:tc>
          <w:tcPr>
            <w:tcW w:w="2696" w:type="dxa"/>
          </w:tcPr>
          <w:p w:rsidR="00425758" w:rsidRDefault="00425758">
            <w:pPr>
              <w:pStyle w:val="nTable"/>
              <w:keepNext/>
              <w:spacing w:after="40"/>
            </w:pPr>
            <w:r>
              <w:t>Pt. 1: 22 Feb 2008 (see r. 2(a));</w:t>
            </w:r>
            <w:r>
              <w:br/>
              <w:t>Pt. 2: 23 Feb 2008 (see r. 2(b));</w:t>
            </w:r>
            <w:r>
              <w:br/>
              <w:t>Pt. 3: 25 Feb 2008 (see r. 2(c))</w:t>
            </w:r>
          </w:p>
        </w:tc>
      </w:tr>
      <w:tr w:rsidR="00425758">
        <w:tblPrEx>
          <w:tblBorders>
            <w:top w:val="none" w:sz="0" w:space="0" w:color="auto"/>
            <w:bottom w:val="none" w:sz="0" w:space="0" w:color="auto"/>
            <w:insideH w:val="none" w:sz="0" w:space="0" w:color="auto"/>
          </w:tblBorders>
        </w:tblPrEx>
        <w:trPr>
          <w:cantSplit/>
        </w:trPr>
        <w:tc>
          <w:tcPr>
            <w:tcW w:w="7090" w:type="dxa"/>
            <w:gridSpan w:val="3"/>
          </w:tcPr>
          <w:p w:rsidR="00425758" w:rsidRDefault="00425758">
            <w:pPr>
              <w:pStyle w:val="nTable"/>
              <w:spacing w:after="40"/>
            </w:pPr>
            <w:r>
              <w:rPr>
                <w:b/>
              </w:rPr>
              <w:t xml:space="preserve">Reprint 7: The </w:t>
            </w:r>
            <w:r>
              <w:rPr>
                <w:b/>
                <w:i/>
              </w:rPr>
              <w:t>Rules of the Supreme Court 1971</w:t>
            </w:r>
            <w:r>
              <w:rPr>
                <w:b/>
              </w:rPr>
              <w:t xml:space="preserve"> as at 11 Apr 2008</w:t>
            </w:r>
            <w:r>
              <w:t xml:space="preserve"> (includes amendments listed above)</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spacing w:after="40"/>
              <w:ind w:right="113"/>
              <w:rPr>
                <w:highlight w:val="yellow"/>
                <w:vertAlign w:val="superscript"/>
              </w:rPr>
            </w:pPr>
            <w:r>
              <w:rPr>
                <w:i/>
              </w:rPr>
              <w:t>Supreme Court Amendment Rules 2009 </w:t>
            </w:r>
          </w:p>
        </w:tc>
        <w:tc>
          <w:tcPr>
            <w:tcW w:w="1276" w:type="dxa"/>
          </w:tcPr>
          <w:p w:rsidR="00425758" w:rsidRDefault="00425758">
            <w:pPr>
              <w:pStyle w:val="nTable"/>
              <w:spacing w:after="40"/>
            </w:pPr>
            <w:r>
              <w:t>6 Feb 2009 p. 243</w:t>
            </w:r>
            <w:r>
              <w:noBreakHyphen/>
              <w:t>5</w:t>
            </w:r>
          </w:p>
        </w:tc>
        <w:tc>
          <w:tcPr>
            <w:tcW w:w="2696" w:type="dxa"/>
          </w:tcPr>
          <w:p w:rsidR="00425758" w:rsidRDefault="00425758">
            <w:pPr>
              <w:pStyle w:val="nTable"/>
              <w:spacing w:after="40"/>
            </w:pPr>
            <w:r>
              <w:rPr>
                <w:snapToGrid w:val="0"/>
              </w:rPr>
              <w:t>r. 1 and 2: 6 Feb 2009 (see r. 2(a));</w:t>
            </w:r>
            <w:r>
              <w:rPr>
                <w:snapToGrid w:val="0"/>
              </w:rPr>
              <w:br/>
              <w:t xml:space="preserve">Rules other than r. 1 and 2: 1 Mar 2009 (see r. 2(b) and </w:t>
            </w:r>
            <w:r>
              <w:rPr>
                <w:i/>
                <w:iCs/>
                <w:snapToGrid w:val="0"/>
              </w:rPr>
              <w:t xml:space="preserve">Gazette </w:t>
            </w:r>
            <w:r>
              <w:rPr>
                <w:snapToGrid w:val="0"/>
              </w:rPr>
              <w:t>27 Feb 2009 p. 511)</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spacing w:after="40"/>
              <w:ind w:right="113"/>
              <w:rPr>
                <w:iCs/>
              </w:rPr>
            </w:pPr>
            <w:r>
              <w:rPr>
                <w:i/>
              </w:rPr>
              <w:lastRenderedPageBreak/>
              <w:t>Supreme Court Amendment Rules (No. 2) 2009</w:t>
            </w:r>
            <w:r>
              <w:rPr>
                <w:iCs/>
              </w:rPr>
              <w:t xml:space="preserve"> </w:t>
            </w:r>
          </w:p>
        </w:tc>
        <w:tc>
          <w:tcPr>
            <w:tcW w:w="1276" w:type="dxa"/>
          </w:tcPr>
          <w:p w:rsidR="00425758" w:rsidRDefault="00425758">
            <w:pPr>
              <w:pStyle w:val="nTable"/>
              <w:spacing w:after="40"/>
            </w:pPr>
            <w:r>
              <w:t>3 Jul 2009 p. 2682</w:t>
            </w:r>
            <w:r>
              <w:noBreakHyphen/>
              <w:t>700 (printer’s correction 7 Jul 2009 p. 2719)</w:t>
            </w:r>
          </w:p>
        </w:tc>
        <w:tc>
          <w:tcPr>
            <w:tcW w:w="2696" w:type="dxa"/>
          </w:tcPr>
          <w:p w:rsidR="00425758" w:rsidRDefault="00425758">
            <w:pPr>
              <w:pStyle w:val="nTable"/>
              <w:spacing w:after="40"/>
              <w:rPr>
                <w:snapToGrid w:val="0"/>
              </w:rPr>
            </w:pPr>
            <w:r>
              <w:rPr>
                <w:snapToGrid w:val="0"/>
              </w:rPr>
              <w:t>Pt. 1: 3 Jul 2009 (see r. 2(a));</w:t>
            </w:r>
            <w:r>
              <w:rPr>
                <w:snapToGrid w:val="0"/>
              </w:rPr>
              <w:br/>
              <w:t>Pt. 3: 4 Jul 2009 (see r. 2(c));</w:t>
            </w:r>
            <w:r>
              <w:rPr>
                <w:snapToGrid w:val="0"/>
              </w:rPr>
              <w:br/>
              <w:t xml:space="preserve">Pt. 2: 1 Nov 2010 (see r. 2(b) and the </w:t>
            </w:r>
            <w:r>
              <w:rPr>
                <w:i/>
                <w:iCs/>
                <w:snapToGrid w:val="0"/>
              </w:rPr>
              <w:t>Hague Convention on the Service Abroad of Judicial Extrajudicial Documents in Civil or Commercial Matters 1965</w:t>
            </w:r>
            <w:r>
              <w:rPr>
                <w:snapToGrid w:val="0"/>
              </w:rPr>
              <w:t>)</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spacing w:after="40"/>
              <w:ind w:right="113"/>
              <w:rPr>
                <w:i/>
              </w:rPr>
            </w:pPr>
            <w:r>
              <w:rPr>
                <w:i/>
              </w:rPr>
              <w:t>Supreme Court Amendment Rules (No. 3) 2009</w:t>
            </w:r>
          </w:p>
        </w:tc>
        <w:tc>
          <w:tcPr>
            <w:tcW w:w="1276" w:type="dxa"/>
          </w:tcPr>
          <w:p w:rsidR="00425758" w:rsidRDefault="00425758">
            <w:pPr>
              <w:pStyle w:val="nTable"/>
              <w:spacing w:after="40"/>
            </w:pPr>
            <w:r>
              <w:t>22 Dec 2009 p. 5273-4</w:t>
            </w:r>
          </w:p>
        </w:tc>
        <w:tc>
          <w:tcPr>
            <w:tcW w:w="2696" w:type="dxa"/>
          </w:tcPr>
          <w:p w:rsidR="00425758" w:rsidRDefault="00425758">
            <w:pPr>
              <w:pStyle w:val="nTable"/>
              <w:spacing w:after="40"/>
              <w:rPr>
                <w:snapToGrid w:val="0"/>
              </w:rPr>
            </w:pPr>
            <w:r>
              <w:rPr>
                <w:snapToGrid w:val="0"/>
              </w:rPr>
              <w:t xml:space="preserve">1 Jan 2010 (see r. 2 and </w:t>
            </w:r>
            <w:r>
              <w:rPr>
                <w:i/>
                <w:iCs/>
                <w:snapToGrid w:val="0"/>
              </w:rPr>
              <w:t>Gazette</w:t>
            </w:r>
            <w:r>
              <w:rPr>
                <w:snapToGrid w:val="0"/>
              </w:rPr>
              <w:t xml:space="preserve"> 31 Dec 2009 p. 5327)</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spacing w:after="40"/>
              <w:ind w:right="113"/>
              <w:rPr>
                <w:i/>
              </w:rPr>
            </w:pPr>
            <w:r>
              <w:rPr>
                <w:i/>
              </w:rPr>
              <w:t>Supreme Court Amendment Rules 2010</w:t>
            </w:r>
          </w:p>
        </w:tc>
        <w:tc>
          <w:tcPr>
            <w:tcW w:w="1276" w:type="dxa"/>
          </w:tcPr>
          <w:p w:rsidR="00425758" w:rsidRDefault="00425758">
            <w:pPr>
              <w:pStyle w:val="nTable"/>
              <w:spacing w:after="40"/>
            </w:pPr>
            <w:r>
              <w:t>28 Jul 2010 p. 3433-90</w:t>
            </w:r>
          </w:p>
        </w:tc>
        <w:tc>
          <w:tcPr>
            <w:tcW w:w="2696" w:type="dxa"/>
          </w:tcPr>
          <w:p w:rsidR="00425758" w:rsidRDefault="00425758">
            <w:pPr>
              <w:pStyle w:val="nTable"/>
              <w:spacing w:after="40"/>
              <w:rPr>
                <w:snapToGrid w:val="0"/>
              </w:rPr>
            </w:pPr>
            <w:r>
              <w:rPr>
                <w:snapToGrid w:val="0"/>
              </w:rPr>
              <w:t>Pt. 1: 28 Jul 2010 (see r. 2(a));</w:t>
            </w:r>
            <w:r>
              <w:rPr>
                <w:snapToGrid w:val="0"/>
              </w:rPr>
              <w:br/>
              <w:t>Rules other than Pt. 1: 29 Jul 2010 (see r. 2(b))</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spacing w:after="40"/>
              <w:ind w:right="113"/>
              <w:rPr>
                <w:i/>
              </w:rPr>
            </w:pPr>
            <w:r>
              <w:rPr>
                <w:i/>
              </w:rPr>
              <w:t>Supreme Court Amendment Rules 2011</w:t>
            </w:r>
          </w:p>
        </w:tc>
        <w:tc>
          <w:tcPr>
            <w:tcW w:w="1276" w:type="dxa"/>
          </w:tcPr>
          <w:p w:rsidR="00425758" w:rsidRDefault="00425758">
            <w:pPr>
              <w:pStyle w:val="nTable"/>
              <w:spacing w:after="40"/>
            </w:pPr>
            <w:r>
              <w:t>28 Jun 2011 p. 2551</w:t>
            </w:r>
            <w:r>
              <w:noBreakHyphen/>
              <w:t>63</w:t>
            </w:r>
          </w:p>
        </w:tc>
        <w:tc>
          <w:tcPr>
            <w:tcW w:w="2696" w:type="dxa"/>
          </w:tcPr>
          <w:p w:rsidR="00425758" w:rsidRDefault="00425758">
            <w:pPr>
              <w:pStyle w:val="nTable"/>
              <w:spacing w:after="40"/>
              <w:rPr>
                <w:snapToGrid w:val="0"/>
              </w:rPr>
            </w:pPr>
            <w:r>
              <w:rPr>
                <w:snapToGrid w:val="0"/>
              </w:rPr>
              <w:t xml:space="preserve">r. 1 and 2: </w:t>
            </w:r>
            <w:r>
              <w:t>28 Jun 2011 (see r. 2(a));</w:t>
            </w:r>
            <w:r>
              <w:br/>
              <w:t>Rules other than r. 1 and 2: 12 Jul 2011 (see r. 2(b))</w:t>
            </w:r>
          </w:p>
        </w:tc>
      </w:tr>
      <w:tr w:rsidR="00425758">
        <w:tblPrEx>
          <w:tblBorders>
            <w:top w:val="none" w:sz="0" w:space="0" w:color="auto"/>
            <w:bottom w:val="none" w:sz="0" w:space="0" w:color="auto"/>
            <w:insideH w:val="none" w:sz="0" w:space="0" w:color="auto"/>
          </w:tblBorders>
        </w:tblPrEx>
        <w:trPr>
          <w:cantSplit/>
        </w:trPr>
        <w:tc>
          <w:tcPr>
            <w:tcW w:w="7090" w:type="dxa"/>
            <w:gridSpan w:val="3"/>
          </w:tcPr>
          <w:p w:rsidR="00425758" w:rsidRDefault="00425758">
            <w:pPr>
              <w:pStyle w:val="nTable"/>
              <w:widowControl w:val="0"/>
              <w:spacing w:after="40"/>
              <w:rPr>
                <w:snapToGrid w:val="0"/>
                <w:spacing w:val="-2"/>
              </w:rPr>
            </w:pPr>
            <w:r>
              <w:rPr>
                <w:b/>
              </w:rPr>
              <w:t xml:space="preserve">Reprint 8: The </w:t>
            </w:r>
            <w:r>
              <w:rPr>
                <w:b/>
                <w:i/>
              </w:rPr>
              <w:t>Rules of the Supreme Court 1971</w:t>
            </w:r>
            <w:r>
              <w:rPr>
                <w:b/>
              </w:rPr>
              <w:t xml:space="preserve"> as at 15 Jul 2011</w:t>
            </w:r>
            <w:r>
              <w:t xml:space="preserve"> (includes amendments listed above)</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spacing w:after="40"/>
              <w:ind w:right="113"/>
              <w:rPr>
                <w:i/>
              </w:rPr>
            </w:pPr>
            <w:r>
              <w:rPr>
                <w:i/>
              </w:rPr>
              <w:t>Supreme Court Amendment Rules 2012</w:t>
            </w:r>
          </w:p>
        </w:tc>
        <w:tc>
          <w:tcPr>
            <w:tcW w:w="1276" w:type="dxa"/>
          </w:tcPr>
          <w:p w:rsidR="00425758" w:rsidRDefault="00425758">
            <w:pPr>
              <w:pStyle w:val="nTable"/>
              <w:spacing w:after="40"/>
            </w:pPr>
            <w:r>
              <w:t>12 Jun 2012 p. 2445</w:t>
            </w:r>
            <w:r>
              <w:noBreakHyphen/>
              <w:t>53</w:t>
            </w:r>
          </w:p>
        </w:tc>
        <w:tc>
          <w:tcPr>
            <w:tcW w:w="2696" w:type="dxa"/>
          </w:tcPr>
          <w:p w:rsidR="00425758" w:rsidRDefault="00425758">
            <w:pPr>
              <w:pStyle w:val="nTable"/>
              <w:spacing w:after="40"/>
              <w:rPr>
                <w:snapToGrid w:val="0"/>
              </w:rPr>
            </w:pPr>
            <w:r>
              <w:rPr>
                <w:snapToGrid w:val="0"/>
              </w:rPr>
              <w:t>r. 1 and 2: 12 Jun 2012 (see r. 2(a));</w:t>
            </w:r>
            <w:r>
              <w:rPr>
                <w:snapToGrid w:val="0"/>
              </w:rPr>
              <w:br/>
              <w:t>Rules other than r. 1 and 2: 26 Jun 2012 (see r. 2(b))</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spacing w:after="40"/>
              <w:ind w:right="113"/>
              <w:rPr>
                <w:i/>
              </w:rPr>
            </w:pPr>
            <w:r>
              <w:rPr>
                <w:i/>
              </w:rPr>
              <w:t xml:space="preserve">Supreme Court Amendment Rules (No. 3) 2012 </w:t>
            </w:r>
          </w:p>
        </w:tc>
        <w:tc>
          <w:tcPr>
            <w:tcW w:w="1276" w:type="dxa"/>
          </w:tcPr>
          <w:p w:rsidR="00425758" w:rsidRDefault="00425758">
            <w:pPr>
              <w:pStyle w:val="nTable"/>
              <w:spacing w:after="40"/>
            </w:pPr>
            <w:r>
              <w:t>3 Aug 2012 p. 3748</w:t>
            </w:r>
            <w:r>
              <w:noBreakHyphen/>
              <w:t>56</w:t>
            </w:r>
          </w:p>
        </w:tc>
        <w:tc>
          <w:tcPr>
            <w:tcW w:w="2696" w:type="dxa"/>
          </w:tcPr>
          <w:p w:rsidR="00425758" w:rsidRDefault="00425758">
            <w:pPr>
              <w:pStyle w:val="nTable"/>
              <w:spacing w:after="40"/>
              <w:rPr>
                <w:snapToGrid w:val="0"/>
              </w:rPr>
            </w:pPr>
            <w:r>
              <w:t>r. 1 and 2: 3 Aug 2012 (see r. 2(a));</w:t>
            </w:r>
            <w:r>
              <w:br/>
              <w:t>Rules other than r. 1 and 2: 11 Oct 2013 (see r. 2(b) and Cwlth Legislative Instrument No. F2013L01445 registered 26 Jul 2013)</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spacing w:after="40"/>
              <w:ind w:right="113"/>
              <w:rPr>
                <w:i/>
              </w:rPr>
            </w:pPr>
            <w:r>
              <w:rPr>
                <w:i/>
              </w:rPr>
              <w:t>Supreme Court Amendment Rules (No. 2) 2013</w:t>
            </w:r>
          </w:p>
        </w:tc>
        <w:tc>
          <w:tcPr>
            <w:tcW w:w="1276" w:type="dxa"/>
          </w:tcPr>
          <w:p w:rsidR="00425758" w:rsidRDefault="00425758">
            <w:pPr>
              <w:pStyle w:val="nTable"/>
              <w:spacing w:after="40"/>
            </w:pPr>
            <w:r>
              <w:t>15 Mar 2013 p. 1205-7</w:t>
            </w:r>
          </w:p>
        </w:tc>
        <w:tc>
          <w:tcPr>
            <w:tcW w:w="2696" w:type="dxa"/>
          </w:tcPr>
          <w:p w:rsidR="00425758" w:rsidRDefault="00425758">
            <w:pPr>
              <w:pStyle w:val="nTable"/>
              <w:spacing w:after="40"/>
              <w:rPr>
                <w:snapToGrid w:val="0"/>
              </w:rPr>
            </w:pPr>
            <w:r>
              <w:t>r. 1 and 2: 15 Mar 2013 (see r. 2(a));</w:t>
            </w:r>
            <w:r>
              <w:br/>
              <w:t xml:space="preserve">Rules other than r. 1 and 2: 7 Aug 2013 (see r. 2(b) and </w:t>
            </w:r>
            <w:r>
              <w:rPr>
                <w:i/>
              </w:rPr>
              <w:t>Gazette</w:t>
            </w:r>
            <w:r>
              <w:t xml:space="preserve"> 6 Aug 2013 p. 3677)</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spacing w:after="40"/>
              <w:ind w:right="113"/>
            </w:pPr>
            <w:r>
              <w:rPr>
                <w:i/>
              </w:rPr>
              <w:t>Supreme Court Amendment Rules 2013</w:t>
            </w:r>
            <w:r>
              <w:rPr>
                <w:vertAlign w:val="superscript"/>
              </w:rPr>
              <w:t> 8</w:t>
            </w:r>
          </w:p>
        </w:tc>
        <w:tc>
          <w:tcPr>
            <w:tcW w:w="1276" w:type="dxa"/>
          </w:tcPr>
          <w:p w:rsidR="00425758" w:rsidRDefault="00425758">
            <w:pPr>
              <w:pStyle w:val="nTable"/>
              <w:spacing w:after="40"/>
            </w:pPr>
            <w:r>
              <w:t>23 Apr 2013 p. 1590-7</w:t>
            </w:r>
          </w:p>
        </w:tc>
        <w:tc>
          <w:tcPr>
            <w:tcW w:w="2696" w:type="dxa"/>
          </w:tcPr>
          <w:p w:rsidR="00425758" w:rsidRDefault="00425758">
            <w:pPr>
              <w:pStyle w:val="nTable"/>
              <w:spacing w:after="40"/>
            </w:pPr>
            <w:r>
              <w:rPr>
                <w:snapToGrid w:val="0"/>
              </w:rPr>
              <w:t>r. 1 and 2: 23 Apr 2013 (see r. 2(a));</w:t>
            </w:r>
            <w:r>
              <w:rPr>
                <w:snapToGrid w:val="0"/>
              </w:rPr>
              <w:br/>
              <w:t xml:space="preserve">Rules other than r. 1 and 2: </w:t>
            </w:r>
            <w:r>
              <w:t>7 May 2013 (see r. 2(b))</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spacing w:after="40"/>
              <w:ind w:right="113"/>
              <w:rPr>
                <w:i/>
              </w:rPr>
            </w:pPr>
            <w:r>
              <w:rPr>
                <w:i/>
              </w:rPr>
              <w:t>Supreme Court Amendment Rules (No. 4) 2013</w:t>
            </w:r>
          </w:p>
        </w:tc>
        <w:tc>
          <w:tcPr>
            <w:tcW w:w="1276" w:type="dxa"/>
          </w:tcPr>
          <w:p w:rsidR="00425758" w:rsidRDefault="00425758">
            <w:pPr>
              <w:pStyle w:val="nTable"/>
              <w:spacing w:after="40"/>
            </w:pPr>
            <w:r>
              <w:t>3 May 2013 p. 1718-19</w:t>
            </w:r>
          </w:p>
        </w:tc>
        <w:tc>
          <w:tcPr>
            <w:tcW w:w="2696" w:type="dxa"/>
          </w:tcPr>
          <w:p w:rsidR="00425758" w:rsidRDefault="00425758">
            <w:pPr>
              <w:pStyle w:val="nTable"/>
              <w:spacing w:after="40"/>
            </w:pPr>
            <w:r>
              <w:rPr>
                <w:snapToGrid w:val="0"/>
              </w:rPr>
              <w:t>r. 1 and 2: 3 May 2013 (see r. 2(a));</w:t>
            </w:r>
            <w:r>
              <w:rPr>
                <w:snapToGrid w:val="0"/>
              </w:rPr>
              <w:br/>
              <w:t xml:space="preserve">Rules other than r. 1 and 2: </w:t>
            </w:r>
            <w:r>
              <w:t>17 May 2013 (see r. 2(b))</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spacing w:after="40"/>
              <w:ind w:right="113"/>
              <w:rPr>
                <w:i/>
              </w:rPr>
            </w:pPr>
            <w:r>
              <w:rPr>
                <w:i/>
              </w:rPr>
              <w:lastRenderedPageBreak/>
              <w:t>Supreme Court Amendment Rules (No. 3) 2013</w:t>
            </w:r>
          </w:p>
        </w:tc>
        <w:tc>
          <w:tcPr>
            <w:tcW w:w="1276" w:type="dxa"/>
          </w:tcPr>
          <w:p w:rsidR="00425758" w:rsidRDefault="00425758">
            <w:pPr>
              <w:pStyle w:val="nTable"/>
              <w:spacing w:after="40"/>
            </w:pPr>
            <w:r>
              <w:t>17 Dec 2013 p. 6231</w:t>
            </w:r>
            <w:r>
              <w:noBreakHyphen/>
              <w:t>7</w:t>
            </w:r>
          </w:p>
        </w:tc>
        <w:tc>
          <w:tcPr>
            <w:tcW w:w="2696" w:type="dxa"/>
          </w:tcPr>
          <w:p w:rsidR="00425758" w:rsidRDefault="00425758">
            <w:pPr>
              <w:pStyle w:val="nTable"/>
              <w:spacing w:after="40"/>
              <w:rPr>
                <w:snapToGrid w:val="0"/>
              </w:rPr>
            </w:pPr>
            <w:r>
              <w:rPr>
                <w:snapToGrid w:val="0"/>
              </w:rPr>
              <w:t>r. 1 and 2: 17 Dec 2013 (see r. 2(a));</w:t>
            </w:r>
            <w:r>
              <w:rPr>
                <w:snapToGrid w:val="0"/>
              </w:rPr>
              <w:br/>
              <w:t xml:space="preserve">Rules other than r. 1 and 2: </w:t>
            </w:r>
            <w:r>
              <w:t>18 Dec 2013 (see r. 2(b))</w:t>
            </w:r>
          </w:p>
        </w:tc>
      </w:tr>
      <w:tr w:rsidR="00425758">
        <w:tblPrEx>
          <w:tblBorders>
            <w:top w:val="none" w:sz="0" w:space="0" w:color="auto"/>
            <w:bottom w:val="none" w:sz="0" w:space="0" w:color="auto"/>
            <w:insideH w:val="none" w:sz="0" w:space="0" w:color="auto"/>
          </w:tblBorders>
        </w:tblPrEx>
        <w:trPr>
          <w:cantSplit/>
        </w:trPr>
        <w:tc>
          <w:tcPr>
            <w:tcW w:w="7090" w:type="dxa"/>
            <w:gridSpan w:val="3"/>
          </w:tcPr>
          <w:p w:rsidR="00425758" w:rsidRDefault="00425758">
            <w:pPr>
              <w:pStyle w:val="nTable"/>
              <w:spacing w:after="40"/>
              <w:rPr>
                <w:snapToGrid w:val="0"/>
              </w:rPr>
            </w:pPr>
            <w:r>
              <w:rPr>
                <w:b/>
              </w:rPr>
              <w:t xml:space="preserve">Reprint 9: The </w:t>
            </w:r>
            <w:r>
              <w:rPr>
                <w:b/>
                <w:i/>
              </w:rPr>
              <w:t>Rules of the Supreme Court 1971</w:t>
            </w:r>
            <w:r>
              <w:rPr>
                <w:b/>
              </w:rPr>
              <w:t xml:space="preserve"> as at 4 Apr 2014</w:t>
            </w:r>
            <w:r>
              <w:t xml:space="preserve"> (includes amendments listed above)</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spacing w:after="40"/>
              <w:ind w:right="113"/>
              <w:rPr>
                <w:i/>
              </w:rPr>
            </w:pPr>
            <w:r>
              <w:rPr>
                <w:i/>
              </w:rPr>
              <w:t>Supreme Court Amendment Rules (No. 2) 2014</w:t>
            </w:r>
          </w:p>
        </w:tc>
        <w:tc>
          <w:tcPr>
            <w:tcW w:w="1276" w:type="dxa"/>
          </w:tcPr>
          <w:p w:rsidR="00425758" w:rsidRDefault="00425758">
            <w:pPr>
              <w:pStyle w:val="nTable"/>
              <w:spacing w:after="40"/>
            </w:pPr>
            <w:r>
              <w:t>26 Sep 2014 p. 3559</w:t>
            </w:r>
            <w:r>
              <w:noBreakHyphen/>
              <w:t>62</w:t>
            </w:r>
          </w:p>
        </w:tc>
        <w:tc>
          <w:tcPr>
            <w:tcW w:w="2696" w:type="dxa"/>
          </w:tcPr>
          <w:p w:rsidR="00425758" w:rsidRDefault="00425758">
            <w:pPr>
              <w:pStyle w:val="nTable"/>
              <w:spacing w:after="40"/>
              <w:rPr>
                <w:snapToGrid w:val="0"/>
              </w:rPr>
            </w:pPr>
            <w:r>
              <w:rPr>
                <w:snapToGrid w:val="0"/>
              </w:rPr>
              <w:t xml:space="preserve">r. 1 and 2: </w:t>
            </w:r>
            <w:r>
              <w:t xml:space="preserve">26 Sep 2014 </w:t>
            </w:r>
            <w:r>
              <w:rPr>
                <w:snapToGrid w:val="0"/>
              </w:rPr>
              <w:t>(see r. 2(a));</w:t>
            </w:r>
            <w:r>
              <w:rPr>
                <w:snapToGrid w:val="0"/>
              </w:rPr>
              <w:br/>
              <w:t xml:space="preserve">Rules other than r. 1 and 2: </w:t>
            </w:r>
            <w:r>
              <w:t>27 Sep 2014 (see r. 2(b))</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spacing w:after="40"/>
              <w:ind w:right="113"/>
              <w:rPr>
                <w:i/>
              </w:rPr>
            </w:pPr>
            <w:r>
              <w:rPr>
                <w:i/>
              </w:rPr>
              <w:t>Supreme Court Amendment Rules 2014</w:t>
            </w:r>
          </w:p>
        </w:tc>
        <w:tc>
          <w:tcPr>
            <w:tcW w:w="1276" w:type="dxa"/>
          </w:tcPr>
          <w:p w:rsidR="00425758" w:rsidRDefault="00425758">
            <w:pPr>
              <w:pStyle w:val="nTable"/>
              <w:spacing w:after="40"/>
            </w:pPr>
            <w:r>
              <w:t>19 Dec 2014 p. 4845-9</w:t>
            </w:r>
          </w:p>
        </w:tc>
        <w:tc>
          <w:tcPr>
            <w:tcW w:w="2696" w:type="dxa"/>
          </w:tcPr>
          <w:p w:rsidR="00425758" w:rsidRDefault="00425758">
            <w:pPr>
              <w:pStyle w:val="nTable"/>
              <w:spacing w:after="40"/>
              <w:rPr>
                <w:snapToGrid w:val="0"/>
              </w:rPr>
            </w:pPr>
            <w:r>
              <w:rPr>
                <w:snapToGrid w:val="0"/>
                <w:spacing w:val="-2"/>
              </w:rPr>
              <w:t>r. 1 and 2: 19 Dec 2014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spacing w:after="40"/>
              <w:ind w:right="113"/>
              <w:rPr>
                <w:i/>
              </w:rPr>
            </w:pPr>
            <w:r>
              <w:rPr>
                <w:i/>
              </w:rPr>
              <w:t>Supreme Court Amendment Rules (No. 4) 2015</w:t>
            </w:r>
          </w:p>
        </w:tc>
        <w:tc>
          <w:tcPr>
            <w:tcW w:w="1276" w:type="dxa"/>
          </w:tcPr>
          <w:p w:rsidR="00425758" w:rsidRDefault="00425758">
            <w:pPr>
              <w:pStyle w:val="nTable"/>
              <w:spacing w:after="40"/>
            </w:pPr>
            <w:r>
              <w:t>4 Sep 2015 p. 3696</w:t>
            </w:r>
            <w:r>
              <w:noBreakHyphen/>
              <w:t>8</w:t>
            </w:r>
          </w:p>
        </w:tc>
        <w:tc>
          <w:tcPr>
            <w:tcW w:w="2696" w:type="dxa"/>
          </w:tcPr>
          <w:p w:rsidR="00425758" w:rsidRDefault="00425758">
            <w:pPr>
              <w:pStyle w:val="nTable"/>
              <w:spacing w:after="40"/>
              <w:rPr>
                <w:snapToGrid w:val="0"/>
                <w:spacing w:val="-2"/>
              </w:rPr>
            </w:pPr>
            <w:r>
              <w:rPr>
                <w:snapToGrid w:val="0"/>
                <w:spacing w:val="-2"/>
              </w:rPr>
              <w:t>r. 1 and 2: 4 Sep 2015 (see r. 2(a));</w:t>
            </w:r>
            <w:r>
              <w:rPr>
                <w:snapToGrid w:val="0"/>
                <w:spacing w:val="-2"/>
              </w:rPr>
              <w:br/>
              <w:t xml:space="preserve">Rules other than r. 1 and 2: </w:t>
            </w:r>
            <w:r>
              <w:t>18 Sep 2015 (see r. 2(b))</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spacing w:after="40"/>
              <w:ind w:right="113"/>
              <w:rPr>
                <w:i/>
              </w:rPr>
            </w:pPr>
            <w:r>
              <w:rPr>
                <w:i/>
              </w:rPr>
              <w:t>Supreme Court Amendment Rules (No. 3) 2015</w:t>
            </w:r>
          </w:p>
        </w:tc>
        <w:tc>
          <w:tcPr>
            <w:tcW w:w="1276" w:type="dxa"/>
          </w:tcPr>
          <w:p w:rsidR="00425758" w:rsidRDefault="00425758">
            <w:pPr>
              <w:pStyle w:val="nTable"/>
              <w:spacing w:after="40"/>
            </w:pPr>
            <w:r>
              <w:t>13 Nov 2015 p. 4644-55</w:t>
            </w:r>
          </w:p>
        </w:tc>
        <w:tc>
          <w:tcPr>
            <w:tcW w:w="2696" w:type="dxa"/>
          </w:tcPr>
          <w:p w:rsidR="00425758" w:rsidRDefault="00425758">
            <w:pPr>
              <w:pStyle w:val="nTable"/>
              <w:spacing w:after="40"/>
              <w:rPr>
                <w:snapToGrid w:val="0"/>
                <w:spacing w:val="-2"/>
              </w:rPr>
            </w:pPr>
            <w:r>
              <w:rPr>
                <w:snapToGrid w:val="0"/>
                <w:spacing w:val="-2"/>
              </w:rPr>
              <w:t>r. 1 and 2: 13 Nov 2015 (see r. 2(a));</w:t>
            </w:r>
            <w:r>
              <w:rPr>
                <w:snapToGrid w:val="0"/>
                <w:spacing w:val="-2"/>
              </w:rPr>
              <w:br/>
              <w:t xml:space="preserve">Rules other than r. 1 and 2: </w:t>
            </w:r>
            <w:r>
              <w:t>27 Nov 2015 (see r. 2(b))</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spacing w:after="40"/>
              <w:ind w:right="113"/>
              <w:rPr>
                <w:i/>
              </w:rPr>
            </w:pPr>
            <w:r>
              <w:rPr>
                <w:i/>
              </w:rPr>
              <w:t>Supreme Court Amendment Rules 2016</w:t>
            </w:r>
          </w:p>
        </w:tc>
        <w:tc>
          <w:tcPr>
            <w:tcW w:w="1276" w:type="dxa"/>
          </w:tcPr>
          <w:p w:rsidR="00425758" w:rsidRDefault="00425758">
            <w:pPr>
              <w:pStyle w:val="nTable"/>
              <w:spacing w:after="40"/>
            </w:pPr>
            <w:r>
              <w:t>16 Nov 2016 p. 5185-216</w:t>
            </w:r>
          </w:p>
        </w:tc>
        <w:tc>
          <w:tcPr>
            <w:tcW w:w="2696" w:type="dxa"/>
          </w:tcPr>
          <w:p w:rsidR="00425758" w:rsidRDefault="00425758">
            <w:pPr>
              <w:pStyle w:val="nTable"/>
              <w:spacing w:after="40"/>
              <w:rPr>
                <w:snapToGrid w:val="0"/>
                <w:spacing w:val="-2"/>
              </w:rPr>
            </w:pPr>
            <w:r>
              <w:t>r. 1 and 2: 16 Nov 2016 (see r 2(a));</w:t>
            </w:r>
            <w:r>
              <w:br/>
              <w:t>Rules other than r. 1 and 2: 23 Nov 2016 (see r. 2(b))</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spacing w:after="40"/>
              <w:ind w:right="113"/>
            </w:pPr>
            <w:r>
              <w:rPr>
                <w:i/>
              </w:rPr>
              <w:t xml:space="preserve">Supreme Court (Arbitration) Rules 2016 </w:t>
            </w:r>
            <w:r>
              <w:t>r. 26</w:t>
            </w:r>
          </w:p>
        </w:tc>
        <w:tc>
          <w:tcPr>
            <w:tcW w:w="1276" w:type="dxa"/>
          </w:tcPr>
          <w:p w:rsidR="00425758" w:rsidRDefault="00425758">
            <w:pPr>
              <w:pStyle w:val="nTable"/>
              <w:spacing w:after="40"/>
            </w:pPr>
            <w:r>
              <w:t>20 Dec 2016 p. 5819</w:t>
            </w:r>
            <w:r>
              <w:noBreakHyphen/>
              <w:t>85</w:t>
            </w:r>
          </w:p>
        </w:tc>
        <w:tc>
          <w:tcPr>
            <w:tcW w:w="2696" w:type="dxa"/>
          </w:tcPr>
          <w:p w:rsidR="00425758" w:rsidRDefault="00425758">
            <w:pPr>
              <w:pStyle w:val="nTable"/>
              <w:spacing w:after="40"/>
            </w:pPr>
            <w:r>
              <w:t>3 Jan 2017 (see r. 2(b))</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spacing w:after="40"/>
              <w:ind w:right="113"/>
              <w:rPr>
                <w:i/>
              </w:rPr>
            </w:pPr>
            <w:r>
              <w:rPr>
                <w:i/>
              </w:rPr>
              <w:t>Supreme Court Amendment (Subpoenas) Rules 2017</w:t>
            </w:r>
          </w:p>
        </w:tc>
        <w:tc>
          <w:tcPr>
            <w:tcW w:w="1276" w:type="dxa"/>
          </w:tcPr>
          <w:p w:rsidR="00425758" w:rsidRDefault="00425758">
            <w:pPr>
              <w:pStyle w:val="nTable"/>
              <w:spacing w:after="40"/>
            </w:pPr>
            <w:r>
              <w:t>24 May 2017 p. 2565</w:t>
            </w:r>
            <w:r>
              <w:noBreakHyphen/>
              <w:t>607</w:t>
            </w:r>
          </w:p>
        </w:tc>
        <w:tc>
          <w:tcPr>
            <w:tcW w:w="2696" w:type="dxa"/>
          </w:tcPr>
          <w:p w:rsidR="00425758" w:rsidRDefault="00425758">
            <w:pPr>
              <w:pStyle w:val="nTable"/>
              <w:spacing w:after="40"/>
            </w:pPr>
            <w:r>
              <w:t>Pt. 1: 24 May 2017 (see r. 2(a));</w:t>
            </w:r>
            <w:r>
              <w:br/>
              <w:t>Rules other than Pt. 1: 7 Jun 2017 (see r. 2(b))</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spacing w:after="40"/>
              <w:ind w:right="113"/>
              <w:rPr>
                <w:i/>
              </w:rPr>
            </w:pPr>
            <w:r>
              <w:rPr>
                <w:i/>
              </w:rPr>
              <w:t>Supreme Court Amendment Rules 2017</w:t>
            </w:r>
          </w:p>
        </w:tc>
        <w:tc>
          <w:tcPr>
            <w:tcW w:w="1276" w:type="dxa"/>
          </w:tcPr>
          <w:p w:rsidR="00425758" w:rsidRDefault="00425758">
            <w:pPr>
              <w:pStyle w:val="nTable"/>
              <w:spacing w:after="40"/>
            </w:pPr>
            <w:r>
              <w:t>30 Jun 2017 p. 3575</w:t>
            </w:r>
            <w:r>
              <w:noBreakHyphen/>
              <w:t>6</w:t>
            </w:r>
          </w:p>
        </w:tc>
        <w:tc>
          <w:tcPr>
            <w:tcW w:w="2696" w:type="dxa"/>
          </w:tcPr>
          <w:p w:rsidR="00425758" w:rsidRDefault="00425758">
            <w:pPr>
              <w:pStyle w:val="nTable"/>
              <w:spacing w:after="40"/>
            </w:pPr>
            <w:r>
              <w:rPr>
                <w:bCs/>
                <w:snapToGrid w:val="0"/>
                <w:spacing w:val="-2"/>
              </w:rPr>
              <w:t xml:space="preserve">r. 1 and 2: </w:t>
            </w:r>
            <w:r>
              <w:rPr>
                <w:bCs/>
                <w:snapToGrid w:val="0"/>
              </w:rPr>
              <w:t>30 Jun 2017</w:t>
            </w:r>
            <w:r>
              <w:rPr>
                <w:bCs/>
                <w:snapToGrid w:val="0"/>
                <w:spacing w:val="-2"/>
              </w:rPr>
              <w:t xml:space="preserve"> (see r. 2(a));</w:t>
            </w:r>
            <w:r>
              <w:rPr>
                <w:bCs/>
                <w:snapToGrid w:val="0"/>
                <w:spacing w:val="-2"/>
              </w:rPr>
              <w:br/>
              <w:t xml:space="preserve">Rules other than r. 1 and 2: </w:t>
            </w:r>
            <w:r>
              <w:rPr>
                <w:bCs/>
                <w:snapToGrid w:val="0"/>
              </w:rPr>
              <w:t>1 Jul 2017</w:t>
            </w:r>
            <w:r>
              <w:rPr>
                <w:bCs/>
                <w:snapToGrid w:val="0"/>
                <w:spacing w:val="-2"/>
              </w:rPr>
              <w:t xml:space="preserve"> (see r. 2(b))</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spacing w:after="40"/>
              <w:ind w:right="113"/>
              <w:rPr>
                <w:i/>
              </w:rPr>
            </w:pPr>
            <w:r>
              <w:rPr>
                <w:i/>
              </w:rPr>
              <w:t>Supreme Court Rules Amendment Rules 2017</w:t>
            </w:r>
            <w:r>
              <w:t xml:space="preserve"> Pt. 2</w:t>
            </w:r>
          </w:p>
        </w:tc>
        <w:tc>
          <w:tcPr>
            <w:tcW w:w="1276" w:type="dxa"/>
          </w:tcPr>
          <w:p w:rsidR="00425758" w:rsidRDefault="00425758">
            <w:pPr>
              <w:pStyle w:val="nTable"/>
              <w:spacing w:after="40"/>
            </w:pPr>
            <w:r>
              <w:t>16 Aug 2017 p. 4391</w:t>
            </w:r>
            <w:r>
              <w:noBreakHyphen/>
              <w:t>427</w:t>
            </w:r>
          </w:p>
        </w:tc>
        <w:tc>
          <w:tcPr>
            <w:tcW w:w="2696" w:type="dxa"/>
          </w:tcPr>
          <w:p w:rsidR="00425758" w:rsidRDefault="00425758">
            <w:pPr>
              <w:pStyle w:val="nTable"/>
              <w:spacing w:after="40"/>
              <w:rPr>
                <w:bCs/>
                <w:snapToGrid w:val="0"/>
                <w:spacing w:val="-2"/>
              </w:rPr>
            </w:pPr>
            <w:r>
              <w:rPr>
                <w:bCs/>
                <w:snapToGrid w:val="0"/>
                <w:spacing w:val="-2"/>
              </w:rPr>
              <w:t>Pt. 2 (other than r. 30): 30 Aug 2017 (see r. 2(c));</w:t>
            </w:r>
            <w:r>
              <w:rPr>
                <w:bCs/>
                <w:snapToGrid w:val="0"/>
                <w:spacing w:val="-2"/>
              </w:rPr>
              <w:br/>
              <w:t xml:space="preserve">r. 30: </w:t>
            </w:r>
            <w:r>
              <w:t>4 Sep 2017 (see r. 2(b))</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spacing w:after="40"/>
              <w:ind w:right="113"/>
              <w:rPr>
                <w:i/>
              </w:rPr>
            </w:pPr>
            <w:r>
              <w:rPr>
                <w:i/>
              </w:rPr>
              <w:lastRenderedPageBreak/>
              <w:t>Supreme Court Amendment Rules (No. 3) 2017</w:t>
            </w:r>
          </w:p>
        </w:tc>
        <w:tc>
          <w:tcPr>
            <w:tcW w:w="1276" w:type="dxa"/>
          </w:tcPr>
          <w:p w:rsidR="00425758" w:rsidRDefault="00425758">
            <w:pPr>
              <w:pStyle w:val="nTable"/>
              <w:spacing w:after="40"/>
            </w:pPr>
            <w:r>
              <w:t>1 Dec 2017 p. 5732</w:t>
            </w:r>
            <w:r>
              <w:noBreakHyphen/>
              <w:t>3</w:t>
            </w:r>
          </w:p>
        </w:tc>
        <w:tc>
          <w:tcPr>
            <w:tcW w:w="2696" w:type="dxa"/>
          </w:tcPr>
          <w:p w:rsidR="00425758" w:rsidRDefault="00425758">
            <w:pPr>
              <w:pStyle w:val="nTable"/>
              <w:spacing w:after="40"/>
              <w:rPr>
                <w:bCs/>
                <w:snapToGrid w:val="0"/>
                <w:spacing w:val="-2"/>
              </w:rPr>
            </w:pPr>
            <w:r>
              <w:rPr>
                <w:bCs/>
                <w:snapToGrid w:val="0"/>
                <w:spacing w:val="-2"/>
              </w:rPr>
              <w:t>r. 1 and 2: 1 Dec 2017 (see r. 2(a));</w:t>
            </w:r>
            <w:r>
              <w:rPr>
                <w:bCs/>
                <w:snapToGrid w:val="0"/>
                <w:spacing w:val="-2"/>
              </w:rPr>
              <w:br/>
              <w:t>Rules other than r. 1 and 2: 2 Dec 2017 (see r. 2(b))</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spacing w:after="40"/>
              <w:ind w:right="113"/>
              <w:rPr>
                <w:i/>
              </w:rPr>
            </w:pPr>
            <w:r>
              <w:rPr>
                <w:i/>
              </w:rPr>
              <w:t>Supreme Court Amendment Rules 2018</w:t>
            </w:r>
          </w:p>
        </w:tc>
        <w:tc>
          <w:tcPr>
            <w:tcW w:w="1276" w:type="dxa"/>
          </w:tcPr>
          <w:p w:rsidR="00425758" w:rsidRDefault="00425758">
            <w:pPr>
              <w:pStyle w:val="nTable"/>
              <w:spacing w:after="40"/>
            </w:pPr>
            <w:r>
              <w:t>27 Feb 2018 p. 551</w:t>
            </w:r>
            <w:r>
              <w:noBreakHyphen/>
              <w:t>624</w:t>
            </w:r>
          </w:p>
        </w:tc>
        <w:tc>
          <w:tcPr>
            <w:tcW w:w="2696" w:type="dxa"/>
          </w:tcPr>
          <w:p w:rsidR="00425758" w:rsidRDefault="00425758">
            <w:pPr>
              <w:pStyle w:val="nTable"/>
              <w:spacing w:after="40"/>
              <w:rPr>
                <w:bCs/>
                <w:snapToGrid w:val="0"/>
                <w:spacing w:val="-2"/>
              </w:rPr>
            </w:pPr>
            <w:r>
              <w:rPr>
                <w:bCs/>
                <w:snapToGrid w:val="0"/>
                <w:spacing w:val="-2"/>
              </w:rPr>
              <w:t>r. 1 and 2: 27 Feb 2018 (see r. 2(a));</w:t>
            </w:r>
            <w:r>
              <w:rPr>
                <w:bCs/>
                <w:snapToGrid w:val="0"/>
                <w:spacing w:val="-2"/>
              </w:rPr>
              <w:br/>
              <w:t>Rules other than r. 1 and 2: 1 Mar 2018 (see r. 2(b))</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spacing w:after="40"/>
              <w:ind w:right="113"/>
              <w:rPr>
                <w:i/>
              </w:rPr>
            </w:pPr>
            <w:r>
              <w:rPr>
                <w:i/>
              </w:rPr>
              <w:t>Supreme Court Amendment Rules (No. 2) 2018</w:t>
            </w:r>
          </w:p>
        </w:tc>
        <w:tc>
          <w:tcPr>
            <w:tcW w:w="1276" w:type="dxa"/>
          </w:tcPr>
          <w:p w:rsidR="00425758" w:rsidRDefault="00425758">
            <w:pPr>
              <w:pStyle w:val="nTable"/>
              <w:spacing w:after="40"/>
            </w:pPr>
            <w:r>
              <w:t>29 Jun 2018 p. 2437</w:t>
            </w:r>
            <w:r>
              <w:noBreakHyphen/>
              <w:t>8</w:t>
            </w:r>
          </w:p>
        </w:tc>
        <w:tc>
          <w:tcPr>
            <w:tcW w:w="2696" w:type="dxa"/>
          </w:tcPr>
          <w:p w:rsidR="00425758" w:rsidRDefault="00425758">
            <w:pPr>
              <w:pStyle w:val="nTable"/>
              <w:spacing w:after="40"/>
              <w:rPr>
                <w:bCs/>
                <w:snapToGrid w:val="0"/>
                <w:spacing w:val="-2"/>
              </w:rPr>
            </w:pPr>
            <w:r>
              <w:rPr>
                <w:bCs/>
                <w:snapToGrid w:val="0"/>
                <w:spacing w:val="-2"/>
              </w:rPr>
              <w:t>r. 1 and 2: 29 Jun 2018 (see r. 2(a));</w:t>
            </w:r>
            <w:r>
              <w:rPr>
                <w:bCs/>
                <w:snapToGrid w:val="0"/>
                <w:spacing w:val="-2"/>
              </w:rPr>
              <w:br/>
              <w:t>Rules other than r. 1 and 2: 30 Jun 2018 (see r. 2(b))</w:t>
            </w:r>
          </w:p>
        </w:tc>
      </w:tr>
      <w:tr w:rsidR="00425758">
        <w:tblPrEx>
          <w:tblBorders>
            <w:top w:val="none" w:sz="0" w:space="0" w:color="auto"/>
            <w:bottom w:val="none" w:sz="0" w:space="0" w:color="auto"/>
            <w:insideH w:val="none" w:sz="0" w:space="0" w:color="auto"/>
          </w:tblBorders>
        </w:tblPrEx>
        <w:trPr>
          <w:cantSplit/>
        </w:trPr>
        <w:tc>
          <w:tcPr>
            <w:tcW w:w="3118" w:type="dxa"/>
          </w:tcPr>
          <w:p w:rsidR="00425758" w:rsidRDefault="00425758">
            <w:pPr>
              <w:pStyle w:val="nTable"/>
              <w:spacing w:after="40"/>
              <w:ind w:right="113"/>
              <w:rPr>
                <w:i/>
              </w:rPr>
            </w:pPr>
            <w:r>
              <w:rPr>
                <w:i/>
              </w:rPr>
              <w:t>Supreme Court Amendment Rules (No. 3) 2018</w:t>
            </w:r>
          </w:p>
        </w:tc>
        <w:tc>
          <w:tcPr>
            <w:tcW w:w="1276" w:type="dxa"/>
          </w:tcPr>
          <w:p w:rsidR="00425758" w:rsidRDefault="00425758">
            <w:pPr>
              <w:pStyle w:val="nTable"/>
              <w:spacing w:after="40"/>
            </w:pPr>
            <w:r>
              <w:t>28 Aug 2018 p. 2991</w:t>
            </w:r>
            <w:r>
              <w:noBreakHyphen/>
              <w:t>2</w:t>
            </w:r>
          </w:p>
        </w:tc>
        <w:tc>
          <w:tcPr>
            <w:tcW w:w="2696" w:type="dxa"/>
          </w:tcPr>
          <w:p w:rsidR="00425758" w:rsidRDefault="00425758">
            <w:pPr>
              <w:pStyle w:val="nTable"/>
              <w:spacing w:after="40"/>
              <w:rPr>
                <w:bCs/>
                <w:snapToGrid w:val="0"/>
                <w:spacing w:val="-2"/>
              </w:rPr>
            </w:pPr>
            <w:r>
              <w:rPr>
                <w:bCs/>
                <w:snapToGrid w:val="0"/>
                <w:spacing w:val="-2"/>
              </w:rPr>
              <w:t>r. 1 and 2: 28 Aug 2018 (see r. 2(a));</w:t>
            </w:r>
            <w:r>
              <w:rPr>
                <w:bCs/>
                <w:snapToGrid w:val="0"/>
                <w:spacing w:val="-2"/>
              </w:rPr>
              <w:br/>
              <w:t xml:space="preserve">Rules other than r. 1 and 2: 1 Sep 2018 (see r. 2(b) and </w:t>
            </w:r>
            <w:r>
              <w:rPr>
                <w:bCs/>
                <w:i/>
                <w:snapToGrid w:val="0"/>
                <w:spacing w:val="-2"/>
              </w:rPr>
              <w:t xml:space="preserve">Gazette </w:t>
            </w:r>
            <w:r>
              <w:rPr>
                <w:snapToGrid w:val="0"/>
                <w:spacing w:val="-2"/>
              </w:rPr>
              <w:t>17 Aug 2018 p. 2894</w:t>
            </w:r>
            <w:r>
              <w:rPr>
                <w:bCs/>
                <w:snapToGrid w:val="0"/>
                <w:spacing w:val="-2"/>
              </w:rPr>
              <w:t>)</w:t>
            </w:r>
          </w:p>
        </w:tc>
      </w:tr>
      <w:tr w:rsidR="00425758">
        <w:trPr>
          <w:cantSplit/>
        </w:trPr>
        <w:tc>
          <w:tcPr>
            <w:tcW w:w="3118" w:type="dxa"/>
            <w:tcBorders>
              <w:top w:val="nil"/>
              <w:bottom w:val="nil"/>
            </w:tcBorders>
          </w:tcPr>
          <w:p w:rsidR="00425758" w:rsidRDefault="00425758">
            <w:pPr>
              <w:pStyle w:val="nTable"/>
              <w:spacing w:after="40"/>
              <w:ind w:right="113"/>
              <w:rPr>
                <w:i/>
              </w:rPr>
            </w:pPr>
            <w:r>
              <w:rPr>
                <w:i/>
              </w:rPr>
              <w:t>Supreme Court Amendment Rules (No. 3) 2019</w:t>
            </w:r>
          </w:p>
        </w:tc>
        <w:tc>
          <w:tcPr>
            <w:tcW w:w="1276" w:type="dxa"/>
            <w:tcBorders>
              <w:top w:val="nil"/>
              <w:bottom w:val="nil"/>
            </w:tcBorders>
          </w:tcPr>
          <w:p w:rsidR="00425758" w:rsidRDefault="00425758">
            <w:pPr>
              <w:pStyle w:val="nTable"/>
              <w:spacing w:after="40"/>
            </w:pPr>
            <w:r>
              <w:t>31 Dec 2019 p. 4677-8</w:t>
            </w:r>
          </w:p>
        </w:tc>
        <w:tc>
          <w:tcPr>
            <w:tcW w:w="2696" w:type="dxa"/>
            <w:tcBorders>
              <w:top w:val="nil"/>
              <w:bottom w:val="nil"/>
            </w:tcBorders>
          </w:tcPr>
          <w:p w:rsidR="00425758" w:rsidRDefault="00425758">
            <w:pPr>
              <w:pStyle w:val="nTable"/>
              <w:spacing w:after="40"/>
              <w:rPr>
                <w:bCs/>
                <w:snapToGrid w:val="0"/>
                <w:spacing w:val="-2"/>
              </w:rPr>
            </w:pPr>
            <w:r>
              <w:rPr>
                <w:bCs/>
                <w:snapToGrid w:val="0"/>
                <w:spacing w:val="-2"/>
              </w:rPr>
              <w:t>r. 1 and 2: 31 Dec 2019 (see r. 2(a));</w:t>
            </w:r>
            <w:r>
              <w:rPr>
                <w:bCs/>
                <w:snapToGrid w:val="0"/>
                <w:spacing w:val="-2"/>
              </w:rPr>
              <w:br/>
              <w:t>Rules other than r. 1 and 2: 1 Jan 2020 (see r. 2(b))</w:t>
            </w:r>
          </w:p>
        </w:tc>
      </w:tr>
      <w:tr w:rsidR="00425758">
        <w:trPr>
          <w:cantSplit/>
        </w:trPr>
        <w:tc>
          <w:tcPr>
            <w:tcW w:w="3118" w:type="dxa"/>
            <w:tcBorders>
              <w:top w:val="nil"/>
              <w:bottom w:val="nil"/>
            </w:tcBorders>
          </w:tcPr>
          <w:p w:rsidR="00425758" w:rsidRDefault="00425758">
            <w:pPr>
              <w:pStyle w:val="nTable"/>
              <w:spacing w:after="40"/>
              <w:ind w:right="113"/>
              <w:rPr>
                <w:i/>
              </w:rPr>
            </w:pPr>
            <w:r>
              <w:rPr>
                <w:i/>
              </w:rPr>
              <w:t>Supreme Court Amendment Rules (No. 5) 2020</w:t>
            </w:r>
          </w:p>
        </w:tc>
        <w:tc>
          <w:tcPr>
            <w:tcW w:w="1276" w:type="dxa"/>
            <w:tcBorders>
              <w:top w:val="nil"/>
              <w:bottom w:val="nil"/>
            </w:tcBorders>
          </w:tcPr>
          <w:p w:rsidR="00425758" w:rsidRDefault="00425758">
            <w:pPr>
              <w:pStyle w:val="nTable"/>
              <w:spacing w:after="40"/>
            </w:pPr>
            <w:r>
              <w:t>SL 2020/228 27 Nov 2020</w:t>
            </w:r>
          </w:p>
        </w:tc>
        <w:tc>
          <w:tcPr>
            <w:tcW w:w="2696" w:type="dxa"/>
            <w:tcBorders>
              <w:top w:val="nil"/>
              <w:bottom w:val="nil"/>
            </w:tcBorders>
          </w:tcPr>
          <w:p w:rsidR="00425758" w:rsidRDefault="00425758">
            <w:pPr>
              <w:pStyle w:val="nTable"/>
              <w:spacing w:after="40"/>
              <w:rPr>
                <w:bCs/>
                <w:snapToGrid w:val="0"/>
                <w:spacing w:val="-2"/>
              </w:rPr>
            </w:pPr>
            <w:r>
              <w:rPr>
                <w:bCs/>
                <w:snapToGrid w:val="0"/>
                <w:spacing w:val="-2"/>
              </w:rPr>
              <w:t xml:space="preserve">r. 1 and 2: </w:t>
            </w:r>
            <w:r>
              <w:t>27 Nov 2020</w:t>
            </w:r>
            <w:r>
              <w:rPr>
                <w:bCs/>
                <w:snapToGrid w:val="0"/>
                <w:spacing w:val="-2"/>
              </w:rPr>
              <w:t xml:space="preserve"> (see r. 2(a));</w:t>
            </w:r>
            <w:r>
              <w:rPr>
                <w:bCs/>
                <w:snapToGrid w:val="0"/>
                <w:spacing w:val="-2"/>
              </w:rPr>
              <w:br/>
              <w:t xml:space="preserve">Rules other than r. 1 and 2: </w:t>
            </w:r>
            <w:r>
              <w:t>28 Nov 2020</w:t>
            </w:r>
            <w:r>
              <w:rPr>
                <w:bCs/>
                <w:snapToGrid w:val="0"/>
                <w:spacing w:val="-2"/>
              </w:rPr>
              <w:t xml:space="preserve"> (see r. 2(b))</w:t>
            </w:r>
          </w:p>
        </w:tc>
      </w:tr>
      <w:tr w:rsidR="00425758" w:rsidTr="007148F1">
        <w:trPr>
          <w:cantSplit/>
        </w:trPr>
        <w:tc>
          <w:tcPr>
            <w:tcW w:w="3118" w:type="dxa"/>
            <w:tcBorders>
              <w:top w:val="nil"/>
              <w:bottom w:val="nil"/>
            </w:tcBorders>
          </w:tcPr>
          <w:p w:rsidR="00425758" w:rsidRDefault="00425758">
            <w:pPr>
              <w:pStyle w:val="nTable"/>
              <w:spacing w:after="40"/>
              <w:ind w:right="113"/>
              <w:rPr>
                <w:i/>
              </w:rPr>
            </w:pPr>
            <w:r>
              <w:rPr>
                <w:i/>
              </w:rPr>
              <w:t>Supreme Court Amendment Rules (No. 2) 2020</w:t>
            </w:r>
          </w:p>
        </w:tc>
        <w:tc>
          <w:tcPr>
            <w:tcW w:w="1276" w:type="dxa"/>
            <w:tcBorders>
              <w:top w:val="nil"/>
              <w:bottom w:val="nil"/>
            </w:tcBorders>
          </w:tcPr>
          <w:p w:rsidR="00425758" w:rsidRDefault="00425758">
            <w:pPr>
              <w:pStyle w:val="nTable"/>
              <w:spacing w:after="40"/>
            </w:pPr>
            <w:r>
              <w:t>SL 2020/242 18 Dec 2020</w:t>
            </w:r>
          </w:p>
        </w:tc>
        <w:tc>
          <w:tcPr>
            <w:tcW w:w="2696" w:type="dxa"/>
            <w:tcBorders>
              <w:top w:val="nil"/>
              <w:bottom w:val="nil"/>
            </w:tcBorders>
          </w:tcPr>
          <w:p w:rsidR="00425758" w:rsidRDefault="00425758">
            <w:pPr>
              <w:pStyle w:val="nTable"/>
              <w:spacing w:after="40"/>
              <w:rPr>
                <w:bCs/>
                <w:snapToGrid w:val="0"/>
                <w:spacing w:val="-2"/>
              </w:rPr>
            </w:pPr>
            <w:r>
              <w:rPr>
                <w:bCs/>
                <w:snapToGrid w:val="0"/>
                <w:spacing w:val="-2"/>
              </w:rPr>
              <w:t>r. 1 and 2: 18 Dec 2020 (see r. 2(a));</w:t>
            </w:r>
            <w:r>
              <w:rPr>
                <w:bCs/>
                <w:snapToGrid w:val="0"/>
                <w:spacing w:val="-2"/>
              </w:rPr>
              <w:br/>
              <w:t>Rules other than  r. 1 and 2: 19 Dec 2020 (see r. 2(b))</w:t>
            </w:r>
          </w:p>
        </w:tc>
      </w:tr>
      <w:tr w:rsidR="00425758" w:rsidTr="007148F1">
        <w:trPr>
          <w:cantSplit/>
        </w:trPr>
        <w:tc>
          <w:tcPr>
            <w:tcW w:w="3118" w:type="dxa"/>
            <w:tcBorders>
              <w:top w:val="nil"/>
              <w:bottom w:val="nil"/>
            </w:tcBorders>
          </w:tcPr>
          <w:p w:rsidR="00425758" w:rsidRDefault="00425758">
            <w:pPr>
              <w:pStyle w:val="nTable"/>
              <w:spacing w:after="40"/>
              <w:ind w:right="113"/>
              <w:rPr>
                <w:i/>
              </w:rPr>
            </w:pPr>
            <w:r>
              <w:rPr>
                <w:i/>
              </w:rPr>
              <w:t>Supreme Court Rules Amendment (Court of Appeal) Rules 2021</w:t>
            </w:r>
            <w:r>
              <w:t xml:space="preserve"> Pt. 3</w:t>
            </w:r>
          </w:p>
        </w:tc>
        <w:tc>
          <w:tcPr>
            <w:tcW w:w="1276" w:type="dxa"/>
            <w:tcBorders>
              <w:top w:val="nil"/>
              <w:bottom w:val="nil"/>
            </w:tcBorders>
          </w:tcPr>
          <w:p w:rsidR="00425758" w:rsidRDefault="00425758">
            <w:pPr>
              <w:pStyle w:val="nTable"/>
              <w:spacing w:after="40"/>
            </w:pPr>
            <w:r>
              <w:t>SL 2021/34 30 Mar 2021</w:t>
            </w:r>
          </w:p>
        </w:tc>
        <w:tc>
          <w:tcPr>
            <w:tcW w:w="2696" w:type="dxa"/>
            <w:tcBorders>
              <w:top w:val="nil"/>
              <w:bottom w:val="nil"/>
            </w:tcBorders>
          </w:tcPr>
          <w:p w:rsidR="00425758" w:rsidRDefault="00425758">
            <w:pPr>
              <w:pStyle w:val="nTable"/>
              <w:spacing w:after="40"/>
              <w:rPr>
                <w:bCs/>
                <w:snapToGrid w:val="0"/>
                <w:spacing w:val="-2"/>
              </w:rPr>
            </w:pPr>
            <w:r>
              <w:t>3 May 2021 (see r. 2(b))</w:t>
            </w:r>
          </w:p>
        </w:tc>
      </w:tr>
      <w:tr w:rsidR="00425758" w:rsidTr="007148F1">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rsidR="00425758" w:rsidRDefault="00425758" w:rsidP="00425758">
            <w:pPr>
              <w:pStyle w:val="nTable"/>
              <w:spacing w:after="40"/>
              <w:ind w:right="113"/>
              <w:rPr>
                <w:i/>
              </w:rPr>
            </w:pPr>
            <w:r>
              <w:rPr>
                <w:i/>
              </w:rPr>
              <w:t>Supreme Court Amendment Rules (No. 2) 2021</w:t>
            </w:r>
          </w:p>
        </w:tc>
        <w:tc>
          <w:tcPr>
            <w:tcW w:w="1276" w:type="dxa"/>
            <w:tcBorders>
              <w:bottom w:val="single" w:sz="4" w:space="0" w:color="auto"/>
            </w:tcBorders>
          </w:tcPr>
          <w:p w:rsidR="00425758" w:rsidRDefault="00425758" w:rsidP="00425758">
            <w:pPr>
              <w:pStyle w:val="nTable"/>
              <w:spacing w:after="40"/>
            </w:pPr>
            <w:r>
              <w:t>SL 2021/65 1 Jun 2021</w:t>
            </w:r>
          </w:p>
        </w:tc>
        <w:tc>
          <w:tcPr>
            <w:tcW w:w="2696" w:type="dxa"/>
            <w:tcBorders>
              <w:bottom w:val="single" w:sz="4" w:space="0" w:color="auto"/>
            </w:tcBorders>
          </w:tcPr>
          <w:p w:rsidR="00425758" w:rsidRDefault="00425758" w:rsidP="00425758">
            <w:pPr>
              <w:pStyle w:val="nTable"/>
              <w:spacing w:after="40"/>
            </w:pPr>
            <w:r>
              <w:t>r. 1 and 2: 1 Jun 2021 (see</w:t>
            </w:r>
            <w:r w:rsidR="00D7537E">
              <w:t> </w:t>
            </w:r>
            <w:r>
              <w:t>r. 2(a));</w:t>
            </w:r>
            <w:r>
              <w:br/>
              <w:t>Rules other than r. 1 and 2: 1 Jul 2021 (see r. 2(b) and SL 2021/54 cl. 2(a))</w:t>
            </w:r>
          </w:p>
        </w:tc>
      </w:tr>
    </w:tbl>
    <w:p w:rsidR="00425758" w:rsidRDefault="00425758">
      <w:pPr>
        <w:pStyle w:val="nHeading3"/>
      </w:pPr>
      <w:bookmarkStart w:id="1432" w:name="_Toc75863994"/>
      <w:r>
        <w:t>Other notes</w:t>
      </w:r>
      <w:bookmarkEnd w:id="1432"/>
    </w:p>
    <w:p w:rsidR="00425758" w:rsidRDefault="00425758">
      <w:pPr>
        <w:pStyle w:val="nNote"/>
        <w:spacing w:before="160"/>
      </w:pPr>
      <w:r>
        <w:rPr>
          <w:vertAlign w:val="superscript"/>
        </w:rPr>
        <w:t>1</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rsidR="00425758" w:rsidRDefault="00425758">
      <w:pPr>
        <w:pStyle w:val="nNote"/>
      </w:pPr>
      <w:r>
        <w:rPr>
          <w:vertAlign w:val="superscript"/>
        </w:rPr>
        <w:lastRenderedPageBreak/>
        <w:t>2</w:t>
      </w:r>
      <w:r>
        <w:tab/>
        <w:t>This rule is merely declaratory of an Order in Council gazetted 16 Sep 1983 whereby the vacations of the Supreme Court are regulated.</w:t>
      </w:r>
    </w:p>
    <w:p w:rsidR="00425758" w:rsidRDefault="00425758">
      <w:pPr>
        <w:pStyle w:val="nNote"/>
      </w:pPr>
      <w:r>
        <w:rPr>
          <w:vertAlign w:val="superscript"/>
        </w:rPr>
        <w:t>3</w:t>
      </w:r>
      <w:r>
        <w:tab/>
        <w:t xml:space="preserve">Formerly referred to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rsidR="00425758" w:rsidRDefault="00425758">
      <w:pPr>
        <w:pStyle w:val="nNote"/>
        <w:rPr>
          <w:vertAlign w:val="superscript"/>
        </w:rPr>
      </w:pPr>
      <w:r>
        <w:rPr>
          <w:vertAlign w:val="superscript"/>
        </w:rPr>
        <w:t>4</w:t>
      </w:r>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rsidR="00425758" w:rsidRDefault="00425758">
      <w:pPr>
        <w:pStyle w:val="nNote"/>
        <w:spacing w:before="100"/>
      </w:pPr>
      <w:r>
        <w:rPr>
          <w:vertAlign w:val="superscript"/>
        </w:rPr>
        <w:t>5</w:t>
      </w:r>
      <w:r>
        <w:tab/>
        <w:t>The commencement date of 1 Jul 1982 that was specified was before the date of gazettal.</w:t>
      </w:r>
    </w:p>
    <w:p w:rsidR="00425758" w:rsidRDefault="00425758">
      <w:pPr>
        <w:pStyle w:val="nNote"/>
        <w:keepNext/>
        <w:keepLines/>
        <w:rPr>
          <w:u w:val="single"/>
        </w:rPr>
      </w:pPr>
      <w:r>
        <w:rPr>
          <w:vertAlign w:val="superscript"/>
        </w:rPr>
        <w:t>6</w:t>
      </w:r>
      <w:r>
        <w:tab/>
        <w:t xml:space="preserve">The </w:t>
      </w:r>
      <w:r>
        <w:rPr>
          <w:i/>
        </w:rPr>
        <w:t>Supreme Court Amendment Rules 1994</w:t>
      </w:r>
      <w:r>
        <w:t xml:space="preserve"> r. 14 is a transitional provision that has no further effect. </w:t>
      </w:r>
    </w:p>
    <w:p w:rsidR="00425758" w:rsidRDefault="00425758">
      <w:pPr>
        <w:pStyle w:val="nNote"/>
      </w:pPr>
      <w:r>
        <w:rPr>
          <w:vertAlign w:val="superscript"/>
        </w:rPr>
        <w:t>7</w:t>
      </w:r>
      <w:r>
        <w:tab/>
        <w:t xml:space="preserve">Disallowed on 10 Mar 1998, see </w:t>
      </w:r>
      <w:r>
        <w:rPr>
          <w:i/>
        </w:rPr>
        <w:t>Gazette</w:t>
      </w:r>
      <w:r>
        <w:t xml:space="preserve"> 13 Mar 1998 p. 1389.</w:t>
      </w:r>
    </w:p>
    <w:p w:rsidR="00425758" w:rsidRDefault="00425758">
      <w:pPr>
        <w:pStyle w:val="nNote"/>
      </w:pPr>
      <w:r>
        <w:rPr>
          <w:vertAlign w:val="superscript"/>
        </w:rPr>
        <w:t>8</w:t>
      </w:r>
      <w:r>
        <w:tab/>
        <w:t xml:space="preserve">Disallowed on 29 Oct 2013, see </w:t>
      </w:r>
      <w:r>
        <w:rPr>
          <w:i/>
        </w:rPr>
        <w:t>Gazette</w:t>
      </w:r>
      <w:r>
        <w:t xml:space="preserve"> 1 Nov 2013 p. 4910.</w:t>
      </w:r>
    </w:p>
    <w:p w:rsidR="00425758" w:rsidRDefault="00425758"/>
    <w:p w:rsidR="00425758" w:rsidRDefault="00425758">
      <w:pPr>
        <w:sectPr w:rsidR="00425758">
          <w:headerReference w:type="even" r:id="rId30"/>
          <w:headerReference w:type="default" r:id="rId31"/>
          <w:pgSz w:w="11907" w:h="16840" w:code="9"/>
          <w:pgMar w:top="2376" w:right="2404" w:bottom="3544" w:left="2404" w:header="720" w:footer="3380" w:gutter="0"/>
          <w:cols w:space="720"/>
          <w:noEndnote/>
          <w:docGrid w:linePitch="326"/>
        </w:sectPr>
      </w:pPr>
    </w:p>
    <w:p w:rsidR="00425758" w:rsidRDefault="00425758">
      <w:pPr>
        <w:pStyle w:val="nHeading2"/>
        <w:rPr>
          <w:sz w:val="28"/>
        </w:rPr>
      </w:pPr>
      <w:bookmarkStart w:id="1434" w:name="_Toc75512899"/>
      <w:bookmarkStart w:id="1435" w:name="_Toc75863995"/>
      <w:r>
        <w:rPr>
          <w:sz w:val="28"/>
        </w:rPr>
        <w:lastRenderedPageBreak/>
        <w:t>Defined terms</w:t>
      </w:r>
      <w:bookmarkEnd w:id="1434"/>
      <w:bookmarkEnd w:id="1435"/>
    </w:p>
    <w:p w:rsidR="00425758" w:rsidRDefault="00425758">
      <w:pPr>
        <w:ind w:left="850" w:right="850"/>
        <w:jc w:val="center"/>
        <w:rPr>
          <w:i/>
          <w:sz w:val="18"/>
        </w:rPr>
      </w:pPr>
    </w:p>
    <w:p w:rsidR="00425758" w:rsidRDefault="00425758">
      <w:pPr>
        <w:ind w:left="850" w:right="850"/>
        <w:jc w:val="center"/>
        <w:rPr>
          <w:i/>
          <w:sz w:val="18"/>
        </w:rPr>
      </w:pPr>
      <w:r>
        <w:rPr>
          <w:i/>
          <w:sz w:val="18"/>
        </w:rPr>
        <w:t>[This is a list of terms defined and the provisions where they are defined.  The list is not part of the law.]</w:t>
      </w:r>
    </w:p>
    <w:p w:rsidR="00425758" w:rsidRDefault="00425758">
      <w:pPr>
        <w:pBdr>
          <w:bottom w:val="single" w:sz="4" w:space="1" w:color="auto"/>
        </w:pBdr>
        <w:tabs>
          <w:tab w:val="right" w:pos="7070"/>
        </w:tabs>
        <w:ind w:left="578"/>
        <w:rPr>
          <w:b/>
          <w:sz w:val="20"/>
        </w:rPr>
      </w:pPr>
      <w:r>
        <w:rPr>
          <w:b/>
          <w:sz w:val="20"/>
        </w:rPr>
        <w:t>Defined term</w:t>
      </w:r>
      <w:r>
        <w:rPr>
          <w:b/>
          <w:sz w:val="20"/>
        </w:rPr>
        <w:tab/>
        <w:t>Provision(s)</w:t>
      </w:r>
    </w:p>
    <w:p w:rsidR="00425758" w:rsidRDefault="00425758">
      <w:pPr>
        <w:pStyle w:val="DefinedTerms"/>
      </w:pPr>
      <w:r>
        <w:t>A</w:t>
      </w:r>
      <w:r>
        <w:tab/>
        <w:t>O. 4A r. 2(2)(n)</w:t>
      </w:r>
    </w:p>
    <w:p w:rsidR="00425758" w:rsidRDefault="00425758">
      <w:pPr>
        <w:pStyle w:val="DefinedTerms"/>
      </w:pPr>
      <w:r>
        <w:t>Accountant</w:t>
      </w:r>
      <w:r>
        <w:tab/>
        <w:t>O. 1 r. 4(1)</w:t>
      </w:r>
    </w:p>
    <w:p w:rsidR="00425758" w:rsidRDefault="00425758">
      <w:pPr>
        <w:pStyle w:val="DefinedTerms"/>
        <w:tabs>
          <w:tab w:val="clear" w:pos="7070"/>
          <w:tab w:val="right" w:leader="dot" w:pos="7080"/>
        </w:tabs>
        <w:ind w:left="600" w:right="16" w:hanging="22"/>
        <w:jc w:val="right"/>
        <w:rPr>
          <w:rStyle w:val="CharDivText"/>
        </w:rPr>
      </w:pPr>
      <w:r>
        <w:rPr>
          <w:rStyle w:val="CharDivText"/>
        </w:rPr>
        <w:t>Act</w:t>
      </w:r>
      <w:r>
        <w:rPr>
          <w:rStyle w:val="CharDivText"/>
        </w:rPr>
        <w:tab/>
        <w:t>O. 1 r. 4(1), O. 38A r. 1(a), O. 39 r. 1(a), O. 39A r. 1(1), O. 44A r. 1(a),</w:t>
      </w:r>
      <w:r>
        <w:rPr>
          <w:rStyle w:val="CharDivText"/>
        </w:rPr>
        <w:br/>
        <w:t>O.</w:t>
      </w:r>
      <w:r>
        <w:t xml:space="preserve"> 46 r. 1, </w:t>
      </w:r>
      <w:r>
        <w:rPr>
          <w:rStyle w:val="CharDivText"/>
        </w:rPr>
        <w:t>O. 75 r. 1,  O. 76 r. 1, O. 80A r. 1, O. 81B r. 1(1),</w:t>
      </w:r>
      <w:r>
        <w:rPr>
          <w:rStyle w:val="CharDivText"/>
        </w:rPr>
        <w:br/>
        <w:t xml:space="preserve">O. 81E r. 1, </w:t>
      </w:r>
      <w:r>
        <w:t xml:space="preserve">O. 81F r. 1(1), O. 81G r. 1(1), </w:t>
      </w:r>
      <w:r>
        <w:rPr>
          <w:rStyle w:val="CharDivText"/>
        </w:rPr>
        <w:t>O. 81H r. 1, O. 85 r. 1(1)</w:t>
      </w:r>
    </w:p>
    <w:p w:rsidR="00425758" w:rsidRDefault="00425758">
      <w:pPr>
        <w:pStyle w:val="DefinedTerms"/>
      </w:pPr>
      <w:r>
        <w:t>action for personal injuries</w:t>
      </w:r>
      <w:r>
        <w:tab/>
      </w:r>
      <w:r>
        <w:rPr>
          <w:rStyle w:val="CharDivText"/>
        </w:rPr>
        <w:t>O.</w:t>
      </w:r>
      <w:r>
        <w:t xml:space="preserve"> 36A r. 1</w:t>
      </w:r>
    </w:p>
    <w:p w:rsidR="00425758" w:rsidRDefault="00425758">
      <w:pPr>
        <w:pStyle w:val="DefinedTerms"/>
      </w:pPr>
      <w:r>
        <w:t>additional authority</w:t>
      </w:r>
      <w:r>
        <w:tab/>
      </w:r>
      <w:r>
        <w:rPr>
          <w:rStyle w:val="CharDivText"/>
        </w:rPr>
        <w:t>O.</w:t>
      </w:r>
      <w:r>
        <w:t xml:space="preserve"> 11A r. 1</w:t>
      </w:r>
    </w:p>
    <w:p w:rsidR="00425758" w:rsidRDefault="00425758">
      <w:pPr>
        <w:pStyle w:val="DefinedTerms"/>
      </w:pPr>
      <w:r>
        <w:t>addressee</w:t>
      </w:r>
      <w:r>
        <w:tab/>
      </w:r>
      <w:r>
        <w:rPr>
          <w:rStyle w:val="CharDivText"/>
        </w:rPr>
        <w:t>O.</w:t>
      </w:r>
      <w:r>
        <w:t xml:space="preserve"> 36B r. 1(1)</w:t>
      </w:r>
    </w:p>
    <w:p w:rsidR="00425758" w:rsidRDefault="00425758">
      <w:pPr>
        <w:pStyle w:val="DefinedTerms"/>
      </w:pPr>
      <w:r>
        <w:t>Admiralty Rules</w:t>
      </w:r>
      <w:r>
        <w:tab/>
      </w:r>
      <w:r>
        <w:rPr>
          <w:rStyle w:val="CharDivText"/>
        </w:rPr>
        <w:t>O.</w:t>
      </w:r>
      <w:r>
        <w:t xml:space="preserve"> 84 r. 9(1)</w:t>
      </w:r>
    </w:p>
    <w:p w:rsidR="00425758" w:rsidRDefault="00425758">
      <w:pPr>
        <w:pStyle w:val="DefinedTerms"/>
      </w:pPr>
      <w:r>
        <w:t>ancillary order</w:t>
      </w:r>
      <w:r>
        <w:tab/>
      </w:r>
      <w:r>
        <w:rPr>
          <w:rStyle w:val="CharDivText"/>
        </w:rPr>
        <w:t>O.</w:t>
      </w:r>
      <w:r>
        <w:t xml:space="preserve"> 52A r. 1</w:t>
      </w:r>
    </w:p>
    <w:p w:rsidR="00425758" w:rsidRDefault="00425758">
      <w:pPr>
        <w:pStyle w:val="DefinedTerms"/>
      </w:pPr>
      <w:r>
        <w:t>another court</w:t>
      </w:r>
      <w:r>
        <w:tab/>
      </w:r>
      <w:r>
        <w:rPr>
          <w:rStyle w:val="CharDivText"/>
        </w:rPr>
        <w:t>O.</w:t>
      </w:r>
      <w:r>
        <w:t xml:space="preserve"> 52A r. 1</w:t>
      </w:r>
    </w:p>
    <w:p w:rsidR="00425758" w:rsidRDefault="00425758">
      <w:pPr>
        <w:pStyle w:val="DefinedTerms"/>
      </w:pPr>
      <w:r>
        <w:t>any relevant scale</w:t>
      </w:r>
      <w:r>
        <w:tab/>
      </w:r>
      <w:r>
        <w:rPr>
          <w:rStyle w:val="CharDivText"/>
        </w:rPr>
        <w:t>O.</w:t>
      </w:r>
      <w:r>
        <w:t xml:space="preserve"> 66 r. 11(1)</w:t>
      </w:r>
    </w:p>
    <w:p w:rsidR="00425758" w:rsidRDefault="00425758">
      <w:pPr>
        <w:pStyle w:val="DefinedTerms"/>
      </w:pPr>
      <w:r>
        <w:t>appeal</w:t>
      </w:r>
      <w:r>
        <w:tab/>
      </w:r>
      <w:r>
        <w:rPr>
          <w:rStyle w:val="CharDivText"/>
        </w:rPr>
        <w:t>O.</w:t>
      </w:r>
      <w:r>
        <w:t xml:space="preserve"> 65 r. 1</w:t>
      </w:r>
    </w:p>
    <w:p w:rsidR="00425758" w:rsidRDefault="00425758">
      <w:pPr>
        <w:pStyle w:val="DefinedTerms"/>
      </w:pPr>
      <w:r>
        <w:t>appeal notice</w:t>
      </w:r>
      <w:r>
        <w:tab/>
      </w:r>
      <w:r>
        <w:rPr>
          <w:rStyle w:val="CharDivText"/>
        </w:rPr>
        <w:t>O.</w:t>
      </w:r>
      <w:r>
        <w:t xml:space="preserve"> 65 r. 1</w:t>
      </w:r>
    </w:p>
    <w:p w:rsidR="00425758" w:rsidRDefault="00425758">
      <w:pPr>
        <w:pStyle w:val="DefinedTerms"/>
        <w:rPr>
          <w:rStyle w:val="CharDivText"/>
        </w:rPr>
      </w:pPr>
      <w:r>
        <w:t>applicant</w:t>
      </w:r>
      <w:r>
        <w:tab/>
      </w:r>
      <w:r>
        <w:rPr>
          <w:rStyle w:val="CharDivText"/>
        </w:rPr>
        <w:t>O.</w:t>
      </w:r>
      <w:r>
        <w:t xml:space="preserve"> 11A r. 1, </w:t>
      </w:r>
      <w:r>
        <w:rPr>
          <w:rStyle w:val="CharDivText"/>
        </w:rPr>
        <w:t>O.</w:t>
      </w:r>
      <w:r>
        <w:t xml:space="preserve"> 52A r. 1, </w:t>
      </w:r>
      <w:r>
        <w:rPr>
          <w:rStyle w:val="CharDivText"/>
        </w:rPr>
        <w:t>O.</w:t>
      </w:r>
      <w:r>
        <w:t xml:space="preserve"> 52B r. 1</w:t>
      </w:r>
    </w:p>
    <w:p w:rsidR="00425758" w:rsidRDefault="00425758">
      <w:pPr>
        <w:pStyle w:val="DefinedTerms"/>
      </w:pPr>
      <w:r>
        <w:rPr>
          <w:rStyle w:val="CharDivText"/>
        </w:rPr>
        <w:t>application</w:t>
      </w:r>
      <w:r>
        <w:t xml:space="preserve"> </w:t>
      </w:r>
      <w:r>
        <w:tab/>
        <w:t>O. 56 r. 1(1)</w:t>
      </w:r>
    </w:p>
    <w:p w:rsidR="00425758" w:rsidRDefault="00425758">
      <w:pPr>
        <w:pStyle w:val="DefinedTerms"/>
      </w:pPr>
      <w:r>
        <w:t>approved mediator</w:t>
      </w:r>
      <w:r>
        <w:tab/>
      </w:r>
      <w:r>
        <w:rPr>
          <w:rStyle w:val="CharDivText"/>
        </w:rPr>
        <w:t>O.</w:t>
      </w:r>
      <w:r>
        <w:t> 4A r. 1</w:t>
      </w:r>
    </w:p>
    <w:p w:rsidR="00425758" w:rsidRDefault="00425758">
      <w:pPr>
        <w:pStyle w:val="DefinedTerms"/>
      </w:pPr>
      <w:r>
        <w:t>arbitration law</w:t>
      </w:r>
      <w:r>
        <w:tab/>
        <w:t>O. 81D r. 1</w:t>
      </w:r>
    </w:p>
    <w:p w:rsidR="00425758" w:rsidRDefault="00425758">
      <w:pPr>
        <w:pStyle w:val="DefinedTerms"/>
      </w:pPr>
      <w:r>
        <w:t>arbitrator</w:t>
      </w:r>
      <w:r>
        <w:tab/>
        <w:t>O. 81D r. 1</w:t>
      </w:r>
    </w:p>
    <w:p w:rsidR="00425758" w:rsidRDefault="00425758">
      <w:pPr>
        <w:pStyle w:val="DefinedTerms"/>
      </w:pPr>
      <w:r>
        <w:t>Australian diplomatic or consular agent</w:t>
      </w:r>
      <w:r>
        <w:tab/>
      </w:r>
      <w:r>
        <w:rPr>
          <w:rStyle w:val="CharDivText"/>
        </w:rPr>
        <w:t>O.</w:t>
      </w:r>
      <w:r>
        <w:t xml:space="preserve"> 1 r. 4(1)</w:t>
      </w:r>
    </w:p>
    <w:p w:rsidR="00425758" w:rsidRDefault="00425758">
      <w:pPr>
        <w:pStyle w:val="DefinedTerms"/>
      </w:pPr>
      <w:r>
        <w:t>B</w:t>
      </w:r>
      <w:r>
        <w:tab/>
      </w:r>
      <w:r>
        <w:rPr>
          <w:rStyle w:val="CharDivText"/>
        </w:rPr>
        <w:t>O.</w:t>
      </w:r>
      <w:r>
        <w:t xml:space="preserve"> 4A r. 2(2)(n)</w:t>
      </w:r>
    </w:p>
    <w:p w:rsidR="00425758" w:rsidRDefault="00425758">
      <w:pPr>
        <w:pStyle w:val="DefinedTerms"/>
      </w:pPr>
      <w:r>
        <w:t>case</w:t>
      </w:r>
      <w:r>
        <w:tab/>
      </w:r>
      <w:r>
        <w:rPr>
          <w:rStyle w:val="CharDivText"/>
        </w:rPr>
        <w:t>O.</w:t>
      </w:r>
      <w:r>
        <w:t xml:space="preserve"> 1 r. 4(1), </w:t>
      </w:r>
      <w:r>
        <w:rPr>
          <w:rStyle w:val="CharDivText"/>
        </w:rPr>
        <w:t>O.</w:t>
      </w:r>
      <w:r>
        <w:t> 4A r. 1</w:t>
      </w:r>
    </w:p>
    <w:p w:rsidR="00425758" w:rsidRDefault="00425758">
      <w:pPr>
        <w:pStyle w:val="DefinedTerms"/>
      </w:pPr>
      <w:r>
        <w:t>case management direction</w:t>
      </w:r>
      <w:r>
        <w:tab/>
      </w:r>
      <w:r>
        <w:rPr>
          <w:rStyle w:val="CharDivText"/>
        </w:rPr>
        <w:t>O.</w:t>
      </w:r>
      <w:r>
        <w:t> 4A r. 1</w:t>
      </w:r>
    </w:p>
    <w:p w:rsidR="00425758" w:rsidRDefault="00425758">
      <w:pPr>
        <w:pStyle w:val="DefinedTerms"/>
      </w:pPr>
      <w:r>
        <w:t>case management registrar</w:t>
      </w:r>
      <w:r>
        <w:tab/>
      </w:r>
      <w:r>
        <w:rPr>
          <w:rStyle w:val="CharDivText"/>
        </w:rPr>
        <w:t>O.</w:t>
      </w:r>
      <w:r>
        <w:t xml:space="preserve"> 1 r. 4(1)</w:t>
      </w:r>
    </w:p>
    <w:p w:rsidR="00425758" w:rsidRDefault="00425758">
      <w:pPr>
        <w:pStyle w:val="DefinedTerms"/>
      </w:pPr>
      <w:r>
        <w:t>case manager</w:t>
      </w:r>
      <w:r>
        <w:tab/>
      </w:r>
      <w:r>
        <w:rPr>
          <w:rStyle w:val="CharDivText"/>
        </w:rPr>
        <w:t>O.</w:t>
      </w:r>
      <w:r>
        <w:t xml:space="preserve"> 1 r. 4(1), </w:t>
      </w:r>
      <w:r>
        <w:rPr>
          <w:rStyle w:val="CharDivText"/>
        </w:rPr>
        <w:t>O.</w:t>
      </w:r>
      <w:r>
        <w:t> 4A r. 1</w:t>
      </w:r>
    </w:p>
    <w:p w:rsidR="00425758" w:rsidRDefault="00425758">
      <w:pPr>
        <w:pStyle w:val="DefinedTerms"/>
      </w:pPr>
      <w:r>
        <w:t>Cause Book</w:t>
      </w:r>
      <w:r>
        <w:tab/>
      </w:r>
      <w:r>
        <w:rPr>
          <w:rStyle w:val="CharDivText"/>
        </w:rPr>
        <w:t>O.</w:t>
      </w:r>
      <w:r>
        <w:t xml:space="preserve"> 1 r. 4(1)</w:t>
      </w:r>
    </w:p>
    <w:p w:rsidR="00425758" w:rsidRDefault="00425758">
      <w:pPr>
        <w:pStyle w:val="DefinedTerms"/>
      </w:pPr>
      <w:r>
        <w:t>Central Authority</w:t>
      </w:r>
      <w:r>
        <w:tab/>
      </w:r>
      <w:r>
        <w:rPr>
          <w:rStyle w:val="CharDivText"/>
        </w:rPr>
        <w:t>O.</w:t>
      </w:r>
      <w:r>
        <w:t xml:space="preserve"> 11A r. 1</w:t>
      </w:r>
    </w:p>
    <w:p w:rsidR="00425758" w:rsidRDefault="00425758">
      <w:pPr>
        <w:pStyle w:val="DefinedTerms"/>
      </w:pPr>
      <w:r>
        <w:t>Central Office</w:t>
      </w:r>
      <w:r>
        <w:tab/>
      </w:r>
      <w:r>
        <w:rPr>
          <w:rStyle w:val="CharDivText"/>
        </w:rPr>
        <w:t>O.</w:t>
      </w:r>
      <w:r>
        <w:t xml:space="preserve"> 1 r. 4(1)</w:t>
      </w:r>
    </w:p>
    <w:p w:rsidR="00425758" w:rsidRDefault="00425758">
      <w:pPr>
        <w:pStyle w:val="DefinedTerms"/>
      </w:pPr>
      <w:r>
        <w:t xml:space="preserve">certificate </w:t>
      </w:r>
      <w:r>
        <w:tab/>
        <w:t>O. 39A r. 5(1A)</w:t>
      </w:r>
    </w:p>
    <w:p w:rsidR="00425758" w:rsidRDefault="00425758">
      <w:pPr>
        <w:pStyle w:val="DefinedTerms"/>
      </w:pPr>
      <w:r>
        <w:t xml:space="preserve">certificate of service </w:t>
      </w:r>
      <w:r>
        <w:tab/>
        <w:t>O. 11A r. 1</w:t>
      </w:r>
    </w:p>
    <w:p w:rsidR="00425758" w:rsidRDefault="00425758">
      <w:pPr>
        <w:pStyle w:val="DefinedTerms"/>
      </w:pPr>
      <w:r>
        <w:t>certifying authority</w:t>
      </w:r>
      <w:r>
        <w:tab/>
        <w:t>O. 11A r. 1</w:t>
      </w:r>
    </w:p>
    <w:p w:rsidR="00425758" w:rsidRDefault="00425758">
      <w:pPr>
        <w:pStyle w:val="DefinedTerms"/>
      </w:pPr>
      <w:r>
        <w:t xml:space="preserve">challenged conduct </w:t>
      </w:r>
      <w:r>
        <w:tab/>
        <w:t>O. 56 r. 1(1)</w:t>
      </w:r>
    </w:p>
    <w:p w:rsidR="00425758" w:rsidRDefault="00425758">
      <w:pPr>
        <w:pStyle w:val="DefinedTerms"/>
      </w:pPr>
      <w:r>
        <w:t xml:space="preserve">challenged decision </w:t>
      </w:r>
      <w:r>
        <w:tab/>
        <w:t>O. 56 r. 1(1)</w:t>
      </w:r>
    </w:p>
    <w:p w:rsidR="00425758" w:rsidRDefault="00425758">
      <w:pPr>
        <w:pStyle w:val="DefinedTerms"/>
      </w:pPr>
      <w:r>
        <w:t>charge</w:t>
      </w:r>
      <w:r>
        <w:tab/>
      </w:r>
      <w:r>
        <w:rPr>
          <w:rStyle w:val="CharDivText"/>
        </w:rPr>
        <w:t>O.</w:t>
      </w:r>
      <w:r>
        <w:t xml:space="preserve"> 62A r. 1(3)</w:t>
      </w:r>
    </w:p>
    <w:p w:rsidR="00425758" w:rsidRDefault="00425758">
      <w:pPr>
        <w:pStyle w:val="DefinedTerms"/>
      </w:pPr>
      <w:r>
        <w:t>civil proceedings</w:t>
      </w:r>
      <w:r>
        <w:tab/>
      </w:r>
      <w:r>
        <w:rPr>
          <w:rStyle w:val="CharDivText"/>
        </w:rPr>
        <w:t>O.</w:t>
      </w:r>
      <w:r>
        <w:t xml:space="preserve"> 11A r. 1</w:t>
      </w:r>
    </w:p>
    <w:p w:rsidR="00425758" w:rsidRDefault="00425758">
      <w:pPr>
        <w:pStyle w:val="DefinedTerms"/>
      </w:pPr>
      <w:r>
        <w:t>claim</w:t>
      </w:r>
      <w:r>
        <w:tab/>
        <w:t>O. 81G r. 1(1)</w:t>
      </w:r>
    </w:p>
    <w:p w:rsidR="00425758" w:rsidRDefault="00425758">
      <w:pPr>
        <w:pStyle w:val="DefinedTerms"/>
      </w:pPr>
      <w:r>
        <w:t>CMC List</w:t>
      </w:r>
      <w:r>
        <w:tab/>
        <w:t>O. 4A r. 1</w:t>
      </w:r>
    </w:p>
    <w:p w:rsidR="00425758" w:rsidRDefault="00425758">
      <w:pPr>
        <w:pStyle w:val="DefinedTerms"/>
      </w:pPr>
      <w:r>
        <w:t>CMC List case</w:t>
      </w:r>
      <w:r>
        <w:tab/>
        <w:t>O. 4A r. 1</w:t>
      </w:r>
    </w:p>
    <w:p w:rsidR="00425758" w:rsidRDefault="00425758">
      <w:pPr>
        <w:pStyle w:val="DefinedTerms"/>
      </w:pPr>
      <w:r>
        <w:t>CMC List judge</w:t>
      </w:r>
      <w:r>
        <w:tab/>
        <w:t>O. 4A r. 1</w:t>
      </w:r>
    </w:p>
    <w:p w:rsidR="00425758" w:rsidRDefault="00425758">
      <w:pPr>
        <w:pStyle w:val="DefinedTerms"/>
      </w:pPr>
      <w:r>
        <w:t>concluded</w:t>
      </w:r>
      <w:r>
        <w:tab/>
        <w:t>O. 65 r. 1</w:t>
      </w:r>
    </w:p>
    <w:p w:rsidR="00425758" w:rsidRDefault="00425758">
      <w:pPr>
        <w:pStyle w:val="DefinedTerms"/>
      </w:pPr>
      <w:r>
        <w:lastRenderedPageBreak/>
        <w:t xml:space="preserve">conduct </w:t>
      </w:r>
      <w:r>
        <w:tab/>
        <w:t>O. 56 r. 1(1)</w:t>
      </w:r>
    </w:p>
    <w:p w:rsidR="00425758" w:rsidRDefault="00425758">
      <w:pPr>
        <w:pStyle w:val="DefinedTerms"/>
      </w:pPr>
      <w:r>
        <w:t>conduct money</w:t>
      </w:r>
      <w:r>
        <w:tab/>
        <w:t>O. 36B r. 1(1)</w:t>
      </w:r>
    </w:p>
    <w:p w:rsidR="00425758" w:rsidRDefault="00425758">
      <w:pPr>
        <w:pStyle w:val="DefinedTerms"/>
      </w:pPr>
      <w:r>
        <w:t>confiscable property declaration</w:t>
      </w:r>
      <w:r>
        <w:tab/>
        <w:t>O. 81FA r. 1</w:t>
      </w:r>
    </w:p>
    <w:p w:rsidR="00425758" w:rsidRDefault="00425758">
      <w:pPr>
        <w:pStyle w:val="DefinedTerms"/>
      </w:pPr>
      <w:r>
        <w:t>Confiscation Act 2000</w:t>
      </w:r>
      <w:r>
        <w:tab/>
        <w:t>O. 81FA r. 1</w:t>
      </w:r>
    </w:p>
    <w:p w:rsidR="00425758" w:rsidRDefault="00425758">
      <w:pPr>
        <w:pStyle w:val="DefinedTerms"/>
      </w:pPr>
      <w:r>
        <w:t>consular agent</w:t>
      </w:r>
      <w:r>
        <w:tab/>
        <w:t>O. 1 r. 4(1)</w:t>
      </w:r>
    </w:p>
    <w:p w:rsidR="00425758" w:rsidRDefault="00425758">
      <w:pPr>
        <w:pStyle w:val="DefinedTerms"/>
      </w:pPr>
      <w:r>
        <w:t>contemnor</w:t>
      </w:r>
      <w:r>
        <w:tab/>
        <w:t>O. 55 r. 1</w:t>
      </w:r>
    </w:p>
    <w:p w:rsidR="00425758" w:rsidRDefault="00425758">
      <w:pPr>
        <w:pStyle w:val="DefinedTerms"/>
        <w:rPr>
          <w:rStyle w:val="CharDivText"/>
        </w:rPr>
      </w:pPr>
      <w:r>
        <w:t>Convention country</w:t>
      </w:r>
      <w:r>
        <w:rPr>
          <w:rStyle w:val="CharDivText"/>
        </w:rPr>
        <w:tab/>
        <w:t>O. 11A r. 1</w:t>
      </w:r>
    </w:p>
    <w:p w:rsidR="00425758" w:rsidRDefault="00425758">
      <w:pPr>
        <w:pStyle w:val="DefinedTerms"/>
        <w:rPr>
          <w:rStyle w:val="CharDivText"/>
        </w:rPr>
      </w:pPr>
      <w:r>
        <w:rPr>
          <w:rStyle w:val="CharDivText"/>
        </w:rPr>
        <w:t>costs</w:t>
      </w:r>
      <w:r>
        <w:rPr>
          <w:rStyle w:val="CharDivText"/>
        </w:rPr>
        <w:tab/>
        <w:t>O. 1 r. 4(1)</w:t>
      </w:r>
    </w:p>
    <w:p w:rsidR="00425758" w:rsidRDefault="00425758">
      <w:pPr>
        <w:pStyle w:val="DefinedTerms"/>
        <w:rPr>
          <w:rStyle w:val="CharDivText"/>
        </w:rPr>
      </w:pPr>
      <w:r>
        <w:rPr>
          <w:rStyle w:val="CharDivText"/>
        </w:rPr>
        <w:t>Court</w:t>
      </w:r>
      <w:r>
        <w:rPr>
          <w:rStyle w:val="CharDivText"/>
        </w:rPr>
        <w:tab/>
        <w:t>O. 1 r. 4(2)</w:t>
      </w:r>
    </w:p>
    <w:p w:rsidR="00425758" w:rsidRDefault="00425758">
      <w:pPr>
        <w:pStyle w:val="DefinedTerms"/>
        <w:rPr>
          <w:rStyle w:val="CharDivText"/>
        </w:rPr>
      </w:pPr>
      <w:r>
        <w:rPr>
          <w:rStyle w:val="CharDivText"/>
        </w:rPr>
        <w:t>Court expert</w:t>
      </w:r>
      <w:r>
        <w:rPr>
          <w:rStyle w:val="CharDivText"/>
        </w:rPr>
        <w:tab/>
        <w:t>O. 40 r. 1</w:t>
      </w:r>
    </w:p>
    <w:p w:rsidR="00425758" w:rsidRDefault="00425758">
      <w:pPr>
        <w:pStyle w:val="DefinedTerms"/>
        <w:rPr>
          <w:rStyle w:val="CharDivText"/>
        </w:rPr>
      </w:pPr>
      <w:r>
        <w:rPr>
          <w:rStyle w:val="CharDivText"/>
        </w:rPr>
        <w:t>court of rendition</w:t>
      </w:r>
      <w:r>
        <w:rPr>
          <w:rStyle w:val="CharDivText"/>
        </w:rPr>
        <w:tab/>
        <w:t>O. 81B r. 1(1)</w:t>
      </w:r>
    </w:p>
    <w:p w:rsidR="00425758" w:rsidRDefault="00425758">
      <w:pPr>
        <w:pStyle w:val="DefinedTerms"/>
        <w:rPr>
          <w:rStyle w:val="CharDivText"/>
        </w:rPr>
      </w:pPr>
      <w:r>
        <w:rPr>
          <w:rStyle w:val="CharDivText"/>
        </w:rPr>
        <w:t>crime</w:t>
      </w:r>
      <w:r>
        <w:rPr>
          <w:rStyle w:val="CharDivText"/>
        </w:rPr>
        <w:noBreakHyphen/>
        <w:t>used property substitution declaration</w:t>
      </w:r>
      <w:r>
        <w:rPr>
          <w:rStyle w:val="CharDivText"/>
        </w:rPr>
        <w:tab/>
        <w:t>O. 81C r. 1</w:t>
      </w:r>
    </w:p>
    <w:p w:rsidR="00425758" w:rsidRDefault="00425758">
      <w:pPr>
        <w:pStyle w:val="DefinedTerms"/>
        <w:rPr>
          <w:rStyle w:val="CharDivText"/>
        </w:rPr>
      </w:pPr>
      <w:r>
        <w:rPr>
          <w:rStyle w:val="CharDivText"/>
        </w:rPr>
        <w:t>criminal benefits declaration</w:t>
      </w:r>
      <w:r>
        <w:rPr>
          <w:rStyle w:val="CharDivText"/>
        </w:rPr>
        <w:tab/>
        <w:t>O. 81C r. 1</w:t>
      </w:r>
    </w:p>
    <w:p w:rsidR="00425758" w:rsidRDefault="00425758">
      <w:pPr>
        <w:pStyle w:val="DefinedTerms"/>
        <w:rPr>
          <w:rStyle w:val="CharDivText"/>
        </w:rPr>
      </w:pPr>
      <w:r>
        <w:rPr>
          <w:rStyle w:val="CharDivText"/>
        </w:rPr>
        <w:t>cross</w:t>
      </w:r>
      <w:r>
        <w:rPr>
          <w:rStyle w:val="CharDivText"/>
        </w:rPr>
        <w:noBreakHyphen/>
        <w:t>vesting laws</w:t>
      </w:r>
      <w:r>
        <w:rPr>
          <w:rStyle w:val="CharDivText"/>
        </w:rPr>
        <w:tab/>
        <w:t>O. 81E r. 1</w:t>
      </w:r>
    </w:p>
    <w:p w:rsidR="00425758" w:rsidRDefault="00425758">
      <w:pPr>
        <w:pStyle w:val="DefinedTerms"/>
        <w:rPr>
          <w:rStyle w:val="CharDivText"/>
        </w:rPr>
      </w:pPr>
      <w:r>
        <w:rPr>
          <w:rStyle w:val="CharDivText"/>
        </w:rPr>
        <w:t>defendant</w:t>
      </w:r>
      <w:r>
        <w:rPr>
          <w:rStyle w:val="CharDivText"/>
        </w:rPr>
        <w:tab/>
        <w:t>O. 11A r. 1</w:t>
      </w:r>
    </w:p>
    <w:p w:rsidR="00425758" w:rsidRDefault="00425758">
      <w:pPr>
        <w:pStyle w:val="DefinedTerms"/>
        <w:rPr>
          <w:rStyle w:val="CharDivText"/>
        </w:rPr>
      </w:pPr>
      <w:r>
        <w:rPr>
          <w:rStyle w:val="CharDivText"/>
        </w:rPr>
        <w:t>described</w:t>
      </w:r>
      <w:r>
        <w:rPr>
          <w:rStyle w:val="CharDivText"/>
        </w:rPr>
        <w:tab/>
        <w:t>O. 52B r. 1</w:t>
      </w:r>
    </w:p>
    <w:p w:rsidR="00425758" w:rsidRDefault="00425758">
      <w:pPr>
        <w:pStyle w:val="DefinedTerms"/>
        <w:rPr>
          <w:rStyle w:val="CharDivText"/>
        </w:rPr>
      </w:pPr>
      <w:r>
        <w:rPr>
          <w:rStyle w:val="CharDivText"/>
        </w:rPr>
        <w:t>description</w:t>
      </w:r>
      <w:r>
        <w:rPr>
          <w:rStyle w:val="CharDivText"/>
        </w:rPr>
        <w:tab/>
        <w:t>O. 26A r. 1</w:t>
      </w:r>
    </w:p>
    <w:p w:rsidR="00425758" w:rsidRDefault="00425758">
      <w:pPr>
        <w:pStyle w:val="DefinedTerms"/>
        <w:rPr>
          <w:rStyle w:val="CharDivText"/>
        </w:rPr>
      </w:pPr>
      <w:r>
        <w:rPr>
          <w:rStyle w:val="CharDivText"/>
        </w:rPr>
        <w:t>diplomatic agent</w:t>
      </w:r>
      <w:r>
        <w:rPr>
          <w:rStyle w:val="CharDivText"/>
        </w:rPr>
        <w:tab/>
        <w:t>O. 1 r. 4(1)</w:t>
      </w:r>
    </w:p>
    <w:p w:rsidR="00425758" w:rsidRDefault="00425758">
      <w:pPr>
        <w:pStyle w:val="DefinedTerms"/>
        <w:rPr>
          <w:rStyle w:val="CharDivText"/>
        </w:rPr>
      </w:pPr>
      <w:r>
        <w:rPr>
          <w:rStyle w:val="CharDivText"/>
        </w:rPr>
        <w:t>Director General</w:t>
      </w:r>
      <w:r>
        <w:rPr>
          <w:rStyle w:val="CharDivText"/>
        </w:rPr>
        <w:tab/>
        <w:t>O. 81C r. 1</w:t>
      </w:r>
    </w:p>
    <w:p w:rsidR="00425758" w:rsidRDefault="00425758">
      <w:pPr>
        <w:pStyle w:val="DefinedTerms"/>
        <w:rPr>
          <w:rStyle w:val="CharDivText"/>
        </w:rPr>
      </w:pPr>
      <w:r>
        <w:rPr>
          <w:rStyle w:val="CharDivText"/>
        </w:rPr>
        <w:t>document</w:t>
      </w:r>
      <w:r>
        <w:rPr>
          <w:rStyle w:val="CharDivText"/>
        </w:rPr>
        <w:tab/>
        <w:t>O. 26 r. 1A, O. 26A r. 1</w:t>
      </w:r>
    </w:p>
    <w:p w:rsidR="00425758" w:rsidRDefault="00425758">
      <w:pPr>
        <w:pStyle w:val="DefinedTerms"/>
        <w:rPr>
          <w:rStyle w:val="CharDivText"/>
        </w:rPr>
      </w:pPr>
      <w:r>
        <w:rPr>
          <w:rStyle w:val="CharDivText"/>
        </w:rPr>
        <w:t>ECMS</w:t>
      </w:r>
      <w:r>
        <w:rPr>
          <w:rStyle w:val="CharDivText"/>
        </w:rPr>
        <w:tab/>
        <w:t>O. 1 r. 4(1)</w:t>
      </w:r>
    </w:p>
    <w:p w:rsidR="00425758" w:rsidRDefault="00425758">
      <w:pPr>
        <w:pStyle w:val="DefinedTerms"/>
        <w:rPr>
          <w:rStyle w:val="CharDivText"/>
        </w:rPr>
      </w:pPr>
      <w:r>
        <w:rPr>
          <w:rStyle w:val="CharDivText"/>
        </w:rPr>
        <w:t>Electoral Commissioner</w:t>
      </w:r>
      <w:r>
        <w:rPr>
          <w:rStyle w:val="CharDivText"/>
        </w:rPr>
        <w:tab/>
        <w:t>O. 65C r. 1</w:t>
      </w:r>
    </w:p>
    <w:p w:rsidR="00425758" w:rsidRDefault="00425758">
      <w:pPr>
        <w:pStyle w:val="DefinedTerms"/>
        <w:rPr>
          <w:rStyle w:val="CharDivText"/>
        </w:rPr>
      </w:pPr>
      <w:r>
        <w:rPr>
          <w:rStyle w:val="CharDivText"/>
        </w:rPr>
        <w:t>enforcement</w:t>
      </w:r>
      <w:r>
        <w:rPr>
          <w:rStyle w:val="CharDivText"/>
        </w:rPr>
        <w:tab/>
        <w:t>O. 81B r. 1(1)</w:t>
      </w:r>
    </w:p>
    <w:p w:rsidR="00425758" w:rsidRDefault="00425758">
      <w:pPr>
        <w:pStyle w:val="DefinedTerms"/>
        <w:rPr>
          <w:rStyle w:val="CharDivText"/>
        </w:rPr>
      </w:pPr>
      <w:r>
        <w:rPr>
          <w:rStyle w:val="CharDivText"/>
        </w:rPr>
        <w:t>enforcement order</w:t>
      </w:r>
      <w:r>
        <w:rPr>
          <w:rStyle w:val="CharDivText"/>
        </w:rPr>
        <w:tab/>
      </w:r>
      <w:r>
        <w:t>O. 4A r. 1</w:t>
      </w:r>
    </w:p>
    <w:p w:rsidR="00425758" w:rsidRDefault="00425758">
      <w:pPr>
        <w:pStyle w:val="DefinedTerms"/>
        <w:rPr>
          <w:rStyle w:val="CharDivText"/>
        </w:rPr>
      </w:pPr>
      <w:r>
        <w:rPr>
          <w:rStyle w:val="CharDivText"/>
        </w:rPr>
        <w:t>examiner</w:t>
      </w:r>
      <w:r>
        <w:rPr>
          <w:rStyle w:val="CharDivText"/>
        </w:rPr>
        <w:tab/>
        <w:t>O. 38 r. 4(1)</w:t>
      </w:r>
    </w:p>
    <w:p w:rsidR="00425758" w:rsidRDefault="00425758">
      <w:pPr>
        <w:pStyle w:val="DefinedTerms"/>
        <w:rPr>
          <w:rStyle w:val="CharDivText"/>
        </w:rPr>
      </w:pPr>
      <w:r>
        <w:rPr>
          <w:rStyle w:val="CharDivText"/>
        </w:rPr>
        <w:t>examination order</w:t>
      </w:r>
      <w:r>
        <w:rPr>
          <w:rStyle w:val="CharDivText"/>
        </w:rPr>
        <w:tab/>
        <w:t>O. 81FA r. 1</w:t>
      </w:r>
    </w:p>
    <w:p w:rsidR="00425758" w:rsidRDefault="00425758">
      <w:pPr>
        <w:pStyle w:val="DefinedTerms"/>
        <w:rPr>
          <w:rStyle w:val="CharDivText"/>
        </w:rPr>
      </w:pPr>
      <w:r>
        <w:rPr>
          <w:rStyle w:val="CharDivText"/>
        </w:rPr>
        <w:t>expert</w:t>
      </w:r>
      <w:r>
        <w:rPr>
          <w:rStyle w:val="CharDivText"/>
        </w:rPr>
        <w:tab/>
        <w:t>O. 40 r. 1</w:t>
      </w:r>
    </w:p>
    <w:p w:rsidR="00425758" w:rsidRDefault="00425758">
      <w:pPr>
        <w:pStyle w:val="DefinedTerms"/>
        <w:rPr>
          <w:rStyle w:val="CharDivText"/>
        </w:rPr>
      </w:pPr>
      <w:r>
        <w:rPr>
          <w:rStyle w:val="CharDivText"/>
        </w:rPr>
        <w:t>file</w:t>
      </w:r>
      <w:r>
        <w:rPr>
          <w:rStyle w:val="CharDivText"/>
        </w:rPr>
        <w:tab/>
        <w:t>O. 1 r. 4(1)</w:t>
      </w:r>
    </w:p>
    <w:p w:rsidR="00425758" w:rsidRDefault="00425758">
      <w:pPr>
        <w:pStyle w:val="DefinedTerms"/>
        <w:rPr>
          <w:rStyle w:val="CharDivText"/>
        </w:rPr>
      </w:pPr>
      <w:r>
        <w:rPr>
          <w:rStyle w:val="CharDivText"/>
        </w:rPr>
        <w:t>filed</w:t>
      </w:r>
      <w:r>
        <w:rPr>
          <w:rStyle w:val="CharDivText"/>
        </w:rPr>
        <w:tab/>
        <w:t>O. 1 r. 4(1)</w:t>
      </w:r>
    </w:p>
    <w:p w:rsidR="00425758" w:rsidRDefault="00425758">
      <w:pPr>
        <w:pStyle w:val="DefinedTerms"/>
        <w:rPr>
          <w:rStyle w:val="CharDivText"/>
        </w:rPr>
      </w:pPr>
      <w:r>
        <w:rPr>
          <w:rStyle w:val="CharDivText"/>
        </w:rPr>
        <w:t>filing</w:t>
      </w:r>
      <w:r>
        <w:rPr>
          <w:rStyle w:val="CharDivText"/>
        </w:rPr>
        <w:tab/>
        <w:t>O. 1 r. 4(1)</w:t>
      </w:r>
    </w:p>
    <w:p w:rsidR="00425758" w:rsidRDefault="00425758">
      <w:pPr>
        <w:pStyle w:val="DefinedTerms"/>
        <w:rPr>
          <w:rStyle w:val="CharDivText"/>
        </w:rPr>
      </w:pPr>
      <w:r>
        <w:rPr>
          <w:rStyle w:val="CharDivText"/>
        </w:rPr>
        <w:t>first offer</w:t>
      </w:r>
      <w:r>
        <w:rPr>
          <w:rStyle w:val="CharDivText"/>
        </w:rPr>
        <w:tab/>
        <w:t>O. 24A r. 3(7)</w:t>
      </w:r>
    </w:p>
    <w:p w:rsidR="00425758" w:rsidRDefault="00425758">
      <w:pPr>
        <w:pStyle w:val="DefinedTerms"/>
        <w:rPr>
          <w:rStyle w:val="CharDivText"/>
        </w:rPr>
      </w:pPr>
      <w:r>
        <w:rPr>
          <w:rStyle w:val="CharDivText"/>
        </w:rPr>
        <w:t>folio</w:t>
      </w:r>
      <w:r>
        <w:rPr>
          <w:rStyle w:val="CharDivText"/>
        </w:rPr>
        <w:tab/>
        <w:t>O. 1 r. 4(1)</w:t>
      </w:r>
    </w:p>
    <w:p w:rsidR="00425758" w:rsidRDefault="00425758">
      <w:pPr>
        <w:pStyle w:val="DefinedTerms"/>
        <w:rPr>
          <w:rStyle w:val="CharDivText"/>
        </w:rPr>
      </w:pPr>
      <w:r>
        <w:rPr>
          <w:rStyle w:val="CharDivText"/>
        </w:rPr>
        <w:t>foreign judicial document</w:t>
      </w:r>
      <w:r>
        <w:rPr>
          <w:rStyle w:val="CharDivText"/>
        </w:rPr>
        <w:tab/>
        <w:t>O. 11A r. 1</w:t>
      </w:r>
    </w:p>
    <w:p w:rsidR="00425758" w:rsidRDefault="00425758">
      <w:pPr>
        <w:pStyle w:val="DefinedTerms"/>
        <w:rPr>
          <w:rStyle w:val="CharDivText"/>
        </w:rPr>
      </w:pPr>
      <w:r>
        <w:rPr>
          <w:rStyle w:val="CharDivText"/>
        </w:rPr>
        <w:t xml:space="preserve">form </w:t>
      </w:r>
      <w:r>
        <w:rPr>
          <w:rStyle w:val="CharDivText"/>
        </w:rPr>
        <w:tab/>
        <w:t>O. 1 r. 4(1)</w:t>
      </w:r>
    </w:p>
    <w:p w:rsidR="00425758" w:rsidRDefault="00425758">
      <w:pPr>
        <w:pStyle w:val="DefinedTerms"/>
        <w:rPr>
          <w:rStyle w:val="CharDivText"/>
        </w:rPr>
      </w:pPr>
      <w:r>
        <w:rPr>
          <w:rStyle w:val="CharDivText"/>
        </w:rPr>
        <w:t>forwarding authority</w:t>
      </w:r>
      <w:r>
        <w:rPr>
          <w:rStyle w:val="CharDivText"/>
        </w:rPr>
        <w:tab/>
        <w:t>O. 11A r. 1</w:t>
      </w:r>
    </w:p>
    <w:p w:rsidR="00425758" w:rsidRDefault="00425758">
      <w:pPr>
        <w:pStyle w:val="DefinedTerms"/>
        <w:rPr>
          <w:rStyle w:val="CharDivText"/>
        </w:rPr>
      </w:pPr>
      <w:r>
        <w:rPr>
          <w:rStyle w:val="CharDivText"/>
        </w:rPr>
        <w:t>freezing notice</w:t>
      </w:r>
      <w:r>
        <w:rPr>
          <w:rStyle w:val="CharDivText"/>
        </w:rPr>
        <w:tab/>
        <w:t>O. 81FA r. 1</w:t>
      </w:r>
    </w:p>
    <w:p w:rsidR="00425758" w:rsidRDefault="00425758">
      <w:pPr>
        <w:pStyle w:val="DefinedTerms"/>
        <w:rPr>
          <w:rStyle w:val="CharDivText"/>
        </w:rPr>
      </w:pPr>
      <w:r>
        <w:rPr>
          <w:rStyle w:val="CharDivText"/>
        </w:rPr>
        <w:t>freezing order</w:t>
      </w:r>
      <w:r>
        <w:rPr>
          <w:rStyle w:val="CharDivText"/>
        </w:rPr>
        <w:tab/>
        <w:t>O. 52A r. 1 and 2(1), O. 81FA r. 1</w:t>
      </w:r>
    </w:p>
    <w:p w:rsidR="00425758" w:rsidRDefault="00425758">
      <w:pPr>
        <w:pStyle w:val="DefinedTerms"/>
        <w:rPr>
          <w:rStyle w:val="CharDivText"/>
        </w:rPr>
      </w:pPr>
      <w:r>
        <w:rPr>
          <w:rStyle w:val="CharDivText"/>
        </w:rPr>
        <w:t>GAA Act</w:t>
      </w:r>
      <w:r>
        <w:rPr>
          <w:rStyle w:val="CharDivText"/>
        </w:rPr>
        <w:tab/>
        <w:t>O. 70 r. 1</w:t>
      </w:r>
    </w:p>
    <w:p w:rsidR="00425758" w:rsidRDefault="00425758">
      <w:pPr>
        <w:pStyle w:val="DefinedTerms"/>
        <w:rPr>
          <w:rStyle w:val="CharDivText"/>
        </w:rPr>
      </w:pPr>
      <w:r>
        <w:rPr>
          <w:rStyle w:val="CharDivText"/>
        </w:rPr>
        <w:t>geographical address</w:t>
      </w:r>
      <w:r>
        <w:rPr>
          <w:rStyle w:val="CharDivText"/>
        </w:rPr>
        <w:tab/>
        <w:t>O. 1 r. 4(1)</w:t>
      </w:r>
    </w:p>
    <w:p w:rsidR="00425758" w:rsidRDefault="00425758">
      <w:pPr>
        <w:pStyle w:val="DefinedTerms"/>
        <w:rPr>
          <w:rStyle w:val="CharDivText"/>
        </w:rPr>
      </w:pPr>
      <w:r>
        <w:rPr>
          <w:rStyle w:val="CharDivText"/>
        </w:rPr>
        <w:t>grant</w:t>
      </w:r>
      <w:r>
        <w:rPr>
          <w:rStyle w:val="CharDivText"/>
        </w:rPr>
        <w:tab/>
        <w:t>O. 75 r. 1</w:t>
      </w:r>
    </w:p>
    <w:p w:rsidR="00425758" w:rsidRDefault="00425758">
      <w:pPr>
        <w:pStyle w:val="DefinedTerms"/>
        <w:rPr>
          <w:rStyle w:val="CharDivText"/>
        </w:rPr>
      </w:pPr>
      <w:r>
        <w:rPr>
          <w:rStyle w:val="CharDivText"/>
        </w:rPr>
        <w:t>Hague Convention</w:t>
      </w:r>
      <w:r>
        <w:rPr>
          <w:rStyle w:val="CharDivText"/>
        </w:rPr>
        <w:tab/>
        <w:t>O. 11A r. 1</w:t>
      </w:r>
    </w:p>
    <w:p w:rsidR="00425758" w:rsidRDefault="00425758">
      <w:pPr>
        <w:pStyle w:val="DefinedTerms"/>
        <w:rPr>
          <w:rStyle w:val="CharDivText"/>
        </w:rPr>
      </w:pPr>
      <w:r>
        <w:rPr>
          <w:rStyle w:val="CharDivText"/>
        </w:rPr>
        <w:t>independent solicitors</w:t>
      </w:r>
      <w:r>
        <w:rPr>
          <w:rStyle w:val="CharDivText"/>
        </w:rPr>
        <w:tab/>
        <w:t>O. 52B r. 6(1)</w:t>
      </w:r>
    </w:p>
    <w:p w:rsidR="00425758" w:rsidRDefault="00425758">
      <w:pPr>
        <w:pStyle w:val="DefinedTerms"/>
        <w:rPr>
          <w:rStyle w:val="CharDivText"/>
        </w:rPr>
      </w:pPr>
      <w:r>
        <w:rPr>
          <w:rStyle w:val="CharDivText"/>
        </w:rPr>
        <w:t>initiating process</w:t>
      </w:r>
      <w:r>
        <w:rPr>
          <w:rStyle w:val="CharDivText"/>
        </w:rPr>
        <w:tab/>
        <w:t>O. 11A r. 1</w:t>
      </w:r>
    </w:p>
    <w:p w:rsidR="00425758" w:rsidRDefault="00425758">
      <w:pPr>
        <w:pStyle w:val="DefinedTerms"/>
        <w:rPr>
          <w:rStyle w:val="CharDivText"/>
        </w:rPr>
      </w:pPr>
      <w:r>
        <w:rPr>
          <w:rStyle w:val="CharDivText"/>
        </w:rPr>
        <w:t>inspection</w:t>
      </w:r>
      <w:r>
        <w:rPr>
          <w:rStyle w:val="CharDivText"/>
        </w:rPr>
        <w:tab/>
        <w:t>O. 26 r. 1A</w:t>
      </w:r>
    </w:p>
    <w:p w:rsidR="00425758" w:rsidRDefault="00425758">
      <w:pPr>
        <w:pStyle w:val="DefinedTerms"/>
        <w:rPr>
          <w:rStyle w:val="CharDivText"/>
        </w:rPr>
      </w:pPr>
      <w:r>
        <w:rPr>
          <w:rStyle w:val="CharDivText"/>
        </w:rPr>
        <w:t>Inactive Cases List</w:t>
      </w:r>
      <w:r>
        <w:rPr>
          <w:rStyle w:val="CharDivText"/>
        </w:rPr>
        <w:tab/>
        <w:t>O. 4A r. 21</w:t>
      </w:r>
    </w:p>
    <w:p w:rsidR="00425758" w:rsidRDefault="00425758">
      <w:pPr>
        <w:pStyle w:val="DefinedTerms"/>
        <w:rPr>
          <w:rStyle w:val="CharDivText"/>
        </w:rPr>
      </w:pPr>
      <w:r>
        <w:rPr>
          <w:rStyle w:val="CharDivText"/>
        </w:rPr>
        <w:lastRenderedPageBreak/>
        <w:t>interested non-party</w:t>
      </w:r>
      <w:r>
        <w:rPr>
          <w:rStyle w:val="CharDivText"/>
        </w:rPr>
        <w:tab/>
        <w:t>O. 9A r. 1</w:t>
      </w:r>
    </w:p>
    <w:p w:rsidR="00425758" w:rsidRDefault="00425758">
      <w:pPr>
        <w:pStyle w:val="DefinedTerms"/>
        <w:rPr>
          <w:rStyle w:val="CharDivText"/>
        </w:rPr>
      </w:pPr>
      <w:r>
        <w:rPr>
          <w:rStyle w:val="CharDivText"/>
        </w:rPr>
        <w:t>interim order</w:t>
      </w:r>
      <w:r>
        <w:rPr>
          <w:rStyle w:val="CharDivText"/>
        </w:rPr>
        <w:tab/>
        <w:t>O. 65 r. 1</w:t>
      </w:r>
    </w:p>
    <w:p w:rsidR="00425758" w:rsidRDefault="00425758">
      <w:pPr>
        <w:pStyle w:val="DefinedTerms"/>
        <w:rPr>
          <w:rStyle w:val="CharDivText"/>
        </w:rPr>
      </w:pPr>
      <w:r>
        <w:rPr>
          <w:rStyle w:val="CharDivText"/>
        </w:rPr>
        <w:t>interstate confiscation declaration</w:t>
      </w:r>
      <w:r>
        <w:rPr>
          <w:rStyle w:val="CharDivText"/>
        </w:rPr>
        <w:tab/>
        <w:t>O. 81FA r. 1</w:t>
      </w:r>
    </w:p>
    <w:p w:rsidR="00425758" w:rsidRDefault="00425758">
      <w:pPr>
        <w:pStyle w:val="DefinedTerms"/>
        <w:rPr>
          <w:rStyle w:val="CharDivText"/>
        </w:rPr>
      </w:pPr>
      <w:r>
        <w:rPr>
          <w:rStyle w:val="CharDivText"/>
        </w:rPr>
        <w:t>interstate freezing order</w:t>
      </w:r>
      <w:r>
        <w:rPr>
          <w:rStyle w:val="CharDivText"/>
        </w:rPr>
        <w:tab/>
        <w:t>O. 81FA r. 1</w:t>
      </w:r>
    </w:p>
    <w:p w:rsidR="00425758" w:rsidRDefault="00425758">
      <w:pPr>
        <w:pStyle w:val="DefinedTerms"/>
        <w:rPr>
          <w:rStyle w:val="CharDivText"/>
        </w:rPr>
      </w:pPr>
      <w:r>
        <w:rPr>
          <w:rStyle w:val="CharDivText"/>
        </w:rPr>
        <w:t>interstate lawyer</w:t>
      </w:r>
      <w:r>
        <w:rPr>
          <w:rStyle w:val="CharDivText"/>
        </w:rPr>
        <w:tab/>
        <w:t>O. 75A r. 1</w:t>
      </w:r>
    </w:p>
    <w:p w:rsidR="00425758" w:rsidRDefault="00425758">
      <w:pPr>
        <w:pStyle w:val="DefinedTerms"/>
        <w:rPr>
          <w:rStyle w:val="CharDivText"/>
        </w:rPr>
      </w:pPr>
      <w:r>
        <w:rPr>
          <w:rStyle w:val="CharDivText"/>
        </w:rPr>
        <w:t>issuing officer</w:t>
      </w:r>
      <w:r>
        <w:rPr>
          <w:rStyle w:val="CharDivText"/>
        </w:rPr>
        <w:tab/>
        <w:t>O. 36B r. 1(1)</w:t>
      </w:r>
    </w:p>
    <w:p w:rsidR="00425758" w:rsidRDefault="00425758">
      <w:pPr>
        <w:pStyle w:val="DefinedTerms"/>
        <w:rPr>
          <w:rStyle w:val="CharDivText"/>
        </w:rPr>
      </w:pPr>
      <w:r>
        <w:rPr>
          <w:rStyle w:val="CharDivText"/>
        </w:rPr>
        <w:t>issuing party</w:t>
      </w:r>
      <w:r>
        <w:rPr>
          <w:rStyle w:val="CharDivText"/>
        </w:rPr>
        <w:tab/>
        <w:t>O. 36B r. 1(1)</w:t>
      </w:r>
    </w:p>
    <w:p w:rsidR="00425758" w:rsidRDefault="00425758">
      <w:pPr>
        <w:pStyle w:val="DefinedTerms"/>
        <w:rPr>
          <w:rStyle w:val="CharDivText"/>
        </w:rPr>
      </w:pPr>
      <w:r>
        <w:rPr>
          <w:rStyle w:val="CharDivText"/>
        </w:rPr>
        <w:t>judgment</w:t>
      </w:r>
      <w:r>
        <w:rPr>
          <w:rStyle w:val="CharDivText"/>
        </w:rPr>
        <w:tab/>
        <w:t>O. 52A r. 1</w:t>
      </w:r>
    </w:p>
    <w:p w:rsidR="00425758" w:rsidRDefault="00425758">
      <w:pPr>
        <w:pStyle w:val="DefinedTerms"/>
        <w:rPr>
          <w:rStyle w:val="CharDivText"/>
        </w:rPr>
      </w:pPr>
      <w:r>
        <w:rPr>
          <w:rStyle w:val="CharDivText"/>
        </w:rPr>
        <w:t>land</w:t>
      </w:r>
      <w:r>
        <w:rPr>
          <w:rStyle w:val="CharDivText"/>
        </w:rPr>
        <w:tab/>
        <w:t>O. 53 r. 1</w:t>
      </w:r>
    </w:p>
    <w:p w:rsidR="00425758" w:rsidRDefault="00425758">
      <w:pPr>
        <w:pStyle w:val="DefinedTerms"/>
        <w:rPr>
          <w:rStyle w:val="CharDivText"/>
        </w:rPr>
      </w:pPr>
      <w:r>
        <w:rPr>
          <w:rStyle w:val="CharDivText"/>
        </w:rPr>
        <w:t>limitation period</w:t>
      </w:r>
      <w:r>
        <w:t xml:space="preserve"> </w:t>
      </w:r>
      <w:r>
        <w:tab/>
        <w:t>O. 56 r. 1(1)</w:t>
      </w:r>
    </w:p>
    <w:p w:rsidR="00425758" w:rsidRDefault="00425758">
      <w:pPr>
        <w:pStyle w:val="DefinedTerms"/>
        <w:rPr>
          <w:rStyle w:val="CharDivText"/>
        </w:rPr>
      </w:pPr>
      <w:r>
        <w:rPr>
          <w:rStyle w:val="CharDivText"/>
        </w:rPr>
        <w:t>list of documents</w:t>
      </w:r>
      <w:r>
        <w:rPr>
          <w:rStyle w:val="CharDivText"/>
        </w:rPr>
        <w:tab/>
        <w:t>O. 26 r. 5(3)</w:t>
      </w:r>
    </w:p>
    <w:p w:rsidR="00425758" w:rsidRDefault="00425758">
      <w:pPr>
        <w:pStyle w:val="DefinedTerms"/>
        <w:rPr>
          <w:rStyle w:val="CharDivText"/>
        </w:rPr>
      </w:pPr>
      <w:r>
        <w:rPr>
          <w:rStyle w:val="CharDivText"/>
        </w:rPr>
        <w:t>local judicial document</w:t>
      </w:r>
      <w:r>
        <w:rPr>
          <w:rStyle w:val="CharDivText"/>
        </w:rPr>
        <w:tab/>
        <w:t>O. 11A r. 1</w:t>
      </w:r>
    </w:p>
    <w:p w:rsidR="00425758" w:rsidRDefault="00425758">
      <w:pPr>
        <w:pStyle w:val="DefinedTerms"/>
        <w:rPr>
          <w:rStyle w:val="CharDivText"/>
        </w:rPr>
      </w:pPr>
      <w:r>
        <w:rPr>
          <w:rStyle w:val="CharDivText"/>
        </w:rPr>
        <w:t>local roll</w:t>
      </w:r>
      <w:r>
        <w:rPr>
          <w:rStyle w:val="CharDivText"/>
        </w:rPr>
        <w:tab/>
        <w:t>O. 75A r. 1</w:t>
      </w:r>
    </w:p>
    <w:p w:rsidR="00425758" w:rsidRDefault="00425758">
      <w:pPr>
        <w:pStyle w:val="DefinedTerms"/>
        <w:rPr>
          <w:rStyle w:val="CharDivText"/>
        </w:rPr>
      </w:pPr>
      <w:r>
        <w:rPr>
          <w:rStyle w:val="CharDivText"/>
        </w:rPr>
        <w:t>master</w:t>
      </w:r>
      <w:r>
        <w:rPr>
          <w:rStyle w:val="CharDivText"/>
        </w:rPr>
        <w:tab/>
        <w:t>O. 1 r. 4(1)</w:t>
      </w:r>
    </w:p>
    <w:p w:rsidR="00425758" w:rsidRDefault="00425758">
      <w:pPr>
        <w:pStyle w:val="DefinedTerms"/>
        <w:rPr>
          <w:rStyle w:val="CharDivText"/>
        </w:rPr>
      </w:pPr>
      <w:r>
        <w:rPr>
          <w:rStyle w:val="CharDivText"/>
        </w:rPr>
        <w:t>medical evidence</w:t>
      </w:r>
      <w:r>
        <w:rPr>
          <w:rStyle w:val="CharDivText"/>
        </w:rPr>
        <w:tab/>
        <w:t>O. 36A r. 1</w:t>
      </w:r>
    </w:p>
    <w:p w:rsidR="00425758" w:rsidRDefault="00425758">
      <w:pPr>
        <w:pStyle w:val="DefinedTerms"/>
        <w:rPr>
          <w:rStyle w:val="CharDivText"/>
        </w:rPr>
      </w:pPr>
      <w:r>
        <w:rPr>
          <w:rStyle w:val="CharDivText"/>
        </w:rPr>
        <w:t>medical report</w:t>
      </w:r>
      <w:r>
        <w:rPr>
          <w:rStyle w:val="CharDivText"/>
        </w:rPr>
        <w:tab/>
        <w:t>O. 36A r. 1</w:t>
      </w:r>
    </w:p>
    <w:p w:rsidR="00425758" w:rsidRDefault="00425758">
      <w:pPr>
        <w:pStyle w:val="DefinedTerms"/>
        <w:rPr>
          <w:rStyle w:val="CharDivText"/>
        </w:rPr>
      </w:pPr>
      <w:r>
        <w:rPr>
          <w:rStyle w:val="CharDivText"/>
        </w:rPr>
        <w:t>monitoring order</w:t>
      </w:r>
      <w:r>
        <w:rPr>
          <w:rStyle w:val="CharDivText"/>
        </w:rPr>
        <w:tab/>
        <w:t>O. 81FA r. 1</w:t>
      </w:r>
    </w:p>
    <w:p w:rsidR="00425758" w:rsidRDefault="00425758">
      <w:pPr>
        <w:pStyle w:val="DefinedTerms"/>
        <w:rPr>
          <w:rStyle w:val="CharDivText"/>
        </w:rPr>
      </w:pPr>
      <w:r>
        <w:rPr>
          <w:rStyle w:val="CharDivText"/>
        </w:rPr>
        <w:t>month</w:t>
      </w:r>
      <w:r>
        <w:rPr>
          <w:rStyle w:val="CharDivText"/>
        </w:rPr>
        <w:tab/>
        <w:t>O. 3 r. 1</w:t>
      </w:r>
    </w:p>
    <w:p w:rsidR="00425758" w:rsidRDefault="00425758">
      <w:pPr>
        <w:pStyle w:val="DefinedTerms"/>
        <w:rPr>
          <w:rStyle w:val="CharDivText"/>
        </w:rPr>
      </w:pPr>
      <w:r>
        <w:rPr>
          <w:rStyle w:val="CharDivText"/>
        </w:rPr>
        <w:t>mortgage</w:t>
      </w:r>
      <w:r>
        <w:rPr>
          <w:rStyle w:val="CharDivText"/>
        </w:rPr>
        <w:tab/>
        <w:t>O. 10 r. 1(2), O. 62A r. 1(2) and (3)</w:t>
      </w:r>
    </w:p>
    <w:p w:rsidR="00425758" w:rsidRDefault="00425758">
      <w:pPr>
        <w:pStyle w:val="DefinedTerms"/>
        <w:rPr>
          <w:rStyle w:val="CharDivText"/>
        </w:rPr>
      </w:pPr>
      <w:r>
        <w:rPr>
          <w:rStyle w:val="CharDivText"/>
        </w:rPr>
        <w:t>mortgagee</w:t>
      </w:r>
      <w:r>
        <w:rPr>
          <w:rStyle w:val="CharDivText"/>
        </w:rPr>
        <w:tab/>
        <w:t>O. 10 r. 1(2)</w:t>
      </w:r>
    </w:p>
    <w:p w:rsidR="00425758" w:rsidRDefault="00425758">
      <w:pPr>
        <w:pStyle w:val="DefinedTerms"/>
        <w:rPr>
          <w:rStyle w:val="CharDivText"/>
        </w:rPr>
      </w:pPr>
      <w:r>
        <w:rPr>
          <w:rStyle w:val="CharDivText"/>
        </w:rPr>
        <w:t>mortgagor</w:t>
      </w:r>
      <w:r>
        <w:rPr>
          <w:rStyle w:val="CharDivText"/>
        </w:rPr>
        <w:tab/>
        <w:t>O. 10 r. 1(2)</w:t>
      </w:r>
    </w:p>
    <w:p w:rsidR="00425758" w:rsidRDefault="00425758">
      <w:pPr>
        <w:pStyle w:val="DefinedTerms"/>
        <w:rPr>
          <w:rStyle w:val="CharDivText"/>
        </w:rPr>
      </w:pPr>
      <w:r>
        <w:rPr>
          <w:rStyle w:val="CharDivText"/>
        </w:rPr>
        <w:t>non</w:t>
      </w:r>
      <w:r>
        <w:rPr>
          <w:rStyle w:val="CharDivText"/>
        </w:rPr>
        <w:noBreakHyphen/>
        <w:t>party</w:t>
      </w:r>
      <w:r>
        <w:rPr>
          <w:rStyle w:val="CharDivText"/>
        </w:rPr>
        <w:tab/>
        <w:t>O. 26A r. 3(2) and 5(1)</w:t>
      </w:r>
    </w:p>
    <w:p w:rsidR="00425758" w:rsidRDefault="00425758">
      <w:pPr>
        <w:pStyle w:val="DefinedTerms"/>
        <w:rPr>
          <w:rStyle w:val="CharDivText"/>
        </w:rPr>
      </w:pPr>
      <w:r>
        <w:rPr>
          <w:rStyle w:val="CharDivText"/>
        </w:rPr>
        <w:t>object</w:t>
      </w:r>
      <w:r>
        <w:rPr>
          <w:rStyle w:val="CharDivText"/>
        </w:rPr>
        <w:tab/>
        <w:t>O. 4A r. 2(2)(n)</w:t>
      </w:r>
    </w:p>
    <w:p w:rsidR="00425758" w:rsidRDefault="00425758">
      <w:pPr>
        <w:pStyle w:val="DefinedTerms"/>
        <w:rPr>
          <w:rStyle w:val="CharDivText"/>
        </w:rPr>
      </w:pPr>
      <w:r>
        <w:rPr>
          <w:rStyle w:val="CharDivText"/>
        </w:rPr>
        <w:t>objection</w:t>
      </w:r>
      <w:r>
        <w:rPr>
          <w:rStyle w:val="CharDivText"/>
        </w:rPr>
        <w:tab/>
        <w:t>O. 81FA r. 1</w:t>
      </w:r>
    </w:p>
    <w:p w:rsidR="00425758" w:rsidRDefault="00425758">
      <w:pPr>
        <w:pStyle w:val="DefinedTerms"/>
        <w:rPr>
          <w:rStyle w:val="CharDivText"/>
        </w:rPr>
      </w:pPr>
      <w:r>
        <w:rPr>
          <w:rStyle w:val="CharDivText"/>
        </w:rPr>
        <w:t>officer</w:t>
      </w:r>
      <w:r>
        <w:rPr>
          <w:rStyle w:val="CharDivText"/>
        </w:rPr>
        <w:tab/>
        <w:t>O. 1 r. 4(1)</w:t>
      </w:r>
    </w:p>
    <w:p w:rsidR="00425758" w:rsidRDefault="00425758">
      <w:pPr>
        <w:pStyle w:val="DefinedTerms"/>
        <w:rPr>
          <w:rStyle w:val="CharDivText"/>
        </w:rPr>
      </w:pPr>
      <w:r>
        <w:rPr>
          <w:rStyle w:val="CharDivText"/>
        </w:rPr>
        <w:t>official channel</w:t>
      </w:r>
      <w:r>
        <w:rPr>
          <w:rStyle w:val="CharDivText"/>
        </w:rPr>
        <w:tab/>
        <w:t>O. 11 r. 1</w:t>
      </w:r>
    </w:p>
    <w:p w:rsidR="00425758" w:rsidRDefault="00425758">
      <w:pPr>
        <w:pStyle w:val="DefinedTerms"/>
        <w:rPr>
          <w:rStyle w:val="CharDivText"/>
        </w:rPr>
      </w:pPr>
      <w:r>
        <w:rPr>
          <w:rStyle w:val="CharDivText"/>
        </w:rPr>
        <w:t>originating summons</w:t>
      </w:r>
      <w:r>
        <w:rPr>
          <w:rStyle w:val="CharDivText"/>
        </w:rPr>
        <w:tab/>
        <w:t>O. 1 r. 4(1)</w:t>
      </w:r>
    </w:p>
    <w:p w:rsidR="00425758" w:rsidRDefault="00425758">
      <w:pPr>
        <w:pStyle w:val="DefinedTerms"/>
        <w:rPr>
          <w:rStyle w:val="CharDivText"/>
        </w:rPr>
      </w:pPr>
      <w:r>
        <w:rPr>
          <w:rStyle w:val="CharDivText"/>
        </w:rPr>
        <w:t>party</w:t>
      </w:r>
      <w:r>
        <w:rPr>
          <w:rStyle w:val="CharDivText"/>
        </w:rPr>
        <w:tab/>
        <w:t>O. 28 r. 1(6)</w:t>
      </w:r>
    </w:p>
    <w:p w:rsidR="00425758" w:rsidRDefault="00425758">
      <w:pPr>
        <w:pStyle w:val="DefinedTerms"/>
        <w:rPr>
          <w:rStyle w:val="CharDivText"/>
        </w:rPr>
      </w:pPr>
      <w:r>
        <w:rPr>
          <w:rStyle w:val="CharDivText"/>
        </w:rPr>
        <w:t>person under disability</w:t>
      </w:r>
      <w:r>
        <w:rPr>
          <w:rStyle w:val="CharDivText"/>
        </w:rPr>
        <w:tab/>
        <w:t>O. 66 r. 24(1), O. 70 r. 1</w:t>
      </w:r>
    </w:p>
    <w:p w:rsidR="00425758" w:rsidRDefault="00425758">
      <w:pPr>
        <w:pStyle w:val="DefinedTerms"/>
        <w:rPr>
          <w:rStyle w:val="CharDivText"/>
        </w:rPr>
      </w:pPr>
      <w:r>
        <w:rPr>
          <w:rStyle w:val="CharDivText"/>
        </w:rPr>
        <w:t>personal property situate within the jurisdiction</w:t>
      </w:r>
      <w:r>
        <w:rPr>
          <w:rStyle w:val="CharDivText"/>
        </w:rPr>
        <w:tab/>
        <w:t>O. 10 r. 1(2)</w:t>
      </w:r>
    </w:p>
    <w:p w:rsidR="00425758" w:rsidRDefault="00425758">
      <w:pPr>
        <w:pStyle w:val="DefinedTerms"/>
        <w:rPr>
          <w:rStyle w:val="CharDivText"/>
        </w:rPr>
      </w:pPr>
      <w:r>
        <w:rPr>
          <w:rStyle w:val="CharDivText"/>
        </w:rPr>
        <w:t>place of rendition</w:t>
      </w:r>
      <w:r>
        <w:rPr>
          <w:rStyle w:val="CharDivText"/>
        </w:rPr>
        <w:tab/>
        <w:t>O. 81B r. 1(1)</w:t>
      </w:r>
    </w:p>
    <w:p w:rsidR="00425758" w:rsidRDefault="00425758">
      <w:pPr>
        <w:pStyle w:val="DefinedTerms"/>
        <w:rPr>
          <w:rStyle w:val="CharDivText"/>
        </w:rPr>
      </w:pPr>
      <w:r>
        <w:rPr>
          <w:rStyle w:val="CharDivText"/>
        </w:rPr>
        <w:t>plaintiff</w:t>
      </w:r>
      <w:r>
        <w:rPr>
          <w:rStyle w:val="CharDivText"/>
        </w:rPr>
        <w:tab/>
        <w:t>O. 25 r. 4</w:t>
      </w:r>
    </w:p>
    <w:p w:rsidR="00425758" w:rsidRDefault="00425758">
      <w:pPr>
        <w:pStyle w:val="DefinedTerms"/>
        <w:rPr>
          <w:rStyle w:val="CharDivText"/>
        </w:rPr>
      </w:pPr>
      <w:r>
        <w:rPr>
          <w:rStyle w:val="CharDivText"/>
        </w:rPr>
        <w:t>possession</w:t>
      </w:r>
      <w:r>
        <w:rPr>
          <w:rStyle w:val="CharDivText"/>
        </w:rPr>
        <w:tab/>
        <w:t>O. 26A r. 1</w:t>
      </w:r>
    </w:p>
    <w:p w:rsidR="00425758" w:rsidRDefault="00425758">
      <w:pPr>
        <w:pStyle w:val="DefinedTerms"/>
        <w:rPr>
          <w:rStyle w:val="CharDivText"/>
        </w:rPr>
      </w:pPr>
      <w:r>
        <w:rPr>
          <w:rStyle w:val="CharDivText"/>
        </w:rPr>
        <w:t>potential party</w:t>
      </w:r>
      <w:r>
        <w:rPr>
          <w:rStyle w:val="CharDivText"/>
        </w:rPr>
        <w:tab/>
        <w:t>O. 26A r. 3(1) and 4(1)</w:t>
      </w:r>
    </w:p>
    <w:p w:rsidR="00425758" w:rsidRDefault="00425758">
      <w:pPr>
        <w:pStyle w:val="DefinedTerms"/>
        <w:rPr>
          <w:rStyle w:val="CharDivText"/>
        </w:rPr>
      </w:pPr>
      <w:r>
        <w:rPr>
          <w:rStyle w:val="CharDivText"/>
        </w:rPr>
        <w:t>practitioner</w:t>
      </w:r>
      <w:r>
        <w:rPr>
          <w:rStyle w:val="CharDivText"/>
        </w:rPr>
        <w:tab/>
        <w:t>O. 1 r. 4(1)</w:t>
      </w:r>
    </w:p>
    <w:p w:rsidR="00425758" w:rsidRDefault="00425758">
      <w:pPr>
        <w:pStyle w:val="DefinedTerms"/>
        <w:rPr>
          <w:rStyle w:val="CharDivText"/>
        </w:rPr>
      </w:pPr>
      <w:r>
        <w:rPr>
          <w:rStyle w:val="CharDivText"/>
        </w:rPr>
        <w:t>premises</w:t>
      </w:r>
      <w:r>
        <w:rPr>
          <w:rStyle w:val="CharDivText"/>
        </w:rPr>
        <w:tab/>
        <w:t>O. 52B r. 1</w:t>
      </w:r>
    </w:p>
    <w:p w:rsidR="00425758" w:rsidRDefault="00425758">
      <w:pPr>
        <w:pStyle w:val="DefinedTerms"/>
        <w:rPr>
          <w:rStyle w:val="CharDivText"/>
        </w:rPr>
      </w:pPr>
      <w:r>
        <w:rPr>
          <w:rStyle w:val="CharDivText"/>
        </w:rPr>
        <w:t>prescribed fee</w:t>
      </w:r>
      <w:r>
        <w:rPr>
          <w:rStyle w:val="CharDivText"/>
        </w:rPr>
        <w:tab/>
        <w:t>O. 1 r. 4(1)</w:t>
      </w:r>
    </w:p>
    <w:p w:rsidR="00425758" w:rsidRDefault="00425758">
      <w:pPr>
        <w:pStyle w:val="DefinedTerms"/>
        <w:rPr>
          <w:rStyle w:val="CharDivText"/>
        </w:rPr>
      </w:pPr>
      <w:r>
        <w:rPr>
          <w:rStyle w:val="CharDivText"/>
        </w:rPr>
        <w:t>prescribed rate</w:t>
      </w:r>
      <w:r>
        <w:rPr>
          <w:rStyle w:val="CharDivText"/>
        </w:rPr>
        <w:tab/>
        <w:t>O. 51 r. 7(3)</w:t>
      </w:r>
    </w:p>
    <w:p w:rsidR="00425758" w:rsidRDefault="00425758">
      <w:pPr>
        <w:pStyle w:val="DefinedTerms"/>
        <w:rPr>
          <w:rStyle w:val="CharDivText"/>
        </w:rPr>
      </w:pPr>
      <w:r>
        <w:rPr>
          <w:rStyle w:val="CharDivText"/>
        </w:rPr>
        <w:t>primary court</w:t>
      </w:r>
      <w:r>
        <w:rPr>
          <w:rStyle w:val="CharDivText"/>
        </w:rPr>
        <w:tab/>
        <w:t>O. 65 r. 1</w:t>
      </w:r>
    </w:p>
    <w:p w:rsidR="00425758" w:rsidRDefault="00425758">
      <w:pPr>
        <w:pStyle w:val="DefinedTerms"/>
        <w:rPr>
          <w:rStyle w:val="CharDivText"/>
        </w:rPr>
      </w:pPr>
      <w:r>
        <w:rPr>
          <w:rStyle w:val="CharDivText"/>
        </w:rPr>
        <w:t>primary court case</w:t>
      </w:r>
      <w:r>
        <w:rPr>
          <w:rStyle w:val="CharDivText"/>
        </w:rPr>
        <w:tab/>
        <w:t>O. 65 r. 11(1)</w:t>
      </w:r>
    </w:p>
    <w:p w:rsidR="00425758" w:rsidRDefault="00425758">
      <w:pPr>
        <w:pStyle w:val="DefinedTerms"/>
        <w:rPr>
          <w:rStyle w:val="CharDivText"/>
        </w:rPr>
      </w:pPr>
      <w:r>
        <w:rPr>
          <w:rStyle w:val="CharDivText"/>
        </w:rPr>
        <w:t>primary court’s transcript</w:t>
      </w:r>
      <w:r>
        <w:rPr>
          <w:rStyle w:val="CharDivText"/>
        </w:rPr>
        <w:tab/>
        <w:t>O. 65 r. 1</w:t>
      </w:r>
    </w:p>
    <w:p w:rsidR="00425758" w:rsidRDefault="00425758">
      <w:pPr>
        <w:pStyle w:val="DefinedTerms"/>
        <w:rPr>
          <w:rStyle w:val="CharDivText"/>
        </w:rPr>
      </w:pPr>
      <w:r>
        <w:rPr>
          <w:rStyle w:val="CharDivText"/>
        </w:rPr>
        <w:t>privilege</w:t>
      </w:r>
      <w:r>
        <w:rPr>
          <w:rStyle w:val="CharDivText"/>
        </w:rPr>
        <w:tab/>
        <w:t>O. 36A r. 1</w:t>
      </w:r>
    </w:p>
    <w:p w:rsidR="00425758" w:rsidRDefault="00425758">
      <w:pPr>
        <w:pStyle w:val="DefinedTerms"/>
        <w:rPr>
          <w:rStyle w:val="CharDivText"/>
        </w:rPr>
      </w:pPr>
      <w:r>
        <w:rPr>
          <w:rStyle w:val="CharDivText"/>
        </w:rPr>
        <w:t>probate action</w:t>
      </w:r>
      <w:r>
        <w:rPr>
          <w:rStyle w:val="CharDivText"/>
        </w:rPr>
        <w:tab/>
        <w:t>O. 1 r. 4(1), O. 73 r. 1(2)</w:t>
      </w:r>
    </w:p>
    <w:p w:rsidR="00425758" w:rsidRDefault="00425758">
      <w:pPr>
        <w:pStyle w:val="DefinedTerms"/>
        <w:rPr>
          <w:rStyle w:val="CharDivText"/>
        </w:rPr>
      </w:pPr>
      <w:r>
        <w:rPr>
          <w:rStyle w:val="CharDivText"/>
        </w:rPr>
        <w:t>proceeding</w:t>
      </w:r>
      <w:r>
        <w:rPr>
          <w:rStyle w:val="CharDivText"/>
        </w:rPr>
        <w:tab/>
        <w:t>O. 81E r. 1</w:t>
      </w:r>
    </w:p>
    <w:p w:rsidR="00425758" w:rsidRDefault="00425758">
      <w:pPr>
        <w:pStyle w:val="DefinedTerms"/>
        <w:rPr>
          <w:rStyle w:val="CharDivText"/>
        </w:rPr>
        <w:sectPr w:rsidR="00425758">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rsidR="00425758" w:rsidRDefault="00425758">
      <w:pPr>
        <w:pStyle w:val="DefinedTerms"/>
        <w:rPr>
          <w:rStyle w:val="CharDivText"/>
        </w:rPr>
      </w:pPr>
      <w:r>
        <w:rPr>
          <w:rStyle w:val="CharDivText"/>
        </w:rPr>
        <w:lastRenderedPageBreak/>
        <w:t>process</w:t>
      </w:r>
      <w:r>
        <w:rPr>
          <w:rStyle w:val="CharDivText"/>
        </w:rPr>
        <w:tab/>
        <w:t>O. 11 r. 1</w:t>
      </w:r>
    </w:p>
    <w:p w:rsidR="00425758" w:rsidRDefault="00425758">
      <w:pPr>
        <w:pStyle w:val="DefinedTerms"/>
        <w:rPr>
          <w:rStyle w:val="CharDivText"/>
        </w:rPr>
      </w:pPr>
      <w:r>
        <w:rPr>
          <w:rStyle w:val="CharDivText"/>
        </w:rPr>
        <w:t>production order</w:t>
      </w:r>
      <w:r>
        <w:rPr>
          <w:rStyle w:val="CharDivText"/>
        </w:rPr>
        <w:tab/>
        <w:t>O. 81FA r. 1</w:t>
      </w:r>
    </w:p>
    <w:p w:rsidR="00425758" w:rsidRDefault="00425758">
      <w:pPr>
        <w:pStyle w:val="DefinedTerms"/>
        <w:rPr>
          <w:rStyle w:val="CharDivText"/>
        </w:rPr>
      </w:pPr>
      <w:r>
        <w:rPr>
          <w:rStyle w:val="CharDivText"/>
        </w:rPr>
        <w:t>proper officer</w:t>
      </w:r>
      <w:r>
        <w:rPr>
          <w:rStyle w:val="CharDivText"/>
        </w:rPr>
        <w:tab/>
        <w:t>O. 1 r. 4(1)</w:t>
      </w:r>
    </w:p>
    <w:p w:rsidR="00425758" w:rsidRDefault="00425758">
      <w:pPr>
        <w:pStyle w:val="DefinedTerms"/>
        <w:rPr>
          <w:rStyle w:val="CharDivText"/>
        </w:rPr>
      </w:pPr>
      <w:r>
        <w:rPr>
          <w:rStyle w:val="CharDivText"/>
        </w:rPr>
        <w:t>provisional decision</w:t>
      </w:r>
      <w:r>
        <w:rPr>
          <w:rStyle w:val="CharDivText"/>
        </w:rPr>
        <w:tab/>
        <w:t>O. 65 r. 7(2)</w:t>
      </w:r>
    </w:p>
    <w:p w:rsidR="00425758" w:rsidRDefault="00425758">
      <w:pPr>
        <w:pStyle w:val="DefinedTerms"/>
        <w:rPr>
          <w:rStyle w:val="CharDivText"/>
        </w:rPr>
      </w:pPr>
      <w:r>
        <w:rPr>
          <w:rStyle w:val="CharDivText"/>
        </w:rPr>
        <w:t>receiver</w:t>
      </w:r>
      <w:r>
        <w:rPr>
          <w:rStyle w:val="CharDivText"/>
        </w:rPr>
        <w:tab/>
        <w:t>O. 1 r. 4(1)</w:t>
      </w:r>
    </w:p>
    <w:p w:rsidR="00425758" w:rsidRDefault="00425758">
      <w:pPr>
        <w:pStyle w:val="DefinedTerms"/>
        <w:rPr>
          <w:rStyle w:val="CharDivText"/>
        </w:rPr>
      </w:pPr>
      <w:r>
        <w:rPr>
          <w:rStyle w:val="CharDivText"/>
        </w:rPr>
        <w:t>record</w:t>
      </w:r>
      <w:r>
        <w:rPr>
          <w:rStyle w:val="CharDivText"/>
        </w:rPr>
        <w:tab/>
        <w:t>O. 52B r. 5(1)</w:t>
      </w:r>
    </w:p>
    <w:p w:rsidR="00425758" w:rsidRDefault="00425758">
      <w:pPr>
        <w:pStyle w:val="DefinedTerms"/>
        <w:rPr>
          <w:rStyle w:val="CharDivText"/>
        </w:rPr>
      </w:pPr>
      <w:r>
        <w:rPr>
          <w:rStyle w:val="CharDivText"/>
        </w:rPr>
        <w:t>registrar</w:t>
      </w:r>
      <w:r>
        <w:rPr>
          <w:rStyle w:val="CharDivText"/>
        </w:rPr>
        <w:tab/>
        <w:t>O. 1 r. 4(1)</w:t>
      </w:r>
    </w:p>
    <w:p w:rsidR="00425758" w:rsidRDefault="00425758">
      <w:pPr>
        <w:pStyle w:val="DefinedTerms"/>
        <w:rPr>
          <w:rStyle w:val="CharDivText"/>
        </w:rPr>
      </w:pPr>
      <w:r>
        <w:rPr>
          <w:rStyle w:val="CharDivText"/>
        </w:rPr>
        <w:t>Registry</w:t>
      </w:r>
      <w:r>
        <w:rPr>
          <w:rStyle w:val="CharDivText"/>
        </w:rPr>
        <w:tab/>
        <w:t>O. 73 r. 1(3), O. 75 r. 1</w:t>
      </w:r>
    </w:p>
    <w:p w:rsidR="00425758" w:rsidRDefault="00425758">
      <w:pPr>
        <w:pStyle w:val="DefinedTerms"/>
        <w:rPr>
          <w:rStyle w:val="CharDivText"/>
        </w:rPr>
      </w:pPr>
      <w:r>
        <w:rPr>
          <w:rStyle w:val="CharDivText"/>
        </w:rPr>
        <w:t>remedy</w:t>
      </w:r>
      <w:r>
        <w:t xml:space="preserve"> </w:t>
      </w:r>
      <w:r>
        <w:tab/>
        <w:t>O. 56 r. 1(1)</w:t>
      </w:r>
    </w:p>
    <w:p w:rsidR="00425758" w:rsidRDefault="00425758">
      <w:pPr>
        <w:pStyle w:val="DefinedTerms"/>
        <w:rPr>
          <w:rStyle w:val="CharDivText"/>
        </w:rPr>
      </w:pPr>
      <w:r>
        <w:rPr>
          <w:rStyle w:val="CharDivText"/>
        </w:rPr>
        <w:t>represented person</w:t>
      </w:r>
      <w:r>
        <w:rPr>
          <w:rStyle w:val="CharDivText"/>
        </w:rPr>
        <w:tab/>
        <w:t>O. 70 r. 1</w:t>
      </w:r>
    </w:p>
    <w:p w:rsidR="00425758" w:rsidRDefault="00425758">
      <w:pPr>
        <w:pStyle w:val="DefinedTerms"/>
        <w:rPr>
          <w:rStyle w:val="CharDivText"/>
        </w:rPr>
      </w:pPr>
      <w:r>
        <w:rPr>
          <w:rStyle w:val="CharDivText"/>
        </w:rPr>
        <w:t>request for service abroad</w:t>
      </w:r>
      <w:r>
        <w:rPr>
          <w:rStyle w:val="CharDivText"/>
        </w:rPr>
        <w:tab/>
        <w:t>O. 11A r. 1</w:t>
      </w:r>
    </w:p>
    <w:p w:rsidR="00425758" w:rsidRDefault="00425758">
      <w:pPr>
        <w:pStyle w:val="DefinedTerms"/>
        <w:rPr>
          <w:rStyle w:val="CharDivText"/>
        </w:rPr>
      </w:pPr>
      <w:r>
        <w:rPr>
          <w:rStyle w:val="CharDivText"/>
        </w:rPr>
        <w:t>request for service in this jurisdiction</w:t>
      </w:r>
      <w:r>
        <w:rPr>
          <w:rStyle w:val="CharDivText"/>
        </w:rPr>
        <w:tab/>
        <w:t>O. 11A r. 1</w:t>
      </w:r>
    </w:p>
    <w:p w:rsidR="00425758" w:rsidRDefault="00425758">
      <w:pPr>
        <w:pStyle w:val="DefinedTerms"/>
        <w:rPr>
          <w:rStyle w:val="CharDivText"/>
        </w:rPr>
      </w:pPr>
      <w:r>
        <w:rPr>
          <w:rStyle w:val="CharDivText"/>
        </w:rPr>
        <w:t>respondent</w:t>
      </w:r>
      <w:r>
        <w:rPr>
          <w:rStyle w:val="CharDivText"/>
        </w:rPr>
        <w:tab/>
        <w:t>O. 52A r. 1, O. 52B r. 1</w:t>
      </w:r>
    </w:p>
    <w:p w:rsidR="00425758" w:rsidRDefault="00425758">
      <w:pPr>
        <w:pStyle w:val="DefinedTerms"/>
        <w:rPr>
          <w:rStyle w:val="CharDivText"/>
        </w:rPr>
      </w:pPr>
      <w:r>
        <w:rPr>
          <w:rStyle w:val="CharDivText"/>
        </w:rPr>
        <w:t>review order</w:t>
      </w:r>
      <w:r>
        <w:rPr>
          <w:rStyle w:val="CharDivText"/>
        </w:rPr>
        <w:tab/>
        <w:t>O. 56A r. 1(1)</w:t>
      </w:r>
    </w:p>
    <w:p w:rsidR="00425758" w:rsidRDefault="00425758">
      <w:pPr>
        <w:pStyle w:val="DefinedTerms"/>
      </w:pPr>
      <w:r>
        <w:rPr>
          <w:rStyle w:val="CharDivText"/>
        </w:rPr>
        <w:t>reviewable conduct</w:t>
      </w:r>
      <w:r>
        <w:t xml:space="preserve"> </w:t>
      </w:r>
      <w:r>
        <w:tab/>
        <w:t>O. 56 r. 1(1)</w:t>
      </w:r>
    </w:p>
    <w:p w:rsidR="00425758" w:rsidRDefault="00425758">
      <w:pPr>
        <w:pStyle w:val="DefinedTerms"/>
        <w:rPr>
          <w:rStyle w:val="CharDivText"/>
        </w:rPr>
      </w:pPr>
      <w:r>
        <w:t xml:space="preserve">reviewable decision </w:t>
      </w:r>
      <w:r>
        <w:tab/>
        <w:t>O. 56 r. 1(1)</w:t>
      </w:r>
    </w:p>
    <w:p w:rsidR="00425758" w:rsidRDefault="00425758">
      <w:pPr>
        <w:pStyle w:val="DefinedTerms"/>
        <w:rPr>
          <w:rStyle w:val="CharDivText"/>
        </w:rPr>
      </w:pPr>
      <w:r>
        <w:rPr>
          <w:rStyle w:val="CharDivText"/>
        </w:rPr>
        <w:t>RTA</w:t>
      </w:r>
      <w:r>
        <w:rPr>
          <w:rStyle w:val="CharDivText"/>
        </w:rPr>
        <w:tab/>
        <w:t>O. 81C r. 1</w:t>
      </w:r>
    </w:p>
    <w:p w:rsidR="00425758" w:rsidRDefault="00425758">
      <w:pPr>
        <w:pStyle w:val="DefinedTerms"/>
        <w:rPr>
          <w:rStyle w:val="CharDivText"/>
        </w:rPr>
      </w:pPr>
      <w:r>
        <w:rPr>
          <w:rStyle w:val="CharDivText"/>
        </w:rPr>
        <w:t>rules</w:t>
      </w:r>
      <w:r>
        <w:rPr>
          <w:rStyle w:val="CharDivText"/>
        </w:rPr>
        <w:tab/>
        <w:t>O. 1 r. 4(1)</w:t>
      </w:r>
    </w:p>
    <w:p w:rsidR="00425758" w:rsidRDefault="00425758">
      <w:pPr>
        <w:pStyle w:val="DefinedTerms"/>
        <w:rPr>
          <w:rStyle w:val="CharDivText"/>
        </w:rPr>
      </w:pPr>
      <w:r>
        <w:rPr>
          <w:rStyle w:val="CharDivText"/>
        </w:rPr>
        <w:t>rules of Court</w:t>
      </w:r>
      <w:r>
        <w:rPr>
          <w:rStyle w:val="CharDivText"/>
        </w:rPr>
        <w:tab/>
        <w:t>O. 1 r. 4(1)</w:t>
      </w:r>
    </w:p>
    <w:p w:rsidR="00425758" w:rsidRDefault="00425758">
      <w:pPr>
        <w:pStyle w:val="DefinedTerms"/>
        <w:rPr>
          <w:rStyle w:val="CharDivText"/>
        </w:rPr>
      </w:pPr>
      <w:r>
        <w:rPr>
          <w:rStyle w:val="CharDivText"/>
        </w:rPr>
        <w:t>said Act</w:t>
      </w:r>
      <w:r>
        <w:rPr>
          <w:rStyle w:val="CharDivText"/>
        </w:rPr>
        <w:tab/>
        <w:t>O. 62 r. 1(1), O. 80 r. 1</w:t>
      </w:r>
    </w:p>
    <w:p w:rsidR="00425758" w:rsidRDefault="00425758">
      <w:pPr>
        <w:pStyle w:val="DefinedTerms"/>
        <w:rPr>
          <w:rStyle w:val="CharDivText"/>
        </w:rPr>
      </w:pPr>
      <w:r>
        <w:rPr>
          <w:rStyle w:val="CharDivText"/>
        </w:rPr>
        <w:t>search order</w:t>
      </w:r>
      <w:r>
        <w:rPr>
          <w:rStyle w:val="CharDivText"/>
        </w:rPr>
        <w:tab/>
        <w:t>O. 52B r. 1</w:t>
      </w:r>
    </w:p>
    <w:p w:rsidR="00425758" w:rsidRDefault="00425758">
      <w:pPr>
        <w:pStyle w:val="DefinedTerms"/>
        <w:rPr>
          <w:rStyle w:val="CharDivText"/>
        </w:rPr>
      </w:pPr>
      <w:r>
        <w:rPr>
          <w:rStyle w:val="CharDivText"/>
        </w:rPr>
        <w:t>second offer</w:t>
      </w:r>
      <w:r>
        <w:rPr>
          <w:rStyle w:val="CharDivText"/>
        </w:rPr>
        <w:tab/>
        <w:t>O. 24A r. 3(7)</w:t>
      </w:r>
    </w:p>
    <w:p w:rsidR="00425758" w:rsidRDefault="00425758">
      <w:pPr>
        <w:pStyle w:val="DefinedTerms"/>
        <w:rPr>
          <w:rStyle w:val="CharDivText"/>
        </w:rPr>
      </w:pPr>
      <w:r>
        <w:rPr>
          <w:rStyle w:val="CharDivText"/>
        </w:rPr>
        <w:t>section</w:t>
      </w:r>
      <w:r>
        <w:rPr>
          <w:rStyle w:val="CharDivText"/>
        </w:rPr>
        <w:tab/>
        <w:t>O. 46 r. 1, O. 56A r. 1(1), O. 81F r. 1(1), O. 85 r. 1(1)</w:t>
      </w:r>
    </w:p>
    <w:p w:rsidR="00425758" w:rsidRDefault="00425758">
      <w:pPr>
        <w:pStyle w:val="DefinedTerms"/>
        <w:rPr>
          <w:rStyle w:val="CharDivText"/>
        </w:rPr>
      </w:pPr>
      <w:r>
        <w:rPr>
          <w:rStyle w:val="CharDivText"/>
        </w:rPr>
        <w:t>service details</w:t>
      </w:r>
      <w:r>
        <w:rPr>
          <w:rStyle w:val="CharDivText"/>
        </w:rPr>
        <w:tab/>
        <w:t>O. 1 r. 4(1)</w:t>
      </w:r>
    </w:p>
    <w:p w:rsidR="00425758" w:rsidRDefault="00425758">
      <w:pPr>
        <w:pStyle w:val="DefinedTerms"/>
        <w:rPr>
          <w:rStyle w:val="CharDivText"/>
        </w:rPr>
      </w:pPr>
      <w:r>
        <w:rPr>
          <w:rStyle w:val="CharDivText"/>
        </w:rPr>
        <w:t>settlement</w:t>
      </w:r>
      <w:r>
        <w:rPr>
          <w:rStyle w:val="CharDivText"/>
        </w:rPr>
        <w:tab/>
        <w:t>O. 70 r. 10(3)</w:t>
      </w:r>
    </w:p>
    <w:p w:rsidR="00425758" w:rsidRDefault="00425758">
      <w:pPr>
        <w:pStyle w:val="DefinedTerms"/>
        <w:rPr>
          <w:rStyle w:val="CharDivText"/>
        </w:rPr>
      </w:pPr>
      <w:r>
        <w:rPr>
          <w:rStyle w:val="CharDivText"/>
        </w:rPr>
        <w:t>sham transaction order</w:t>
      </w:r>
      <w:r>
        <w:rPr>
          <w:rStyle w:val="CharDivText"/>
        </w:rPr>
        <w:tab/>
        <w:t>O. 81FA r. 1</w:t>
      </w:r>
    </w:p>
    <w:p w:rsidR="00425758" w:rsidRDefault="00425758">
      <w:pPr>
        <w:pStyle w:val="DefinedTerms"/>
        <w:rPr>
          <w:rStyle w:val="CharDivText"/>
        </w:rPr>
      </w:pPr>
      <w:r>
        <w:rPr>
          <w:rStyle w:val="CharDivText"/>
        </w:rPr>
        <w:t>special federal matter</w:t>
      </w:r>
      <w:r>
        <w:rPr>
          <w:rStyle w:val="CharDivText"/>
        </w:rPr>
        <w:tab/>
        <w:t>O. 81E r. 1</w:t>
      </w:r>
    </w:p>
    <w:p w:rsidR="00425758" w:rsidRDefault="00425758">
      <w:pPr>
        <w:pStyle w:val="DefinedTerms"/>
        <w:rPr>
          <w:rStyle w:val="CharDivText"/>
        </w:rPr>
      </w:pPr>
      <w:r>
        <w:rPr>
          <w:rStyle w:val="CharDivText"/>
        </w:rPr>
        <w:t>subpoena</w:t>
      </w:r>
      <w:r>
        <w:rPr>
          <w:rStyle w:val="CharDivText"/>
        </w:rPr>
        <w:tab/>
        <w:t>O. 36B r. 1(1)</w:t>
      </w:r>
    </w:p>
    <w:p w:rsidR="00425758" w:rsidRDefault="00425758">
      <w:pPr>
        <w:pStyle w:val="DefinedTerms"/>
        <w:rPr>
          <w:rStyle w:val="CharDivText"/>
        </w:rPr>
      </w:pPr>
      <w:r>
        <w:rPr>
          <w:rStyle w:val="CharDivText"/>
        </w:rPr>
        <w:t>subpoena to attend to give evidence</w:t>
      </w:r>
      <w:r>
        <w:rPr>
          <w:rStyle w:val="CharDivText"/>
        </w:rPr>
        <w:tab/>
        <w:t>O. 36B r. 1(2)</w:t>
      </w:r>
    </w:p>
    <w:p w:rsidR="00425758" w:rsidRDefault="00425758">
      <w:pPr>
        <w:pStyle w:val="DefinedTerms"/>
        <w:rPr>
          <w:rStyle w:val="CharDivText"/>
        </w:rPr>
      </w:pPr>
      <w:r>
        <w:rPr>
          <w:rStyle w:val="CharDivText"/>
        </w:rPr>
        <w:t>subpoena to produce</w:t>
      </w:r>
      <w:r>
        <w:rPr>
          <w:rStyle w:val="CharDivText"/>
        </w:rPr>
        <w:tab/>
        <w:t>O. 36B r. 1(3)</w:t>
      </w:r>
    </w:p>
    <w:p w:rsidR="00425758" w:rsidRDefault="00425758">
      <w:pPr>
        <w:pStyle w:val="DefinedTerms"/>
        <w:rPr>
          <w:rStyle w:val="CharDivText"/>
        </w:rPr>
      </w:pPr>
      <w:r>
        <w:rPr>
          <w:rStyle w:val="CharDivText"/>
        </w:rPr>
        <w:t>sufficient time</w:t>
      </w:r>
      <w:r>
        <w:rPr>
          <w:rStyle w:val="CharDivText"/>
        </w:rPr>
        <w:tab/>
        <w:t>O. 11A r. 10(3)</w:t>
      </w:r>
    </w:p>
    <w:p w:rsidR="00425758" w:rsidRDefault="00425758">
      <w:pPr>
        <w:pStyle w:val="DefinedTerms"/>
        <w:rPr>
          <w:rStyle w:val="CharDivText"/>
        </w:rPr>
      </w:pPr>
      <w:r>
        <w:rPr>
          <w:rStyle w:val="CharDivText"/>
        </w:rPr>
        <w:t>Supreme Court (full bench)</w:t>
      </w:r>
      <w:r>
        <w:rPr>
          <w:rStyle w:val="CharDivText"/>
        </w:rPr>
        <w:tab/>
        <w:t>O. 75A r. 1</w:t>
      </w:r>
    </w:p>
    <w:p w:rsidR="00425758" w:rsidRDefault="00425758">
      <w:pPr>
        <w:pStyle w:val="DefinedTerms"/>
        <w:rPr>
          <w:rStyle w:val="CharDivText"/>
        </w:rPr>
      </w:pPr>
      <w:r>
        <w:rPr>
          <w:rStyle w:val="CharDivText"/>
        </w:rPr>
        <w:t>suspension order</w:t>
      </w:r>
      <w:r>
        <w:rPr>
          <w:rStyle w:val="CharDivText"/>
        </w:rPr>
        <w:tab/>
        <w:t>O. 81FA r. 1</w:t>
      </w:r>
    </w:p>
    <w:p w:rsidR="00425758" w:rsidRDefault="00425758">
      <w:pPr>
        <w:pStyle w:val="DefinedTerms"/>
        <w:rPr>
          <w:rStyle w:val="CharDivText"/>
        </w:rPr>
      </w:pPr>
      <w:r>
        <w:rPr>
          <w:rStyle w:val="CharDivText"/>
        </w:rPr>
        <w:t>taxing officer</w:t>
      </w:r>
      <w:r>
        <w:rPr>
          <w:rStyle w:val="CharDivText"/>
        </w:rPr>
        <w:tab/>
        <w:t>O. 1 r. 4(1)</w:t>
      </w:r>
    </w:p>
    <w:p w:rsidR="00425758" w:rsidRDefault="00425758">
      <w:pPr>
        <w:pStyle w:val="DefinedTerms"/>
        <w:rPr>
          <w:rStyle w:val="CharDivText"/>
        </w:rPr>
      </w:pPr>
      <w:r>
        <w:rPr>
          <w:rStyle w:val="CharDivText"/>
        </w:rPr>
        <w:t>testamentary script</w:t>
      </w:r>
      <w:r>
        <w:rPr>
          <w:rStyle w:val="CharDivText"/>
        </w:rPr>
        <w:tab/>
        <w:t>O. 73 r 1(3)</w:t>
      </w:r>
    </w:p>
    <w:p w:rsidR="00425758" w:rsidRDefault="00425758">
      <w:pPr>
        <w:pStyle w:val="DefinedTerms"/>
        <w:rPr>
          <w:rStyle w:val="CharDivText"/>
        </w:rPr>
      </w:pPr>
      <w:r>
        <w:rPr>
          <w:rStyle w:val="CharDivText"/>
        </w:rPr>
        <w:t>these rules</w:t>
      </w:r>
      <w:r>
        <w:rPr>
          <w:rStyle w:val="CharDivText"/>
        </w:rPr>
        <w:tab/>
        <w:t>O. 1 r. 4(1)</w:t>
      </w:r>
    </w:p>
    <w:p w:rsidR="00425758" w:rsidRDefault="00425758">
      <w:pPr>
        <w:pStyle w:val="DefinedTerms"/>
        <w:rPr>
          <w:rStyle w:val="CharDivText"/>
        </w:rPr>
      </w:pPr>
      <w:r>
        <w:rPr>
          <w:rStyle w:val="CharDivText"/>
        </w:rPr>
        <w:t>third party</w:t>
      </w:r>
      <w:r>
        <w:rPr>
          <w:rStyle w:val="CharDivText"/>
        </w:rPr>
        <w:tab/>
        <w:t>O. 52A r. 5(5)</w:t>
      </w:r>
    </w:p>
    <w:p w:rsidR="00425758" w:rsidRDefault="00425758">
      <w:pPr>
        <w:pStyle w:val="DefinedTerms"/>
        <w:rPr>
          <w:rStyle w:val="CharDivText"/>
        </w:rPr>
      </w:pPr>
      <w:r>
        <w:rPr>
          <w:rStyle w:val="CharDivText"/>
        </w:rPr>
        <w:t>this jurisdiction</w:t>
      </w:r>
      <w:r>
        <w:rPr>
          <w:rStyle w:val="CharDivText"/>
        </w:rPr>
        <w:tab/>
        <w:t>O. 11A r. 1</w:t>
      </w:r>
    </w:p>
    <w:p w:rsidR="00425758" w:rsidRDefault="00425758">
      <w:pPr>
        <w:pStyle w:val="DefinedTerms"/>
        <w:rPr>
          <w:rStyle w:val="CharDivText"/>
        </w:rPr>
      </w:pPr>
      <w:r>
        <w:rPr>
          <w:rStyle w:val="CharDivText"/>
        </w:rPr>
        <w:t>to file</w:t>
      </w:r>
      <w:r>
        <w:rPr>
          <w:rStyle w:val="CharDivText"/>
        </w:rPr>
        <w:tab/>
        <w:t>O. 1 r. 4(1)</w:t>
      </w:r>
    </w:p>
    <w:p w:rsidR="00425758" w:rsidRDefault="00425758">
      <w:pPr>
        <w:pStyle w:val="DefinedTerms"/>
        <w:rPr>
          <w:rStyle w:val="CharDivText"/>
        </w:rPr>
      </w:pPr>
      <w:r>
        <w:rPr>
          <w:rStyle w:val="CharDivText"/>
        </w:rPr>
        <w:t>trial</w:t>
      </w:r>
      <w:r>
        <w:rPr>
          <w:rStyle w:val="CharDivText"/>
        </w:rPr>
        <w:tab/>
        <w:t>O. 1 r. 4(1)</w:t>
      </w:r>
    </w:p>
    <w:p w:rsidR="00425758" w:rsidRDefault="00425758">
      <w:pPr>
        <w:pStyle w:val="DefinedTerms"/>
        <w:rPr>
          <w:rStyle w:val="CharDivText"/>
        </w:rPr>
      </w:pPr>
      <w:r>
        <w:rPr>
          <w:rStyle w:val="CharDivText"/>
        </w:rPr>
        <w:t>tribunal</w:t>
      </w:r>
      <w:r>
        <w:rPr>
          <w:rStyle w:val="CharDivText"/>
        </w:rPr>
        <w:tab/>
        <w:t>O. 31 r. 8(6)</w:t>
      </w:r>
    </w:p>
    <w:p w:rsidR="00425758" w:rsidRDefault="00425758">
      <w:pPr>
        <w:pStyle w:val="DefinedTerms"/>
        <w:rPr>
          <w:rStyle w:val="CharDivText"/>
        </w:rPr>
      </w:pPr>
      <w:r>
        <w:rPr>
          <w:rStyle w:val="CharDivText"/>
        </w:rPr>
        <w:t>unexplained wealth declaration</w:t>
      </w:r>
      <w:r>
        <w:rPr>
          <w:rStyle w:val="CharDivText"/>
        </w:rPr>
        <w:tab/>
        <w:t>O. 81FA r. 1</w:t>
      </w:r>
    </w:p>
    <w:p w:rsidR="00425758" w:rsidRDefault="00425758">
      <w:pPr>
        <w:pStyle w:val="DefinedTerms"/>
        <w:rPr>
          <w:rStyle w:val="CharDivText"/>
        </w:rPr>
      </w:pPr>
      <w:r>
        <w:rPr>
          <w:rStyle w:val="CharDivText"/>
        </w:rPr>
        <w:t>will</w:t>
      </w:r>
      <w:r>
        <w:rPr>
          <w:rStyle w:val="CharDivText"/>
        </w:rPr>
        <w:tab/>
        <w:t>O. 73 r. 1(3)</w:t>
      </w:r>
    </w:p>
    <w:p w:rsidR="00425758" w:rsidRDefault="00425758">
      <w:pPr>
        <w:pStyle w:val="DefinedTerms"/>
        <w:keepNext/>
        <w:rPr>
          <w:rStyle w:val="CharDivText"/>
        </w:rPr>
      </w:pPr>
      <w:r>
        <w:rPr>
          <w:rStyle w:val="CharDivText"/>
        </w:rPr>
        <w:lastRenderedPageBreak/>
        <w:t>working day</w:t>
      </w:r>
      <w:r>
        <w:rPr>
          <w:rStyle w:val="CharDivText"/>
        </w:rPr>
        <w:tab/>
        <w:t>O.</w:t>
      </w:r>
      <w:r>
        <w:t> 1 r. 4(1)</w:t>
      </w:r>
    </w:p>
    <w:p w:rsidR="00425758" w:rsidRDefault="00425758">
      <w:pPr>
        <w:pStyle w:val="DefinedTerms"/>
        <w:keepNext/>
        <w:rPr>
          <w:rStyle w:val="CharDivText"/>
        </w:rPr>
      </w:pPr>
      <w:r>
        <w:rPr>
          <w:rStyle w:val="CharDivText"/>
        </w:rPr>
        <w:t>writ</w:t>
      </w:r>
      <w:r>
        <w:rPr>
          <w:rStyle w:val="CharDivText"/>
        </w:rPr>
        <w:tab/>
        <w:t>O. 1 r. 4(1), O. 56 r. 1(1)</w:t>
      </w:r>
    </w:p>
    <w:p w:rsidR="00425758" w:rsidRDefault="00425758"/>
    <w:p w:rsidR="00425758" w:rsidRDefault="00425758">
      <w:pPr>
        <w:sectPr w:rsidR="00425758">
          <w:headerReference w:type="even" r:id="rId35"/>
          <w:headerReference w:type="default" r:id="rId36"/>
          <w:pgSz w:w="11907" w:h="16840" w:code="9"/>
          <w:pgMar w:top="2381" w:right="2409" w:bottom="3543" w:left="2409" w:header="720" w:footer="3380" w:gutter="0"/>
          <w:cols w:space="720"/>
          <w:noEndnote/>
          <w:docGrid w:linePitch="326"/>
        </w:sectPr>
      </w:pPr>
    </w:p>
    <w:p w:rsidR="00425758" w:rsidRDefault="00425758"/>
    <w:sectPr w:rsidR="00425758">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25758" w:rsidRDefault="00425758">
      <w:r>
        <w:separator/>
      </w:r>
    </w:p>
  </w:endnote>
  <w:endnote w:type="continuationSeparator" w:id="0">
    <w:p w:rsidR="00425758" w:rsidRDefault="004257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Times New Roman Bold">
    <w:panose1 w:val="02020803070505020304"/>
    <w:charset w:val="00"/>
    <w:family w:val="roman"/>
    <w:notTrueType/>
    <w:pitch w:val="default"/>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5758" w:rsidRDefault="00425758">
    <w:pPr>
      <w:pStyle w:val="Footer"/>
      <w:pBdr>
        <w:bottom w:val="single" w:sz="4" w:space="1" w:color="auto"/>
      </w:pBdr>
      <w:rPr>
        <w:sz w:val="20"/>
      </w:rPr>
    </w:pPr>
  </w:p>
  <w:p w:rsidR="00425758" w:rsidRDefault="00425758">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FC1D84">
      <w:rPr>
        <w:sz w:val="20"/>
      </w:rPr>
      <w:t>09-ab0-00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C1D84">
      <w:rPr>
        <w:sz w:val="20"/>
      </w:rPr>
      <w:t>01 Jul 2021</w:t>
    </w:r>
    <w:r>
      <w:rPr>
        <w:sz w:val="20"/>
      </w:rPr>
      <w:fldChar w:fldCharType="end"/>
    </w:r>
  </w:p>
  <w:p w:rsidR="00425758" w:rsidRDefault="00425758">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5758" w:rsidRDefault="00425758">
    <w:pPr>
      <w:pStyle w:val="Footer"/>
      <w:pBdr>
        <w:bottom w:val="single" w:sz="4" w:space="1" w:color="auto"/>
      </w:pBdr>
      <w:rPr>
        <w:sz w:val="20"/>
      </w:rPr>
    </w:pPr>
  </w:p>
  <w:p w:rsidR="00425758" w:rsidRDefault="0042575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C1D84">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C1D84">
      <w:rPr>
        <w:sz w:val="20"/>
      </w:rPr>
      <w:t>09-ab0-00</w:t>
    </w:r>
    <w:r>
      <w:rPr>
        <w:sz w:val="20"/>
      </w:rPr>
      <w:fldChar w:fldCharType="end"/>
    </w:r>
  </w:p>
  <w:p w:rsidR="00425758" w:rsidRDefault="00425758">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5758" w:rsidRDefault="00425758">
    <w:pPr>
      <w:pStyle w:val="Footer"/>
      <w:pBdr>
        <w:bottom w:val="single" w:sz="4" w:space="1" w:color="auto"/>
      </w:pBdr>
      <w:rPr>
        <w:sz w:val="20"/>
      </w:rPr>
    </w:pPr>
  </w:p>
  <w:p w:rsidR="00425758" w:rsidRDefault="0042575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C1D84">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C1D84">
      <w:rPr>
        <w:sz w:val="20"/>
      </w:rPr>
      <w:t>09-ab0-00</w:t>
    </w:r>
    <w:r>
      <w:rPr>
        <w:sz w:val="20"/>
      </w:rPr>
      <w:fldChar w:fldCharType="end"/>
    </w:r>
  </w:p>
  <w:p w:rsidR="00425758" w:rsidRDefault="00425758">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5758" w:rsidRDefault="00425758">
    <w:pPr>
      <w:pStyle w:val="Footer"/>
      <w:pBdr>
        <w:bottom w:val="single" w:sz="4" w:space="1" w:color="auto"/>
      </w:pBdr>
      <w:rPr>
        <w:sz w:val="20"/>
      </w:rPr>
    </w:pPr>
  </w:p>
  <w:p w:rsidR="00425758" w:rsidRDefault="00425758">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C1D84">
      <w:rPr>
        <w:sz w:val="20"/>
      </w:rPr>
      <w:t>09-ab0-00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C1D84">
      <w:rPr>
        <w:sz w:val="20"/>
      </w:rPr>
      <w:t>01 Jul 2021</w:t>
    </w:r>
    <w:r>
      <w:rPr>
        <w:sz w:val="20"/>
      </w:rPr>
      <w:fldChar w:fldCharType="end"/>
    </w:r>
  </w:p>
  <w:p w:rsidR="00425758" w:rsidRDefault="00425758">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5758" w:rsidRDefault="00425758">
    <w:pPr>
      <w:pStyle w:val="Footer"/>
      <w:pBdr>
        <w:bottom w:val="single" w:sz="4" w:space="1" w:color="auto"/>
      </w:pBdr>
      <w:rPr>
        <w:sz w:val="20"/>
      </w:rPr>
    </w:pPr>
  </w:p>
  <w:p w:rsidR="00425758" w:rsidRDefault="0042575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C1D84">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C1D84">
      <w:rPr>
        <w:sz w:val="20"/>
      </w:rPr>
      <w:t>09-ab0-00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75</w:t>
    </w:r>
    <w:r>
      <w:rPr>
        <w:sz w:val="20"/>
      </w:rPr>
      <w:fldChar w:fldCharType="end"/>
    </w:r>
  </w:p>
  <w:p w:rsidR="00425758" w:rsidRDefault="00425758">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5758" w:rsidRDefault="00425758">
    <w:pPr>
      <w:pStyle w:val="Footer"/>
      <w:pBdr>
        <w:bottom w:val="single" w:sz="4" w:space="1" w:color="auto"/>
      </w:pBdr>
      <w:rPr>
        <w:sz w:val="20"/>
      </w:rPr>
    </w:pPr>
  </w:p>
  <w:p w:rsidR="00425758" w:rsidRDefault="0042575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C1D84">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C1D84">
      <w:rPr>
        <w:sz w:val="20"/>
      </w:rPr>
      <w:t>09-ab0-00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425758" w:rsidRDefault="00425758">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5758" w:rsidRDefault="0042575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5758" w:rsidRDefault="0042575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5758" w:rsidRDefault="004257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25758" w:rsidRDefault="00425758">
      <w:r>
        <w:separator/>
      </w:r>
    </w:p>
  </w:footnote>
  <w:footnote w:type="continuationSeparator" w:id="0">
    <w:p w:rsidR="00425758" w:rsidRDefault="004257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1D84" w:rsidRDefault="00FC1D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1D84" w:rsidRDefault="00FC1D8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5758" w:rsidRDefault="00425758">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25758">
      <w:trPr>
        <w:cantSplit/>
        <w:jc w:val="center"/>
      </w:trPr>
      <w:tc>
        <w:tcPr>
          <w:tcW w:w="7258" w:type="dxa"/>
          <w:gridSpan w:val="2"/>
        </w:tcPr>
        <w:p w:rsidR="00425758" w:rsidRDefault="00425758">
          <w:pPr>
            <w:pStyle w:val="Header"/>
          </w:pPr>
          <w:r>
            <w:rPr>
              <w:b/>
              <w:i/>
            </w:rPr>
            <w:fldChar w:fldCharType="begin"/>
          </w:r>
          <w:r>
            <w:rPr>
              <w:b/>
              <w:i/>
            </w:rPr>
            <w:instrText xml:space="preserve"> STYLEREF "Name of Act/Reg" </w:instrText>
          </w:r>
          <w:r>
            <w:rPr>
              <w:b/>
              <w:i/>
            </w:rPr>
            <w:fldChar w:fldCharType="separate"/>
          </w:r>
          <w:r w:rsidR="00FC1D84">
            <w:rPr>
              <w:b/>
              <w:i/>
            </w:rPr>
            <w:t>Rules of the Supreme Court 1971</w:t>
          </w:r>
          <w:r>
            <w:rPr>
              <w:b/>
              <w:i/>
            </w:rPr>
            <w:fldChar w:fldCharType="end"/>
          </w:r>
        </w:p>
      </w:tc>
    </w:tr>
    <w:tr w:rsidR="00425758">
      <w:trPr>
        <w:jc w:val="center"/>
      </w:trPr>
      <w:tc>
        <w:tcPr>
          <w:tcW w:w="1548" w:type="dxa"/>
        </w:tcPr>
        <w:p w:rsidR="00425758" w:rsidRDefault="00425758">
          <w:pPr>
            <w:pStyle w:val="Header"/>
            <w:spacing w:before="40"/>
          </w:pPr>
        </w:p>
      </w:tc>
      <w:tc>
        <w:tcPr>
          <w:tcW w:w="5715" w:type="dxa"/>
        </w:tcPr>
        <w:p w:rsidR="00425758" w:rsidRDefault="00425758">
          <w:pPr>
            <w:pStyle w:val="Header"/>
            <w:spacing w:before="40"/>
          </w:pPr>
        </w:p>
      </w:tc>
    </w:tr>
    <w:tr w:rsidR="00425758">
      <w:trPr>
        <w:jc w:val="center"/>
      </w:trPr>
      <w:tc>
        <w:tcPr>
          <w:tcW w:w="1548" w:type="dxa"/>
        </w:tcPr>
        <w:p w:rsidR="00425758" w:rsidRDefault="00425758">
          <w:pPr>
            <w:pStyle w:val="Header"/>
            <w:spacing w:before="40"/>
          </w:pPr>
        </w:p>
      </w:tc>
      <w:tc>
        <w:tcPr>
          <w:tcW w:w="5715" w:type="dxa"/>
        </w:tcPr>
        <w:p w:rsidR="00425758" w:rsidRDefault="00425758">
          <w:pPr>
            <w:pStyle w:val="Header"/>
            <w:spacing w:before="40"/>
          </w:pPr>
        </w:p>
      </w:tc>
    </w:tr>
    <w:tr w:rsidR="00425758">
      <w:trPr>
        <w:cantSplit/>
        <w:jc w:val="center"/>
      </w:trPr>
      <w:tc>
        <w:tcPr>
          <w:tcW w:w="7258" w:type="dxa"/>
          <w:gridSpan w:val="2"/>
        </w:tcPr>
        <w:p w:rsidR="00425758" w:rsidRDefault="00425758">
          <w:pPr>
            <w:pStyle w:val="Header"/>
            <w:spacing w:before="40"/>
          </w:pPr>
          <w:r>
            <w:t>Contents</w:t>
          </w:r>
        </w:p>
      </w:tc>
    </w:tr>
  </w:tbl>
  <w:p w:rsidR="00425758" w:rsidRDefault="00425758">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25758">
      <w:trPr>
        <w:cantSplit/>
        <w:jc w:val="center"/>
      </w:trPr>
      <w:tc>
        <w:tcPr>
          <w:tcW w:w="7258" w:type="dxa"/>
          <w:gridSpan w:val="2"/>
        </w:tcPr>
        <w:p w:rsidR="00425758" w:rsidRDefault="00425758">
          <w:pPr>
            <w:pStyle w:val="Header"/>
            <w:ind w:right="17"/>
            <w:jc w:val="right"/>
          </w:pPr>
          <w:r>
            <w:rPr>
              <w:b/>
              <w:i/>
            </w:rPr>
            <w:fldChar w:fldCharType="begin"/>
          </w:r>
          <w:r>
            <w:rPr>
              <w:b/>
              <w:i/>
            </w:rPr>
            <w:instrText xml:space="preserve"> STYLEREF "Name of Act/Reg" </w:instrText>
          </w:r>
          <w:r>
            <w:rPr>
              <w:b/>
              <w:i/>
            </w:rPr>
            <w:fldChar w:fldCharType="separate"/>
          </w:r>
          <w:r w:rsidR="00FC1D84">
            <w:rPr>
              <w:b/>
              <w:i/>
            </w:rPr>
            <w:t>Rules of the Supreme Court 1971</w:t>
          </w:r>
          <w:r>
            <w:rPr>
              <w:b/>
              <w:i/>
            </w:rPr>
            <w:fldChar w:fldCharType="end"/>
          </w:r>
        </w:p>
      </w:tc>
    </w:tr>
    <w:tr w:rsidR="00425758">
      <w:trPr>
        <w:jc w:val="center"/>
      </w:trPr>
      <w:tc>
        <w:tcPr>
          <w:tcW w:w="5715" w:type="dxa"/>
        </w:tcPr>
        <w:p w:rsidR="00425758" w:rsidRDefault="00425758">
          <w:pPr>
            <w:pStyle w:val="Header"/>
            <w:spacing w:before="40"/>
            <w:jc w:val="right"/>
          </w:pPr>
        </w:p>
      </w:tc>
      <w:tc>
        <w:tcPr>
          <w:tcW w:w="1548" w:type="dxa"/>
        </w:tcPr>
        <w:p w:rsidR="00425758" w:rsidRDefault="00425758">
          <w:pPr>
            <w:pStyle w:val="Header"/>
            <w:spacing w:before="40"/>
            <w:ind w:right="17"/>
            <w:jc w:val="right"/>
          </w:pPr>
        </w:p>
      </w:tc>
    </w:tr>
    <w:tr w:rsidR="00425758">
      <w:trPr>
        <w:jc w:val="center"/>
      </w:trPr>
      <w:tc>
        <w:tcPr>
          <w:tcW w:w="5715" w:type="dxa"/>
        </w:tcPr>
        <w:p w:rsidR="00425758" w:rsidRDefault="00425758">
          <w:pPr>
            <w:pStyle w:val="Header"/>
            <w:spacing w:before="40"/>
            <w:jc w:val="right"/>
          </w:pPr>
        </w:p>
      </w:tc>
      <w:tc>
        <w:tcPr>
          <w:tcW w:w="1548" w:type="dxa"/>
        </w:tcPr>
        <w:p w:rsidR="00425758" w:rsidRDefault="00425758">
          <w:pPr>
            <w:pStyle w:val="Header"/>
            <w:spacing w:before="40"/>
            <w:ind w:right="17"/>
            <w:jc w:val="right"/>
          </w:pPr>
        </w:p>
      </w:tc>
    </w:tr>
    <w:tr w:rsidR="00425758">
      <w:trPr>
        <w:cantSplit/>
        <w:jc w:val="center"/>
      </w:trPr>
      <w:tc>
        <w:tcPr>
          <w:tcW w:w="7258" w:type="dxa"/>
          <w:gridSpan w:val="2"/>
        </w:tcPr>
        <w:p w:rsidR="00425758" w:rsidRDefault="00425758">
          <w:pPr>
            <w:pStyle w:val="Header"/>
            <w:spacing w:before="40"/>
            <w:ind w:right="17"/>
            <w:jc w:val="right"/>
          </w:pPr>
          <w:r>
            <w:t>Contents</w:t>
          </w:r>
        </w:p>
      </w:tc>
    </w:tr>
  </w:tbl>
  <w:p w:rsidR="00425758" w:rsidRDefault="00425758">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5758" w:rsidRDefault="0042575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425758">
      <w:trPr>
        <w:cantSplit/>
        <w:jc w:val="center"/>
      </w:trPr>
      <w:tc>
        <w:tcPr>
          <w:tcW w:w="7263" w:type="dxa"/>
          <w:gridSpan w:val="2"/>
        </w:tcPr>
        <w:p w:rsidR="00425758" w:rsidRDefault="00425758">
          <w:pPr>
            <w:pStyle w:val="Header"/>
          </w:pPr>
          <w:r>
            <w:rPr>
              <w:b/>
              <w:i/>
            </w:rPr>
            <w:fldChar w:fldCharType="begin"/>
          </w:r>
          <w:r>
            <w:rPr>
              <w:b/>
              <w:i/>
            </w:rPr>
            <w:instrText xml:space="preserve"> Styleref "Name of Act/Reg" </w:instrText>
          </w:r>
          <w:r>
            <w:rPr>
              <w:b/>
              <w:i/>
            </w:rPr>
            <w:fldChar w:fldCharType="separate"/>
          </w:r>
          <w:r w:rsidR="00FC1D84">
            <w:rPr>
              <w:b/>
              <w:i/>
            </w:rPr>
            <w:t>Rules of the Supreme Court 1971</w:t>
          </w:r>
          <w:r>
            <w:rPr>
              <w:b/>
              <w:i/>
            </w:rPr>
            <w:fldChar w:fldCharType="end"/>
          </w:r>
        </w:p>
      </w:tc>
    </w:tr>
    <w:tr w:rsidR="00425758">
      <w:trPr>
        <w:jc w:val="center"/>
      </w:trPr>
      <w:tc>
        <w:tcPr>
          <w:tcW w:w="1548" w:type="dxa"/>
        </w:tcPr>
        <w:p w:rsidR="00425758" w:rsidRDefault="00425758">
          <w:pPr>
            <w:pStyle w:val="Header"/>
            <w:spacing w:before="40"/>
          </w:pPr>
          <w:r>
            <w:rPr>
              <w:b/>
            </w:rPr>
            <w:fldChar w:fldCharType="begin"/>
          </w:r>
          <w:r>
            <w:rPr>
              <w:b/>
            </w:rPr>
            <w:instrText>styleref CharPartNo</w:instrText>
          </w:r>
          <w:r>
            <w:rPr>
              <w:b/>
            </w:rPr>
            <w:fldChar w:fldCharType="end"/>
          </w:r>
        </w:p>
      </w:tc>
      <w:tc>
        <w:tcPr>
          <w:tcW w:w="5715" w:type="dxa"/>
          <w:vAlign w:val="bottom"/>
        </w:tcPr>
        <w:p w:rsidR="00425758" w:rsidRDefault="00425758">
          <w:pPr>
            <w:pStyle w:val="Header"/>
            <w:spacing w:before="40"/>
          </w:pPr>
          <w:r>
            <w:fldChar w:fldCharType="begin"/>
          </w:r>
          <w:r>
            <w:instrText>styleref CharPartText</w:instrText>
          </w:r>
          <w:r>
            <w:fldChar w:fldCharType="end"/>
          </w:r>
        </w:p>
      </w:tc>
    </w:tr>
    <w:tr w:rsidR="00425758">
      <w:trPr>
        <w:jc w:val="center"/>
      </w:trPr>
      <w:tc>
        <w:tcPr>
          <w:tcW w:w="1548" w:type="dxa"/>
        </w:tcPr>
        <w:p w:rsidR="00425758" w:rsidRDefault="00425758">
          <w:pPr>
            <w:pStyle w:val="Header"/>
            <w:spacing w:before="40"/>
          </w:pPr>
          <w:r>
            <w:rPr>
              <w:b/>
            </w:rPr>
            <w:fldChar w:fldCharType="begin"/>
          </w:r>
          <w:r>
            <w:rPr>
              <w:b/>
            </w:rPr>
            <w:instrText xml:space="preserve"> styleref CharDivNo </w:instrText>
          </w:r>
          <w:r>
            <w:rPr>
              <w:b/>
            </w:rPr>
            <w:fldChar w:fldCharType="end"/>
          </w:r>
        </w:p>
      </w:tc>
      <w:tc>
        <w:tcPr>
          <w:tcW w:w="5715" w:type="dxa"/>
        </w:tcPr>
        <w:p w:rsidR="00425758" w:rsidRDefault="00425758">
          <w:pPr>
            <w:pStyle w:val="Header"/>
            <w:spacing w:before="40"/>
          </w:pPr>
          <w:r>
            <w:fldChar w:fldCharType="begin"/>
          </w:r>
          <w:r>
            <w:instrText xml:space="preserve"> styleref CharDivText </w:instrText>
          </w:r>
          <w:r>
            <w:fldChar w:fldCharType="end"/>
          </w:r>
        </w:p>
      </w:tc>
    </w:tr>
    <w:tr w:rsidR="00425758">
      <w:trPr>
        <w:cantSplit/>
        <w:jc w:val="center"/>
      </w:trPr>
      <w:tc>
        <w:tcPr>
          <w:tcW w:w="7263" w:type="dxa"/>
          <w:gridSpan w:val="2"/>
        </w:tcPr>
        <w:p w:rsidR="00425758" w:rsidRDefault="00425758">
          <w:pPr>
            <w:pStyle w:val="Header"/>
            <w:spacing w:before="40"/>
          </w:pPr>
          <w:r>
            <w:rPr>
              <w:b/>
            </w:rPr>
            <w:t xml:space="preserve">r. </w:t>
          </w:r>
          <w:r>
            <w:rPr>
              <w:b/>
            </w:rPr>
            <w:fldChar w:fldCharType="begin"/>
          </w:r>
          <w:r>
            <w:rPr>
              <w:b/>
            </w:rPr>
            <w:instrText xml:space="preserve"> styleref CharSectno </w:instrText>
          </w:r>
          <w:r>
            <w:rPr>
              <w:b/>
            </w:rPr>
            <w:fldChar w:fldCharType="separate"/>
          </w:r>
          <w:r w:rsidR="00FC1D84">
            <w:rPr>
              <w:b/>
            </w:rPr>
            <w:t>1</w:t>
          </w:r>
          <w:r>
            <w:rPr>
              <w:b/>
            </w:rPr>
            <w:fldChar w:fldCharType="end"/>
          </w:r>
        </w:p>
      </w:tc>
    </w:tr>
  </w:tbl>
  <w:p w:rsidR="00425758" w:rsidRDefault="00425758">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425758">
      <w:trPr>
        <w:cantSplit/>
        <w:jc w:val="center"/>
      </w:trPr>
      <w:tc>
        <w:tcPr>
          <w:tcW w:w="7263" w:type="dxa"/>
          <w:gridSpan w:val="2"/>
        </w:tcPr>
        <w:p w:rsidR="00425758" w:rsidRDefault="00425758">
          <w:pPr>
            <w:pStyle w:val="Header"/>
            <w:ind w:right="17"/>
            <w:jc w:val="right"/>
          </w:pPr>
          <w:r>
            <w:rPr>
              <w:b/>
              <w:i/>
            </w:rPr>
            <w:fldChar w:fldCharType="begin"/>
          </w:r>
          <w:r>
            <w:rPr>
              <w:b/>
              <w:i/>
            </w:rPr>
            <w:instrText xml:space="preserve"> Styleref "Name of Act/Reg" </w:instrText>
          </w:r>
          <w:r>
            <w:rPr>
              <w:b/>
              <w:i/>
            </w:rPr>
            <w:fldChar w:fldCharType="separate"/>
          </w:r>
          <w:r w:rsidR="00FC1D84">
            <w:rPr>
              <w:b/>
              <w:i/>
            </w:rPr>
            <w:t>Rules of the Supreme Court 1971</w:t>
          </w:r>
          <w:r>
            <w:rPr>
              <w:b/>
              <w:i/>
            </w:rPr>
            <w:fldChar w:fldCharType="end"/>
          </w:r>
        </w:p>
      </w:tc>
    </w:tr>
    <w:tr w:rsidR="00425758">
      <w:trPr>
        <w:jc w:val="center"/>
      </w:trPr>
      <w:tc>
        <w:tcPr>
          <w:tcW w:w="5715" w:type="dxa"/>
          <w:vAlign w:val="bottom"/>
        </w:tcPr>
        <w:p w:rsidR="00425758" w:rsidRDefault="00425758">
          <w:pPr>
            <w:pStyle w:val="Header"/>
            <w:spacing w:before="40"/>
            <w:jc w:val="right"/>
          </w:pPr>
          <w:r>
            <w:fldChar w:fldCharType="begin"/>
          </w:r>
          <w:r>
            <w:instrText>styleref CharPartText</w:instrText>
          </w:r>
          <w:r>
            <w:fldChar w:fldCharType="end"/>
          </w:r>
        </w:p>
      </w:tc>
      <w:tc>
        <w:tcPr>
          <w:tcW w:w="1548" w:type="dxa"/>
        </w:tcPr>
        <w:p w:rsidR="00425758" w:rsidRDefault="00425758">
          <w:pPr>
            <w:pStyle w:val="Header"/>
            <w:spacing w:before="40"/>
            <w:ind w:right="17"/>
            <w:jc w:val="right"/>
          </w:pPr>
          <w:r>
            <w:rPr>
              <w:b/>
            </w:rPr>
            <w:fldChar w:fldCharType="begin"/>
          </w:r>
          <w:r>
            <w:rPr>
              <w:b/>
            </w:rPr>
            <w:instrText>styleref CharPartNo</w:instrText>
          </w:r>
          <w:r>
            <w:rPr>
              <w:b/>
            </w:rPr>
            <w:fldChar w:fldCharType="end"/>
          </w:r>
        </w:p>
      </w:tc>
    </w:tr>
    <w:tr w:rsidR="00425758">
      <w:trPr>
        <w:jc w:val="center"/>
      </w:trPr>
      <w:tc>
        <w:tcPr>
          <w:tcW w:w="5715" w:type="dxa"/>
          <w:vAlign w:val="bottom"/>
        </w:tcPr>
        <w:p w:rsidR="00425758" w:rsidRDefault="00425758">
          <w:pPr>
            <w:pStyle w:val="Header"/>
            <w:spacing w:before="40"/>
            <w:jc w:val="right"/>
          </w:pPr>
          <w:r>
            <w:fldChar w:fldCharType="begin"/>
          </w:r>
          <w:r>
            <w:instrText xml:space="preserve"> styleref CharDivText </w:instrText>
          </w:r>
          <w:r>
            <w:fldChar w:fldCharType="end"/>
          </w:r>
        </w:p>
      </w:tc>
      <w:tc>
        <w:tcPr>
          <w:tcW w:w="1548" w:type="dxa"/>
        </w:tcPr>
        <w:p w:rsidR="00425758" w:rsidRDefault="00425758">
          <w:pPr>
            <w:pStyle w:val="Header"/>
            <w:spacing w:before="40"/>
            <w:ind w:right="17"/>
            <w:jc w:val="right"/>
          </w:pPr>
          <w:r>
            <w:rPr>
              <w:b/>
            </w:rPr>
            <w:fldChar w:fldCharType="begin"/>
          </w:r>
          <w:r>
            <w:rPr>
              <w:b/>
            </w:rPr>
            <w:instrText xml:space="preserve"> styleref CharDivNo </w:instrText>
          </w:r>
          <w:r>
            <w:rPr>
              <w:b/>
            </w:rPr>
            <w:fldChar w:fldCharType="end"/>
          </w:r>
        </w:p>
      </w:tc>
    </w:tr>
    <w:tr w:rsidR="00425758">
      <w:trPr>
        <w:cantSplit/>
        <w:jc w:val="center"/>
      </w:trPr>
      <w:tc>
        <w:tcPr>
          <w:tcW w:w="7263" w:type="dxa"/>
          <w:gridSpan w:val="2"/>
        </w:tcPr>
        <w:p w:rsidR="00425758" w:rsidRDefault="00425758">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FC1D84">
            <w:rPr>
              <w:b/>
            </w:rPr>
            <w:t>1</w:t>
          </w:r>
          <w:r>
            <w:rPr>
              <w:b/>
            </w:rPr>
            <w:fldChar w:fldCharType="end"/>
          </w:r>
        </w:p>
      </w:tc>
    </w:tr>
  </w:tbl>
  <w:p w:rsidR="00425758" w:rsidRDefault="00425758">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5758" w:rsidRDefault="0042575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25758">
      <w:trPr>
        <w:jc w:val="center"/>
      </w:trPr>
      <w:tc>
        <w:tcPr>
          <w:tcW w:w="7263" w:type="dxa"/>
          <w:gridSpan w:val="2"/>
        </w:tcPr>
        <w:p w:rsidR="00425758" w:rsidRDefault="00425758">
          <w:pPr>
            <w:pStyle w:val="Header"/>
          </w:pPr>
          <w:r>
            <w:rPr>
              <w:b/>
              <w:i/>
            </w:rPr>
            <w:fldChar w:fldCharType="begin"/>
          </w:r>
          <w:r>
            <w:rPr>
              <w:b/>
              <w:i/>
            </w:rPr>
            <w:instrText>STYLEREF "Name of Act/Reg"</w:instrText>
          </w:r>
          <w:r>
            <w:rPr>
              <w:b/>
              <w:i/>
            </w:rPr>
            <w:fldChar w:fldCharType="separate"/>
          </w:r>
          <w:r w:rsidR="00FC1D84">
            <w:rPr>
              <w:b/>
              <w:i/>
            </w:rPr>
            <w:t>Rules of the Supreme Court 1971</w:t>
          </w:r>
          <w:r>
            <w:rPr>
              <w:b/>
              <w:i/>
            </w:rPr>
            <w:fldChar w:fldCharType="end"/>
          </w:r>
        </w:p>
      </w:tc>
    </w:tr>
    <w:tr w:rsidR="00425758">
      <w:trPr>
        <w:jc w:val="center"/>
      </w:trPr>
      <w:tc>
        <w:tcPr>
          <w:tcW w:w="1548" w:type="dxa"/>
        </w:tcPr>
        <w:p w:rsidR="00425758" w:rsidRDefault="00425758">
          <w:pPr>
            <w:pStyle w:val="Header"/>
            <w:spacing w:before="40"/>
          </w:pPr>
          <w:r>
            <w:rPr>
              <w:b/>
            </w:rPr>
            <w:fldChar w:fldCharType="begin"/>
          </w:r>
          <w:r>
            <w:rPr>
              <w:b/>
            </w:rPr>
            <w:instrText>styleref CharSchno</w:instrText>
          </w:r>
          <w:r>
            <w:rPr>
              <w:b/>
            </w:rPr>
            <w:fldChar w:fldCharType="end"/>
          </w:r>
        </w:p>
      </w:tc>
      <w:tc>
        <w:tcPr>
          <w:tcW w:w="5715" w:type="dxa"/>
          <w:vAlign w:val="bottom"/>
        </w:tcPr>
        <w:p w:rsidR="00425758" w:rsidRDefault="00425758">
          <w:pPr>
            <w:pStyle w:val="Header"/>
            <w:spacing w:before="40"/>
          </w:pPr>
          <w:r>
            <w:fldChar w:fldCharType="begin"/>
          </w:r>
          <w:r>
            <w:instrText>styleref CharSchText</w:instrText>
          </w:r>
          <w:r>
            <w:fldChar w:fldCharType="end"/>
          </w:r>
        </w:p>
      </w:tc>
    </w:tr>
    <w:tr w:rsidR="00425758">
      <w:trPr>
        <w:jc w:val="center"/>
      </w:trPr>
      <w:tc>
        <w:tcPr>
          <w:tcW w:w="1548" w:type="dxa"/>
        </w:tcPr>
        <w:p w:rsidR="00425758" w:rsidRDefault="00425758">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rsidR="00425758" w:rsidRDefault="00425758">
          <w:pPr>
            <w:pStyle w:val="Header"/>
            <w:spacing w:before="40"/>
          </w:pPr>
          <w:r>
            <w:fldChar w:fldCharType="begin"/>
          </w:r>
          <w:r>
            <w:instrText xml:space="preserve"> styleref CharSDivText </w:instrText>
          </w:r>
          <w:r>
            <w:fldChar w:fldCharType="end"/>
          </w:r>
        </w:p>
      </w:tc>
    </w:tr>
    <w:tr w:rsidR="00425758">
      <w:trPr>
        <w:jc w:val="center"/>
      </w:trPr>
      <w:tc>
        <w:tcPr>
          <w:tcW w:w="1548" w:type="dxa"/>
        </w:tcPr>
        <w:p w:rsidR="00425758" w:rsidRDefault="00425758">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sidR="00FC1D84">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FC1D84">
            <w:rPr>
              <w:b/>
            </w:rPr>
            <w:instrText>1</w:instrText>
          </w:r>
          <w:r>
            <w:rPr>
              <w:b/>
            </w:rPr>
            <w:fldChar w:fldCharType="end"/>
          </w:r>
          <w:r>
            <w:rPr>
              <w:b/>
            </w:rPr>
            <w:instrText xml:space="preserve"> </w:instrText>
          </w:r>
          <w:r>
            <w:rPr>
              <w:b/>
            </w:rPr>
            <w:fldChar w:fldCharType="separate"/>
          </w:r>
          <w:r w:rsidR="00FC1D84">
            <w:rPr>
              <w:b/>
            </w:rPr>
            <w:t>1</w:t>
          </w:r>
          <w:r>
            <w:rPr>
              <w:b/>
            </w:rPr>
            <w:fldChar w:fldCharType="end"/>
          </w:r>
        </w:p>
      </w:tc>
      <w:tc>
        <w:tcPr>
          <w:tcW w:w="5715" w:type="dxa"/>
        </w:tcPr>
        <w:p w:rsidR="00425758" w:rsidRDefault="00425758">
          <w:pPr>
            <w:pStyle w:val="Header"/>
            <w:spacing w:before="40"/>
          </w:pPr>
        </w:p>
      </w:tc>
    </w:tr>
  </w:tbl>
  <w:p w:rsidR="00425758" w:rsidRDefault="00425758">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rsidR="00425758">
      <w:trPr>
        <w:cantSplit/>
        <w:jc w:val="center"/>
      </w:trPr>
      <w:tc>
        <w:tcPr>
          <w:tcW w:w="7272" w:type="dxa"/>
          <w:gridSpan w:val="2"/>
        </w:tcPr>
        <w:p w:rsidR="00425758" w:rsidRDefault="00425758">
          <w:pPr>
            <w:pStyle w:val="Header"/>
            <w:ind w:right="17"/>
            <w:jc w:val="right"/>
          </w:pPr>
          <w:r>
            <w:rPr>
              <w:b/>
              <w:i/>
            </w:rPr>
            <w:fldChar w:fldCharType="begin"/>
          </w:r>
          <w:r>
            <w:rPr>
              <w:b/>
              <w:i/>
            </w:rPr>
            <w:instrText>STYLEREF "Name of Act/Reg"</w:instrText>
          </w:r>
          <w:r>
            <w:rPr>
              <w:b/>
              <w:i/>
            </w:rPr>
            <w:fldChar w:fldCharType="separate"/>
          </w:r>
          <w:r w:rsidR="00FC1D84">
            <w:rPr>
              <w:b/>
              <w:i/>
            </w:rPr>
            <w:t>Rules of the Supreme Court 1971</w:t>
          </w:r>
          <w:r>
            <w:rPr>
              <w:b/>
              <w:i/>
            </w:rPr>
            <w:fldChar w:fldCharType="end"/>
          </w:r>
        </w:p>
      </w:tc>
    </w:tr>
    <w:tr w:rsidR="00425758">
      <w:trPr>
        <w:jc w:val="center"/>
      </w:trPr>
      <w:tc>
        <w:tcPr>
          <w:tcW w:w="5715" w:type="dxa"/>
          <w:vAlign w:val="bottom"/>
        </w:tcPr>
        <w:p w:rsidR="00425758" w:rsidRDefault="00425758">
          <w:pPr>
            <w:pStyle w:val="Header"/>
            <w:spacing w:before="40"/>
            <w:jc w:val="right"/>
          </w:pPr>
          <w:r>
            <w:fldChar w:fldCharType="begin"/>
          </w:r>
          <w:r>
            <w:instrText>styleref CharSchText</w:instrText>
          </w:r>
          <w:r>
            <w:fldChar w:fldCharType="end"/>
          </w:r>
        </w:p>
      </w:tc>
      <w:tc>
        <w:tcPr>
          <w:tcW w:w="1557" w:type="dxa"/>
        </w:tcPr>
        <w:p w:rsidR="00425758" w:rsidRDefault="00425758">
          <w:pPr>
            <w:pStyle w:val="Header"/>
            <w:spacing w:before="40"/>
            <w:ind w:right="17"/>
            <w:jc w:val="right"/>
          </w:pPr>
          <w:r>
            <w:rPr>
              <w:b/>
            </w:rPr>
            <w:fldChar w:fldCharType="begin"/>
          </w:r>
          <w:r>
            <w:rPr>
              <w:b/>
            </w:rPr>
            <w:instrText>styleref CharSchno</w:instrText>
          </w:r>
          <w:r>
            <w:rPr>
              <w:b/>
            </w:rPr>
            <w:fldChar w:fldCharType="end"/>
          </w:r>
        </w:p>
      </w:tc>
    </w:tr>
    <w:tr w:rsidR="00425758">
      <w:trPr>
        <w:jc w:val="center"/>
      </w:trPr>
      <w:tc>
        <w:tcPr>
          <w:tcW w:w="5715" w:type="dxa"/>
          <w:vAlign w:val="bottom"/>
        </w:tcPr>
        <w:p w:rsidR="00425758" w:rsidRDefault="00425758">
          <w:pPr>
            <w:pStyle w:val="Header"/>
            <w:spacing w:before="40"/>
            <w:jc w:val="right"/>
          </w:pPr>
          <w:r>
            <w:fldChar w:fldCharType="begin"/>
          </w:r>
          <w:r>
            <w:instrText xml:space="preserve"> styleref CharSDivText </w:instrText>
          </w:r>
          <w:r>
            <w:fldChar w:fldCharType="end"/>
          </w:r>
        </w:p>
      </w:tc>
      <w:tc>
        <w:tcPr>
          <w:tcW w:w="1557" w:type="dxa"/>
        </w:tcPr>
        <w:p w:rsidR="00425758" w:rsidRDefault="00425758">
          <w:pPr>
            <w:pStyle w:val="Header"/>
            <w:spacing w:before="40"/>
            <w:ind w:right="17"/>
            <w:jc w:val="right"/>
          </w:pPr>
          <w:r>
            <w:rPr>
              <w:b/>
            </w:rPr>
            <w:fldChar w:fldCharType="begin"/>
          </w:r>
          <w:r>
            <w:rPr>
              <w:b/>
            </w:rPr>
            <w:instrText xml:space="preserve"> STYLEREF CharSDivNo \* charformat</w:instrText>
          </w:r>
          <w:r>
            <w:rPr>
              <w:b/>
            </w:rPr>
            <w:fldChar w:fldCharType="end"/>
          </w:r>
        </w:p>
      </w:tc>
    </w:tr>
    <w:tr w:rsidR="00425758">
      <w:trPr>
        <w:jc w:val="center"/>
      </w:trPr>
      <w:tc>
        <w:tcPr>
          <w:tcW w:w="5715" w:type="dxa"/>
        </w:tcPr>
        <w:p w:rsidR="00425758" w:rsidRDefault="00425758">
          <w:pPr>
            <w:pStyle w:val="Header"/>
            <w:spacing w:before="40"/>
            <w:jc w:val="right"/>
          </w:pPr>
        </w:p>
      </w:tc>
      <w:tc>
        <w:tcPr>
          <w:tcW w:w="1557" w:type="dxa"/>
        </w:tcPr>
        <w:p w:rsidR="00425758" w:rsidRDefault="00425758">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sidR="00FC1D84">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FC1D84">
            <w:rPr>
              <w:b/>
            </w:rPr>
            <w:instrText>1</w:instrText>
          </w:r>
          <w:r>
            <w:rPr>
              <w:b/>
            </w:rPr>
            <w:fldChar w:fldCharType="end"/>
          </w:r>
          <w:r>
            <w:rPr>
              <w:b/>
            </w:rPr>
            <w:instrText xml:space="preserve"> </w:instrText>
          </w:r>
          <w:r>
            <w:rPr>
              <w:b/>
            </w:rPr>
            <w:fldChar w:fldCharType="separate"/>
          </w:r>
          <w:r w:rsidR="00FC1D84">
            <w:rPr>
              <w:b/>
            </w:rPr>
            <w:t>1</w:t>
          </w:r>
          <w:r>
            <w:rPr>
              <w:b/>
            </w:rPr>
            <w:fldChar w:fldCharType="end"/>
          </w:r>
        </w:p>
      </w:tc>
    </w:tr>
  </w:tbl>
  <w:p w:rsidR="00425758" w:rsidRDefault="00425758">
    <w:pPr>
      <w:pStyle w:val="Header"/>
      <w:pBdr>
        <w:top w:val="single" w:sz="4" w:space="1" w:color="auto"/>
      </w:pBdr>
    </w:pPr>
    <w:bookmarkStart w:id="1426" w:name="Schedule"/>
    <w:bookmarkEnd w:id="142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5758" w:rsidRDefault="0042575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25758">
      <w:trPr>
        <w:cantSplit/>
        <w:jc w:val="center"/>
      </w:trPr>
      <w:tc>
        <w:tcPr>
          <w:tcW w:w="7263" w:type="dxa"/>
          <w:gridSpan w:val="2"/>
        </w:tcPr>
        <w:p w:rsidR="00425758" w:rsidRDefault="00425758">
          <w:pPr>
            <w:pStyle w:val="Header"/>
          </w:pPr>
          <w:r>
            <w:rPr>
              <w:b/>
              <w:i/>
            </w:rPr>
            <w:fldChar w:fldCharType="begin"/>
          </w:r>
          <w:r>
            <w:rPr>
              <w:b/>
              <w:i/>
            </w:rPr>
            <w:instrText>STYLEREF "Name of Act/Reg"</w:instrText>
          </w:r>
          <w:r>
            <w:rPr>
              <w:b/>
              <w:i/>
            </w:rPr>
            <w:fldChar w:fldCharType="separate"/>
          </w:r>
          <w:r w:rsidR="00FC1D84">
            <w:rPr>
              <w:b/>
              <w:i/>
            </w:rPr>
            <w:t>Rules of the Supreme Court 1971</w:t>
          </w:r>
          <w:r>
            <w:rPr>
              <w:b/>
              <w:i/>
            </w:rPr>
            <w:fldChar w:fldCharType="end"/>
          </w:r>
        </w:p>
      </w:tc>
    </w:tr>
    <w:tr w:rsidR="00425758">
      <w:trPr>
        <w:jc w:val="center"/>
      </w:trPr>
      <w:tc>
        <w:tcPr>
          <w:tcW w:w="1548" w:type="dxa"/>
        </w:tcPr>
        <w:p w:rsidR="00425758" w:rsidRDefault="00425758">
          <w:pPr>
            <w:pStyle w:val="Header"/>
            <w:spacing w:before="40"/>
          </w:pPr>
          <w:r>
            <w:rPr>
              <w:b/>
            </w:rPr>
            <w:fldChar w:fldCharType="begin"/>
          </w:r>
          <w:r>
            <w:rPr>
              <w:b/>
            </w:rPr>
            <w:instrText xml:space="preserve"> styleref CharSchno </w:instrText>
          </w:r>
          <w:r>
            <w:rPr>
              <w:b/>
            </w:rPr>
            <w:fldChar w:fldCharType="separate"/>
          </w:r>
          <w:r w:rsidR="00FC1D84">
            <w:rPr>
              <w:b/>
            </w:rPr>
            <w:t>Schedule 2</w:t>
          </w:r>
          <w:r>
            <w:rPr>
              <w:b/>
            </w:rPr>
            <w:fldChar w:fldCharType="end"/>
          </w:r>
        </w:p>
      </w:tc>
      <w:tc>
        <w:tcPr>
          <w:tcW w:w="5715" w:type="dxa"/>
          <w:vAlign w:val="bottom"/>
        </w:tcPr>
        <w:p w:rsidR="00425758" w:rsidRDefault="00425758">
          <w:pPr>
            <w:pStyle w:val="Header"/>
            <w:spacing w:before="40"/>
          </w:pPr>
          <w:r>
            <w:fldChar w:fldCharType="begin"/>
          </w:r>
          <w:r>
            <w:instrText xml:space="preserve"> styleref CharSchText </w:instrText>
          </w:r>
          <w:r>
            <w:fldChar w:fldCharType="separate"/>
          </w:r>
          <w:r w:rsidR="00FC1D84">
            <w:t>Forms</w:t>
          </w:r>
          <w:r>
            <w:fldChar w:fldCharType="end"/>
          </w:r>
        </w:p>
      </w:tc>
    </w:tr>
    <w:tr w:rsidR="00425758">
      <w:trPr>
        <w:jc w:val="center"/>
      </w:trPr>
      <w:tc>
        <w:tcPr>
          <w:tcW w:w="1548" w:type="dxa"/>
        </w:tcPr>
        <w:p w:rsidR="00425758" w:rsidRDefault="00425758">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rsidR="00425758" w:rsidRDefault="00425758">
          <w:pPr>
            <w:pStyle w:val="Header"/>
            <w:spacing w:before="40"/>
          </w:pPr>
          <w:r>
            <w:fldChar w:fldCharType="begin"/>
          </w:r>
          <w:r>
            <w:instrText xml:space="preserve"> styleref CharSDivText </w:instrText>
          </w:r>
          <w:r>
            <w:fldChar w:fldCharType="end"/>
          </w:r>
        </w:p>
      </w:tc>
    </w:tr>
    <w:tr w:rsidR="00425758">
      <w:trPr>
        <w:jc w:val="center"/>
      </w:trPr>
      <w:tc>
        <w:tcPr>
          <w:tcW w:w="1548" w:type="dxa"/>
        </w:tcPr>
        <w:p w:rsidR="00425758" w:rsidRDefault="00425758">
          <w:pPr>
            <w:pStyle w:val="Header"/>
            <w:spacing w:before="40"/>
          </w:pPr>
        </w:p>
      </w:tc>
      <w:tc>
        <w:tcPr>
          <w:tcW w:w="5715" w:type="dxa"/>
        </w:tcPr>
        <w:p w:rsidR="00425758" w:rsidRDefault="00425758">
          <w:pPr>
            <w:pStyle w:val="Header"/>
            <w:spacing w:before="40"/>
          </w:pPr>
        </w:p>
      </w:tc>
    </w:tr>
  </w:tbl>
  <w:p w:rsidR="00425758" w:rsidRDefault="00425758">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rsidR="00425758">
      <w:trPr>
        <w:cantSplit/>
        <w:jc w:val="center"/>
      </w:trPr>
      <w:tc>
        <w:tcPr>
          <w:tcW w:w="7272" w:type="dxa"/>
          <w:gridSpan w:val="2"/>
        </w:tcPr>
        <w:p w:rsidR="00425758" w:rsidRDefault="00425758">
          <w:pPr>
            <w:pStyle w:val="Header"/>
            <w:ind w:right="17"/>
            <w:jc w:val="right"/>
          </w:pPr>
          <w:r>
            <w:rPr>
              <w:b/>
              <w:i/>
            </w:rPr>
            <w:fldChar w:fldCharType="begin"/>
          </w:r>
          <w:r>
            <w:rPr>
              <w:b/>
              <w:i/>
            </w:rPr>
            <w:instrText>STYLEREF "Name of Act/Reg"</w:instrText>
          </w:r>
          <w:r>
            <w:rPr>
              <w:b/>
              <w:i/>
            </w:rPr>
            <w:fldChar w:fldCharType="separate"/>
          </w:r>
          <w:r w:rsidR="00FC1D84">
            <w:rPr>
              <w:b/>
              <w:i/>
            </w:rPr>
            <w:t>Rules of the Supreme Court 1971</w:t>
          </w:r>
          <w:r>
            <w:rPr>
              <w:b/>
              <w:i/>
            </w:rPr>
            <w:fldChar w:fldCharType="end"/>
          </w:r>
        </w:p>
      </w:tc>
    </w:tr>
    <w:tr w:rsidR="00425758">
      <w:trPr>
        <w:jc w:val="center"/>
      </w:trPr>
      <w:tc>
        <w:tcPr>
          <w:tcW w:w="5715" w:type="dxa"/>
          <w:vAlign w:val="bottom"/>
        </w:tcPr>
        <w:p w:rsidR="00425758" w:rsidRDefault="00425758">
          <w:pPr>
            <w:pStyle w:val="Header"/>
            <w:spacing w:before="40"/>
            <w:jc w:val="right"/>
          </w:pPr>
          <w:r>
            <w:fldChar w:fldCharType="begin"/>
          </w:r>
          <w:r>
            <w:instrText xml:space="preserve"> styleref CharSchText </w:instrText>
          </w:r>
          <w:r>
            <w:fldChar w:fldCharType="separate"/>
          </w:r>
          <w:r w:rsidR="00FC1D84">
            <w:t>Forms</w:t>
          </w:r>
          <w:r>
            <w:fldChar w:fldCharType="end"/>
          </w:r>
        </w:p>
      </w:tc>
      <w:tc>
        <w:tcPr>
          <w:tcW w:w="1557" w:type="dxa"/>
        </w:tcPr>
        <w:p w:rsidR="00425758" w:rsidRDefault="00425758">
          <w:pPr>
            <w:pStyle w:val="Header"/>
            <w:spacing w:before="40"/>
            <w:ind w:right="17"/>
            <w:jc w:val="right"/>
          </w:pPr>
          <w:r>
            <w:rPr>
              <w:b/>
            </w:rPr>
            <w:fldChar w:fldCharType="begin"/>
          </w:r>
          <w:r>
            <w:rPr>
              <w:b/>
            </w:rPr>
            <w:instrText xml:space="preserve"> styleref CharSchno </w:instrText>
          </w:r>
          <w:r>
            <w:rPr>
              <w:b/>
            </w:rPr>
            <w:fldChar w:fldCharType="separate"/>
          </w:r>
          <w:r w:rsidR="00FC1D84">
            <w:rPr>
              <w:b/>
            </w:rPr>
            <w:t>Schedule 2</w:t>
          </w:r>
          <w:r>
            <w:rPr>
              <w:b/>
            </w:rPr>
            <w:fldChar w:fldCharType="end"/>
          </w:r>
        </w:p>
      </w:tc>
    </w:tr>
    <w:tr w:rsidR="00425758">
      <w:trPr>
        <w:jc w:val="center"/>
      </w:trPr>
      <w:tc>
        <w:tcPr>
          <w:tcW w:w="5715" w:type="dxa"/>
          <w:vAlign w:val="bottom"/>
        </w:tcPr>
        <w:p w:rsidR="00425758" w:rsidRDefault="00425758">
          <w:pPr>
            <w:pStyle w:val="Header"/>
            <w:spacing w:before="40"/>
            <w:jc w:val="right"/>
          </w:pPr>
          <w:r>
            <w:fldChar w:fldCharType="begin"/>
          </w:r>
          <w:r>
            <w:instrText xml:space="preserve"> styleref CharSDivText </w:instrText>
          </w:r>
          <w:r>
            <w:fldChar w:fldCharType="end"/>
          </w:r>
        </w:p>
      </w:tc>
      <w:tc>
        <w:tcPr>
          <w:tcW w:w="1557" w:type="dxa"/>
        </w:tcPr>
        <w:p w:rsidR="00425758" w:rsidRDefault="00425758">
          <w:pPr>
            <w:pStyle w:val="Header"/>
            <w:spacing w:before="40"/>
            <w:ind w:right="17"/>
            <w:jc w:val="right"/>
          </w:pPr>
          <w:r>
            <w:rPr>
              <w:b/>
            </w:rPr>
            <w:fldChar w:fldCharType="begin"/>
          </w:r>
          <w:r>
            <w:rPr>
              <w:b/>
            </w:rPr>
            <w:instrText xml:space="preserve"> STYLEREF CharSDivNo \* charformat</w:instrText>
          </w:r>
          <w:r>
            <w:rPr>
              <w:b/>
            </w:rPr>
            <w:fldChar w:fldCharType="end"/>
          </w:r>
        </w:p>
      </w:tc>
    </w:tr>
    <w:tr w:rsidR="00425758">
      <w:trPr>
        <w:jc w:val="center"/>
      </w:trPr>
      <w:tc>
        <w:tcPr>
          <w:tcW w:w="5715" w:type="dxa"/>
        </w:tcPr>
        <w:p w:rsidR="00425758" w:rsidRDefault="00425758">
          <w:pPr>
            <w:pStyle w:val="Header"/>
            <w:spacing w:before="40"/>
            <w:jc w:val="right"/>
          </w:pPr>
        </w:p>
      </w:tc>
      <w:tc>
        <w:tcPr>
          <w:tcW w:w="1557" w:type="dxa"/>
        </w:tcPr>
        <w:p w:rsidR="00425758" w:rsidRDefault="00425758">
          <w:pPr>
            <w:pStyle w:val="Header"/>
            <w:spacing w:before="40"/>
            <w:ind w:right="17"/>
            <w:jc w:val="right"/>
          </w:pPr>
        </w:p>
      </w:tc>
    </w:tr>
  </w:tbl>
  <w:p w:rsidR="00425758" w:rsidRDefault="00425758">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25758">
      <w:trPr>
        <w:cantSplit/>
        <w:jc w:val="center"/>
      </w:trPr>
      <w:tc>
        <w:tcPr>
          <w:tcW w:w="7258" w:type="dxa"/>
          <w:gridSpan w:val="2"/>
        </w:tcPr>
        <w:p w:rsidR="00425758" w:rsidRDefault="00425758">
          <w:pPr>
            <w:pStyle w:val="Header"/>
          </w:pPr>
          <w:r>
            <w:rPr>
              <w:b/>
              <w:i/>
            </w:rPr>
            <w:fldChar w:fldCharType="begin"/>
          </w:r>
          <w:r>
            <w:rPr>
              <w:b/>
              <w:i/>
            </w:rPr>
            <w:instrText xml:space="preserve"> STYLEREF "Name of Act/Reg" </w:instrText>
          </w:r>
          <w:r>
            <w:rPr>
              <w:b/>
              <w:i/>
            </w:rPr>
            <w:fldChar w:fldCharType="separate"/>
          </w:r>
          <w:r w:rsidR="00FC1D84">
            <w:rPr>
              <w:b/>
              <w:i/>
            </w:rPr>
            <w:t>Rules of the Supreme Court 1971</w:t>
          </w:r>
          <w:r>
            <w:rPr>
              <w:b/>
              <w:i/>
            </w:rPr>
            <w:fldChar w:fldCharType="end"/>
          </w:r>
        </w:p>
      </w:tc>
    </w:tr>
    <w:tr w:rsidR="00425758">
      <w:trPr>
        <w:jc w:val="center"/>
      </w:trPr>
      <w:tc>
        <w:tcPr>
          <w:tcW w:w="1548" w:type="dxa"/>
        </w:tcPr>
        <w:p w:rsidR="00425758" w:rsidRDefault="00425758">
          <w:pPr>
            <w:pStyle w:val="Header"/>
            <w:spacing w:before="40"/>
          </w:pPr>
          <w:r>
            <w:rPr>
              <w:b/>
            </w:rPr>
            <w:fldChar w:fldCharType="begin"/>
          </w:r>
          <w:r>
            <w:rPr>
              <w:b/>
            </w:rPr>
            <w:instrText xml:space="preserve"> STYLEREF "nHeading 2" </w:instrText>
          </w:r>
          <w:r>
            <w:rPr>
              <w:b/>
            </w:rPr>
            <w:fldChar w:fldCharType="separate"/>
          </w:r>
          <w:r w:rsidR="00FC1D84">
            <w:rPr>
              <w:b/>
            </w:rPr>
            <w:t>Notes</w:t>
          </w:r>
          <w:r>
            <w:rPr>
              <w:b/>
            </w:rPr>
            <w:fldChar w:fldCharType="end"/>
          </w:r>
        </w:p>
      </w:tc>
      <w:tc>
        <w:tcPr>
          <w:tcW w:w="5715" w:type="dxa"/>
        </w:tcPr>
        <w:p w:rsidR="00425758" w:rsidRDefault="00425758">
          <w:pPr>
            <w:pStyle w:val="Header"/>
            <w:spacing w:before="40"/>
          </w:pPr>
          <w:r>
            <w:fldChar w:fldCharType="begin"/>
          </w:r>
          <w:r>
            <w:instrText xml:space="preserve"> STYLEREF "nHeading 3" </w:instrText>
          </w:r>
          <w:r>
            <w:fldChar w:fldCharType="separate"/>
          </w:r>
          <w:r w:rsidR="00FC1D84">
            <w:t>Compilation table</w:t>
          </w:r>
          <w:r>
            <w:fldChar w:fldCharType="end"/>
          </w:r>
        </w:p>
      </w:tc>
    </w:tr>
    <w:tr w:rsidR="00425758">
      <w:trPr>
        <w:jc w:val="center"/>
      </w:trPr>
      <w:tc>
        <w:tcPr>
          <w:tcW w:w="1548" w:type="dxa"/>
        </w:tcPr>
        <w:p w:rsidR="00425758" w:rsidRDefault="00425758">
          <w:pPr>
            <w:pStyle w:val="Header"/>
            <w:spacing w:before="40"/>
          </w:pPr>
        </w:p>
      </w:tc>
      <w:tc>
        <w:tcPr>
          <w:tcW w:w="5715" w:type="dxa"/>
        </w:tcPr>
        <w:p w:rsidR="00425758" w:rsidRDefault="00425758">
          <w:pPr>
            <w:pStyle w:val="Header"/>
            <w:spacing w:before="40"/>
          </w:pPr>
        </w:p>
      </w:tc>
    </w:tr>
    <w:tr w:rsidR="00425758">
      <w:trPr>
        <w:cantSplit/>
        <w:jc w:val="center"/>
      </w:trPr>
      <w:tc>
        <w:tcPr>
          <w:tcW w:w="7258" w:type="dxa"/>
          <w:gridSpan w:val="2"/>
        </w:tcPr>
        <w:p w:rsidR="00425758" w:rsidRDefault="00425758">
          <w:pPr>
            <w:pStyle w:val="Header"/>
            <w:spacing w:before="40"/>
          </w:pPr>
        </w:p>
      </w:tc>
    </w:tr>
  </w:tbl>
  <w:p w:rsidR="00425758" w:rsidRDefault="00425758">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25758">
      <w:trPr>
        <w:cantSplit/>
        <w:jc w:val="center"/>
      </w:trPr>
      <w:tc>
        <w:tcPr>
          <w:tcW w:w="7258" w:type="dxa"/>
          <w:gridSpan w:val="2"/>
        </w:tcPr>
        <w:p w:rsidR="00425758" w:rsidRDefault="00425758">
          <w:pPr>
            <w:pStyle w:val="Header"/>
            <w:ind w:right="17"/>
            <w:jc w:val="right"/>
          </w:pPr>
          <w:r>
            <w:rPr>
              <w:b/>
              <w:i/>
            </w:rPr>
            <w:fldChar w:fldCharType="begin"/>
          </w:r>
          <w:r>
            <w:rPr>
              <w:b/>
              <w:i/>
            </w:rPr>
            <w:instrText xml:space="preserve"> STYLEREF "Name of Act/Reg" </w:instrText>
          </w:r>
          <w:r>
            <w:rPr>
              <w:b/>
              <w:i/>
            </w:rPr>
            <w:fldChar w:fldCharType="separate"/>
          </w:r>
          <w:r w:rsidR="00FC1D84">
            <w:rPr>
              <w:b/>
              <w:i/>
            </w:rPr>
            <w:t>Rules of the Supreme Court 1971</w:t>
          </w:r>
          <w:r>
            <w:rPr>
              <w:b/>
              <w:i/>
            </w:rPr>
            <w:fldChar w:fldCharType="end"/>
          </w:r>
        </w:p>
      </w:tc>
    </w:tr>
    <w:tr w:rsidR="00425758">
      <w:trPr>
        <w:jc w:val="center"/>
      </w:trPr>
      <w:tc>
        <w:tcPr>
          <w:tcW w:w="5715" w:type="dxa"/>
        </w:tcPr>
        <w:p w:rsidR="00425758" w:rsidRDefault="00425758">
          <w:pPr>
            <w:pStyle w:val="Header"/>
            <w:spacing w:before="40"/>
            <w:jc w:val="right"/>
          </w:pPr>
          <w:r>
            <w:fldChar w:fldCharType="begin"/>
          </w:r>
          <w:r>
            <w:instrText xml:space="preserve"> STYLEREF "nHeading 3" </w:instrText>
          </w:r>
          <w:r>
            <w:fldChar w:fldCharType="separate"/>
          </w:r>
          <w:r w:rsidR="00FC1D84">
            <w:t>Compilation table</w:t>
          </w:r>
          <w:r>
            <w:fldChar w:fldCharType="end"/>
          </w:r>
        </w:p>
      </w:tc>
      <w:tc>
        <w:tcPr>
          <w:tcW w:w="1548" w:type="dxa"/>
        </w:tcPr>
        <w:p w:rsidR="00425758" w:rsidRDefault="00425758">
          <w:pPr>
            <w:pStyle w:val="Header"/>
            <w:spacing w:before="40"/>
            <w:ind w:right="17"/>
            <w:jc w:val="right"/>
          </w:pPr>
          <w:r>
            <w:rPr>
              <w:b/>
            </w:rPr>
            <w:fldChar w:fldCharType="begin"/>
          </w:r>
          <w:r>
            <w:rPr>
              <w:b/>
            </w:rPr>
            <w:instrText xml:space="preserve"> STYLEREF "nHeading 2" </w:instrText>
          </w:r>
          <w:r>
            <w:rPr>
              <w:b/>
            </w:rPr>
            <w:fldChar w:fldCharType="separate"/>
          </w:r>
          <w:r w:rsidR="00FC1D84">
            <w:rPr>
              <w:b/>
            </w:rPr>
            <w:t>Notes</w:t>
          </w:r>
          <w:r>
            <w:rPr>
              <w:b/>
            </w:rPr>
            <w:fldChar w:fldCharType="end"/>
          </w:r>
        </w:p>
      </w:tc>
    </w:tr>
    <w:tr w:rsidR="00425758">
      <w:trPr>
        <w:jc w:val="center"/>
      </w:trPr>
      <w:tc>
        <w:tcPr>
          <w:tcW w:w="5715" w:type="dxa"/>
        </w:tcPr>
        <w:p w:rsidR="00425758" w:rsidRDefault="00425758">
          <w:pPr>
            <w:pStyle w:val="Header"/>
            <w:spacing w:before="40"/>
            <w:jc w:val="right"/>
          </w:pPr>
        </w:p>
      </w:tc>
      <w:tc>
        <w:tcPr>
          <w:tcW w:w="1548" w:type="dxa"/>
        </w:tcPr>
        <w:p w:rsidR="00425758" w:rsidRDefault="00425758">
          <w:pPr>
            <w:pStyle w:val="Header"/>
            <w:spacing w:before="40"/>
            <w:ind w:right="17"/>
            <w:jc w:val="right"/>
          </w:pPr>
        </w:p>
      </w:tc>
    </w:tr>
    <w:tr w:rsidR="00425758">
      <w:trPr>
        <w:cantSplit/>
        <w:jc w:val="center"/>
      </w:trPr>
      <w:tc>
        <w:tcPr>
          <w:tcW w:w="7258" w:type="dxa"/>
          <w:gridSpan w:val="2"/>
        </w:tcPr>
        <w:p w:rsidR="00425758" w:rsidRDefault="00425758">
          <w:pPr>
            <w:pStyle w:val="Header"/>
            <w:spacing w:before="40"/>
            <w:ind w:right="17"/>
            <w:jc w:val="right"/>
          </w:pPr>
        </w:p>
      </w:tc>
    </w:tr>
  </w:tbl>
  <w:p w:rsidR="00425758" w:rsidRDefault="00425758">
    <w:pPr>
      <w:pStyle w:val="Header"/>
      <w:pBdr>
        <w:top w:val="single" w:sz="4" w:space="1" w:color="auto"/>
      </w:pBdr>
    </w:pPr>
    <w:bookmarkStart w:id="1433" w:name="Compilation"/>
    <w:bookmarkEnd w:id="143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612"/>
    </w:tblGrid>
    <w:tr w:rsidR="00425758">
      <w:trPr>
        <w:cantSplit/>
        <w:jc w:val="center"/>
      </w:trPr>
      <w:tc>
        <w:tcPr>
          <w:tcW w:w="7160" w:type="dxa"/>
          <w:gridSpan w:val="2"/>
        </w:tcPr>
        <w:p w:rsidR="00425758" w:rsidRDefault="00425758">
          <w:pPr>
            <w:pStyle w:val="Header"/>
          </w:pPr>
          <w:r>
            <w:rPr>
              <w:b/>
              <w:i/>
            </w:rPr>
            <w:fldChar w:fldCharType="begin"/>
          </w:r>
          <w:r>
            <w:rPr>
              <w:b/>
              <w:i/>
            </w:rPr>
            <w:instrText>Styleref "Name of Act/Reg"</w:instrText>
          </w:r>
          <w:r>
            <w:rPr>
              <w:b/>
              <w:i/>
            </w:rPr>
            <w:fldChar w:fldCharType="separate"/>
          </w:r>
          <w:r w:rsidR="00FC1D84">
            <w:rPr>
              <w:b/>
              <w:i/>
            </w:rPr>
            <w:t>Rules of the Supreme Court 1971</w:t>
          </w:r>
          <w:r>
            <w:rPr>
              <w:b/>
              <w:i/>
            </w:rPr>
            <w:fldChar w:fldCharType="end"/>
          </w:r>
        </w:p>
      </w:tc>
    </w:tr>
    <w:tr w:rsidR="00425758">
      <w:trPr>
        <w:jc w:val="center"/>
      </w:trPr>
      <w:tc>
        <w:tcPr>
          <w:tcW w:w="1548" w:type="dxa"/>
        </w:tcPr>
        <w:p w:rsidR="00425758" w:rsidRDefault="00425758">
          <w:pPr>
            <w:pStyle w:val="Header"/>
            <w:spacing w:before="40"/>
          </w:pPr>
        </w:p>
      </w:tc>
      <w:tc>
        <w:tcPr>
          <w:tcW w:w="5612" w:type="dxa"/>
        </w:tcPr>
        <w:p w:rsidR="00425758" w:rsidRDefault="00425758">
          <w:pPr>
            <w:pStyle w:val="Header"/>
            <w:spacing w:before="40"/>
          </w:pPr>
        </w:p>
      </w:tc>
    </w:tr>
    <w:tr w:rsidR="00425758">
      <w:trPr>
        <w:jc w:val="center"/>
      </w:trPr>
      <w:tc>
        <w:tcPr>
          <w:tcW w:w="1548" w:type="dxa"/>
        </w:tcPr>
        <w:p w:rsidR="00425758" w:rsidRDefault="00425758">
          <w:pPr>
            <w:pStyle w:val="Header"/>
            <w:spacing w:before="40"/>
          </w:pPr>
        </w:p>
      </w:tc>
      <w:tc>
        <w:tcPr>
          <w:tcW w:w="5612" w:type="dxa"/>
        </w:tcPr>
        <w:p w:rsidR="00425758" w:rsidRDefault="00425758">
          <w:pPr>
            <w:pStyle w:val="Header"/>
            <w:spacing w:before="40"/>
          </w:pPr>
        </w:p>
      </w:tc>
    </w:tr>
    <w:tr w:rsidR="00425758">
      <w:trPr>
        <w:cantSplit/>
        <w:jc w:val="center"/>
      </w:trPr>
      <w:tc>
        <w:tcPr>
          <w:tcW w:w="7160" w:type="dxa"/>
          <w:gridSpan w:val="2"/>
        </w:tcPr>
        <w:p w:rsidR="00425758" w:rsidRDefault="00425758">
          <w:pPr>
            <w:pStyle w:val="Header"/>
            <w:spacing w:before="40"/>
          </w:pPr>
          <w:r>
            <w:rPr>
              <w:b/>
            </w:rPr>
            <w:t>Defined terms</w:t>
          </w:r>
        </w:p>
      </w:tc>
    </w:tr>
  </w:tbl>
  <w:p w:rsidR="00425758" w:rsidRDefault="00425758">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400"/>
    </w:tblGrid>
    <w:tr w:rsidR="00425758">
      <w:trPr>
        <w:cantSplit/>
        <w:jc w:val="center"/>
      </w:trPr>
      <w:tc>
        <w:tcPr>
          <w:tcW w:w="7160" w:type="dxa"/>
          <w:gridSpan w:val="2"/>
        </w:tcPr>
        <w:p w:rsidR="00425758" w:rsidRDefault="00425758">
          <w:pPr>
            <w:pStyle w:val="Header"/>
            <w:ind w:right="17"/>
            <w:jc w:val="right"/>
          </w:pPr>
          <w:r>
            <w:rPr>
              <w:b/>
              <w:i/>
            </w:rPr>
            <w:fldChar w:fldCharType="begin"/>
          </w:r>
          <w:r>
            <w:rPr>
              <w:b/>
              <w:i/>
            </w:rPr>
            <w:instrText>Styleref "Name of Act/Reg"</w:instrText>
          </w:r>
          <w:r>
            <w:rPr>
              <w:b/>
              <w:i/>
            </w:rPr>
            <w:fldChar w:fldCharType="separate"/>
          </w:r>
          <w:r w:rsidR="00FC1D84">
            <w:rPr>
              <w:b/>
              <w:i/>
            </w:rPr>
            <w:t>Rules of the Supreme Court 1971</w:t>
          </w:r>
          <w:r>
            <w:rPr>
              <w:b/>
              <w:i/>
            </w:rPr>
            <w:fldChar w:fldCharType="end"/>
          </w:r>
        </w:p>
      </w:tc>
    </w:tr>
    <w:tr w:rsidR="00425758">
      <w:trPr>
        <w:jc w:val="center"/>
      </w:trPr>
      <w:tc>
        <w:tcPr>
          <w:tcW w:w="5760" w:type="dxa"/>
        </w:tcPr>
        <w:p w:rsidR="00425758" w:rsidRDefault="00425758">
          <w:pPr>
            <w:pStyle w:val="Header"/>
            <w:spacing w:before="40"/>
            <w:jc w:val="right"/>
          </w:pPr>
        </w:p>
      </w:tc>
      <w:tc>
        <w:tcPr>
          <w:tcW w:w="1400" w:type="dxa"/>
        </w:tcPr>
        <w:p w:rsidR="00425758" w:rsidRDefault="00425758">
          <w:pPr>
            <w:pStyle w:val="Header"/>
            <w:spacing w:before="40"/>
            <w:ind w:right="17"/>
            <w:jc w:val="right"/>
          </w:pPr>
        </w:p>
      </w:tc>
    </w:tr>
    <w:tr w:rsidR="00425758">
      <w:trPr>
        <w:jc w:val="center"/>
      </w:trPr>
      <w:tc>
        <w:tcPr>
          <w:tcW w:w="5760" w:type="dxa"/>
        </w:tcPr>
        <w:p w:rsidR="00425758" w:rsidRDefault="00425758">
          <w:pPr>
            <w:pStyle w:val="Header"/>
            <w:spacing w:before="40"/>
            <w:jc w:val="right"/>
          </w:pPr>
        </w:p>
      </w:tc>
      <w:tc>
        <w:tcPr>
          <w:tcW w:w="1400" w:type="dxa"/>
        </w:tcPr>
        <w:p w:rsidR="00425758" w:rsidRDefault="00425758">
          <w:pPr>
            <w:pStyle w:val="Header"/>
            <w:spacing w:before="40"/>
            <w:ind w:right="17"/>
            <w:jc w:val="right"/>
          </w:pPr>
        </w:p>
      </w:tc>
    </w:tr>
    <w:tr w:rsidR="00425758">
      <w:trPr>
        <w:cantSplit/>
        <w:jc w:val="center"/>
      </w:trPr>
      <w:tc>
        <w:tcPr>
          <w:tcW w:w="7160" w:type="dxa"/>
          <w:gridSpan w:val="2"/>
        </w:tcPr>
        <w:p w:rsidR="00425758" w:rsidRDefault="00425758">
          <w:pPr>
            <w:pStyle w:val="Header"/>
            <w:spacing w:before="40"/>
            <w:ind w:right="17"/>
            <w:jc w:val="right"/>
          </w:pPr>
          <w:r>
            <w:rPr>
              <w:b/>
            </w:rPr>
            <w:t>Defined terms</w:t>
          </w:r>
        </w:p>
      </w:tc>
    </w:tr>
  </w:tbl>
  <w:p w:rsidR="00425758" w:rsidRDefault="00425758">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5758" w:rsidRDefault="0042575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425758">
      <w:trPr>
        <w:cantSplit/>
        <w:jc w:val="center"/>
      </w:trPr>
      <w:tc>
        <w:tcPr>
          <w:tcW w:w="7263" w:type="dxa"/>
          <w:gridSpan w:val="2"/>
        </w:tcPr>
        <w:p w:rsidR="00425758" w:rsidRDefault="00425758">
          <w:pPr>
            <w:pStyle w:val="Header"/>
          </w:pPr>
          <w:r>
            <w:rPr>
              <w:b/>
              <w:i/>
            </w:rPr>
            <w:fldChar w:fldCharType="begin"/>
          </w:r>
          <w:r>
            <w:rPr>
              <w:b/>
              <w:i/>
            </w:rPr>
            <w:instrText xml:space="preserve"> STYLEREF "Name of Act/Reg" </w:instrText>
          </w:r>
          <w:r>
            <w:rPr>
              <w:b/>
              <w:i/>
            </w:rPr>
            <w:fldChar w:fldCharType="separate"/>
          </w:r>
          <w:r w:rsidR="00FC1D84">
            <w:rPr>
              <w:b/>
              <w:i/>
            </w:rPr>
            <w:t>Rules of the Supreme Court 1971</w:t>
          </w:r>
          <w:r>
            <w:rPr>
              <w:b/>
              <w:i/>
            </w:rPr>
            <w:fldChar w:fldCharType="end"/>
          </w:r>
        </w:p>
      </w:tc>
    </w:tr>
    <w:tr w:rsidR="00425758">
      <w:trPr>
        <w:jc w:val="center"/>
      </w:trPr>
      <w:tc>
        <w:tcPr>
          <w:tcW w:w="1348" w:type="dxa"/>
        </w:tcPr>
        <w:p w:rsidR="00425758" w:rsidRDefault="00425758">
          <w:pPr>
            <w:pStyle w:val="Header"/>
            <w:spacing w:before="40"/>
          </w:pPr>
        </w:p>
      </w:tc>
      <w:tc>
        <w:tcPr>
          <w:tcW w:w="5915" w:type="dxa"/>
        </w:tcPr>
        <w:p w:rsidR="00425758" w:rsidRDefault="00425758">
          <w:pPr>
            <w:pStyle w:val="Header"/>
            <w:spacing w:before="40"/>
          </w:pPr>
        </w:p>
      </w:tc>
    </w:tr>
    <w:tr w:rsidR="00425758">
      <w:trPr>
        <w:jc w:val="center"/>
      </w:trPr>
      <w:tc>
        <w:tcPr>
          <w:tcW w:w="1348" w:type="dxa"/>
        </w:tcPr>
        <w:p w:rsidR="00425758" w:rsidRDefault="00425758">
          <w:pPr>
            <w:pStyle w:val="Header"/>
            <w:spacing w:before="40"/>
          </w:pPr>
        </w:p>
      </w:tc>
      <w:tc>
        <w:tcPr>
          <w:tcW w:w="5915" w:type="dxa"/>
        </w:tcPr>
        <w:p w:rsidR="00425758" w:rsidRDefault="00425758">
          <w:pPr>
            <w:pStyle w:val="Header"/>
            <w:spacing w:before="40"/>
          </w:pPr>
        </w:p>
      </w:tc>
    </w:tr>
    <w:tr w:rsidR="00425758">
      <w:trPr>
        <w:cantSplit/>
        <w:jc w:val="center"/>
      </w:trPr>
      <w:tc>
        <w:tcPr>
          <w:tcW w:w="7263" w:type="dxa"/>
          <w:gridSpan w:val="2"/>
        </w:tcPr>
        <w:p w:rsidR="00425758" w:rsidRDefault="00425758">
          <w:pPr>
            <w:pStyle w:val="Header"/>
            <w:spacing w:before="40"/>
          </w:pPr>
          <w:r>
            <w:t>Defined terms</w:t>
          </w:r>
        </w:p>
      </w:tc>
    </w:tr>
  </w:tbl>
  <w:p w:rsidR="00425758" w:rsidRDefault="00425758">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425758">
      <w:trPr>
        <w:cantSplit/>
        <w:jc w:val="center"/>
      </w:trPr>
      <w:tc>
        <w:tcPr>
          <w:tcW w:w="7263" w:type="dxa"/>
          <w:gridSpan w:val="2"/>
        </w:tcPr>
        <w:p w:rsidR="00425758" w:rsidRDefault="00425758">
          <w:pPr>
            <w:pStyle w:val="Header"/>
            <w:spacing w:before="40"/>
            <w:ind w:right="17"/>
            <w:jc w:val="right"/>
          </w:pPr>
          <w:r>
            <w:rPr>
              <w:b/>
              <w:i/>
            </w:rPr>
            <w:fldChar w:fldCharType="begin"/>
          </w:r>
          <w:r>
            <w:rPr>
              <w:b/>
              <w:i/>
            </w:rPr>
            <w:instrText xml:space="preserve"> STYLEREF "Name of Act/Reg" </w:instrText>
          </w:r>
          <w:r>
            <w:rPr>
              <w:b/>
              <w:i/>
            </w:rPr>
            <w:fldChar w:fldCharType="separate"/>
          </w:r>
          <w:r w:rsidR="00FC1D84">
            <w:rPr>
              <w:b/>
              <w:i/>
            </w:rPr>
            <w:t>Rules of the Supreme Court 1971</w:t>
          </w:r>
          <w:r>
            <w:rPr>
              <w:b/>
              <w:i/>
            </w:rPr>
            <w:fldChar w:fldCharType="end"/>
          </w:r>
        </w:p>
      </w:tc>
    </w:tr>
    <w:tr w:rsidR="00425758">
      <w:trPr>
        <w:jc w:val="center"/>
      </w:trPr>
      <w:tc>
        <w:tcPr>
          <w:tcW w:w="5884" w:type="dxa"/>
        </w:tcPr>
        <w:p w:rsidR="00425758" w:rsidRDefault="00425758">
          <w:pPr>
            <w:pStyle w:val="Header"/>
            <w:spacing w:before="40"/>
            <w:jc w:val="right"/>
          </w:pPr>
        </w:p>
      </w:tc>
      <w:tc>
        <w:tcPr>
          <w:tcW w:w="1379" w:type="dxa"/>
        </w:tcPr>
        <w:p w:rsidR="00425758" w:rsidRDefault="00425758">
          <w:pPr>
            <w:pStyle w:val="Header"/>
            <w:spacing w:before="40"/>
            <w:ind w:right="17"/>
            <w:jc w:val="right"/>
          </w:pPr>
        </w:p>
      </w:tc>
    </w:tr>
    <w:tr w:rsidR="00425758">
      <w:trPr>
        <w:jc w:val="center"/>
      </w:trPr>
      <w:tc>
        <w:tcPr>
          <w:tcW w:w="5884" w:type="dxa"/>
        </w:tcPr>
        <w:p w:rsidR="00425758" w:rsidRDefault="00425758">
          <w:pPr>
            <w:pStyle w:val="Header"/>
            <w:spacing w:before="40"/>
            <w:jc w:val="right"/>
          </w:pPr>
        </w:p>
      </w:tc>
      <w:tc>
        <w:tcPr>
          <w:tcW w:w="1379" w:type="dxa"/>
        </w:tcPr>
        <w:p w:rsidR="00425758" w:rsidRDefault="00425758">
          <w:pPr>
            <w:pStyle w:val="Header"/>
            <w:spacing w:before="40"/>
            <w:ind w:right="17"/>
            <w:jc w:val="right"/>
          </w:pPr>
        </w:p>
      </w:tc>
    </w:tr>
    <w:tr w:rsidR="00425758">
      <w:trPr>
        <w:cantSplit/>
        <w:jc w:val="center"/>
      </w:trPr>
      <w:tc>
        <w:tcPr>
          <w:tcW w:w="7263" w:type="dxa"/>
          <w:gridSpan w:val="2"/>
        </w:tcPr>
        <w:p w:rsidR="00425758" w:rsidRDefault="00425758">
          <w:pPr>
            <w:pStyle w:val="Header"/>
            <w:spacing w:before="40"/>
            <w:ind w:right="17"/>
            <w:jc w:val="right"/>
          </w:pPr>
          <w:r>
            <w:t>Defined terms</w:t>
          </w:r>
        </w:p>
      </w:tc>
    </w:tr>
  </w:tbl>
  <w:p w:rsidR="00425758" w:rsidRDefault="00425758">
    <w:pPr>
      <w:pStyle w:val="Header"/>
      <w:pBdr>
        <w:top w:val="single" w:sz="4" w:space="1" w:color="auto"/>
      </w:pBdr>
    </w:pPr>
    <w:bookmarkStart w:id="1436" w:name="DefinedTerms"/>
    <w:bookmarkEnd w:id="1436"/>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5758" w:rsidRDefault="00425758">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5758" w:rsidRDefault="00425758">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5758" w:rsidRDefault="00425758">
    <w:pPr>
      <w:pStyle w:val="Header"/>
    </w:pPr>
    <w:bookmarkStart w:id="1437" w:name="Coversheet"/>
    <w:bookmarkEnd w:id="14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73076F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23"/>
  </w:num>
  <w:num w:numId="15">
    <w:abstractNumId w:val="10"/>
  </w:num>
  <w:num w:numId="16">
    <w:abstractNumId w:val="20"/>
  </w:num>
  <w:num w:numId="17">
    <w:abstractNumId w:val="11"/>
  </w:num>
  <w:num w:numId="18">
    <w:abstractNumId w:val="12"/>
  </w:num>
  <w:num w:numId="19">
    <w:abstractNumId w:val="14"/>
  </w:num>
  <w:num w:numId="20">
    <w:abstractNumId w:val="18"/>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5105233"/>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 w:name="WAFER_20141218163200" w:val="RemoveTocBookmarks,RunningHeaders"/>
    <w:docVar w:name="WAFER_20141218163200_GUID" w:val="7c9e19e7-da86-4820-bd43-dbe2f468f40e"/>
    <w:docVar w:name="WAFER_20150420141814" w:val="ResetPageSize,UpdateArrangement,UpdateNTable"/>
    <w:docVar w:name="WAFER_20150420141814_GUID" w:val="15105a21-4ef5-4815-9e3e-09ae4c5633d0"/>
    <w:docVar w:name="WAFER_20151113094259" w:val="UpdateStyles"/>
    <w:docVar w:name="WAFER_20151113094259_GUID" w:val="8ac394df-2a34-4d60-948c-f5dd271f3f2c"/>
    <w:docVar w:name="WAFER_20151118094220" w:val="UsedStyles"/>
    <w:docVar w:name="WAFER_20151118094220_GUID" w:val="90ed3d00-ce12-44aa-a7bc-3844ac06e170"/>
    <w:docVar w:name="WAFER_20151118110656" w:val="RemoveTocBookmarks,RemoveUnusedBookmarks,RemoveLanguageTags,UsedStyles,ResetPageSize"/>
    <w:docVar w:name="WAFER_20151118110656_GUID" w:val="a92efaef-204c-4830-be7e-b2012ff7afa3"/>
    <w:docVar w:name="WAFER_20161115161727" w:val="RemoveTocBookmarks,RemoveUnusedBookmarks,RemoveLanguageTags,UsedStyles,ResetPageSize"/>
    <w:docVar w:name="WAFER_20161115161727_GUID" w:val="6dcdb0aa-c383-4e40-b19d-e3807bfe1dfc"/>
    <w:docVar w:name="WAFER_20161221122625" w:val="RemoveTocBookmarks,RemoveUnusedBookmarks,RemoveLanguageTags,UsedStyles,ResetPageSize"/>
    <w:docVar w:name="WAFER_20161221122625_GUID" w:val="bd34510c-14c9-4402-9c5e-f92c5d7ce393"/>
    <w:docVar w:name="WAFER_20171130114852" w:val="RemoveTocBookmarks,RemoveUnusedBookmarks,RemoveLanguageTags,UsedStyles,ResetPageSize"/>
    <w:docVar w:name="WAFER_20171130114852_GUID" w:val="0338c177-8d31-4666-b5ba-9c59f1a6c319"/>
    <w:docVar w:name="WAFER_20180628150936" w:val="RemoveTocBookmarks,RemoveUnusedBookmarks,RemoveLanguageTags,UsedStyles,ResetPageSize"/>
    <w:docVar w:name="WAFER_20180628150936_GUID" w:val="b14babc8-de74-42f1-a45e-2e29f53a3e90"/>
    <w:docVar w:name="WAFER_20180828110351" w:val="RemoveTocBookmarks,RemoveUnusedBookmarks,RemoveLanguageTags,UsedStyles,ResetPageSize"/>
    <w:docVar w:name="WAFER_20180828110351_GUID" w:val="41bc43c1-7dcc-4d82-ad07-8ba7f40f8f12"/>
    <w:docVar w:name="WAFER_20191227133611" w:val="RemoveTocBookmarks,RemoveUnusedBookmarks,RemoveLanguageTags,ResetPageSize,RunningHeaders,UpdateStyles,UsedStyles"/>
    <w:docVar w:name="WAFER_20191227133611_GUID" w:val="b50997a0-9447-4ebb-8a13-d057c6131f32"/>
    <w:docVar w:name="WAFER_2020021110465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650_GUID" w:val="cc5e4d2b-83f7-4338-a803-a6f4ada1843d"/>
    <w:docVar w:name="WAFER_20201126115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6115036_GUID" w:val="37ba5af8-93df-456e-b80b-df9eb6c4c070"/>
    <w:docVar w:name="WAFER_20201214141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4141433_GUID" w:val="e8fa498e-a680-4862-8591-8e2e911c29ea"/>
    <w:docVar w:name="WAFER_20210325104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5104914_GUID" w:val="385a7386-fbbc-4a1b-b66e-54ba08e19cb3"/>
    <w:docVar w:name="WAFER_202104281523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52351_GUID" w:val="18985b60-02d6-4576-aac2-38c87afcb68a"/>
    <w:docVar w:name="WAFER_20210601084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1084353_GUID" w:val="7fa8395b-299c-46a0-81a4-224f3e54e00a"/>
    <w:docVar w:name="WAFER_202106251052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05233_GUID" w:val="7a01c7d7-9589-40ba-ae84-dcaaef07c31e"/>
  </w:docVars>
  <w:rsids>
    <w:rsidRoot w:val="00425758"/>
    <w:rsid w:val="00425758"/>
    <w:rsid w:val="006169FD"/>
    <w:rsid w:val="0066338D"/>
    <w:rsid w:val="007148F1"/>
    <w:rsid w:val="007530EE"/>
    <w:rsid w:val="00C31C4E"/>
    <w:rsid w:val="00D7537E"/>
    <w:rsid w:val="00EA6CCF"/>
    <w:rsid w:val="00FC1D8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9622E67-6812-463B-85E4-52CEC9697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6208D6-93B7-4B19-95B8-CD5D6D7BB1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192782</Words>
  <Characters>881016</Characters>
  <Application>Microsoft Office Word</Application>
  <DocSecurity>0</DocSecurity>
  <Lines>24472</Lines>
  <Paragraphs>14128</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1059670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1971 - 09-ab0-00</dc:title>
  <dc:subject/>
  <dc:creator/>
  <cp:keywords/>
  <dc:description/>
  <cp:lastModifiedBy>Master Repository Process</cp:lastModifiedBy>
  <cp:revision>4</cp:revision>
  <cp:lastPrinted>2021-06-01T04:24:00Z</cp:lastPrinted>
  <dcterms:created xsi:type="dcterms:W3CDTF">2021-06-30T03:54:00Z</dcterms:created>
  <dcterms:modified xsi:type="dcterms:W3CDTF">2021-06-30T03:55:00Z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DocumentType">
    <vt:lpwstr>Reg</vt:lpwstr>
  </property>
  <property fmtid="{D5CDD505-2E9C-101B-9397-08002B2CF9AE}" pid="4" name="OwlsUID">
    <vt:i4>4764</vt:i4>
  </property>
  <property fmtid="{D5CDD505-2E9C-101B-9397-08002B2CF9AE}" pid="5" name="ReprintNo">
    <vt:lpwstr>9</vt:lpwstr>
  </property>
  <property fmtid="{D5CDD505-2E9C-101B-9397-08002B2CF9AE}" pid="6" name="ReprintedAsAt">
    <vt:filetime>2014-04-03T16:00:00Z</vt:filetime>
  </property>
  <property fmtid="{D5CDD505-2E9C-101B-9397-08002B2CF9AE}" pid="7" name="AsAtDate">
    <vt:lpwstr>01 Jul 2021</vt:lpwstr>
  </property>
  <property fmtid="{D5CDD505-2E9C-101B-9397-08002B2CF9AE}" pid="8" name="Suffix">
    <vt:lpwstr>09-ab0-00</vt:lpwstr>
  </property>
  <property fmtid="{D5CDD505-2E9C-101B-9397-08002B2CF9AE}" pid="9" name="CommencementDate">
    <vt:lpwstr>20210701</vt:lpwstr>
  </property>
</Properties>
</file>