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E37" w:rsidRDefault="00FF6E37">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F6E37" w:rsidRDefault="00FF6E37">
      <w:pPr>
        <w:pStyle w:val="PrincipalActRegPage1"/>
      </w:pPr>
      <w:r>
        <w:fldChar w:fldCharType="begin"/>
      </w:r>
      <w:r>
        <w:instrText xml:space="preserve"> STYLEREF "PrincipalAct_Reg"</w:instrText>
      </w:r>
      <w:r>
        <w:fldChar w:fldCharType="separate"/>
      </w:r>
      <w:r w:rsidR="00AA0535">
        <w:rPr>
          <w:noProof/>
        </w:rPr>
        <w:t>Weapons Act 1999</w:t>
      </w:r>
      <w:r>
        <w:fldChar w:fldCharType="end"/>
      </w:r>
    </w:p>
    <w:p w:rsidR="00FF6E37" w:rsidRDefault="00FF6E37">
      <w:pPr>
        <w:pStyle w:val="NameofActRegPage1"/>
        <w:spacing w:before="1800" w:after="4200"/>
        <w:outlineLvl w:val="0"/>
      </w:pPr>
      <w:r>
        <w:fldChar w:fldCharType="begin"/>
      </w:r>
      <w:r>
        <w:instrText xml:space="preserve"> STYLEREF "Name Of Act/Reg"</w:instrText>
      </w:r>
      <w:r>
        <w:fldChar w:fldCharType="separate"/>
      </w:r>
      <w:r w:rsidR="00AA0535">
        <w:rPr>
          <w:noProof/>
        </w:rPr>
        <w:t>Weapons Regulations 1999</w:t>
      </w:r>
      <w:r>
        <w:fldChar w:fldCharType="end"/>
      </w:r>
    </w:p>
    <w:p w:rsidR="00FF6E37" w:rsidRDefault="00FF6E37">
      <w:pPr>
        <w:jc w:val="center"/>
        <w:sectPr w:rsidR="00FF6E3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455957" w:rsidRDefault="00455957">
      <w:pPr>
        <w:pStyle w:val="WA"/>
      </w:pPr>
      <w:r>
        <w:lastRenderedPageBreak/>
        <w:t>Western Australia</w:t>
      </w:r>
    </w:p>
    <w:p w:rsidR="00FF6E37" w:rsidRDefault="00FF6E37">
      <w:pPr>
        <w:pStyle w:val="NameofActRegPage1"/>
      </w:pPr>
      <w:r>
        <w:fldChar w:fldCharType="begin"/>
      </w:r>
      <w:r>
        <w:instrText xml:space="preserve"> STYLEREF "Name Of Act/Reg"</w:instrText>
      </w:r>
      <w:r>
        <w:fldChar w:fldCharType="separate"/>
      </w:r>
      <w:r w:rsidR="00AA0535">
        <w:rPr>
          <w:noProof/>
        </w:rPr>
        <w:t>Weapons Regulations 1999</w:t>
      </w:r>
      <w:r>
        <w:fldChar w:fldCharType="end"/>
      </w:r>
    </w:p>
    <w:p w:rsidR="00FF6E37" w:rsidRDefault="00FF6E37">
      <w:pPr>
        <w:pStyle w:val="Arrangement"/>
      </w:pPr>
      <w:r>
        <w:t>Contents</w:t>
      </w:r>
    </w:p>
    <w:p w:rsidR="00871E21" w:rsidRDefault="00FF6E37">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71E21">
        <w:t>1.</w:t>
      </w:r>
      <w:r w:rsidR="00871E21">
        <w:tab/>
        <w:t>Citation</w:t>
      </w:r>
      <w:r w:rsidR="00871E21">
        <w:tab/>
      </w:r>
      <w:r w:rsidR="00871E21">
        <w:fldChar w:fldCharType="begin"/>
      </w:r>
      <w:r w:rsidR="00871E21">
        <w:instrText xml:space="preserve"> PAGEREF _Toc75961075 \h </w:instrText>
      </w:r>
      <w:r w:rsidR="00871E21">
        <w:fldChar w:fldCharType="separate"/>
      </w:r>
      <w:r w:rsidR="00AA0535">
        <w:t>1</w:t>
      </w:r>
      <w:r w:rsidR="00871E21">
        <w:fldChar w:fldCharType="end"/>
      </w:r>
    </w:p>
    <w:p w:rsidR="00871E21" w:rsidRDefault="00871E21">
      <w:pPr>
        <w:pStyle w:val="TOC8"/>
        <w:rPr>
          <w:rFonts w:asciiTheme="minorHAnsi" w:eastAsiaTheme="minorEastAsia" w:hAnsiTheme="minorHAnsi" w:cstheme="minorBidi"/>
          <w:szCs w:val="22"/>
        </w:rPr>
      </w:pPr>
      <w:r>
        <w:t>2.</w:t>
      </w:r>
      <w:r>
        <w:tab/>
        <w:t>Commencement</w:t>
      </w:r>
      <w:r>
        <w:tab/>
      </w:r>
      <w:r>
        <w:fldChar w:fldCharType="begin"/>
      </w:r>
      <w:r>
        <w:instrText xml:space="preserve"> PAGEREF _Toc75961076 \h </w:instrText>
      </w:r>
      <w:r>
        <w:fldChar w:fldCharType="separate"/>
      </w:r>
      <w:r w:rsidR="00AA0535">
        <w:t>1</w:t>
      </w:r>
      <w:r>
        <w:fldChar w:fldCharType="end"/>
      </w:r>
    </w:p>
    <w:p w:rsidR="00871E21" w:rsidRDefault="00871E21">
      <w:pPr>
        <w:pStyle w:val="TOC8"/>
        <w:rPr>
          <w:rFonts w:asciiTheme="minorHAnsi" w:eastAsiaTheme="minorEastAsia" w:hAnsiTheme="minorHAnsi" w:cstheme="minorBidi"/>
          <w:szCs w:val="22"/>
        </w:rPr>
      </w:pPr>
      <w:r>
        <w:t>3.</w:t>
      </w:r>
      <w:r>
        <w:tab/>
        <w:t>Terms used</w:t>
      </w:r>
      <w:r>
        <w:tab/>
      </w:r>
      <w:r>
        <w:fldChar w:fldCharType="begin"/>
      </w:r>
      <w:r>
        <w:instrText xml:space="preserve"> PAGEREF _Toc75961077 \h </w:instrText>
      </w:r>
      <w:r>
        <w:fldChar w:fldCharType="separate"/>
      </w:r>
      <w:r w:rsidR="00AA0535">
        <w:t>1</w:t>
      </w:r>
      <w:r>
        <w:fldChar w:fldCharType="end"/>
      </w:r>
    </w:p>
    <w:p w:rsidR="00871E21" w:rsidRDefault="00871E21">
      <w:pPr>
        <w:pStyle w:val="TOC8"/>
        <w:rPr>
          <w:rFonts w:asciiTheme="minorHAnsi" w:eastAsiaTheme="minorEastAsia" w:hAnsiTheme="minorHAnsi" w:cstheme="minorBidi"/>
          <w:szCs w:val="22"/>
        </w:rPr>
      </w:pPr>
      <w:r>
        <w:t>4.</w:t>
      </w:r>
      <w:r>
        <w:tab/>
        <w:t>Prohibited weapons prescribed (Act s. 3) (Sch. 1)</w:t>
      </w:r>
      <w:r>
        <w:tab/>
      </w:r>
      <w:r>
        <w:fldChar w:fldCharType="begin"/>
      </w:r>
      <w:r>
        <w:instrText xml:space="preserve"> PAGEREF _Toc75961078 \h </w:instrText>
      </w:r>
      <w:r>
        <w:fldChar w:fldCharType="separate"/>
      </w:r>
      <w:r w:rsidR="00AA0535">
        <w:t>2</w:t>
      </w:r>
      <w:r>
        <w:fldChar w:fldCharType="end"/>
      </w:r>
    </w:p>
    <w:p w:rsidR="00871E21" w:rsidRDefault="00871E21">
      <w:pPr>
        <w:pStyle w:val="TOC8"/>
        <w:rPr>
          <w:rFonts w:asciiTheme="minorHAnsi" w:eastAsiaTheme="minorEastAsia" w:hAnsiTheme="minorHAnsi" w:cstheme="minorBidi"/>
          <w:szCs w:val="22"/>
        </w:rPr>
      </w:pPr>
      <w:r>
        <w:t>5.</w:t>
      </w:r>
      <w:r>
        <w:tab/>
        <w:t>Controlled weapons prescribed (Act s. 3) (Sch. 2)</w:t>
      </w:r>
      <w:r>
        <w:tab/>
      </w:r>
      <w:r>
        <w:fldChar w:fldCharType="begin"/>
      </w:r>
      <w:r>
        <w:instrText xml:space="preserve"> PAGEREF _Toc75961079 \h </w:instrText>
      </w:r>
      <w:r>
        <w:fldChar w:fldCharType="separate"/>
      </w:r>
      <w:r w:rsidR="00AA0535">
        <w:t>2</w:t>
      </w:r>
      <w:r>
        <w:fldChar w:fldCharType="end"/>
      </w:r>
    </w:p>
    <w:p w:rsidR="00871E21" w:rsidRDefault="00871E21">
      <w:pPr>
        <w:pStyle w:val="TOC8"/>
        <w:rPr>
          <w:rFonts w:asciiTheme="minorHAnsi" w:eastAsiaTheme="minorEastAsia" w:hAnsiTheme="minorHAnsi" w:cstheme="minorBidi"/>
          <w:szCs w:val="22"/>
        </w:rPr>
      </w:pPr>
      <w:r>
        <w:t>6.</w:t>
      </w:r>
      <w:r>
        <w:tab/>
        <w:t>Briefcase etc. giving electric shock prescribed (Act s. 7(3) and (4))</w:t>
      </w:r>
      <w:r>
        <w:tab/>
      </w:r>
      <w:r>
        <w:fldChar w:fldCharType="begin"/>
      </w:r>
      <w:r>
        <w:instrText xml:space="preserve"> PAGEREF _Toc75961080 \h </w:instrText>
      </w:r>
      <w:r>
        <w:fldChar w:fldCharType="separate"/>
      </w:r>
      <w:r w:rsidR="00AA0535">
        <w:t>2</w:t>
      </w:r>
      <w:r>
        <w:fldChar w:fldCharType="end"/>
      </w:r>
    </w:p>
    <w:p w:rsidR="00871E21" w:rsidRDefault="00871E21">
      <w:pPr>
        <w:pStyle w:val="TOC8"/>
        <w:rPr>
          <w:rFonts w:asciiTheme="minorHAnsi" w:eastAsiaTheme="minorEastAsia" w:hAnsiTheme="minorHAnsi" w:cstheme="minorBidi"/>
          <w:szCs w:val="22"/>
        </w:rPr>
      </w:pPr>
      <w:r>
        <w:t>7.</w:t>
      </w:r>
      <w:r>
        <w:tab/>
        <w:t>Oleoresin capsicum spray weapon prescribed (Act s. 7(3) and (4))</w:t>
      </w:r>
      <w:r>
        <w:tab/>
      </w:r>
      <w:r>
        <w:fldChar w:fldCharType="begin"/>
      </w:r>
      <w:r>
        <w:instrText xml:space="preserve"> PAGEREF _Toc75961081 \h </w:instrText>
      </w:r>
      <w:r>
        <w:fldChar w:fldCharType="separate"/>
      </w:r>
      <w:r w:rsidR="00AA0535">
        <w:t>3</w:t>
      </w:r>
      <w:r>
        <w:fldChar w:fldCharType="end"/>
      </w:r>
    </w:p>
    <w:p w:rsidR="00871E21" w:rsidRDefault="00871E21">
      <w:pPr>
        <w:pStyle w:val="TOC8"/>
        <w:rPr>
          <w:rFonts w:asciiTheme="minorHAnsi" w:eastAsiaTheme="minorEastAsia" w:hAnsiTheme="minorHAnsi" w:cstheme="minorBidi"/>
          <w:szCs w:val="22"/>
        </w:rPr>
      </w:pPr>
      <w:r>
        <w:t>8.</w:t>
      </w:r>
      <w:r>
        <w:tab/>
        <w:t>Circumstances prescribed (Act s. 10(3))</w:t>
      </w:r>
      <w:r>
        <w:tab/>
      </w:r>
      <w:r>
        <w:fldChar w:fldCharType="begin"/>
      </w:r>
      <w:r>
        <w:instrText xml:space="preserve"> PAGEREF _Toc75961082 \h </w:instrText>
      </w:r>
      <w:r>
        <w:fldChar w:fldCharType="separate"/>
      </w:r>
      <w:r w:rsidR="00AA0535">
        <w:t>3</w:t>
      </w:r>
      <w:r>
        <w:fldChar w:fldCharType="end"/>
      </w:r>
    </w:p>
    <w:p w:rsidR="00871E21" w:rsidRDefault="00871E21">
      <w:pPr>
        <w:pStyle w:val="TOC8"/>
        <w:rPr>
          <w:rFonts w:asciiTheme="minorHAnsi" w:eastAsiaTheme="minorEastAsia" w:hAnsiTheme="minorHAnsi" w:cstheme="minorBidi"/>
          <w:szCs w:val="22"/>
        </w:rPr>
      </w:pPr>
      <w:r>
        <w:t>9.</w:t>
      </w:r>
      <w:r>
        <w:tab/>
        <w:t>Collectors of prohibited weapons, exceptions of from Act s. 6(1)(a)-(c)</w:t>
      </w:r>
      <w:r>
        <w:tab/>
      </w:r>
      <w:r>
        <w:fldChar w:fldCharType="begin"/>
      </w:r>
      <w:r>
        <w:instrText xml:space="preserve"> PAGEREF _Toc75961083 \h </w:instrText>
      </w:r>
      <w:r>
        <w:fldChar w:fldCharType="separate"/>
      </w:r>
      <w:r w:rsidR="00AA0535">
        <w:t>5</w:t>
      </w:r>
      <w:r>
        <w:fldChar w:fldCharType="end"/>
      </w:r>
    </w:p>
    <w:p w:rsidR="00871E21" w:rsidRDefault="00871E21">
      <w:pPr>
        <w:pStyle w:val="TOC8"/>
        <w:rPr>
          <w:rFonts w:asciiTheme="minorHAnsi" w:eastAsiaTheme="minorEastAsia" w:hAnsiTheme="minorHAnsi" w:cstheme="minorBidi"/>
          <w:szCs w:val="22"/>
        </w:rPr>
      </w:pPr>
      <w:r>
        <w:t>10.</w:t>
      </w:r>
      <w:r>
        <w:tab/>
        <w:t>Prison officers etc. excepted from Act s. 6-8</w:t>
      </w:r>
      <w:r>
        <w:tab/>
      </w:r>
      <w:r>
        <w:fldChar w:fldCharType="begin"/>
      </w:r>
      <w:r>
        <w:instrText xml:space="preserve"> PAGEREF _Toc75961084 \h </w:instrText>
      </w:r>
      <w:r>
        <w:fldChar w:fldCharType="separate"/>
      </w:r>
      <w:r w:rsidR="00AA0535">
        <w:t>6</w:t>
      </w:r>
      <w:r>
        <w:fldChar w:fldCharType="end"/>
      </w:r>
    </w:p>
    <w:p w:rsidR="00871E21" w:rsidRDefault="00871E21">
      <w:pPr>
        <w:pStyle w:val="TOC8"/>
        <w:rPr>
          <w:rFonts w:asciiTheme="minorHAnsi" w:eastAsiaTheme="minorEastAsia" w:hAnsiTheme="minorHAnsi" w:cstheme="minorBidi"/>
          <w:szCs w:val="22"/>
        </w:rPr>
      </w:pPr>
      <w:r>
        <w:t>11.</w:t>
      </w:r>
      <w:r>
        <w:tab/>
        <w:t>Blow pipes, certain people excepted from Act s. 6 as to</w:t>
      </w:r>
      <w:r>
        <w:tab/>
      </w:r>
      <w:r>
        <w:fldChar w:fldCharType="begin"/>
      </w:r>
      <w:r>
        <w:instrText xml:space="preserve"> PAGEREF _Toc75961085 \h </w:instrText>
      </w:r>
      <w:r>
        <w:fldChar w:fldCharType="separate"/>
      </w:r>
      <w:r w:rsidR="00AA0535">
        <w:t>7</w:t>
      </w:r>
      <w:r>
        <w:fldChar w:fldCharType="end"/>
      </w:r>
    </w:p>
    <w:p w:rsidR="00871E21" w:rsidRDefault="00871E21">
      <w:pPr>
        <w:pStyle w:val="TOC8"/>
        <w:rPr>
          <w:rFonts w:asciiTheme="minorHAnsi" w:eastAsiaTheme="minorEastAsia" w:hAnsiTheme="minorHAnsi" w:cstheme="minorBidi"/>
          <w:szCs w:val="22"/>
        </w:rPr>
      </w:pPr>
      <w:r>
        <w:t>12.</w:t>
      </w:r>
      <w:r>
        <w:tab/>
        <w:t>Federal and interstate police officers excepted from Act s. 6-8</w:t>
      </w:r>
      <w:r>
        <w:tab/>
      </w:r>
      <w:r>
        <w:fldChar w:fldCharType="begin"/>
      </w:r>
      <w:r>
        <w:instrText xml:space="preserve"> PAGEREF _Toc75961086 \h </w:instrText>
      </w:r>
      <w:r>
        <w:fldChar w:fldCharType="separate"/>
      </w:r>
      <w:r w:rsidR="00AA0535">
        <w:t>8</w:t>
      </w:r>
      <w:r>
        <w:fldChar w:fldCharType="end"/>
      </w:r>
    </w:p>
    <w:p w:rsidR="00871E21" w:rsidRDefault="00871E21">
      <w:pPr>
        <w:pStyle w:val="TOC8"/>
        <w:rPr>
          <w:rFonts w:asciiTheme="minorHAnsi" w:eastAsiaTheme="minorEastAsia" w:hAnsiTheme="minorHAnsi" w:cstheme="minorBidi"/>
          <w:szCs w:val="22"/>
        </w:rPr>
      </w:pPr>
      <w:r>
        <w:t>12A.</w:t>
      </w:r>
      <w:r>
        <w:tab/>
        <w:t>Aviation and maritime security inspectors excepted from Act s. 6, 7 or 8</w:t>
      </w:r>
      <w:r>
        <w:tab/>
      </w:r>
      <w:r>
        <w:fldChar w:fldCharType="begin"/>
      </w:r>
      <w:r>
        <w:instrText xml:space="preserve"> PAGEREF _Toc75961087 \h </w:instrText>
      </w:r>
      <w:r>
        <w:fldChar w:fldCharType="separate"/>
      </w:r>
      <w:r w:rsidR="00AA0535">
        <w:t>8</w:t>
      </w:r>
      <w:r>
        <w:fldChar w:fldCharType="end"/>
      </w:r>
    </w:p>
    <w:p w:rsidR="00871E21" w:rsidRDefault="00871E21">
      <w:pPr>
        <w:pStyle w:val="TOC8"/>
        <w:rPr>
          <w:rFonts w:asciiTheme="minorHAnsi" w:eastAsiaTheme="minorEastAsia" w:hAnsiTheme="minorHAnsi" w:cstheme="minorBidi"/>
          <w:szCs w:val="22"/>
        </w:rPr>
      </w:pPr>
      <w:r>
        <w:t>13.</w:t>
      </w:r>
      <w:r>
        <w:tab/>
        <w:t>Dramatic productions, exceptions from Act s. 6 for people connected with</w:t>
      </w:r>
      <w:r>
        <w:tab/>
      </w:r>
      <w:r>
        <w:fldChar w:fldCharType="begin"/>
      </w:r>
      <w:r>
        <w:instrText xml:space="preserve"> PAGEREF _Toc75961088 \h </w:instrText>
      </w:r>
      <w:r>
        <w:fldChar w:fldCharType="separate"/>
      </w:r>
      <w:r w:rsidR="00AA0535">
        <w:t>9</w:t>
      </w:r>
      <w:r>
        <w:fldChar w:fldCharType="end"/>
      </w:r>
    </w:p>
    <w:p w:rsidR="00871E21" w:rsidRDefault="00871E21">
      <w:pPr>
        <w:pStyle w:val="TOC8"/>
        <w:rPr>
          <w:rFonts w:asciiTheme="minorHAnsi" w:eastAsiaTheme="minorEastAsia" w:hAnsiTheme="minorHAnsi" w:cstheme="minorBidi"/>
          <w:szCs w:val="22"/>
        </w:rPr>
      </w:pPr>
      <w:r>
        <w:t>14.</w:t>
      </w:r>
      <w:r>
        <w:tab/>
        <w:t>Crossbows for competitions etc., excepting people from Act s. 6 in relation to</w:t>
      </w:r>
      <w:r>
        <w:tab/>
      </w:r>
      <w:r>
        <w:fldChar w:fldCharType="begin"/>
      </w:r>
      <w:r>
        <w:instrText xml:space="preserve"> PAGEREF _Toc75961089 \h </w:instrText>
      </w:r>
      <w:r>
        <w:fldChar w:fldCharType="separate"/>
      </w:r>
      <w:r w:rsidR="00AA0535">
        <w:t>11</w:t>
      </w:r>
      <w:r>
        <w:fldChar w:fldCharType="end"/>
      </w:r>
    </w:p>
    <w:p w:rsidR="00871E21" w:rsidRDefault="00871E21">
      <w:pPr>
        <w:pStyle w:val="TOC2"/>
        <w:tabs>
          <w:tab w:val="right" w:leader="dot" w:pos="7077"/>
        </w:tabs>
        <w:rPr>
          <w:rFonts w:asciiTheme="minorHAnsi" w:eastAsiaTheme="minorEastAsia" w:hAnsiTheme="minorHAnsi" w:cstheme="minorBidi"/>
          <w:b w:val="0"/>
          <w:sz w:val="22"/>
          <w:szCs w:val="22"/>
        </w:rPr>
      </w:pPr>
      <w:r>
        <w:lastRenderedPageBreak/>
        <w:t>Schedule 1 — Prohibited weapons</w:t>
      </w:r>
    </w:p>
    <w:p w:rsidR="00871E21" w:rsidRDefault="00871E21">
      <w:pPr>
        <w:pStyle w:val="TOC2"/>
        <w:tabs>
          <w:tab w:val="right" w:leader="dot" w:pos="7077"/>
        </w:tabs>
        <w:rPr>
          <w:rFonts w:asciiTheme="minorHAnsi" w:eastAsiaTheme="minorEastAsia" w:hAnsiTheme="minorHAnsi" w:cstheme="minorBidi"/>
          <w:b w:val="0"/>
          <w:sz w:val="22"/>
          <w:szCs w:val="22"/>
        </w:rPr>
      </w:pPr>
      <w:r>
        <w:t>Schedule 2 — Controlled weapons</w:t>
      </w:r>
    </w:p>
    <w:p w:rsidR="00871E21" w:rsidRDefault="00871E21">
      <w:pPr>
        <w:pStyle w:val="TOC2"/>
        <w:tabs>
          <w:tab w:val="right" w:leader="dot" w:pos="7077"/>
        </w:tabs>
        <w:rPr>
          <w:rFonts w:asciiTheme="minorHAnsi" w:eastAsiaTheme="minorEastAsia" w:hAnsiTheme="minorHAnsi" w:cstheme="minorBidi"/>
          <w:b w:val="0"/>
          <w:sz w:val="22"/>
          <w:szCs w:val="22"/>
        </w:rPr>
      </w:pPr>
      <w:r>
        <w:t>Notes</w:t>
      </w:r>
    </w:p>
    <w:p w:rsidR="00871E21" w:rsidRDefault="00871E21" w:rsidP="00871E21">
      <w:pPr>
        <w:pStyle w:val="TOC8"/>
        <w:rPr>
          <w:rFonts w:asciiTheme="minorHAnsi" w:eastAsiaTheme="minorEastAsia" w:hAnsiTheme="minorHAnsi" w:cstheme="minorBidi"/>
          <w:szCs w:val="22"/>
        </w:rPr>
      </w:pPr>
      <w:r>
        <w:tab/>
        <w:t>Compilation table</w:t>
      </w:r>
      <w:r>
        <w:tab/>
      </w:r>
      <w:r>
        <w:fldChar w:fldCharType="begin"/>
      </w:r>
      <w:r>
        <w:instrText xml:space="preserve"> PAGEREF _Toc75961093 \h </w:instrText>
      </w:r>
      <w:r>
        <w:fldChar w:fldCharType="separate"/>
      </w:r>
      <w:r w:rsidR="00AA0535">
        <w:t>20</w:t>
      </w:r>
      <w:r>
        <w:fldChar w:fldCharType="end"/>
      </w:r>
    </w:p>
    <w:p w:rsidR="00871E21" w:rsidRDefault="00871E21">
      <w:pPr>
        <w:pStyle w:val="TOC2"/>
        <w:tabs>
          <w:tab w:val="right" w:leader="dot" w:pos="7077"/>
        </w:tabs>
        <w:rPr>
          <w:rFonts w:asciiTheme="minorHAnsi" w:eastAsiaTheme="minorEastAsia" w:hAnsiTheme="minorHAnsi" w:cstheme="minorBidi"/>
          <w:b w:val="0"/>
          <w:sz w:val="22"/>
          <w:szCs w:val="22"/>
        </w:rPr>
      </w:pPr>
      <w:r>
        <w:t>Defined terms</w:t>
      </w:r>
    </w:p>
    <w:p w:rsidR="00FF6E37" w:rsidRDefault="00FF6E3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F6E37" w:rsidRDefault="00FF6E37">
      <w:pPr>
        <w:pStyle w:val="NoteHeading"/>
        <w:sectPr w:rsidR="00FF6E3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455957" w:rsidRDefault="00455957">
      <w:pPr>
        <w:pStyle w:val="WA"/>
      </w:pPr>
      <w:r>
        <w:lastRenderedPageBreak/>
        <w:t>Western Australia</w:t>
      </w:r>
    </w:p>
    <w:p w:rsidR="00FF6E37" w:rsidRDefault="00FF6E37">
      <w:pPr>
        <w:pStyle w:val="PrincipalActReg"/>
        <w:spacing w:after="720"/>
      </w:pPr>
      <w:r>
        <w:t>Weapons Act 1999</w:t>
      </w:r>
    </w:p>
    <w:p w:rsidR="00FF6E37" w:rsidRDefault="00FF6E37">
      <w:pPr>
        <w:pStyle w:val="NameofActReg"/>
        <w:spacing w:after="720"/>
      </w:pPr>
      <w:r>
        <w:t>Weapons Regulations 1999</w:t>
      </w:r>
    </w:p>
    <w:p w:rsidR="00FF6E37" w:rsidRDefault="00FF6E37">
      <w:pPr>
        <w:pStyle w:val="Heading5"/>
        <w:spacing w:before="240"/>
      </w:pPr>
      <w:bookmarkStart w:id="3" w:name="_Toc75961075"/>
      <w:r>
        <w:rPr>
          <w:rStyle w:val="CharSectno"/>
        </w:rPr>
        <w:t>1</w:t>
      </w:r>
      <w:r>
        <w:t>.</w:t>
      </w:r>
      <w:r>
        <w:tab/>
        <w:t>Citation</w:t>
      </w:r>
      <w:bookmarkEnd w:id="3"/>
    </w:p>
    <w:p w:rsidR="00FF6E37" w:rsidRDefault="00FF6E37">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rsidR="00FF6E37" w:rsidRDefault="00FF6E37">
      <w:pPr>
        <w:pStyle w:val="Heading5"/>
        <w:spacing w:before="240"/>
      </w:pPr>
      <w:bookmarkStart w:id="4" w:name="_Toc75961076"/>
      <w:r>
        <w:rPr>
          <w:rStyle w:val="CharSectno"/>
        </w:rPr>
        <w:t>2</w:t>
      </w:r>
      <w:r>
        <w:t>.</w:t>
      </w:r>
      <w:r>
        <w:tab/>
        <w:t>Commencement</w:t>
      </w:r>
      <w:bookmarkEnd w:id="4"/>
    </w:p>
    <w:p w:rsidR="00FF6E37" w:rsidRDefault="00FF6E37">
      <w:pPr>
        <w:pStyle w:val="Subsection"/>
        <w:spacing w:before="180"/>
      </w:pPr>
      <w:r>
        <w:tab/>
      </w:r>
      <w:r>
        <w:tab/>
        <w:t>These regulations come into operation on the day fixed by proclamation under section 2(1) of the Act </w:t>
      </w:r>
      <w:r>
        <w:rPr>
          <w:vertAlign w:val="superscript"/>
        </w:rPr>
        <w:t>1</w:t>
      </w:r>
      <w:r>
        <w:t>.</w:t>
      </w:r>
    </w:p>
    <w:p w:rsidR="00FF6E37" w:rsidRDefault="00FF6E37">
      <w:pPr>
        <w:pStyle w:val="Heading5"/>
        <w:spacing w:before="240"/>
      </w:pPr>
      <w:bookmarkStart w:id="5" w:name="_Toc75961077"/>
      <w:r>
        <w:rPr>
          <w:rStyle w:val="CharSectno"/>
        </w:rPr>
        <w:t>3</w:t>
      </w:r>
      <w:r>
        <w:t>.</w:t>
      </w:r>
      <w:r>
        <w:tab/>
        <w:t>Terms used</w:t>
      </w:r>
      <w:bookmarkEnd w:id="5"/>
    </w:p>
    <w:p w:rsidR="00FF6E37" w:rsidRDefault="00FF6E37">
      <w:pPr>
        <w:pStyle w:val="Subsection"/>
        <w:spacing w:before="180"/>
      </w:pPr>
      <w:r>
        <w:tab/>
      </w:r>
      <w:r>
        <w:tab/>
        <w:t>In these regulations, unless the contrary intention appears —</w:t>
      </w:r>
    </w:p>
    <w:p w:rsidR="00FF6E37" w:rsidRDefault="00FF6E37">
      <w:pPr>
        <w:pStyle w:val="Defstart"/>
      </w:pPr>
      <w:r>
        <w:tab/>
      </w:r>
      <w:r>
        <w:rPr>
          <w:rStyle w:val="CharDefText"/>
        </w:rPr>
        <w:t>approved electric shock case</w:t>
      </w:r>
      <w:r>
        <w:t xml:space="preserve"> means a briefcase or suitcase referred to in regulation 6(1);</w:t>
      </w:r>
    </w:p>
    <w:p w:rsidR="00FF6E37" w:rsidRDefault="00FF6E37">
      <w:pPr>
        <w:pStyle w:val="Defstart"/>
      </w:pPr>
      <w:r>
        <w:tab/>
      </w:r>
      <w:r>
        <w:rPr>
          <w:rStyle w:val="CharDefText"/>
        </w:rPr>
        <w:t>baton</w:t>
      </w:r>
      <w:r>
        <w:t xml:space="preserve"> means a short stick or rod —</w:t>
      </w:r>
    </w:p>
    <w:p w:rsidR="00FF6E37" w:rsidRDefault="00FF6E37">
      <w:pPr>
        <w:pStyle w:val="Defpara"/>
      </w:pPr>
      <w:r>
        <w:tab/>
        <w:t>(a)</w:t>
      </w:r>
      <w:r>
        <w:tab/>
        <w:t>made of any material; and</w:t>
      </w:r>
    </w:p>
    <w:p w:rsidR="00FF6E37" w:rsidRDefault="00FF6E37">
      <w:pPr>
        <w:pStyle w:val="Defpara"/>
        <w:keepNext/>
        <w:keepLines/>
      </w:pPr>
      <w:r>
        <w:tab/>
        <w:t>(b)</w:t>
      </w:r>
      <w:r>
        <w:tab/>
        <w:t>made or modified to be used to injure or disable a person or as a martial arts weapon,</w:t>
      </w:r>
    </w:p>
    <w:p w:rsidR="00FF6E37" w:rsidRDefault="00FF6E37">
      <w:pPr>
        <w:pStyle w:val="Defstart"/>
        <w:keepLines/>
      </w:pPr>
      <w:r>
        <w:tab/>
        <w:t>and includes a bludgeon, club, cudgel, truncheon or the article commonly known as the police nightstick;</w:t>
      </w:r>
    </w:p>
    <w:p w:rsidR="00FF6E37" w:rsidRDefault="00FF6E37">
      <w:pPr>
        <w:pStyle w:val="Defstart"/>
      </w:pPr>
      <w:r>
        <w:tab/>
      </w:r>
      <w:r>
        <w:rPr>
          <w:rStyle w:val="CharDefText"/>
        </w:rPr>
        <w:t>catapult</w:t>
      </w:r>
      <w:r>
        <w:t xml:space="preserve"> includes a ging, shanghai or slingshot;</w:t>
      </w:r>
    </w:p>
    <w:p w:rsidR="00FF6E37" w:rsidRDefault="00FF6E37">
      <w:pPr>
        <w:pStyle w:val="Defstart"/>
      </w:pPr>
      <w:r>
        <w:tab/>
      </w:r>
      <w:r>
        <w:rPr>
          <w:rStyle w:val="CharDefText"/>
        </w:rPr>
        <w:t>discharge</w:t>
      </w:r>
      <w:r>
        <w:t xml:space="preserve"> includes to propel;</w:t>
      </w:r>
    </w:p>
    <w:p w:rsidR="00FF6E37" w:rsidRDefault="00FF6E37">
      <w:pPr>
        <w:pStyle w:val="Defstart"/>
      </w:pPr>
      <w:r>
        <w:tab/>
      </w:r>
      <w:r>
        <w:rPr>
          <w:rStyle w:val="CharDefText"/>
        </w:rPr>
        <w:t>injure or disable</w:t>
      </w:r>
      <w:r>
        <w:t xml:space="preserve"> does not include administer, in good faith and with reasonable care and skill, surgical or medical treatment;</w:t>
      </w:r>
    </w:p>
    <w:p w:rsidR="00FF6E37" w:rsidRDefault="00FF6E37">
      <w:pPr>
        <w:pStyle w:val="Defstart"/>
      </w:pPr>
      <w:r>
        <w:lastRenderedPageBreak/>
        <w:tab/>
      </w:r>
      <w:r>
        <w:rPr>
          <w:rStyle w:val="CharDefText"/>
        </w:rPr>
        <w:t>martial arts weapon</w:t>
      </w:r>
      <w:r>
        <w:t xml:space="preserve"> means an article made or modified to be used for attack or defence in the practice of a martial sport, art or similar discipline;</w:t>
      </w:r>
    </w:p>
    <w:p w:rsidR="00FF6E37" w:rsidRDefault="00FF6E37">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rsidR="00FF6E37" w:rsidRDefault="00FF6E37">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rsidR="00FF6E37" w:rsidRDefault="00FF6E37">
      <w:pPr>
        <w:pStyle w:val="Heading5"/>
      </w:pPr>
      <w:bookmarkStart w:id="6" w:name="_Toc75961078"/>
      <w:r>
        <w:rPr>
          <w:rStyle w:val="CharSectno"/>
        </w:rPr>
        <w:t>4</w:t>
      </w:r>
      <w:r>
        <w:t>.</w:t>
      </w:r>
      <w:r>
        <w:tab/>
        <w:t>Prohibited weapons prescribed (Act s. 3) (Sch. 1)</w:t>
      </w:r>
      <w:bookmarkEnd w:id="6"/>
    </w:p>
    <w:p w:rsidR="00FF6E37" w:rsidRDefault="00FF6E37">
      <w:pPr>
        <w:pStyle w:val="Subsection"/>
      </w:pPr>
      <w:r>
        <w:tab/>
      </w:r>
      <w:r>
        <w:tab/>
        <w:t>An article described in the third column of Schedule 1 is prescribed to be a prohibited weapon.</w:t>
      </w:r>
    </w:p>
    <w:p w:rsidR="00FF6E37" w:rsidRDefault="00FF6E37">
      <w:pPr>
        <w:pStyle w:val="Heading5"/>
      </w:pPr>
      <w:bookmarkStart w:id="7" w:name="_Toc75961079"/>
      <w:r>
        <w:rPr>
          <w:rStyle w:val="CharSectno"/>
        </w:rPr>
        <w:t>5</w:t>
      </w:r>
      <w:r>
        <w:t>.</w:t>
      </w:r>
      <w:r>
        <w:tab/>
        <w:t>Controlled weapons prescribed (Act s. 3) (Sch. 2)</w:t>
      </w:r>
      <w:bookmarkEnd w:id="7"/>
    </w:p>
    <w:p w:rsidR="00FF6E37" w:rsidRDefault="00FF6E37">
      <w:pPr>
        <w:pStyle w:val="Subsection"/>
      </w:pPr>
      <w:r>
        <w:tab/>
      </w:r>
      <w:r>
        <w:tab/>
        <w:t>An article described in the third column of Schedule 2 is prescribed to be a controlled weapon.</w:t>
      </w:r>
    </w:p>
    <w:p w:rsidR="00FF6E37" w:rsidRDefault="00FF6E37">
      <w:pPr>
        <w:pStyle w:val="Heading5"/>
      </w:pPr>
      <w:bookmarkStart w:id="8" w:name="_Toc75961080"/>
      <w:r>
        <w:rPr>
          <w:rStyle w:val="CharSectno"/>
        </w:rPr>
        <w:t>6</w:t>
      </w:r>
      <w:r>
        <w:t>.</w:t>
      </w:r>
      <w:r>
        <w:tab/>
        <w:t>Briefcase etc. giving electric shock prescribed (Act s. 7(3) and (4))</w:t>
      </w:r>
      <w:bookmarkEnd w:id="8"/>
    </w:p>
    <w:p w:rsidR="00FF6E37" w:rsidRDefault="00FF6E37">
      <w:pPr>
        <w:pStyle w:val="Subsection"/>
      </w:pPr>
      <w:r>
        <w:tab/>
        <w:t>(1)</w:t>
      </w:r>
      <w:r>
        <w:tab/>
        <w:t>A briefcase or suitcase —</w:t>
      </w:r>
    </w:p>
    <w:p w:rsidR="00FF6E37" w:rsidRDefault="00FF6E37">
      <w:pPr>
        <w:pStyle w:val="Indenta"/>
      </w:pPr>
      <w:r>
        <w:tab/>
        <w:t>(a)</w:t>
      </w:r>
      <w:r>
        <w:tab/>
        <w:t>made or modified to discharge an electric current so as to deter the theft of the case; and</w:t>
      </w:r>
    </w:p>
    <w:p w:rsidR="00FF6E37" w:rsidRDefault="00FF6E37">
      <w:pPr>
        <w:pStyle w:val="Indenta"/>
        <w:keepNext/>
      </w:pPr>
      <w:r>
        <w:tab/>
        <w:t>(b)</w:t>
      </w:r>
      <w:r>
        <w:tab/>
        <w:t xml:space="preserve">that is, or is of a standard or type that is, approved by the Minister, for the purposes of this regulation, by notice in the </w:t>
      </w:r>
      <w:r>
        <w:rPr>
          <w:i/>
        </w:rPr>
        <w:t>Government Gazette</w:t>
      </w:r>
      <w:r>
        <w:t>,</w:t>
      </w:r>
    </w:p>
    <w:p w:rsidR="00FF6E37" w:rsidRDefault="00FF6E37">
      <w:pPr>
        <w:pStyle w:val="Subsection"/>
      </w:pPr>
      <w:r>
        <w:tab/>
      </w:r>
      <w:r>
        <w:tab/>
        <w:t>is prescribed for the purposes of section 7(4) of the Act.</w:t>
      </w:r>
    </w:p>
    <w:p w:rsidR="00FF6E37" w:rsidRDefault="00FF6E37">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rsidR="00FF6E37" w:rsidRDefault="00FF6E37">
      <w:pPr>
        <w:pStyle w:val="Heading5"/>
      </w:pPr>
      <w:bookmarkStart w:id="9" w:name="_Toc75961081"/>
      <w:r>
        <w:rPr>
          <w:rStyle w:val="CharSectno"/>
        </w:rPr>
        <w:lastRenderedPageBreak/>
        <w:t>7</w:t>
      </w:r>
      <w:r>
        <w:t>.</w:t>
      </w:r>
      <w:r>
        <w:tab/>
        <w:t>Oleoresin capsicum spray weapon prescribed (Act s. 7(3) and (4))</w:t>
      </w:r>
      <w:bookmarkEnd w:id="9"/>
    </w:p>
    <w:p w:rsidR="00FF6E37" w:rsidRDefault="00FF6E37">
      <w:pPr>
        <w:pStyle w:val="Subsection"/>
      </w:pPr>
      <w:r>
        <w:tab/>
        <w:t>(1)</w:t>
      </w:r>
      <w:r>
        <w:tab/>
        <w:t>A spray weapon made or modified to be used to discharge oleoresin capsicum is prescribed for the purposes of section 7(4) of the Act.</w:t>
      </w:r>
    </w:p>
    <w:p w:rsidR="00FF6E37" w:rsidRDefault="00FF6E37">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FF6E37" w:rsidRDefault="00FF6E37">
      <w:pPr>
        <w:pStyle w:val="Heading5"/>
      </w:pPr>
      <w:bookmarkStart w:id="10" w:name="_Toc75961082"/>
      <w:r>
        <w:rPr>
          <w:rStyle w:val="CharSectno"/>
        </w:rPr>
        <w:t>8</w:t>
      </w:r>
      <w:r>
        <w:t>.</w:t>
      </w:r>
      <w:r>
        <w:tab/>
        <w:t>Circumstances prescribed (Act s. 10(3))</w:t>
      </w:r>
      <w:bookmarkEnd w:id="10"/>
    </w:p>
    <w:p w:rsidR="00FF6E37" w:rsidRDefault="00FF6E37">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FF6E37" w:rsidRDefault="00FF6E37">
      <w:pPr>
        <w:pStyle w:val="Indenta"/>
      </w:pPr>
      <w:r>
        <w:tab/>
        <w:t>(a)</w:t>
      </w:r>
      <w:r>
        <w:tab/>
        <w:t>the person is engaged in activities authorised by his or her licence; and</w:t>
      </w:r>
    </w:p>
    <w:p w:rsidR="00FF6E37" w:rsidRDefault="00FF6E37">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FF6E37" w:rsidRDefault="00FF6E37">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FF6E37" w:rsidRDefault="00FF6E37">
      <w:pPr>
        <w:pStyle w:val="Subsection"/>
      </w:pPr>
      <w:r>
        <w:tab/>
        <w:t>(1a)</w:t>
      </w:r>
      <w:r>
        <w:tab/>
        <w:t xml:space="preserve">For the purposes of section 10(3), prescribed circumstances are the carrying or possession of an extendable baton by a person who — </w:t>
      </w:r>
    </w:p>
    <w:p w:rsidR="00FF6E37" w:rsidRDefault="00FF6E37">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rsidR="00FF6E37" w:rsidRDefault="00FF6E37">
      <w:pPr>
        <w:pStyle w:val="Indenti"/>
      </w:pPr>
      <w:r>
        <w:lastRenderedPageBreak/>
        <w:tab/>
        <w:t>(i)</w:t>
      </w:r>
      <w:r>
        <w:tab/>
        <w:t>as required by the holder of a security officer’s licence to obtain an endorsement under section 26 of that Act;</w:t>
      </w:r>
      <w:r>
        <w:rPr>
          <w:i/>
          <w:iCs/>
        </w:rPr>
        <w:t xml:space="preserve"> </w:t>
      </w:r>
      <w:r>
        <w:t>or</w:t>
      </w:r>
    </w:p>
    <w:p w:rsidR="00FF6E37" w:rsidRDefault="00FF6E37">
      <w:pPr>
        <w:pStyle w:val="Indenti"/>
      </w:pPr>
      <w:r>
        <w:tab/>
        <w:t>(ii)</w:t>
      </w:r>
      <w:r>
        <w:tab/>
        <w:t>for a person undergoing a training course in baton use under that Act for the purposes of having or keeping a security officer’s licence with an endorsement under section 26 of that Act;</w:t>
      </w:r>
    </w:p>
    <w:p w:rsidR="00FF6E37" w:rsidRDefault="00FF6E37">
      <w:pPr>
        <w:pStyle w:val="Indenta"/>
      </w:pPr>
      <w:r>
        <w:tab/>
      </w:r>
      <w:r>
        <w:tab/>
        <w:t>or</w:t>
      </w:r>
    </w:p>
    <w:p w:rsidR="00FF6E37" w:rsidRDefault="00FF6E37">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rsidR="00FF6E37" w:rsidRDefault="00FF6E37">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FF6E37" w:rsidRDefault="00FF6E37">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rsidR="00FF6E37" w:rsidRDefault="00FF6E37">
      <w:pPr>
        <w:pStyle w:val="Indenta"/>
      </w:pPr>
      <w:r>
        <w:tab/>
        <w:t>(a)</w:t>
      </w:r>
      <w:r>
        <w:tab/>
        <w:t>is the holder of a security officer’s licence but is seeking an endorsement under section 26 of that Act; or</w:t>
      </w:r>
    </w:p>
    <w:p w:rsidR="00FF6E37" w:rsidRDefault="00FF6E37">
      <w:pPr>
        <w:pStyle w:val="Indenta"/>
        <w:spacing w:before="60"/>
      </w:pPr>
      <w:r>
        <w:tab/>
        <w:t>(b)</w:t>
      </w:r>
      <w:r>
        <w:tab/>
        <w:t>is undergoing that course for the purposes of having or keeping a security officer’s licence with an endorsement under section 26 of that Act,</w:t>
      </w:r>
    </w:p>
    <w:p w:rsidR="00FF6E37" w:rsidRDefault="00FF6E37">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FF6E37" w:rsidRDefault="00FF6E37">
      <w:pPr>
        <w:pStyle w:val="Subsection"/>
      </w:pPr>
      <w:r>
        <w:tab/>
        <w:t>(2)</w:t>
      </w:r>
      <w:r>
        <w:tab/>
        <w:t>In this regulation —</w:t>
      </w:r>
    </w:p>
    <w:p w:rsidR="00FF6E37" w:rsidRDefault="00FF6E37">
      <w:pPr>
        <w:pStyle w:val="Defstart"/>
      </w:pPr>
      <w:r>
        <w:tab/>
      </w:r>
      <w:r>
        <w:rPr>
          <w:rStyle w:val="CharDefText"/>
        </w:rPr>
        <w:t>extendable baton</w:t>
      </w:r>
      <w:r>
        <w:t xml:space="preserve"> means a baton referred to in Schedule 1 item 10.</w:t>
      </w:r>
    </w:p>
    <w:p w:rsidR="00FF6E37" w:rsidRDefault="00FF6E37">
      <w:pPr>
        <w:pStyle w:val="Footnotesection"/>
      </w:pPr>
      <w:r>
        <w:lastRenderedPageBreak/>
        <w:tab/>
        <w:t>[Regulation 8 inserted: Gazette 29 Feb 2000 p. 997</w:t>
      </w:r>
      <w:r>
        <w:noBreakHyphen/>
        <w:t>8; amended: Gazette 9 Jun 2000 p. 2774; 12 Sep 2006 p. 3665</w:t>
      </w:r>
      <w:r>
        <w:noBreakHyphen/>
        <w:t>6.]</w:t>
      </w:r>
    </w:p>
    <w:p w:rsidR="00FF6E37" w:rsidRDefault="00FF6E37">
      <w:pPr>
        <w:pStyle w:val="Heading5"/>
      </w:pPr>
      <w:bookmarkStart w:id="11" w:name="_Toc75961083"/>
      <w:r>
        <w:rPr>
          <w:rStyle w:val="CharSectno"/>
        </w:rPr>
        <w:t>9</w:t>
      </w:r>
      <w:r>
        <w:t>.</w:t>
      </w:r>
      <w:r>
        <w:tab/>
        <w:t>Collectors of prohibited weapons, exceptions of from Act s. 6(1)(a)-(c)</w:t>
      </w:r>
      <w:bookmarkEnd w:id="11"/>
    </w:p>
    <w:p w:rsidR="00FF6E37" w:rsidRDefault="00FF6E37">
      <w:pPr>
        <w:pStyle w:val="Subsection"/>
      </w:pPr>
      <w:r>
        <w:tab/>
        <w:t>(1)</w:t>
      </w:r>
      <w:r>
        <w:tab/>
        <w:t>An exempt collector or any other person who, for the purpose of adding to an exempt collector’s private collection —</w:t>
      </w:r>
    </w:p>
    <w:p w:rsidR="00FF6E37" w:rsidRDefault="00FF6E37">
      <w:pPr>
        <w:pStyle w:val="Indenta"/>
      </w:pPr>
      <w:r>
        <w:tab/>
        <w:t>(a)</w:t>
      </w:r>
      <w:r>
        <w:tab/>
        <w:t>brings or sends into the State a specified prohibited weapon; or</w:t>
      </w:r>
    </w:p>
    <w:p w:rsidR="00FF6E37" w:rsidRDefault="00FF6E37">
      <w:pPr>
        <w:pStyle w:val="Indenta"/>
      </w:pPr>
      <w:r>
        <w:tab/>
        <w:t>(b)</w:t>
      </w:r>
      <w:r>
        <w:tab/>
        <w:t>purchases a specified prohibited weapon from a person who is lawfully entitled to sell the weapon,</w:t>
      </w:r>
    </w:p>
    <w:p w:rsidR="00FF6E37" w:rsidRDefault="00FF6E37">
      <w:pPr>
        <w:pStyle w:val="Subsection"/>
      </w:pPr>
      <w:r>
        <w:tab/>
      </w:r>
      <w:r>
        <w:tab/>
        <w:t>does not commit an offence under section 6(1)(a) or (c) of the Act.</w:t>
      </w:r>
    </w:p>
    <w:p w:rsidR="00FF6E37" w:rsidRDefault="00FF6E37">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FF6E37" w:rsidRDefault="00FF6E37">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FF6E37" w:rsidRDefault="00FF6E37">
      <w:pPr>
        <w:pStyle w:val="Subsection"/>
      </w:pPr>
      <w:r>
        <w:tab/>
        <w:t>(4)</w:t>
      </w:r>
      <w:r>
        <w:tab/>
        <w:t>If the Minister is satisfied that —</w:t>
      </w:r>
    </w:p>
    <w:p w:rsidR="00FF6E37" w:rsidRDefault="00FF6E37">
      <w:pPr>
        <w:pStyle w:val="Indenta"/>
      </w:pPr>
      <w:r>
        <w:tab/>
        <w:t>(a)</w:t>
      </w:r>
      <w:r>
        <w:tab/>
        <w:t>a person was on or before the relevant date a genuine collector of specified prohibited weapons; and</w:t>
      </w:r>
    </w:p>
    <w:p w:rsidR="00FF6E37" w:rsidRDefault="00FF6E37">
      <w:pPr>
        <w:pStyle w:val="Indenta"/>
      </w:pPr>
      <w:r>
        <w:tab/>
        <w:t>(b)</w:t>
      </w:r>
      <w:r>
        <w:tab/>
        <w:t>the person is fit and proper to be an exempt collector of specified prohibited weapons; and</w:t>
      </w:r>
    </w:p>
    <w:p w:rsidR="00FF6E37" w:rsidRDefault="00FF6E37">
      <w:pPr>
        <w:pStyle w:val="Indenta"/>
      </w:pPr>
      <w:r>
        <w:tab/>
        <w:t>(c)</w:t>
      </w:r>
      <w:r>
        <w:tab/>
        <w:t>adequate arrangements exist to keep the collection secure,</w:t>
      </w:r>
    </w:p>
    <w:p w:rsidR="00FF6E37" w:rsidRDefault="00FF6E37">
      <w:pPr>
        <w:pStyle w:val="Subsection"/>
      </w:pPr>
      <w:r>
        <w:lastRenderedPageBreak/>
        <w:tab/>
      </w:r>
      <w:r>
        <w:tab/>
        <w:t>the Minister may give to the person written notice that the person is an exempt collector.</w:t>
      </w:r>
    </w:p>
    <w:p w:rsidR="00FF6E37" w:rsidRDefault="00FF6E37">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FF6E37" w:rsidRDefault="00FF6E37">
      <w:pPr>
        <w:pStyle w:val="Subsection"/>
      </w:pPr>
      <w:r>
        <w:tab/>
        <w:t>(6)</w:t>
      </w:r>
      <w:r>
        <w:tab/>
        <w:t>In this regulation —</w:t>
      </w:r>
    </w:p>
    <w:p w:rsidR="00FF6E37" w:rsidRDefault="00FF6E37">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rsidR="00FF6E37" w:rsidRDefault="00FF6E37">
      <w:pPr>
        <w:pStyle w:val="Defstart"/>
      </w:pPr>
      <w:r>
        <w:tab/>
      </w:r>
      <w:r>
        <w:rPr>
          <w:rStyle w:val="CharDefText"/>
        </w:rPr>
        <w:t>relevant date</w:t>
      </w:r>
      <w:r>
        <w:t> —</w:t>
      </w:r>
    </w:p>
    <w:p w:rsidR="00FF6E37" w:rsidRDefault="00FF6E37">
      <w:pPr>
        <w:pStyle w:val="Defpara"/>
      </w:pPr>
      <w:r>
        <w:tab/>
        <w:t>(a)</w:t>
      </w:r>
      <w:r>
        <w:tab/>
        <w:t>in relation to an article described in the third column of Schedule 1 item 3, 7, 10, 11, 12 or 13 — means 29 February 2000;</w:t>
      </w:r>
    </w:p>
    <w:p w:rsidR="00FF6E37" w:rsidRDefault="00FF6E37">
      <w:pPr>
        <w:pStyle w:val="Defpara"/>
      </w:pPr>
      <w:r>
        <w:tab/>
        <w:t>(b)</w:t>
      </w:r>
      <w:r>
        <w:tab/>
        <w:t>in relation to the article described in the third column of Schedule 1 item 7A — means 1 July 2011;</w:t>
      </w:r>
    </w:p>
    <w:p w:rsidR="00FF6E37" w:rsidRDefault="00FF6E37">
      <w:pPr>
        <w:pStyle w:val="Defstart"/>
      </w:pPr>
      <w:r>
        <w:tab/>
      </w:r>
      <w:r>
        <w:rPr>
          <w:rStyle w:val="CharDefText"/>
        </w:rPr>
        <w:t>specified prohibited weapon</w:t>
      </w:r>
      <w:r>
        <w:t xml:space="preserve"> means an article described in the third column of Schedule 1 item 3, 7, 7A, 10, 11, 12 or 13.</w:t>
      </w:r>
    </w:p>
    <w:p w:rsidR="00FF6E37" w:rsidRDefault="00FF6E37">
      <w:pPr>
        <w:pStyle w:val="Footnotesection"/>
      </w:pPr>
      <w:r>
        <w:tab/>
        <w:t>[Regulation 9 inserted: Gazette 10 Mar 2000 p. 1122</w:t>
      </w:r>
      <w:r>
        <w:noBreakHyphen/>
        <w:t>3; amended: Gazette 8 Apr 2011 p. 1282</w:t>
      </w:r>
      <w:r>
        <w:noBreakHyphen/>
        <w:t>3.]</w:t>
      </w:r>
    </w:p>
    <w:p w:rsidR="00FF6E37" w:rsidRDefault="00FF6E37">
      <w:pPr>
        <w:pStyle w:val="Heading5"/>
        <w:spacing w:before="180"/>
      </w:pPr>
      <w:bookmarkStart w:id="12" w:name="_Toc75961084"/>
      <w:r>
        <w:rPr>
          <w:rStyle w:val="CharSectno"/>
        </w:rPr>
        <w:t>10</w:t>
      </w:r>
      <w:r>
        <w:t>.</w:t>
      </w:r>
      <w:r>
        <w:tab/>
        <w:t>Prison officers etc. excepted from Act s. 6-8</w:t>
      </w:r>
      <w:bookmarkEnd w:id="12"/>
    </w:p>
    <w:p w:rsidR="00FF6E37" w:rsidRDefault="00FF6E37">
      <w:pPr>
        <w:pStyle w:val="Subsection"/>
        <w:spacing w:before="120"/>
      </w:pPr>
      <w:r>
        <w:tab/>
      </w:r>
      <w:r>
        <w:tab/>
        <w:t>A person does not commit an offence under section 6, 7 or 8 of the Act only because of something done by the person in the performance of the person’s functions as —</w:t>
      </w:r>
    </w:p>
    <w:p w:rsidR="00FF6E37" w:rsidRDefault="00FF6E37">
      <w:pPr>
        <w:pStyle w:val="Indenta"/>
      </w:pPr>
      <w:r>
        <w:tab/>
        <w:t>(a)</w:t>
      </w:r>
      <w:r>
        <w:tab/>
        <w:t xml:space="preserve">a prison officer as defined in the </w:t>
      </w:r>
      <w:r>
        <w:rPr>
          <w:i/>
        </w:rPr>
        <w:t>Prisons Act 1981</w:t>
      </w:r>
      <w:r>
        <w:t>; or</w:t>
      </w:r>
    </w:p>
    <w:p w:rsidR="00FF6E37" w:rsidRDefault="00FF6E37">
      <w:pPr>
        <w:pStyle w:val="Indenta"/>
        <w:keepNext/>
      </w:pPr>
      <w:r>
        <w:tab/>
        <w:t>(b)</w:t>
      </w:r>
      <w:r>
        <w:tab/>
        <w:t xml:space="preserve">a person authorised to exercise a power set out in Division 1, 2 or 3 of Schedule 2 to the </w:t>
      </w:r>
      <w:r>
        <w:rPr>
          <w:i/>
        </w:rPr>
        <w:t xml:space="preserve">Court Security </w:t>
      </w:r>
      <w:r>
        <w:rPr>
          <w:i/>
        </w:rPr>
        <w:lastRenderedPageBreak/>
        <w:t>and Custodial Services Act 1999</w:t>
      </w:r>
      <w:r>
        <w:t xml:space="preserve"> or a power set out in Schedule 3 to that Act.</w:t>
      </w:r>
    </w:p>
    <w:p w:rsidR="00FF6E37" w:rsidRDefault="00FF6E37">
      <w:pPr>
        <w:pStyle w:val="Footnotesection"/>
      </w:pPr>
      <w:r>
        <w:tab/>
        <w:t>[Regulation 10 inserted: Gazette 28 Jul 2000 p. 4027.]</w:t>
      </w:r>
    </w:p>
    <w:p w:rsidR="00FF6E37" w:rsidRDefault="00FF6E37">
      <w:pPr>
        <w:pStyle w:val="Heading5"/>
      </w:pPr>
      <w:bookmarkStart w:id="13" w:name="_Toc75961085"/>
      <w:r>
        <w:rPr>
          <w:rStyle w:val="CharSectno"/>
        </w:rPr>
        <w:t>11</w:t>
      </w:r>
      <w:r>
        <w:t>.</w:t>
      </w:r>
      <w:r>
        <w:tab/>
        <w:t>Blow pipes, certain people excepted from Act s. 6 as to</w:t>
      </w:r>
      <w:bookmarkEnd w:id="13"/>
    </w:p>
    <w:p w:rsidR="00FF6E37" w:rsidRDefault="00FF6E37">
      <w:pPr>
        <w:pStyle w:val="Subsection"/>
      </w:pPr>
      <w:r>
        <w:tab/>
        <w:t>(1)</w:t>
      </w:r>
      <w:r>
        <w:tab/>
        <w:t xml:space="preserve">In this regulation — </w:t>
      </w:r>
    </w:p>
    <w:p w:rsidR="00FF6E37" w:rsidRDefault="00FF6E37">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rsidR="00FF6E37" w:rsidRDefault="00FF6E37">
      <w:pPr>
        <w:pStyle w:val="Defstart"/>
      </w:pPr>
      <w:r>
        <w:rPr>
          <w:b/>
        </w:rPr>
        <w:tab/>
      </w:r>
      <w:r>
        <w:rPr>
          <w:rStyle w:val="CharDefText"/>
        </w:rPr>
        <w:t>participant</w:t>
      </w:r>
      <w:r>
        <w:t xml:space="preserve"> includes a person assisting a participant;</w:t>
      </w:r>
    </w:p>
    <w:p w:rsidR="00FF6E37" w:rsidRDefault="00FF6E37">
      <w:pPr>
        <w:pStyle w:val="Defstart"/>
      </w:pPr>
      <w:r>
        <w:rPr>
          <w:b/>
        </w:rPr>
        <w:tab/>
      </w:r>
      <w:r>
        <w:rPr>
          <w:rStyle w:val="CharDefText"/>
        </w:rPr>
        <w:t>possess</w:t>
      </w:r>
      <w:r>
        <w:t xml:space="preserve"> in relation to a blow pipe includes having access to a blow pipe while it is being stored;</w:t>
      </w:r>
    </w:p>
    <w:p w:rsidR="00FF6E37" w:rsidRDefault="00FF6E37">
      <w:pPr>
        <w:pStyle w:val="Defstart"/>
      </w:pPr>
      <w:r>
        <w:rPr>
          <w:b/>
        </w:rPr>
        <w:tab/>
      </w:r>
      <w:r>
        <w:rPr>
          <w:rStyle w:val="CharDefText"/>
        </w:rPr>
        <w:t>WA Disabled Sports Association (Inc.) member</w:t>
      </w:r>
      <w:r>
        <w:t xml:space="preserve"> includes a member of one of the WA Disabled Sports Association (Inc.) member clubs.</w:t>
      </w:r>
    </w:p>
    <w:p w:rsidR="00FF6E37" w:rsidRDefault="00FF6E37">
      <w:pPr>
        <w:pStyle w:val="Subsection"/>
      </w:pPr>
      <w:r>
        <w:tab/>
        <w:t>(2)</w:t>
      </w:r>
      <w:r>
        <w:tab/>
        <w:t xml:space="preserve">A person does not commit an offence under section 6 of the Act if that person — </w:t>
      </w:r>
    </w:p>
    <w:p w:rsidR="00FF6E37" w:rsidRDefault="00FF6E37">
      <w:pPr>
        <w:pStyle w:val="Indenta"/>
      </w:pPr>
      <w:r>
        <w:tab/>
        <w:t>(a)</w:t>
      </w:r>
      <w:r>
        <w:tab/>
        <w:t>carries or possesses a blow pipe; or</w:t>
      </w:r>
    </w:p>
    <w:p w:rsidR="00FF6E37" w:rsidRDefault="00FF6E37">
      <w:pPr>
        <w:pStyle w:val="Indenta"/>
      </w:pPr>
      <w:r>
        <w:tab/>
        <w:t>(b)</w:t>
      </w:r>
      <w:r>
        <w:tab/>
        <w:t>attempts to carry or possess a blow pipe,</w:t>
      </w:r>
    </w:p>
    <w:p w:rsidR="00FF6E37" w:rsidRDefault="00FF6E37">
      <w:pPr>
        <w:pStyle w:val="Subsection"/>
      </w:pPr>
      <w:r>
        <w:tab/>
      </w:r>
      <w:r>
        <w:tab/>
        <w:t>if the person does so as a participant in an exempt event.</w:t>
      </w:r>
    </w:p>
    <w:p w:rsidR="00FF6E37" w:rsidRDefault="00FF6E37">
      <w:pPr>
        <w:pStyle w:val="Subsection"/>
        <w:keepNext/>
      </w:pPr>
      <w:r>
        <w:tab/>
        <w:t>(3)</w:t>
      </w:r>
      <w:r>
        <w:tab/>
        <w:t xml:space="preserve">A WA Disabled Sports Association (Inc.) member does not commit an offence under section 6 of the Act if that person — </w:t>
      </w:r>
    </w:p>
    <w:p w:rsidR="00FF6E37" w:rsidRDefault="00FF6E37">
      <w:pPr>
        <w:pStyle w:val="Indenta"/>
      </w:pPr>
      <w:r>
        <w:tab/>
        <w:t>(a)</w:t>
      </w:r>
      <w:r>
        <w:tab/>
        <w:t>brings or sends a blow pipe into the State; or</w:t>
      </w:r>
    </w:p>
    <w:p w:rsidR="00FF6E37" w:rsidRDefault="00FF6E37">
      <w:pPr>
        <w:pStyle w:val="Indenta"/>
      </w:pPr>
      <w:r>
        <w:tab/>
        <w:t>(b)</w:t>
      </w:r>
      <w:r>
        <w:tab/>
        <w:t>carries or possesses a blow pipe; or</w:t>
      </w:r>
    </w:p>
    <w:p w:rsidR="00FF6E37" w:rsidRDefault="00FF6E37">
      <w:pPr>
        <w:pStyle w:val="Indenta"/>
      </w:pPr>
      <w:r>
        <w:tab/>
        <w:t>(c)</w:t>
      </w:r>
      <w:r>
        <w:tab/>
        <w:t>purchases, sells or supplies a blow pipe; or</w:t>
      </w:r>
    </w:p>
    <w:p w:rsidR="00FF6E37" w:rsidRDefault="00FF6E37">
      <w:pPr>
        <w:pStyle w:val="Indenta"/>
        <w:keepNext/>
      </w:pPr>
      <w:r>
        <w:tab/>
        <w:t>(d)</w:t>
      </w:r>
      <w:r>
        <w:tab/>
        <w:t>manufactures a blow pipe,</w:t>
      </w:r>
    </w:p>
    <w:p w:rsidR="00FF6E37" w:rsidRDefault="00FF6E37">
      <w:pPr>
        <w:pStyle w:val="Subsection"/>
      </w:pPr>
      <w:r>
        <w:tab/>
      </w:r>
      <w:r>
        <w:tab/>
        <w:t>or attempts to do any of those things, if that member does one or more of those things as a part of the organisation, control or supervision of an exempt event.</w:t>
      </w:r>
    </w:p>
    <w:p w:rsidR="00FF6E37" w:rsidRDefault="00FF6E37">
      <w:pPr>
        <w:pStyle w:val="Footnotesection"/>
      </w:pPr>
      <w:r>
        <w:tab/>
        <w:t>[Regulation 11 inserted: Gazette 29 Feb 2008 p. 693.]</w:t>
      </w:r>
    </w:p>
    <w:p w:rsidR="00FF6E37" w:rsidRDefault="00FF6E37">
      <w:pPr>
        <w:pStyle w:val="Heading5"/>
      </w:pPr>
      <w:bookmarkStart w:id="14" w:name="_Toc75961086"/>
      <w:r>
        <w:rPr>
          <w:rStyle w:val="CharSectno"/>
        </w:rPr>
        <w:lastRenderedPageBreak/>
        <w:t>12</w:t>
      </w:r>
      <w:r>
        <w:t>.</w:t>
      </w:r>
      <w:r>
        <w:tab/>
        <w:t>Federal and interstate police officers excepted from</w:t>
      </w:r>
      <w:r>
        <w:br/>
        <w:t>Act s. 6-8</w:t>
      </w:r>
      <w:bookmarkEnd w:id="14"/>
    </w:p>
    <w:p w:rsidR="00FF6E37" w:rsidRDefault="00FF6E37">
      <w:pPr>
        <w:pStyle w:val="Subsection"/>
      </w:pPr>
      <w:r>
        <w:tab/>
      </w:r>
      <w:r>
        <w:tab/>
        <w:t>A person does not commit an offence under section 6, 7 or 8 of the Act only because of something done by the person in the performance of the person’s functions as —</w:t>
      </w:r>
    </w:p>
    <w:p w:rsidR="00FF6E37" w:rsidRDefault="00FF6E37">
      <w:pPr>
        <w:pStyle w:val="Indenta"/>
      </w:pPr>
      <w:r>
        <w:tab/>
        <w:t>(a)</w:t>
      </w:r>
      <w:r>
        <w:tab/>
        <w:t>a member of the Australian Federal Police; or</w:t>
      </w:r>
    </w:p>
    <w:p w:rsidR="00FF6E37" w:rsidRDefault="00FF6E37">
      <w:pPr>
        <w:pStyle w:val="Indenta"/>
      </w:pPr>
      <w:r>
        <w:tab/>
        <w:t>(b)</w:t>
      </w:r>
      <w:r>
        <w:tab/>
        <w:t>a member of the police force of another State or a Territory; or</w:t>
      </w:r>
    </w:p>
    <w:p w:rsidR="00FF6E37" w:rsidRDefault="00FF6E37">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rsidR="00FF6E37" w:rsidRDefault="00FF6E37">
      <w:pPr>
        <w:pStyle w:val="Footnotesection"/>
      </w:pPr>
      <w:r>
        <w:tab/>
        <w:t>[Regulation 12 inserted: Gazette 12 Mar 2010 p. 953.]</w:t>
      </w:r>
    </w:p>
    <w:p w:rsidR="00FF6E37" w:rsidRDefault="00FF6E37">
      <w:pPr>
        <w:pStyle w:val="Heading5"/>
      </w:pPr>
      <w:bookmarkStart w:id="15" w:name="_Toc75961087"/>
      <w:r>
        <w:rPr>
          <w:rStyle w:val="CharSectno"/>
        </w:rPr>
        <w:t>12A</w:t>
      </w:r>
      <w:r>
        <w:t>.</w:t>
      </w:r>
      <w:r>
        <w:tab/>
        <w:t>Aviation and maritime security inspectors excepted from Act s. 6, 7 or 8</w:t>
      </w:r>
      <w:bookmarkEnd w:id="15"/>
    </w:p>
    <w:p w:rsidR="00FF6E37" w:rsidRDefault="00FF6E37">
      <w:pPr>
        <w:pStyle w:val="Subsection"/>
      </w:pPr>
      <w:r>
        <w:tab/>
        <w:t>(1)</w:t>
      </w:r>
      <w:r>
        <w:tab/>
        <w:t>In this regulation —</w:t>
      </w:r>
    </w:p>
    <w:p w:rsidR="00FF6E37" w:rsidRDefault="00FF6E37">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rsidR="00FF6E37" w:rsidRDefault="00FF6E37">
      <w:pPr>
        <w:pStyle w:val="Defstart"/>
      </w:pPr>
      <w:r>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rsidR="00FF6E37" w:rsidRDefault="00FF6E37">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rsidR="00FF6E37" w:rsidRDefault="00FF6E37">
      <w:pPr>
        <w:pStyle w:val="Subsection"/>
      </w:pPr>
      <w:r>
        <w:tab/>
        <w:t>(2)</w:t>
      </w:r>
      <w:r>
        <w:tab/>
        <w:t>A person does not commit an offence under section 6, 7 or 8 of the Act only because of something done by the person in the performance of the person’s functions as —</w:t>
      </w:r>
    </w:p>
    <w:p w:rsidR="00FF6E37" w:rsidRDefault="00FF6E37">
      <w:pPr>
        <w:pStyle w:val="Indenta"/>
      </w:pPr>
      <w:r>
        <w:tab/>
        <w:t>(a)</w:t>
      </w:r>
      <w:r>
        <w:tab/>
        <w:t>an aviation security inspector; or</w:t>
      </w:r>
    </w:p>
    <w:p w:rsidR="00FF6E37" w:rsidRDefault="00FF6E37">
      <w:pPr>
        <w:pStyle w:val="Indenta"/>
      </w:pPr>
      <w:r>
        <w:tab/>
        <w:t>(b)</w:t>
      </w:r>
      <w:r>
        <w:tab/>
        <w:t>a maritime security inspector.</w:t>
      </w:r>
    </w:p>
    <w:p w:rsidR="00FF6E37" w:rsidRDefault="00FF6E37">
      <w:pPr>
        <w:pStyle w:val="Subsection"/>
      </w:pPr>
      <w:r>
        <w:tab/>
        <w:t>(3)</w:t>
      </w:r>
      <w:r>
        <w:tab/>
        <w:t xml:space="preserve">In subregulation (2)(b), a person’s functions as a maritime security inspector include a function the performance of which </w:t>
      </w:r>
      <w:r>
        <w:lastRenderedPageBreak/>
        <w:t xml:space="preserve">is permitted in writing by the Secretary under the </w:t>
      </w:r>
      <w:r>
        <w:rPr>
          <w:i/>
        </w:rPr>
        <w:t>Maritime Transport and Offshore Facilities Security Act 2003</w:t>
      </w:r>
      <w:r>
        <w:t xml:space="preserve"> (Commonwealth).</w:t>
      </w:r>
    </w:p>
    <w:p w:rsidR="00FF6E37" w:rsidRDefault="00FF6E37">
      <w:pPr>
        <w:pStyle w:val="Footnotesection"/>
      </w:pPr>
      <w:r>
        <w:tab/>
        <w:t>[Regulation 12A inserted: Gazette 22 Oct 2019 p. 3719.]</w:t>
      </w:r>
    </w:p>
    <w:p w:rsidR="00FF6E37" w:rsidRDefault="00FF6E37">
      <w:pPr>
        <w:pStyle w:val="Heading5"/>
      </w:pPr>
      <w:bookmarkStart w:id="16" w:name="_Toc75961088"/>
      <w:r>
        <w:rPr>
          <w:rStyle w:val="CharSectno"/>
        </w:rPr>
        <w:t>13</w:t>
      </w:r>
      <w:r>
        <w:t>.</w:t>
      </w:r>
      <w:r>
        <w:tab/>
        <w:t>Dramatic productions, exceptions from Act s. 6 for people connected with</w:t>
      </w:r>
      <w:bookmarkEnd w:id="16"/>
    </w:p>
    <w:p w:rsidR="00FF6E37" w:rsidRDefault="00FF6E37">
      <w:pPr>
        <w:pStyle w:val="Subsection"/>
      </w:pPr>
      <w:r>
        <w:tab/>
        <w:t>(1)</w:t>
      </w:r>
      <w:r>
        <w:tab/>
        <w:t xml:space="preserve">In this regulation — </w:t>
      </w:r>
    </w:p>
    <w:p w:rsidR="00FF6E37" w:rsidRDefault="00FF6E37">
      <w:pPr>
        <w:pStyle w:val="Defstart"/>
      </w:pPr>
      <w:r>
        <w:tab/>
      </w:r>
      <w:r>
        <w:rPr>
          <w:rStyle w:val="CharDefText"/>
        </w:rPr>
        <w:t>dramatic production</w:t>
      </w:r>
      <w:r>
        <w:t xml:space="preserve"> means a theatrical, television, film or other dramatic production;</w:t>
      </w:r>
    </w:p>
    <w:p w:rsidR="00FF6E37" w:rsidRDefault="00FF6E37">
      <w:pPr>
        <w:pStyle w:val="Defstart"/>
      </w:pPr>
      <w:r>
        <w:tab/>
      </w:r>
      <w:r>
        <w:rPr>
          <w:rStyle w:val="CharDefText"/>
        </w:rPr>
        <w:t>exemption notice</w:t>
      </w:r>
      <w:r>
        <w:t xml:space="preserve"> means a notice under subregulation (3);</w:t>
      </w:r>
    </w:p>
    <w:p w:rsidR="00FF6E37" w:rsidRDefault="00FF6E37">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rsidR="00FF6E37" w:rsidRDefault="00FF6E37">
      <w:pPr>
        <w:pStyle w:val="Defstart"/>
      </w:pPr>
      <w:r>
        <w:tab/>
      </w:r>
      <w:r>
        <w:rPr>
          <w:rStyle w:val="CharDefText"/>
        </w:rPr>
        <w:t>specified weapon</w:t>
      </w:r>
      <w:r>
        <w:t xml:space="preserve"> means a prohibited weapon specified in an exemption notice.</w:t>
      </w:r>
    </w:p>
    <w:p w:rsidR="00FF6E37" w:rsidRDefault="00FF6E37">
      <w:pPr>
        <w:pStyle w:val="Subsection"/>
      </w:pPr>
      <w:r>
        <w:tab/>
        <w:t>(2)</w:t>
      </w:r>
      <w:r>
        <w:tab/>
        <w:t>The producer of a dramatic production may apply in writing to the Commissioner of Police for an exemption notice.</w:t>
      </w:r>
    </w:p>
    <w:p w:rsidR="00FF6E37" w:rsidRDefault="00FF6E37">
      <w:pPr>
        <w:pStyle w:val="Subsection"/>
      </w:pPr>
      <w:r>
        <w:tab/>
        <w:t>(3)</w:t>
      </w:r>
      <w:r>
        <w:tab/>
        <w:t>If the Commissioner of Police is satisfied that —</w:t>
      </w:r>
    </w:p>
    <w:p w:rsidR="00FF6E37" w:rsidRDefault="00FF6E37">
      <w:pPr>
        <w:pStyle w:val="Indenta"/>
      </w:pPr>
      <w:r>
        <w:tab/>
        <w:t>(a)</w:t>
      </w:r>
      <w:r>
        <w:tab/>
        <w:t>a particular prohibited weapon is required in or for the dramatic production and for no other purpose; and</w:t>
      </w:r>
    </w:p>
    <w:p w:rsidR="00FF6E37" w:rsidRDefault="00FF6E37">
      <w:pPr>
        <w:pStyle w:val="Indenta"/>
      </w:pPr>
      <w:r>
        <w:tab/>
        <w:t>(b)</w:t>
      </w:r>
      <w:r>
        <w:tab/>
        <w:t>the producer is fit and proper to be a producer of an exempt production; and</w:t>
      </w:r>
    </w:p>
    <w:p w:rsidR="00FF6E37" w:rsidRDefault="00FF6E37">
      <w:pPr>
        <w:pStyle w:val="Indenta"/>
      </w:pPr>
      <w:r>
        <w:tab/>
        <w:t>(c)</w:t>
      </w:r>
      <w:r>
        <w:tab/>
        <w:t>if the prohibited weapon is to be manufactured in or for the production — the weapon will be manufactured safely; and</w:t>
      </w:r>
    </w:p>
    <w:p w:rsidR="00FF6E37" w:rsidRDefault="00FF6E37">
      <w:pPr>
        <w:pStyle w:val="Indenta"/>
      </w:pPr>
      <w:r>
        <w:tab/>
        <w:t>(d)</w:t>
      </w:r>
      <w:r>
        <w:tab/>
        <w:t>the prohibited weapon will be used only —</w:t>
      </w:r>
    </w:p>
    <w:p w:rsidR="00FF6E37" w:rsidRDefault="00FF6E37">
      <w:pPr>
        <w:pStyle w:val="Indenti"/>
      </w:pPr>
      <w:r>
        <w:tab/>
        <w:t>(i)</w:t>
      </w:r>
      <w:r>
        <w:tab/>
        <w:t>in or for the production; and</w:t>
      </w:r>
    </w:p>
    <w:p w:rsidR="00FF6E37" w:rsidRDefault="00FF6E37">
      <w:pPr>
        <w:pStyle w:val="Indenti"/>
      </w:pPr>
      <w:r>
        <w:tab/>
        <w:t>(ii)</w:t>
      </w:r>
      <w:r>
        <w:tab/>
        <w:t>in a safe manner;</w:t>
      </w:r>
    </w:p>
    <w:p w:rsidR="00FF6E37" w:rsidRDefault="00FF6E37">
      <w:pPr>
        <w:pStyle w:val="Indenta"/>
      </w:pPr>
      <w:r>
        <w:tab/>
      </w:r>
      <w:r>
        <w:tab/>
        <w:t>and</w:t>
      </w:r>
    </w:p>
    <w:p w:rsidR="00FF6E37" w:rsidRDefault="00FF6E37">
      <w:pPr>
        <w:pStyle w:val="Indenta"/>
      </w:pPr>
      <w:r>
        <w:lastRenderedPageBreak/>
        <w:tab/>
        <w:t>(e)</w:t>
      </w:r>
      <w:r>
        <w:tab/>
        <w:t>adequate arrangements exist to keep the prohibited weapon secure when it is not being used,</w:t>
      </w:r>
    </w:p>
    <w:p w:rsidR="00FF6E37" w:rsidRDefault="00FF6E37">
      <w:pPr>
        <w:pStyle w:val="Subsection"/>
      </w:pPr>
      <w:r>
        <w:tab/>
      </w:r>
      <w:r>
        <w:tab/>
        <w:t>the Commissioner of Police may give to the producer written notice permitting the use of the prohibited weapon in and for the production.</w:t>
      </w:r>
    </w:p>
    <w:p w:rsidR="00FF6E37" w:rsidRDefault="00FF6E37">
      <w:pPr>
        <w:pStyle w:val="Subsection"/>
      </w:pPr>
      <w:r>
        <w:tab/>
        <w:t>(4)</w:t>
      </w:r>
      <w:r>
        <w:tab/>
        <w:t>A person does not commit an offence under section 6 of the Act if that person —</w:t>
      </w:r>
    </w:p>
    <w:p w:rsidR="00FF6E37" w:rsidRDefault="00FF6E37">
      <w:pPr>
        <w:pStyle w:val="Indenta"/>
      </w:pPr>
      <w:r>
        <w:tab/>
        <w:t>(a)</w:t>
      </w:r>
      <w:r>
        <w:tab/>
        <w:t>brings or sends a specified weapon into the State; or</w:t>
      </w:r>
    </w:p>
    <w:p w:rsidR="00FF6E37" w:rsidRDefault="00FF6E37">
      <w:pPr>
        <w:pStyle w:val="Indenta"/>
      </w:pPr>
      <w:r>
        <w:tab/>
        <w:t>(b)</w:t>
      </w:r>
      <w:r>
        <w:tab/>
        <w:t>carries or possesses a specified weapon; or</w:t>
      </w:r>
    </w:p>
    <w:p w:rsidR="00FF6E37" w:rsidRDefault="00FF6E37">
      <w:pPr>
        <w:pStyle w:val="Indenta"/>
      </w:pPr>
      <w:r>
        <w:tab/>
        <w:t>(c)</w:t>
      </w:r>
      <w:r>
        <w:tab/>
        <w:t>purchases, sells or supplies a specified weapon; or</w:t>
      </w:r>
    </w:p>
    <w:p w:rsidR="00FF6E37" w:rsidRDefault="00FF6E37">
      <w:pPr>
        <w:pStyle w:val="Indenta"/>
        <w:keepNext/>
      </w:pPr>
      <w:r>
        <w:tab/>
        <w:t>(d)</w:t>
      </w:r>
      <w:r>
        <w:tab/>
        <w:t>manufactures a specified weapon,</w:t>
      </w:r>
    </w:p>
    <w:p w:rsidR="00FF6E37" w:rsidRDefault="00FF6E37">
      <w:pPr>
        <w:pStyle w:val="Subsection"/>
      </w:pPr>
      <w:r>
        <w:tab/>
      </w:r>
      <w:r>
        <w:tab/>
        <w:t>or attempts to do any of those things, if that person does so in or for the exempt production and for no other purpose.</w:t>
      </w:r>
    </w:p>
    <w:p w:rsidR="00FF6E37" w:rsidRDefault="00FF6E37">
      <w:pPr>
        <w:pStyle w:val="Subsection"/>
        <w:keepNext/>
      </w:pPr>
      <w:r>
        <w:tab/>
        <w:t>(5)</w:t>
      </w:r>
      <w:r>
        <w:tab/>
        <w:t>An exemption notice must specify —</w:t>
      </w:r>
    </w:p>
    <w:p w:rsidR="00FF6E37" w:rsidRDefault="00FF6E37">
      <w:pPr>
        <w:pStyle w:val="Indenta"/>
      </w:pPr>
      <w:r>
        <w:tab/>
        <w:t>(a)</w:t>
      </w:r>
      <w:r>
        <w:tab/>
        <w:t>that the specified weapon is to be lawfully disposed of after it ceases to be required in or for the exempt production; and</w:t>
      </w:r>
    </w:p>
    <w:p w:rsidR="00FF6E37" w:rsidRDefault="00FF6E37">
      <w:pPr>
        <w:pStyle w:val="Indenta"/>
      </w:pPr>
      <w:r>
        <w:tab/>
        <w:t>(b)</w:t>
      </w:r>
      <w:r>
        <w:tab/>
        <w:t>how the specified weapon may be lawfully disposed of.</w:t>
      </w:r>
    </w:p>
    <w:p w:rsidR="00FF6E37" w:rsidRDefault="00FF6E37">
      <w:pPr>
        <w:pStyle w:val="Subsection"/>
      </w:pPr>
      <w:r>
        <w:tab/>
        <w:t>(6)</w:t>
      </w:r>
      <w:r>
        <w:tab/>
        <w:t>A person does not commit an offence under section 6(1)(c) of the Act if that person disposes, or attempts to dispose, of a specified weapon in accordance with the exemption notice.</w:t>
      </w:r>
    </w:p>
    <w:p w:rsidR="00FF6E37" w:rsidRDefault="00FF6E37">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rsidR="00FF6E37" w:rsidRDefault="00FF6E37">
      <w:pPr>
        <w:pStyle w:val="Footnotesection"/>
      </w:pPr>
      <w:r>
        <w:tab/>
        <w:t>[Regulation 13 inserted: Gazette 8 Apr 2011 p. 1283</w:t>
      </w:r>
      <w:r>
        <w:noBreakHyphen/>
        <w:t>4.]</w:t>
      </w:r>
    </w:p>
    <w:p w:rsidR="00FF6E37" w:rsidRDefault="00FF6E37">
      <w:pPr>
        <w:pStyle w:val="Heading5"/>
      </w:pPr>
      <w:bookmarkStart w:id="17" w:name="_Toc75961089"/>
      <w:r>
        <w:rPr>
          <w:rStyle w:val="CharSectno"/>
        </w:rPr>
        <w:lastRenderedPageBreak/>
        <w:t>14</w:t>
      </w:r>
      <w:r>
        <w:t>.</w:t>
      </w:r>
      <w:r>
        <w:tab/>
        <w:t>Crossbows for competitions etc., excepting people from Act s. 6 in relation to</w:t>
      </w:r>
      <w:bookmarkEnd w:id="17"/>
    </w:p>
    <w:p w:rsidR="00FF6E37" w:rsidRDefault="00FF6E37">
      <w:pPr>
        <w:pStyle w:val="Subsection"/>
      </w:pPr>
      <w:r>
        <w:tab/>
        <w:t>(1)</w:t>
      </w:r>
      <w:r>
        <w:tab/>
        <w:t xml:space="preserve">In this regulation — </w:t>
      </w:r>
    </w:p>
    <w:p w:rsidR="00FF6E37" w:rsidRDefault="00FF6E37">
      <w:pPr>
        <w:pStyle w:val="Defstart"/>
      </w:pPr>
      <w:r>
        <w:tab/>
      </w:r>
      <w:r>
        <w:rPr>
          <w:rStyle w:val="CharDefText"/>
        </w:rPr>
        <w:t>Archery Australia (Inc.) member</w:t>
      </w:r>
      <w:r>
        <w:t xml:space="preserve"> includes a member of one of Archery Australia (Inc.) member clubs;</w:t>
      </w:r>
    </w:p>
    <w:p w:rsidR="00FF6E37" w:rsidRDefault="00FF6E37">
      <w:pPr>
        <w:pStyle w:val="Defstart"/>
      </w:pPr>
      <w:r>
        <w:tab/>
      </w:r>
      <w:r>
        <w:rPr>
          <w:rStyle w:val="CharDefText"/>
        </w:rPr>
        <w:t>crossbow</w:t>
      </w:r>
      <w:r>
        <w:t xml:space="preserve"> does not include a crossbow made or modified to be used with one hand;</w:t>
      </w:r>
    </w:p>
    <w:p w:rsidR="00FF6E37" w:rsidRDefault="00FF6E37">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rsidR="00FF6E37" w:rsidRDefault="00FF6E37">
      <w:pPr>
        <w:pStyle w:val="Subsection"/>
        <w:keepNext/>
      </w:pPr>
      <w:r>
        <w:tab/>
        <w:t>(2)</w:t>
      </w:r>
      <w:r>
        <w:tab/>
        <w:t>An exempt arbalest or any other person who, for the purpose of selling or supplying a crossbow to an exempt arbalest —</w:t>
      </w:r>
    </w:p>
    <w:p w:rsidR="00FF6E37" w:rsidRDefault="00FF6E37">
      <w:pPr>
        <w:pStyle w:val="Indenta"/>
      </w:pPr>
      <w:r>
        <w:tab/>
        <w:t>(a)</w:t>
      </w:r>
      <w:r>
        <w:tab/>
        <w:t>brings or sends into the State a crossbow; or</w:t>
      </w:r>
    </w:p>
    <w:p w:rsidR="00FF6E37" w:rsidRDefault="00FF6E37">
      <w:pPr>
        <w:pStyle w:val="Indenta"/>
        <w:keepNext/>
      </w:pPr>
      <w:r>
        <w:tab/>
        <w:t>(b)</w:t>
      </w:r>
      <w:r>
        <w:tab/>
        <w:t>purchases a crossbow from a person who is lawfully entitled to sell the weapon,</w:t>
      </w:r>
    </w:p>
    <w:p w:rsidR="00FF6E37" w:rsidRDefault="00FF6E37">
      <w:pPr>
        <w:pStyle w:val="Subsection"/>
      </w:pPr>
      <w:r>
        <w:tab/>
      </w:r>
      <w:r>
        <w:tab/>
        <w:t>does not commit an offence under section 6(1)(a) or (c) of the Act.</w:t>
      </w:r>
    </w:p>
    <w:p w:rsidR="00FF6E37" w:rsidRDefault="00FF6E37">
      <w:pPr>
        <w:pStyle w:val="Subsection"/>
      </w:pPr>
      <w:r>
        <w:tab/>
        <w:t>(3)</w:t>
      </w:r>
      <w:r>
        <w:tab/>
        <w:t>An exempt arbalest who, for the purpose of engaging in the sport of crossbow archery, carries or possesses a crossbow does not commit an offence under section 6(1)(b) of the Act.</w:t>
      </w:r>
    </w:p>
    <w:p w:rsidR="00FF6E37" w:rsidRDefault="00FF6E37">
      <w:pPr>
        <w:pStyle w:val="Subsection"/>
      </w:pPr>
      <w:r>
        <w:tab/>
        <w:t>(4)</w:t>
      </w:r>
      <w:r>
        <w:tab/>
        <w:t>An exempt arbalest or any other person who, for the purpose of selling or supplying a crossbow to an exempt arbalest, carries or possesses a crossbow does not commit an offence under section 6(1)(b) of the Act.</w:t>
      </w:r>
    </w:p>
    <w:p w:rsidR="00FF6E37" w:rsidRDefault="00FF6E37">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rsidR="00FF6E37" w:rsidRDefault="00FF6E37" w:rsidP="00871E21">
      <w:pPr>
        <w:pStyle w:val="Subsection"/>
        <w:keepNext/>
      </w:pPr>
      <w:r>
        <w:lastRenderedPageBreak/>
        <w:tab/>
        <w:t>(6)</w:t>
      </w:r>
      <w:r>
        <w:tab/>
        <w:t>If the Minister is satisfied that —</w:t>
      </w:r>
    </w:p>
    <w:p w:rsidR="00FF6E37" w:rsidRDefault="00FF6E37">
      <w:pPr>
        <w:pStyle w:val="Indenta"/>
      </w:pPr>
      <w:r>
        <w:tab/>
        <w:t>(a)</w:t>
      </w:r>
      <w:r>
        <w:tab/>
        <w:t>a person was on or before 1 July 2011 an Archery Australia (Inc.) member; and</w:t>
      </w:r>
    </w:p>
    <w:p w:rsidR="00FF6E37" w:rsidRDefault="00FF6E37">
      <w:pPr>
        <w:pStyle w:val="Indenta"/>
      </w:pPr>
      <w:r>
        <w:tab/>
        <w:t>(b)</w:t>
      </w:r>
      <w:r>
        <w:tab/>
        <w:t>on or before 1 July 2011 the person possessed a crossbow for the purposes of taking part in crossbow events or competition; and</w:t>
      </w:r>
    </w:p>
    <w:p w:rsidR="00FF6E37" w:rsidRDefault="00FF6E37">
      <w:pPr>
        <w:pStyle w:val="Indenta"/>
      </w:pPr>
      <w:r>
        <w:tab/>
        <w:t>(c)</w:t>
      </w:r>
      <w:r>
        <w:tab/>
        <w:t>the person is fit and proper to be an exempt arbalest; and</w:t>
      </w:r>
    </w:p>
    <w:p w:rsidR="00FF6E37" w:rsidRDefault="00FF6E37">
      <w:pPr>
        <w:pStyle w:val="Indenta"/>
      </w:pPr>
      <w:r>
        <w:tab/>
        <w:t>(d)</w:t>
      </w:r>
      <w:r>
        <w:tab/>
        <w:t>adequate arrangements exist to keep each of the person’s crossbows secure,</w:t>
      </w:r>
    </w:p>
    <w:p w:rsidR="00FF6E37" w:rsidRDefault="00FF6E37">
      <w:pPr>
        <w:pStyle w:val="Subsection"/>
      </w:pPr>
      <w:r>
        <w:tab/>
      </w:r>
      <w:r>
        <w:tab/>
        <w:t>the Minister may give to the person written notice that the person is an exempt arbalest.</w:t>
      </w:r>
    </w:p>
    <w:p w:rsidR="00FF6E37" w:rsidRDefault="00FF6E37">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rsidR="00FF6E37" w:rsidRDefault="00FF6E37">
      <w:pPr>
        <w:pStyle w:val="Footnotesection"/>
      </w:pPr>
      <w:r>
        <w:tab/>
        <w:t>[Regulation 14 inserted: Gazette 8 Apr 2011 p. 1284</w:t>
      </w:r>
      <w:r>
        <w:noBreakHyphen/>
        <w:t>6.]</w:t>
      </w:r>
    </w:p>
    <w:p w:rsidR="00FF6E37" w:rsidRDefault="00FF6E37">
      <w:pPr>
        <w:pStyle w:val="Ednotesection"/>
      </w:pPr>
      <w:r>
        <w:t>[</w:t>
      </w:r>
      <w:r>
        <w:rPr>
          <w:b/>
        </w:rPr>
        <w:t>15.</w:t>
      </w:r>
      <w:r>
        <w:tab/>
        <w:t>Expired 30 Jun 2017.]</w:t>
      </w:r>
    </w:p>
    <w:p w:rsidR="00FF6E37" w:rsidRDefault="00FF6E37">
      <w:pPr>
        <w:pStyle w:val="Subsection"/>
      </w:pPr>
    </w:p>
    <w:p w:rsidR="00FF6E37" w:rsidRDefault="00FF6E37">
      <w:pPr>
        <w:rPr>
          <w:rStyle w:val="CharDivText"/>
        </w:rPr>
        <w:sectPr w:rsidR="00FF6E37">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FF6E37" w:rsidRDefault="00FF6E37">
      <w:pPr>
        <w:pStyle w:val="yScheduleHeading"/>
      </w:pPr>
      <w:bookmarkStart w:id="18" w:name="_Toc75958004"/>
      <w:bookmarkStart w:id="19" w:name="_Toc75960286"/>
      <w:bookmarkStart w:id="20" w:name="_Toc75960307"/>
      <w:bookmarkStart w:id="21" w:name="_Toc75961070"/>
      <w:bookmarkStart w:id="22" w:name="_Toc75961090"/>
      <w:r>
        <w:rPr>
          <w:rStyle w:val="CharSchNo"/>
        </w:rPr>
        <w:lastRenderedPageBreak/>
        <w:t>Schedule 1</w:t>
      </w:r>
      <w:r>
        <w:t xml:space="preserve"> — </w:t>
      </w:r>
      <w:r>
        <w:rPr>
          <w:rStyle w:val="CharSchText"/>
        </w:rPr>
        <w:t>Prohibited weapons</w:t>
      </w:r>
      <w:bookmarkEnd w:id="18"/>
      <w:bookmarkEnd w:id="19"/>
      <w:bookmarkEnd w:id="20"/>
      <w:bookmarkEnd w:id="21"/>
      <w:bookmarkEnd w:id="22"/>
    </w:p>
    <w:p w:rsidR="00FF6E37" w:rsidRDefault="00FF6E37">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rsidR="00FF6E37">
        <w:trPr>
          <w:tblHeader/>
        </w:trPr>
        <w:tc>
          <w:tcPr>
            <w:tcW w:w="755" w:type="dxa"/>
            <w:gridSpan w:val="2"/>
          </w:tcPr>
          <w:p w:rsidR="00FF6E37" w:rsidRDefault="00FF6E37">
            <w:pPr>
              <w:pStyle w:val="yTable"/>
              <w:rPr>
                <w:b/>
              </w:rPr>
            </w:pPr>
            <w:r>
              <w:rPr>
                <w:b/>
              </w:rPr>
              <w:t>Item</w:t>
            </w:r>
          </w:p>
        </w:tc>
        <w:tc>
          <w:tcPr>
            <w:tcW w:w="1726" w:type="dxa"/>
          </w:tcPr>
          <w:p w:rsidR="00FF6E37" w:rsidRDefault="00FF6E37">
            <w:pPr>
              <w:pStyle w:val="yTable"/>
              <w:rPr>
                <w:b/>
              </w:rPr>
            </w:pPr>
            <w:r>
              <w:rPr>
                <w:b/>
              </w:rPr>
              <w:t>Article</w:t>
            </w:r>
          </w:p>
        </w:tc>
        <w:tc>
          <w:tcPr>
            <w:tcW w:w="4788" w:type="dxa"/>
          </w:tcPr>
          <w:p w:rsidR="00FF6E37" w:rsidRDefault="00FF6E37">
            <w:pPr>
              <w:pStyle w:val="yTable"/>
              <w:rPr>
                <w:b/>
              </w:rPr>
            </w:pPr>
            <w:r>
              <w:rPr>
                <w:b/>
              </w:rPr>
              <w:t>Description</w:t>
            </w:r>
          </w:p>
        </w:tc>
      </w:tr>
      <w:tr w:rsidR="00FF6E37">
        <w:tc>
          <w:tcPr>
            <w:tcW w:w="755" w:type="dxa"/>
            <w:gridSpan w:val="2"/>
          </w:tcPr>
          <w:p w:rsidR="00FF6E37" w:rsidRDefault="00FF6E37">
            <w:pPr>
              <w:pStyle w:val="yTable"/>
            </w:pPr>
            <w:r>
              <w:t>1.</w:t>
            </w:r>
          </w:p>
        </w:tc>
        <w:tc>
          <w:tcPr>
            <w:tcW w:w="1726" w:type="dxa"/>
          </w:tcPr>
          <w:p w:rsidR="00FF6E37" w:rsidRDefault="00FF6E37">
            <w:pPr>
              <w:pStyle w:val="yTable"/>
            </w:pPr>
            <w:r>
              <w:t>Acoustic shock weapon</w:t>
            </w:r>
          </w:p>
        </w:tc>
        <w:tc>
          <w:tcPr>
            <w:tcW w:w="4788" w:type="dxa"/>
          </w:tcPr>
          <w:p w:rsidR="00FF6E37" w:rsidRDefault="00FF6E37">
            <w:pPr>
              <w:pStyle w:val="yTable"/>
            </w:pPr>
            <w:r>
              <w:t>An article made or modified to be used to emit sound so as to injure or disable a person.</w:t>
            </w:r>
          </w:p>
        </w:tc>
      </w:tr>
      <w:tr w:rsidR="00FF6E37">
        <w:tc>
          <w:tcPr>
            <w:tcW w:w="755" w:type="dxa"/>
            <w:gridSpan w:val="2"/>
          </w:tcPr>
          <w:p w:rsidR="00FF6E37" w:rsidRDefault="00FF6E37">
            <w:pPr>
              <w:pStyle w:val="yTable"/>
            </w:pPr>
            <w:r>
              <w:t>2.</w:t>
            </w:r>
          </w:p>
        </w:tc>
        <w:tc>
          <w:tcPr>
            <w:tcW w:w="1726" w:type="dxa"/>
          </w:tcPr>
          <w:p w:rsidR="00FF6E37" w:rsidRDefault="00FF6E37">
            <w:pPr>
              <w:pStyle w:val="yTable"/>
            </w:pPr>
            <w:r>
              <w:t>Ballistic knife</w:t>
            </w:r>
          </w:p>
        </w:tc>
        <w:tc>
          <w:tcPr>
            <w:tcW w:w="4788" w:type="dxa"/>
          </w:tcPr>
          <w:p w:rsidR="00FF6E37" w:rsidRDefault="00FF6E37">
            <w:pPr>
              <w:pStyle w:val="yTable"/>
            </w:pPr>
            <w:r>
              <w:t>An article made or modified to be used to discharge a knife and includes the knife.</w:t>
            </w:r>
          </w:p>
        </w:tc>
      </w:tr>
      <w:tr w:rsidR="00FF6E37">
        <w:tc>
          <w:tcPr>
            <w:tcW w:w="755" w:type="dxa"/>
            <w:gridSpan w:val="2"/>
          </w:tcPr>
          <w:p w:rsidR="00FF6E37" w:rsidRDefault="00FF6E37">
            <w:pPr>
              <w:pStyle w:val="yTable"/>
            </w:pPr>
            <w:r>
              <w:t>3.</w:t>
            </w:r>
          </w:p>
        </w:tc>
        <w:tc>
          <w:tcPr>
            <w:tcW w:w="1726" w:type="dxa"/>
          </w:tcPr>
          <w:p w:rsidR="00FF6E37" w:rsidRDefault="00FF6E37">
            <w:pPr>
              <w:pStyle w:val="yTable"/>
            </w:pPr>
            <w:r>
              <w:t>Blow pipe</w:t>
            </w:r>
          </w:p>
        </w:tc>
        <w:tc>
          <w:tcPr>
            <w:tcW w:w="4788" w:type="dxa"/>
          </w:tcPr>
          <w:p w:rsidR="00FF6E37" w:rsidRDefault="00FF6E37">
            <w:pPr>
              <w:pStyle w:val="yTable"/>
            </w:pPr>
            <w:r>
              <w:t>An article made or modified to be used to discharge a missile by air expelled from the mouth and includes the missile.</w:t>
            </w:r>
          </w:p>
        </w:tc>
      </w:tr>
      <w:tr w:rsidR="00FF6E37">
        <w:tc>
          <w:tcPr>
            <w:tcW w:w="755" w:type="dxa"/>
            <w:gridSpan w:val="2"/>
          </w:tcPr>
          <w:p w:rsidR="00FF6E37" w:rsidRDefault="00FF6E37">
            <w:pPr>
              <w:pStyle w:val="yTable"/>
            </w:pPr>
            <w:r>
              <w:t>4.</w:t>
            </w:r>
          </w:p>
        </w:tc>
        <w:tc>
          <w:tcPr>
            <w:tcW w:w="1726" w:type="dxa"/>
          </w:tcPr>
          <w:p w:rsidR="00FF6E37" w:rsidRDefault="00FF6E37">
            <w:pPr>
              <w:pStyle w:val="yTable"/>
            </w:pPr>
            <w:r>
              <w:t>Butterfly knife</w:t>
            </w:r>
          </w:p>
        </w:tc>
        <w:tc>
          <w:tcPr>
            <w:tcW w:w="4788" w:type="dxa"/>
          </w:tcPr>
          <w:p w:rsidR="00FF6E37" w:rsidRDefault="00FF6E37">
            <w:pPr>
              <w:pStyle w:val="yTable"/>
            </w:pPr>
            <w:r>
              <w:t>A knife —</w:t>
            </w:r>
          </w:p>
          <w:p w:rsidR="00FF6E37" w:rsidRDefault="00FF6E37">
            <w:pPr>
              <w:pStyle w:val="yTable"/>
              <w:tabs>
                <w:tab w:val="left" w:pos="496"/>
              </w:tabs>
              <w:ind w:left="496" w:hanging="496"/>
            </w:pPr>
            <w:r>
              <w:t>(a)</w:t>
            </w:r>
            <w:r>
              <w:tab/>
              <w:t>having a 2 piece handle which folds together to cover both edges of the blade; and</w:t>
            </w:r>
          </w:p>
          <w:p w:rsidR="00FF6E37" w:rsidRDefault="00FF6E37">
            <w:pPr>
              <w:pStyle w:val="yTable"/>
              <w:tabs>
                <w:tab w:val="left" w:pos="496"/>
              </w:tabs>
              <w:ind w:left="496" w:hanging="496"/>
            </w:pPr>
            <w:r>
              <w:t>(b)</w:t>
            </w:r>
            <w:r>
              <w:tab/>
              <w:t>made or modified to be used to injure or disable a person or as a martial arts weapon,</w:t>
            </w:r>
          </w:p>
          <w:p w:rsidR="00FF6E37" w:rsidRDefault="00FF6E37">
            <w:pPr>
              <w:pStyle w:val="yTable"/>
              <w:tabs>
                <w:tab w:val="left" w:pos="0"/>
              </w:tabs>
            </w:pPr>
            <w:r>
              <w:t>and includes the martial arts weapon known as the butterfly knife or balisong.</w:t>
            </w:r>
          </w:p>
        </w:tc>
      </w:tr>
      <w:tr w:rsidR="00FF6E37">
        <w:tc>
          <w:tcPr>
            <w:tcW w:w="755" w:type="dxa"/>
            <w:gridSpan w:val="2"/>
          </w:tcPr>
          <w:p w:rsidR="00FF6E37" w:rsidRDefault="00FF6E37">
            <w:pPr>
              <w:pStyle w:val="yTable"/>
            </w:pPr>
            <w:r>
              <w:t>5.</w:t>
            </w:r>
          </w:p>
        </w:tc>
        <w:tc>
          <w:tcPr>
            <w:tcW w:w="1726" w:type="dxa"/>
          </w:tcPr>
          <w:p w:rsidR="00FF6E37" w:rsidRDefault="00FF6E37">
            <w:pPr>
              <w:pStyle w:val="yTable"/>
            </w:pPr>
            <w:r>
              <w:t>Catapult (with an arm brace)</w:t>
            </w:r>
          </w:p>
        </w:tc>
        <w:tc>
          <w:tcPr>
            <w:tcW w:w="4788" w:type="dxa"/>
          </w:tcPr>
          <w:p w:rsidR="00FF6E37" w:rsidRDefault="00FF6E37">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FF6E37">
        <w:tc>
          <w:tcPr>
            <w:tcW w:w="755" w:type="dxa"/>
            <w:gridSpan w:val="2"/>
          </w:tcPr>
          <w:p w:rsidR="00FF6E37" w:rsidRDefault="00FF6E37">
            <w:pPr>
              <w:pStyle w:val="yTable"/>
            </w:pPr>
            <w:r>
              <w:t>6.</w:t>
            </w:r>
          </w:p>
        </w:tc>
        <w:tc>
          <w:tcPr>
            <w:tcW w:w="1726" w:type="dxa"/>
          </w:tcPr>
          <w:p w:rsidR="00FF6E37" w:rsidRDefault="00FF6E37">
            <w:pPr>
              <w:pStyle w:val="yTable"/>
            </w:pPr>
            <w:r>
              <w:t>Commercially produced catapult (without an arm brace)</w:t>
            </w:r>
          </w:p>
        </w:tc>
        <w:tc>
          <w:tcPr>
            <w:tcW w:w="4788" w:type="dxa"/>
          </w:tcPr>
          <w:p w:rsidR="00FF6E37" w:rsidRDefault="00FF6E37">
            <w:pPr>
              <w:pStyle w:val="yTable"/>
            </w:pPr>
            <w:r>
              <w:t>A catapult —</w:t>
            </w:r>
          </w:p>
          <w:p w:rsidR="00FF6E37" w:rsidRDefault="00FF6E37">
            <w:pPr>
              <w:pStyle w:val="yTable"/>
              <w:tabs>
                <w:tab w:val="left" w:pos="496"/>
              </w:tabs>
              <w:ind w:left="496" w:hanging="496"/>
            </w:pPr>
            <w:r>
              <w:t>(a)</w:t>
            </w:r>
            <w:r>
              <w:tab/>
              <w:t>made or modified to be used without the arm brace referred to in item 5; and</w:t>
            </w:r>
          </w:p>
          <w:p w:rsidR="00FF6E37" w:rsidRDefault="00FF6E37">
            <w:pPr>
              <w:pStyle w:val="yTable"/>
              <w:tabs>
                <w:tab w:val="left" w:pos="496"/>
              </w:tabs>
              <w:ind w:left="496" w:hanging="496"/>
            </w:pPr>
            <w:r>
              <w:t>(b)</w:t>
            </w:r>
            <w:r>
              <w:tab/>
              <w:t>made for commercial distribution.</w:t>
            </w:r>
          </w:p>
        </w:tc>
      </w:tr>
      <w:tr w:rsidR="00FF6E37">
        <w:tc>
          <w:tcPr>
            <w:tcW w:w="755" w:type="dxa"/>
            <w:gridSpan w:val="2"/>
          </w:tcPr>
          <w:p w:rsidR="00FF6E37" w:rsidRDefault="00FF6E37">
            <w:pPr>
              <w:pStyle w:val="yTable"/>
            </w:pPr>
            <w:r>
              <w:t>7A.</w:t>
            </w:r>
          </w:p>
        </w:tc>
        <w:tc>
          <w:tcPr>
            <w:tcW w:w="1726" w:type="dxa"/>
          </w:tcPr>
          <w:p w:rsidR="00FF6E37" w:rsidRDefault="00FF6E37">
            <w:pPr>
              <w:pStyle w:val="yTable"/>
            </w:pPr>
            <w:r>
              <w:t>Crossbow</w:t>
            </w:r>
          </w:p>
        </w:tc>
        <w:tc>
          <w:tcPr>
            <w:tcW w:w="4788" w:type="dxa"/>
          </w:tcPr>
          <w:p w:rsidR="00FF6E37" w:rsidRDefault="00FF6E37">
            <w:pPr>
              <w:pStyle w:val="yTable"/>
            </w:pPr>
            <w:r>
              <w:t>An article made or modified to be used with one or 2 hands to discharge a missile by an elastic force across a stock grooved to direct the missile and includes the missile.</w:t>
            </w:r>
          </w:p>
        </w:tc>
      </w:tr>
      <w:tr w:rsidR="00FF6E37">
        <w:tc>
          <w:tcPr>
            <w:tcW w:w="755" w:type="dxa"/>
            <w:gridSpan w:val="2"/>
          </w:tcPr>
          <w:p w:rsidR="00FF6E37" w:rsidRDefault="00FF6E37">
            <w:pPr>
              <w:pStyle w:val="yTable"/>
            </w:pPr>
            <w:r>
              <w:t>7.</w:t>
            </w:r>
          </w:p>
        </w:tc>
        <w:tc>
          <w:tcPr>
            <w:tcW w:w="1726" w:type="dxa"/>
          </w:tcPr>
          <w:p w:rsidR="00FF6E37" w:rsidRDefault="00FF6E37">
            <w:pPr>
              <w:pStyle w:val="yTable"/>
            </w:pPr>
            <w:r>
              <w:t>Disguised knife or sword</w:t>
            </w:r>
          </w:p>
        </w:tc>
        <w:tc>
          <w:tcPr>
            <w:tcW w:w="4788" w:type="dxa"/>
          </w:tcPr>
          <w:p w:rsidR="00FF6E37" w:rsidRDefault="00FF6E37">
            <w:pPr>
              <w:pStyle w:val="yTable"/>
            </w:pPr>
            <w:r>
              <w:t>A knife or sword disguised as part of another article and includes —</w:t>
            </w:r>
          </w:p>
          <w:p w:rsidR="00FF6E37" w:rsidRDefault="00FF6E37">
            <w:pPr>
              <w:pStyle w:val="yTable"/>
              <w:tabs>
                <w:tab w:val="left" w:pos="496"/>
              </w:tabs>
              <w:ind w:left="496" w:hanging="496"/>
            </w:pPr>
            <w:r>
              <w:t>(a)</w:t>
            </w:r>
            <w:r>
              <w:tab/>
              <w:t>a knife disguised as part of a belt (e.g. the article commonly known as the “Bowen” knife belt); or</w:t>
            </w:r>
          </w:p>
          <w:p w:rsidR="00FF6E37" w:rsidRDefault="00FF6E37">
            <w:pPr>
              <w:pStyle w:val="yTable"/>
              <w:tabs>
                <w:tab w:val="left" w:pos="496"/>
              </w:tabs>
              <w:ind w:left="496" w:hanging="496"/>
            </w:pPr>
            <w:r>
              <w:t>(b)</w:t>
            </w:r>
            <w:r>
              <w:tab/>
              <w:t>a sword disguised as a cane or stick.</w:t>
            </w:r>
          </w:p>
        </w:tc>
      </w:tr>
      <w:tr w:rsidR="00FF6E37">
        <w:tc>
          <w:tcPr>
            <w:tcW w:w="755" w:type="dxa"/>
            <w:gridSpan w:val="2"/>
          </w:tcPr>
          <w:p w:rsidR="00FF6E37" w:rsidRDefault="00FF6E37">
            <w:pPr>
              <w:pStyle w:val="yTable"/>
            </w:pPr>
            <w:r>
              <w:lastRenderedPageBreak/>
              <w:t>8.</w:t>
            </w:r>
          </w:p>
        </w:tc>
        <w:tc>
          <w:tcPr>
            <w:tcW w:w="1726" w:type="dxa"/>
          </w:tcPr>
          <w:p w:rsidR="00FF6E37" w:rsidRDefault="00FF6E37">
            <w:pPr>
              <w:pStyle w:val="yTable"/>
            </w:pPr>
            <w:r>
              <w:t>Electric shock weapon</w:t>
            </w:r>
          </w:p>
        </w:tc>
        <w:tc>
          <w:tcPr>
            <w:tcW w:w="4788" w:type="dxa"/>
          </w:tcPr>
          <w:p w:rsidR="00FF6E37" w:rsidRDefault="00FF6E37">
            <w:pPr>
              <w:pStyle w:val="yTable"/>
            </w:pPr>
            <w:r>
              <w:t>An article made or modified to be used to discharge an electric current so as to injure or disable a person but does not include an approved electric shock case.</w:t>
            </w:r>
          </w:p>
        </w:tc>
      </w:tr>
      <w:tr w:rsidR="00FF6E37">
        <w:tc>
          <w:tcPr>
            <w:tcW w:w="755" w:type="dxa"/>
            <w:gridSpan w:val="2"/>
          </w:tcPr>
          <w:p w:rsidR="00FF6E37" w:rsidRDefault="00FF6E37">
            <w:pPr>
              <w:pStyle w:val="yTable"/>
            </w:pPr>
            <w:r>
              <w:t>9.</w:t>
            </w:r>
          </w:p>
        </w:tc>
        <w:tc>
          <w:tcPr>
            <w:tcW w:w="1726" w:type="dxa"/>
          </w:tcPr>
          <w:p w:rsidR="00FF6E37" w:rsidRDefault="00FF6E37">
            <w:pPr>
              <w:pStyle w:val="yTable"/>
            </w:pPr>
            <w:r>
              <w:t>Electromagnetic weapon</w:t>
            </w:r>
          </w:p>
        </w:tc>
        <w:tc>
          <w:tcPr>
            <w:tcW w:w="4788" w:type="dxa"/>
          </w:tcPr>
          <w:p w:rsidR="00FF6E37" w:rsidRDefault="00FF6E37">
            <w:pPr>
              <w:pStyle w:val="yTable"/>
            </w:pPr>
            <w:r>
              <w:t>An article made or modified to be used to emit electromagnetic radiation so as to injure or disable a person.</w:t>
            </w:r>
          </w:p>
        </w:tc>
      </w:tr>
      <w:tr w:rsidR="00FF6E37">
        <w:tc>
          <w:tcPr>
            <w:tcW w:w="755" w:type="dxa"/>
            <w:gridSpan w:val="2"/>
          </w:tcPr>
          <w:p w:rsidR="00FF6E37" w:rsidRDefault="00FF6E37">
            <w:pPr>
              <w:pStyle w:val="yTable"/>
            </w:pPr>
            <w:r>
              <w:t>10.</w:t>
            </w:r>
          </w:p>
        </w:tc>
        <w:tc>
          <w:tcPr>
            <w:tcW w:w="1726" w:type="dxa"/>
          </w:tcPr>
          <w:p w:rsidR="00FF6E37" w:rsidRDefault="00FF6E37">
            <w:pPr>
              <w:pStyle w:val="yTable"/>
            </w:pPr>
            <w:r>
              <w:t>Extendable baton</w:t>
            </w:r>
          </w:p>
        </w:tc>
        <w:tc>
          <w:tcPr>
            <w:tcW w:w="4788" w:type="dxa"/>
          </w:tcPr>
          <w:p w:rsidR="00FF6E37" w:rsidRDefault="00FF6E37">
            <w:pPr>
              <w:pStyle w:val="yTable"/>
            </w:pPr>
            <w:r>
              <w:t>A baton made or modified so that the length of the baton extends by gravity or centrifugal force or by any pressure applied to a button, spring or device in or attached to the handle of the baton.</w:t>
            </w:r>
          </w:p>
        </w:tc>
      </w:tr>
      <w:tr w:rsidR="00FF6E37">
        <w:tc>
          <w:tcPr>
            <w:tcW w:w="755" w:type="dxa"/>
            <w:gridSpan w:val="2"/>
          </w:tcPr>
          <w:p w:rsidR="00FF6E37" w:rsidRDefault="00FF6E37">
            <w:pPr>
              <w:pStyle w:val="yTable"/>
            </w:pPr>
            <w:r>
              <w:t>11.</w:t>
            </w:r>
          </w:p>
        </w:tc>
        <w:tc>
          <w:tcPr>
            <w:tcW w:w="1726" w:type="dxa"/>
          </w:tcPr>
          <w:p w:rsidR="00FF6E37" w:rsidRDefault="00FF6E37">
            <w:pPr>
              <w:pStyle w:val="yTable"/>
            </w:pPr>
            <w:r>
              <w:t>Flick knife or Switchblade</w:t>
            </w:r>
          </w:p>
        </w:tc>
        <w:tc>
          <w:tcPr>
            <w:tcW w:w="4788" w:type="dxa"/>
          </w:tcPr>
          <w:p w:rsidR="00FF6E37" w:rsidRDefault="00FF6E37">
            <w:pPr>
              <w:pStyle w:val="yTable"/>
            </w:pPr>
            <w:r>
              <w:t>A knife —</w:t>
            </w:r>
          </w:p>
          <w:p w:rsidR="00FF6E37" w:rsidRDefault="00FF6E37">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FF6E37" w:rsidRDefault="00FF6E37">
            <w:pPr>
              <w:pStyle w:val="yTable"/>
              <w:tabs>
                <w:tab w:val="left" w:pos="496"/>
              </w:tabs>
              <w:ind w:left="496" w:hanging="496"/>
            </w:pPr>
            <w:r>
              <w:t>(b)</w:t>
            </w:r>
            <w:r>
              <w:tab/>
              <w:t>made or modified to be used to injure or disable a person or as a martial arts weapon.</w:t>
            </w:r>
          </w:p>
        </w:tc>
      </w:tr>
      <w:tr w:rsidR="00FF6E37">
        <w:tc>
          <w:tcPr>
            <w:tcW w:w="755" w:type="dxa"/>
            <w:gridSpan w:val="2"/>
          </w:tcPr>
          <w:p w:rsidR="00FF6E37" w:rsidRDefault="00FF6E37">
            <w:pPr>
              <w:pStyle w:val="yTable"/>
            </w:pPr>
            <w:r>
              <w:t>11A.</w:t>
            </w:r>
          </w:p>
        </w:tc>
        <w:tc>
          <w:tcPr>
            <w:tcW w:w="1726" w:type="dxa"/>
          </w:tcPr>
          <w:p w:rsidR="00FF6E37" w:rsidRDefault="00FF6E37">
            <w:pPr>
              <w:pStyle w:val="yTable"/>
            </w:pPr>
            <w:r>
              <w:t>Gas dart</w:t>
            </w:r>
          </w:p>
        </w:tc>
        <w:tc>
          <w:tcPr>
            <w:tcW w:w="4788" w:type="dxa"/>
          </w:tcPr>
          <w:p w:rsidR="00FF6E37" w:rsidRDefault="00FF6E37">
            <w:pPr>
              <w:pStyle w:val="yTable"/>
            </w:pPr>
            <w:r>
              <w:t>A device designed or adapted to kill or injure an animal by injecting a gas into the body of the animal (including a “Gas Dart”, “Farallon Shark Dart” or similar device).</w:t>
            </w:r>
          </w:p>
        </w:tc>
      </w:tr>
      <w:tr w:rsidR="00455957">
        <w:tc>
          <w:tcPr>
            <w:tcW w:w="755" w:type="dxa"/>
            <w:gridSpan w:val="2"/>
          </w:tcPr>
          <w:p w:rsidR="00455957" w:rsidRDefault="00455957" w:rsidP="00455957">
            <w:pPr>
              <w:pStyle w:val="yTable"/>
            </w:pPr>
            <w:r>
              <w:t>11B.</w:t>
            </w:r>
          </w:p>
        </w:tc>
        <w:tc>
          <w:tcPr>
            <w:tcW w:w="1726" w:type="dxa"/>
          </w:tcPr>
          <w:p w:rsidR="00455957" w:rsidRDefault="00455957" w:rsidP="00455957">
            <w:pPr>
              <w:pStyle w:val="yTable"/>
            </w:pPr>
            <w:r>
              <w:t>Gel blaster</w:t>
            </w:r>
          </w:p>
        </w:tc>
        <w:tc>
          <w:tcPr>
            <w:tcW w:w="4788" w:type="dxa"/>
          </w:tcPr>
          <w:p w:rsidR="00455957" w:rsidRDefault="00455957" w:rsidP="00455957">
            <w:pPr>
              <w:pStyle w:val="yTable"/>
            </w:pPr>
            <w:r>
              <w:t>An article that is made or modified to be used to discharge a hydrated superabsorbent polymer ball or other similar gel</w:t>
            </w:r>
            <w:r>
              <w:noBreakHyphen/>
              <w:t>like missile and includes the ball or missile.</w:t>
            </w:r>
          </w:p>
        </w:tc>
      </w:tr>
      <w:tr w:rsidR="00FF6E37">
        <w:tc>
          <w:tcPr>
            <w:tcW w:w="755" w:type="dxa"/>
            <w:gridSpan w:val="2"/>
          </w:tcPr>
          <w:p w:rsidR="00FF6E37" w:rsidRDefault="00FF6E37">
            <w:pPr>
              <w:pStyle w:val="yTable"/>
            </w:pPr>
            <w:r>
              <w:t>12.</w:t>
            </w:r>
          </w:p>
        </w:tc>
        <w:tc>
          <w:tcPr>
            <w:tcW w:w="1726" w:type="dxa"/>
          </w:tcPr>
          <w:p w:rsidR="00FF6E37" w:rsidRDefault="00FF6E37">
            <w:pPr>
              <w:pStyle w:val="yTable"/>
            </w:pPr>
            <w:r>
              <w:t>Knuckle dusters</w:t>
            </w:r>
          </w:p>
        </w:tc>
        <w:tc>
          <w:tcPr>
            <w:tcW w:w="4788" w:type="dxa"/>
          </w:tcPr>
          <w:p w:rsidR="00FF6E37" w:rsidRDefault="00FF6E37">
            <w:pPr>
              <w:pStyle w:val="yTable"/>
            </w:pPr>
            <w:r>
              <w:t>An article made or modified to be worn across the knuckles of a hand so as —</w:t>
            </w:r>
          </w:p>
          <w:p w:rsidR="00FF6E37" w:rsidRDefault="00FF6E37">
            <w:pPr>
              <w:pStyle w:val="yTable"/>
              <w:tabs>
                <w:tab w:val="left" w:pos="496"/>
              </w:tabs>
              <w:ind w:left="496" w:hanging="496"/>
            </w:pPr>
            <w:r>
              <w:t>(a)</w:t>
            </w:r>
            <w:r>
              <w:tab/>
              <w:t>to increase the force at the point of impact of a punch or blow when striking another with those knuckles; or</w:t>
            </w:r>
          </w:p>
          <w:p w:rsidR="00FF6E37" w:rsidRDefault="00FF6E37">
            <w:pPr>
              <w:pStyle w:val="yTable"/>
              <w:tabs>
                <w:tab w:val="left" w:pos="496"/>
              </w:tabs>
              <w:ind w:left="496" w:hanging="496"/>
            </w:pPr>
            <w:r>
              <w:t>(b)</w:t>
            </w:r>
            <w:r>
              <w:tab/>
              <w:t>to protect the knuckles from injury when striking another with those knuckles.</w:t>
            </w:r>
          </w:p>
        </w:tc>
      </w:tr>
      <w:tr w:rsidR="00FF6E37">
        <w:tc>
          <w:tcPr>
            <w:tcW w:w="755" w:type="dxa"/>
            <w:gridSpan w:val="2"/>
          </w:tcPr>
          <w:p w:rsidR="00FF6E37" w:rsidRDefault="00FF6E37">
            <w:pPr>
              <w:pStyle w:val="yTable"/>
            </w:pPr>
            <w:r>
              <w:t>13.</w:t>
            </w:r>
          </w:p>
        </w:tc>
        <w:tc>
          <w:tcPr>
            <w:tcW w:w="1726" w:type="dxa"/>
          </w:tcPr>
          <w:p w:rsidR="00FF6E37" w:rsidRDefault="00FF6E37">
            <w:pPr>
              <w:pStyle w:val="yTable"/>
            </w:pPr>
            <w:r>
              <w:t>Knuckle knife</w:t>
            </w:r>
          </w:p>
        </w:tc>
        <w:tc>
          <w:tcPr>
            <w:tcW w:w="4788" w:type="dxa"/>
          </w:tcPr>
          <w:p w:rsidR="00FF6E37" w:rsidRDefault="00FF6E37">
            <w:pPr>
              <w:pStyle w:val="yTable"/>
            </w:pPr>
            <w:r>
              <w:t xml:space="preserve">A knife made or modified to be held so that the blade protrudes between the knuckles or fingers of a </w:t>
            </w:r>
            <w:r>
              <w:lastRenderedPageBreak/>
              <w:t>hand (e.g. the article commonly known as the “Urban Pal” knife).</w:t>
            </w:r>
          </w:p>
        </w:tc>
      </w:tr>
      <w:tr w:rsidR="00FF6E37">
        <w:tc>
          <w:tcPr>
            <w:tcW w:w="2481" w:type="dxa"/>
            <w:gridSpan w:val="3"/>
          </w:tcPr>
          <w:p w:rsidR="00FF6E37" w:rsidRDefault="00FF6E37">
            <w:pPr>
              <w:pStyle w:val="yTable"/>
              <w:tabs>
                <w:tab w:val="left" w:pos="600"/>
              </w:tabs>
            </w:pPr>
            <w:r>
              <w:rPr>
                <w:i/>
              </w:rPr>
              <w:lastRenderedPageBreak/>
              <w:t>[14.</w:t>
            </w:r>
            <w:r>
              <w:rPr>
                <w:i/>
              </w:rPr>
              <w:tab/>
              <w:t>deleted]</w:t>
            </w:r>
          </w:p>
        </w:tc>
        <w:tc>
          <w:tcPr>
            <w:tcW w:w="4788" w:type="dxa"/>
          </w:tcPr>
          <w:p w:rsidR="00FF6E37" w:rsidRDefault="00FF6E37">
            <w:pPr>
              <w:pStyle w:val="yTable"/>
            </w:pPr>
          </w:p>
        </w:tc>
      </w:tr>
      <w:tr w:rsidR="00FF6E37">
        <w:trPr>
          <w:cantSplit/>
        </w:trPr>
        <w:tc>
          <w:tcPr>
            <w:tcW w:w="624" w:type="dxa"/>
          </w:tcPr>
          <w:p w:rsidR="00FF6E37" w:rsidRDefault="00FF6E37">
            <w:pPr>
              <w:pStyle w:val="yTable"/>
            </w:pPr>
            <w:r>
              <w:t>15.</w:t>
            </w:r>
          </w:p>
        </w:tc>
        <w:tc>
          <w:tcPr>
            <w:tcW w:w="1857" w:type="dxa"/>
            <w:gridSpan w:val="2"/>
          </w:tcPr>
          <w:p w:rsidR="00FF6E37" w:rsidRDefault="00FF6E37">
            <w:pPr>
              <w:pStyle w:val="yTable"/>
            </w:pPr>
            <w:r>
              <w:t>Spray weapon</w:t>
            </w:r>
            <w:r>
              <w:br/>
              <w:t>(not oleoresin capsicum)</w:t>
            </w:r>
          </w:p>
        </w:tc>
        <w:tc>
          <w:tcPr>
            <w:tcW w:w="4788" w:type="dxa"/>
          </w:tcPr>
          <w:p w:rsidR="00FF6E37" w:rsidRDefault="00FF6E37">
            <w:pPr>
              <w:pStyle w:val="yTable"/>
            </w:pPr>
            <w:r>
              <w:t>A spray weapon made or modified to be used to discharge a substance other than oleoresin capsicum.</w:t>
            </w:r>
          </w:p>
        </w:tc>
      </w:tr>
    </w:tbl>
    <w:p w:rsidR="00FF6E37" w:rsidRDefault="00FF6E37">
      <w:pPr>
        <w:pStyle w:val="yFootnotesection"/>
      </w:pPr>
      <w:r>
        <w:tab/>
        <w:t>[Schedule 1 amended: Gazette 11 Sep 2007 p. 4613; 8 Apr 2011 p. 1286</w:t>
      </w:r>
      <w:r w:rsidR="00365B0D">
        <w:t>; SL 2021/120 r. 4</w:t>
      </w:r>
      <w:r>
        <w:t>.]</w:t>
      </w:r>
    </w:p>
    <w:p w:rsidR="00FF6E37" w:rsidRDefault="00FF6E37">
      <w:pPr>
        <w:pStyle w:val="yScheduleHeading"/>
      </w:pPr>
      <w:bookmarkStart w:id="23" w:name="_Toc75958005"/>
      <w:bookmarkStart w:id="24" w:name="_Toc75960287"/>
      <w:bookmarkStart w:id="25" w:name="_Toc75960308"/>
      <w:bookmarkStart w:id="26" w:name="_Toc75961071"/>
      <w:bookmarkStart w:id="27" w:name="_Toc75961091"/>
      <w:r>
        <w:rPr>
          <w:rStyle w:val="CharSchNo"/>
        </w:rPr>
        <w:lastRenderedPageBreak/>
        <w:t>Schedule 2</w:t>
      </w:r>
      <w:r>
        <w:t xml:space="preserve"> — </w:t>
      </w:r>
      <w:r>
        <w:rPr>
          <w:rStyle w:val="CharSchText"/>
        </w:rPr>
        <w:t>Controlled weapons</w:t>
      </w:r>
      <w:bookmarkEnd w:id="23"/>
      <w:bookmarkEnd w:id="24"/>
      <w:bookmarkEnd w:id="25"/>
      <w:bookmarkEnd w:id="26"/>
      <w:bookmarkEnd w:id="27"/>
    </w:p>
    <w:p w:rsidR="00FF6E37" w:rsidRDefault="00FF6E37">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rsidR="00FF6E37">
        <w:trPr>
          <w:cantSplit/>
          <w:tblHeader/>
        </w:trPr>
        <w:tc>
          <w:tcPr>
            <w:tcW w:w="869" w:type="dxa"/>
          </w:tcPr>
          <w:p w:rsidR="00FF6E37" w:rsidRDefault="00FF6E37">
            <w:pPr>
              <w:pStyle w:val="yTable"/>
              <w:rPr>
                <w:b/>
              </w:rPr>
            </w:pPr>
            <w:r>
              <w:rPr>
                <w:b/>
              </w:rPr>
              <w:t>Item</w:t>
            </w:r>
          </w:p>
        </w:tc>
        <w:tc>
          <w:tcPr>
            <w:tcW w:w="1612" w:type="dxa"/>
          </w:tcPr>
          <w:p w:rsidR="00FF6E37" w:rsidRDefault="00FF6E37">
            <w:pPr>
              <w:pStyle w:val="yTable"/>
              <w:rPr>
                <w:b/>
              </w:rPr>
            </w:pPr>
            <w:r>
              <w:rPr>
                <w:b/>
              </w:rPr>
              <w:t>Article</w:t>
            </w:r>
          </w:p>
        </w:tc>
        <w:tc>
          <w:tcPr>
            <w:tcW w:w="4760" w:type="dxa"/>
          </w:tcPr>
          <w:p w:rsidR="00FF6E37" w:rsidRDefault="00FF6E37">
            <w:pPr>
              <w:pStyle w:val="yTable"/>
              <w:rPr>
                <w:b/>
              </w:rPr>
            </w:pPr>
            <w:r>
              <w:rPr>
                <w:b/>
              </w:rPr>
              <w:t>Description</w:t>
            </w:r>
          </w:p>
        </w:tc>
      </w:tr>
      <w:tr w:rsidR="00FF6E37">
        <w:trPr>
          <w:cantSplit/>
        </w:trPr>
        <w:tc>
          <w:tcPr>
            <w:tcW w:w="869" w:type="dxa"/>
          </w:tcPr>
          <w:p w:rsidR="00FF6E37" w:rsidRDefault="00FF6E37">
            <w:pPr>
              <w:pStyle w:val="yTable"/>
            </w:pPr>
            <w:r>
              <w:t>1.</w:t>
            </w:r>
          </w:p>
        </w:tc>
        <w:tc>
          <w:tcPr>
            <w:tcW w:w="1612" w:type="dxa"/>
          </w:tcPr>
          <w:p w:rsidR="00FF6E37" w:rsidRDefault="00FF6E37">
            <w:pPr>
              <w:pStyle w:val="yTable"/>
            </w:pPr>
            <w:r>
              <w:t>Approved electric shock case</w:t>
            </w:r>
          </w:p>
        </w:tc>
        <w:tc>
          <w:tcPr>
            <w:tcW w:w="4760" w:type="dxa"/>
          </w:tcPr>
          <w:p w:rsidR="00FF6E37" w:rsidRDefault="00FF6E37">
            <w:pPr>
              <w:pStyle w:val="yTable"/>
            </w:pPr>
            <w:r>
              <w:t>Any approved electric shock case.</w:t>
            </w:r>
          </w:p>
        </w:tc>
      </w:tr>
      <w:tr w:rsidR="00FF6E37">
        <w:trPr>
          <w:cantSplit/>
        </w:trPr>
        <w:tc>
          <w:tcPr>
            <w:tcW w:w="869" w:type="dxa"/>
          </w:tcPr>
          <w:p w:rsidR="00FF6E37" w:rsidRDefault="00FF6E37">
            <w:pPr>
              <w:pStyle w:val="yTable"/>
            </w:pPr>
            <w:r>
              <w:t>2.</w:t>
            </w:r>
          </w:p>
        </w:tc>
        <w:tc>
          <w:tcPr>
            <w:tcW w:w="1612" w:type="dxa"/>
          </w:tcPr>
          <w:p w:rsidR="00FF6E37" w:rsidRDefault="00FF6E37">
            <w:pPr>
              <w:pStyle w:val="yTable"/>
            </w:pPr>
            <w:r>
              <w:t>Baton flail</w:t>
            </w:r>
          </w:p>
        </w:tc>
        <w:tc>
          <w:tcPr>
            <w:tcW w:w="4760" w:type="dxa"/>
          </w:tcPr>
          <w:p w:rsidR="00FF6E37" w:rsidRDefault="00FF6E37">
            <w:pPr>
              <w:pStyle w:val="yTable"/>
            </w:pPr>
            <w:r>
              <w:t>An article consisting of 2 or more batons joined by a cord, rope or chain so as to form a flail and includes —</w:t>
            </w:r>
          </w:p>
          <w:p w:rsidR="00FF6E37" w:rsidRDefault="00FF6E37">
            <w:pPr>
              <w:pStyle w:val="yTable"/>
              <w:tabs>
                <w:tab w:val="left" w:pos="496"/>
              </w:tabs>
              <w:ind w:left="496" w:hanging="496"/>
            </w:pPr>
            <w:r>
              <w:t>(a)</w:t>
            </w:r>
            <w:r>
              <w:tab/>
              <w:t>the martial arts weapon known as the nunchaku; and</w:t>
            </w:r>
          </w:p>
          <w:p w:rsidR="00FF6E37" w:rsidRDefault="00FF6E37">
            <w:pPr>
              <w:pStyle w:val="yTable"/>
              <w:tabs>
                <w:tab w:val="left" w:pos="496"/>
              </w:tabs>
              <w:ind w:left="496" w:hanging="496"/>
            </w:pPr>
            <w:r>
              <w:t>(b)</w:t>
            </w:r>
            <w:r>
              <w:tab/>
              <w:t>a baton constructed in such a way that it can be unscrewed or broken to form a flail.</w:t>
            </w:r>
          </w:p>
        </w:tc>
      </w:tr>
      <w:tr w:rsidR="00FF6E37">
        <w:trPr>
          <w:cantSplit/>
        </w:trPr>
        <w:tc>
          <w:tcPr>
            <w:tcW w:w="869" w:type="dxa"/>
          </w:tcPr>
          <w:p w:rsidR="00FF6E37" w:rsidRDefault="00FF6E37">
            <w:pPr>
              <w:pStyle w:val="yTable"/>
            </w:pPr>
            <w:r>
              <w:t>3.</w:t>
            </w:r>
          </w:p>
        </w:tc>
        <w:tc>
          <w:tcPr>
            <w:tcW w:w="1612" w:type="dxa"/>
          </w:tcPr>
          <w:p w:rsidR="00FF6E37" w:rsidRDefault="00FF6E37">
            <w:pPr>
              <w:pStyle w:val="yTable"/>
            </w:pPr>
            <w:r>
              <w:t>Bow</w:t>
            </w:r>
          </w:p>
        </w:tc>
        <w:tc>
          <w:tcPr>
            <w:tcW w:w="4760" w:type="dxa"/>
          </w:tcPr>
          <w:p w:rsidR="00FF6E37" w:rsidRDefault="00FF6E37">
            <w:pPr>
              <w:pStyle w:val="yTable"/>
            </w:pPr>
            <w:r>
              <w:t>An article made or modified to be used to discharge an arrow by an elastic force and includes the arrow.</w:t>
            </w:r>
          </w:p>
        </w:tc>
      </w:tr>
      <w:tr w:rsidR="00FF6E37">
        <w:trPr>
          <w:cantSplit/>
        </w:trPr>
        <w:tc>
          <w:tcPr>
            <w:tcW w:w="869" w:type="dxa"/>
          </w:tcPr>
          <w:p w:rsidR="00FF6E37" w:rsidRDefault="00FF6E37">
            <w:pPr>
              <w:pStyle w:val="yTable"/>
            </w:pPr>
            <w:r>
              <w:t>4.</w:t>
            </w:r>
          </w:p>
        </w:tc>
        <w:tc>
          <w:tcPr>
            <w:tcW w:w="1612" w:type="dxa"/>
          </w:tcPr>
          <w:p w:rsidR="00FF6E37" w:rsidRDefault="00FF6E37">
            <w:pPr>
              <w:pStyle w:val="yTable"/>
            </w:pPr>
            <w:r>
              <w:t>Captive bolt gun</w:t>
            </w:r>
          </w:p>
        </w:tc>
        <w:tc>
          <w:tcPr>
            <w:tcW w:w="4760" w:type="dxa"/>
          </w:tcPr>
          <w:p w:rsidR="00FF6E37" w:rsidRDefault="00FF6E37">
            <w:pPr>
              <w:pStyle w:val="yTable"/>
            </w:pPr>
            <w:r>
              <w:t>An article made or modified to be used for slaughtering an animal by means of a bolt that is fired into the animal but remains part of the article before and after the firing.</w:t>
            </w:r>
          </w:p>
        </w:tc>
      </w:tr>
      <w:tr w:rsidR="00FF6E37">
        <w:trPr>
          <w:cantSplit/>
        </w:trPr>
        <w:tc>
          <w:tcPr>
            <w:tcW w:w="869" w:type="dxa"/>
          </w:tcPr>
          <w:p w:rsidR="00FF6E37" w:rsidRDefault="00FF6E37">
            <w:pPr>
              <w:pStyle w:val="yTable"/>
            </w:pPr>
            <w:r>
              <w:t>5.</w:t>
            </w:r>
          </w:p>
        </w:tc>
        <w:tc>
          <w:tcPr>
            <w:tcW w:w="1612" w:type="dxa"/>
          </w:tcPr>
          <w:p w:rsidR="00FF6E37" w:rsidRDefault="00FF6E37">
            <w:pPr>
              <w:pStyle w:val="yTable"/>
            </w:pPr>
            <w:r>
              <w:t>Dagger</w:t>
            </w:r>
          </w:p>
        </w:tc>
        <w:tc>
          <w:tcPr>
            <w:tcW w:w="4760" w:type="dxa"/>
          </w:tcPr>
          <w:p w:rsidR="00FF6E37" w:rsidRDefault="00FF6E37">
            <w:pPr>
              <w:pStyle w:val="yTable"/>
            </w:pPr>
            <w:r>
              <w:t>A sharp pointed stabbing knife having —</w:t>
            </w:r>
          </w:p>
          <w:p w:rsidR="00FF6E37" w:rsidRDefault="00FF6E37">
            <w:pPr>
              <w:pStyle w:val="yTable"/>
              <w:tabs>
                <w:tab w:val="left" w:pos="496"/>
              </w:tabs>
              <w:ind w:left="496" w:hanging="496"/>
            </w:pPr>
            <w:r>
              <w:t>(a)</w:t>
            </w:r>
            <w:r>
              <w:tab/>
              <w:t>a flat blade, exceeding 8 cm in length with non</w:t>
            </w:r>
            <w:r>
              <w:noBreakHyphen/>
              <w:t>serrated cutting edges along the length of both sides; or</w:t>
            </w:r>
          </w:p>
          <w:p w:rsidR="00FF6E37" w:rsidRDefault="00FF6E37">
            <w:pPr>
              <w:pStyle w:val="yTable"/>
              <w:tabs>
                <w:tab w:val="left" w:pos="496"/>
              </w:tabs>
              <w:ind w:left="496" w:hanging="496"/>
            </w:pPr>
            <w:r>
              <w:t>(b)</w:t>
            </w:r>
            <w:r>
              <w:tab/>
              <w:t>a needle</w:t>
            </w:r>
            <w:r>
              <w:noBreakHyphen/>
              <w:t>like blade, the cross section of which is elliptical or has 3 or more sides,</w:t>
            </w:r>
          </w:p>
          <w:p w:rsidR="00FF6E37" w:rsidRDefault="00FF6E37">
            <w:pPr>
              <w:pStyle w:val="yTable"/>
            </w:pPr>
            <w:r>
              <w:t>and includes a bayonet.</w:t>
            </w:r>
          </w:p>
        </w:tc>
      </w:tr>
      <w:tr w:rsidR="00FF6E37">
        <w:trPr>
          <w:cantSplit/>
        </w:trPr>
        <w:tc>
          <w:tcPr>
            <w:tcW w:w="869" w:type="dxa"/>
          </w:tcPr>
          <w:p w:rsidR="00FF6E37" w:rsidRDefault="00FF6E37">
            <w:pPr>
              <w:pStyle w:val="yTable"/>
            </w:pPr>
            <w:r>
              <w:t>6.</w:t>
            </w:r>
          </w:p>
        </w:tc>
        <w:tc>
          <w:tcPr>
            <w:tcW w:w="1612" w:type="dxa"/>
          </w:tcPr>
          <w:p w:rsidR="00FF6E37" w:rsidRDefault="00FF6E37">
            <w:pPr>
              <w:pStyle w:val="yTable"/>
            </w:pPr>
            <w:r>
              <w:t>Double end knife</w:t>
            </w:r>
          </w:p>
        </w:tc>
        <w:tc>
          <w:tcPr>
            <w:tcW w:w="4760" w:type="dxa"/>
          </w:tcPr>
          <w:p w:rsidR="00FF6E37" w:rsidRDefault="00FF6E37">
            <w:pPr>
              <w:pStyle w:val="yTable"/>
            </w:pPr>
            <w:r>
              <w:t>A knife —</w:t>
            </w:r>
          </w:p>
          <w:p w:rsidR="00FF6E37" w:rsidRDefault="00FF6E37">
            <w:pPr>
              <w:pStyle w:val="yTable"/>
              <w:tabs>
                <w:tab w:val="left" w:pos="496"/>
              </w:tabs>
              <w:ind w:left="496" w:hanging="496"/>
            </w:pPr>
            <w:r>
              <w:t>(a)</w:t>
            </w:r>
            <w:r>
              <w:tab/>
              <w:t>having fixed blades at both ends of the handle; and</w:t>
            </w:r>
          </w:p>
          <w:p w:rsidR="00FF6E37" w:rsidRDefault="00FF6E37">
            <w:pPr>
              <w:pStyle w:val="yTable"/>
              <w:tabs>
                <w:tab w:val="left" w:pos="496"/>
              </w:tabs>
              <w:ind w:left="496" w:hanging="496"/>
            </w:pPr>
            <w:r>
              <w:t>(b)</w:t>
            </w:r>
            <w:r>
              <w:tab/>
              <w:t>made or modified to be used to injure or disable a person or as a martial arts weapon,</w:t>
            </w:r>
          </w:p>
          <w:p w:rsidR="00FF6E37" w:rsidRDefault="00FF6E37">
            <w:pPr>
              <w:pStyle w:val="yTable"/>
            </w:pPr>
            <w:r>
              <w:t>(e.g. the martial arts weapon known as the suan ywe gou).</w:t>
            </w:r>
          </w:p>
        </w:tc>
      </w:tr>
      <w:tr w:rsidR="00FF6E37">
        <w:trPr>
          <w:cantSplit/>
        </w:trPr>
        <w:tc>
          <w:tcPr>
            <w:tcW w:w="869" w:type="dxa"/>
          </w:tcPr>
          <w:p w:rsidR="00FF6E37" w:rsidRDefault="00FF6E37">
            <w:pPr>
              <w:pStyle w:val="yTable"/>
            </w:pPr>
            <w:r>
              <w:t>7.</w:t>
            </w:r>
          </w:p>
        </w:tc>
        <w:tc>
          <w:tcPr>
            <w:tcW w:w="1612" w:type="dxa"/>
          </w:tcPr>
          <w:p w:rsidR="00FF6E37" w:rsidRDefault="00FF6E37">
            <w:pPr>
              <w:pStyle w:val="yTable"/>
            </w:pPr>
            <w:r>
              <w:t>Fixed baton</w:t>
            </w:r>
          </w:p>
        </w:tc>
        <w:tc>
          <w:tcPr>
            <w:tcW w:w="4760" w:type="dxa"/>
          </w:tcPr>
          <w:p w:rsidR="00FF6E37" w:rsidRDefault="00FF6E37">
            <w:pPr>
              <w:pStyle w:val="yTable"/>
            </w:pPr>
            <w:r>
              <w:t>Any baton other than an extendable baton or a baton flail and includes the martial arts weapon known as the tonfa.</w:t>
            </w:r>
          </w:p>
        </w:tc>
      </w:tr>
      <w:tr w:rsidR="00FF6E37">
        <w:trPr>
          <w:cantSplit/>
        </w:trPr>
        <w:tc>
          <w:tcPr>
            <w:tcW w:w="869" w:type="dxa"/>
          </w:tcPr>
          <w:p w:rsidR="00FF6E37" w:rsidRDefault="00FF6E37">
            <w:pPr>
              <w:pStyle w:val="yTable"/>
            </w:pPr>
            <w:r>
              <w:lastRenderedPageBreak/>
              <w:t>8.</w:t>
            </w:r>
          </w:p>
        </w:tc>
        <w:tc>
          <w:tcPr>
            <w:tcW w:w="1612" w:type="dxa"/>
          </w:tcPr>
          <w:p w:rsidR="00FF6E37" w:rsidRDefault="00FF6E37">
            <w:pPr>
              <w:pStyle w:val="yTable"/>
            </w:pPr>
            <w:r>
              <w:t>Halberd</w:t>
            </w:r>
          </w:p>
        </w:tc>
        <w:tc>
          <w:tcPr>
            <w:tcW w:w="4760" w:type="dxa"/>
          </w:tcPr>
          <w:p w:rsidR="00FF6E37" w:rsidRDefault="00FF6E37">
            <w:pPr>
              <w:pStyle w:val="yTable"/>
            </w:pPr>
            <w:r>
              <w:t>An article (other than a spear) —</w:t>
            </w:r>
          </w:p>
          <w:p w:rsidR="00FF6E37" w:rsidRDefault="00FF6E37">
            <w:pPr>
              <w:pStyle w:val="yTable"/>
              <w:tabs>
                <w:tab w:val="left" w:pos="496"/>
              </w:tabs>
              <w:ind w:left="496" w:hanging="496"/>
            </w:pPr>
            <w:r>
              <w:t>(a)</w:t>
            </w:r>
            <w:r>
              <w:tab/>
              <w:t>consisting of a stick or pole with a blade at the end; and</w:t>
            </w:r>
          </w:p>
          <w:p w:rsidR="00FF6E37" w:rsidRDefault="00FF6E37">
            <w:pPr>
              <w:pStyle w:val="yTable"/>
              <w:tabs>
                <w:tab w:val="left" w:pos="496"/>
              </w:tabs>
              <w:ind w:left="496" w:hanging="496"/>
            </w:pPr>
            <w:r>
              <w:t>(b)</w:t>
            </w:r>
            <w:r>
              <w:tab/>
              <w:t>made or modified to be used to injure or disable a person or as a martial arts weapon,</w:t>
            </w:r>
          </w:p>
          <w:p w:rsidR="00FF6E37" w:rsidRDefault="00FF6E37">
            <w:pPr>
              <w:pStyle w:val="yTable"/>
            </w:pPr>
            <w:r>
              <w:t>(e.g. the martial arts weapon known as the naginata).</w:t>
            </w:r>
          </w:p>
        </w:tc>
      </w:tr>
      <w:tr w:rsidR="00FF6E37">
        <w:trPr>
          <w:cantSplit/>
        </w:trPr>
        <w:tc>
          <w:tcPr>
            <w:tcW w:w="869" w:type="dxa"/>
          </w:tcPr>
          <w:p w:rsidR="00FF6E37" w:rsidRDefault="00FF6E37">
            <w:pPr>
              <w:pStyle w:val="yTable"/>
            </w:pPr>
            <w:r>
              <w:t>9.</w:t>
            </w:r>
          </w:p>
        </w:tc>
        <w:tc>
          <w:tcPr>
            <w:tcW w:w="1612" w:type="dxa"/>
          </w:tcPr>
          <w:p w:rsidR="00FF6E37" w:rsidRDefault="00FF6E37">
            <w:pPr>
              <w:pStyle w:val="yTable"/>
            </w:pPr>
            <w:r>
              <w:t>Hand or foot claws</w:t>
            </w:r>
          </w:p>
        </w:tc>
        <w:tc>
          <w:tcPr>
            <w:tcW w:w="4760" w:type="dxa"/>
          </w:tcPr>
          <w:p w:rsidR="00FF6E37" w:rsidRDefault="00FF6E37">
            <w:pPr>
              <w:pStyle w:val="yTable"/>
            </w:pPr>
            <w:r>
              <w:t>An article consisting of claws that are made or modified to be attached to or worn on the hands or feet (e.g. the martial arts weapons known as the ninja climbing claws, ninja hand claws and ninja foot claws).</w:t>
            </w:r>
          </w:p>
        </w:tc>
      </w:tr>
      <w:tr w:rsidR="00FF6E37">
        <w:trPr>
          <w:cantSplit/>
        </w:trPr>
        <w:tc>
          <w:tcPr>
            <w:tcW w:w="869" w:type="dxa"/>
          </w:tcPr>
          <w:p w:rsidR="00FF6E37" w:rsidRDefault="00FF6E37">
            <w:pPr>
              <w:pStyle w:val="yTable"/>
            </w:pPr>
            <w:r>
              <w:t>10.</w:t>
            </w:r>
          </w:p>
        </w:tc>
        <w:tc>
          <w:tcPr>
            <w:tcW w:w="1612" w:type="dxa"/>
          </w:tcPr>
          <w:p w:rsidR="00FF6E37" w:rsidRDefault="00FF6E37">
            <w:pPr>
              <w:pStyle w:val="yTable"/>
            </w:pPr>
            <w:r>
              <w:t>Imitation firearm</w:t>
            </w:r>
          </w:p>
        </w:tc>
        <w:tc>
          <w:tcPr>
            <w:tcW w:w="4760" w:type="dxa"/>
          </w:tcPr>
          <w:p w:rsidR="00FF6E37" w:rsidRDefault="00FF6E37">
            <w:pPr>
              <w:pStyle w:val="yTable"/>
            </w:pPr>
            <w:r>
              <w:t>An article, not being an article that is clearly a toy, that has the appearance of being a firearm but is not capable of discharging a missile.</w:t>
            </w:r>
          </w:p>
        </w:tc>
      </w:tr>
      <w:tr w:rsidR="00FF6E37">
        <w:trPr>
          <w:cantSplit/>
        </w:trPr>
        <w:tc>
          <w:tcPr>
            <w:tcW w:w="869" w:type="dxa"/>
          </w:tcPr>
          <w:p w:rsidR="00FF6E37" w:rsidRDefault="00FF6E37">
            <w:pPr>
              <w:pStyle w:val="yTable"/>
            </w:pPr>
            <w:r>
              <w:t>10AA.</w:t>
            </w:r>
          </w:p>
        </w:tc>
        <w:tc>
          <w:tcPr>
            <w:tcW w:w="1612" w:type="dxa"/>
          </w:tcPr>
          <w:p w:rsidR="00FF6E37" w:rsidRDefault="00FF6E37">
            <w:pPr>
              <w:pStyle w:val="yTable"/>
            </w:pPr>
            <w:r>
              <w:t>Light pointer</w:t>
            </w:r>
          </w:p>
        </w:tc>
        <w:tc>
          <w:tcPr>
            <w:tcW w:w="4760" w:type="dxa"/>
          </w:tcPr>
          <w:p w:rsidR="00FF6E37" w:rsidRDefault="00FF6E37">
            <w:pPr>
              <w:pStyle w:val="yTable"/>
            </w:pPr>
            <w:r>
              <w:t>An article made or modified to be used to emit light so as to be used as a pointing device (including a laser pointer).</w:t>
            </w:r>
          </w:p>
        </w:tc>
      </w:tr>
      <w:tr w:rsidR="00FF6E37">
        <w:trPr>
          <w:cantSplit/>
        </w:trPr>
        <w:tc>
          <w:tcPr>
            <w:tcW w:w="869" w:type="dxa"/>
          </w:tcPr>
          <w:p w:rsidR="00FF6E37" w:rsidRDefault="00FF6E37">
            <w:pPr>
              <w:pStyle w:val="yTable"/>
            </w:pPr>
            <w:r>
              <w:t>10A.</w:t>
            </w:r>
          </w:p>
        </w:tc>
        <w:tc>
          <w:tcPr>
            <w:tcW w:w="1612" w:type="dxa"/>
          </w:tcPr>
          <w:p w:rsidR="00FF6E37" w:rsidRDefault="00FF6E37">
            <w:pPr>
              <w:pStyle w:val="yTable"/>
            </w:pPr>
            <w:r>
              <w:t>Machete</w:t>
            </w:r>
          </w:p>
        </w:tc>
        <w:tc>
          <w:tcPr>
            <w:tcW w:w="4760" w:type="dxa"/>
          </w:tcPr>
          <w:p w:rsidR="00FF6E37" w:rsidRDefault="00FF6E37">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rsidR="00FF6E37">
        <w:trPr>
          <w:cantSplit/>
        </w:trPr>
        <w:tc>
          <w:tcPr>
            <w:tcW w:w="869" w:type="dxa"/>
          </w:tcPr>
          <w:p w:rsidR="00FF6E37" w:rsidRDefault="00FF6E37">
            <w:pPr>
              <w:pStyle w:val="yTable"/>
            </w:pPr>
            <w:r>
              <w:t>11.</w:t>
            </w:r>
          </w:p>
        </w:tc>
        <w:tc>
          <w:tcPr>
            <w:tcW w:w="1612" w:type="dxa"/>
          </w:tcPr>
          <w:p w:rsidR="00FF6E37" w:rsidRDefault="00FF6E37">
            <w:pPr>
              <w:pStyle w:val="yTable"/>
            </w:pPr>
            <w:r>
              <w:t>Metal whip</w:t>
            </w:r>
          </w:p>
        </w:tc>
        <w:tc>
          <w:tcPr>
            <w:tcW w:w="4760" w:type="dxa"/>
          </w:tcPr>
          <w:p w:rsidR="00FF6E37" w:rsidRDefault="00FF6E37">
            <w:pPr>
              <w:pStyle w:val="yTable"/>
            </w:pPr>
            <w:r>
              <w:t>An article —</w:t>
            </w:r>
          </w:p>
          <w:p w:rsidR="00FF6E37" w:rsidRDefault="00FF6E37">
            <w:pPr>
              <w:pStyle w:val="yTable"/>
              <w:tabs>
                <w:tab w:val="left" w:pos="496"/>
              </w:tabs>
              <w:ind w:left="496" w:hanging="496"/>
            </w:pPr>
            <w:r>
              <w:t>(a)</w:t>
            </w:r>
            <w:r>
              <w:tab/>
              <w:t>consisting of or incorporating a chain or a combination of a chain and metal pieces or rods; and</w:t>
            </w:r>
          </w:p>
          <w:p w:rsidR="00FF6E37" w:rsidRDefault="00FF6E37">
            <w:pPr>
              <w:pStyle w:val="yTable"/>
              <w:tabs>
                <w:tab w:val="left" w:pos="496"/>
              </w:tabs>
              <w:ind w:left="496" w:hanging="496"/>
            </w:pPr>
            <w:r>
              <w:t>(b)</w:t>
            </w:r>
            <w:r>
              <w:tab/>
              <w:t>made or modified to be used as a whip,</w:t>
            </w:r>
          </w:p>
          <w:p w:rsidR="00FF6E37" w:rsidRDefault="00FF6E37">
            <w:pPr>
              <w:pStyle w:val="yTable"/>
            </w:pPr>
            <w:r>
              <w:t>(e.g. the martial arts weapons known as the Chinese whip, whip spear, 7 or 9 piece iron chain, bian tzu chiang and lien tzu chiang).</w:t>
            </w:r>
          </w:p>
        </w:tc>
      </w:tr>
      <w:tr w:rsidR="00FF6E37">
        <w:trPr>
          <w:cantSplit/>
        </w:trPr>
        <w:tc>
          <w:tcPr>
            <w:tcW w:w="869" w:type="dxa"/>
          </w:tcPr>
          <w:p w:rsidR="00FF6E37" w:rsidRDefault="00FF6E37">
            <w:pPr>
              <w:pStyle w:val="yTable"/>
            </w:pPr>
            <w:r>
              <w:t>12.</w:t>
            </w:r>
          </w:p>
        </w:tc>
        <w:tc>
          <w:tcPr>
            <w:tcW w:w="1612" w:type="dxa"/>
          </w:tcPr>
          <w:p w:rsidR="00FF6E37" w:rsidRDefault="00FF6E37">
            <w:pPr>
              <w:pStyle w:val="yTable"/>
            </w:pPr>
            <w:r>
              <w:t>Pressure point weapon</w:t>
            </w:r>
          </w:p>
        </w:tc>
        <w:tc>
          <w:tcPr>
            <w:tcW w:w="4760" w:type="dxa"/>
          </w:tcPr>
          <w:p w:rsidR="00FF6E37" w:rsidRDefault="00FF6E37">
            <w:pPr>
              <w:pStyle w:val="yTable"/>
            </w:pPr>
            <w:r>
              <w:t>An article made or modified to be used to injure or disable a person by application to the pressure points of the human body and includes the martial arts weapon known as the kubotan.</w:t>
            </w:r>
          </w:p>
        </w:tc>
      </w:tr>
      <w:tr w:rsidR="00FF6E37">
        <w:trPr>
          <w:cantSplit/>
        </w:trPr>
        <w:tc>
          <w:tcPr>
            <w:tcW w:w="869" w:type="dxa"/>
          </w:tcPr>
          <w:p w:rsidR="00FF6E37" w:rsidRDefault="00FF6E37">
            <w:pPr>
              <w:pStyle w:val="yTable"/>
            </w:pPr>
            <w:r>
              <w:lastRenderedPageBreak/>
              <w:t>13.</w:t>
            </w:r>
          </w:p>
        </w:tc>
        <w:tc>
          <w:tcPr>
            <w:tcW w:w="1612" w:type="dxa"/>
          </w:tcPr>
          <w:p w:rsidR="00FF6E37" w:rsidRDefault="00FF6E37">
            <w:pPr>
              <w:pStyle w:val="yTable"/>
            </w:pPr>
            <w:r>
              <w:t>Pronged weapon</w:t>
            </w:r>
          </w:p>
        </w:tc>
        <w:tc>
          <w:tcPr>
            <w:tcW w:w="4760" w:type="dxa"/>
          </w:tcPr>
          <w:p w:rsidR="00FF6E37" w:rsidRDefault="00FF6E37">
            <w:pPr>
              <w:pStyle w:val="yTable"/>
            </w:pPr>
            <w:r>
              <w:t>An article —</w:t>
            </w:r>
          </w:p>
          <w:p w:rsidR="00FF6E37" w:rsidRDefault="00FF6E37">
            <w:pPr>
              <w:pStyle w:val="yTable"/>
              <w:tabs>
                <w:tab w:val="left" w:pos="496"/>
              </w:tabs>
              <w:ind w:left="496" w:hanging="496"/>
            </w:pPr>
            <w:r>
              <w:t>(a)</w:t>
            </w:r>
            <w:r>
              <w:tab/>
              <w:t>having 2 or more prongs; and</w:t>
            </w:r>
          </w:p>
          <w:p w:rsidR="00FF6E37" w:rsidRDefault="00FF6E37">
            <w:pPr>
              <w:pStyle w:val="yTable"/>
              <w:tabs>
                <w:tab w:val="left" w:pos="496"/>
              </w:tabs>
              <w:ind w:left="496" w:hanging="496"/>
            </w:pPr>
            <w:r>
              <w:t>(b)</w:t>
            </w:r>
            <w:r>
              <w:tab/>
              <w:t>made or modified to be used to injure or disable a person or as a martial arts weapon,</w:t>
            </w:r>
          </w:p>
          <w:p w:rsidR="00FF6E37" w:rsidRDefault="00FF6E37">
            <w:pPr>
              <w:pStyle w:val="yTable"/>
            </w:pPr>
            <w:r>
              <w:t>(e.g. the martial arts weapons known as the sai and jitte).</w:t>
            </w:r>
          </w:p>
        </w:tc>
      </w:tr>
      <w:tr w:rsidR="00FF6E37">
        <w:trPr>
          <w:cantSplit/>
        </w:trPr>
        <w:tc>
          <w:tcPr>
            <w:tcW w:w="869" w:type="dxa"/>
          </w:tcPr>
          <w:p w:rsidR="00FF6E37" w:rsidRDefault="00FF6E37">
            <w:pPr>
              <w:pStyle w:val="yTable"/>
            </w:pPr>
            <w:r>
              <w:t>14.</w:t>
            </w:r>
          </w:p>
        </w:tc>
        <w:tc>
          <w:tcPr>
            <w:tcW w:w="1612" w:type="dxa"/>
          </w:tcPr>
          <w:p w:rsidR="00FF6E37" w:rsidRDefault="00FF6E37">
            <w:pPr>
              <w:pStyle w:val="yTable"/>
            </w:pPr>
            <w:r>
              <w:t>Sickle or scythe weapon</w:t>
            </w:r>
          </w:p>
        </w:tc>
        <w:tc>
          <w:tcPr>
            <w:tcW w:w="4760" w:type="dxa"/>
          </w:tcPr>
          <w:p w:rsidR="00FF6E37" w:rsidRDefault="00FF6E37">
            <w:pPr>
              <w:pStyle w:val="yTable"/>
            </w:pPr>
            <w:r>
              <w:t>A sickle or scythe made or modified to be used to injure or disable a person or as a martial arts weapon (e.g. the martial arts weapons known as the kama and kusarigama).</w:t>
            </w:r>
          </w:p>
        </w:tc>
      </w:tr>
      <w:tr w:rsidR="00FF6E37">
        <w:trPr>
          <w:cantSplit/>
        </w:trPr>
        <w:tc>
          <w:tcPr>
            <w:tcW w:w="869" w:type="dxa"/>
          </w:tcPr>
          <w:p w:rsidR="00FF6E37" w:rsidRDefault="00FF6E37">
            <w:pPr>
              <w:pStyle w:val="yTable"/>
            </w:pPr>
            <w:r>
              <w:t>15.</w:t>
            </w:r>
          </w:p>
        </w:tc>
        <w:tc>
          <w:tcPr>
            <w:tcW w:w="1612" w:type="dxa"/>
          </w:tcPr>
          <w:p w:rsidR="00FF6E37" w:rsidRDefault="00FF6E37">
            <w:pPr>
              <w:pStyle w:val="yTable"/>
            </w:pPr>
            <w:r>
              <w:t>Spear</w:t>
            </w:r>
          </w:p>
        </w:tc>
        <w:tc>
          <w:tcPr>
            <w:tcW w:w="4760" w:type="dxa"/>
          </w:tcPr>
          <w:p w:rsidR="00FF6E37" w:rsidRDefault="00FF6E37">
            <w:pPr>
              <w:pStyle w:val="yTable"/>
            </w:pPr>
            <w:r>
              <w:t>Any spear (e.g. the martial arts weapon known as the yari).</w:t>
            </w:r>
          </w:p>
        </w:tc>
      </w:tr>
      <w:tr w:rsidR="00FF6E37">
        <w:trPr>
          <w:cantSplit/>
        </w:trPr>
        <w:tc>
          <w:tcPr>
            <w:tcW w:w="869" w:type="dxa"/>
          </w:tcPr>
          <w:p w:rsidR="00FF6E37" w:rsidRDefault="00FF6E37">
            <w:pPr>
              <w:pStyle w:val="yTable"/>
            </w:pPr>
            <w:r>
              <w:t>16.</w:t>
            </w:r>
          </w:p>
        </w:tc>
        <w:tc>
          <w:tcPr>
            <w:tcW w:w="1612" w:type="dxa"/>
          </w:tcPr>
          <w:p w:rsidR="00FF6E37" w:rsidRDefault="00FF6E37">
            <w:pPr>
              <w:pStyle w:val="yTable"/>
            </w:pPr>
            <w:r>
              <w:t>Spear</w:t>
            </w:r>
            <w:r>
              <w:noBreakHyphen/>
              <w:t>gun</w:t>
            </w:r>
          </w:p>
        </w:tc>
        <w:tc>
          <w:tcPr>
            <w:tcW w:w="4760" w:type="dxa"/>
          </w:tcPr>
          <w:p w:rsidR="00FF6E37" w:rsidRDefault="00FF6E37">
            <w:pPr>
              <w:pStyle w:val="yTable"/>
            </w:pPr>
            <w:r>
              <w:t>An article made or modified to be used to discharge a spear.</w:t>
            </w:r>
          </w:p>
        </w:tc>
      </w:tr>
      <w:tr w:rsidR="00FF6E37">
        <w:trPr>
          <w:cantSplit/>
        </w:trPr>
        <w:tc>
          <w:tcPr>
            <w:tcW w:w="869" w:type="dxa"/>
          </w:tcPr>
          <w:p w:rsidR="00FF6E37" w:rsidRDefault="00FF6E37">
            <w:pPr>
              <w:pStyle w:val="yTable"/>
            </w:pPr>
            <w:r>
              <w:t>17.</w:t>
            </w:r>
          </w:p>
        </w:tc>
        <w:tc>
          <w:tcPr>
            <w:tcW w:w="1612" w:type="dxa"/>
          </w:tcPr>
          <w:p w:rsidR="00FF6E37" w:rsidRDefault="00FF6E37">
            <w:pPr>
              <w:pStyle w:val="yTable"/>
            </w:pPr>
            <w:r>
              <w:t>Spray weapon (oleoresin capsicum)</w:t>
            </w:r>
          </w:p>
        </w:tc>
        <w:tc>
          <w:tcPr>
            <w:tcW w:w="4760" w:type="dxa"/>
          </w:tcPr>
          <w:p w:rsidR="00FF6E37" w:rsidRDefault="00FF6E37">
            <w:pPr>
              <w:pStyle w:val="yTable"/>
            </w:pPr>
            <w:r>
              <w:t>A spray weapon made or modified to be used to discharge oleoresin capsicum.</w:t>
            </w:r>
          </w:p>
        </w:tc>
      </w:tr>
      <w:tr w:rsidR="00FF6E37">
        <w:trPr>
          <w:cantSplit/>
        </w:trPr>
        <w:tc>
          <w:tcPr>
            <w:tcW w:w="869" w:type="dxa"/>
          </w:tcPr>
          <w:p w:rsidR="00FF6E37" w:rsidRDefault="00FF6E37">
            <w:pPr>
              <w:pStyle w:val="yTable"/>
            </w:pPr>
            <w:r>
              <w:t>18.</w:t>
            </w:r>
          </w:p>
        </w:tc>
        <w:tc>
          <w:tcPr>
            <w:tcW w:w="1612" w:type="dxa"/>
          </w:tcPr>
          <w:p w:rsidR="00FF6E37" w:rsidRDefault="00FF6E37">
            <w:pPr>
              <w:pStyle w:val="yTable"/>
            </w:pPr>
            <w:r>
              <w:t>Studded weapon</w:t>
            </w:r>
          </w:p>
        </w:tc>
        <w:tc>
          <w:tcPr>
            <w:tcW w:w="4760" w:type="dxa"/>
          </w:tcPr>
          <w:p w:rsidR="00FF6E37" w:rsidRDefault="00FF6E37">
            <w:pPr>
              <w:pStyle w:val="yTable"/>
            </w:pPr>
            <w:r>
              <w:t>An article fitted with raised pointed studs that is made or modified to be —</w:t>
            </w:r>
          </w:p>
          <w:p w:rsidR="00FF6E37" w:rsidRDefault="00FF6E37">
            <w:pPr>
              <w:pStyle w:val="yTable"/>
              <w:tabs>
                <w:tab w:val="left" w:pos="496"/>
              </w:tabs>
              <w:ind w:left="496" w:hanging="496"/>
            </w:pPr>
            <w:r>
              <w:t>(a)</w:t>
            </w:r>
            <w:r>
              <w:tab/>
              <w:t>used to injure or disable a person or as a martial arts weapon; and</w:t>
            </w:r>
          </w:p>
          <w:p w:rsidR="00FF6E37" w:rsidRDefault="00FF6E37">
            <w:pPr>
              <w:pStyle w:val="yTable"/>
              <w:tabs>
                <w:tab w:val="left" w:pos="496"/>
              </w:tabs>
              <w:ind w:left="496" w:hanging="496"/>
            </w:pPr>
            <w:r>
              <w:t>(b)</w:t>
            </w:r>
            <w:r>
              <w:tab/>
              <w:t>worn as an article of clothing,</w:t>
            </w:r>
          </w:p>
          <w:p w:rsidR="00FF6E37" w:rsidRDefault="00FF6E37">
            <w:pPr>
              <w:pStyle w:val="yTable"/>
            </w:pPr>
            <w:r>
              <w:t>(e.g. a studded glove).</w:t>
            </w:r>
          </w:p>
        </w:tc>
      </w:tr>
      <w:tr w:rsidR="00FF6E37">
        <w:trPr>
          <w:cantSplit/>
        </w:trPr>
        <w:tc>
          <w:tcPr>
            <w:tcW w:w="869" w:type="dxa"/>
          </w:tcPr>
          <w:p w:rsidR="00FF6E37" w:rsidRDefault="00FF6E37">
            <w:pPr>
              <w:pStyle w:val="yTable"/>
            </w:pPr>
            <w:r>
              <w:t>19.</w:t>
            </w:r>
          </w:p>
        </w:tc>
        <w:tc>
          <w:tcPr>
            <w:tcW w:w="1612" w:type="dxa"/>
          </w:tcPr>
          <w:p w:rsidR="00FF6E37" w:rsidRDefault="00FF6E37">
            <w:pPr>
              <w:pStyle w:val="yTable"/>
            </w:pPr>
            <w:r>
              <w:t>Sword</w:t>
            </w:r>
          </w:p>
        </w:tc>
        <w:tc>
          <w:tcPr>
            <w:tcW w:w="4760" w:type="dxa"/>
          </w:tcPr>
          <w:p w:rsidR="00FF6E37" w:rsidRDefault="00FF6E37">
            <w:pPr>
              <w:pStyle w:val="yTable"/>
            </w:pPr>
            <w:r>
              <w:t>Any sword (e.g. the martial arts weapons known as the butterfly sword, katana and wakizashi) and includes the martial arts weapon known as the tanto.</w:t>
            </w:r>
          </w:p>
        </w:tc>
      </w:tr>
      <w:tr w:rsidR="00FF6E37">
        <w:trPr>
          <w:cantSplit/>
        </w:trPr>
        <w:tc>
          <w:tcPr>
            <w:tcW w:w="869" w:type="dxa"/>
          </w:tcPr>
          <w:p w:rsidR="00FF6E37" w:rsidRDefault="00FF6E37">
            <w:pPr>
              <w:pStyle w:val="yTable"/>
            </w:pPr>
            <w:r>
              <w:t>20.</w:t>
            </w:r>
          </w:p>
        </w:tc>
        <w:tc>
          <w:tcPr>
            <w:tcW w:w="1612" w:type="dxa"/>
          </w:tcPr>
          <w:p w:rsidR="00FF6E37" w:rsidRDefault="00FF6E37">
            <w:pPr>
              <w:pStyle w:val="yTable"/>
            </w:pPr>
            <w:r>
              <w:t>Throwing blade or knife</w:t>
            </w:r>
          </w:p>
        </w:tc>
        <w:tc>
          <w:tcPr>
            <w:tcW w:w="4760" w:type="dxa"/>
          </w:tcPr>
          <w:p w:rsidR="00FF6E37" w:rsidRDefault="00FF6E37">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FF6E37">
        <w:trPr>
          <w:cantSplit/>
        </w:trPr>
        <w:tc>
          <w:tcPr>
            <w:tcW w:w="869" w:type="dxa"/>
          </w:tcPr>
          <w:p w:rsidR="00FF6E37" w:rsidRDefault="00FF6E37">
            <w:pPr>
              <w:pStyle w:val="yTable"/>
            </w:pPr>
            <w:r>
              <w:t>21.</w:t>
            </w:r>
          </w:p>
        </w:tc>
        <w:tc>
          <w:tcPr>
            <w:tcW w:w="1612" w:type="dxa"/>
          </w:tcPr>
          <w:p w:rsidR="00FF6E37" w:rsidRDefault="00FF6E37">
            <w:pPr>
              <w:pStyle w:val="yTable"/>
            </w:pPr>
            <w:r>
              <w:t>Throwing star</w:t>
            </w:r>
          </w:p>
        </w:tc>
        <w:tc>
          <w:tcPr>
            <w:tcW w:w="4760" w:type="dxa"/>
          </w:tcPr>
          <w:p w:rsidR="00FF6E37" w:rsidRDefault="00FF6E37">
            <w:pPr>
              <w:pStyle w:val="yTable"/>
            </w:pPr>
            <w:r>
              <w:t>A sharpened, star</w:t>
            </w:r>
            <w:r>
              <w:noBreakHyphen/>
              <w:t>shaped article made or modified to be thrown (e.g. the martial arts weapon known as the shuriken or shaken) and includes a throwing star that is attached to a belt buckle.</w:t>
            </w:r>
          </w:p>
        </w:tc>
      </w:tr>
      <w:tr w:rsidR="00FF6E37">
        <w:trPr>
          <w:cantSplit/>
        </w:trPr>
        <w:tc>
          <w:tcPr>
            <w:tcW w:w="869" w:type="dxa"/>
          </w:tcPr>
          <w:p w:rsidR="00FF6E37" w:rsidRDefault="00FF6E37">
            <w:pPr>
              <w:pStyle w:val="yTable"/>
            </w:pPr>
            <w:r>
              <w:lastRenderedPageBreak/>
              <w:t>22.</w:t>
            </w:r>
          </w:p>
        </w:tc>
        <w:tc>
          <w:tcPr>
            <w:tcW w:w="1612" w:type="dxa"/>
          </w:tcPr>
          <w:p w:rsidR="00FF6E37" w:rsidRDefault="00FF6E37">
            <w:pPr>
              <w:pStyle w:val="yTable"/>
            </w:pPr>
            <w:r>
              <w:t>Weighted chain or cord weapon</w:t>
            </w:r>
          </w:p>
        </w:tc>
        <w:tc>
          <w:tcPr>
            <w:tcW w:w="4760" w:type="dxa"/>
          </w:tcPr>
          <w:p w:rsidR="00FF6E37" w:rsidRDefault="00FF6E37">
            <w:pPr>
              <w:pStyle w:val="yTable"/>
            </w:pPr>
            <w:r>
              <w:t>An article —</w:t>
            </w:r>
          </w:p>
          <w:p w:rsidR="00FF6E37" w:rsidRDefault="00FF6E37">
            <w:pPr>
              <w:pStyle w:val="yTable"/>
              <w:tabs>
                <w:tab w:val="left" w:pos="496"/>
              </w:tabs>
              <w:ind w:left="496" w:hanging="496"/>
            </w:pPr>
            <w:r>
              <w:t>(a)</w:t>
            </w:r>
            <w:r>
              <w:tab/>
              <w:t>consisting of or incorporating a chain or cord made of any material and weighted at both ends; and</w:t>
            </w:r>
          </w:p>
          <w:p w:rsidR="00FF6E37" w:rsidRDefault="00FF6E37">
            <w:pPr>
              <w:pStyle w:val="yTable"/>
              <w:tabs>
                <w:tab w:val="left" w:pos="496"/>
              </w:tabs>
              <w:ind w:left="496" w:hanging="496"/>
            </w:pPr>
            <w:r>
              <w:t>(b)</w:t>
            </w:r>
            <w:r>
              <w:tab/>
              <w:t>made or modified to be used to injure or disable a person or as a martial arts weapon,</w:t>
            </w:r>
          </w:p>
          <w:p w:rsidR="00FF6E37" w:rsidRDefault="00FF6E37">
            <w:pPr>
              <w:pStyle w:val="yTable"/>
            </w:pPr>
            <w:r>
              <w:t>(e.g. the martial arts weapons known as the kusari fundo, manrikigusari and surujin).</w:t>
            </w:r>
          </w:p>
        </w:tc>
      </w:tr>
    </w:tbl>
    <w:p w:rsidR="00FF6E37" w:rsidRDefault="00FF6E37">
      <w:pPr>
        <w:pStyle w:val="yFootnotesection"/>
      </w:pPr>
      <w:r>
        <w:tab/>
        <w:t>[Schedule 2 amended: Gazette 1 Oct 2004 p. 4284; 11 Apr 2008 p. 1392; 8 Apr 2011 p. 1286; 29 Nov 2016 p. 5323.]</w:t>
      </w:r>
    </w:p>
    <w:p w:rsidR="00FF6E37" w:rsidRDefault="00FF6E37">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F6E37" w:rsidRDefault="00FF6E37">
      <w:pPr>
        <w:pStyle w:val="yFootnotesection"/>
      </w:pPr>
    </w:p>
    <w:p w:rsidR="00FF6E37" w:rsidRDefault="00FF6E37">
      <w:pPr>
        <w:pStyle w:val="yFootnotesection"/>
        <w:sectPr w:rsidR="00FF6E37">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510028" w:rsidRDefault="00510028">
      <w:pPr>
        <w:pStyle w:val="nHeading2"/>
      </w:pPr>
      <w:bookmarkStart w:id="29" w:name="_Toc75960288"/>
      <w:bookmarkStart w:id="30" w:name="_Toc75960309"/>
      <w:bookmarkStart w:id="31" w:name="_Toc75961072"/>
      <w:bookmarkStart w:id="32" w:name="_Toc75961092"/>
      <w:bookmarkStart w:id="33" w:name="_Toc75958008"/>
      <w:r>
        <w:lastRenderedPageBreak/>
        <w:t>Notes</w:t>
      </w:r>
      <w:bookmarkEnd w:id="29"/>
      <w:bookmarkEnd w:id="30"/>
      <w:bookmarkEnd w:id="31"/>
      <w:bookmarkEnd w:id="32"/>
    </w:p>
    <w:p w:rsidR="000F7D80" w:rsidRDefault="000F7D80">
      <w:pPr>
        <w:pStyle w:val="nStatement"/>
      </w:pPr>
      <w:r>
        <w:t xml:space="preserve">This is a compilation of the </w:t>
      </w:r>
      <w:r>
        <w:rPr>
          <w:i/>
          <w:noProof/>
        </w:rPr>
        <w:t>Weapons Regulations 1999</w:t>
      </w:r>
      <w:r>
        <w:t xml:space="preserve"> and includes amendments made by other written laws. For provisions that have come into operation, and for information about any reprints, see the compilation table.</w:t>
      </w:r>
    </w:p>
    <w:p w:rsidR="00510028" w:rsidRDefault="00510028">
      <w:pPr>
        <w:pStyle w:val="nHeading3"/>
      </w:pPr>
      <w:bookmarkStart w:id="34" w:name="_Toc75961093"/>
      <w:r>
        <w:t>Compilation table</w:t>
      </w:r>
      <w:bookmarkEnd w:id="34"/>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rsidR="00510028" w:rsidTr="00197A02">
        <w:trPr>
          <w:tblHeader/>
        </w:trPr>
        <w:tc>
          <w:tcPr>
            <w:tcW w:w="3091" w:type="dxa"/>
            <w:gridSpan w:val="2"/>
          </w:tcPr>
          <w:p w:rsidR="00510028" w:rsidRDefault="00510028">
            <w:pPr>
              <w:pStyle w:val="nTable"/>
              <w:spacing w:after="40"/>
              <w:rPr>
                <w:b/>
              </w:rPr>
            </w:pPr>
            <w:r>
              <w:rPr>
                <w:b/>
              </w:rPr>
              <w:t>Citation</w:t>
            </w:r>
          </w:p>
        </w:tc>
        <w:tc>
          <w:tcPr>
            <w:tcW w:w="1276" w:type="dxa"/>
          </w:tcPr>
          <w:p w:rsidR="00510028" w:rsidRDefault="00510028">
            <w:pPr>
              <w:pStyle w:val="nTable"/>
              <w:spacing w:after="40"/>
              <w:rPr>
                <w:b/>
              </w:rPr>
            </w:pPr>
            <w:r>
              <w:rPr>
                <w:b/>
              </w:rPr>
              <w:t>Published</w:t>
            </w:r>
          </w:p>
        </w:tc>
        <w:tc>
          <w:tcPr>
            <w:tcW w:w="2693" w:type="dxa"/>
          </w:tcPr>
          <w:p w:rsidR="00510028" w:rsidRDefault="00510028">
            <w:pPr>
              <w:pStyle w:val="nTable"/>
              <w:spacing w:after="40"/>
              <w:rPr>
                <w:b/>
              </w:rPr>
            </w:pPr>
            <w:r>
              <w:rPr>
                <w:b/>
              </w:rPr>
              <w:t>Commencement</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rsidR="00510028" w:rsidRDefault="00510028" w:rsidP="00FF6E37">
            <w:pPr>
              <w:pStyle w:val="nTable"/>
              <w:spacing w:after="40"/>
              <w:ind w:right="113"/>
            </w:pPr>
            <w:r>
              <w:rPr>
                <w:i/>
              </w:rPr>
              <w:t>Weapons Regulations 1999</w:t>
            </w:r>
          </w:p>
        </w:tc>
        <w:tc>
          <w:tcPr>
            <w:tcW w:w="1276" w:type="dxa"/>
            <w:tcBorders>
              <w:top w:val="single" w:sz="8" w:space="0" w:color="auto"/>
            </w:tcBorders>
          </w:tcPr>
          <w:p w:rsidR="00510028" w:rsidRDefault="00510028" w:rsidP="00FF6E37">
            <w:pPr>
              <w:pStyle w:val="nTable"/>
              <w:spacing w:after="40"/>
              <w:ind w:left="51"/>
            </w:pPr>
            <w:r>
              <w:t>31 Aug 1999 p. 4225</w:t>
            </w:r>
            <w:r>
              <w:noBreakHyphen/>
              <w:t>32</w:t>
            </w:r>
          </w:p>
        </w:tc>
        <w:tc>
          <w:tcPr>
            <w:tcW w:w="2693" w:type="dxa"/>
            <w:tcBorders>
              <w:top w:val="single" w:sz="8" w:space="0" w:color="auto"/>
            </w:tcBorders>
          </w:tcPr>
          <w:p w:rsidR="00510028" w:rsidRDefault="00510028" w:rsidP="00FF6E37">
            <w:pPr>
              <w:pStyle w:val="nTable"/>
              <w:spacing w:after="40"/>
              <w:ind w:left="35"/>
            </w:pPr>
            <w:r>
              <w:t xml:space="preserve">1 Sep 1999 (see r. 2 and </w:t>
            </w:r>
            <w:r>
              <w:rPr>
                <w:i/>
              </w:rPr>
              <w:t>Gazette</w:t>
            </w:r>
            <w:r>
              <w:t xml:space="preserve"> 31 Aug 1999 p. 4235)</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2000</w:t>
            </w:r>
          </w:p>
        </w:tc>
        <w:tc>
          <w:tcPr>
            <w:tcW w:w="1276" w:type="dxa"/>
          </w:tcPr>
          <w:p w:rsidR="00510028" w:rsidRDefault="00510028" w:rsidP="00FF6E37">
            <w:pPr>
              <w:pStyle w:val="nTable"/>
              <w:spacing w:after="40"/>
              <w:ind w:left="51"/>
            </w:pPr>
            <w:r>
              <w:t>29 Feb 2000 p. 997</w:t>
            </w:r>
            <w:r>
              <w:noBreakHyphen/>
              <w:t>8</w:t>
            </w:r>
          </w:p>
        </w:tc>
        <w:tc>
          <w:tcPr>
            <w:tcW w:w="2693" w:type="dxa"/>
          </w:tcPr>
          <w:p w:rsidR="00510028" w:rsidRDefault="00510028" w:rsidP="00FF6E37">
            <w:pPr>
              <w:pStyle w:val="nTable"/>
              <w:spacing w:after="40"/>
              <w:ind w:left="35"/>
            </w:pPr>
            <w:r>
              <w:t>1 Mar 2000 (see r. 2)</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(No. 2) 2000</w:t>
            </w:r>
          </w:p>
        </w:tc>
        <w:tc>
          <w:tcPr>
            <w:tcW w:w="1276" w:type="dxa"/>
          </w:tcPr>
          <w:p w:rsidR="00510028" w:rsidRDefault="00510028" w:rsidP="00FF6E37">
            <w:pPr>
              <w:pStyle w:val="nTable"/>
              <w:spacing w:after="40"/>
              <w:ind w:left="51"/>
            </w:pPr>
            <w:r>
              <w:t>10 Mar 2000 p. 1122</w:t>
            </w:r>
            <w:r>
              <w:noBreakHyphen/>
              <w:t>3</w:t>
            </w:r>
          </w:p>
        </w:tc>
        <w:tc>
          <w:tcPr>
            <w:tcW w:w="2693" w:type="dxa"/>
          </w:tcPr>
          <w:p w:rsidR="00510028" w:rsidRDefault="00510028" w:rsidP="00FF6E37">
            <w:pPr>
              <w:pStyle w:val="nTable"/>
              <w:spacing w:after="40"/>
              <w:ind w:left="35"/>
            </w:pPr>
            <w:r>
              <w:t>10 Mar 2000</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(No. 3) 2000</w:t>
            </w:r>
          </w:p>
        </w:tc>
        <w:tc>
          <w:tcPr>
            <w:tcW w:w="1276" w:type="dxa"/>
          </w:tcPr>
          <w:p w:rsidR="00510028" w:rsidRDefault="00510028" w:rsidP="00FF6E37">
            <w:pPr>
              <w:pStyle w:val="nTable"/>
              <w:spacing w:after="40"/>
              <w:ind w:left="51"/>
            </w:pPr>
            <w:r>
              <w:t xml:space="preserve">9 Jun 2000 </w:t>
            </w:r>
            <w:r>
              <w:br/>
              <w:t>p. 2773</w:t>
            </w:r>
            <w:r>
              <w:noBreakHyphen/>
              <w:t>4</w:t>
            </w:r>
          </w:p>
        </w:tc>
        <w:tc>
          <w:tcPr>
            <w:tcW w:w="2693" w:type="dxa"/>
          </w:tcPr>
          <w:p w:rsidR="00510028" w:rsidRDefault="00510028" w:rsidP="00FF6E37">
            <w:pPr>
              <w:pStyle w:val="nTable"/>
              <w:spacing w:after="40"/>
              <w:ind w:left="35"/>
            </w:pPr>
            <w:r>
              <w:t xml:space="preserve">9 Jun 2000 </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(No. 4) 2000</w:t>
            </w:r>
          </w:p>
        </w:tc>
        <w:tc>
          <w:tcPr>
            <w:tcW w:w="1276" w:type="dxa"/>
          </w:tcPr>
          <w:p w:rsidR="00510028" w:rsidRDefault="00510028" w:rsidP="00FF6E37">
            <w:pPr>
              <w:pStyle w:val="nTable"/>
              <w:spacing w:after="40"/>
              <w:ind w:left="51"/>
            </w:pPr>
            <w:r>
              <w:t xml:space="preserve">28 Jul 2000 </w:t>
            </w:r>
            <w:r>
              <w:br/>
              <w:t>p. 4027</w:t>
            </w:r>
          </w:p>
        </w:tc>
        <w:tc>
          <w:tcPr>
            <w:tcW w:w="2693" w:type="dxa"/>
          </w:tcPr>
          <w:p w:rsidR="00510028" w:rsidRDefault="00510028" w:rsidP="00FF6E37">
            <w:pPr>
              <w:pStyle w:val="nTable"/>
              <w:spacing w:after="40"/>
              <w:ind w:left="35"/>
            </w:pPr>
            <w:r>
              <w:t>28 Jul 2000</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rsidR="00510028" w:rsidRDefault="00510028" w:rsidP="00FF6E37">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2004</w:t>
            </w:r>
          </w:p>
        </w:tc>
        <w:tc>
          <w:tcPr>
            <w:tcW w:w="1276" w:type="dxa"/>
          </w:tcPr>
          <w:p w:rsidR="00510028" w:rsidRDefault="00510028" w:rsidP="00FF6E37">
            <w:pPr>
              <w:pStyle w:val="nTable"/>
              <w:spacing w:after="40"/>
              <w:ind w:left="51"/>
            </w:pPr>
            <w:r>
              <w:t>1 Oct 2004 p. 4284</w:t>
            </w:r>
          </w:p>
        </w:tc>
        <w:tc>
          <w:tcPr>
            <w:tcW w:w="2693" w:type="dxa"/>
          </w:tcPr>
          <w:p w:rsidR="00510028" w:rsidRDefault="00510028" w:rsidP="00FF6E37">
            <w:pPr>
              <w:pStyle w:val="nTable"/>
              <w:spacing w:after="40"/>
              <w:ind w:left="35"/>
            </w:pPr>
            <w:r>
              <w:t>1 Oct 2004</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(No. 2) 2006</w:t>
            </w:r>
          </w:p>
        </w:tc>
        <w:tc>
          <w:tcPr>
            <w:tcW w:w="1276" w:type="dxa"/>
          </w:tcPr>
          <w:p w:rsidR="00510028" w:rsidRDefault="00510028" w:rsidP="00FF6E37">
            <w:pPr>
              <w:pStyle w:val="nTable"/>
              <w:spacing w:after="40"/>
              <w:ind w:left="51"/>
            </w:pPr>
            <w:r>
              <w:t>12 Sep 2006 p. 3665</w:t>
            </w:r>
            <w:r>
              <w:noBreakHyphen/>
              <w:t>6</w:t>
            </w:r>
          </w:p>
        </w:tc>
        <w:tc>
          <w:tcPr>
            <w:tcW w:w="2693" w:type="dxa"/>
          </w:tcPr>
          <w:p w:rsidR="00510028" w:rsidRDefault="00510028" w:rsidP="00FF6E37">
            <w:pPr>
              <w:pStyle w:val="nTable"/>
              <w:spacing w:after="40"/>
              <w:ind w:left="35"/>
            </w:pPr>
            <w:r>
              <w:t>12 Sep 2006</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2007</w:t>
            </w:r>
          </w:p>
        </w:tc>
        <w:tc>
          <w:tcPr>
            <w:tcW w:w="1276" w:type="dxa"/>
          </w:tcPr>
          <w:p w:rsidR="00510028" w:rsidRDefault="00510028" w:rsidP="00FF6E37">
            <w:pPr>
              <w:pStyle w:val="nTable"/>
              <w:spacing w:after="40"/>
              <w:ind w:left="51"/>
            </w:pPr>
            <w:r>
              <w:t>11 Sep 2007 p. 4613</w:t>
            </w:r>
          </w:p>
        </w:tc>
        <w:tc>
          <w:tcPr>
            <w:tcW w:w="2693" w:type="dxa"/>
          </w:tcPr>
          <w:p w:rsidR="00510028" w:rsidRDefault="00510028" w:rsidP="00FF6E37">
            <w:pPr>
              <w:pStyle w:val="nTable"/>
              <w:spacing w:after="40"/>
              <w:ind w:left="35"/>
            </w:pPr>
            <w:r>
              <w:t>r. 1 and 2: 11 Sep 2007 (see r. 2(a));</w:t>
            </w:r>
            <w:r>
              <w:br/>
              <w:t>Regulations other than r. 1 and 2: 12 Sep 2007 (see r. 2(b))</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2008</w:t>
            </w:r>
          </w:p>
        </w:tc>
        <w:tc>
          <w:tcPr>
            <w:tcW w:w="1276" w:type="dxa"/>
          </w:tcPr>
          <w:p w:rsidR="00510028" w:rsidRDefault="00510028" w:rsidP="00FF6E37">
            <w:pPr>
              <w:pStyle w:val="nTable"/>
              <w:spacing w:after="40"/>
              <w:ind w:left="51"/>
            </w:pPr>
            <w:r>
              <w:t>29 Feb 2008 p. 692</w:t>
            </w:r>
            <w:r>
              <w:noBreakHyphen/>
              <w:t>3</w:t>
            </w:r>
          </w:p>
        </w:tc>
        <w:tc>
          <w:tcPr>
            <w:tcW w:w="2693" w:type="dxa"/>
          </w:tcPr>
          <w:p w:rsidR="00510028" w:rsidRDefault="00510028" w:rsidP="00FF6E37">
            <w:pPr>
              <w:pStyle w:val="nTable"/>
              <w:spacing w:after="40"/>
              <w:ind w:left="35"/>
            </w:pPr>
            <w:r>
              <w:rPr>
                <w:snapToGrid w:val="0"/>
              </w:rPr>
              <w:t>r. 1 and 2: 29 Feb 2008 (see r. 2(a));</w:t>
            </w:r>
            <w:r>
              <w:rPr>
                <w:snapToGrid w:val="0"/>
              </w:rPr>
              <w:br/>
              <w:t>Regulations other than r. 1 and 2: 1 Mar 2008 (see r. 2(b))</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(No. 2) 2008</w:t>
            </w:r>
          </w:p>
        </w:tc>
        <w:tc>
          <w:tcPr>
            <w:tcW w:w="1276" w:type="dxa"/>
          </w:tcPr>
          <w:p w:rsidR="00510028" w:rsidRDefault="00510028" w:rsidP="00FF6E37">
            <w:pPr>
              <w:pStyle w:val="nTable"/>
              <w:spacing w:after="40"/>
              <w:ind w:left="51"/>
            </w:pPr>
            <w:r>
              <w:t>11 Apr 2008 p. 1392</w:t>
            </w:r>
          </w:p>
        </w:tc>
        <w:tc>
          <w:tcPr>
            <w:tcW w:w="2693" w:type="dxa"/>
          </w:tcPr>
          <w:p w:rsidR="00510028" w:rsidRDefault="00510028" w:rsidP="00FF6E37">
            <w:pPr>
              <w:pStyle w:val="nTable"/>
              <w:spacing w:after="40"/>
              <w:ind w:left="35"/>
              <w:rPr>
                <w:snapToGrid w:val="0"/>
              </w:rPr>
            </w:pPr>
            <w:r>
              <w:rPr>
                <w:snapToGrid w:val="0"/>
              </w:rPr>
              <w:t>r. 1 and 2: 11 Apr 2008 (see r. 2(a));</w:t>
            </w:r>
            <w:r>
              <w:rPr>
                <w:snapToGrid w:val="0"/>
              </w:rPr>
              <w:br/>
              <w:t>Regulations other than r. 1 and 2: 12 Apr 2008 (see r. 2(b))</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rsidR="00510028" w:rsidRDefault="00510028" w:rsidP="00FF6E37">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lastRenderedPageBreak/>
              <w:t>Weapons Amendment Regulations 2010</w:t>
            </w:r>
          </w:p>
        </w:tc>
        <w:tc>
          <w:tcPr>
            <w:tcW w:w="1276" w:type="dxa"/>
          </w:tcPr>
          <w:p w:rsidR="00510028" w:rsidRDefault="00510028" w:rsidP="00FF6E37">
            <w:pPr>
              <w:pStyle w:val="nTable"/>
              <w:spacing w:after="40"/>
              <w:ind w:left="51"/>
            </w:pPr>
            <w:r>
              <w:t>12 Mar 2010 p. 953</w:t>
            </w:r>
          </w:p>
        </w:tc>
        <w:tc>
          <w:tcPr>
            <w:tcW w:w="2693" w:type="dxa"/>
          </w:tcPr>
          <w:p w:rsidR="00510028" w:rsidRDefault="00510028" w:rsidP="00FF6E37">
            <w:pPr>
              <w:pStyle w:val="nTable"/>
              <w:spacing w:after="40"/>
              <w:ind w:left="35"/>
              <w:rPr>
                <w:snapToGrid w:val="0"/>
              </w:rPr>
            </w:pPr>
            <w:r>
              <w:rPr>
                <w:snapToGrid w:val="0"/>
              </w:rPr>
              <w:t>r. 1 and 2: 12 Mar 2010 (see r. 2(a));</w:t>
            </w:r>
            <w:r>
              <w:rPr>
                <w:snapToGrid w:val="0"/>
              </w:rPr>
              <w:br/>
              <w:t>Regulations other than r. 1 and 2: 13 Mar 2010 (see r. 2(b))</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2011</w:t>
            </w:r>
            <w:r>
              <w:t xml:space="preserve"> </w:t>
            </w:r>
          </w:p>
        </w:tc>
        <w:tc>
          <w:tcPr>
            <w:tcW w:w="1276" w:type="dxa"/>
          </w:tcPr>
          <w:p w:rsidR="00510028" w:rsidRDefault="00510028" w:rsidP="00FF6E37">
            <w:pPr>
              <w:pStyle w:val="nTable"/>
              <w:spacing w:after="40"/>
              <w:ind w:left="51"/>
            </w:pPr>
            <w:r>
              <w:t>8 Apr 2011 p. 1282</w:t>
            </w:r>
            <w:r>
              <w:noBreakHyphen/>
              <w:t>6</w:t>
            </w:r>
          </w:p>
        </w:tc>
        <w:tc>
          <w:tcPr>
            <w:tcW w:w="2693" w:type="dxa"/>
          </w:tcPr>
          <w:p w:rsidR="00510028" w:rsidRDefault="00510028" w:rsidP="00FF6E37">
            <w:pPr>
              <w:pStyle w:val="nTable"/>
              <w:spacing w:after="40"/>
              <w:ind w:left="35"/>
              <w:rPr>
                <w:snapToGrid w:val="0"/>
              </w:rPr>
            </w:pPr>
            <w:r>
              <w:t>r. 1 and 2: 8 Apr 2011 (see r. 2(a));</w:t>
            </w:r>
            <w:r>
              <w:br/>
              <w:t>Regulations other than r. 1 and 2: 1 Jul 2011 (see r. 2(b))</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(No. 2) 2011</w:t>
            </w:r>
          </w:p>
        </w:tc>
        <w:tc>
          <w:tcPr>
            <w:tcW w:w="1276" w:type="dxa"/>
          </w:tcPr>
          <w:p w:rsidR="00510028" w:rsidRDefault="00510028" w:rsidP="00FF6E37">
            <w:pPr>
              <w:pStyle w:val="nTable"/>
              <w:spacing w:after="40"/>
              <w:ind w:left="51"/>
            </w:pPr>
            <w:r>
              <w:t>16 Sep 2011 p. 3768</w:t>
            </w:r>
            <w:r>
              <w:noBreakHyphen/>
              <w:t>9</w:t>
            </w:r>
          </w:p>
        </w:tc>
        <w:tc>
          <w:tcPr>
            <w:tcW w:w="2693" w:type="dxa"/>
          </w:tcPr>
          <w:p w:rsidR="00510028" w:rsidRDefault="00510028" w:rsidP="00FF6E37">
            <w:pPr>
              <w:pStyle w:val="nTable"/>
              <w:spacing w:after="40"/>
              <w:ind w:left="35"/>
            </w:pPr>
            <w:r>
              <w:t>r. 1 and 2: 16 Sep 2011 (see r. 2(a));</w:t>
            </w:r>
            <w:r>
              <w:br/>
              <w:t>Regulations other than r. 1 and 2: 17 Sep 2011 (see r. 2(b))</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2012</w:t>
            </w:r>
          </w:p>
        </w:tc>
        <w:tc>
          <w:tcPr>
            <w:tcW w:w="1276" w:type="dxa"/>
          </w:tcPr>
          <w:p w:rsidR="00510028" w:rsidRDefault="00510028" w:rsidP="00FF6E37">
            <w:pPr>
              <w:pStyle w:val="nTable"/>
              <w:spacing w:after="40"/>
              <w:ind w:left="51"/>
            </w:pPr>
            <w:r>
              <w:t>13 Mar 2012 p. 1037-9</w:t>
            </w:r>
          </w:p>
        </w:tc>
        <w:tc>
          <w:tcPr>
            <w:tcW w:w="2693" w:type="dxa"/>
          </w:tcPr>
          <w:p w:rsidR="00510028" w:rsidRDefault="00510028" w:rsidP="00FF6E37">
            <w:pPr>
              <w:pStyle w:val="nTable"/>
              <w:spacing w:after="40"/>
              <w:ind w:left="35"/>
            </w:pPr>
            <w:r>
              <w:t>r. 1 and 2: 13 Mar 2012 (see r. 2(a));</w:t>
            </w:r>
            <w:r>
              <w:br/>
              <w:t>Regulations other than r. 1 and 2: 14 Mar 2012 (see r. 2(b))</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rsidR="00510028" w:rsidRDefault="00510028" w:rsidP="00FF6E37">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pPr>
            <w:r>
              <w:rPr>
                <w:i/>
              </w:rPr>
              <w:t>Police Regulations Amendment (Captive Bolt Guns) Regulations 2016</w:t>
            </w:r>
            <w:r>
              <w:t xml:space="preserve"> Pt. 3</w:t>
            </w:r>
          </w:p>
        </w:tc>
        <w:tc>
          <w:tcPr>
            <w:tcW w:w="1276" w:type="dxa"/>
          </w:tcPr>
          <w:p w:rsidR="00510028" w:rsidRDefault="00510028" w:rsidP="00FF6E37">
            <w:pPr>
              <w:pStyle w:val="nTable"/>
              <w:spacing w:after="40"/>
              <w:ind w:left="51"/>
            </w:pPr>
            <w:r>
              <w:t>29 Nov 2016 p. 5322</w:t>
            </w:r>
            <w:r>
              <w:noBreakHyphen/>
              <w:t>3</w:t>
            </w:r>
          </w:p>
        </w:tc>
        <w:tc>
          <w:tcPr>
            <w:tcW w:w="2693" w:type="dxa"/>
          </w:tcPr>
          <w:p w:rsidR="00510028" w:rsidRDefault="00510028" w:rsidP="00FF6E37">
            <w:pPr>
              <w:pStyle w:val="nTable"/>
              <w:spacing w:after="40"/>
              <w:ind w:left="35"/>
            </w:pPr>
            <w:r>
              <w:t>30 Nov 2016 (see r. 2(b))</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Pr>
          <w:p w:rsidR="00510028" w:rsidRDefault="00510028" w:rsidP="00FF6E37">
            <w:pPr>
              <w:pStyle w:val="nTable"/>
              <w:spacing w:after="40"/>
              <w:ind w:right="113"/>
              <w:rPr>
                <w:i/>
              </w:rPr>
            </w:pPr>
            <w:r>
              <w:rPr>
                <w:i/>
              </w:rPr>
              <w:t>Weapons Amendment Regulations 2019</w:t>
            </w:r>
          </w:p>
        </w:tc>
        <w:tc>
          <w:tcPr>
            <w:tcW w:w="1276" w:type="dxa"/>
          </w:tcPr>
          <w:p w:rsidR="00510028" w:rsidRDefault="00510028" w:rsidP="00FF6E37">
            <w:pPr>
              <w:pStyle w:val="nTable"/>
              <w:spacing w:after="40"/>
              <w:ind w:left="51"/>
            </w:pPr>
            <w:r>
              <w:t>22 Oct 2019 p. 3718</w:t>
            </w:r>
            <w:r>
              <w:noBreakHyphen/>
              <w:t>19</w:t>
            </w:r>
          </w:p>
        </w:tc>
        <w:tc>
          <w:tcPr>
            <w:tcW w:w="2693" w:type="dxa"/>
          </w:tcPr>
          <w:p w:rsidR="00510028" w:rsidRDefault="00510028" w:rsidP="00FF6E37">
            <w:pPr>
              <w:pStyle w:val="nTable"/>
              <w:spacing w:after="40"/>
              <w:ind w:left="35"/>
            </w:pPr>
            <w:r>
              <w:t>r. 1 and 2: 22 Oct 2019 (see r. 2(a));</w:t>
            </w:r>
            <w:r>
              <w:br/>
              <w:t>Regulations other than r. 1 and 2: 23 Oct 2019 (see r. 2(b))</w:t>
            </w:r>
          </w:p>
        </w:tc>
      </w:tr>
      <w:tr w:rsidR="00510028" w:rsidTr="00197A02">
        <w:tblPrEx>
          <w:tblBorders>
            <w:top w:val="none" w:sz="0" w:space="0" w:color="auto"/>
            <w:bottom w:val="none" w:sz="0" w:space="0" w:color="auto"/>
            <w:insideH w:val="none" w:sz="0" w:space="0" w:color="auto"/>
          </w:tblBorders>
        </w:tblPrEx>
        <w:trPr>
          <w:gridBefore w:val="1"/>
          <w:wBefore w:w="8" w:type="dxa"/>
          <w:cantSplit/>
        </w:trPr>
        <w:tc>
          <w:tcPr>
            <w:tcW w:w="3083" w:type="dxa"/>
            <w:tcBorders>
              <w:bottom w:val="single" w:sz="4" w:space="0" w:color="auto"/>
            </w:tcBorders>
          </w:tcPr>
          <w:p w:rsidR="00510028" w:rsidRDefault="00510028" w:rsidP="00510028">
            <w:pPr>
              <w:pStyle w:val="nTable"/>
              <w:spacing w:after="40"/>
              <w:ind w:right="113"/>
              <w:rPr>
                <w:i/>
              </w:rPr>
            </w:pPr>
            <w:r>
              <w:rPr>
                <w:i/>
              </w:rPr>
              <w:t>Weapons Amendment Regulations 20</w:t>
            </w:r>
            <w:r w:rsidR="00FF6E37">
              <w:rPr>
                <w:i/>
              </w:rPr>
              <w:t>21</w:t>
            </w:r>
          </w:p>
        </w:tc>
        <w:tc>
          <w:tcPr>
            <w:tcW w:w="1276" w:type="dxa"/>
            <w:tcBorders>
              <w:bottom w:val="single" w:sz="4" w:space="0" w:color="auto"/>
            </w:tcBorders>
          </w:tcPr>
          <w:p w:rsidR="00510028" w:rsidRDefault="00FF6E37" w:rsidP="00510028">
            <w:pPr>
              <w:pStyle w:val="nTable"/>
              <w:spacing w:after="40"/>
              <w:ind w:left="51"/>
            </w:pPr>
            <w:r>
              <w:t>SL 2021/</w:t>
            </w:r>
            <w:r w:rsidR="00F5374A">
              <w:t>120 2 Jul 2021</w:t>
            </w:r>
          </w:p>
        </w:tc>
        <w:tc>
          <w:tcPr>
            <w:tcW w:w="2693" w:type="dxa"/>
            <w:tcBorders>
              <w:bottom w:val="single" w:sz="4" w:space="0" w:color="auto"/>
            </w:tcBorders>
          </w:tcPr>
          <w:p w:rsidR="00510028" w:rsidRDefault="00510028" w:rsidP="00510028">
            <w:pPr>
              <w:pStyle w:val="nTable"/>
              <w:spacing w:after="40"/>
              <w:ind w:left="35"/>
            </w:pPr>
            <w:r>
              <w:t xml:space="preserve">r. 1 and 2: </w:t>
            </w:r>
            <w:r w:rsidR="00F5374A">
              <w:t>2 Jul 2021</w:t>
            </w:r>
            <w:r>
              <w:t xml:space="preserve"> (see r. 2(a));</w:t>
            </w:r>
            <w:r>
              <w:br/>
              <w:t xml:space="preserve">Regulations other than r. 1 and 2: </w:t>
            </w:r>
            <w:r w:rsidR="00F5374A">
              <w:t>3 Jul 2021</w:t>
            </w:r>
            <w:r>
              <w:t xml:space="preserve"> (see r. 2(b))</w:t>
            </w:r>
          </w:p>
        </w:tc>
      </w:tr>
    </w:tbl>
    <w:p w:rsidR="00510028" w:rsidRDefault="00510028"/>
    <w:p w:rsidR="00510028" w:rsidRDefault="00510028">
      <w:pPr>
        <w:sectPr w:rsidR="00510028">
          <w:headerReference w:type="even" r:id="rId27"/>
          <w:headerReference w:type="default" r:id="rId28"/>
          <w:pgSz w:w="11907" w:h="16840" w:code="9"/>
          <w:pgMar w:top="2376" w:right="2404" w:bottom="3544" w:left="2404" w:header="720" w:footer="3380" w:gutter="0"/>
          <w:cols w:space="720"/>
          <w:noEndnote/>
          <w:docGrid w:linePitch="326"/>
        </w:sectPr>
      </w:pPr>
    </w:p>
    <w:p w:rsidR="00FF6E37" w:rsidRDefault="00FF6E37">
      <w:pPr>
        <w:pStyle w:val="nHeading2"/>
        <w:rPr>
          <w:sz w:val="28"/>
        </w:rPr>
      </w:pPr>
      <w:bookmarkStart w:id="36" w:name="_Toc75960291"/>
      <w:bookmarkStart w:id="37" w:name="_Toc75960312"/>
      <w:bookmarkStart w:id="38" w:name="_Toc75961074"/>
      <w:bookmarkStart w:id="39" w:name="_Toc75961094"/>
      <w:r>
        <w:rPr>
          <w:sz w:val="28"/>
        </w:rPr>
        <w:lastRenderedPageBreak/>
        <w:t>Defined terms</w:t>
      </w:r>
      <w:bookmarkEnd w:id="33"/>
      <w:bookmarkEnd w:id="36"/>
      <w:bookmarkEnd w:id="37"/>
      <w:bookmarkEnd w:id="38"/>
      <w:bookmarkEnd w:id="39"/>
    </w:p>
    <w:p w:rsidR="00FF6E37" w:rsidRDefault="00FF6E37">
      <w:pPr>
        <w:ind w:left="850" w:right="850"/>
        <w:jc w:val="center"/>
        <w:rPr>
          <w:i/>
          <w:sz w:val="18"/>
        </w:rPr>
      </w:pPr>
    </w:p>
    <w:p w:rsidR="00FF6E37" w:rsidRDefault="00FF6E37">
      <w:pPr>
        <w:ind w:left="850" w:right="850"/>
        <w:jc w:val="center"/>
        <w:rPr>
          <w:i/>
          <w:sz w:val="18"/>
        </w:rPr>
      </w:pPr>
      <w:r>
        <w:rPr>
          <w:i/>
          <w:sz w:val="18"/>
        </w:rPr>
        <w:t>[This is a list of terms defined and the provisions where they are defined.  The list is not part of the law.]</w:t>
      </w:r>
    </w:p>
    <w:p w:rsidR="00FF6E37" w:rsidRDefault="00FF6E37">
      <w:pPr>
        <w:pBdr>
          <w:bottom w:val="single" w:sz="4" w:space="1" w:color="auto"/>
        </w:pBdr>
        <w:tabs>
          <w:tab w:val="right" w:pos="7070"/>
        </w:tabs>
        <w:ind w:left="578"/>
        <w:rPr>
          <w:b/>
          <w:sz w:val="20"/>
        </w:rPr>
      </w:pPr>
      <w:r>
        <w:rPr>
          <w:b/>
          <w:sz w:val="20"/>
        </w:rPr>
        <w:t>Defined term</w:t>
      </w:r>
      <w:r>
        <w:rPr>
          <w:b/>
          <w:sz w:val="20"/>
        </w:rPr>
        <w:tab/>
        <w:t>Provision(s)</w:t>
      </w:r>
    </w:p>
    <w:p w:rsidR="00FF6E37" w:rsidRDefault="00FF6E37">
      <w:pPr>
        <w:pStyle w:val="DefinedTerms"/>
      </w:pPr>
      <w:r>
        <w:t>approved electric shock case</w:t>
      </w:r>
      <w:r>
        <w:tab/>
        <w:t>3</w:t>
      </w:r>
    </w:p>
    <w:p w:rsidR="00FF6E37" w:rsidRDefault="00FF6E37">
      <w:pPr>
        <w:pStyle w:val="DefinedTerms"/>
      </w:pPr>
      <w:r>
        <w:t>Archery Australia (Inc.) member</w:t>
      </w:r>
      <w:r>
        <w:tab/>
        <w:t>14(1)</w:t>
      </w:r>
    </w:p>
    <w:p w:rsidR="00FF6E37" w:rsidRDefault="00FF6E37">
      <w:pPr>
        <w:pStyle w:val="DefinedTerms"/>
      </w:pPr>
      <w:r>
        <w:t>aviation security inspector</w:t>
      </w:r>
      <w:r>
        <w:tab/>
        <w:t>12A(1)</w:t>
      </w:r>
    </w:p>
    <w:p w:rsidR="00FF6E37" w:rsidRDefault="00FF6E37">
      <w:pPr>
        <w:pStyle w:val="DefinedTerms"/>
      </w:pPr>
      <w:r>
        <w:t>baton</w:t>
      </w:r>
      <w:r>
        <w:tab/>
        <w:t>3</w:t>
      </w:r>
    </w:p>
    <w:p w:rsidR="00FF6E37" w:rsidRDefault="00FF6E37">
      <w:pPr>
        <w:pStyle w:val="DefinedTerms"/>
      </w:pPr>
      <w:r>
        <w:t>catapult</w:t>
      </w:r>
      <w:r>
        <w:tab/>
        <w:t>3</w:t>
      </w:r>
    </w:p>
    <w:p w:rsidR="00FF6E37" w:rsidRDefault="00FF6E37">
      <w:pPr>
        <w:pStyle w:val="DefinedTerms"/>
      </w:pPr>
      <w:r>
        <w:t>crossbow</w:t>
      </w:r>
      <w:r>
        <w:tab/>
        <w:t>14(1)</w:t>
      </w:r>
    </w:p>
    <w:p w:rsidR="00FF6E37" w:rsidRDefault="00FF6E37">
      <w:pPr>
        <w:pStyle w:val="DefinedTerms"/>
      </w:pPr>
      <w:r>
        <w:t>discharge</w:t>
      </w:r>
      <w:r>
        <w:tab/>
        <w:t>3</w:t>
      </w:r>
    </w:p>
    <w:p w:rsidR="00FF6E37" w:rsidRDefault="00FF6E37">
      <w:pPr>
        <w:pStyle w:val="DefinedTerms"/>
      </w:pPr>
      <w:r>
        <w:t>dramatic production</w:t>
      </w:r>
      <w:r>
        <w:tab/>
        <w:t>13(1)</w:t>
      </w:r>
    </w:p>
    <w:p w:rsidR="00FF6E37" w:rsidRDefault="00FF6E37">
      <w:pPr>
        <w:pStyle w:val="DefinedTerms"/>
      </w:pPr>
      <w:r>
        <w:t>exempt arbalest</w:t>
      </w:r>
      <w:r>
        <w:tab/>
        <w:t>14(1)</w:t>
      </w:r>
    </w:p>
    <w:p w:rsidR="00FF6E37" w:rsidRDefault="00FF6E37">
      <w:pPr>
        <w:pStyle w:val="DefinedTerms"/>
      </w:pPr>
      <w:r>
        <w:t>exempt collector</w:t>
      </w:r>
      <w:r>
        <w:tab/>
        <w:t>9(6)</w:t>
      </w:r>
    </w:p>
    <w:p w:rsidR="00FF6E37" w:rsidRDefault="00FF6E37">
      <w:pPr>
        <w:pStyle w:val="DefinedTerms"/>
      </w:pPr>
      <w:r>
        <w:t>exempt event</w:t>
      </w:r>
      <w:r>
        <w:tab/>
        <w:t>11(1)</w:t>
      </w:r>
    </w:p>
    <w:p w:rsidR="00FF6E37" w:rsidRDefault="00FF6E37">
      <w:pPr>
        <w:pStyle w:val="DefinedTerms"/>
      </w:pPr>
      <w:r>
        <w:t>exempt production</w:t>
      </w:r>
      <w:r>
        <w:tab/>
        <w:t>13(1)</w:t>
      </w:r>
    </w:p>
    <w:p w:rsidR="00FF6E37" w:rsidRDefault="00FF6E37">
      <w:pPr>
        <w:pStyle w:val="DefinedTerms"/>
      </w:pPr>
      <w:r>
        <w:t>exemption notice</w:t>
      </w:r>
      <w:r>
        <w:tab/>
        <w:t>13(1)</w:t>
      </w:r>
    </w:p>
    <w:p w:rsidR="00FF6E37" w:rsidRDefault="00FF6E37">
      <w:pPr>
        <w:pStyle w:val="DefinedTerms"/>
      </w:pPr>
      <w:r>
        <w:t>extendable baton</w:t>
      </w:r>
      <w:r>
        <w:tab/>
        <w:t>8(2)</w:t>
      </w:r>
    </w:p>
    <w:p w:rsidR="00FF6E37" w:rsidRDefault="00FF6E37">
      <w:pPr>
        <w:pStyle w:val="DefinedTerms"/>
      </w:pPr>
      <w:r>
        <w:t>injure or disable</w:t>
      </w:r>
      <w:r>
        <w:tab/>
        <w:t>3</w:t>
      </w:r>
    </w:p>
    <w:p w:rsidR="00FF6E37" w:rsidRDefault="00FF6E37">
      <w:pPr>
        <w:pStyle w:val="DefinedTerms"/>
      </w:pPr>
      <w:r>
        <w:t>maritime security inspector</w:t>
      </w:r>
      <w:r>
        <w:tab/>
        <w:t>12A(1)</w:t>
      </w:r>
    </w:p>
    <w:p w:rsidR="00FF6E37" w:rsidRDefault="00FF6E37">
      <w:pPr>
        <w:pStyle w:val="DefinedTerms"/>
      </w:pPr>
      <w:r>
        <w:t>martial arts weapon</w:t>
      </w:r>
      <w:r>
        <w:tab/>
        <w:t>3</w:t>
      </w:r>
    </w:p>
    <w:p w:rsidR="00FF6E37" w:rsidRDefault="00FF6E37">
      <w:pPr>
        <w:pStyle w:val="DefinedTerms"/>
      </w:pPr>
      <w:r>
        <w:t>missile</w:t>
      </w:r>
      <w:r>
        <w:tab/>
        <w:t>3</w:t>
      </w:r>
    </w:p>
    <w:p w:rsidR="00FF6E37" w:rsidRDefault="00FF6E37">
      <w:pPr>
        <w:pStyle w:val="DefinedTerms"/>
      </w:pPr>
      <w:r>
        <w:t>participant</w:t>
      </w:r>
      <w:r>
        <w:tab/>
        <w:t>11(1)</w:t>
      </w:r>
    </w:p>
    <w:p w:rsidR="00FF6E37" w:rsidRDefault="00FF6E37">
      <w:pPr>
        <w:pStyle w:val="DefinedTerms"/>
      </w:pPr>
      <w:r>
        <w:t>possess</w:t>
      </w:r>
      <w:r>
        <w:tab/>
        <w:t>11(1)</w:t>
      </w:r>
    </w:p>
    <w:p w:rsidR="00FF6E37" w:rsidRDefault="00FF6E37">
      <w:pPr>
        <w:pStyle w:val="DefinedTerms"/>
      </w:pPr>
      <w:r>
        <w:t>relevant date</w:t>
      </w:r>
      <w:r>
        <w:tab/>
        <w:t>9(6)</w:t>
      </w:r>
    </w:p>
    <w:p w:rsidR="00FF6E37" w:rsidRDefault="00FF6E37">
      <w:pPr>
        <w:pStyle w:val="DefinedTerms"/>
      </w:pPr>
      <w:r>
        <w:t>Secretary</w:t>
      </w:r>
      <w:r>
        <w:tab/>
        <w:t>12A(1)</w:t>
      </w:r>
    </w:p>
    <w:p w:rsidR="00FF6E37" w:rsidRDefault="00FF6E37">
      <w:pPr>
        <w:pStyle w:val="DefinedTerms"/>
      </w:pPr>
      <w:r>
        <w:t>specified prohibited weapon</w:t>
      </w:r>
      <w:r>
        <w:tab/>
        <w:t>9(6)</w:t>
      </w:r>
    </w:p>
    <w:p w:rsidR="00FF6E37" w:rsidRDefault="00FF6E37">
      <w:pPr>
        <w:pStyle w:val="DefinedTerms"/>
      </w:pPr>
      <w:r>
        <w:t>specified weapon</w:t>
      </w:r>
      <w:r>
        <w:tab/>
        <w:t>13(1)</w:t>
      </w:r>
    </w:p>
    <w:p w:rsidR="00FF6E37" w:rsidRDefault="00FF6E37">
      <w:pPr>
        <w:pStyle w:val="DefinedTerms"/>
      </w:pPr>
      <w:r>
        <w:t>spray weapon</w:t>
      </w:r>
      <w:r>
        <w:tab/>
        <w:t>3</w:t>
      </w:r>
    </w:p>
    <w:p w:rsidR="00FF6E37" w:rsidRDefault="00FF6E37">
      <w:pPr>
        <w:pStyle w:val="DefinedTerms"/>
      </w:pPr>
      <w:r>
        <w:t>WA Disabled Sports Association (Inc.) member</w:t>
      </w:r>
      <w:r>
        <w:tab/>
        <w:t>11(1)</w:t>
      </w:r>
    </w:p>
    <w:p w:rsidR="00FF6E37" w:rsidRDefault="00FF6E37"/>
    <w:p w:rsidR="00FF6E37" w:rsidRDefault="00FF6E37">
      <w:pPr>
        <w:sectPr w:rsidR="00FF6E37">
          <w:headerReference w:type="even" r:id="rId29"/>
          <w:headerReference w:type="default" r:id="rId30"/>
          <w:pgSz w:w="11907" w:h="16840" w:code="9"/>
          <w:pgMar w:top="2381" w:right="2409" w:bottom="3543" w:left="2409" w:header="720" w:footer="3380" w:gutter="0"/>
          <w:cols w:space="720"/>
          <w:noEndnote/>
          <w:docGrid w:linePitch="326"/>
        </w:sectPr>
      </w:pPr>
    </w:p>
    <w:p w:rsidR="00FF6E37" w:rsidRDefault="00FF6E37"/>
    <w:sectPr w:rsidR="00FF6E37">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6E37" w:rsidRDefault="00FF6E37">
      <w:r>
        <w:separator/>
      </w:r>
    </w:p>
  </w:endnote>
  <w:endnote w:type="continuationSeparator" w:id="0">
    <w:p w:rsidR="00FF6E37" w:rsidRDefault="00FF6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Footer"/>
      <w:pBdr>
        <w:bottom w:val="single" w:sz="4" w:space="1" w:color="auto"/>
      </w:pBdr>
      <w:rPr>
        <w:sz w:val="20"/>
      </w:rPr>
    </w:pPr>
  </w:p>
  <w:p w:rsidR="00FF6E37" w:rsidRDefault="00FF6E3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A0535">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A0535">
      <w:rPr>
        <w:sz w:val="20"/>
      </w:rPr>
      <w:t>03 Jul 2021</w:t>
    </w:r>
    <w:r>
      <w:rPr>
        <w:sz w:val="20"/>
      </w:rPr>
      <w:fldChar w:fldCharType="end"/>
    </w:r>
  </w:p>
  <w:p w:rsidR="00FF6E37" w:rsidRDefault="00FF6E3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Footer"/>
      <w:pBdr>
        <w:bottom w:val="single" w:sz="4" w:space="1" w:color="auto"/>
      </w:pBdr>
      <w:rPr>
        <w:sz w:val="20"/>
      </w:rPr>
    </w:pPr>
  </w:p>
  <w:p w:rsidR="00FF6E37" w:rsidRDefault="00FF6E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A0535">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A0535">
      <w:rPr>
        <w:sz w:val="20"/>
      </w:rPr>
      <w:t>03-e0-00</w:t>
    </w:r>
    <w:r>
      <w:rPr>
        <w:sz w:val="20"/>
      </w:rPr>
      <w:fldChar w:fldCharType="end"/>
    </w:r>
  </w:p>
  <w:p w:rsidR="00FF6E37" w:rsidRDefault="00FF6E3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Footer"/>
      <w:pBdr>
        <w:bottom w:val="single" w:sz="4" w:space="1" w:color="auto"/>
      </w:pBdr>
      <w:rPr>
        <w:sz w:val="20"/>
      </w:rPr>
    </w:pPr>
  </w:p>
  <w:p w:rsidR="00FF6E37" w:rsidRDefault="00FF6E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A0535">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A0535">
      <w:rPr>
        <w:sz w:val="20"/>
      </w:rPr>
      <w:t>03-e0-00</w:t>
    </w:r>
    <w:r>
      <w:rPr>
        <w:sz w:val="20"/>
      </w:rPr>
      <w:fldChar w:fldCharType="end"/>
    </w:r>
  </w:p>
  <w:p w:rsidR="00FF6E37" w:rsidRDefault="00FF6E3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Footer"/>
      <w:pBdr>
        <w:bottom w:val="single" w:sz="4" w:space="1" w:color="auto"/>
      </w:pBdr>
      <w:rPr>
        <w:sz w:val="20"/>
      </w:rPr>
    </w:pPr>
  </w:p>
  <w:p w:rsidR="00FF6E37" w:rsidRDefault="00FF6E3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A0535">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A0535">
      <w:rPr>
        <w:sz w:val="20"/>
      </w:rPr>
      <w:t>03 Jul 2021</w:t>
    </w:r>
    <w:r>
      <w:rPr>
        <w:sz w:val="20"/>
      </w:rPr>
      <w:fldChar w:fldCharType="end"/>
    </w:r>
  </w:p>
  <w:p w:rsidR="00FF6E37" w:rsidRDefault="00FF6E3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Footer"/>
      <w:pBdr>
        <w:bottom w:val="single" w:sz="4" w:space="1" w:color="auto"/>
      </w:pBdr>
      <w:rPr>
        <w:sz w:val="20"/>
      </w:rPr>
    </w:pPr>
  </w:p>
  <w:p w:rsidR="00FF6E37" w:rsidRDefault="00FF6E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A0535">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A0535">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rsidR="00FF6E37" w:rsidRDefault="00FF6E3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Footer"/>
      <w:pBdr>
        <w:bottom w:val="single" w:sz="4" w:space="1" w:color="auto"/>
      </w:pBdr>
      <w:rPr>
        <w:sz w:val="20"/>
      </w:rPr>
    </w:pPr>
  </w:p>
  <w:p w:rsidR="00FF6E37" w:rsidRDefault="00FF6E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A0535">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A0535">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F6E37" w:rsidRDefault="00FF6E3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6E37" w:rsidRDefault="00FF6E37">
      <w:r>
        <w:separator/>
      </w:r>
    </w:p>
  </w:footnote>
  <w:footnote w:type="continuationSeparator" w:id="0">
    <w:p w:rsidR="00FF6E37" w:rsidRDefault="00FF6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0535" w:rsidRDefault="00AA05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0535" w:rsidRDefault="00AA05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6E37">
      <w:trPr>
        <w:cantSplit/>
        <w:jc w:val="center"/>
      </w:trPr>
      <w:tc>
        <w:tcPr>
          <w:tcW w:w="7258" w:type="dxa"/>
          <w:gridSpan w:val="2"/>
        </w:tcPr>
        <w:p w:rsidR="00FF6E37" w:rsidRDefault="00FF6E37">
          <w:pPr>
            <w:pStyle w:val="Header"/>
          </w:pPr>
          <w:r>
            <w:rPr>
              <w:b/>
              <w:i/>
            </w:rPr>
            <w:fldChar w:fldCharType="begin"/>
          </w:r>
          <w:r>
            <w:rPr>
              <w:b/>
              <w:i/>
            </w:rPr>
            <w:instrText xml:space="preserve"> STYLEREF "Name of Act/Reg" </w:instrText>
          </w:r>
          <w:r>
            <w:rPr>
              <w:b/>
              <w:i/>
            </w:rPr>
            <w:fldChar w:fldCharType="separate"/>
          </w:r>
          <w:r w:rsidR="00AA0535">
            <w:rPr>
              <w:b/>
              <w:i/>
            </w:rPr>
            <w:t>Weapons Regulations 1999</w:t>
          </w:r>
          <w:r>
            <w:rPr>
              <w:b/>
              <w:i/>
            </w:rPr>
            <w:fldChar w:fldCharType="end"/>
          </w:r>
        </w:p>
      </w:tc>
    </w:tr>
    <w:tr w:rsidR="00FF6E37">
      <w:trPr>
        <w:jc w:val="center"/>
      </w:trPr>
      <w:tc>
        <w:tcPr>
          <w:tcW w:w="1548" w:type="dxa"/>
        </w:tcPr>
        <w:p w:rsidR="00FF6E37" w:rsidRDefault="00FF6E37">
          <w:pPr>
            <w:pStyle w:val="Header"/>
            <w:spacing w:before="40"/>
          </w:pPr>
        </w:p>
      </w:tc>
      <w:tc>
        <w:tcPr>
          <w:tcW w:w="5715" w:type="dxa"/>
        </w:tcPr>
        <w:p w:rsidR="00FF6E37" w:rsidRDefault="00FF6E37">
          <w:pPr>
            <w:pStyle w:val="Header"/>
            <w:spacing w:before="40"/>
          </w:pPr>
        </w:p>
      </w:tc>
    </w:tr>
    <w:tr w:rsidR="00FF6E37">
      <w:trPr>
        <w:jc w:val="center"/>
      </w:trPr>
      <w:tc>
        <w:tcPr>
          <w:tcW w:w="1548" w:type="dxa"/>
        </w:tcPr>
        <w:p w:rsidR="00FF6E37" w:rsidRDefault="00FF6E37">
          <w:pPr>
            <w:pStyle w:val="Header"/>
            <w:spacing w:before="40"/>
          </w:pPr>
        </w:p>
      </w:tc>
      <w:tc>
        <w:tcPr>
          <w:tcW w:w="5715" w:type="dxa"/>
        </w:tcPr>
        <w:p w:rsidR="00FF6E37" w:rsidRDefault="00FF6E37">
          <w:pPr>
            <w:pStyle w:val="Header"/>
            <w:spacing w:before="40"/>
          </w:pPr>
        </w:p>
      </w:tc>
    </w:tr>
    <w:tr w:rsidR="00FF6E37">
      <w:trPr>
        <w:cantSplit/>
        <w:jc w:val="center"/>
      </w:trPr>
      <w:tc>
        <w:tcPr>
          <w:tcW w:w="7258" w:type="dxa"/>
          <w:gridSpan w:val="2"/>
        </w:tcPr>
        <w:p w:rsidR="00FF6E37" w:rsidRDefault="00FF6E37">
          <w:pPr>
            <w:pStyle w:val="Header"/>
            <w:spacing w:before="40"/>
          </w:pPr>
          <w:r>
            <w:t>Contents</w:t>
          </w:r>
        </w:p>
      </w:tc>
    </w:tr>
  </w:tbl>
  <w:p w:rsidR="00FF6E37" w:rsidRDefault="00FF6E3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F6E37">
      <w:trPr>
        <w:cantSplit/>
        <w:jc w:val="center"/>
      </w:trPr>
      <w:tc>
        <w:tcPr>
          <w:tcW w:w="7258" w:type="dxa"/>
          <w:gridSpan w:val="2"/>
        </w:tcPr>
        <w:p w:rsidR="00FF6E37" w:rsidRDefault="00FF6E37">
          <w:pPr>
            <w:pStyle w:val="Header"/>
            <w:ind w:right="17"/>
            <w:jc w:val="right"/>
          </w:pPr>
          <w:r>
            <w:rPr>
              <w:b/>
              <w:i/>
            </w:rPr>
            <w:fldChar w:fldCharType="begin"/>
          </w:r>
          <w:r>
            <w:rPr>
              <w:b/>
              <w:i/>
            </w:rPr>
            <w:instrText xml:space="preserve"> STYLEREF "Name of Act/Reg" </w:instrText>
          </w:r>
          <w:r>
            <w:rPr>
              <w:b/>
              <w:i/>
            </w:rPr>
            <w:fldChar w:fldCharType="separate"/>
          </w:r>
          <w:r w:rsidR="00AA0535">
            <w:rPr>
              <w:b/>
              <w:i/>
            </w:rPr>
            <w:t>Weapons Regulations 1999</w:t>
          </w:r>
          <w:r>
            <w:rPr>
              <w:b/>
              <w:i/>
            </w:rPr>
            <w:fldChar w:fldCharType="end"/>
          </w:r>
        </w:p>
      </w:tc>
    </w:tr>
    <w:tr w:rsidR="00FF6E37">
      <w:trPr>
        <w:jc w:val="center"/>
      </w:trPr>
      <w:tc>
        <w:tcPr>
          <w:tcW w:w="5715" w:type="dxa"/>
        </w:tcPr>
        <w:p w:rsidR="00FF6E37" w:rsidRDefault="00FF6E37">
          <w:pPr>
            <w:pStyle w:val="Header"/>
            <w:spacing w:before="40"/>
            <w:jc w:val="right"/>
          </w:pPr>
        </w:p>
      </w:tc>
      <w:tc>
        <w:tcPr>
          <w:tcW w:w="1548" w:type="dxa"/>
        </w:tcPr>
        <w:p w:rsidR="00FF6E37" w:rsidRDefault="00FF6E37">
          <w:pPr>
            <w:pStyle w:val="Header"/>
            <w:spacing w:before="40"/>
            <w:ind w:right="17"/>
            <w:jc w:val="right"/>
          </w:pPr>
        </w:p>
      </w:tc>
    </w:tr>
    <w:tr w:rsidR="00FF6E37">
      <w:trPr>
        <w:jc w:val="center"/>
      </w:trPr>
      <w:tc>
        <w:tcPr>
          <w:tcW w:w="5715" w:type="dxa"/>
        </w:tcPr>
        <w:p w:rsidR="00FF6E37" w:rsidRDefault="00FF6E37">
          <w:pPr>
            <w:pStyle w:val="Header"/>
            <w:spacing w:before="40"/>
            <w:jc w:val="right"/>
          </w:pPr>
        </w:p>
      </w:tc>
      <w:tc>
        <w:tcPr>
          <w:tcW w:w="1548" w:type="dxa"/>
        </w:tcPr>
        <w:p w:rsidR="00FF6E37" w:rsidRDefault="00FF6E37">
          <w:pPr>
            <w:pStyle w:val="Header"/>
            <w:spacing w:before="40"/>
            <w:ind w:right="17"/>
            <w:jc w:val="right"/>
          </w:pPr>
        </w:p>
      </w:tc>
    </w:tr>
    <w:tr w:rsidR="00FF6E37">
      <w:trPr>
        <w:cantSplit/>
        <w:jc w:val="center"/>
      </w:trPr>
      <w:tc>
        <w:tcPr>
          <w:tcW w:w="7258" w:type="dxa"/>
          <w:gridSpan w:val="2"/>
        </w:tcPr>
        <w:p w:rsidR="00FF6E37" w:rsidRDefault="00FF6E37">
          <w:pPr>
            <w:pStyle w:val="Header"/>
            <w:spacing w:before="40"/>
            <w:ind w:right="17"/>
            <w:jc w:val="right"/>
          </w:pPr>
          <w:r>
            <w:t>Contents</w:t>
          </w:r>
        </w:p>
      </w:tc>
    </w:tr>
  </w:tbl>
  <w:p w:rsidR="00FF6E37" w:rsidRDefault="00FF6E3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6E37">
      <w:trPr>
        <w:cantSplit/>
        <w:jc w:val="center"/>
      </w:trPr>
      <w:tc>
        <w:tcPr>
          <w:tcW w:w="7258" w:type="dxa"/>
          <w:gridSpan w:val="2"/>
        </w:tcPr>
        <w:p w:rsidR="00FF6E37" w:rsidRDefault="00FF6E37">
          <w:pPr>
            <w:pStyle w:val="Header"/>
          </w:pPr>
          <w:r>
            <w:rPr>
              <w:b/>
              <w:i/>
            </w:rPr>
            <w:fldChar w:fldCharType="begin"/>
          </w:r>
          <w:r>
            <w:rPr>
              <w:b/>
              <w:i/>
            </w:rPr>
            <w:instrText>Styleref "Name of Act/Reg"</w:instrText>
          </w:r>
          <w:r>
            <w:rPr>
              <w:b/>
              <w:i/>
            </w:rPr>
            <w:fldChar w:fldCharType="separate"/>
          </w:r>
          <w:r w:rsidR="00AA0535">
            <w:rPr>
              <w:b/>
              <w:i/>
            </w:rPr>
            <w:t>Weapons Regulations 1999</w:t>
          </w:r>
          <w:r>
            <w:rPr>
              <w:b/>
              <w:i/>
            </w:rPr>
            <w:fldChar w:fldCharType="end"/>
          </w:r>
        </w:p>
      </w:tc>
    </w:tr>
    <w:tr w:rsidR="00FF6E37">
      <w:trPr>
        <w:jc w:val="center"/>
      </w:trPr>
      <w:tc>
        <w:tcPr>
          <w:tcW w:w="1548" w:type="dxa"/>
        </w:tcPr>
        <w:p w:rsidR="00FF6E37" w:rsidRDefault="00FF6E37">
          <w:pPr>
            <w:pStyle w:val="Header"/>
            <w:spacing w:before="40"/>
          </w:pPr>
          <w:r>
            <w:rPr>
              <w:b/>
            </w:rPr>
            <w:fldChar w:fldCharType="begin"/>
          </w:r>
          <w:r>
            <w:rPr>
              <w:b/>
            </w:rPr>
            <w:instrText xml:space="preserve"> styleref CharPartNo </w:instrText>
          </w:r>
          <w:r>
            <w:rPr>
              <w:b/>
            </w:rPr>
            <w:fldChar w:fldCharType="end"/>
          </w:r>
        </w:p>
      </w:tc>
      <w:tc>
        <w:tcPr>
          <w:tcW w:w="5715" w:type="dxa"/>
        </w:tcPr>
        <w:p w:rsidR="00FF6E37" w:rsidRDefault="00FF6E37">
          <w:pPr>
            <w:pStyle w:val="Header"/>
            <w:spacing w:before="40"/>
          </w:pPr>
          <w:r>
            <w:fldChar w:fldCharType="begin"/>
          </w:r>
          <w:r>
            <w:instrText xml:space="preserve"> styleref CharPartText </w:instrText>
          </w:r>
          <w:r>
            <w:fldChar w:fldCharType="end"/>
          </w:r>
        </w:p>
      </w:tc>
    </w:tr>
    <w:tr w:rsidR="00FF6E37">
      <w:trPr>
        <w:jc w:val="center"/>
      </w:trPr>
      <w:tc>
        <w:tcPr>
          <w:tcW w:w="1548" w:type="dxa"/>
        </w:tcPr>
        <w:p w:rsidR="00FF6E37" w:rsidRDefault="00FF6E37">
          <w:pPr>
            <w:pStyle w:val="Header"/>
            <w:spacing w:before="40"/>
          </w:pPr>
          <w:r>
            <w:rPr>
              <w:b/>
            </w:rPr>
            <w:fldChar w:fldCharType="begin"/>
          </w:r>
          <w:r>
            <w:rPr>
              <w:b/>
            </w:rPr>
            <w:instrText xml:space="preserve"> styleref CharDivNo </w:instrText>
          </w:r>
          <w:r>
            <w:rPr>
              <w:b/>
            </w:rPr>
            <w:fldChar w:fldCharType="end"/>
          </w:r>
        </w:p>
      </w:tc>
      <w:tc>
        <w:tcPr>
          <w:tcW w:w="5715" w:type="dxa"/>
        </w:tcPr>
        <w:p w:rsidR="00FF6E37" w:rsidRDefault="00FF6E37">
          <w:pPr>
            <w:pStyle w:val="Header"/>
            <w:spacing w:before="40"/>
          </w:pPr>
          <w:r>
            <w:fldChar w:fldCharType="begin"/>
          </w:r>
          <w:r>
            <w:instrText xml:space="preserve"> styleref CharDivText </w:instrText>
          </w:r>
          <w:r>
            <w:fldChar w:fldCharType="end"/>
          </w:r>
        </w:p>
      </w:tc>
    </w:tr>
    <w:tr w:rsidR="00FF6E37">
      <w:trPr>
        <w:cantSplit/>
        <w:jc w:val="center"/>
      </w:trPr>
      <w:tc>
        <w:tcPr>
          <w:tcW w:w="7258" w:type="dxa"/>
          <w:gridSpan w:val="2"/>
        </w:tcPr>
        <w:p w:rsidR="00FF6E37" w:rsidRDefault="00FF6E37">
          <w:pPr>
            <w:pStyle w:val="Header"/>
            <w:spacing w:before="40"/>
          </w:pPr>
          <w:r>
            <w:rPr>
              <w:b/>
            </w:rPr>
            <w:t xml:space="preserve">r. </w:t>
          </w:r>
          <w:r>
            <w:rPr>
              <w:b/>
            </w:rPr>
            <w:fldChar w:fldCharType="begin"/>
          </w:r>
          <w:r>
            <w:rPr>
              <w:b/>
            </w:rPr>
            <w:instrText>styleref CharSectno</w:instrText>
          </w:r>
          <w:r>
            <w:rPr>
              <w:b/>
            </w:rPr>
            <w:fldChar w:fldCharType="separate"/>
          </w:r>
          <w:r w:rsidR="00AA0535">
            <w:rPr>
              <w:b/>
            </w:rPr>
            <w:t>1</w:t>
          </w:r>
          <w:r>
            <w:rPr>
              <w:b/>
            </w:rPr>
            <w:fldChar w:fldCharType="end"/>
          </w:r>
        </w:p>
      </w:tc>
    </w:tr>
  </w:tbl>
  <w:p w:rsidR="00FF6E37" w:rsidRDefault="00FF6E3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F6E37">
      <w:trPr>
        <w:cantSplit/>
        <w:jc w:val="center"/>
      </w:trPr>
      <w:tc>
        <w:tcPr>
          <w:tcW w:w="7258" w:type="dxa"/>
          <w:gridSpan w:val="2"/>
        </w:tcPr>
        <w:p w:rsidR="00FF6E37" w:rsidRDefault="00FF6E37">
          <w:pPr>
            <w:pStyle w:val="Header"/>
            <w:ind w:right="17"/>
            <w:jc w:val="right"/>
          </w:pPr>
          <w:r>
            <w:rPr>
              <w:b/>
              <w:i/>
            </w:rPr>
            <w:fldChar w:fldCharType="begin"/>
          </w:r>
          <w:r>
            <w:rPr>
              <w:b/>
              <w:i/>
            </w:rPr>
            <w:instrText>Styleref "Name of Act/Reg"</w:instrText>
          </w:r>
          <w:r>
            <w:rPr>
              <w:b/>
              <w:i/>
            </w:rPr>
            <w:fldChar w:fldCharType="separate"/>
          </w:r>
          <w:r w:rsidR="00AA0535">
            <w:rPr>
              <w:b/>
              <w:i/>
            </w:rPr>
            <w:t>Weapons Regulations 1999</w:t>
          </w:r>
          <w:r>
            <w:rPr>
              <w:b/>
              <w:i/>
            </w:rPr>
            <w:fldChar w:fldCharType="end"/>
          </w:r>
        </w:p>
      </w:tc>
    </w:tr>
    <w:tr w:rsidR="00FF6E37">
      <w:trPr>
        <w:jc w:val="center"/>
      </w:trPr>
      <w:tc>
        <w:tcPr>
          <w:tcW w:w="5715" w:type="dxa"/>
        </w:tcPr>
        <w:p w:rsidR="00FF6E37" w:rsidRDefault="00FF6E37">
          <w:pPr>
            <w:pStyle w:val="Header"/>
            <w:spacing w:before="40"/>
            <w:jc w:val="right"/>
          </w:pPr>
          <w:r>
            <w:fldChar w:fldCharType="begin"/>
          </w:r>
          <w:r>
            <w:instrText xml:space="preserve"> styleref CharPartText </w:instrText>
          </w:r>
          <w:r>
            <w:fldChar w:fldCharType="end"/>
          </w:r>
        </w:p>
      </w:tc>
      <w:tc>
        <w:tcPr>
          <w:tcW w:w="1548" w:type="dxa"/>
        </w:tcPr>
        <w:p w:rsidR="00FF6E37" w:rsidRDefault="00FF6E37">
          <w:pPr>
            <w:pStyle w:val="Header"/>
            <w:spacing w:before="40"/>
            <w:ind w:right="17"/>
            <w:jc w:val="right"/>
          </w:pPr>
          <w:r>
            <w:rPr>
              <w:b/>
            </w:rPr>
            <w:fldChar w:fldCharType="begin"/>
          </w:r>
          <w:r>
            <w:rPr>
              <w:b/>
            </w:rPr>
            <w:instrText xml:space="preserve"> styleref CharPartNo </w:instrText>
          </w:r>
          <w:r>
            <w:rPr>
              <w:b/>
            </w:rPr>
            <w:fldChar w:fldCharType="end"/>
          </w:r>
        </w:p>
      </w:tc>
    </w:tr>
    <w:tr w:rsidR="00FF6E37">
      <w:trPr>
        <w:jc w:val="center"/>
      </w:trPr>
      <w:tc>
        <w:tcPr>
          <w:tcW w:w="5715" w:type="dxa"/>
        </w:tcPr>
        <w:p w:rsidR="00FF6E37" w:rsidRDefault="00FF6E37">
          <w:pPr>
            <w:pStyle w:val="Header"/>
            <w:spacing w:before="40"/>
            <w:jc w:val="right"/>
          </w:pPr>
          <w:r>
            <w:fldChar w:fldCharType="begin"/>
          </w:r>
          <w:r>
            <w:instrText xml:space="preserve"> styleref CharDivText </w:instrText>
          </w:r>
          <w:r>
            <w:fldChar w:fldCharType="end"/>
          </w:r>
        </w:p>
      </w:tc>
      <w:tc>
        <w:tcPr>
          <w:tcW w:w="1548" w:type="dxa"/>
        </w:tcPr>
        <w:p w:rsidR="00FF6E37" w:rsidRDefault="00FF6E37">
          <w:pPr>
            <w:pStyle w:val="Header"/>
            <w:spacing w:before="40"/>
            <w:ind w:right="17"/>
            <w:jc w:val="right"/>
          </w:pPr>
          <w:r>
            <w:rPr>
              <w:b/>
            </w:rPr>
            <w:fldChar w:fldCharType="begin"/>
          </w:r>
          <w:r>
            <w:rPr>
              <w:b/>
            </w:rPr>
            <w:instrText xml:space="preserve"> styleref CharDivNo </w:instrText>
          </w:r>
          <w:r>
            <w:rPr>
              <w:b/>
            </w:rPr>
            <w:fldChar w:fldCharType="end"/>
          </w:r>
        </w:p>
      </w:tc>
    </w:tr>
    <w:tr w:rsidR="00FF6E37">
      <w:trPr>
        <w:cantSplit/>
        <w:jc w:val="center"/>
      </w:trPr>
      <w:tc>
        <w:tcPr>
          <w:tcW w:w="7258" w:type="dxa"/>
          <w:gridSpan w:val="2"/>
        </w:tcPr>
        <w:p w:rsidR="00FF6E37" w:rsidRDefault="00FF6E3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A0535">
            <w:rPr>
              <w:b/>
            </w:rPr>
            <w:t>1</w:t>
          </w:r>
          <w:r>
            <w:rPr>
              <w:b/>
            </w:rPr>
            <w:fldChar w:fldCharType="end"/>
          </w:r>
        </w:p>
      </w:tc>
    </w:tr>
  </w:tbl>
  <w:p w:rsidR="00FF6E37" w:rsidRDefault="00FF6E3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6E37">
      <w:trPr>
        <w:cantSplit/>
        <w:jc w:val="center"/>
      </w:trPr>
      <w:tc>
        <w:tcPr>
          <w:tcW w:w="7258" w:type="dxa"/>
          <w:gridSpan w:val="2"/>
        </w:tcPr>
        <w:p w:rsidR="00FF6E37" w:rsidRDefault="00FF6E37">
          <w:pPr>
            <w:pStyle w:val="Header"/>
          </w:pPr>
          <w:r>
            <w:rPr>
              <w:b/>
              <w:i/>
            </w:rPr>
            <w:fldChar w:fldCharType="begin"/>
          </w:r>
          <w:r>
            <w:rPr>
              <w:b/>
              <w:i/>
            </w:rPr>
            <w:instrText xml:space="preserve"> STYLEREF "Name of Act/Reg" </w:instrText>
          </w:r>
          <w:r>
            <w:rPr>
              <w:b/>
              <w:i/>
            </w:rPr>
            <w:fldChar w:fldCharType="separate"/>
          </w:r>
          <w:r w:rsidR="00AA0535">
            <w:rPr>
              <w:b/>
              <w:i/>
            </w:rPr>
            <w:t>Weapons Regulations 1999</w:t>
          </w:r>
          <w:r>
            <w:rPr>
              <w:b/>
              <w:i/>
            </w:rPr>
            <w:fldChar w:fldCharType="end"/>
          </w:r>
        </w:p>
      </w:tc>
    </w:tr>
    <w:tr w:rsidR="00FF6E37">
      <w:trPr>
        <w:jc w:val="center"/>
      </w:trPr>
      <w:tc>
        <w:tcPr>
          <w:tcW w:w="1548" w:type="dxa"/>
        </w:tcPr>
        <w:p w:rsidR="00FF6E37" w:rsidRDefault="00FF6E37">
          <w:pPr>
            <w:pStyle w:val="Header"/>
            <w:spacing w:before="40"/>
          </w:pPr>
          <w:r>
            <w:rPr>
              <w:b/>
            </w:rPr>
            <w:fldChar w:fldCharType="begin"/>
          </w:r>
          <w:r>
            <w:rPr>
              <w:b/>
            </w:rPr>
            <w:instrText>styleref CharSchno</w:instrText>
          </w:r>
          <w:r>
            <w:rPr>
              <w:b/>
            </w:rPr>
            <w:fldChar w:fldCharType="end"/>
          </w:r>
        </w:p>
      </w:tc>
      <w:tc>
        <w:tcPr>
          <w:tcW w:w="5715" w:type="dxa"/>
        </w:tcPr>
        <w:p w:rsidR="00FF6E37" w:rsidRDefault="00FF6E37">
          <w:pPr>
            <w:pStyle w:val="Header"/>
            <w:spacing w:before="40"/>
          </w:pPr>
          <w:r>
            <w:fldChar w:fldCharType="begin"/>
          </w:r>
          <w:r>
            <w:instrText>styleref CharSchText</w:instrText>
          </w:r>
          <w:r>
            <w:fldChar w:fldCharType="end"/>
          </w:r>
        </w:p>
      </w:tc>
    </w:tr>
    <w:tr w:rsidR="00FF6E37">
      <w:trPr>
        <w:jc w:val="center"/>
      </w:trPr>
      <w:tc>
        <w:tcPr>
          <w:tcW w:w="1548" w:type="dxa"/>
        </w:tcPr>
        <w:p w:rsidR="00FF6E37" w:rsidRDefault="00FF6E37">
          <w:pPr>
            <w:pStyle w:val="Header"/>
            <w:spacing w:before="40"/>
          </w:pPr>
        </w:p>
      </w:tc>
      <w:tc>
        <w:tcPr>
          <w:tcW w:w="5715" w:type="dxa"/>
        </w:tcPr>
        <w:p w:rsidR="00FF6E37" w:rsidRDefault="00FF6E37">
          <w:pPr>
            <w:pStyle w:val="Header"/>
            <w:spacing w:before="40"/>
          </w:pPr>
        </w:p>
      </w:tc>
    </w:tr>
    <w:tr w:rsidR="00FF6E37">
      <w:trPr>
        <w:jc w:val="center"/>
      </w:trPr>
      <w:tc>
        <w:tcPr>
          <w:tcW w:w="1548" w:type="dxa"/>
        </w:tcPr>
        <w:p w:rsidR="00FF6E37" w:rsidRDefault="00FF6E37">
          <w:pPr>
            <w:pStyle w:val="Header"/>
            <w:spacing w:before="40"/>
          </w:pPr>
        </w:p>
      </w:tc>
      <w:tc>
        <w:tcPr>
          <w:tcW w:w="5715" w:type="dxa"/>
        </w:tcPr>
        <w:p w:rsidR="00FF6E37" w:rsidRDefault="00FF6E37">
          <w:pPr>
            <w:pStyle w:val="Header"/>
            <w:spacing w:before="40"/>
          </w:pPr>
        </w:p>
      </w:tc>
    </w:tr>
  </w:tbl>
  <w:p w:rsidR="00FF6E37" w:rsidRDefault="00FF6E3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F6E37">
      <w:trPr>
        <w:cantSplit/>
        <w:jc w:val="center"/>
      </w:trPr>
      <w:tc>
        <w:tcPr>
          <w:tcW w:w="7263" w:type="dxa"/>
          <w:gridSpan w:val="2"/>
        </w:tcPr>
        <w:p w:rsidR="00FF6E37" w:rsidRDefault="00FF6E37">
          <w:pPr>
            <w:pStyle w:val="Header"/>
            <w:ind w:right="17"/>
            <w:jc w:val="right"/>
          </w:pPr>
          <w:r>
            <w:rPr>
              <w:b/>
              <w:i/>
            </w:rPr>
            <w:fldChar w:fldCharType="begin"/>
          </w:r>
          <w:r>
            <w:rPr>
              <w:b/>
              <w:i/>
            </w:rPr>
            <w:instrText>Styleref "Name of Act/Reg"</w:instrText>
          </w:r>
          <w:r>
            <w:rPr>
              <w:b/>
              <w:i/>
            </w:rPr>
            <w:fldChar w:fldCharType="separate"/>
          </w:r>
          <w:r w:rsidR="00AA0535">
            <w:rPr>
              <w:b/>
              <w:i/>
            </w:rPr>
            <w:t>Weapons Regulations 1999</w:t>
          </w:r>
          <w:r>
            <w:rPr>
              <w:b/>
              <w:i/>
            </w:rPr>
            <w:fldChar w:fldCharType="end"/>
          </w:r>
        </w:p>
      </w:tc>
    </w:tr>
    <w:tr w:rsidR="00FF6E37">
      <w:trPr>
        <w:jc w:val="center"/>
      </w:trPr>
      <w:tc>
        <w:tcPr>
          <w:tcW w:w="5715" w:type="dxa"/>
          <w:vAlign w:val="bottom"/>
        </w:tcPr>
        <w:p w:rsidR="00FF6E37" w:rsidRDefault="00FF6E37">
          <w:pPr>
            <w:pStyle w:val="Header"/>
            <w:spacing w:before="40"/>
            <w:jc w:val="right"/>
          </w:pPr>
          <w:r>
            <w:fldChar w:fldCharType="begin"/>
          </w:r>
          <w:r>
            <w:instrText>styleref CharSchText</w:instrText>
          </w:r>
          <w:r>
            <w:fldChar w:fldCharType="end"/>
          </w:r>
        </w:p>
      </w:tc>
      <w:tc>
        <w:tcPr>
          <w:tcW w:w="1548" w:type="dxa"/>
        </w:tcPr>
        <w:p w:rsidR="00FF6E37" w:rsidRDefault="00FF6E37">
          <w:pPr>
            <w:pStyle w:val="Header"/>
            <w:spacing w:before="40"/>
            <w:ind w:right="17"/>
            <w:jc w:val="right"/>
          </w:pPr>
          <w:r>
            <w:rPr>
              <w:b/>
            </w:rPr>
            <w:fldChar w:fldCharType="begin"/>
          </w:r>
          <w:r>
            <w:rPr>
              <w:b/>
            </w:rPr>
            <w:instrText>styleref CharSchno</w:instrText>
          </w:r>
          <w:r>
            <w:rPr>
              <w:b/>
            </w:rPr>
            <w:fldChar w:fldCharType="end"/>
          </w:r>
        </w:p>
      </w:tc>
    </w:tr>
    <w:tr w:rsidR="00FF6E37">
      <w:trPr>
        <w:jc w:val="center"/>
      </w:trPr>
      <w:tc>
        <w:tcPr>
          <w:tcW w:w="5715" w:type="dxa"/>
        </w:tcPr>
        <w:p w:rsidR="00FF6E37" w:rsidRDefault="00FF6E37">
          <w:pPr>
            <w:pStyle w:val="Header"/>
            <w:spacing w:before="40"/>
            <w:jc w:val="right"/>
          </w:pPr>
        </w:p>
      </w:tc>
      <w:tc>
        <w:tcPr>
          <w:tcW w:w="1548" w:type="dxa"/>
        </w:tcPr>
        <w:p w:rsidR="00FF6E37" w:rsidRDefault="00FF6E37">
          <w:pPr>
            <w:pStyle w:val="Header"/>
            <w:spacing w:before="40"/>
            <w:ind w:right="17"/>
            <w:jc w:val="right"/>
          </w:pPr>
        </w:p>
      </w:tc>
    </w:tr>
    <w:tr w:rsidR="00FF6E37">
      <w:trPr>
        <w:jc w:val="center"/>
      </w:trPr>
      <w:tc>
        <w:tcPr>
          <w:tcW w:w="5715" w:type="dxa"/>
        </w:tcPr>
        <w:p w:rsidR="00FF6E37" w:rsidRDefault="00FF6E37">
          <w:pPr>
            <w:pStyle w:val="Header"/>
            <w:spacing w:before="40"/>
            <w:jc w:val="right"/>
          </w:pPr>
        </w:p>
      </w:tc>
      <w:tc>
        <w:tcPr>
          <w:tcW w:w="1548" w:type="dxa"/>
        </w:tcPr>
        <w:p w:rsidR="00FF6E37" w:rsidRDefault="00FF6E37">
          <w:pPr>
            <w:pStyle w:val="Header"/>
            <w:spacing w:before="40"/>
            <w:ind w:right="17"/>
            <w:jc w:val="right"/>
          </w:pPr>
        </w:p>
      </w:tc>
    </w:tr>
  </w:tbl>
  <w:p w:rsidR="00FF6E37" w:rsidRDefault="00FF6E37">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6E37">
      <w:trPr>
        <w:cantSplit/>
        <w:jc w:val="center"/>
      </w:trPr>
      <w:tc>
        <w:tcPr>
          <w:tcW w:w="7258" w:type="dxa"/>
          <w:gridSpan w:val="2"/>
        </w:tcPr>
        <w:p w:rsidR="00FF6E37" w:rsidRDefault="00FF6E37">
          <w:pPr>
            <w:pStyle w:val="Header"/>
          </w:pPr>
          <w:r>
            <w:rPr>
              <w:b/>
              <w:i/>
            </w:rPr>
            <w:fldChar w:fldCharType="begin"/>
          </w:r>
          <w:r>
            <w:rPr>
              <w:b/>
              <w:i/>
            </w:rPr>
            <w:instrText xml:space="preserve"> STYLEREF "Name of Act/Reg" </w:instrText>
          </w:r>
          <w:r>
            <w:rPr>
              <w:b/>
              <w:i/>
            </w:rPr>
            <w:fldChar w:fldCharType="separate"/>
          </w:r>
          <w:r w:rsidR="00AA0535">
            <w:rPr>
              <w:b/>
              <w:i/>
            </w:rPr>
            <w:t>Weapons Regulations 1999</w:t>
          </w:r>
          <w:r>
            <w:rPr>
              <w:b/>
              <w:i/>
            </w:rPr>
            <w:fldChar w:fldCharType="end"/>
          </w:r>
        </w:p>
      </w:tc>
    </w:tr>
    <w:tr w:rsidR="00FF6E37">
      <w:trPr>
        <w:jc w:val="center"/>
      </w:trPr>
      <w:tc>
        <w:tcPr>
          <w:tcW w:w="1548" w:type="dxa"/>
        </w:tcPr>
        <w:p w:rsidR="00FF6E37" w:rsidRDefault="00FF6E37">
          <w:pPr>
            <w:pStyle w:val="Header"/>
            <w:spacing w:before="40"/>
          </w:pPr>
          <w:r>
            <w:rPr>
              <w:b/>
            </w:rPr>
            <w:fldChar w:fldCharType="begin"/>
          </w:r>
          <w:r>
            <w:rPr>
              <w:b/>
            </w:rPr>
            <w:instrText xml:space="preserve"> STYLEREF "nHeading 2" </w:instrText>
          </w:r>
          <w:r>
            <w:rPr>
              <w:b/>
            </w:rPr>
            <w:fldChar w:fldCharType="separate"/>
          </w:r>
          <w:r w:rsidR="00AA0535">
            <w:rPr>
              <w:b/>
            </w:rPr>
            <w:t>Notes</w:t>
          </w:r>
          <w:r>
            <w:rPr>
              <w:b/>
            </w:rPr>
            <w:fldChar w:fldCharType="end"/>
          </w:r>
        </w:p>
      </w:tc>
      <w:tc>
        <w:tcPr>
          <w:tcW w:w="5715" w:type="dxa"/>
        </w:tcPr>
        <w:p w:rsidR="00FF6E37" w:rsidRDefault="00FF6E37">
          <w:pPr>
            <w:pStyle w:val="Header"/>
            <w:spacing w:before="40"/>
          </w:pPr>
          <w:r>
            <w:fldChar w:fldCharType="begin"/>
          </w:r>
          <w:r>
            <w:instrText xml:space="preserve"> STYLEREF "nHeading 3" </w:instrText>
          </w:r>
          <w:r>
            <w:fldChar w:fldCharType="separate"/>
          </w:r>
          <w:r w:rsidR="00AA0535">
            <w:t>Compilation table</w:t>
          </w:r>
          <w:r>
            <w:fldChar w:fldCharType="end"/>
          </w:r>
        </w:p>
      </w:tc>
    </w:tr>
    <w:tr w:rsidR="00FF6E37">
      <w:trPr>
        <w:jc w:val="center"/>
      </w:trPr>
      <w:tc>
        <w:tcPr>
          <w:tcW w:w="1548" w:type="dxa"/>
        </w:tcPr>
        <w:p w:rsidR="00FF6E37" w:rsidRDefault="00FF6E37">
          <w:pPr>
            <w:pStyle w:val="Header"/>
            <w:spacing w:before="40"/>
          </w:pPr>
        </w:p>
      </w:tc>
      <w:tc>
        <w:tcPr>
          <w:tcW w:w="5715" w:type="dxa"/>
        </w:tcPr>
        <w:p w:rsidR="00FF6E37" w:rsidRDefault="00FF6E37">
          <w:pPr>
            <w:pStyle w:val="Header"/>
            <w:spacing w:before="40"/>
          </w:pPr>
        </w:p>
      </w:tc>
    </w:tr>
    <w:tr w:rsidR="00FF6E37">
      <w:trPr>
        <w:cantSplit/>
        <w:jc w:val="center"/>
      </w:trPr>
      <w:tc>
        <w:tcPr>
          <w:tcW w:w="7258" w:type="dxa"/>
          <w:gridSpan w:val="2"/>
        </w:tcPr>
        <w:p w:rsidR="00FF6E37" w:rsidRDefault="00FF6E37">
          <w:pPr>
            <w:pStyle w:val="Header"/>
            <w:spacing w:before="40"/>
          </w:pPr>
        </w:p>
      </w:tc>
    </w:tr>
  </w:tbl>
  <w:p w:rsidR="00FF6E37" w:rsidRDefault="00FF6E3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F6E37">
      <w:trPr>
        <w:cantSplit/>
        <w:jc w:val="center"/>
      </w:trPr>
      <w:tc>
        <w:tcPr>
          <w:tcW w:w="7258" w:type="dxa"/>
          <w:gridSpan w:val="2"/>
        </w:tcPr>
        <w:p w:rsidR="00FF6E37" w:rsidRDefault="00FF6E37">
          <w:pPr>
            <w:pStyle w:val="Header"/>
            <w:ind w:right="17"/>
            <w:jc w:val="right"/>
          </w:pPr>
          <w:r>
            <w:rPr>
              <w:b/>
              <w:i/>
            </w:rPr>
            <w:fldChar w:fldCharType="begin"/>
          </w:r>
          <w:r>
            <w:rPr>
              <w:b/>
              <w:i/>
            </w:rPr>
            <w:instrText xml:space="preserve"> STYLEREF "Name of Act/Reg" </w:instrText>
          </w:r>
          <w:r>
            <w:rPr>
              <w:b/>
              <w:i/>
            </w:rPr>
            <w:fldChar w:fldCharType="separate"/>
          </w:r>
          <w:r w:rsidR="00AA0535">
            <w:rPr>
              <w:b/>
              <w:i/>
            </w:rPr>
            <w:t>Weapons Regulations 1999</w:t>
          </w:r>
          <w:r>
            <w:rPr>
              <w:b/>
              <w:i/>
            </w:rPr>
            <w:fldChar w:fldCharType="end"/>
          </w:r>
        </w:p>
      </w:tc>
    </w:tr>
    <w:tr w:rsidR="00FF6E37">
      <w:trPr>
        <w:jc w:val="center"/>
      </w:trPr>
      <w:tc>
        <w:tcPr>
          <w:tcW w:w="5715" w:type="dxa"/>
        </w:tcPr>
        <w:p w:rsidR="00FF6E37" w:rsidRDefault="00FF6E37">
          <w:pPr>
            <w:pStyle w:val="Header"/>
            <w:spacing w:before="40"/>
            <w:jc w:val="right"/>
          </w:pPr>
          <w:r>
            <w:fldChar w:fldCharType="begin"/>
          </w:r>
          <w:r>
            <w:instrText xml:space="preserve"> STYLEREF "nHeading 3" </w:instrText>
          </w:r>
          <w:r>
            <w:fldChar w:fldCharType="separate"/>
          </w:r>
          <w:r w:rsidR="00AA0535">
            <w:t>Compilation table</w:t>
          </w:r>
          <w:r>
            <w:fldChar w:fldCharType="end"/>
          </w:r>
        </w:p>
      </w:tc>
      <w:tc>
        <w:tcPr>
          <w:tcW w:w="1548" w:type="dxa"/>
        </w:tcPr>
        <w:p w:rsidR="00FF6E37" w:rsidRDefault="00FF6E37">
          <w:pPr>
            <w:pStyle w:val="Header"/>
            <w:spacing w:before="40"/>
            <w:ind w:right="17"/>
            <w:jc w:val="right"/>
          </w:pPr>
          <w:r>
            <w:rPr>
              <w:b/>
            </w:rPr>
            <w:fldChar w:fldCharType="begin"/>
          </w:r>
          <w:r>
            <w:rPr>
              <w:b/>
            </w:rPr>
            <w:instrText xml:space="preserve"> STYLEREF "nHeading 2" </w:instrText>
          </w:r>
          <w:r>
            <w:rPr>
              <w:b/>
            </w:rPr>
            <w:fldChar w:fldCharType="separate"/>
          </w:r>
          <w:r w:rsidR="00AA0535">
            <w:rPr>
              <w:b/>
            </w:rPr>
            <w:t>Notes</w:t>
          </w:r>
          <w:r>
            <w:rPr>
              <w:b/>
            </w:rPr>
            <w:fldChar w:fldCharType="end"/>
          </w:r>
        </w:p>
      </w:tc>
    </w:tr>
    <w:tr w:rsidR="00FF6E37">
      <w:trPr>
        <w:jc w:val="center"/>
      </w:trPr>
      <w:tc>
        <w:tcPr>
          <w:tcW w:w="5715" w:type="dxa"/>
        </w:tcPr>
        <w:p w:rsidR="00FF6E37" w:rsidRDefault="00FF6E37">
          <w:pPr>
            <w:pStyle w:val="Header"/>
            <w:spacing w:before="40"/>
            <w:jc w:val="right"/>
          </w:pPr>
        </w:p>
      </w:tc>
      <w:tc>
        <w:tcPr>
          <w:tcW w:w="1548" w:type="dxa"/>
        </w:tcPr>
        <w:p w:rsidR="00FF6E37" w:rsidRDefault="00FF6E37">
          <w:pPr>
            <w:pStyle w:val="Header"/>
            <w:spacing w:before="40"/>
            <w:ind w:right="17"/>
            <w:jc w:val="right"/>
          </w:pPr>
        </w:p>
      </w:tc>
    </w:tr>
    <w:tr w:rsidR="00FF6E37">
      <w:trPr>
        <w:cantSplit/>
        <w:jc w:val="center"/>
      </w:trPr>
      <w:tc>
        <w:tcPr>
          <w:tcW w:w="7258" w:type="dxa"/>
          <w:gridSpan w:val="2"/>
        </w:tcPr>
        <w:p w:rsidR="00FF6E37" w:rsidRDefault="00FF6E37">
          <w:pPr>
            <w:pStyle w:val="Header"/>
            <w:spacing w:before="40"/>
            <w:ind w:right="17"/>
            <w:jc w:val="right"/>
          </w:pPr>
        </w:p>
      </w:tc>
    </w:tr>
  </w:tbl>
  <w:p w:rsidR="00FF6E37" w:rsidRDefault="00FF6E37">
    <w:pPr>
      <w:pStyle w:val="Header"/>
      <w:pBdr>
        <w:top w:val="single" w:sz="4" w:space="1" w:color="auto"/>
      </w:pBdr>
    </w:pPr>
    <w:bookmarkStart w:id="35" w:name="Compilation"/>
    <w:bookmarkEnd w:id="3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F6E37">
      <w:trPr>
        <w:cantSplit/>
        <w:jc w:val="center"/>
      </w:trPr>
      <w:tc>
        <w:tcPr>
          <w:tcW w:w="7263" w:type="dxa"/>
          <w:gridSpan w:val="2"/>
        </w:tcPr>
        <w:p w:rsidR="00FF6E37" w:rsidRDefault="00FF6E37">
          <w:pPr>
            <w:pStyle w:val="Header"/>
          </w:pPr>
          <w:r>
            <w:rPr>
              <w:b/>
              <w:i/>
            </w:rPr>
            <w:fldChar w:fldCharType="begin"/>
          </w:r>
          <w:r>
            <w:rPr>
              <w:b/>
              <w:i/>
            </w:rPr>
            <w:instrText xml:space="preserve"> STYLEREF "Name of Act/Reg" </w:instrText>
          </w:r>
          <w:r>
            <w:rPr>
              <w:b/>
              <w:i/>
            </w:rPr>
            <w:fldChar w:fldCharType="separate"/>
          </w:r>
          <w:r w:rsidR="00AA0535">
            <w:rPr>
              <w:b/>
              <w:i/>
            </w:rPr>
            <w:t>Weapons Regulations 1999</w:t>
          </w:r>
          <w:r>
            <w:rPr>
              <w:b/>
              <w:i/>
            </w:rPr>
            <w:fldChar w:fldCharType="end"/>
          </w:r>
        </w:p>
      </w:tc>
    </w:tr>
    <w:tr w:rsidR="00FF6E37">
      <w:trPr>
        <w:jc w:val="center"/>
      </w:trPr>
      <w:tc>
        <w:tcPr>
          <w:tcW w:w="1348" w:type="dxa"/>
        </w:tcPr>
        <w:p w:rsidR="00FF6E37" w:rsidRDefault="00FF6E37">
          <w:pPr>
            <w:pStyle w:val="Header"/>
            <w:spacing w:before="40"/>
          </w:pPr>
        </w:p>
      </w:tc>
      <w:tc>
        <w:tcPr>
          <w:tcW w:w="5915" w:type="dxa"/>
        </w:tcPr>
        <w:p w:rsidR="00FF6E37" w:rsidRDefault="00FF6E37">
          <w:pPr>
            <w:pStyle w:val="Header"/>
            <w:spacing w:before="40"/>
          </w:pPr>
        </w:p>
      </w:tc>
    </w:tr>
    <w:tr w:rsidR="00FF6E37">
      <w:trPr>
        <w:jc w:val="center"/>
      </w:trPr>
      <w:tc>
        <w:tcPr>
          <w:tcW w:w="1348" w:type="dxa"/>
        </w:tcPr>
        <w:p w:rsidR="00FF6E37" w:rsidRDefault="00FF6E37">
          <w:pPr>
            <w:pStyle w:val="Header"/>
            <w:spacing w:before="40"/>
          </w:pPr>
        </w:p>
      </w:tc>
      <w:tc>
        <w:tcPr>
          <w:tcW w:w="5915" w:type="dxa"/>
        </w:tcPr>
        <w:p w:rsidR="00FF6E37" w:rsidRDefault="00FF6E37">
          <w:pPr>
            <w:pStyle w:val="Header"/>
            <w:spacing w:before="40"/>
          </w:pPr>
        </w:p>
      </w:tc>
    </w:tr>
    <w:tr w:rsidR="00FF6E37">
      <w:trPr>
        <w:cantSplit/>
        <w:jc w:val="center"/>
      </w:trPr>
      <w:tc>
        <w:tcPr>
          <w:tcW w:w="7263" w:type="dxa"/>
          <w:gridSpan w:val="2"/>
        </w:tcPr>
        <w:p w:rsidR="00FF6E37" w:rsidRDefault="00FF6E37">
          <w:pPr>
            <w:pStyle w:val="Header"/>
            <w:spacing w:before="40"/>
          </w:pPr>
          <w:r>
            <w:t>Defined terms</w:t>
          </w:r>
        </w:p>
      </w:tc>
    </w:tr>
  </w:tbl>
  <w:p w:rsidR="00FF6E37" w:rsidRDefault="00FF6E3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F6E37">
      <w:trPr>
        <w:cantSplit/>
        <w:jc w:val="center"/>
      </w:trPr>
      <w:tc>
        <w:tcPr>
          <w:tcW w:w="7263" w:type="dxa"/>
          <w:gridSpan w:val="2"/>
        </w:tcPr>
        <w:p w:rsidR="00FF6E37" w:rsidRDefault="00FF6E37">
          <w:pPr>
            <w:pStyle w:val="Header"/>
            <w:spacing w:before="40"/>
            <w:ind w:right="17"/>
            <w:jc w:val="right"/>
          </w:pPr>
          <w:r>
            <w:rPr>
              <w:b/>
              <w:i/>
            </w:rPr>
            <w:fldChar w:fldCharType="begin"/>
          </w:r>
          <w:r>
            <w:rPr>
              <w:b/>
              <w:i/>
            </w:rPr>
            <w:instrText xml:space="preserve"> STYLEREF "Name of Act/Reg" </w:instrText>
          </w:r>
          <w:r>
            <w:rPr>
              <w:b/>
              <w:i/>
            </w:rPr>
            <w:fldChar w:fldCharType="separate"/>
          </w:r>
          <w:r w:rsidR="00AA0535">
            <w:rPr>
              <w:b/>
              <w:i/>
            </w:rPr>
            <w:t>Weapons Regulations 1999</w:t>
          </w:r>
          <w:r>
            <w:rPr>
              <w:b/>
              <w:i/>
            </w:rPr>
            <w:fldChar w:fldCharType="end"/>
          </w:r>
        </w:p>
      </w:tc>
    </w:tr>
    <w:tr w:rsidR="00FF6E37">
      <w:trPr>
        <w:jc w:val="center"/>
      </w:trPr>
      <w:tc>
        <w:tcPr>
          <w:tcW w:w="5884" w:type="dxa"/>
        </w:tcPr>
        <w:p w:rsidR="00FF6E37" w:rsidRDefault="00FF6E37">
          <w:pPr>
            <w:pStyle w:val="Header"/>
            <w:spacing w:before="40"/>
            <w:jc w:val="right"/>
          </w:pPr>
        </w:p>
      </w:tc>
      <w:tc>
        <w:tcPr>
          <w:tcW w:w="1379" w:type="dxa"/>
        </w:tcPr>
        <w:p w:rsidR="00FF6E37" w:rsidRDefault="00FF6E37">
          <w:pPr>
            <w:pStyle w:val="Header"/>
            <w:spacing w:before="40"/>
            <w:ind w:right="17"/>
            <w:jc w:val="right"/>
          </w:pPr>
        </w:p>
      </w:tc>
    </w:tr>
    <w:tr w:rsidR="00FF6E37">
      <w:trPr>
        <w:jc w:val="center"/>
      </w:trPr>
      <w:tc>
        <w:tcPr>
          <w:tcW w:w="5884" w:type="dxa"/>
        </w:tcPr>
        <w:p w:rsidR="00FF6E37" w:rsidRDefault="00FF6E37">
          <w:pPr>
            <w:pStyle w:val="Header"/>
            <w:spacing w:before="40"/>
            <w:jc w:val="right"/>
          </w:pPr>
        </w:p>
      </w:tc>
      <w:tc>
        <w:tcPr>
          <w:tcW w:w="1379" w:type="dxa"/>
        </w:tcPr>
        <w:p w:rsidR="00FF6E37" w:rsidRDefault="00FF6E37">
          <w:pPr>
            <w:pStyle w:val="Header"/>
            <w:spacing w:before="40"/>
            <w:ind w:right="17"/>
            <w:jc w:val="right"/>
          </w:pPr>
        </w:p>
      </w:tc>
    </w:tr>
    <w:tr w:rsidR="00FF6E37">
      <w:trPr>
        <w:cantSplit/>
        <w:jc w:val="center"/>
      </w:trPr>
      <w:tc>
        <w:tcPr>
          <w:tcW w:w="7263" w:type="dxa"/>
          <w:gridSpan w:val="2"/>
        </w:tcPr>
        <w:p w:rsidR="00FF6E37" w:rsidRDefault="00FF6E37">
          <w:pPr>
            <w:pStyle w:val="Header"/>
            <w:spacing w:before="40"/>
            <w:ind w:right="17"/>
            <w:jc w:val="right"/>
          </w:pPr>
          <w:r>
            <w:t>Defined terms</w:t>
          </w:r>
        </w:p>
      </w:tc>
    </w:tr>
  </w:tbl>
  <w:p w:rsidR="00FF6E37" w:rsidRDefault="00FF6E37">
    <w:pPr>
      <w:pStyle w:val="Header"/>
      <w:pBdr>
        <w:top w:val="single" w:sz="4" w:space="1" w:color="auto"/>
      </w:pBdr>
    </w:pPr>
    <w:bookmarkStart w:id="40" w:name="DefinedTerms"/>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E37" w:rsidRDefault="00FF6E37">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150503"/>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s>
  <w:rsids>
    <w:rsidRoot w:val="00923470"/>
    <w:rsid w:val="000603A1"/>
    <w:rsid w:val="000F7D80"/>
    <w:rsid w:val="00197A02"/>
    <w:rsid w:val="00365B0D"/>
    <w:rsid w:val="00377D69"/>
    <w:rsid w:val="003C4255"/>
    <w:rsid w:val="00455957"/>
    <w:rsid w:val="00467575"/>
    <w:rsid w:val="00510028"/>
    <w:rsid w:val="0053338B"/>
    <w:rsid w:val="00627DB3"/>
    <w:rsid w:val="007851E9"/>
    <w:rsid w:val="00871E21"/>
    <w:rsid w:val="00873DCA"/>
    <w:rsid w:val="00923470"/>
    <w:rsid w:val="00AA0535"/>
    <w:rsid w:val="00E716FF"/>
    <w:rsid w:val="00F5374A"/>
    <w:rsid w:val="00FF6E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5454</Words>
  <Characters>25256</Characters>
  <Application>Microsoft Office Word</Application>
  <DocSecurity>0</DocSecurity>
  <Lines>902</Lines>
  <Paragraphs>558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1999 - 03-e0-00</dc:title>
  <dc:subject/>
  <dc:creator/>
  <cp:keywords/>
  <dc:description/>
  <cp:lastModifiedBy>Master Repository Process</cp:lastModifiedBy>
  <cp:revision>4</cp:revision>
  <cp:lastPrinted>2017-06-29T08:54:00Z</cp:lastPrinted>
  <dcterms:created xsi:type="dcterms:W3CDTF">2021-07-01T06:59:00Z</dcterms:created>
  <dcterms:modified xsi:type="dcterms:W3CDTF">2021-07-01T06:59:00Z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AsAtDate">
    <vt:lpwstr>03 Jul 2021</vt:lpwstr>
  </property>
  <property fmtid="{D5CDD505-2E9C-101B-9397-08002B2CF9AE}" pid="8" name="Suffix">
    <vt:lpwstr>03-e0-00</vt:lpwstr>
  </property>
  <property fmtid="{D5CDD505-2E9C-101B-9397-08002B2CF9AE}" pid="9" name="CommencementDate">
    <vt:lpwstr>20210703</vt:lpwstr>
  </property>
</Properties>
</file>