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_Toc77167358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_Toc77167359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_Toc77167360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_Toc77167361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_Toc77167362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_Toc77167363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_Toc77167364 \h </w:instrText>
      </w:r>
      <w:r>
        <w:fldChar w:fldCharType="separate"/>
      </w:r>
      <w:r>
        <w:t>4</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_Toc77167365 \h </w:instrText>
      </w:r>
      <w:r>
        <w:fldChar w:fldCharType="separate"/>
      </w:r>
      <w:r>
        <w:t>5</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_Toc77167366 \h </w:instrText>
      </w:r>
      <w:r>
        <w:fldChar w:fldCharType="separate"/>
      </w:r>
      <w:r>
        <w:t>6</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_Toc77167367 \h </w:instrText>
      </w:r>
      <w:r>
        <w:fldChar w:fldCharType="separate"/>
      </w:r>
      <w:r>
        <w:t>6</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_Toc77167368 \h </w:instrText>
      </w:r>
      <w:r>
        <w:fldChar w:fldCharType="separate"/>
      </w:r>
      <w:r>
        <w:t>7</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_Toc77167369 \h </w:instrText>
      </w:r>
      <w:r>
        <w:fldChar w:fldCharType="separate"/>
      </w:r>
      <w:r>
        <w:t>7</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_Toc77167370 \h </w:instrText>
      </w:r>
      <w:r>
        <w:fldChar w:fldCharType="separate"/>
      </w:r>
      <w:r>
        <w:t>7</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_Toc77167371 \h </w:instrText>
      </w:r>
      <w:r>
        <w:fldChar w:fldCharType="separate"/>
      </w:r>
      <w:r>
        <w:t>8</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_Toc77167372 \h </w:instrText>
      </w:r>
      <w:r>
        <w:fldChar w:fldCharType="separate"/>
      </w:r>
      <w:r>
        <w:t>9</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_Toc77167373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_Toc77167374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_Toc77167375 \h </w:instrText>
      </w:r>
      <w:r>
        <w:fldChar w:fldCharType="separate"/>
      </w:r>
      <w:r>
        <w:t>9</w:t>
      </w:r>
      <w:r>
        <w:fldChar w:fldCharType="end"/>
      </w:r>
    </w:p>
    <w:p>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_Toc77167376 \h </w:instrText>
      </w:r>
      <w:r>
        <w:fldChar w:fldCharType="separate"/>
      </w:r>
      <w:r>
        <w:t>9</w:t>
      </w:r>
      <w:r>
        <w:fldChar w:fldCharType="end"/>
      </w:r>
    </w:p>
    <w:p>
      <w:pPr>
        <w:pStyle w:val="TOC8"/>
        <w:rPr>
          <w:rFonts w:asciiTheme="minorHAnsi" w:eastAsiaTheme="minorEastAsia" w:hAnsiTheme="minorHAnsi" w:cstheme="minorBidi"/>
          <w:szCs w:val="22"/>
        </w:rPr>
      </w:pPr>
      <w:r>
        <w:lastRenderedPageBreak/>
        <w:t>18.</w:t>
      </w:r>
      <w:r>
        <w:tab/>
        <w:t>Sentences — approval by Commissioner of suspension of reporting obligations (s. 61)</w:t>
      </w:r>
      <w:r>
        <w:tab/>
      </w:r>
      <w:r>
        <w:fldChar w:fldCharType="begin"/>
      </w:r>
      <w:r>
        <w:instrText xml:space="preserve"> PAGEREF _Toc77167377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_Toc77167378 \h </w:instrText>
      </w:r>
      <w:r>
        <w:fldChar w:fldCharType="separate"/>
      </w:r>
      <w:r>
        <w:t>11</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_Toc77167379 \h </w:instrText>
      </w:r>
      <w:r>
        <w:fldChar w:fldCharType="separate"/>
      </w:r>
      <w:r>
        <w:t>13</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_Toc77167380 \h </w:instrText>
      </w:r>
      <w:r>
        <w:fldChar w:fldCharType="separate"/>
      </w:r>
      <w:r>
        <w:t>13</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_Toc77167381 \h </w:instrText>
      </w:r>
      <w:r>
        <w:fldChar w:fldCharType="separate"/>
      </w:r>
      <w:r>
        <w:t>14</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_Toc77167382 \h </w:instrText>
      </w:r>
      <w:r>
        <w:fldChar w:fldCharType="separate"/>
      </w:r>
      <w:r>
        <w:t>14</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_Toc77167383 \h </w:instrText>
      </w:r>
      <w:r>
        <w:fldChar w:fldCharType="separate"/>
      </w:r>
      <w:r>
        <w:t>15</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_Toc77167384 \h </w:instrText>
      </w:r>
      <w:r>
        <w:fldChar w:fldCharType="separate"/>
      </w:r>
      <w:r>
        <w:t>16</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_Toc77167385 \h </w:instrText>
      </w:r>
      <w:r>
        <w:fldChar w:fldCharType="separate"/>
      </w:r>
      <w:r>
        <w:t>16</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_Toc77167386 \h </w:instrText>
      </w:r>
      <w:r>
        <w:fldChar w:fldCharType="separate"/>
      </w:r>
      <w:r>
        <w:t>18</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_Toc77167387 \h </w:instrText>
      </w:r>
      <w:r>
        <w:fldChar w:fldCharType="separate"/>
      </w:r>
      <w:r>
        <w:t>19</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_Toc77167388 \h </w:instrText>
      </w:r>
      <w:r>
        <w:fldChar w:fldCharType="separate"/>
      </w:r>
      <w:r>
        <w:t>19</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_Toc77167389 \h </w:instrText>
      </w:r>
      <w:r>
        <w:fldChar w:fldCharType="separate"/>
      </w:r>
      <w:r>
        <w:t>20</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_Toc77167390 \h </w:instrText>
      </w:r>
      <w:r>
        <w:fldChar w:fldCharType="separate"/>
      </w:r>
      <w:r>
        <w:t>20</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_Toc77167391 \h </w:instrText>
      </w:r>
      <w:r>
        <w:fldChar w:fldCharType="separate"/>
      </w:r>
      <w:r>
        <w:t>22</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_Toc77167392 \h </w:instrText>
      </w:r>
      <w:r>
        <w:fldChar w:fldCharType="separate"/>
      </w:r>
      <w:r>
        <w:t>23</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_Toc77167393 \h </w:instrText>
      </w:r>
      <w:r>
        <w:fldChar w:fldCharType="separate"/>
      </w:r>
      <w:r>
        <w:t>24</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_Toc77167394 \h </w:instrText>
      </w:r>
      <w:r>
        <w:fldChar w:fldCharType="separate"/>
      </w:r>
      <w:r>
        <w:t>24</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_Toc77167395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_Toc77167397 \h </w:instrText>
      </w:r>
      <w:r>
        <w:fldChar w:fldCharType="separate"/>
      </w:r>
      <w:r>
        <w:t>26</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_Toc77167398 \h </w:instrText>
      </w:r>
      <w:r>
        <w:fldChar w:fldCharType="separate"/>
      </w:r>
      <w:r>
        <w:t>28</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_Toc77167399 \h </w:instrText>
      </w:r>
      <w:r>
        <w:fldChar w:fldCharType="separate"/>
      </w:r>
      <w:r>
        <w:t>30</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_Toc77167400 \h </w:instrText>
      </w:r>
      <w:r>
        <w:fldChar w:fldCharType="separate"/>
      </w:r>
      <w:r>
        <w:t>32</w:t>
      </w:r>
      <w:r>
        <w:fldChar w:fldCharType="end"/>
      </w:r>
    </w:p>
    <w:p>
      <w:pPr>
        <w:pStyle w:val="TOC8"/>
        <w:rPr>
          <w:rFonts w:asciiTheme="minorHAnsi" w:eastAsiaTheme="minorEastAsia" w:hAnsiTheme="minorHAnsi" w:cstheme="minorBidi"/>
          <w:szCs w:val="22"/>
        </w:rPr>
      </w:pPr>
      <w:r>
        <w:lastRenderedPageBreak/>
        <w:t>6.</w:t>
      </w:r>
      <w:r>
        <w:tab/>
        <w:t>Certificate of authorised sample collector (r. 26G(5))</w:t>
      </w:r>
      <w:r>
        <w:tab/>
      </w:r>
      <w:r>
        <w:fldChar w:fldCharType="begin"/>
      </w:r>
      <w:r>
        <w:instrText xml:space="preserve"> PAGEREF _Toc77167401 \h </w:instrText>
      </w:r>
      <w:r>
        <w:fldChar w:fldCharType="separate"/>
      </w:r>
      <w:r>
        <w:t>34</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_Toc77167402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_Toc77167404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3" w:name="_Toc77167358"/>
      <w:r>
        <w:rPr>
          <w:rStyle w:val="CharSectno"/>
        </w:rPr>
        <w:t>1</w:t>
      </w:r>
      <w:r>
        <w:t>.</w:t>
      </w:r>
      <w:r>
        <w:tab/>
        <w:t>Citation</w:t>
      </w:r>
      <w:bookmarkEnd w:id="3"/>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77167359"/>
      <w:r>
        <w:rPr>
          <w:rStyle w:val="CharSectno"/>
        </w:rPr>
        <w:t>2</w:t>
      </w:r>
      <w:r>
        <w:rPr>
          <w:spacing w:val="-2"/>
        </w:rPr>
        <w:t>.</w:t>
      </w:r>
      <w:r>
        <w:rPr>
          <w:spacing w:val="-2"/>
        </w:rPr>
        <w:tab/>
        <w:t>Commencement</w:t>
      </w:r>
      <w:bookmarkEnd w:id="4"/>
    </w:p>
    <w:p>
      <w:pPr>
        <w:pStyle w:val="Subsection"/>
      </w:pPr>
      <w:r>
        <w:tab/>
      </w:r>
      <w:r>
        <w:tab/>
        <w:t>These regulations come into operation on 1 February 2005.</w:t>
      </w:r>
    </w:p>
    <w:p>
      <w:pPr>
        <w:pStyle w:val="Heading5"/>
        <w:spacing w:before="240"/>
      </w:pPr>
      <w:bookmarkStart w:id="5" w:name="_Toc77167360"/>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lastRenderedPageBreak/>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4.]</w:t>
      </w:r>
    </w:p>
    <w:p>
      <w:pPr>
        <w:pStyle w:val="Heading5"/>
      </w:pPr>
      <w:bookmarkStart w:id="6" w:name="_Toc77167361"/>
      <w:r>
        <w:rPr>
          <w:rStyle w:val="CharSectno"/>
        </w:rPr>
        <w:lastRenderedPageBreak/>
        <w:t>4</w:t>
      </w:r>
      <w:r>
        <w:t>.</w:t>
      </w:r>
      <w:r>
        <w:tab/>
        <w:t>Authorised persons (s. 3)</w:t>
      </w:r>
      <w:bookmarkEnd w:id="6"/>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7" w:name="_Toc77167362"/>
      <w:r>
        <w:rPr>
          <w:rStyle w:val="CharSectno"/>
        </w:rPr>
        <w:t>5</w:t>
      </w:r>
      <w:r>
        <w:t>.</w:t>
      </w:r>
      <w:r>
        <w:tab/>
        <w:t>Corresponding Acts (s. 3)</w:t>
      </w:r>
      <w:bookmarkEnd w:id="7"/>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Queensland;</w:t>
      </w:r>
    </w:p>
    <w:p>
      <w:pPr>
        <w:pStyle w:val="Indenta"/>
        <w:keepNext/>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Footnotesection"/>
      </w:pPr>
      <w:r>
        <w:tab/>
        <w:t>[Regulation 5 amended: Gazette 8 Sep 2006 p. 3641; 22 Jun 2007 p. 2862; 28 Mar 2008 p. 914; 25 Nov 2008 p. 4990; 20 Feb 2009 p. 354.]</w:t>
      </w:r>
    </w:p>
    <w:p>
      <w:pPr>
        <w:pStyle w:val="Heading5"/>
      </w:pPr>
      <w:bookmarkStart w:id="8" w:name="_Toc77167363"/>
      <w:r>
        <w:rPr>
          <w:rStyle w:val="CharSectno"/>
        </w:rPr>
        <w:lastRenderedPageBreak/>
        <w:t>6</w:t>
      </w:r>
      <w:r>
        <w:t>.</w:t>
      </w:r>
      <w:r>
        <w:tab/>
        <w:t>Corresponding offender reporting orders (s. 3)</w:t>
      </w:r>
      <w:bookmarkEnd w:id="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Footnotesection"/>
      </w:pPr>
      <w:r>
        <w:tab/>
        <w:t>[Regulation 6 amended: Gazette 8 Sep 2006 p. 3642; 22 Jun 2007 p. 2862; 28 Mar 2008 p. 914.]</w:t>
      </w:r>
    </w:p>
    <w:p>
      <w:pPr>
        <w:pStyle w:val="Heading5"/>
      </w:pPr>
      <w:bookmarkStart w:id="9" w:name="_Toc77167364"/>
      <w:r>
        <w:rPr>
          <w:rStyle w:val="CharSectno"/>
        </w:rPr>
        <w:t>6A</w:t>
      </w:r>
      <w:r>
        <w:t>.</w:t>
      </w:r>
      <w:r>
        <w:tab/>
        <w:t>Sentences (s. 3)</w:t>
      </w:r>
      <w:bookmarkEnd w:id="9"/>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Gazette 1 Jun 2007 p. 2526.]</w:t>
      </w:r>
    </w:p>
    <w:p>
      <w:pPr>
        <w:pStyle w:val="Heading5"/>
      </w:pPr>
      <w:bookmarkStart w:id="10" w:name="_Toc77167365"/>
      <w:r>
        <w:rPr>
          <w:rStyle w:val="CharSectno"/>
        </w:rPr>
        <w:lastRenderedPageBreak/>
        <w:t>7</w:t>
      </w:r>
      <w:r>
        <w:t>.</w:t>
      </w:r>
      <w:r>
        <w:tab/>
        <w:t>Supervising authorities (s. 3)</w:t>
      </w:r>
      <w:bookmarkEnd w:id="10"/>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lastRenderedPageBreak/>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Gazette 1 Jun 2007 p. 2528; 16 Jun 2015 p. 2077</w:t>
      </w:r>
      <w:r>
        <w:noBreakHyphen/>
        <w:t>8; 10 Jan 2017 p. 222.]</w:t>
      </w:r>
    </w:p>
    <w:p>
      <w:pPr>
        <w:pStyle w:val="Heading5"/>
      </w:pPr>
      <w:bookmarkStart w:id="11" w:name="_Toc77167366"/>
      <w:r>
        <w:rPr>
          <w:rStyle w:val="CharSectno"/>
        </w:rPr>
        <w:t>8</w:t>
      </w:r>
      <w:r>
        <w:t>.</w:t>
      </w:r>
      <w:r>
        <w:tab/>
        <w:t>Offences — relevance if committed by child (s. 6)</w:t>
      </w:r>
      <w:bookmarkEnd w:id="11"/>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12" w:name="_Toc77167367"/>
      <w:r>
        <w:rPr>
          <w:rStyle w:val="CharSectno"/>
        </w:rPr>
        <w:t>9</w:t>
      </w:r>
      <w:r>
        <w:t>.</w:t>
      </w:r>
      <w:r>
        <w:tab/>
        <w:t>Foreign witness protection laws (s. 6 and 75)</w:t>
      </w:r>
      <w:bookmarkEnd w:id="12"/>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lastRenderedPageBreak/>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13" w:name="_Toc77167368"/>
      <w:r>
        <w:rPr>
          <w:rStyle w:val="CharSectno"/>
        </w:rPr>
        <w:t>10</w:t>
      </w:r>
      <w:r>
        <w:t>.</w:t>
      </w:r>
      <w:r>
        <w:tab/>
        <w:t>Specified date for determining New South Wales reportable offenders (s. 8)</w:t>
      </w:r>
      <w:bookmarkEnd w:id="13"/>
    </w:p>
    <w:p>
      <w:pPr>
        <w:pStyle w:val="Subsection"/>
      </w:pPr>
      <w:r>
        <w:tab/>
      </w:r>
      <w:r>
        <w:tab/>
        <w:t>For the purposes of section 8 of the Act, 1 February 2005 is specified.</w:t>
      </w:r>
    </w:p>
    <w:p>
      <w:pPr>
        <w:pStyle w:val="Heading5"/>
      </w:pPr>
      <w:bookmarkStart w:id="14" w:name="_Toc77167369"/>
      <w:r>
        <w:rPr>
          <w:rStyle w:val="CharSectno"/>
        </w:rPr>
        <w:t>11A</w:t>
      </w:r>
      <w:r>
        <w:t>.</w:t>
      </w:r>
      <w:r>
        <w:tab/>
        <w:t>Class 1 offences (s. 10)</w:t>
      </w:r>
      <w:bookmarkEnd w:id="14"/>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tblGrid>
      <w:tr>
        <w:tc>
          <w:tcPr>
            <w:tcW w:w="1842" w:type="dxa"/>
          </w:tcPr>
          <w:p>
            <w:pPr>
              <w:pStyle w:val="TableNAm"/>
            </w:pPr>
            <w:r>
              <w:t>s. 272.8</w:t>
            </w:r>
          </w:p>
        </w:tc>
        <w:tc>
          <w:tcPr>
            <w:tcW w:w="1843" w:type="dxa"/>
          </w:tcPr>
          <w:p>
            <w:pPr>
              <w:pStyle w:val="TableNAm"/>
            </w:pPr>
            <w:r>
              <w:t>s. 272.10</w:t>
            </w:r>
          </w:p>
        </w:tc>
      </w:tr>
      <w:tr>
        <w:tc>
          <w:tcPr>
            <w:tcW w:w="1842" w:type="dxa"/>
          </w:tcPr>
          <w:p>
            <w:pPr>
              <w:pStyle w:val="TableNAm"/>
            </w:pPr>
            <w:r>
              <w:t>s. 272.11</w:t>
            </w:r>
          </w:p>
        </w:tc>
        <w:tc>
          <w:tcPr>
            <w:tcW w:w="1843" w:type="dxa"/>
          </w:tcPr>
          <w:p>
            <w:pPr>
              <w:pStyle w:val="TableNAm"/>
            </w:pPr>
            <w:r>
              <w:t>s. 272.12</w:t>
            </w:r>
          </w:p>
        </w:tc>
      </w:tr>
    </w:tbl>
    <w:p>
      <w:pPr>
        <w:pStyle w:val="Footnotesection"/>
      </w:pPr>
      <w:r>
        <w:tab/>
        <w:t>[Regulation 11A inserted: Gazette 21 Jan 2011 p. 158; amended: SL 2021/125 r. 4.]</w:t>
      </w:r>
    </w:p>
    <w:p>
      <w:pPr>
        <w:pStyle w:val="Heading5"/>
      </w:pPr>
      <w:bookmarkStart w:id="15" w:name="_Toc77167370"/>
      <w:r>
        <w:rPr>
          <w:rStyle w:val="CharSectno"/>
        </w:rPr>
        <w:t>11</w:t>
      </w:r>
      <w:r>
        <w:t>.</w:t>
      </w:r>
      <w:r>
        <w:tab/>
        <w:t>Class 2 offences (s. 11)</w:t>
      </w:r>
      <w:bookmarkEnd w:id="15"/>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t>s. 272.15A</w:t>
            </w:r>
          </w:p>
        </w:tc>
        <w:tc>
          <w:tcPr>
            <w:tcW w:w="1795" w:type="dxa"/>
            <w:noWrap/>
          </w:tcPr>
          <w:p>
            <w:pPr>
              <w:pStyle w:val="TableNAm"/>
            </w:pPr>
            <w:r>
              <w:t>s. 272.18</w:t>
            </w:r>
          </w:p>
        </w:tc>
        <w:tc>
          <w:tcPr>
            <w:tcW w:w="1796" w:type="dxa"/>
            <w:noWrap/>
          </w:tcPr>
          <w:p>
            <w:pPr>
              <w:pStyle w:val="TableNAm"/>
            </w:pPr>
            <w:r>
              <w:t>s. 272.19</w:t>
            </w:r>
          </w:p>
        </w:tc>
      </w:tr>
      <w:tr>
        <w:trPr>
          <w:cantSplit/>
        </w:trPr>
        <w:tc>
          <w:tcPr>
            <w:tcW w:w="1795" w:type="dxa"/>
            <w:noWrap/>
          </w:tcPr>
          <w:p>
            <w:pPr>
              <w:pStyle w:val="TableNAm"/>
            </w:pPr>
            <w:r>
              <w:t>s. 272.20</w:t>
            </w:r>
          </w:p>
        </w:tc>
        <w:tc>
          <w:tcPr>
            <w:tcW w:w="1795" w:type="dxa"/>
            <w:noWrap/>
          </w:tcPr>
          <w:p>
            <w:pPr>
              <w:pStyle w:val="TableNAm"/>
            </w:pPr>
            <w:r>
              <w:t>s. 273.5</w:t>
            </w:r>
          </w:p>
        </w:tc>
        <w:tc>
          <w:tcPr>
            <w:tcW w:w="1796" w:type="dxa"/>
            <w:noWrap/>
          </w:tcPr>
          <w:p>
            <w:pPr>
              <w:pStyle w:val="TableNAm"/>
            </w:pPr>
            <w:r>
              <w:t>s. 273.6</w:t>
            </w:r>
          </w:p>
        </w:tc>
      </w:tr>
      <w:tr>
        <w:trPr>
          <w:cantSplit/>
        </w:trPr>
        <w:tc>
          <w:tcPr>
            <w:tcW w:w="1795" w:type="dxa"/>
            <w:noWrap/>
          </w:tcPr>
          <w:p>
            <w:pPr>
              <w:pStyle w:val="TableNAm"/>
            </w:pPr>
            <w:r>
              <w:t>s. 273.7</w:t>
            </w:r>
          </w:p>
        </w:tc>
        <w:tc>
          <w:tcPr>
            <w:tcW w:w="1795" w:type="dxa"/>
            <w:noWrap/>
          </w:tcPr>
          <w:p>
            <w:pPr>
              <w:pStyle w:val="TableNAm"/>
            </w:pPr>
            <w:r>
              <w:t>s. 273A.1</w:t>
            </w:r>
          </w:p>
        </w:tc>
        <w:tc>
          <w:tcPr>
            <w:tcW w:w="1796" w:type="dxa"/>
            <w:noWrap/>
          </w:tcPr>
          <w:p>
            <w:pPr>
              <w:pStyle w:val="TableNAm"/>
            </w:pPr>
            <w:r>
              <w:t>s. 471.16</w:t>
            </w:r>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471.22</w:t>
            </w:r>
          </w:p>
        </w:tc>
        <w:tc>
          <w:tcPr>
            <w:tcW w:w="1795" w:type="dxa"/>
            <w:noWrap/>
          </w:tcPr>
          <w:p>
            <w:pPr>
              <w:pStyle w:val="TableNAm"/>
            </w:pPr>
            <w:r>
              <w:t>s. 471.24</w:t>
            </w:r>
          </w:p>
        </w:tc>
        <w:tc>
          <w:tcPr>
            <w:tcW w:w="1796" w:type="dxa"/>
            <w:noWrap/>
          </w:tcPr>
          <w:p>
            <w:pPr>
              <w:pStyle w:val="TableNAm"/>
            </w:pPr>
            <w:r>
              <w:t>s. 471.25</w:t>
            </w:r>
          </w:p>
        </w:tc>
      </w:tr>
      <w:tr>
        <w:trPr>
          <w:cantSplit/>
        </w:trPr>
        <w:tc>
          <w:tcPr>
            <w:tcW w:w="1795" w:type="dxa"/>
            <w:noWrap/>
          </w:tcPr>
          <w:p>
            <w:pPr>
              <w:pStyle w:val="TableNAm"/>
            </w:pPr>
            <w:r>
              <w:t>s. 471.25A</w:t>
            </w:r>
          </w:p>
        </w:tc>
        <w:tc>
          <w:tcPr>
            <w:tcW w:w="1795" w:type="dxa"/>
            <w:noWrap/>
          </w:tcPr>
          <w:p>
            <w:pPr>
              <w:pStyle w:val="TableNAm"/>
            </w:pPr>
            <w:r>
              <w:t>s. 471.26</w:t>
            </w:r>
          </w:p>
        </w:tc>
        <w:tc>
          <w:tcPr>
            <w:tcW w:w="1796" w:type="dxa"/>
            <w:noWrap/>
          </w:tcPr>
          <w:p>
            <w:pPr>
              <w:pStyle w:val="TableNAm"/>
            </w:pPr>
            <w:r>
              <w:t>s. 474.19</w:t>
            </w:r>
          </w:p>
        </w:tc>
      </w:tr>
      <w:tr>
        <w:trPr>
          <w:cantSplit/>
        </w:trPr>
        <w:tc>
          <w:tcPr>
            <w:tcW w:w="1795" w:type="dxa"/>
            <w:noWrap/>
          </w:tcPr>
          <w:p>
            <w:pPr>
              <w:pStyle w:val="TableNAm"/>
            </w:pPr>
            <w:r>
              <w:t>s. 474.20</w:t>
            </w:r>
          </w:p>
        </w:tc>
        <w:tc>
          <w:tcPr>
            <w:tcW w:w="1795" w:type="dxa"/>
            <w:noWrap/>
          </w:tcPr>
          <w:p>
            <w:pPr>
              <w:pStyle w:val="TableNAm"/>
            </w:pPr>
            <w:r>
              <w:t>s. 474.22</w:t>
            </w:r>
          </w:p>
        </w:tc>
        <w:tc>
          <w:tcPr>
            <w:tcW w:w="1796" w:type="dxa"/>
            <w:noWrap/>
          </w:tcPr>
          <w:p>
            <w:pPr>
              <w:pStyle w:val="TableNAm"/>
            </w:pPr>
            <w:r>
              <w:t>s. 474.22A</w:t>
            </w:r>
          </w:p>
        </w:tc>
      </w:tr>
      <w:tr>
        <w:trPr>
          <w:cantSplit/>
        </w:trPr>
        <w:tc>
          <w:tcPr>
            <w:tcW w:w="1795" w:type="dxa"/>
            <w:noWrap/>
          </w:tcPr>
          <w:p>
            <w:pPr>
              <w:pStyle w:val="TableNAm"/>
            </w:pPr>
            <w:r>
              <w:t>s. 474.23</w:t>
            </w:r>
          </w:p>
        </w:tc>
        <w:tc>
          <w:tcPr>
            <w:tcW w:w="1795" w:type="dxa"/>
            <w:noWrap/>
          </w:tcPr>
          <w:p>
            <w:pPr>
              <w:pStyle w:val="TableNAm"/>
            </w:pPr>
            <w:r>
              <w:t>s. 474.23A</w:t>
            </w:r>
          </w:p>
        </w:tc>
        <w:tc>
          <w:tcPr>
            <w:tcW w:w="1796" w:type="dxa"/>
            <w:noWrap/>
          </w:tcPr>
          <w:p>
            <w:pPr>
              <w:pStyle w:val="TableNAm"/>
            </w:pPr>
            <w:r>
              <w:t>s. 474.24A</w:t>
            </w:r>
          </w:p>
        </w:tc>
      </w:tr>
      <w:tr>
        <w:trPr>
          <w:cantSplit/>
        </w:trPr>
        <w:tc>
          <w:tcPr>
            <w:tcW w:w="1795" w:type="dxa"/>
            <w:noWrap/>
          </w:tcPr>
          <w:p>
            <w:pPr>
              <w:pStyle w:val="TableNAm"/>
            </w:pPr>
            <w:r>
              <w:t>s. 474.25A</w:t>
            </w:r>
          </w:p>
        </w:tc>
        <w:tc>
          <w:tcPr>
            <w:tcW w:w="1795" w:type="dxa"/>
            <w:noWrap/>
          </w:tcPr>
          <w:p>
            <w:pPr>
              <w:pStyle w:val="TableNAm"/>
            </w:pPr>
            <w:r>
              <w:t>s. 474.25B</w:t>
            </w:r>
          </w:p>
        </w:tc>
        <w:tc>
          <w:tcPr>
            <w:tcW w:w="1796" w:type="dxa"/>
            <w:noWrap/>
          </w:tcPr>
          <w:p>
            <w:pPr>
              <w:pStyle w:val="TableNAm"/>
            </w:pPr>
            <w:r>
              <w:t>s. 474.26</w:t>
            </w:r>
          </w:p>
        </w:tc>
      </w:tr>
      <w:tr>
        <w:trPr>
          <w:cantSplit/>
        </w:trPr>
        <w:tc>
          <w:tcPr>
            <w:tcW w:w="1795" w:type="dxa"/>
            <w:noWrap/>
          </w:tcPr>
          <w:p>
            <w:pPr>
              <w:pStyle w:val="TableNAm"/>
            </w:pPr>
            <w:r>
              <w:t>s. 474.27</w:t>
            </w:r>
          </w:p>
        </w:tc>
        <w:tc>
          <w:tcPr>
            <w:tcW w:w="1795" w:type="dxa"/>
            <w:noWrap/>
          </w:tcPr>
          <w:p>
            <w:pPr>
              <w:pStyle w:val="TableNAm"/>
            </w:pPr>
            <w:r>
              <w:t>s. 474.27AA</w:t>
            </w:r>
          </w:p>
        </w:tc>
        <w:tc>
          <w:tcPr>
            <w:tcW w:w="1796" w:type="dxa"/>
            <w:noWrap/>
          </w:tcPr>
          <w:p>
            <w:pPr>
              <w:pStyle w:val="TableNAm"/>
            </w:pPr>
            <w:r>
              <w:t>s. 474.27A</w:t>
            </w:r>
          </w:p>
        </w:tc>
      </w:tr>
    </w:tbl>
    <w:p>
      <w:pPr>
        <w:pStyle w:val="Footnotesection"/>
      </w:pPr>
      <w:r>
        <w:tab/>
        <w:t>[Regulation 11 inserted: Gazette 21 Jan 2011 p. 158; amended: SL 2021/125 r. 5.]</w:t>
      </w:r>
    </w:p>
    <w:p>
      <w:pPr>
        <w:pStyle w:val="Heading5"/>
      </w:pPr>
      <w:bookmarkStart w:id="16" w:name="_Toc77167371"/>
      <w:r>
        <w:rPr>
          <w:rStyle w:val="CharSectno"/>
        </w:rPr>
        <w:t>12</w:t>
      </w:r>
      <w:r>
        <w:t>.</w:t>
      </w:r>
      <w:r>
        <w:tab/>
        <w:t>Means of contacting authorised person for certain persons entering Western Australia (s. 27)</w:t>
      </w:r>
      <w:bookmarkEnd w:id="16"/>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lastRenderedPageBreak/>
        <w:tab/>
        <w:t>(2)</w:t>
      </w:r>
      <w:r>
        <w:tab/>
        <w:t>The Commissioner is to nominate the relevant facsimile number, email address and postal address for the purposes of subregulation (1).</w:t>
      </w:r>
    </w:p>
    <w:p>
      <w:pPr>
        <w:pStyle w:val="Heading5"/>
      </w:pPr>
      <w:bookmarkStart w:id="17" w:name="_Toc77167372"/>
      <w:r>
        <w:rPr>
          <w:rStyle w:val="CharSectno"/>
        </w:rPr>
        <w:t>13</w:t>
      </w:r>
      <w:r>
        <w:t>.</w:t>
      </w:r>
      <w:r>
        <w:tab/>
        <w:t>Manner of reporting change of reportable offender’s travel plans while out of Western Australia (s. 31)</w:t>
      </w:r>
      <w:bookmarkEnd w:id="17"/>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8" w:name="_Toc77167373"/>
      <w:r>
        <w:rPr>
          <w:rStyle w:val="CharSectno"/>
        </w:rPr>
        <w:t>14</w:t>
      </w:r>
      <w:r>
        <w:t>.</w:t>
      </w:r>
      <w:r>
        <w:tab/>
        <w:t>Directions as to police station or approved place at which reportable offender must report (s. 34)</w:t>
      </w:r>
      <w:bookmarkEnd w:id="18"/>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19" w:name="_Toc77167374"/>
      <w:r>
        <w:rPr>
          <w:rStyle w:val="CharSectno"/>
        </w:rPr>
        <w:t>15</w:t>
      </w:r>
      <w:r>
        <w:t>.</w:t>
      </w:r>
      <w:r>
        <w:tab/>
        <w:t>Prescribed form of identification (s. 38(2A)(a)(iv))</w:t>
      </w:r>
      <w:bookmarkEnd w:id="19"/>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20" w:name="_Toc77167375"/>
      <w:r>
        <w:rPr>
          <w:rStyle w:val="CharSectno"/>
        </w:rPr>
        <w:t>16</w:t>
      </w:r>
      <w:r>
        <w:t>.</w:t>
      </w:r>
      <w:r>
        <w:tab/>
        <w:t>Prescribed distance — reporting by remote offenders (s. 43)</w:t>
      </w:r>
      <w:bookmarkEnd w:id="20"/>
    </w:p>
    <w:p>
      <w:pPr>
        <w:pStyle w:val="Subsection"/>
      </w:pPr>
      <w:r>
        <w:tab/>
      </w:r>
      <w:r>
        <w:tab/>
        <w:t>For the purposes of section 43(1) of the Act, the prescribed distance is 100 km.</w:t>
      </w:r>
    </w:p>
    <w:p>
      <w:pPr>
        <w:pStyle w:val="Heading5"/>
      </w:pPr>
      <w:bookmarkStart w:id="21" w:name="_Toc77167376"/>
      <w:r>
        <w:rPr>
          <w:rStyle w:val="CharSectno"/>
        </w:rPr>
        <w:t>17</w:t>
      </w:r>
      <w:r>
        <w:t>.</w:t>
      </w:r>
      <w:r>
        <w:tab/>
        <w:t>Offences — approval by Commissioner of suspension of reporting obligations (s. 61)</w:t>
      </w:r>
      <w:bookmarkEnd w:id="21"/>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lastRenderedPageBreak/>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Gazette 1 Jul 2011 p. 2747; 8 Nov 2013 p.</w:t>
      </w:r>
      <w:r>
        <w:rPr>
          <w:sz w:val="19"/>
        </w:rPr>
        <w:t> </w:t>
      </w:r>
      <w:r>
        <w:t>4997.]</w:t>
      </w:r>
    </w:p>
    <w:p>
      <w:pPr>
        <w:pStyle w:val="Heading5"/>
      </w:pPr>
      <w:bookmarkStart w:id="22" w:name="_Toc77167377"/>
      <w:r>
        <w:rPr>
          <w:rStyle w:val="CharSectno"/>
        </w:rPr>
        <w:lastRenderedPageBreak/>
        <w:t>18</w:t>
      </w:r>
      <w:r>
        <w:t>.</w:t>
      </w:r>
      <w:r>
        <w:tab/>
        <w:t>Sentences — approval by Commissioner of suspension of reporting obligations (s. 61)</w:t>
      </w:r>
      <w:bookmarkEnd w:id="22"/>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Gazette 8 Nov 2013 p.</w:t>
      </w:r>
      <w:r>
        <w:rPr>
          <w:sz w:val="19"/>
        </w:rPr>
        <w:t> </w:t>
      </w:r>
      <w:r>
        <w:t>4998.]</w:t>
      </w:r>
    </w:p>
    <w:p>
      <w:pPr>
        <w:pStyle w:val="Heading5"/>
      </w:pPr>
      <w:bookmarkStart w:id="23" w:name="_Toc77167378"/>
      <w:r>
        <w:rPr>
          <w:rStyle w:val="CharSectno"/>
        </w:rPr>
        <w:t>19</w:t>
      </w:r>
      <w:r>
        <w:t>.</w:t>
      </w:r>
      <w:r>
        <w:tab/>
        <w:t>Persons required to give notice of reporting obligations etc. to reportable offenders (s. 67)</w:t>
      </w:r>
      <w:bookmarkEnd w:id="2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lastRenderedPageBreak/>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r>
        <w:tab/>
        <w:t>[Regulation 19 amended: Gazette 1 Jun 2007 p. 2528; 16 Jun 2015 p. 2078.]</w:t>
      </w:r>
    </w:p>
    <w:p>
      <w:pPr>
        <w:pStyle w:val="Heading5"/>
      </w:pPr>
      <w:bookmarkStart w:id="24" w:name="_Toc77167379"/>
      <w:r>
        <w:rPr>
          <w:rStyle w:val="CharSectno"/>
        </w:rPr>
        <w:lastRenderedPageBreak/>
        <w:t>20</w:t>
      </w:r>
      <w:r>
        <w:t>.</w:t>
      </w:r>
      <w:r>
        <w:tab/>
        <w:t>Details to be included in notice given by supervising authority to Commissioner (s. 70)</w:t>
      </w:r>
      <w:bookmarkEnd w:id="24"/>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5" w:name="_Toc77167380"/>
      <w:r>
        <w:rPr>
          <w:rStyle w:val="CharSectno"/>
        </w:rPr>
        <w:t>21</w:t>
      </w:r>
      <w:r>
        <w:t>.</w:t>
      </w:r>
      <w:r>
        <w:tab/>
        <w:t>Corresponding protection orders (s. 85)</w:t>
      </w:r>
      <w:bookmarkEnd w:id="25"/>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lastRenderedPageBreak/>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Footnotesection"/>
      </w:pPr>
      <w:r>
        <w:tab/>
        <w:t>[Regulation 21 amended: Gazette 14 Nov 2008 p. 4878; 25 Nov 2008 p. 4990; 30 Nov 2012 p. 5802; 8 Nov 2013 p.</w:t>
      </w:r>
      <w:r>
        <w:rPr>
          <w:sz w:val="19"/>
        </w:rPr>
        <w:t> </w:t>
      </w:r>
      <w:r>
        <w:t>4998; 13 Jan 2017 p. 360.]</w:t>
      </w:r>
    </w:p>
    <w:p>
      <w:pPr>
        <w:pStyle w:val="Heading5"/>
      </w:pPr>
      <w:bookmarkStart w:id="26" w:name="_Toc77167381"/>
      <w:r>
        <w:rPr>
          <w:rStyle w:val="CharSectno"/>
        </w:rPr>
        <w:t>22</w:t>
      </w:r>
      <w:r>
        <w:t>.</w:t>
      </w:r>
      <w:r>
        <w:tab/>
        <w:t>Application for recognition of corresponding protection orders (s. 108(2)(a))</w:t>
      </w:r>
      <w:bookmarkEnd w:id="26"/>
    </w:p>
    <w:p>
      <w:pPr>
        <w:pStyle w:val="Subsection"/>
      </w:pPr>
      <w:r>
        <w:tab/>
        <w:t>(1)</w:t>
      </w:r>
      <w:r>
        <w:tab/>
        <w:t>A police officer may, on behalf of the Commissioner, apply to the relevant court for the recognition in Western Australia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27" w:name="_Toc77167382"/>
      <w:r>
        <w:rPr>
          <w:rStyle w:val="CharSectno"/>
        </w:rPr>
        <w:t>23</w:t>
      </w:r>
      <w:r>
        <w:t>.</w:t>
      </w:r>
      <w:r>
        <w:tab/>
        <w:t>Recognition of corresponding protection orders (s. 108(2)(b))</w:t>
      </w:r>
      <w:bookmarkEnd w:id="27"/>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lastRenderedPageBreak/>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28" w:name="_Toc77167383"/>
      <w:r>
        <w:rPr>
          <w:rStyle w:val="CharSectno"/>
        </w:rPr>
        <w:t>24</w:t>
      </w:r>
      <w:r>
        <w:t>.</w:t>
      </w:r>
      <w:r>
        <w:tab/>
        <w:t>Effect of recognition of corresponding protection orders (s. 108(2)(d))</w:t>
      </w:r>
      <w:bookmarkEnd w:id="28"/>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lastRenderedPageBreak/>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29" w:name="_Toc77167384"/>
      <w:r>
        <w:rPr>
          <w:rStyle w:val="CharSectno"/>
        </w:rPr>
        <w:t>25</w:t>
      </w:r>
      <w:r>
        <w:t>.</w:t>
      </w:r>
      <w:r>
        <w:tab/>
        <w:t>Variation or revocation of recognised order in a foreign jurisdiction</w:t>
      </w:r>
      <w:bookmarkEnd w:id="29"/>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30" w:name="_Toc77167385"/>
      <w:r>
        <w:rPr>
          <w:rStyle w:val="CharSectno"/>
        </w:rPr>
        <w:t>26A</w:t>
      </w:r>
      <w:r>
        <w:t>.</w:t>
      </w:r>
      <w:r>
        <w:tab/>
        <w:t>Authorisation of absences from assessment or treatment (s. 94A(5)(a))</w:t>
      </w:r>
      <w:bookmarkEnd w:id="30"/>
    </w:p>
    <w:p>
      <w:pPr>
        <w:pStyle w:val="Subsection"/>
      </w:pPr>
      <w:r>
        <w:tab/>
        <w:t>(1)</w:t>
      </w:r>
      <w:r>
        <w:tab/>
        <w:t xml:space="preserve">A reportable offender who is required by an order of the Commissioner to undergo assessment or treatment under </w:t>
      </w:r>
      <w:r>
        <w:lastRenderedPageBreak/>
        <w:t xml:space="preserve">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 xml:space="preserve">If required by the Commissioner to do so, a reportable offender making a request under this regulation must provide the </w:t>
      </w:r>
      <w:r>
        <w:lastRenderedPageBreak/>
        <w:t>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w:t>
      </w:r>
    </w:p>
    <w:p>
      <w:pPr>
        <w:pStyle w:val="Heading5"/>
      </w:pPr>
      <w:bookmarkStart w:id="31" w:name="_Toc77167386"/>
      <w:r>
        <w:rPr>
          <w:rStyle w:val="CharSectno"/>
        </w:rPr>
        <w:t>26B</w:t>
      </w:r>
      <w:r>
        <w:t>.</w:t>
      </w:r>
      <w:r>
        <w:tab/>
        <w:t>Reports by persons providing assessment or administering treatment (s. 94A(5)(c))</w:t>
      </w:r>
      <w:bookmarkEnd w:id="31"/>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lastRenderedPageBreak/>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32" w:name="_Toc77167387"/>
      <w:r>
        <w:rPr>
          <w:rStyle w:val="CharSectno"/>
        </w:rPr>
        <w:t>26C</w:t>
      </w:r>
      <w:r>
        <w:t>.</w:t>
      </w:r>
      <w:r>
        <w:tab/>
        <w:t>Manner of making requirement to give a sample (s. 94B(8)(a))</w:t>
      </w:r>
      <w:bookmarkEnd w:id="32"/>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w:t>
      </w:r>
    </w:p>
    <w:p>
      <w:pPr>
        <w:pStyle w:val="Heading5"/>
      </w:pPr>
      <w:bookmarkStart w:id="33" w:name="_Toc77167388"/>
      <w:r>
        <w:rPr>
          <w:rStyle w:val="CharSectno"/>
        </w:rPr>
        <w:t>26D</w:t>
      </w:r>
      <w:r>
        <w:t>.</w:t>
      </w:r>
      <w:r>
        <w:tab/>
        <w:t>Manner of conducting breath test (s. 94B(8)(b))</w:t>
      </w:r>
      <w:bookmarkEnd w:id="33"/>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lastRenderedPageBreak/>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Ednotesubsection"/>
      </w:pPr>
      <w:r>
        <w:tab/>
        <w:t>[(6)</w:t>
      </w:r>
      <w:r>
        <w:noBreakHyphen/>
        <w:t>(8)</w:t>
      </w:r>
      <w:r>
        <w:tab/>
        <w:t>deleted]</w:t>
      </w:r>
    </w:p>
    <w:p>
      <w:pPr>
        <w:pStyle w:val="Footnotesection"/>
      </w:pPr>
      <w:r>
        <w:tab/>
        <w:t>[Regulation 26D inserted: Gazette 8 Nov 2013 p.</w:t>
      </w:r>
      <w:r>
        <w:rPr>
          <w:sz w:val="19"/>
        </w:rPr>
        <w:t> </w:t>
      </w:r>
      <w:r>
        <w:t>5002</w:t>
      </w:r>
      <w:r>
        <w:noBreakHyphen/>
        <w:t>3; amended: SL 2021/57 r. 5.]</w:t>
      </w:r>
    </w:p>
    <w:p>
      <w:pPr>
        <w:pStyle w:val="Heading5"/>
      </w:pPr>
      <w:bookmarkStart w:id="34" w:name="_Toc77167389"/>
      <w:r>
        <w:rPr>
          <w:rStyle w:val="CharSectno"/>
        </w:rPr>
        <w:t>26E</w:t>
      </w:r>
      <w:r>
        <w:t>.</w:t>
      </w:r>
      <w:r>
        <w:tab/>
        <w:t>Authorised sample collectors to take or collect samples (s. 94B(8)(b))</w:t>
      </w:r>
      <w:bookmarkEnd w:id="34"/>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w:t>
      </w:r>
    </w:p>
    <w:p>
      <w:pPr>
        <w:pStyle w:val="Heading5"/>
      </w:pPr>
      <w:bookmarkStart w:id="35" w:name="_Toc77167390"/>
      <w:r>
        <w:rPr>
          <w:rStyle w:val="CharSectno"/>
        </w:rPr>
        <w:t>26F</w:t>
      </w:r>
      <w:r>
        <w:t>.</w:t>
      </w:r>
      <w:r>
        <w:tab/>
        <w:t>Manner of taking sample of blood or collecting sample of urine (s. 94B(8)(b))</w:t>
      </w:r>
      <w:bookmarkEnd w:id="35"/>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lastRenderedPageBreak/>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keepNext/>
      </w:pPr>
      <w:r>
        <w:lastRenderedPageBreak/>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36" w:name="_Toc77167391"/>
      <w:r>
        <w:rPr>
          <w:rStyle w:val="CharSectno"/>
        </w:rPr>
        <w:t>26G</w:t>
      </w:r>
      <w:r>
        <w:t>.</w:t>
      </w:r>
      <w:r>
        <w:tab/>
        <w:t>Collection of samples (s. 94B(8)(e))</w:t>
      </w:r>
      <w:bookmarkEnd w:id="36"/>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lastRenderedPageBreak/>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37" w:name="_Toc77167392"/>
      <w:r>
        <w:rPr>
          <w:rStyle w:val="CharSectno"/>
        </w:rPr>
        <w:t>26H</w:t>
      </w:r>
      <w:r>
        <w:t>.</w:t>
      </w:r>
      <w:r>
        <w:tab/>
        <w:t>Authorisation of persons as analysts (s. 94B(8)(c))</w:t>
      </w:r>
      <w:bookmarkEnd w:id="37"/>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38" w:name="_Toc77167393"/>
      <w:r>
        <w:rPr>
          <w:rStyle w:val="CharSectno"/>
        </w:rPr>
        <w:lastRenderedPageBreak/>
        <w:t>26I</w:t>
      </w:r>
      <w:r>
        <w:t>.</w:t>
      </w:r>
      <w:r>
        <w:tab/>
        <w:t>Reporting results of analysis (s. 94B(8)(d))</w:t>
      </w:r>
      <w:bookmarkEnd w:id="38"/>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39" w:name="_Toc77167394"/>
      <w:r>
        <w:rPr>
          <w:rStyle w:val="CharSectno"/>
        </w:rPr>
        <w:t>26K</w:t>
      </w:r>
      <w:r>
        <w:t>.</w:t>
      </w:r>
      <w:r>
        <w:tab/>
        <w:t>Certificate evidence (s. 94B(8)(i))</w:t>
      </w:r>
      <w:bookmarkEnd w:id="39"/>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lastRenderedPageBreak/>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40" w:name="_Toc77167395"/>
      <w:r>
        <w:rPr>
          <w:rStyle w:val="CharSectno"/>
        </w:rPr>
        <w:t>26</w:t>
      </w:r>
      <w:r>
        <w:t>.</w:t>
      </w:r>
      <w:r>
        <w:tab/>
        <w:t>Forms</w:t>
      </w:r>
      <w:bookmarkEnd w:id="40"/>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1" w:name="_Toc77147767"/>
      <w:bookmarkStart w:id="42" w:name="_Toc77148629"/>
      <w:bookmarkStart w:id="43" w:name="_Toc77167039"/>
      <w:bookmarkStart w:id="44" w:name="_Toc77167396"/>
      <w:r>
        <w:rPr>
          <w:rStyle w:val="CharSchNo"/>
        </w:rPr>
        <w:lastRenderedPageBreak/>
        <w:t>Schedule 1</w:t>
      </w:r>
      <w:r>
        <w:rPr>
          <w:rStyle w:val="CharSDivNo"/>
        </w:rPr>
        <w:t> </w:t>
      </w:r>
      <w:r>
        <w:t>—</w:t>
      </w:r>
      <w:r>
        <w:rPr>
          <w:rStyle w:val="CharSDivText"/>
        </w:rPr>
        <w:t> </w:t>
      </w:r>
      <w:r>
        <w:rPr>
          <w:rStyle w:val="CharSchText"/>
        </w:rPr>
        <w:t>Forms</w:t>
      </w:r>
      <w:bookmarkEnd w:id="41"/>
      <w:bookmarkEnd w:id="42"/>
      <w:bookmarkEnd w:id="43"/>
      <w:bookmarkEnd w:id="44"/>
    </w:p>
    <w:p>
      <w:pPr>
        <w:pStyle w:val="yShoulderClause"/>
      </w:pPr>
      <w:r>
        <w:t>[r. 26]</w:t>
      </w:r>
    </w:p>
    <w:p>
      <w:pPr>
        <w:pStyle w:val="yFootnotesection"/>
      </w:pPr>
      <w:r>
        <w:tab/>
        <w:t>[Heading inserted: Gazette 9 Dec 2005 p. 5888; amended: Gazette 1 Jun 2007 p. 2528.]</w:t>
      </w:r>
    </w:p>
    <w:p>
      <w:pPr>
        <w:pStyle w:val="yHeading5"/>
        <w:spacing w:after="80"/>
      </w:pPr>
      <w:bookmarkStart w:id="45" w:name="_Toc77167397"/>
      <w:r>
        <w:rPr>
          <w:rStyle w:val="CharSClsNo"/>
        </w:rPr>
        <w:t>1</w:t>
      </w:r>
      <w:r>
        <w:t>.</w:t>
      </w:r>
      <w:r>
        <w:tab/>
        <w:t>Summons: Application for order</w:t>
      </w:r>
      <w:bookmarkEnd w:id="4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lastRenderedPageBreak/>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46" w:name="_Toc77167398"/>
      <w:r>
        <w:rPr>
          <w:rStyle w:val="CharSClsNo"/>
        </w:rPr>
        <w:lastRenderedPageBreak/>
        <w:t>2</w:t>
      </w:r>
      <w:r>
        <w:t>.</w:t>
      </w:r>
      <w:r>
        <w:tab/>
        <w:t>Summons: Further hearing after interim order</w:t>
      </w:r>
      <w:bookmarkEnd w:id="4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lastRenderedPageBreak/>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47" w:name="_Toc77167399"/>
      <w:r>
        <w:rPr>
          <w:rStyle w:val="CharSClsNo"/>
        </w:rPr>
        <w:lastRenderedPageBreak/>
        <w:t>3</w:t>
      </w:r>
      <w:r>
        <w:t>.</w:t>
      </w:r>
      <w:r>
        <w:tab/>
        <w:t>Summons: Application to vary or revoke child protection order</w:t>
      </w:r>
      <w:bookmarkEnd w:id="4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lastRenderedPageBreak/>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48" w:name="_Toc77167400"/>
      <w:r>
        <w:rPr>
          <w:rStyle w:val="CharSClsNo"/>
        </w:rPr>
        <w:lastRenderedPageBreak/>
        <w:t>5</w:t>
      </w:r>
      <w:r>
        <w:t>.</w:t>
      </w:r>
      <w:r>
        <w:tab/>
        <w:t>Request to take sample of blood or urine (r. 26F(2))</w:t>
      </w:r>
      <w:bookmarkEnd w:id="48"/>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lastRenderedPageBreak/>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49" w:name="_Toc77167401"/>
      <w:r>
        <w:rPr>
          <w:rStyle w:val="CharSClsNo"/>
        </w:rPr>
        <w:lastRenderedPageBreak/>
        <w:t>6</w:t>
      </w:r>
      <w:r>
        <w:t>.</w:t>
      </w:r>
      <w:r>
        <w:tab/>
        <w:t>Certificate of authorised sample collector (r. 26G(5))</w:t>
      </w:r>
      <w:bookmarkEnd w:id="49"/>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lastRenderedPageBreak/>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50" w:name="_Toc77167402"/>
      <w:r>
        <w:rPr>
          <w:rStyle w:val="CharSClsNo"/>
        </w:rPr>
        <w:lastRenderedPageBreak/>
        <w:t>7</w:t>
      </w:r>
      <w:r>
        <w:t>.</w:t>
      </w:r>
      <w:r>
        <w:tab/>
        <w:t>Certificate of analyst (r. 26I(3))</w:t>
      </w:r>
      <w:bookmarkEnd w:id="50"/>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lastRenderedPageBreak/>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pPr>
        <w:pStyle w:val="nHeading2"/>
      </w:pPr>
      <w:bookmarkStart w:id="52" w:name="_Toc77147774"/>
      <w:bookmarkStart w:id="53" w:name="_Toc77148636"/>
      <w:bookmarkStart w:id="54" w:name="_Toc77167046"/>
      <w:bookmarkStart w:id="55" w:name="_Toc77167403"/>
      <w:r>
        <w:lastRenderedPageBreak/>
        <w:t>Notes</w:t>
      </w:r>
      <w:bookmarkEnd w:id="52"/>
      <w:bookmarkEnd w:id="53"/>
      <w:bookmarkEnd w:id="54"/>
      <w:bookmarkEnd w:id="55"/>
    </w:p>
    <w:p>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w:t>
      </w:r>
    </w:p>
    <w:p>
      <w:pPr>
        <w:pStyle w:val="nHeading3"/>
      </w:pPr>
      <w:bookmarkStart w:id="56" w:name="_Toc77167404"/>
      <w:r>
        <w:t>Compilation table</w:t>
      </w:r>
      <w:bookmarkEnd w:id="5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lastRenderedPageBreak/>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rPr>
                <w:i/>
              </w:rPr>
            </w:pPr>
            <w:r>
              <w:rPr>
                <w:i/>
                <w:noProof/>
                <w:snapToGrid w:val="0"/>
              </w:rPr>
              <w:t>Community Protection (Offender Reporting) Amendment Regulations (No. 2) 2021</w:t>
            </w:r>
          </w:p>
        </w:tc>
        <w:tc>
          <w:tcPr>
            <w:tcW w:w="1347" w:type="dxa"/>
            <w:tcBorders>
              <w:bottom w:val="single" w:sz="4" w:space="0" w:color="auto"/>
            </w:tcBorders>
            <w:shd w:val="clear" w:color="auto" w:fill="auto"/>
          </w:tcPr>
          <w:p>
            <w:pPr>
              <w:pStyle w:val="nTable"/>
              <w:spacing w:after="40"/>
            </w:pPr>
            <w:r>
              <w:t>SL 2021/125 16 Jul 2021</w:t>
            </w:r>
          </w:p>
        </w:tc>
        <w:tc>
          <w:tcPr>
            <w:tcW w:w="2622" w:type="dxa"/>
            <w:tcBorders>
              <w:bottom w:val="single" w:sz="4" w:space="0" w:color="auto"/>
            </w:tcBorders>
            <w:shd w:val="clear" w:color="auto" w:fill="auto"/>
          </w:tcPr>
          <w:p>
            <w:pPr>
              <w:pStyle w:val="nTable"/>
              <w:spacing w:after="40"/>
              <w:rPr>
                <w:snapToGrid w:val="0"/>
              </w:rPr>
            </w:pPr>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58" w:name="_Toc77147776"/>
      <w:bookmarkStart w:id="59" w:name="_Toc77148638"/>
      <w:bookmarkStart w:id="60" w:name="_Toc77167048"/>
      <w:bookmarkStart w:id="61" w:name="_Toc77167405"/>
      <w:r>
        <w:rPr>
          <w:sz w:val="28"/>
        </w:rPr>
        <w:lastRenderedPageBreak/>
        <w:t>Defined terms</w:t>
      </w:r>
      <w:bookmarkEnd w:id="58"/>
      <w:bookmarkEnd w:id="59"/>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Commission</w:t>
      </w:r>
      <w:r>
        <w:tab/>
        <w:t>7(5)</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medical practitioner</w:t>
      </w:r>
      <w:r>
        <w:tab/>
        <w:t>3</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resident</w:t>
      </w:r>
      <w:r>
        <w:tab/>
        <w:t>7(5)</w:t>
      </w:r>
    </w:p>
    <w:p>
      <w:pPr>
        <w:pStyle w:val="DefinedTerms"/>
      </w:pPr>
      <w:r>
        <w:t>sample</w:t>
      </w:r>
      <w:r>
        <w:tab/>
        <w:t>26F(1)</w:t>
      </w:r>
    </w:p>
    <w:p>
      <w:pPr>
        <w:pStyle w:val="DefinedTerms"/>
      </w:pPr>
      <w:r>
        <w:t>urine sampling equipment</w:t>
      </w:r>
      <w:r>
        <w:tab/>
        <w:t>3, 26F(1)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80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085419"/>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33FC0-FFBD-4987-9A58-0B9EA5F34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8567</Words>
  <Characters>46694</Characters>
  <Application>Microsoft Office Word</Application>
  <DocSecurity>0</DocSecurity>
  <Lines>1506</Lines>
  <Paragraphs>952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2004 - 03-l0-00</dc:title>
  <dc:subject/>
  <dc:creator/>
  <cp:keywords/>
  <dc:description/>
  <cp:lastModifiedBy>Master Repository Process</cp:lastModifiedBy>
  <cp:revision>4</cp:revision>
  <cp:lastPrinted>2014-04-04T05:23:00Z</cp:lastPrinted>
  <dcterms:created xsi:type="dcterms:W3CDTF">2021-07-15T06:55:00Z</dcterms:created>
  <dcterms:modified xsi:type="dcterms:W3CDTF">2021-07-15T06:55:00Z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AsAtDate">
    <vt:lpwstr>17 Jul 2021</vt:lpwstr>
  </property>
  <property fmtid="{D5CDD505-2E9C-101B-9397-08002B2CF9AE}" pid="8" name="Suffix">
    <vt:lpwstr>03-l0-00</vt:lpwstr>
  </property>
  <property fmtid="{D5CDD505-2E9C-101B-9397-08002B2CF9AE}" pid="9" name="CommencementDate">
    <vt:lpwstr>20210717</vt:lpwstr>
  </property>
</Properties>
</file>