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_Toc77862223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_Toc77862224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_Toc77862225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_Toc77862227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_Toc77862228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_Toc77862229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_Toc77862230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_Toc77862232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_Toc77862233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_Toc77862234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_Toc77862235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_Toc77862236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_Toc77862237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_Toc77862238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_Toc77862239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_Toc77862240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_Toc77862241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_Toc77862242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_Toc77862243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_Toc77862244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_Toc77862246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_Toc77862247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_Toc77862249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_Toc77862250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_Toc77862251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_Toc77862252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lastRenderedPageBreak/>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_Toc77862261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_Toc77862262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_Toc77862263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77855535"/>
      <w:bookmarkStart w:id="4" w:name="_Toc77856020"/>
      <w:bookmarkStart w:id="5" w:name="_Toc7786222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7862223"/>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7786222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77862225"/>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77855539"/>
      <w:bookmarkStart w:id="11" w:name="_Toc77856024"/>
      <w:bookmarkStart w:id="12" w:name="_Toc77862226"/>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77862227"/>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77862228"/>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77862229"/>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77862230"/>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77855544"/>
      <w:bookmarkStart w:id="18" w:name="_Toc77856029"/>
      <w:bookmarkStart w:id="19" w:name="_Toc77862231"/>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77862232"/>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77862233"/>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77862234"/>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77862235"/>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77862236"/>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77862237"/>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77862238"/>
      <w:r>
        <w:rPr>
          <w:rStyle w:val="CharSectno"/>
        </w:rPr>
        <w:t>9F</w:t>
      </w:r>
      <w:r>
        <w:t>.</w:t>
      </w:r>
      <w:r>
        <w:tab/>
        <w:t>Waiving fee for copy of document or transcript</w:t>
      </w:r>
      <w:bookmarkEnd w:id="26"/>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27" w:name="_Toc77862239"/>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yTableNAmBold11pt"/>
            </w:pPr>
            <w:r>
              <w:t>758.00</w:t>
            </w:r>
          </w:p>
        </w:tc>
        <w:tc>
          <w:tcPr>
            <w:tcW w:w="1307" w:type="dxa"/>
            <w:tcBorders>
              <w:bottom w:val="nil"/>
            </w:tcBorders>
            <w:noWrap/>
            <w:vAlign w:val="bottom"/>
          </w:tcPr>
          <w:p>
            <w:pPr>
              <w:pStyle w:val="yTableNAmBold11pt"/>
              <w:ind w:right="205"/>
            </w:pPr>
            <w:r>
              <w:t>1 382.00</w:t>
            </w:r>
          </w:p>
        </w:tc>
        <w:tc>
          <w:tcPr>
            <w:tcW w:w="1242" w:type="dxa"/>
            <w:tcBorders>
              <w:bottom w:val="nil"/>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yTableNAmBold11pt"/>
            </w:pPr>
            <w:r>
              <w:t>693.00</w:t>
            </w:r>
          </w:p>
        </w:tc>
        <w:tc>
          <w:tcPr>
            <w:tcW w:w="1307" w:type="dxa"/>
            <w:tcBorders>
              <w:top w:val="single" w:sz="4" w:space="0" w:color="auto"/>
              <w:bottom w:val="single" w:sz="4" w:space="0" w:color="auto"/>
            </w:tcBorders>
            <w:noWrap/>
            <w:vAlign w:val="bottom"/>
          </w:tcPr>
          <w:p>
            <w:pPr>
              <w:pStyle w:val="yTableNAmBold11pt"/>
              <w:ind w:right="205"/>
            </w:pPr>
            <w:r>
              <w:t>897.00</w:t>
            </w:r>
          </w:p>
        </w:tc>
        <w:tc>
          <w:tcPr>
            <w:tcW w:w="1242" w:type="dxa"/>
            <w:tcBorders>
              <w:top w:val="single" w:sz="4" w:space="0" w:color="auto"/>
              <w:bottom w:val="single" w:sz="4" w:space="0" w:color="auto"/>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yTableNAmBold11pt"/>
              <w:ind w:left="-84" w:right="0"/>
              <w:jc w:val="center"/>
            </w:pPr>
            <w:r>
              <w:t>274.00 plus assessment fee of 2.50% of the costs claimed in the application</w:t>
            </w:r>
          </w:p>
        </w:tc>
        <w:tc>
          <w:tcPr>
            <w:tcW w:w="1307" w:type="dxa"/>
            <w:tcBorders>
              <w:top w:val="single" w:sz="4" w:space="0" w:color="auto"/>
              <w:bottom w:val="single" w:sz="4" w:space="0" w:color="auto"/>
            </w:tcBorders>
            <w:noWrap/>
          </w:tcPr>
          <w:p>
            <w:pPr>
              <w:pStyle w:val="yTableNAmBold11pt"/>
              <w:ind w:left="-116" w:right="-78"/>
              <w:jc w:val="center"/>
            </w:pPr>
            <w:r>
              <w:t>411.00 plus assessment fee of 2.50% of the costs claimed in the application</w:t>
            </w:r>
          </w:p>
        </w:tc>
        <w:tc>
          <w:tcPr>
            <w:tcW w:w="1242" w:type="dxa"/>
            <w:tcBorders>
              <w:top w:val="single" w:sz="4" w:space="0" w:color="auto"/>
              <w:bottom w:val="single" w:sz="4" w:space="0" w:color="auto"/>
            </w:tcBorders>
            <w:noWrap/>
          </w:tcPr>
          <w:p>
            <w:pPr>
              <w:pStyle w:val="yTableNAmBold11pt"/>
              <w:ind w:right="184"/>
            </w:pPr>
            <w: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yTableNAmBold11pt"/>
            </w:pPr>
            <w:r>
              <w:t>139.00</w:t>
            </w:r>
          </w:p>
        </w:tc>
        <w:tc>
          <w:tcPr>
            <w:tcW w:w="1417" w:type="dxa"/>
            <w:tcBorders>
              <w:bottom w:val="nil"/>
            </w:tcBorders>
            <w:vAlign w:val="bottom"/>
          </w:tcPr>
          <w:p>
            <w:pPr>
              <w:pStyle w:val="yTableNAmBold11pt"/>
            </w:pPr>
            <w:r>
              <w:t>139.00</w:t>
            </w:r>
          </w:p>
        </w:tc>
        <w:tc>
          <w:tcPr>
            <w:tcW w:w="1276" w:type="dxa"/>
            <w:tcBorders>
              <w:bottom w:val="nil"/>
            </w:tcBorders>
            <w:vAlign w:val="bottom"/>
          </w:tcPr>
          <w:p>
            <w:pPr>
              <w:pStyle w:val="yTableNAmBold11pt"/>
            </w:pPr>
            <w:r>
              <w:t>41.70</w:t>
            </w:r>
          </w:p>
        </w:tc>
      </w:tr>
      <w:tr>
        <w:trPr>
          <w:cantSplit/>
        </w:trPr>
        <w:tc>
          <w:tcPr>
            <w:tcW w:w="767" w:type="dxa"/>
            <w:tcBorders>
              <w:top w:val="single" w:sz="4" w:space="0" w:color="auto"/>
              <w:bottom w:val="single" w:sz="4" w:space="0" w:color="auto"/>
            </w:tcBorders>
          </w:tcPr>
          <w:p>
            <w:pPr>
              <w:pStyle w:val="TableNAm"/>
              <w:rPr>
                <w:sz w:val="22"/>
              </w:rPr>
            </w:pPr>
            <w:r>
              <w:rPr>
                <w:sz w:val="22"/>
              </w:rPr>
              <w:lastRenderedPageBreak/>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yTableNAmBold11pt"/>
            </w:pPr>
            <w:r>
              <w:t>275.00</w:t>
            </w:r>
          </w:p>
        </w:tc>
        <w:tc>
          <w:tcPr>
            <w:tcW w:w="1417" w:type="dxa"/>
            <w:tcBorders>
              <w:top w:val="single" w:sz="4" w:space="0" w:color="auto"/>
              <w:bottom w:val="single" w:sz="4" w:space="0" w:color="auto"/>
            </w:tcBorders>
            <w:vAlign w:val="bottom"/>
          </w:tcPr>
          <w:p>
            <w:pPr>
              <w:pStyle w:val="yTableNAmBold11pt"/>
            </w:pPr>
            <w:r>
              <w:t>275.00</w:t>
            </w:r>
          </w:p>
        </w:tc>
        <w:tc>
          <w:tcPr>
            <w:tcW w:w="1276" w:type="dxa"/>
            <w:tcBorders>
              <w:top w:val="single" w:sz="4" w:space="0" w:color="auto"/>
              <w:bottom w:val="single" w:sz="4" w:space="0" w:color="auto"/>
            </w:tcBorders>
            <w:vAlign w:val="bottom"/>
          </w:tcPr>
          <w:p>
            <w:pPr>
              <w:pStyle w:val="yTableNAmBold11pt"/>
            </w:pPr>
            <w: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yTableNAmBold11pt"/>
              <w:ind w:left="-84" w:right="0"/>
              <w:jc w:val="center"/>
            </w:pPr>
            <w:r>
              <w:t>134.50 plus assessment fee of 2.50% of the costs claimed in the application</w:t>
            </w:r>
          </w:p>
        </w:tc>
        <w:tc>
          <w:tcPr>
            <w:tcW w:w="1417" w:type="dxa"/>
            <w:tcBorders>
              <w:top w:val="single" w:sz="4" w:space="0" w:color="auto"/>
              <w:bottom w:val="single" w:sz="4" w:space="0" w:color="auto"/>
            </w:tcBorders>
          </w:tcPr>
          <w:p>
            <w:pPr>
              <w:pStyle w:val="yTableNAmBold11pt"/>
              <w:ind w:left="-84" w:right="0"/>
              <w:jc w:val="center"/>
            </w:pPr>
            <w:r>
              <w:t>199.50 plus assessment fee of 2.50% of the costs claimed in the application</w:t>
            </w:r>
          </w:p>
        </w:tc>
        <w:tc>
          <w:tcPr>
            <w:tcW w:w="1276" w:type="dxa"/>
            <w:tcBorders>
              <w:top w:val="single" w:sz="4" w:space="0" w:color="auto"/>
              <w:bottom w:val="single" w:sz="4" w:space="0" w:color="auto"/>
            </w:tcBorders>
          </w:tcPr>
          <w:p>
            <w:pPr>
              <w:pStyle w:val="yTableNAmBold11pt"/>
            </w:pPr>
            <w: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pageBreakBefore/>
        <w:spacing w:before="0"/>
      </w:pPr>
      <w:bookmarkStart w:id="28" w:name="_Toc77862240"/>
      <w:r>
        <w:rPr>
          <w:rStyle w:val="CharSectno"/>
        </w:rPr>
        <w:lastRenderedPageBreak/>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lastRenderedPageBreak/>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yTableNAmBold11pt"/>
            </w:pPr>
            <w:r>
              <w:t>758.00</w:t>
            </w:r>
          </w:p>
        </w:tc>
        <w:tc>
          <w:tcPr>
            <w:tcW w:w="1451" w:type="dxa"/>
            <w:tcBorders>
              <w:bottom w:val="nil"/>
            </w:tcBorders>
            <w:noWrap/>
            <w:vAlign w:val="bottom"/>
          </w:tcPr>
          <w:p>
            <w:pPr>
              <w:pStyle w:val="yTableNAmBold11pt"/>
            </w:pPr>
            <w:r>
              <w:t>758.00</w:t>
            </w:r>
          </w:p>
        </w:tc>
        <w:tc>
          <w:tcPr>
            <w:tcW w:w="1242" w:type="dxa"/>
            <w:tcBorders>
              <w:bottom w:val="nil"/>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yTableNAmBold11pt"/>
            </w:pPr>
            <w:r>
              <w:t>693.00</w:t>
            </w:r>
          </w:p>
        </w:tc>
        <w:tc>
          <w:tcPr>
            <w:tcW w:w="1451" w:type="dxa"/>
            <w:tcBorders>
              <w:top w:val="single" w:sz="4" w:space="0" w:color="auto"/>
              <w:bottom w:val="single" w:sz="4" w:space="0" w:color="auto"/>
            </w:tcBorders>
            <w:noWrap/>
            <w:vAlign w:val="bottom"/>
          </w:tcPr>
          <w:p>
            <w:pPr>
              <w:pStyle w:val="yTableNAmBold11pt"/>
            </w:pPr>
            <w:r>
              <w:t>693.00</w:t>
            </w:r>
          </w:p>
        </w:tc>
        <w:tc>
          <w:tcPr>
            <w:tcW w:w="1242" w:type="dxa"/>
            <w:tcBorders>
              <w:top w:val="single" w:sz="4" w:space="0" w:color="auto"/>
              <w:bottom w:val="single" w:sz="4" w:space="0" w:color="auto"/>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yTableNAmBold11pt"/>
              <w:ind w:left="-102" w:right="0"/>
              <w:jc w:val="center"/>
            </w:pPr>
            <w:r>
              <w:t>274.00 plus assessment fee of 2.50% of the costs claimed in the application</w:t>
            </w:r>
          </w:p>
        </w:tc>
        <w:tc>
          <w:tcPr>
            <w:tcW w:w="1451" w:type="dxa"/>
            <w:tcBorders>
              <w:top w:val="single" w:sz="4" w:space="0" w:color="auto"/>
              <w:bottom w:val="single" w:sz="4" w:space="0" w:color="auto"/>
            </w:tcBorders>
            <w:noWrap/>
          </w:tcPr>
          <w:p>
            <w:pPr>
              <w:pStyle w:val="yTableNAmBold11pt"/>
              <w:ind w:left="-111" w:right="0"/>
              <w:jc w:val="center"/>
            </w:pPr>
            <w:r>
              <w:t>274.00 plus assessment fee of 2.50% of the costs claimed in the application</w:t>
            </w:r>
          </w:p>
        </w:tc>
        <w:tc>
          <w:tcPr>
            <w:tcW w:w="1242" w:type="dxa"/>
            <w:tcBorders>
              <w:top w:val="single" w:sz="4" w:space="0" w:color="auto"/>
              <w:bottom w:val="single" w:sz="4" w:space="0" w:color="auto"/>
            </w:tcBorders>
            <w:noWrap/>
          </w:tcPr>
          <w:p>
            <w:pPr>
              <w:pStyle w:val="yTableNAmBold11pt"/>
            </w:pPr>
            <w: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yTableNAmBold11pt"/>
            </w:pPr>
            <w:r>
              <w:t>1 382.00</w:t>
            </w:r>
          </w:p>
        </w:tc>
        <w:tc>
          <w:tcPr>
            <w:tcW w:w="1429" w:type="dxa"/>
            <w:tcBorders>
              <w:bottom w:val="nil"/>
            </w:tcBorders>
            <w:noWrap/>
            <w:vAlign w:val="bottom"/>
          </w:tcPr>
          <w:p>
            <w:pPr>
              <w:pStyle w:val="yTableNAmBold11pt"/>
            </w:pPr>
            <w:r>
              <w:t>1 382.00</w:t>
            </w:r>
          </w:p>
        </w:tc>
        <w:tc>
          <w:tcPr>
            <w:tcW w:w="1264" w:type="dxa"/>
            <w:tcBorders>
              <w:bottom w:val="nil"/>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yTableNAmBold11pt"/>
            </w:pPr>
            <w:r>
              <w:t>897.00</w:t>
            </w:r>
          </w:p>
        </w:tc>
        <w:tc>
          <w:tcPr>
            <w:tcW w:w="1429" w:type="dxa"/>
            <w:tcBorders>
              <w:top w:val="single" w:sz="4" w:space="0" w:color="auto"/>
              <w:bottom w:val="single" w:sz="4" w:space="0" w:color="auto"/>
            </w:tcBorders>
            <w:noWrap/>
            <w:vAlign w:val="bottom"/>
          </w:tcPr>
          <w:p>
            <w:pPr>
              <w:pStyle w:val="yTableNAmBold11pt"/>
            </w:pPr>
            <w:r>
              <w:t>897.00</w:t>
            </w:r>
          </w:p>
        </w:tc>
        <w:tc>
          <w:tcPr>
            <w:tcW w:w="1264" w:type="dxa"/>
            <w:tcBorders>
              <w:top w:val="single" w:sz="4" w:space="0" w:color="auto"/>
              <w:bottom w:val="single" w:sz="4" w:space="0" w:color="auto"/>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429"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264" w:type="dxa"/>
            <w:tcBorders>
              <w:top w:val="single" w:sz="4" w:space="0" w:color="auto"/>
              <w:bottom w:val="single" w:sz="4" w:space="0" w:color="auto"/>
            </w:tcBorders>
            <w:noWrap/>
          </w:tcPr>
          <w:p>
            <w:pPr>
              <w:pStyle w:val="yTableNAmBold11pt"/>
            </w:pPr>
            <w: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w:t>
      </w:r>
    </w:p>
    <w:p>
      <w:pPr>
        <w:pStyle w:val="Heading5"/>
      </w:pPr>
      <w:bookmarkStart w:id="29" w:name="_Toc77862241"/>
      <w:r>
        <w:rPr>
          <w:rStyle w:val="CharSectno"/>
        </w:rPr>
        <w:lastRenderedPageBreak/>
        <w:t>11A</w:t>
      </w:r>
      <w:r>
        <w:t>.</w:t>
      </w:r>
      <w:r>
        <w:tab/>
        <w:t>No fee relating to application under enactment in Sch. 7</w:t>
      </w:r>
      <w:bookmarkEnd w:id="29"/>
    </w:p>
    <w:p>
      <w:pPr>
        <w:pStyle w:val="Subsection"/>
        <w:keepNext/>
      </w:pPr>
      <w:r>
        <w:tab/>
      </w:r>
      <w:r>
        <w:tab/>
        <w:t>A fee is not to be charged in respect of an application made under an enactment listed in Schedule 7 or proceedings in relation to such an application.</w:t>
      </w:r>
    </w:p>
    <w:p>
      <w:pPr>
        <w:pStyle w:val="Footnotesection"/>
        <w:keepNext/>
        <w:spacing w:before="100"/>
        <w:ind w:left="890" w:hanging="890"/>
      </w:pPr>
      <w:r>
        <w:tab/>
        <w:t>[Regulation 11A inserted: Gazette 6 Aug 2013 p. 3652; amended: Gazette 31 Dec 2019 p. 4657; SL 2021/102 r. 4.]</w:t>
      </w:r>
    </w:p>
    <w:p>
      <w:pPr>
        <w:pStyle w:val="Heading5"/>
      </w:pPr>
      <w:bookmarkStart w:id="30" w:name="_Toc77862242"/>
      <w:r>
        <w:rPr>
          <w:rStyle w:val="CharSectno"/>
        </w:rPr>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lastRenderedPageBreak/>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1" w:name="_Toc77862243"/>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lastRenderedPageBreak/>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77862244"/>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77855558"/>
      <w:bookmarkStart w:id="34" w:name="_Toc77856043"/>
      <w:bookmarkStart w:id="35" w:name="_Toc77862245"/>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77862246"/>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77862247"/>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77855561"/>
      <w:bookmarkStart w:id="39" w:name="_Toc77856046"/>
      <w:bookmarkStart w:id="40" w:name="_Toc77862248"/>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77862249"/>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77862250"/>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77862251"/>
      <w:r>
        <w:rPr>
          <w:rStyle w:val="CharSectno"/>
        </w:rPr>
        <w:lastRenderedPageBreak/>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77862252"/>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77855566"/>
      <w:bookmarkStart w:id="46" w:name="_Toc77856051"/>
      <w:bookmarkStart w:id="47" w:name="_Toc77862253"/>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77855567"/>
      <w:bookmarkStart w:id="50" w:name="_Toc77856052"/>
      <w:bookmarkStart w:id="51" w:name="_Toc77862254"/>
      <w:r>
        <w:rPr>
          <w:rStyle w:val="CharSchNo"/>
        </w:rPr>
        <w:lastRenderedPageBreak/>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77855568"/>
      <w:bookmarkStart w:id="53" w:name="_Toc77856053"/>
      <w:bookmarkStart w:id="54" w:name="_Toc77862255"/>
      <w:r>
        <w:rPr>
          <w:rStyle w:val="CharSchNo"/>
        </w:rPr>
        <w:lastRenderedPageBreak/>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55" w:name="_Toc77855569"/>
      <w:bookmarkStart w:id="56" w:name="_Toc77856054"/>
      <w:bookmarkStart w:id="57" w:name="_Toc77862256"/>
      <w:r>
        <w:rPr>
          <w:rStyle w:val="CharSchNo"/>
        </w:rPr>
        <w:lastRenderedPageBreak/>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58" w:name="_Toc77855570"/>
      <w:bookmarkStart w:id="59" w:name="_Toc77856055"/>
      <w:bookmarkStart w:id="60" w:name="_Toc77862257"/>
      <w:r>
        <w:rPr>
          <w:rStyle w:val="CharSchNo"/>
        </w:rPr>
        <w:lastRenderedPageBreak/>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lastRenderedPageBreak/>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w:t>
      </w:r>
    </w:p>
    <w:p>
      <w:pPr>
        <w:pStyle w:val="yScheduleHeading"/>
      </w:pPr>
      <w:bookmarkStart w:id="61" w:name="_Toc77855571"/>
      <w:bookmarkStart w:id="62" w:name="_Toc77856056"/>
      <w:bookmarkStart w:id="63" w:name="_Toc77862258"/>
      <w:r>
        <w:rPr>
          <w:rStyle w:val="CharSchNo"/>
        </w:rPr>
        <w:lastRenderedPageBreak/>
        <w:t>Schedule 7</w:t>
      </w:r>
      <w:r>
        <w:t> — </w:t>
      </w:r>
      <w:r>
        <w:rPr>
          <w:rStyle w:val="CharSchText"/>
        </w:rPr>
        <w:t>Enactment under which application made</w:t>
      </w:r>
      <w:bookmarkEnd w:id="61"/>
      <w:bookmarkEnd w:id="62"/>
      <w:bookmarkEnd w:id="6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64" w:name="_Toc77855455"/>
      <w:bookmarkStart w:id="65" w:name="_Toc77856057"/>
      <w:bookmarkStart w:id="66" w:name="_Toc77862259"/>
      <w:bookmarkStart w:id="67" w:name="_Hlk77855846"/>
      <w:bookmarkStart w:id="68" w:name="_Toc77855572"/>
      <w:r>
        <w:rPr>
          <w:rStyle w:val="CharSchNo"/>
        </w:rPr>
        <w:lastRenderedPageBreak/>
        <w:t>Schedule 20</w:t>
      </w:r>
      <w:r>
        <w:t> — </w:t>
      </w:r>
      <w:r>
        <w:rPr>
          <w:rStyle w:val="CharSchText"/>
        </w:rPr>
        <w:t>Other fees</w:t>
      </w:r>
      <w:bookmarkEnd w:id="64"/>
      <w:bookmarkEnd w:id="65"/>
      <w:bookmarkEnd w:id="66"/>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Bold11pt"/>
              <w:ind w:right="2"/>
              <w:jc w:val="center"/>
              <w:rPr>
                <w:b/>
              </w:rPr>
            </w:pPr>
            <w:r>
              <w:rPr>
                <w:b/>
              </w:rPr>
              <w:t>Item</w:t>
            </w:r>
          </w:p>
        </w:tc>
        <w:tc>
          <w:tcPr>
            <w:tcW w:w="2302" w:type="dxa"/>
            <w:tcBorders>
              <w:left w:val="nil"/>
              <w:bottom w:val="single" w:sz="4" w:space="0" w:color="auto"/>
              <w:right w:val="nil"/>
            </w:tcBorders>
            <w:noWrap/>
          </w:tcPr>
          <w:p>
            <w:pPr>
              <w:pStyle w:val="yTableNAmBold11pt"/>
              <w:ind w:right="2"/>
              <w:jc w:val="center"/>
              <w:rPr>
                <w:b/>
              </w:rPr>
            </w:pPr>
            <w:r>
              <w:rPr>
                <w:b/>
              </w:rPr>
              <w:t>Matter</w:t>
            </w:r>
          </w:p>
        </w:tc>
        <w:tc>
          <w:tcPr>
            <w:tcW w:w="1275" w:type="dxa"/>
            <w:tcBorders>
              <w:left w:val="nil"/>
              <w:bottom w:val="single" w:sz="4" w:space="0" w:color="auto"/>
              <w:right w:val="nil"/>
            </w:tcBorders>
            <w:noWrap/>
          </w:tcPr>
          <w:p>
            <w:pPr>
              <w:pStyle w:val="yTableNAmBold11pt"/>
              <w:ind w:right="2"/>
              <w:jc w:val="center"/>
              <w:rPr>
                <w:b/>
              </w:rPr>
            </w:pPr>
            <w:r>
              <w:rPr>
                <w:b/>
              </w:rPr>
              <w:t>Column A</w:t>
            </w:r>
          </w:p>
          <w:p>
            <w:pPr>
              <w:pStyle w:val="yTableNAmBold11pt"/>
              <w:ind w:right="2"/>
              <w:jc w:val="center"/>
              <w:rPr>
                <w:b/>
              </w:rPr>
            </w:pPr>
            <w:r>
              <w:t>Fee for individual or eligible entity</w:t>
            </w:r>
            <w:r>
              <w:br/>
              <w:t>$</w:t>
            </w:r>
          </w:p>
        </w:tc>
        <w:tc>
          <w:tcPr>
            <w:tcW w:w="1276" w:type="dxa"/>
            <w:tcBorders>
              <w:left w:val="nil"/>
              <w:bottom w:val="single" w:sz="4" w:space="0" w:color="auto"/>
              <w:right w:val="nil"/>
            </w:tcBorders>
            <w:noWrap/>
          </w:tcPr>
          <w:p>
            <w:pPr>
              <w:pStyle w:val="yTableNAmBold11pt"/>
              <w:ind w:right="2"/>
              <w:jc w:val="center"/>
              <w:rPr>
                <w:b/>
              </w:rPr>
            </w:pPr>
            <w:r>
              <w:rPr>
                <w:b/>
              </w:rPr>
              <w:t>Column B</w:t>
            </w:r>
          </w:p>
          <w:p>
            <w:pPr>
              <w:pStyle w:val="yTableNAmBold11pt"/>
              <w:ind w:right="2"/>
              <w:jc w:val="center"/>
              <w:rPr>
                <w:b/>
              </w:rPr>
            </w:pPr>
            <w:r>
              <w:t>Fee for entity</w:t>
            </w:r>
            <w:r>
              <w:br/>
            </w:r>
            <w:r>
              <w:br/>
            </w:r>
            <w:r>
              <w:br/>
              <w:t>$</w:t>
            </w:r>
          </w:p>
        </w:tc>
        <w:tc>
          <w:tcPr>
            <w:tcW w:w="1276" w:type="dxa"/>
            <w:tcBorders>
              <w:left w:val="nil"/>
              <w:bottom w:val="single" w:sz="4" w:space="0" w:color="auto"/>
              <w:right w:val="nil"/>
            </w:tcBorders>
            <w:noWrap/>
          </w:tcPr>
          <w:p>
            <w:pPr>
              <w:pStyle w:val="yTableNAmBold11pt"/>
              <w:ind w:right="2"/>
              <w:jc w:val="center"/>
              <w:rPr>
                <w:b/>
              </w:rPr>
            </w:pPr>
            <w:r>
              <w:rPr>
                <w:b/>
              </w:rPr>
              <w:t>Column C</w:t>
            </w:r>
          </w:p>
          <w:p>
            <w:pPr>
              <w:pStyle w:val="yTableNAmBold11pt"/>
              <w:ind w:right="2"/>
              <w:jc w:val="center"/>
              <w:rPr>
                <w:b/>
              </w:rPr>
            </w:pPr>
            <w:r>
              <w:t>Fee for eligible individual</w:t>
            </w:r>
            <w:r>
              <w:br/>
            </w:r>
            <w:r>
              <w:br/>
              <w:t>$</w:t>
            </w:r>
          </w:p>
        </w:tc>
      </w:tr>
      <w:tr>
        <w:trPr>
          <w:cantSplit/>
          <w:tblHeader/>
        </w:trPr>
        <w:tc>
          <w:tcPr>
            <w:tcW w:w="767" w:type="dxa"/>
            <w:tcBorders>
              <w:top w:val="single" w:sz="4" w:space="0" w:color="auto"/>
              <w:left w:val="nil"/>
              <w:bottom w:val="nil"/>
              <w:right w:val="nil"/>
            </w:tcBorders>
            <w:noWrap/>
          </w:tcPr>
          <w:p>
            <w:pPr>
              <w:pStyle w:val="zyTableNAmBold"/>
              <w:spacing w:before="0"/>
              <w:rPr>
                <w:sz w:val="2"/>
                <w:szCs w:val="2"/>
              </w:rPr>
            </w:pPr>
          </w:p>
        </w:tc>
        <w:tc>
          <w:tcPr>
            <w:tcW w:w="2302" w:type="dxa"/>
            <w:tcBorders>
              <w:top w:val="single" w:sz="4" w:space="0" w:color="auto"/>
              <w:left w:val="nil"/>
              <w:bottom w:val="nil"/>
              <w:right w:val="nil"/>
            </w:tcBorders>
            <w:noWrap/>
          </w:tcPr>
          <w:p>
            <w:pPr>
              <w:pStyle w:val="zyTableNAmBold"/>
              <w:spacing w:before="0"/>
              <w:rPr>
                <w:sz w:val="2"/>
                <w:szCs w:val="2"/>
              </w:rPr>
            </w:pPr>
          </w:p>
        </w:tc>
        <w:tc>
          <w:tcPr>
            <w:tcW w:w="1275"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bookmarkEnd w:id="67"/>
    </w:p>
    <w:bookmarkEnd w:id="6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69" w:name="_Toc77855573"/>
      <w:bookmarkStart w:id="70" w:name="_Toc77856058"/>
      <w:bookmarkStart w:id="71" w:name="_Toc77862260"/>
      <w:r>
        <w:lastRenderedPageBreak/>
        <w:t>Notes</w:t>
      </w:r>
      <w:bookmarkEnd w:id="69"/>
      <w:bookmarkEnd w:id="70"/>
      <w:bookmarkEnd w:id="71"/>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2" w:name="_Toc77862261"/>
      <w:r>
        <w:t>Compilation table</w:t>
      </w:r>
      <w:bookmarkEnd w:id="72"/>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46"/>
        <w:gridCol w:w="28"/>
        <w:gridCol w:w="1248"/>
        <w:gridCol w:w="28"/>
        <w:gridCol w:w="2780"/>
      </w:tblGrid>
      <w:tr>
        <w:trPr>
          <w:cantSplit/>
          <w:tblHeader/>
        </w:trPr>
        <w:tc>
          <w:tcPr>
            <w:tcW w:w="3146"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80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74"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80"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80"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80"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80"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80"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80"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80"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pPr>
            <w:r>
              <w:rPr>
                <w:i/>
                <w:iCs/>
              </w:rPr>
              <w:t>Statutes (Repeals and Minor Amendments) Act 2009</w:t>
            </w:r>
            <w:r>
              <w:t xml:space="preserve"> s. 10 assented to 3 Dec 2009</w:t>
            </w:r>
          </w:p>
        </w:tc>
        <w:tc>
          <w:tcPr>
            <w:tcW w:w="2780"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8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lastRenderedPageBreak/>
              <w:t>State Administrative Tribunal Amendment Regulations 2011</w:t>
            </w:r>
          </w:p>
        </w:tc>
        <w:tc>
          <w:tcPr>
            <w:tcW w:w="1276" w:type="dxa"/>
            <w:gridSpan w:val="2"/>
          </w:tcPr>
          <w:p>
            <w:pPr>
              <w:pStyle w:val="nTable"/>
              <w:spacing w:after="40"/>
            </w:pPr>
            <w:r>
              <w:t>8 Mar 2011 p. 792</w:t>
            </w:r>
            <w:r>
              <w:noBreakHyphen/>
              <w:t>5</w:t>
            </w:r>
          </w:p>
        </w:tc>
        <w:tc>
          <w:tcPr>
            <w:tcW w:w="2780"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80"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80"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80"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80"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80"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80"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80"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80"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lastRenderedPageBreak/>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80"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80"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80"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80"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80"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80"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80"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80"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80"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80"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lastRenderedPageBreak/>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80"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State Administrative Tribunal Amendment Regulations 2018</w:t>
            </w:r>
          </w:p>
        </w:tc>
        <w:tc>
          <w:tcPr>
            <w:tcW w:w="1276" w:type="dxa"/>
            <w:gridSpan w:val="2"/>
            <w:shd w:val="clear" w:color="auto" w:fill="auto"/>
          </w:tcPr>
          <w:p>
            <w:pPr>
              <w:pStyle w:val="nTable"/>
              <w:spacing w:after="40"/>
            </w:pPr>
            <w:r>
              <w:t>26 Jun 2018 p. 2382</w:t>
            </w:r>
            <w:r>
              <w:noBreakHyphen/>
              <w:t>3</w:t>
            </w:r>
          </w:p>
        </w:tc>
        <w:tc>
          <w:tcPr>
            <w:tcW w:w="2780"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Justice Regulations Amendment (Fee Relief) Regulations 2018</w:t>
            </w:r>
            <w:r>
              <w:t xml:space="preserve"> Pt. 7</w:t>
            </w:r>
          </w:p>
        </w:tc>
        <w:tc>
          <w:tcPr>
            <w:tcW w:w="1276" w:type="dxa"/>
            <w:gridSpan w:val="2"/>
            <w:shd w:val="clear" w:color="auto" w:fill="auto"/>
          </w:tcPr>
          <w:p>
            <w:pPr>
              <w:pStyle w:val="nTable"/>
              <w:spacing w:after="40"/>
            </w:pPr>
            <w:r>
              <w:t>20 Jul 2018 p. 2621</w:t>
            </w:r>
            <w:r>
              <w:noBreakHyphen/>
              <w:t>30</w:t>
            </w:r>
          </w:p>
        </w:tc>
        <w:tc>
          <w:tcPr>
            <w:tcW w:w="2780"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2018</w:t>
            </w:r>
          </w:p>
        </w:tc>
        <w:tc>
          <w:tcPr>
            <w:tcW w:w="1276" w:type="dxa"/>
            <w:gridSpan w:val="2"/>
            <w:shd w:val="clear" w:color="auto" w:fill="auto"/>
          </w:tcPr>
          <w:p>
            <w:pPr>
              <w:pStyle w:val="nTable"/>
              <w:spacing w:after="40"/>
            </w:pPr>
            <w:r>
              <w:t>28 Sep 2018 p. 3579</w:t>
            </w:r>
          </w:p>
        </w:tc>
        <w:tc>
          <w:tcPr>
            <w:tcW w:w="2780"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spacing w:after="40"/>
            </w:pPr>
            <w:r>
              <w:t>7 Dec 2018 p. 4667-74</w:t>
            </w:r>
          </w:p>
        </w:tc>
        <w:tc>
          <w:tcPr>
            <w:tcW w:w="2780"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spacing w:after="40"/>
            </w:pPr>
            <w:r>
              <w:t>12 Mar 2019 p. 666</w:t>
            </w:r>
            <w:r>
              <w:noBreakHyphen/>
              <w:t>9</w:t>
            </w:r>
          </w:p>
        </w:tc>
        <w:tc>
          <w:tcPr>
            <w:tcW w:w="2780"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spacing w:after="40"/>
            </w:pPr>
            <w:r>
              <w:t>22 Mar 2019 p. 937</w:t>
            </w:r>
          </w:p>
        </w:tc>
        <w:tc>
          <w:tcPr>
            <w:tcW w:w="2780"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80"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80" w:type="dxa"/>
            <w:shd w:val="clear" w:color="auto" w:fill="auto"/>
          </w:tcPr>
          <w:p>
            <w:pPr>
              <w:pStyle w:val="nTable"/>
              <w:keepNext/>
              <w:spacing w:after="40"/>
            </w:pPr>
            <w:r>
              <w:t>r. 1 and 2: 27 Sep 2019 (see r. 2(a));</w:t>
            </w:r>
            <w:r>
              <w:br/>
              <w:t>Regulations other than r. 1 and 2: 1 Oct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80"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gridSpan w:val="2"/>
            <w:tcBorders>
              <w:top w:val="nil"/>
              <w:bottom w:val="nil"/>
            </w:tcBorders>
            <w:shd w:val="clear" w:color="auto" w:fill="auto"/>
          </w:tcPr>
          <w:p>
            <w:pPr>
              <w:pStyle w:val="nTable"/>
              <w:spacing w:after="40"/>
            </w:pPr>
            <w:r>
              <w:t>31 Dec 2019 p. 4657-60</w:t>
            </w:r>
          </w:p>
        </w:tc>
        <w:tc>
          <w:tcPr>
            <w:tcW w:w="2780"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74" w:type="dxa"/>
            <w:gridSpan w:val="2"/>
            <w:tcBorders>
              <w:top w:val="nil"/>
              <w:bottom w:val="nil"/>
            </w:tcBorders>
            <w:shd w:val="clear" w:color="auto" w:fill="auto"/>
          </w:tcPr>
          <w:p>
            <w:pPr>
              <w:pStyle w:val="nTable"/>
              <w:spacing w:after="40"/>
              <w:rPr>
                <w:i/>
              </w:rPr>
            </w:pPr>
            <w:r>
              <w:rPr>
                <w:i/>
              </w:rPr>
              <w:lastRenderedPageBreak/>
              <w:t>State Administrative Tribunal Amendment Regulations 2020</w:t>
            </w:r>
          </w:p>
        </w:tc>
        <w:tc>
          <w:tcPr>
            <w:tcW w:w="1276" w:type="dxa"/>
            <w:gridSpan w:val="2"/>
            <w:tcBorders>
              <w:top w:val="nil"/>
              <w:bottom w:val="nil"/>
            </w:tcBorders>
            <w:shd w:val="clear" w:color="auto" w:fill="auto"/>
          </w:tcPr>
          <w:p>
            <w:pPr>
              <w:pStyle w:val="nTable"/>
              <w:spacing w:after="40"/>
            </w:pPr>
            <w:r>
              <w:t>SL 2020/23 27 Mar 2020</w:t>
            </w:r>
          </w:p>
        </w:tc>
        <w:tc>
          <w:tcPr>
            <w:tcW w:w="2780"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spacing w:after="40"/>
            </w:pPr>
            <w:r>
              <w:t>SL 2020/124 31 Jul 2020</w:t>
            </w:r>
          </w:p>
        </w:tc>
        <w:tc>
          <w:tcPr>
            <w:tcW w:w="2780" w:type="dxa"/>
            <w:tcBorders>
              <w:top w:val="nil"/>
              <w:bottom w:val="nil"/>
            </w:tcBorders>
            <w:shd w:val="clear" w:color="auto" w:fill="auto"/>
          </w:tcPr>
          <w:p>
            <w:pPr>
              <w:pStyle w:val="nTable"/>
              <w:spacing w:after="40"/>
            </w:pPr>
            <w:r>
              <w:t>1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spacing w:after="40"/>
            </w:pPr>
            <w:r>
              <w:t>SL 2020/136 14 Aug 2020</w:t>
            </w:r>
          </w:p>
        </w:tc>
        <w:tc>
          <w:tcPr>
            <w:tcW w:w="2780"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gridSpan w:val="2"/>
            <w:tcBorders>
              <w:top w:val="nil"/>
              <w:bottom w:val="nil"/>
            </w:tcBorders>
            <w:shd w:val="clear" w:color="auto" w:fill="auto"/>
          </w:tcPr>
          <w:p>
            <w:pPr>
              <w:pStyle w:val="nTable"/>
              <w:spacing w:after="40"/>
            </w:pPr>
            <w:r>
              <w:t>SL 2020/158 21 Sep 2020</w:t>
            </w:r>
          </w:p>
        </w:tc>
        <w:tc>
          <w:tcPr>
            <w:tcW w:w="2780"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2021</w:t>
            </w:r>
          </w:p>
        </w:tc>
        <w:tc>
          <w:tcPr>
            <w:tcW w:w="1276" w:type="dxa"/>
            <w:gridSpan w:val="2"/>
            <w:tcBorders>
              <w:top w:val="nil"/>
              <w:bottom w:val="nil"/>
            </w:tcBorders>
            <w:shd w:val="clear" w:color="auto" w:fill="auto"/>
          </w:tcPr>
          <w:p>
            <w:pPr>
              <w:pStyle w:val="nTable"/>
              <w:spacing w:after="40"/>
            </w:pPr>
            <w:r>
              <w:t>SL 2021/31 26 Mar 2021</w:t>
            </w:r>
          </w:p>
        </w:tc>
        <w:tc>
          <w:tcPr>
            <w:tcW w:w="2780"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2021</w:t>
            </w:r>
            <w:r>
              <w:t xml:space="preserve"> Pt. 10</w:t>
            </w:r>
          </w:p>
        </w:tc>
        <w:tc>
          <w:tcPr>
            <w:tcW w:w="1276" w:type="dxa"/>
            <w:gridSpan w:val="2"/>
            <w:tcBorders>
              <w:top w:val="nil"/>
              <w:bottom w:val="nil"/>
            </w:tcBorders>
            <w:shd w:val="clear" w:color="auto" w:fill="auto"/>
          </w:tcPr>
          <w:p>
            <w:pPr>
              <w:pStyle w:val="nTable"/>
              <w:spacing w:after="40"/>
            </w:pPr>
            <w:r>
              <w:t>SL 2021/101 29 Jun 2021</w:t>
            </w:r>
          </w:p>
        </w:tc>
        <w:tc>
          <w:tcPr>
            <w:tcW w:w="2780" w:type="dxa"/>
            <w:tcBorders>
              <w:top w:val="nil"/>
              <w:bottom w:val="nil"/>
            </w:tcBorders>
            <w:shd w:val="clear" w:color="auto" w:fill="auto"/>
          </w:tcPr>
          <w:p>
            <w:pPr>
              <w:pStyle w:val="nTable"/>
              <w:spacing w:after="40"/>
            </w:pPr>
            <w:r>
              <w:t>1 Jul 2021 (see r. 2(b))</w:t>
            </w:r>
          </w:p>
        </w:tc>
      </w:tr>
      <w:tr>
        <w:tblPrEx>
          <w:tblBorders>
            <w:top w:val="none" w:sz="0" w:space="0" w:color="auto"/>
            <w:bottom w:val="none" w:sz="0" w:space="0" w:color="auto"/>
            <w:insideH w:val="none" w:sz="0" w:space="0" w:color="auto"/>
          </w:tblBorders>
        </w:tblPrEx>
        <w:trPr>
          <w:cantSplit/>
        </w:trPr>
        <w:tc>
          <w:tcPr>
            <w:tcW w:w="3174" w:type="dxa"/>
            <w:gridSpan w:val="2"/>
            <w:tcBorders>
              <w:bottom w:val="single" w:sz="4" w:space="0" w:color="auto"/>
            </w:tcBorders>
            <w:shd w:val="clear" w:color="auto" w:fill="auto"/>
          </w:tcPr>
          <w:p>
            <w:pPr>
              <w:pStyle w:val="nTable"/>
              <w:spacing w:after="40"/>
              <w:rPr>
                <w:i/>
              </w:rPr>
            </w:pPr>
            <w:r>
              <w:rPr>
                <w:i/>
              </w:rPr>
              <w:t>State Administrative Tribunal Amendment Regulations (No. 3) 2021</w:t>
            </w:r>
          </w:p>
        </w:tc>
        <w:tc>
          <w:tcPr>
            <w:tcW w:w="1276" w:type="dxa"/>
            <w:gridSpan w:val="2"/>
            <w:tcBorders>
              <w:bottom w:val="single" w:sz="4" w:space="0" w:color="auto"/>
            </w:tcBorders>
            <w:shd w:val="clear" w:color="auto" w:fill="auto"/>
          </w:tcPr>
          <w:p>
            <w:pPr>
              <w:pStyle w:val="nTable"/>
              <w:spacing w:after="40"/>
            </w:pPr>
            <w:r>
              <w:t>SL 2021/102 29 Jun 2021</w:t>
            </w:r>
          </w:p>
        </w:tc>
        <w:tc>
          <w:tcPr>
            <w:tcW w:w="2780" w:type="dxa"/>
            <w:tcBorders>
              <w:bottom w:val="single" w:sz="4" w:space="0" w:color="auto"/>
            </w:tcBorders>
            <w:shd w:val="clear" w:color="auto" w:fill="auto"/>
          </w:tcPr>
          <w:p>
            <w:pPr>
              <w:pStyle w:val="nTable"/>
              <w:spacing w:after="40"/>
            </w:pPr>
            <w:r>
              <w:t>r. 1 and 2: 29 Jun 2021 (see r. 2(a));</w:t>
            </w:r>
            <w:r>
              <w:br/>
              <w:t>Regulations other than r. 1 and 2: 1 Jul 2021 (see r. 2(b) and SL 2021/83 cl. 2)</w:t>
            </w:r>
          </w:p>
        </w:tc>
      </w:tr>
    </w:tbl>
    <w:p>
      <w:pPr>
        <w:pStyle w:val="nHeading3"/>
      </w:pPr>
      <w:bookmarkStart w:id="73" w:name="_Toc77862262"/>
      <w:r>
        <w:t>Uncommenced provisions table</w:t>
      </w:r>
      <w:bookmarkEnd w:id="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(Swan Valley Planning Scheme) Regulations 2021</w:t>
            </w:r>
            <w:r>
              <w:t xml:space="preserve"> Pt. 3</w:t>
            </w:r>
          </w:p>
        </w:tc>
        <w:tc>
          <w:tcPr>
            <w:tcW w:w="1276" w:type="dxa"/>
          </w:tcPr>
          <w:p>
            <w:pPr>
              <w:pStyle w:val="nTable"/>
              <w:spacing w:after="40"/>
            </w:pPr>
            <w:r>
              <w:t>SL 2021/127</w:t>
            </w:r>
            <w:r>
              <w:br/>
              <w:t>16 Jul 2021</w:t>
            </w:r>
          </w:p>
        </w:tc>
        <w:tc>
          <w:tcPr>
            <w:tcW w:w="2693" w:type="dxa"/>
          </w:tcPr>
          <w:p>
            <w:pPr>
              <w:pStyle w:val="nTable"/>
              <w:spacing w:after="40"/>
            </w:pPr>
            <w:r>
              <w:t>1 Aug 2021 (see r. 2(b) and SL 2021/124 cl. 2)</w:t>
            </w:r>
          </w:p>
        </w:tc>
      </w:tr>
    </w:tbl>
    <w:p>
      <w:pPr>
        <w:pStyle w:val="nHeading3"/>
      </w:pPr>
      <w:bookmarkStart w:id="74" w:name="_Toc77862263"/>
      <w:r>
        <w:t>Other notes</w:t>
      </w:r>
      <w:bookmarkEnd w:id="74"/>
    </w:p>
    <w:p>
      <w:pPr>
        <w:pStyle w:val="nNote"/>
        <w:spacing w:before="160"/>
      </w:pPr>
      <w:r>
        <w:rPr>
          <w:vertAlign w:val="superscript"/>
        </w:rPr>
        <w:t>1</w:t>
      </w:r>
      <w:r>
        <w:rPr>
          <w:vertAlign w:val="superscript"/>
        </w:rPr>
        <w:tab/>
      </w:r>
      <w:r>
        <w:rPr>
          <w:color w:val="000000"/>
        </w:rPr>
        <w:t>1 Jan 2005.</w:t>
      </w:r>
    </w:p>
    <w:p>
      <w:pPr>
        <w:pStyle w:val="nNote"/>
      </w:pPr>
      <w:r>
        <w:rPr>
          <w:vertAlign w:val="superscript"/>
        </w:rPr>
        <w:lastRenderedPageBreak/>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76" w:name="_Toc77855577"/>
      <w:bookmarkStart w:id="77" w:name="_Toc77856062"/>
      <w:bookmarkStart w:id="78" w:name="_Toc77862264"/>
      <w:r>
        <w:rPr>
          <w:sz w:val="28"/>
        </w:rPr>
        <w:lastRenderedPageBreak/>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05-x0-01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05-x0-01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05-x0-01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05-x0-01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05-x0-01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05-x0-01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88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2141124"/>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Bold11pt">
    <w:name w:val="yTableNAm + Bold + 11 pt"/>
    <w:aliases w:val="Centered"/>
    <w:basedOn w:val="zTableNAm"/>
    <w:pPr>
      <w:tabs>
        <w:tab w:val="clear" w:pos="567"/>
      </w:tabs>
      <w:ind w:right="265"/>
      <w:jc w:val="right"/>
    </w:pPr>
    <w:rPr>
      <w:sz w:val="22"/>
      <w:szCs w:val="22"/>
    </w:rPr>
  </w:style>
  <w:style w:type="paragraph" w:customStyle="1" w:styleId="zyTableNAmBold">
    <w:name w:val="zyTableNAm + Bold"/>
    <w:basedOn w:val="zTableNAm"/>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8080A-A2AB-4FCD-A109-055F2A444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8849</Words>
  <Characters>41856</Characters>
  <Application>Microsoft Office Word</Application>
  <DocSecurity>0</DocSecurity>
  <Lines>1819</Lines>
  <Paragraphs>1014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2004 - 05-x0-01</dc:title>
  <dc:subject/>
  <dc:creator/>
  <cp:keywords/>
  <dc:description/>
  <cp:lastModifiedBy>Master Repository Process</cp:lastModifiedBy>
  <cp:revision>4</cp:revision>
  <cp:lastPrinted>2021-03-23T06:07:00Z</cp:lastPrinted>
  <dcterms:created xsi:type="dcterms:W3CDTF">2021-07-22T08:08:00Z</dcterms:created>
  <dcterms:modified xsi:type="dcterms:W3CDTF">2021-07-22T08:08:00Z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16 Jul 2021</vt:lpwstr>
  </property>
  <property fmtid="{D5CDD505-2E9C-101B-9397-08002B2CF9AE}" pid="8" name="Suffix">
    <vt:lpwstr>05-x0-01</vt:lpwstr>
  </property>
  <property fmtid="{D5CDD505-2E9C-101B-9397-08002B2CF9AE}" pid="9" name="CommencementDate">
    <vt:lpwstr>20210716</vt:lpwstr>
  </property>
</Properties>
</file>