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Freedom of Information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Freedom of Information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_Toc77164056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_Toc77164057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Term used: non-personal information</w:t>
      </w:r>
      <w:r>
        <w:tab/>
      </w:r>
      <w:r>
        <w:fldChar w:fldCharType="begin"/>
      </w:r>
      <w:r>
        <w:instrText xml:space="preserve"> PAGEREF _Toc77164058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General provisions relating to charges</w:t>
      </w:r>
      <w:r>
        <w:tab/>
      </w:r>
      <w:r>
        <w:fldChar w:fldCharType="begin"/>
      </w:r>
      <w:r>
        <w:instrText xml:space="preserve"> PAGEREF _Toc77164059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fee (section 12(1)(e))</w:t>
      </w:r>
      <w:r>
        <w:tab/>
      </w:r>
      <w:r>
        <w:fldChar w:fldCharType="begin"/>
      </w:r>
      <w:r>
        <w:instrText xml:space="preserve"> PAGEREF _Toc77164060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(section 16(1))</w:t>
      </w:r>
      <w:r>
        <w:tab/>
      </w:r>
      <w:r>
        <w:fldChar w:fldCharType="begin"/>
      </w:r>
      <w:r>
        <w:instrText xml:space="preserve"> PAGEREF _Toc77164061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Advance deposits (section 18(1) and (4))</w:t>
      </w:r>
      <w:r>
        <w:tab/>
      </w:r>
      <w:r>
        <w:fldChar w:fldCharType="begin"/>
      </w:r>
      <w:r>
        <w:instrText xml:space="preserve"> PAGEREF _Toc77164062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used: suitably qualified person (section 28)</w:t>
      </w:r>
      <w:r>
        <w:tab/>
      </w:r>
      <w:r>
        <w:fldChar w:fldCharType="begin"/>
      </w:r>
      <w:r>
        <w:instrText xml:space="preserve"> PAGEREF _Toc77164063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Information or details to be included in complaint (section 66(1)(d))</w:t>
      </w:r>
      <w:r>
        <w:tab/>
      </w:r>
      <w:r>
        <w:fldChar w:fldCharType="begin"/>
      </w:r>
      <w:r>
        <w:instrText xml:space="preserve"> PAGEREF _Toc77164064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Prescribed personal details (Act Schedule 1 clause 3)</w:t>
      </w:r>
      <w:r>
        <w:tab/>
      </w:r>
      <w:r>
        <w:fldChar w:fldCharType="begin"/>
      </w:r>
      <w:r>
        <w:instrText xml:space="preserve"> PAGEREF _Toc77164065 \h </w:instrText>
      </w:r>
      <w:r>
        <w:fldChar w:fldCharType="separate"/>
      </w:r>
      <w:r>
        <w:t>3</w:t>
      </w:r>
      <w:r>
        <w:fldChar w:fldCharType="end"/>
      </w:r>
    </w:p>
    <w:p>
      <w:pPr>
        <w:pStyle w:val="TOC8"/>
        <w:rPr>
          <w:rFonts w:asciiTheme="minorHAnsi" w:eastAsiaTheme="minorEastAsia" w:hAnsiTheme="minorHAnsi" w:cstheme="minorBidi"/>
          <w:szCs w:val="22"/>
        </w:rPr>
      </w:pPr>
      <w:r>
        <w:t>9A.</w:t>
      </w:r>
      <w:r>
        <w:tab/>
        <w:t>Principal officer of health service provider</w:t>
      </w:r>
      <w:r>
        <w:tab/>
      </w:r>
      <w:r>
        <w:fldChar w:fldCharType="begin"/>
      </w:r>
      <w:r>
        <w:instrText xml:space="preserve"> PAGEREF _Toc77164066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Specified bodies etc. to be regarded as part of other agencies</w:t>
      </w:r>
      <w:r>
        <w:tab/>
      </w:r>
      <w:r>
        <w:fldChar w:fldCharType="begin"/>
      </w:r>
      <w:r>
        <w:instrText xml:space="preserve"> PAGEREF _Toc77164067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Offices and bodies to be regarded as part of other agencies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_Toc77164071 \h </w:instrText>
      </w:r>
      <w:r>
        <w:fldChar w:fldCharType="separate"/>
      </w:r>
      <w:r>
        <w:t>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_Toc77164072 \h </w:instrText>
      </w:r>
      <w:r>
        <w:fldChar w:fldCharType="separate"/>
      </w:r>
      <w:r>
        <w:t>20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_Toc77164073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3" w:name="_Toc77164056"/>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4" w:name="_Toc77164057"/>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5" w:name="_Toc77164058"/>
      <w:r>
        <w:rPr>
          <w:rStyle w:val="CharSectno"/>
        </w:rPr>
        <w:t>2A</w:t>
      </w:r>
      <w:r>
        <w:rPr>
          <w:snapToGrid w:val="0"/>
        </w:rPr>
        <w:t>.</w:t>
      </w:r>
      <w:r>
        <w:rPr>
          <w:snapToGrid w:val="0"/>
        </w:rPr>
        <w:tab/>
        <w:t>Term used: non-personal information</w:t>
      </w:r>
      <w:bookmarkEnd w:id="5"/>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6" w:name="_Toc77164059"/>
      <w:r>
        <w:rPr>
          <w:rStyle w:val="CharSectno"/>
        </w:rPr>
        <w:t>3</w:t>
      </w:r>
      <w:r>
        <w:rPr>
          <w:snapToGrid w:val="0"/>
        </w:rPr>
        <w:t>.</w:t>
      </w:r>
      <w:r>
        <w:rPr>
          <w:snapToGrid w:val="0"/>
        </w:rPr>
        <w:tab/>
        <w:t>General provisions relating to charges</w:t>
      </w:r>
      <w:bookmarkEnd w:id="6"/>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7" w:name="_Toc77164060"/>
      <w:r>
        <w:rPr>
          <w:rStyle w:val="CharSectno"/>
        </w:rPr>
        <w:lastRenderedPageBreak/>
        <w:t>4</w:t>
      </w:r>
      <w:r>
        <w:rPr>
          <w:snapToGrid w:val="0"/>
        </w:rPr>
        <w:t>.</w:t>
      </w:r>
      <w:r>
        <w:rPr>
          <w:snapToGrid w:val="0"/>
        </w:rPr>
        <w:tab/>
        <w:t>Application fee (section 12(1)(e))</w:t>
      </w:r>
      <w:bookmarkEnd w:id="7"/>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8" w:name="_Toc77164061"/>
      <w:r>
        <w:rPr>
          <w:rStyle w:val="CharSectno"/>
        </w:rPr>
        <w:t>5</w:t>
      </w:r>
      <w:r>
        <w:rPr>
          <w:snapToGrid w:val="0"/>
        </w:rPr>
        <w:t>.</w:t>
      </w:r>
      <w:r>
        <w:rPr>
          <w:snapToGrid w:val="0"/>
        </w:rPr>
        <w:tab/>
        <w:t>Charges (section 16(1))</w:t>
      </w:r>
      <w:bookmarkEnd w:id="8"/>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9" w:name="_Toc77164062"/>
      <w:r>
        <w:rPr>
          <w:rStyle w:val="CharSectno"/>
        </w:rPr>
        <w:t>6</w:t>
      </w:r>
      <w:r>
        <w:rPr>
          <w:snapToGrid w:val="0"/>
        </w:rPr>
        <w:t>.</w:t>
      </w:r>
      <w:r>
        <w:rPr>
          <w:snapToGrid w:val="0"/>
        </w:rPr>
        <w:tab/>
        <w:t>Advance deposits (section 18(1) and (4))</w:t>
      </w:r>
      <w:bookmarkEnd w:id="9"/>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0" w:name="_Toc77164063"/>
      <w:r>
        <w:rPr>
          <w:rStyle w:val="CharSectno"/>
        </w:rPr>
        <w:t>7</w:t>
      </w:r>
      <w:r>
        <w:rPr>
          <w:snapToGrid w:val="0"/>
        </w:rPr>
        <w:t>.</w:t>
      </w:r>
      <w:r>
        <w:rPr>
          <w:snapToGrid w:val="0"/>
        </w:rPr>
        <w:tab/>
        <w:t>Term used: suitably qualified person (section 28)</w:t>
      </w:r>
      <w:bookmarkEnd w:id="10"/>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1" w:name="_Toc77164064"/>
      <w:r>
        <w:rPr>
          <w:rStyle w:val="CharSectno"/>
        </w:rPr>
        <w:t>8</w:t>
      </w:r>
      <w:r>
        <w:rPr>
          <w:snapToGrid w:val="0"/>
        </w:rPr>
        <w:t>.</w:t>
      </w:r>
      <w:r>
        <w:rPr>
          <w:snapToGrid w:val="0"/>
        </w:rPr>
        <w:tab/>
        <w:t>Information or details to be included in complaint (section 66(1)(d))</w:t>
      </w:r>
      <w:bookmarkEnd w:id="11"/>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w:t>
      </w:r>
      <w:r>
        <w:rPr>
          <w:snapToGrid w:val="0"/>
        </w:rPr>
        <w:lastRenderedPageBreak/>
        <w:t>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12" w:name="_Toc77164065"/>
      <w:r>
        <w:rPr>
          <w:rStyle w:val="CharSectno"/>
        </w:rPr>
        <w:t>9</w:t>
      </w:r>
      <w:r>
        <w:rPr>
          <w:snapToGrid w:val="0"/>
        </w:rPr>
        <w:t>.</w:t>
      </w:r>
      <w:r>
        <w:rPr>
          <w:snapToGrid w:val="0"/>
        </w:rPr>
        <w:tab/>
        <w:t>Prescribed personal details (Act Schedule 1 clause 3)</w:t>
      </w:r>
      <w:bookmarkEnd w:id="12"/>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 xml:space="preserve">the functions and duties of the position or the details of the services to be provided under the contract, as </w:t>
      </w:r>
      <w:r>
        <w:rPr>
          <w:snapToGrid w:val="0"/>
        </w:rPr>
        <w:lastRenderedPageBreak/>
        <w:t>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13" w:name="_Toc77164066"/>
      <w:r>
        <w:rPr>
          <w:rStyle w:val="CharSectno"/>
        </w:rPr>
        <w:t>9A</w:t>
      </w:r>
      <w:r>
        <w:t>.</w:t>
      </w:r>
      <w:r>
        <w:tab/>
        <w:t>Principal officer of health service provider</w:t>
      </w:r>
      <w:bookmarkEnd w:id="13"/>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14" w:name="_Toc77164067"/>
      <w:r>
        <w:rPr>
          <w:rStyle w:val="CharSectno"/>
        </w:rPr>
        <w:t>10</w:t>
      </w:r>
      <w:r>
        <w:rPr>
          <w:snapToGrid w:val="0"/>
        </w:rPr>
        <w:t>.</w:t>
      </w:r>
      <w:r>
        <w:rPr>
          <w:snapToGrid w:val="0"/>
        </w:rPr>
        <w:tab/>
        <w:t>Specified bodies etc. to be regarded as part of other agencies</w:t>
      </w:r>
      <w:bookmarkEnd w:id="14"/>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77152946"/>
      <w:bookmarkStart w:id="16" w:name="_Toc77153811"/>
      <w:bookmarkStart w:id="17" w:name="_Toc77153856"/>
      <w:bookmarkStart w:id="18" w:name="_Toc77164068"/>
      <w:r>
        <w:rPr>
          <w:rStyle w:val="CharSchNo"/>
        </w:rPr>
        <w:lastRenderedPageBreak/>
        <w:t>Schedule 1</w:t>
      </w:r>
      <w:bookmarkEnd w:id="15"/>
      <w:bookmarkEnd w:id="16"/>
      <w:bookmarkEnd w:id="17"/>
      <w:bookmarkEnd w:id="18"/>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lastRenderedPageBreak/>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19" w:name="_Toc77152947"/>
      <w:bookmarkStart w:id="20" w:name="_Toc77153812"/>
      <w:bookmarkStart w:id="21" w:name="_Toc77153857"/>
      <w:bookmarkStart w:id="22" w:name="_Toc77164069"/>
      <w:r>
        <w:rPr>
          <w:rStyle w:val="CharSchNo"/>
        </w:rPr>
        <w:lastRenderedPageBreak/>
        <w:t>Schedule 2</w:t>
      </w:r>
      <w:r>
        <w:t> — </w:t>
      </w:r>
      <w:r>
        <w:rPr>
          <w:rStyle w:val="CharSchText"/>
        </w:rPr>
        <w:t>Offices and bodies to be regarded as part of other agencies</w:t>
      </w:r>
      <w:bookmarkEnd w:id="19"/>
      <w:bookmarkEnd w:id="20"/>
      <w:bookmarkEnd w:id="21"/>
      <w:bookmarkEnd w:id="22"/>
    </w:p>
    <w:p>
      <w:pPr>
        <w:pStyle w:val="yShoulderClause"/>
      </w:pPr>
      <w:r>
        <w:t>[r. 10]</w:t>
      </w:r>
    </w:p>
    <w:p>
      <w:pPr>
        <w:pStyle w:val="yFootnoteheading"/>
        <w:spacing w:after="80"/>
      </w:pPr>
      <w:r>
        <w:rPr>
          <w:snapToGrid w:val="0"/>
        </w:rPr>
        <w:tab/>
        <w:t>[Heading inserted: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trPr>
          <w:tblHeader/>
        </w:trPr>
        <w:tc>
          <w:tcPr>
            <w:tcW w:w="1894"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894"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894" w:type="dxa"/>
            <w:vMerge/>
          </w:tcPr>
          <w:p>
            <w:pPr>
              <w:pStyle w:val="zytable"/>
              <w:keepNext/>
              <w:keepLines/>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894" w:type="dxa"/>
            <w:vMerge w:val="restart"/>
          </w:tcPr>
          <w:p>
            <w:pPr>
              <w:pStyle w:val="yTable"/>
            </w:pPr>
            <w:r>
              <w:rPr>
                <w:sz w:val="20"/>
              </w:rPr>
              <w:t>Department for Communities</w:t>
            </w:r>
            <w:r>
              <w:rPr>
                <w:sz w:val="20"/>
                <w:vertAlign w:val="superscript"/>
              </w:rPr>
              <w:t> 3</w:t>
            </w:r>
          </w:p>
        </w:tc>
        <w:tc>
          <w:tcPr>
            <w:tcW w:w="5194" w:type="dxa"/>
          </w:tcPr>
          <w:p>
            <w:pPr>
              <w:pStyle w:val="yTable"/>
              <w:ind w:left="209" w:hanging="209"/>
            </w:pPr>
            <w:r>
              <w:rPr>
                <w:sz w:val="20"/>
              </w:rPr>
              <w:t>Care for Children and Young People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Office for Children and Youth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894" w:type="dxa"/>
            <w:vMerge w:val="restart"/>
          </w:tcPr>
          <w:p>
            <w:pPr>
              <w:pStyle w:val="yTable"/>
              <w:rPr>
                <w:rFonts w:eastAsia="Arial Unicode MS"/>
              </w:rPr>
            </w:pPr>
            <w:r>
              <w:rPr>
                <w:sz w:val="20"/>
              </w:rPr>
              <w:t>Department for Planning and Infrastructure</w:t>
            </w:r>
            <w:r>
              <w:rPr>
                <w:sz w:val="20"/>
                <w:vertAlign w:val="superscript"/>
              </w:rPr>
              <w:t> 4</w:t>
            </w:r>
          </w:p>
        </w:tc>
        <w:tc>
          <w:tcPr>
            <w:tcW w:w="5194" w:type="dxa"/>
          </w:tcPr>
          <w:p>
            <w:pPr>
              <w:pStyle w:val="yTable"/>
              <w:ind w:left="210" w:hanging="210"/>
              <w:rPr>
                <w:rFonts w:eastAsia="Arial Unicode MS"/>
              </w:rPr>
            </w:pPr>
            <w:r>
              <w:rPr>
                <w:sz w:val="20"/>
              </w:rPr>
              <w:t>Araluen Botanic Park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Valley Planning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Planning Commission</w:t>
            </w:r>
          </w:p>
        </w:tc>
      </w:tr>
      <w:tr>
        <w:trPr>
          <w:cantSplit/>
        </w:trPr>
        <w:tc>
          <w:tcPr>
            <w:tcW w:w="1894"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Produce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Lake Grace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Upper Gascoyne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Wooroloo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York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Board of Examiners (Coal Mining)</w:t>
            </w:r>
          </w:p>
        </w:tc>
      </w:tr>
      <w:tr>
        <w:trPr>
          <w:cantSplit/>
        </w:trPr>
        <w:tc>
          <w:tcPr>
            <w:tcW w:w="1894" w:type="dxa"/>
            <w:vMerge w:val="restart"/>
          </w:tcPr>
          <w:p>
            <w:pPr>
              <w:pStyle w:val="yTable"/>
              <w:rPr>
                <w:sz w:val="20"/>
              </w:rPr>
            </w:pPr>
            <w:r>
              <w:rPr>
                <w:sz w:val="20"/>
              </w:rPr>
              <w:t>Department of Consumer and Employment Protection</w:t>
            </w:r>
            <w:r>
              <w:rPr>
                <w:sz w:val="20"/>
                <w:vertAlign w:val="superscript"/>
              </w:rPr>
              <w:t> 5</w:t>
            </w:r>
            <w:r>
              <w:rPr>
                <w:sz w:val="20"/>
              </w:rPr>
              <w:t xml:space="preserve"> </w:t>
            </w:r>
          </w:p>
        </w:tc>
        <w:tc>
          <w:tcPr>
            <w:tcW w:w="5194" w:type="dxa"/>
          </w:tcPr>
          <w:p>
            <w:pPr>
              <w:pStyle w:val="yTable"/>
              <w:ind w:left="209" w:hanging="209"/>
              <w:rPr>
                <w:sz w:val="20"/>
              </w:rPr>
            </w:pPr>
            <w:r>
              <w:rPr>
                <w:sz w:val="20"/>
              </w:rPr>
              <w:t>Board of Examiners (Mine Managers and Underground Supervisors)</w:t>
            </w:r>
          </w:p>
        </w:tc>
      </w:tr>
      <w:tr>
        <w:trPr>
          <w:cantSplit/>
        </w:trPr>
        <w:tc>
          <w:tcPr>
            <w:tcW w:w="1894" w:type="dxa"/>
            <w:vMerge/>
          </w:tcPr>
          <w:p>
            <w:pPr>
              <w:pStyle w:val="yTable"/>
            </w:pPr>
          </w:p>
        </w:tc>
        <w:tc>
          <w:tcPr>
            <w:tcW w:w="5194" w:type="dxa"/>
          </w:tcPr>
          <w:p>
            <w:pPr>
              <w:pStyle w:val="yTable"/>
              <w:ind w:left="209" w:hanging="209"/>
            </w:pPr>
            <w:r>
              <w:rPr>
                <w:sz w:val="20"/>
              </w:rPr>
              <w:t>Board of Examiners (Quarry Managers)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Charitable Collections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Coal Industry Tribunal of Western Australia</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Commission for Occupational Safety and Health</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Consumer Products Safety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Electrical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Land Valuers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Mines Survey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Motor Vehicle Industry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Plumbers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WorkSafe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Prison Officers Appeal Tribunal</w:t>
            </w:r>
          </w:p>
        </w:tc>
      </w:tr>
      <w:tr>
        <w:tc>
          <w:tcPr>
            <w:tcW w:w="1894"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 xml:space="preserve">Art Gallery Board of Western Australia </w:t>
            </w:r>
          </w:p>
        </w:tc>
      </w:tr>
      <w:tr>
        <w:trPr>
          <w:cantSplit/>
        </w:trPr>
        <w:tc>
          <w:tcPr>
            <w:tcW w:w="1894"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Art Gallery Foundation</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Art Gallery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Library Board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State Library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napToGrid w:val="0"/>
                <w:sz w:val="20"/>
              </w:rPr>
              <w:t>Country High School Hostels Authority</w:t>
            </w:r>
          </w:p>
        </w:tc>
      </w:tr>
      <w:tr>
        <w:trPr>
          <w:cantSplit/>
        </w:trPr>
        <w:tc>
          <w:tcPr>
            <w:tcW w:w="1894" w:type="dxa"/>
            <w:vMerge w:val="restart"/>
          </w:tcPr>
          <w:p>
            <w:pPr>
              <w:pStyle w:val="yTableNAm"/>
              <w:keepLines/>
              <w:widowControl w:val="0"/>
              <w:spacing w:before="60"/>
              <w:rPr>
                <w:sz w:val="20"/>
              </w:rPr>
            </w:pPr>
            <w:r>
              <w:rPr>
                <w:sz w:val="20"/>
              </w:rPr>
              <w:t>Department of Education</w:t>
            </w:r>
          </w:p>
        </w:tc>
        <w:tc>
          <w:tcPr>
            <w:tcW w:w="5194" w:type="dxa"/>
          </w:tcPr>
          <w:p>
            <w:pPr>
              <w:pStyle w:val="yTableNAm"/>
              <w:keepLines/>
              <w:widowControl w:val="0"/>
              <w:spacing w:before="60"/>
              <w:rPr>
                <w:snapToGrid w:val="0"/>
                <w:sz w:val="20"/>
              </w:rPr>
            </w:pPr>
            <w:r>
              <w:rPr>
                <w:snapToGrid w:val="0"/>
                <w:sz w:val="20"/>
              </w:rPr>
              <w:t>Trustees of Public Education Endowment</w:t>
            </w:r>
          </w:p>
        </w:tc>
      </w:tr>
      <w:tr>
        <w:trPr>
          <w:cantSplit/>
        </w:trPr>
        <w:tc>
          <w:tcPr>
            <w:tcW w:w="1894" w:type="dxa"/>
            <w:vMerge/>
          </w:tcPr>
          <w:p>
            <w:pPr>
              <w:pStyle w:val="yTableNAm"/>
              <w:keepLines/>
              <w:widowControl w:val="0"/>
              <w:spacing w:before="60"/>
            </w:pPr>
          </w:p>
        </w:tc>
        <w:tc>
          <w:tcPr>
            <w:tcW w:w="5194" w:type="dxa"/>
          </w:tcPr>
          <w:p>
            <w:pPr>
              <w:pStyle w:val="yTableNAm"/>
              <w:keepLines/>
              <w:widowControl w:val="0"/>
              <w:spacing w:before="60"/>
              <w:rPr>
                <w:rFonts w:eastAsia="Arial Unicode MS"/>
                <w:i/>
              </w:rPr>
            </w:pPr>
            <w:r>
              <w:rPr>
                <w:sz w:val="20"/>
              </w:rPr>
              <w:t>Aboriginal Education and Training Council</w:t>
            </w:r>
          </w:p>
        </w:tc>
      </w:tr>
      <w:tr>
        <w:trPr>
          <w:cantSplit/>
        </w:trPr>
        <w:tc>
          <w:tcPr>
            <w:tcW w:w="1894" w:type="dxa"/>
            <w:vMerge w:val="restart"/>
          </w:tcPr>
          <w:p>
            <w:pPr>
              <w:pStyle w:val="yTableNAm"/>
              <w:keepNext/>
              <w:keepLines/>
              <w:spacing w:before="60"/>
              <w:rPr>
                <w:sz w:val="20"/>
              </w:rPr>
            </w:pPr>
            <w:r>
              <w:rPr>
                <w:sz w:val="20"/>
              </w:rPr>
              <w:lastRenderedPageBreak/>
              <w:t>Department of Education Services</w:t>
            </w:r>
          </w:p>
        </w:tc>
        <w:tc>
          <w:tcPr>
            <w:tcW w:w="5194" w:type="dxa"/>
          </w:tcPr>
          <w:p>
            <w:pPr>
              <w:pStyle w:val="yTableNAm"/>
              <w:keepNext/>
              <w:keepLines/>
              <w:spacing w:before="60"/>
              <w:rPr>
                <w:sz w:val="20"/>
              </w:rPr>
            </w:pPr>
            <w:r>
              <w:rPr>
                <w:sz w:val="20"/>
              </w:rPr>
              <w:t>Non</w:t>
            </w:r>
            <w:r>
              <w:rPr>
                <w:sz w:val="20"/>
              </w:rPr>
              <w:noBreakHyphen/>
              <w:t>Government Schools Planning Advisory Committee</w:t>
            </w:r>
          </w:p>
        </w:tc>
      </w:tr>
      <w:tr>
        <w:trPr>
          <w:cantSplit/>
        </w:trPr>
        <w:tc>
          <w:tcPr>
            <w:tcW w:w="1894" w:type="dxa"/>
            <w:vMerge/>
          </w:tcPr>
          <w:p>
            <w:pPr>
              <w:pStyle w:val="yTableNAm"/>
              <w:spacing w:before="60"/>
            </w:pPr>
          </w:p>
        </w:tc>
        <w:tc>
          <w:tcPr>
            <w:tcW w:w="5194" w:type="dxa"/>
          </w:tcPr>
          <w:p>
            <w:pPr>
              <w:pStyle w:val="yTableNAm"/>
              <w:spacing w:before="60"/>
            </w:pPr>
            <w:r>
              <w:rPr>
                <w:sz w:val="20"/>
              </w:rPr>
              <w:t>Rural and Remote Education Advisory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Teacher Registration Board of Western Australia</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Training Accreditation Council</w:t>
            </w:r>
          </w:p>
        </w:tc>
      </w:tr>
      <w:tr>
        <w:trPr>
          <w:cantSplit/>
        </w:trPr>
        <w:tc>
          <w:tcPr>
            <w:tcW w:w="1894" w:type="dxa"/>
            <w:vMerge/>
          </w:tcPr>
          <w:p>
            <w:pPr>
              <w:pStyle w:val="zyTableNAm"/>
              <w:spacing w:before="60"/>
              <w:rPr>
                <w:sz w:val="20"/>
              </w:rPr>
            </w:pPr>
          </w:p>
        </w:tc>
        <w:tc>
          <w:tcPr>
            <w:tcW w:w="5194" w:type="dxa"/>
          </w:tcPr>
          <w:p>
            <w:pPr>
              <w:pStyle w:val="yTableNAm"/>
              <w:spacing w:before="60"/>
              <w:rPr>
                <w:sz w:val="20"/>
              </w:rPr>
            </w:pPr>
            <w:r>
              <w:rPr>
                <w:sz w:val="20"/>
              </w:rPr>
              <w:t>Western Australian Higher Education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Cockburn Sound Management Council</w:t>
            </w:r>
          </w:p>
        </w:tc>
      </w:tr>
      <w:tr>
        <w:trPr>
          <w:cantSplit/>
        </w:trPr>
        <w:tc>
          <w:tcPr>
            <w:tcW w:w="1894" w:type="dxa"/>
            <w:vMerge w:val="restart"/>
          </w:tcPr>
          <w:p>
            <w:pPr>
              <w:pStyle w:val="yTable"/>
              <w:rPr>
                <w:sz w:val="20"/>
              </w:rPr>
            </w:pPr>
            <w:r>
              <w:rPr>
                <w:sz w:val="20"/>
              </w:rPr>
              <w:t>Department of Environment Regulation</w:t>
            </w:r>
          </w:p>
        </w:tc>
        <w:tc>
          <w:tcPr>
            <w:tcW w:w="5194" w:type="dxa"/>
          </w:tcPr>
          <w:p>
            <w:pPr>
              <w:pStyle w:val="yTable"/>
              <w:tabs>
                <w:tab w:val="right" w:pos="2765"/>
                <w:tab w:val="left" w:pos="3053"/>
              </w:tabs>
              <w:ind w:left="209" w:hanging="209"/>
              <w:rPr>
                <w:sz w:val="20"/>
              </w:rPr>
            </w:pPr>
            <w:r>
              <w:rPr>
                <w:sz w:val="20"/>
              </w:rPr>
              <w:t>Contaminated Sites Committee</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Keep Australia Beautiful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Waste Authority</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Abrolhos Islands Management Advisory Committee</w:t>
            </w:r>
          </w:p>
        </w:tc>
      </w:tr>
      <w:tr>
        <w:trPr>
          <w:cantSplit/>
        </w:trPr>
        <w:tc>
          <w:tcPr>
            <w:tcW w:w="1894" w:type="dxa"/>
            <w:vMerge w:val="restart"/>
          </w:tcPr>
          <w:p>
            <w:pPr>
              <w:pStyle w:val="yTable"/>
              <w:rPr>
                <w:sz w:val="20"/>
              </w:rPr>
            </w:pPr>
            <w:r>
              <w:rPr>
                <w:sz w:val="20"/>
              </w:rPr>
              <w:t xml:space="preserve">Department of Fisheries </w:t>
            </w:r>
          </w:p>
        </w:tc>
        <w:tc>
          <w:tcPr>
            <w:tcW w:w="5194" w:type="dxa"/>
          </w:tcPr>
          <w:p>
            <w:pPr>
              <w:pStyle w:val="yTable"/>
              <w:ind w:left="209" w:hanging="209"/>
              <w:rPr>
                <w:sz w:val="20"/>
              </w:rPr>
            </w:pPr>
            <w:r>
              <w:rPr>
                <w:sz w:val="20"/>
              </w:rPr>
              <w:t>Aquaculture Development Council</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Pearling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Aged Care Advisory Panel</w:t>
            </w:r>
          </w:p>
        </w:tc>
      </w:tr>
      <w:tr>
        <w:trPr>
          <w:cantSplit/>
        </w:trPr>
        <w:tc>
          <w:tcPr>
            <w:tcW w:w="1894" w:type="dxa"/>
            <w:vMerge w:val="restart"/>
          </w:tcPr>
          <w:p>
            <w:pPr>
              <w:pStyle w:val="yTable"/>
              <w:rPr>
                <w:sz w:val="20"/>
              </w:rPr>
            </w:pPr>
            <w:r>
              <w:rPr>
                <w:sz w:val="20"/>
              </w:rPr>
              <w:t>Department of Health</w:t>
            </w:r>
          </w:p>
        </w:tc>
        <w:tc>
          <w:tcPr>
            <w:tcW w:w="5194" w:type="dxa"/>
          </w:tcPr>
          <w:p>
            <w:pPr>
              <w:pStyle w:val="yTable"/>
              <w:ind w:left="209" w:hanging="209"/>
              <w:rPr>
                <w:sz w:val="20"/>
              </w:rPr>
            </w:pPr>
            <w:r>
              <w:rPr>
                <w:sz w:val="20"/>
              </w:rPr>
              <w:t>Anaesthetic Morality Committee</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Aboriginal Housing and Infrastructure Council</w:t>
            </w:r>
          </w:p>
        </w:tc>
      </w:tr>
      <w:tr>
        <w:trPr>
          <w:cantSplit/>
        </w:trPr>
        <w:tc>
          <w:tcPr>
            <w:tcW w:w="1894" w:type="dxa"/>
            <w:vMerge w:val="restart"/>
          </w:tcPr>
          <w:p>
            <w:pPr>
              <w:pStyle w:val="yTable"/>
              <w:keepNext/>
              <w:keepLines/>
              <w:rPr>
                <w:sz w:val="20"/>
              </w:rPr>
            </w:pPr>
            <w:r>
              <w:rPr>
                <w:sz w:val="20"/>
              </w:rPr>
              <w:t>Department of Housing and Works </w:t>
            </w:r>
            <w:r>
              <w:rPr>
                <w:sz w:val="20"/>
                <w:vertAlign w:val="superscript"/>
              </w:rPr>
              <w:t>7</w:t>
            </w:r>
          </w:p>
        </w:tc>
        <w:tc>
          <w:tcPr>
            <w:tcW w:w="5194" w:type="dxa"/>
          </w:tcPr>
          <w:p>
            <w:pPr>
              <w:pStyle w:val="yTable"/>
              <w:keepNext/>
              <w:keepLines/>
              <w:ind w:left="209" w:hanging="209"/>
              <w:rPr>
                <w:sz w:val="20"/>
              </w:rPr>
            </w:pPr>
            <w:r>
              <w:rPr>
                <w:sz w:val="20"/>
              </w:rPr>
              <w:t>Architects Board of Western Australia</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Municipal Building Surveyors Qualifications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Building Management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Aboriginal Cultural Material Committee</w:t>
            </w:r>
          </w:p>
        </w:tc>
      </w:tr>
      <w:tr>
        <w:trPr>
          <w:cantSplit/>
        </w:trPr>
        <w:tc>
          <w:tcPr>
            <w:tcW w:w="1894" w:type="dxa"/>
            <w:vMerge w:val="restart"/>
          </w:tcPr>
          <w:p>
            <w:pPr>
              <w:pStyle w:val="yTable"/>
              <w:rPr>
                <w:sz w:val="20"/>
              </w:rPr>
            </w:pPr>
            <w:r>
              <w:rPr>
                <w:sz w:val="20"/>
              </w:rPr>
              <w:t>Department of Indigenous Affairs</w:t>
            </w:r>
            <w:r>
              <w:rPr>
                <w:sz w:val="20"/>
                <w:vertAlign w:val="superscript"/>
              </w:rPr>
              <w:t> 8</w:t>
            </w:r>
          </w:p>
        </w:tc>
        <w:tc>
          <w:tcPr>
            <w:tcW w:w="5194" w:type="dxa"/>
          </w:tcPr>
          <w:p>
            <w:pPr>
              <w:pStyle w:val="yTable"/>
              <w:ind w:left="209" w:hanging="209"/>
              <w:rPr>
                <w:sz w:val="20"/>
              </w:rPr>
            </w:pPr>
            <w:r>
              <w:rPr>
                <w:sz w:val="20"/>
              </w:rPr>
              <w:t>Aboriginal Lands Trust</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Centre of Excellence State Funding Advisory Committee</w:t>
            </w:r>
          </w:p>
        </w:tc>
      </w:tr>
      <w:tr>
        <w:trPr>
          <w:cantSplit/>
        </w:trPr>
        <w:tc>
          <w:tcPr>
            <w:tcW w:w="1894" w:type="dxa"/>
            <w:vMerge w:val="restart"/>
          </w:tcPr>
          <w:p>
            <w:pPr>
              <w:pStyle w:val="yTable"/>
              <w:rPr>
                <w:i/>
                <w:sz w:val="20"/>
              </w:rPr>
            </w:pPr>
            <w:r>
              <w:rPr>
                <w:sz w:val="20"/>
              </w:rPr>
              <w:t>Department of Industry and Resources</w:t>
            </w:r>
            <w:r>
              <w:rPr>
                <w:sz w:val="20"/>
                <w:vertAlign w:val="superscript"/>
              </w:rPr>
              <w:t> 9</w:t>
            </w:r>
          </w:p>
        </w:tc>
        <w:tc>
          <w:tcPr>
            <w:tcW w:w="5194" w:type="dxa"/>
          </w:tcPr>
          <w:p>
            <w:pPr>
              <w:pStyle w:val="yTable"/>
              <w:ind w:left="209" w:hanging="209"/>
              <w:rPr>
                <w:sz w:val="20"/>
              </w:rPr>
            </w:pPr>
            <w:r>
              <w:rPr>
                <w:sz w:val="20"/>
              </w:rPr>
              <w:t>Coal Miners Accident Relief Fund Trust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Coal Miners Welfare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Miners Phthisis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Caravan Parks and Camping Grounds Advisory Committee</w:t>
            </w:r>
          </w:p>
        </w:tc>
      </w:tr>
      <w:tr>
        <w:trPr>
          <w:cantSplit/>
        </w:trPr>
        <w:tc>
          <w:tcPr>
            <w:tcW w:w="1894" w:type="dxa"/>
            <w:vMerge w:val="restart"/>
          </w:tcPr>
          <w:p>
            <w:pPr>
              <w:pStyle w:val="yTable"/>
              <w:rPr>
                <w:sz w:val="20"/>
              </w:rPr>
            </w:pPr>
            <w:r>
              <w:rPr>
                <w:sz w:val="20"/>
              </w:rPr>
              <w:t>Department of Local Government and Regional Development</w:t>
            </w:r>
            <w:r>
              <w:rPr>
                <w:sz w:val="20"/>
                <w:vertAlign w:val="superscript"/>
              </w:rPr>
              <w:t> 10</w:t>
            </w:r>
          </w:p>
        </w:tc>
        <w:tc>
          <w:tcPr>
            <w:tcW w:w="5194" w:type="dxa"/>
          </w:tcPr>
          <w:p>
            <w:pPr>
              <w:pStyle w:val="yTable"/>
              <w:ind w:left="209" w:hanging="209"/>
              <w:rPr>
                <w:sz w:val="20"/>
              </w:rPr>
            </w:pPr>
            <w:r>
              <w:rPr>
                <w:sz w:val="20"/>
              </w:rPr>
              <w:t>Control of Vehicles (Off</w:t>
            </w:r>
            <w:r>
              <w:rPr>
                <w:sz w:val="20"/>
              </w:rPr>
              <w:noBreakHyphen/>
              <w:t>road Areas) Act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Local Government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Regional Development Council</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Rural, Remote and Regional Women’s Network</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Local Government Grants Commission</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Telecentre Advisory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10" w:hanging="210"/>
              <w:rPr>
                <w:rFonts w:eastAsia="Arial Unicode MS"/>
              </w:rPr>
            </w:pPr>
            <w:r>
              <w:rPr>
                <w:sz w:val="20"/>
              </w:rPr>
              <w:t>Western Australian Local Government Grants Commission</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Conservation Commission of Western Australia</w:t>
            </w:r>
          </w:p>
        </w:tc>
      </w:tr>
      <w:tr>
        <w:trPr>
          <w:cantSplit/>
        </w:trPr>
        <w:tc>
          <w:tcPr>
            <w:tcW w:w="1894" w:type="dxa"/>
            <w:vMerge w:val="restart"/>
          </w:tcPr>
          <w:p>
            <w:pPr>
              <w:pStyle w:val="yTable"/>
              <w:rPr>
                <w:i/>
                <w:sz w:val="20"/>
              </w:rPr>
            </w:pPr>
            <w:r>
              <w:rPr>
                <w:sz w:val="20"/>
              </w:rPr>
              <w:t>Department of Parks and Wildlife</w:t>
            </w:r>
          </w:p>
        </w:tc>
        <w:tc>
          <w:tcPr>
            <w:tcW w:w="5194" w:type="dxa"/>
          </w:tcPr>
          <w:p>
            <w:pPr>
              <w:pStyle w:val="yTable"/>
              <w:rPr>
                <w:i/>
                <w:sz w:val="20"/>
              </w:rPr>
            </w:pPr>
            <w:r>
              <w:rPr>
                <w:sz w:val="20"/>
              </w:rPr>
              <w:t>Marine Parks and Reserves Authority</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Scientific Advisory Committee</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Swan River Trust</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Gaming and Wagering Commission of Western Australia</w:t>
            </w:r>
          </w:p>
        </w:tc>
      </w:tr>
      <w:tr>
        <w:trPr>
          <w:cantSplit/>
        </w:trPr>
        <w:tc>
          <w:tcPr>
            <w:tcW w:w="1894" w:type="dxa"/>
            <w:vMerge w:val="restart"/>
          </w:tcPr>
          <w:p>
            <w:pPr>
              <w:pStyle w:val="yTable"/>
              <w:rPr>
                <w:sz w:val="20"/>
              </w:rPr>
            </w:pPr>
            <w:r>
              <w:rPr>
                <w:sz w:val="20"/>
              </w:rPr>
              <w:t>Department of Racing, Gaming and Liquor</w:t>
            </w:r>
          </w:p>
        </w:tc>
        <w:tc>
          <w:tcPr>
            <w:tcW w:w="5194" w:type="dxa"/>
          </w:tcPr>
          <w:p>
            <w:pPr>
              <w:pStyle w:val="yTable"/>
              <w:rPr>
                <w:i/>
                <w:sz w:val="20"/>
              </w:rPr>
            </w:pPr>
            <w:r>
              <w:rPr>
                <w:sz w:val="20"/>
              </w:rPr>
              <w:t>Gaming Community Trust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Racing Penalties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Physical Activity Taskforce</w:t>
            </w:r>
          </w:p>
        </w:tc>
      </w:tr>
      <w:tr>
        <w:trPr>
          <w:cantSplit/>
        </w:trPr>
        <w:tc>
          <w:tcPr>
            <w:tcW w:w="1894" w:type="dxa"/>
          </w:tcPr>
          <w:p>
            <w:pPr>
              <w:pStyle w:val="zytable"/>
              <w:ind w:left="0" w:right="0"/>
              <w:rPr>
                <w:rFonts w:eastAsia="Arial Unicode MS"/>
                <w:sz w:val="20"/>
              </w:rPr>
            </w:pPr>
            <w:r>
              <w:rPr>
                <w:rFonts w:eastAsia="Arial Unicode MS"/>
                <w:sz w:val="20"/>
              </w:rPr>
              <w:t>Department of Sport &amp; Recreation</w:t>
            </w:r>
          </w:p>
        </w:tc>
        <w:tc>
          <w:tcPr>
            <w:tcW w:w="5194" w:type="dxa"/>
          </w:tcPr>
          <w:p>
            <w:pPr>
              <w:pStyle w:val="yTable"/>
              <w:ind w:left="209" w:hanging="209"/>
              <w:rPr>
                <w:sz w:val="20"/>
              </w:rPr>
            </w:pPr>
            <w:r>
              <w:rPr>
                <w:sz w:val="20"/>
              </w:rPr>
              <w:t>Appeals Costs Board</w:t>
            </w:r>
          </w:p>
        </w:tc>
      </w:tr>
      <w:tr>
        <w:tc>
          <w:tcPr>
            <w:tcW w:w="1894" w:type="dxa"/>
            <w:vMerge w:val="restart"/>
          </w:tcPr>
          <w:p>
            <w:pPr>
              <w:pStyle w:val="yTable"/>
              <w:rPr>
                <w:rFonts w:eastAsia="Arial Unicode MS"/>
              </w:rPr>
            </w:pPr>
            <w:r>
              <w:rPr>
                <w:sz w:val="20"/>
              </w:rPr>
              <w:t>Department of the Attorney General</w:t>
            </w: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Children’s Court of Western Australia</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Supreme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The District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Completed Royal Commissions</w:t>
            </w:r>
          </w:p>
        </w:tc>
      </w:tr>
      <w:tr>
        <w:trPr>
          <w:cantSplit/>
        </w:trPr>
        <w:tc>
          <w:tcPr>
            <w:tcW w:w="1894" w:type="dxa"/>
            <w:vMerge w:val="restart"/>
          </w:tcPr>
          <w:p>
            <w:pPr>
              <w:pStyle w:val="yTable"/>
              <w:rPr>
                <w:sz w:val="20"/>
              </w:rPr>
            </w:pPr>
            <w:r>
              <w:rPr>
                <w:sz w:val="20"/>
              </w:rPr>
              <w:t>Department of the Premier and Cabinet</w:t>
            </w:r>
          </w:p>
        </w:tc>
        <w:tc>
          <w:tcPr>
            <w:tcW w:w="5194" w:type="dxa"/>
          </w:tcPr>
          <w:p>
            <w:pPr>
              <w:pStyle w:val="yTable"/>
              <w:ind w:left="209" w:hanging="209"/>
              <w:rPr>
                <w:sz w:val="20"/>
              </w:rPr>
            </w:pPr>
            <w:r>
              <w:rPr>
                <w:sz w:val="20"/>
              </w:rPr>
              <w:t>Constitutional Centre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Constitutional Centre of Western Australia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European, North Asia and Middle East Offices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Infrastructure WA</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Office of e</w:t>
            </w:r>
            <w:r>
              <w:rPr>
                <w:sz w:val="20"/>
              </w:rPr>
              <w:noBreakHyphen/>
              <w:t>Government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Division of Industrial Training</w:t>
            </w:r>
          </w:p>
        </w:tc>
      </w:tr>
      <w:tr>
        <w:trPr>
          <w:cantSplit/>
        </w:trPr>
        <w:tc>
          <w:tcPr>
            <w:tcW w:w="1894" w:type="dxa"/>
            <w:vMerge w:val="restart"/>
          </w:tcPr>
          <w:p>
            <w:pPr>
              <w:pStyle w:val="yTableNAm"/>
              <w:spacing w:before="60"/>
            </w:pPr>
            <w:r>
              <w:rPr>
                <w:sz w:val="20"/>
              </w:rPr>
              <w:t>Department of Training and Workforce Development</w:t>
            </w:r>
          </w:p>
        </w:tc>
        <w:tc>
          <w:tcPr>
            <w:tcW w:w="5194" w:type="dxa"/>
          </w:tcPr>
          <w:p>
            <w:pPr>
              <w:pStyle w:val="yTableNAm"/>
              <w:spacing w:before="60"/>
              <w:rPr>
                <w:rFonts w:eastAsia="Arial Unicode MS"/>
              </w:rPr>
            </w:pPr>
            <w:r>
              <w:rPr>
                <w:sz w:val="20"/>
              </w:rPr>
              <w:t>State Training Board</w:t>
            </w:r>
          </w:p>
        </w:tc>
      </w:tr>
      <w:tr>
        <w:trPr>
          <w:cantSplit/>
        </w:trPr>
        <w:tc>
          <w:tcPr>
            <w:tcW w:w="1894" w:type="dxa"/>
            <w:vMerge/>
          </w:tcPr>
          <w:p>
            <w:pPr>
              <w:pStyle w:val="zyTableNAm"/>
              <w:spacing w:before="60"/>
              <w:rPr>
                <w:sz w:val="20"/>
              </w:rPr>
            </w:pPr>
          </w:p>
        </w:tc>
        <w:tc>
          <w:tcPr>
            <w:tcW w:w="5194" w:type="dxa"/>
          </w:tcPr>
          <w:p>
            <w:pPr>
              <w:pStyle w:val="yTableNAm"/>
              <w:spacing w:before="60"/>
              <w:rPr>
                <w:rFonts w:eastAsia="Arial Unicode MS"/>
              </w:rPr>
            </w:pPr>
            <w:r>
              <w:rPr>
                <w:sz w:val="20"/>
              </w:rPr>
              <w:t>Anzac Day Trust</w:t>
            </w:r>
          </w:p>
        </w:tc>
      </w:tr>
      <w:tr>
        <w:trPr>
          <w:cantSplit/>
        </w:trPr>
        <w:tc>
          <w:tcPr>
            <w:tcW w:w="1894" w:type="dxa"/>
            <w:vMerge w:val="restart"/>
          </w:tcPr>
          <w:p>
            <w:pPr>
              <w:pStyle w:val="yTable"/>
              <w:rPr>
                <w:sz w:val="20"/>
                <w:highlight w:val="yellow"/>
              </w:rPr>
            </w:pPr>
            <w:r>
              <w:rPr>
                <w:sz w:val="20"/>
              </w:rPr>
              <w:t>Department of Treasury and Finance</w:t>
            </w:r>
            <w:r>
              <w:rPr>
                <w:sz w:val="20"/>
                <w:vertAlign w:val="superscript"/>
              </w:rPr>
              <w:t> 11</w:t>
            </w:r>
          </w:p>
        </w:tc>
        <w:tc>
          <w:tcPr>
            <w:tcW w:w="5194" w:type="dxa"/>
          </w:tcPr>
          <w:p>
            <w:pPr>
              <w:pStyle w:val="yTable"/>
              <w:ind w:left="209" w:hanging="209"/>
              <w:rPr>
                <w:sz w:val="20"/>
              </w:rPr>
            </w:pPr>
            <w:r>
              <w:rPr>
                <w:sz w:val="20"/>
              </w:rPr>
              <w:t>Office of Shared Services</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Avon Waterways Committee</w:t>
            </w:r>
          </w:p>
        </w:tc>
      </w:tr>
      <w:tr>
        <w:trPr>
          <w:cantSplit/>
        </w:trPr>
        <w:tc>
          <w:tcPr>
            <w:tcW w:w="1894" w:type="dxa"/>
            <w:vMerge w:val="restart"/>
          </w:tcPr>
          <w:p>
            <w:pPr>
              <w:pStyle w:val="yTable"/>
              <w:rPr>
                <w:sz w:val="20"/>
              </w:rPr>
            </w:pPr>
            <w:r>
              <w:rPr>
                <w:sz w:val="20"/>
              </w:rPr>
              <w:t>Department of Water</w:t>
            </w:r>
          </w:p>
        </w:tc>
        <w:tc>
          <w:tcPr>
            <w:tcW w:w="5194" w:type="dxa"/>
          </w:tcPr>
          <w:p>
            <w:pPr>
              <w:pStyle w:val="yTable"/>
              <w:ind w:left="209" w:hanging="209"/>
              <w:rPr>
                <w:sz w:val="20"/>
              </w:rPr>
            </w:pPr>
            <w:r>
              <w:rPr>
                <w:sz w:val="20"/>
              </w:rPr>
              <w:t>Broome Groundwater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Canning – Wungong – Southern River Irrigation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Carnarvon Water Allocation Advisory Committee</w:t>
            </w:r>
          </w:p>
        </w:tc>
      </w:tr>
      <w:tr>
        <w:trPr>
          <w:cantSplit/>
        </w:trPr>
        <w:tc>
          <w:tcPr>
            <w:tcW w:w="1894" w:type="dxa"/>
            <w:vMerge/>
          </w:tcPr>
          <w:p>
            <w:pPr>
              <w:pStyle w:val="zytable"/>
              <w:ind w:left="0" w:right="0"/>
              <w:rPr>
                <w:sz w:val="20"/>
              </w:rPr>
            </w:pPr>
          </w:p>
        </w:tc>
        <w:tc>
          <w:tcPr>
            <w:tcW w:w="5194" w:type="dxa"/>
          </w:tcPr>
          <w:p>
            <w:pPr>
              <w:pStyle w:val="yTable"/>
              <w:keepNext/>
              <w:keepLines/>
              <w:ind w:left="209" w:hanging="209"/>
              <w:rPr>
                <w:rFonts w:eastAsia="Arial Unicode MS"/>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Geographe Bay Catchment Council (GeoCatch)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Salinity Catchment Recovery Team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Advisory Council for Disability Services </w:t>
            </w:r>
          </w:p>
        </w:tc>
      </w:tr>
      <w:tr>
        <w:trPr>
          <w:trHeight w:val="172"/>
        </w:trPr>
        <w:tc>
          <w:tcPr>
            <w:tcW w:w="1894" w:type="dxa"/>
          </w:tcPr>
          <w:p>
            <w:pPr>
              <w:pStyle w:val="yTable"/>
              <w:rPr>
                <w:rFonts w:eastAsia="Arial Unicode MS"/>
                <w:sz w:val="20"/>
              </w:rPr>
            </w:pPr>
            <w:r>
              <w:rPr>
                <w:sz w:val="20"/>
              </w:rPr>
              <w:t>Disability Services Commission</w:t>
            </w:r>
          </w:p>
        </w:tc>
        <w:tc>
          <w:tcPr>
            <w:tcW w:w="5194"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894" w:type="dxa"/>
          </w:tcPr>
          <w:p>
            <w:pPr>
              <w:pStyle w:val="yTable"/>
              <w:rPr>
                <w:rFonts w:eastAsia="Arial Unicode MS"/>
                <w:sz w:val="20"/>
              </w:rPr>
            </w:pPr>
            <w:r>
              <w:rPr>
                <w:sz w:val="20"/>
              </w:rPr>
              <w:t xml:space="preserve">Minister for the Environment </w:t>
            </w:r>
          </w:p>
        </w:tc>
        <w:tc>
          <w:tcPr>
            <w:tcW w:w="5194" w:type="dxa"/>
          </w:tcPr>
          <w:p>
            <w:pPr>
              <w:pStyle w:val="yTable"/>
              <w:ind w:left="209" w:hanging="209"/>
              <w:rPr>
                <w:rFonts w:eastAsia="Arial Unicode MS"/>
                <w:sz w:val="20"/>
              </w:rPr>
            </w:pPr>
            <w:r>
              <w:rPr>
                <w:rFonts w:eastAsia="Arial Unicode MS"/>
                <w:sz w:val="20"/>
              </w:rPr>
              <w:t>Environmental Protection Authority</w:t>
            </w:r>
          </w:p>
        </w:tc>
      </w:tr>
      <w:tr>
        <w:tc>
          <w:tcPr>
            <w:tcW w:w="1894" w:type="dxa"/>
          </w:tcPr>
          <w:p>
            <w:pPr>
              <w:pStyle w:val="yTable"/>
              <w:keepNext/>
              <w:keepLines/>
              <w:rPr>
                <w:i/>
                <w:sz w:val="20"/>
              </w:rPr>
            </w:pPr>
            <w:r>
              <w:rPr>
                <w:sz w:val="20"/>
              </w:rPr>
              <w:t>Office of the Environmental Protection Authority</w:t>
            </w:r>
          </w:p>
        </w:tc>
        <w:tc>
          <w:tcPr>
            <w:tcW w:w="5194" w:type="dxa"/>
          </w:tcPr>
          <w:p>
            <w:pPr>
              <w:pStyle w:val="yTable"/>
              <w:keepNext/>
              <w:keepLines/>
              <w:ind w:left="209" w:hanging="209"/>
              <w:rPr>
                <w:rFonts w:eastAsia="Arial Unicode MS"/>
                <w:i/>
                <w:sz w:val="20"/>
              </w:rPr>
            </w:pPr>
            <w:r>
              <w:rPr>
                <w:sz w:val="20"/>
              </w:rPr>
              <w:t>Aboriginal and Remote Communities Power Supply Steering Committee</w:t>
            </w:r>
          </w:p>
        </w:tc>
      </w:tr>
      <w:tr>
        <w:trPr>
          <w:cantSplit/>
        </w:trPr>
        <w:tc>
          <w:tcPr>
            <w:tcW w:w="1894" w:type="dxa"/>
            <w:vMerge w:val="restart"/>
          </w:tcPr>
          <w:p>
            <w:pPr>
              <w:pStyle w:val="yTable"/>
              <w:rPr>
                <w:sz w:val="20"/>
              </w:rPr>
            </w:pPr>
            <w:r>
              <w:rPr>
                <w:sz w:val="20"/>
              </w:rPr>
              <w:t>Office of Energy</w:t>
            </w:r>
            <w:r>
              <w:rPr>
                <w:sz w:val="20"/>
                <w:vertAlign w:val="superscript"/>
              </w:rPr>
              <w:t> 12</w:t>
            </w:r>
          </w:p>
        </w:tc>
        <w:tc>
          <w:tcPr>
            <w:tcW w:w="5194" w:type="dxa"/>
          </w:tcPr>
          <w:p>
            <w:pPr>
              <w:pStyle w:val="yTable"/>
              <w:ind w:left="209" w:hanging="209"/>
              <w:rPr>
                <w:sz w:val="20"/>
              </w:rPr>
            </w:pPr>
            <w:r>
              <w:rPr>
                <w:sz w:val="20"/>
              </w:rPr>
              <w:t>Advisory Committee for Wind</w:t>
            </w:r>
            <w:r>
              <w:rPr>
                <w:sz w:val="20"/>
              </w:rPr>
              <w:noBreakHyphen/>
              <w:t>up of the Perth International Centre for the Application of Solar Energy</w:t>
            </w:r>
          </w:p>
        </w:tc>
      </w:tr>
      <w:tr>
        <w:trPr>
          <w:cantSplit/>
        </w:trPr>
        <w:tc>
          <w:tcPr>
            <w:tcW w:w="1894" w:type="dxa"/>
            <w:vMerge/>
          </w:tcPr>
          <w:p>
            <w:pPr>
              <w:pStyle w:val="yTable"/>
              <w:rPr>
                <w:rFonts w:eastAsia="Arial Unicode MS"/>
                <w:sz w:val="20"/>
              </w:rPr>
            </w:pPr>
          </w:p>
        </w:tc>
        <w:tc>
          <w:tcPr>
            <w:tcW w:w="5194" w:type="dxa"/>
          </w:tcPr>
          <w:p>
            <w:pPr>
              <w:pStyle w:val="yTable"/>
              <w:ind w:left="209" w:hanging="209"/>
              <w:rPr>
                <w:rFonts w:eastAsia="Arial Unicode MS"/>
                <w:sz w:val="20"/>
              </w:rPr>
            </w:pPr>
            <w:r>
              <w:rPr>
                <w:sz w:val="20"/>
              </w:rPr>
              <w:t>Ministerial Advisory Committee on Electricity Supply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Perth International Centre for Application of Solar Energy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State Underground Power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 xml:space="preserve">Railway Appeal Board </w:t>
            </w:r>
          </w:p>
        </w:tc>
      </w:tr>
      <w:tr>
        <w:tc>
          <w:tcPr>
            <w:tcW w:w="1894" w:type="dxa"/>
          </w:tcPr>
          <w:p>
            <w:pPr>
              <w:pStyle w:val="yTable"/>
              <w:rPr>
                <w:rFonts w:eastAsia="Arial Unicode MS"/>
                <w:sz w:val="20"/>
              </w:rPr>
            </w:pPr>
            <w:r>
              <w:rPr>
                <w:sz w:val="20"/>
              </w:rPr>
              <w:t>Public Transport Authority of Western Australia</w:t>
            </w:r>
          </w:p>
        </w:tc>
        <w:tc>
          <w:tcPr>
            <w:tcW w:w="5194" w:type="dxa"/>
          </w:tcPr>
          <w:p>
            <w:pPr>
              <w:pStyle w:val="yTable"/>
              <w:keepNext/>
              <w:ind w:left="209" w:hanging="209"/>
              <w:rPr>
                <w:rFonts w:eastAsia="Arial Unicode MS"/>
                <w:sz w:val="20"/>
              </w:rPr>
            </w:pPr>
            <w:r>
              <w:rPr>
                <w:sz w:val="20"/>
              </w:rPr>
              <w:t>Board of Reference (</w:t>
            </w:r>
            <w:r>
              <w:rPr>
                <w:i/>
                <w:sz w:val="20"/>
              </w:rPr>
              <w:t>Construction Industry Portable Paid Long Service Leave Act 1985</w:t>
            </w:r>
            <w:r>
              <w:rPr>
                <w:sz w:val="20"/>
              </w:rPr>
              <w:t>)</w:t>
            </w:r>
          </w:p>
        </w:tc>
      </w:tr>
      <w:tr>
        <w:tc>
          <w:tcPr>
            <w:tcW w:w="1894" w:type="dxa"/>
            <w:vMerge w:val="restart"/>
          </w:tcPr>
          <w:p>
            <w:pPr>
              <w:pStyle w:val="yTable"/>
              <w:keepNext/>
              <w:keepLines/>
              <w:rPr>
                <w:sz w:val="20"/>
              </w:rPr>
            </w:pPr>
            <w:r>
              <w:rPr>
                <w:sz w:val="20"/>
              </w:rPr>
              <w:t>Western Australia Industrial Relations Commission</w:t>
            </w:r>
          </w:p>
        </w:tc>
        <w:tc>
          <w:tcPr>
            <w:tcW w:w="5194" w:type="dxa"/>
          </w:tcPr>
          <w:p>
            <w:pPr>
              <w:pStyle w:val="yTable"/>
              <w:keepNext/>
              <w:keepLines/>
              <w:ind w:left="209" w:hanging="209"/>
              <w:rPr>
                <w:sz w:val="20"/>
              </w:rPr>
            </w:pPr>
            <w:r>
              <w:rPr>
                <w:sz w:val="20"/>
              </w:rPr>
              <w:t>Board of Reference (</w:t>
            </w:r>
            <w:r>
              <w:rPr>
                <w:i/>
                <w:iCs/>
                <w:sz w:val="20"/>
              </w:rPr>
              <w:t>Industrial Relations Act 1979</w:t>
            </w:r>
            <w:r>
              <w:rPr>
                <w:sz w:val="20"/>
              </w:rPr>
              <w: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Industrial 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Service Appeal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Arbitrator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Railways Classification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WA Industrial Appeal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Community Safety and Crime Prevention Council</w:t>
            </w:r>
          </w:p>
        </w:tc>
      </w:tr>
      <w:tr>
        <w:trPr>
          <w:cantSplit/>
        </w:trPr>
        <w:tc>
          <w:tcPr>
            <w:tcW w:w="1894" w:type="dxa"/>
            <w:vMerge w:val="restart"/>
          </w:tcPr>
          <w:p>
            <w:pPr>
              <w:pStyle w:val="yTable"/>
              <w:rPr>
                <w:sz w:val="20"/>
              </w:rPr>
            </w:pPr>
            <w:r>
              <w:rPr>
                <w:sz w:val="20"/>
              </w:rPr>
              <w:t>Western Australia Police</w:t>
            </w:r>
          </w:p>
        </w:tc>
        <w:tc>
          <w:tcPr>
            <w:tcW w:w="5194" w:type="dxa"/>
          </w:tcPr>
          <w:p>
            <w:pPr>
              <w:pStyle w:val="yTable"/>
              <w:ind w:left="209" w:hanging="209"/>
              <w:rPr>
                <w:sz w:val="20"/>
              </w:rPr>
            </w:pPr>
            <w:r>
              <w:rPr>
                <w:sz w:val="20"/>
              </w:rPr>
              <w:t>Police Appeal Board</w:t>
            </w:r>
          </w:p>
        </w:tc>
      </w:tr>
      <w:tr>
        <w:trPr>
          <w:cantSplit/>
        </w:trPr>
        <w:tc>
          <w:tcPr>
            <w:tcW w:w="1894" w:type="dxa"/>
            <w:vMerge/>
          </w:tcPr>
          <w:p>
            <w:pPr>
              <w:pStyle w:val="yTable"/>
              <w:rPr>
                <w:sz w:val="20"/>
              </w:rPr>
            </w:pPr>
          </w:p>
        </w:tc>
        <w:tc>
          <w:tcPr>
            <w:tcW w:w="5194" w:type="dxa"/>
          </w:tcPr>
          <w:p>
            <w:pPr>
              <w:pStyle w:val="yTable"/>
              <w:ind w:left="209" w:hanging="209"/>
              <w:rPr>
                <w:rFonts w:eastAsia="Arial Unicode MS"/>
                <w:sz w:val="20"/>
              </w:rPr>
            </w:pPr>
            <w:r>
              <w:rPr>
                <w:sz w:val="20"/>
              </w:rPr>
              <w:t>Western Australian Police Historical Society</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rFonts w:eastAsia="Arial Unicode MS"/>
                <w:sz w:val="20"/>
              </w:rPr>
              <w:t>Geographic Names Committee</w:t>
            </w:r>
          </w:p>
        </w:tc>
      </w:tr>
      <w:tr>
        <w:trPr>
          <w:cantSplit/>
        </w:trPr>
        <w:tc>
          <w:tcPr>
            <w:tcW w:w="1894" w:type="dxa"/>
            <w:vMerge w:val="restart"/>
          </w:tcPr>
          <w:p>
            <w:pPr>
              <w:pStyle w:val="yTable"/>
              <w:rPr>
                <w:sz w:val="20"/>
              </w:rPr>
            </w:pPr>
            <w:r>
              <w:rPr>
                <w:sz w:val="20"/>
              </w:rPr>
              <w:t>Western Australian Land Information Authority (Landgate)</w:t>
            </w:r>
          </w:p>
        </w:tc>
        <w:tc>
          <w:tcPr>
            <w:tcW w:w="5194" w:type="dxa"/>
          </w:tcPr>
          <w:p>
            <w:pPr>
              <w:pStyle w:val="yTable"/>
              <w:ind w:left="209" w:hanging="209"/>
              <w:rPr>
                <w:rFonts w:eastAsia="Arial Unicode MS"/>
                <w:sz w:val="20"/>
              </w:rPr>
            </w:pPr>
            <w:r>
              <w:rPr>
                <w:rFonts w:eastAsia="Arial Unicode MS"/>
                <w:sz w:val="20"/>
              </w:rPr>
              <w:t>Land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Pastoral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Valuer General’s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Dispute Resolution Directorate</w:t>
            </w:r>
          </w:p>
        </w:tc>
      </w:tr>
      <w:tr>
        <w:tc>
          <w:tcPr>
            <w:tcW w:w="1894" w:type="dxa"/>
          </w:tcPr>
          <w:p>
            <w:pPr>
              <w:pStyle w:val="yTable"/>
              <w:rPr>
                <w:rFonts w:eastAsia="Arial Unicode MS"/>
                <w:sz w:val="20"/>
              </w:rPr>
            </w:pPr>
            <w:r>
              <w:rPr>
                <w:sz w:val="20"/>
              </w:rPr>
              <w:t>WorkCover Western Australia Authority (Workcover WA)</w:t>
            </w:r>
          </w:p>
        </w:tc>
        <w:tc>
          <w:tcPr>
            <w:tcW w:w="5194" w:type="dxa"/>
          </w:tcPr>
          <w:p>
            <w:pPr>
              <w:pStyle w:val="yTable"/>
              <w:tabs>
                <w:tab w:val="right" w:pos="2765"/>
                <w:tab w:val="left" w:pos="3053"/>
              </w:tabs>
              <w:ind w:left="209" w:hanging="209"/>
              <w:rPr>
                <w:rFonts w:eastAsia="Arial Unicode MS"/>
                <w:sz w:val="20"/>
              </w:rPr>
            </w:pPr>
          </w:p>
        </w:tc>
      </w:tr>
    </w:tbl>
    <w:p>
      <w:pPr>
        <w:pStyle w:val="yFootnotesection"/>
      </w:pPr>
      <w:r>
        <w:tab/>
        <w:t>[Schedule 2 inserted: Gazette 28 Dec 2007 p. 6415</w:t>
      </w:r>
      <w:r>
        <w:noBreakHyphen/>
        <w:t>23; amended: Gazette 6 Mar 2012 p. 893 and 896; 7 Dec 2012 p. 5993; 5 Feb 2013 p. 837; 24 Sep 2013 p. 4388-9; 26 Jul 2019 p. 2956; SL 2021/61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4" w:name="_Toc77152948"/>
      <w:bookmarkStart w:id="25" w:name="_Toc77153813"/>
      <w:bookmarkStart w:id="26" w:name="_Toc77153858"/>
      <w:bookmarkStart w:id="27" w:name="_Toc77164070"/>
      <w:r>
        <w:lastRenderedPageBreak/>
        <w:t>Notes</w:t>
      </w:r>
      <w:bookmarkEnd w:id="24"/>
      <w:bookmarkEnd w:id="25"/>
      <w:bookmarkEnd w:id="26"/>
      <w:bookmarkEnd w:id="27"/>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8" w:name="_Toc77164071"/>
      <w:r>
        <w:t>Compilation table</w:t>
      </w:r>
      <w:bookmarkEnd w:id="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29" w:name="RuleErr_8"/>
            <w:r>
              <w:rPr>
                <w:i/>
              </w:rPr>
              <w:lastRenderedPageBreak/>
              <w:t>Freedom of Information Amendment Regulations 2013</w:t>
            </w:r>
            <w:bookmarkEnd w:id="29"/>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Freedom of Information Amendment Regulations (No. 2) 2021</w:t>
            </w:r>
          </w:p>
        </w:tc>
        <w:tc>
          <w:tcPr>
            <w:tcW w:w="1276" w:type="dxa"/>
            <w:tcBorders>
              <w:bottom w:val="single" w:sz="4" w:space="0" w:color="auto"/>
            </w:tcBorders>
          </w:tcPr>
          <w:p>
            <w:pPr>
              <w:pStyle w:val="nTable"/>
              <w:keepNext/>
              <w:spacing w:after="40"/>
            </w:pPr>
            <w:r>
              <w:t>SL 2021/61</w:t>
            </w:r>
            <w:r>
              <w:br/>
              <w:t>21 May 2021</w:t>
            </w:r>
          </w:p>
        </w:tc>
        <w:tc>
          <w:tcPr>
            <w:tcW w:w="2693" w:type="dxa"/>
            <w:tcBorders>
              <w:bottom w:val="single" w:sz="4" w:space="0" w:color="auto"/>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bl>
    <w:p>
      <w:pPr>
        <w:pStyle w:val="nHeading3"/>
      </w:pPr>
      <w:bookmarkStart w:id="30" w:name="_Toc77164072"/>
      <w:r>
        <w:t>Uncommenced provisions table</w:t>
      </w:r>
      <w:bookmarkEnd w:id="3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Attorney General Regulations Amendment (Swan Valley Planning Scheme) Regulations 2021</w:t>
            </w:r>
            <w:r>
              <w:t xml:space="preserve"> Pt. 2</w:t>
            </w:r>
          </w:p>
        </w:tc>
        <w:tc>
          <w:tcPr>
            <w:tcW w:w="1276" w:type="dxa"/>
          </w:tcPr>
          <w:p>
            <w:pPr>
              <w:pStyle w:val="nTable"/>
              <w:spacing w:after="40"/>
            </w:pPr>
            <w:r>
              <w:t>SL 2021/127</w:t>
            </w:r>
            <w:r>
              <w:br/>
              <w:t>16 Jul 2021</w:t>
            </w:r>
          </w:p>
        </w:tc>
        <w:tc>
          <w:tcPr>
            <w:tcW w:w="2693" w:type="dxa"/>
          </w:tcPr>
          <w:p>
            <w:pPr>
              <w:pStyle w:val="nTable"/>
              <w:spacing w:after="40"/>
            </w:pPr>
            <w:r>
              <w:t>1 Aug 2021 (see r. 2(b) and SL 2021/124 cl. 2)</w:t>
            </w:r>
          </w:p>
        </w:tc>
      </w:tr>
    </w:tbl>
    <w:p>
      <w:pPr>
        <w:pStyle w:val="nHeading3"/>
      </w:pPr>
      <w:bookmarkStart w:id="31" w:name="_Toc77164073"/>
      <w:r>
        <w:t>Other notes</w:t>
      </w:r>
      <w:bookmarkEnd w:id="31"/>
    </w:p>
    <w:p>
      <w:pPr>
        <w:pStyle w:val="nNote"/>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for </w:t>
      </w:r>
      <w:r>
        <w:lastRenderedPageBreak/>
        <w:t>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Note"/>
        <w:rPr>
          <w:snapToGrid w:val="0"/>
        </w:rPr>
      </w:pPr>
      <w:r>
        <w:rPr>
          <w:vertAlign w:val="superscript"/>
        </w:rPr>
        <w:t>6</w:t>
      </w:r>
      <w:r>
        <w:rPr>
          <w:vertAlign w:val="superscript"/>
        </w:rPr>
        <w:tab/>
      </w:r>
      <w:r>
        <w:t xml:space="preserve">Under the </w:t>
      </w:r>
      <w:r>
        <w:rPr>
          <w:i/>
        </w:rPr>
        <w:t xml:space="preserve">Alteration of Statutory Designations Order (No. 2) 2013 </w:t>
      </w:r>
      <w:r>
        <w:t>a reference in any law to the Department of Environment and Conservation is to be read and construed as a reference to the Department of Parks and Wildlife unless the context of the reference requires otherwise.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lastRenderedPageBreak/>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3" w:name="_Toc77152951"/>
      <w:bookmarkStart w:id="34" w:name="_Toc77153817"/>
      <w:bookmarkStart w:id="35" w:name="_Toc77153862"/>
      <w:bookmarkStart w:id="36" w:name="_Toc77164074"/>
      <w:r>
        <w:rPr>
          <w:sz w:val="28"/>
        </w:rPr>
        <w:lastRenderedPageBreak/>
        <w:t>Defined terms</w:t>
      </w:r>
      <w:bookmarkEnd w:id="33"/>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non</w:t>
      </w:r>
      <w:r>
        <w:noBreakHyphen/>
        <w:t>personal information</w:t>
      </w:r>
      <w:r>
        <w:tab/>
        <w:t>2A</w:t>
      </w:r>
    </w:p>
    <w:p>
      <w:pPr>
        <w:pStyle w:val="DefinedTerms"/>
      </w:pPr>
      <w:r>
        <w:t>suitably qualified person</w:t>
      </w:r>
      <w:r>
        <w:tab/>
        <w:t>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4104739"/>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7DB62-A4F3-4E06-B734-58D652E78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4681</Words>
  <Characters>27670</Characters>
  <Application>Microsoft Office Word</Application>
  <DocSecurity>0</DocSecurity>
  <Lines>1257</Lines>
  <Paragraphs>688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1993 - 02-f0-00</dc:title>
  <dc:subject/>
  <dc:creator/>
  <cp:keywords/>
  <dc:description/>
  <cp:lastModifiedBy>Master Repository Process</cp:lastModifiedBy>
  <cp:revision>4</cp:revision>
  <cp:lastPrinted>2013-07-17T03:17:00Z</cp:lastPrinted>
  <dcterms:created xsi:type="dcterms:W3CDTF">2021-07-15T06:58:00Z</dcterms:created>
  <dcterms:modified xsi:type="dcterms:W3CDTF">2021-07-15T06:58:00Z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AsAtDate">
    <vt:lpwstr>16 Jul 2021</vt:lpwstr>
  </property>
  <property fmtid="{D5CDD505-2E9C-101B-9397-08002B2CF9AE}" pid="8" name="Suffix">
    <vt:lpwstr>02-f0-00</vt:lpwstr>
  </property>
  <property fmtid="{D5CDD505-2E9C-101B-9397-08002B2CF9AE}" pid="9" name="CommencementDate">
    <vt:lpwstr>20210716</vt:lpwstr>
  </property>
</Properties>
</file>