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Freedom of Information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Freedom of Information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_Toc84319432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_Toc84319433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 used: non-personal information</w:t>
      </w:r>
      <w:r>
        <w:tab/>
      </w:r>
      <w:r>
        <w:fldChar w:fldCharType="begin"/>
      </w:r>
      <w:r>
        <w:instrText xml:space="preserve"> PAGEREF _Toc84319434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provisions relating to charges</w:t>
      </w:r>
      <w:r>
        <w:tab/>
      </w:r>
      <w:r>
        <w:fldChar w:fldCharType="begin"/>
      </w:r>
      <w:r>
        <w:instrText xml:space="preserve"> PAGEREF _Toc84319435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fee (section 12(1)(e))</w:t>
      </w:r>
      <w:r>
        <w:tab/>
      </w:r>
      <w:r>
        <w:fldChar w:fldCharType="begin"/>
      </w:r>
      <w:r>
        <w:instrText xml:space="preserve"> PAGEREF _Toc84319436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(section 16(1))</w:t>
      </w:r>
      <w:r>
        <w:tab/>
      </w:r>
      <w:r>
        <w:fldChar w:fldCharType="begin"/>
      </w:r>
      <w:r>
        <w:instrText xml:space="preserve"> PAGEREF _Toc84319437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Advance deposits (section 18(1) and (4))</w:t>
      </w:r>
      <w:r>
        <w:tab/>
      </w:r>
      <w:r>
        <w:fldChar w:fldCharType="begin"/>
      </w:r>
      <w:r>
        <w:instrText xml:space="preserve"> PAGEREF _Toc84319438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used: suitably qualified person (section 28)</w:t>
      </w:r>
      <w:r>
        <w:tab/>
      </w:r>
      <w:r>
        <w:fldChar w:fldCharType="begin"/>
      </w:r>
      <w:r>
        <w:instrText xml:space="preserve"> PAGEREF _Toc84319439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Information or details to be included in complaint (section 66(1)(d))</w:t>
      </w:r>
      <w:r>
        <w:tab/>
      </w:r>
      <w:r>
        <w:fldChar w:fldCharType="begin"/>
      </w:r>
      <w:r>
        <w:instrText xml:space="preserve"> PAGEREF _Toc84319440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personal details (Act Schedule 1 clause 3)</w:t>
      </w:r>
      <w:r>
        <w:tab/>
      </w:r>
      <w:r>
        <w:fldChar w:fldCharType="begin"/>
      </w:r>
      <w:r>
        <w:instrText xml:space="preserve"> PAGEREF _Toc84319441 \h </w:instrText>
      </w:r>
      <w:r>
        <w:fldChar w:fldCharType="separate"/>
      </w:r>
      <w:r>
        <w:t>3</w:t>
      </w:r>
      <w:r>
        <w:fldChar w:fldCharType="end"/>
      </w:r>
    </w:p>
    <w:p>
      <w:pPr>
        <w:pStyle w:val="TOC8"/>
        <w:rPr>
          <w:rFonts w:asciiTheme="minorHAnsi" w:eastAsiaTheme="minorEastAsia" w:hAnsiTheme="minorHAnsi" w:cstheme="minorBidi"/>
          <w:szCs w:val="22"/>
        </w:rPr>
      </w:pPr>
      <w:r>
        <w:t>9A.</w:t>
      </w:r>
      <w:r>
        <w:tab/>
        <w:t>Principal officer of health service provider</w:t>
      </w:r>
      <w:r>
        <w:tab/>
      </w:r>
      <w:r>
        <w:fldChar w:fldCharType="begin"/>
      </w:r>
      <w:r>
        <w:instrText xml:space="preserve"> PAGEREF _Toc84319442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Specified bodies etc. to be regarded as part of other agencies</w:t>
      </w:r>
      <w:r>
        <w:tab/>
      </w:r>
      <w:r>
        <w:fldChar w:fldCharType="begin"/>
      </w:r>
      <w:r>
        <w:instrText xml:space="preserve"> PAGEREF _Toc84319443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Offices and bodies to be regarded as part of other agencies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_Toc84319447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_Toc84319448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3" w:name="_Toc8431943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8431943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5" w:name="_Toc84319434"/>
      <w:r>
        <w:rPr>
          <w:rStyle w:val="CharSectno"/>
        </w:rPr>
        <w:t>2A</w:t>
      </w:r>
      <w:r>
        <w:rPr>
          <w:snapToGrid w:val="0"/>
        </w:rPr>
        <w:t>.</w:t>
      </w:r>
      <w:r>
        <w:rPr>
          <w:snapToGrid w:val="0"/>
        </w:rPr>
        <w:tab/>
        <w:t>Term used: non-personal information</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6" w:name="_Toc84319435"/>
      <w:r>
        <w:rPr>
          <w:rStyle w:val="CharSectno"/>
        </w:rPr>
        <w:t>3</w:t>
      </w:r>
      <w:r>
        <w:rPr>
          <w:snapToGrid w:val="0"/>
        </w:rPr>
        <w:t>.</w:t>
      </w:r>
      <w:r>
        <w:rPr>
          <w:snapToGrid w:val="0"/>
        </w:rPr>
        <w:tab/>
        <w:t>General provisions relating to charges</w:t>
      </w:r>
      <w:bookmarkEnd w:id="6"/>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7" w:name="_Toc84319436"/>
      <w:r>
        <w:rPr>
          <w:rStyle w:val="CharSectno"/>
        </w:rPr>
        <w:lastRenderedPageBreak/>
        <w:t>4</w:t>
      </w:r>
      <w:r>
        <w:rPr>
          <w:snapToGrid w:val="0"/>
        </w:rPr>
        <w:t>.</w:t>
      </w:r>
      <w:r>
        <w:rPr>
          <w:snapToGrid w:val="0"/>
        </w:rPr>
        <w:tab/>
        <w:t>Application fee (section 12(1)(e))</w:t>
      </w:r>
      <w:bookmarkEnd w:id="7"/>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8" w:name="_Toc84319437"/>
      <w:r>
        <w:rPr>
          <w:rStyle w:val="CharSectno"/>
        </w:rPr>
        <w:t>5</w:t>
      </w:r>
      <w:r>
        <w:rPr>
          <w:snapToGrid w:val="0"/>
        </w:rPr>
        <w:t>.</w:t>
      </w:r>
      <w:r>
        <w:rPr>
          <w:snapToGrid w:val="0"/>
        </w:rPr>
        <w:tab/>
        <w:t>Charges (section 16(1))</w:t>
      </w:r>
      <w:bookmarkEnd w:id="8"/>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9" w:name="_Toc84319438"/>
      <w:r>
        <w:rPr>
          <w:rStyle w:val="CharSectno"/>
        </w:rPr>
        <w:t>6</w:t>
      </w:r>
      <w:r>
        <w:rPr>
          <w:snapToGrid w:val="0"/>
        </w:rPr>
        <w:t>.</w:t>
      </w:r>
      <w:r>
        <w:rPr>
          <w:snapToGrid w:val="0"/>
        </w:rPr>
        <w:tab/>
        <w:t>Advance deposits (section 18(1) and (4))</w:t>
      </w:r>
      <w:bookmarkEnd w:id="9"/>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0" w:name="_Toc84319439"/>
      <w:r>
        <w:rPr>
          <w:rStyle w:val="CharSectno"/>
        </w:rPr>
        <w:t>7</w:t>
      </w:r>
      <w:r>
        <w:rPr>
          <w:snapToGrid w:val="0"/>
        </w:rPr>
        <w:t>.</w:t>
      </w:r>
      <w:r>
        <w:rPr>
          <w:snapToGrid w:val="0"/>
        </w:rPr>
        <w:tab/>
        <w:t>Term used: suitably qualified person (section 28)</w:t>
      </w:r>
      <w:bookmarkEnd w:id="10"/>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1" w:name="_Toc84319440"/>
      <w:r>
        <w:rPr>
          <w:rStyle w:val="CharSectno"/>
        </w:rPr>
        <w:t>8</w:t>
      </w:r>
      <w:r>
        <w:rPr>
          <w:snapToGrid w:val="0"/>
        </w:rPr>
        <w:t>.</w:t>
      </w:r>
      <w:r>
        <w:rPr>
          <w:snapToGrid w:val="0"/>
        </w:rPr>
        <w:tab/>
        <w:t>Information or details to be included in complaint (section 66(1)(d))</w:t>
      </w:r>
      <w:bookmarkEnd w:id="11"/>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2" w:name="_Toc84319441"/>
      <w:r>
        <w:rPr>
          <w:rStyle w:val="CharSectno"/>
        </w:rPr>
        <w:t>9</w:t>
      </w:r>
      <w:r>
        <w:rPr>
          <w:snapToGrid w:val="0"/>
        </w:rPr>
        <w:t>.</w:t>
      </w:r>
      <w:r>
        <w:rPr>
          <w:snapToGrid w:val="0"/>
        </w:rPr>
        <w:tab/>
        <w:t>Prescribed personal details (Act Schedule 1 clause 3)</w:t>
      </w:r>
      <w:bookmarkEnd w:id="12"/>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 xml:space="preserve">the functions and duties of the position or the details of the services to be provided under the contract, as </w:t>
      </w:r>
      <w:r>
        <w:rPr>
          <w:snapToGrid w:val="0"/>
        </w:rPr>
        <w:lastRenderedPageBreak/>
        <w:t>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13" w:name="_Toc84319442"/>
      <w:r>
        <w:rPr>
          <w:rStyle w:val="CharSectno"/>
        </w:rPr>
        <w:t>9A</w:t>
      </w:r>
      <w:r>
        <w:t>.</w:t>
      </w:r>
      <w:r>
        <w:tab/>
        <w:t>Principal officer of health service provider</w:t>
      </w:r>
      <w:bookmarkEnd w:id="1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14" w:name="_Toc84319443"/>
      <w:r>
        <w:rPr>
          <w:rStyle w:val="CharSectno"/>
        </w:rPr>
        <w:t>10</w:t>
      </w:r>
      <w:r>
        <w:rPr>
          <w:snapToGrid w:val="0"/>
        </w:rPr>
        <w:t>.</w:t>
      </w:r>
      <w:r>
        <w:rPr>
          <w:snapToGrid w:val="0"/>
        </w:rPr>
        <w:tab/>
        <w:t>Specified bodies etc. to be regarded as part of other agencies</w:t>
      </w:r>
      <w:bookmarkEnd w:id="14"/>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84319444"/>
      <w:r>
        <w:rPr>
          <w:rStyle w:val="CharSchNo"/>
        </w:rPr>
        <w:lastRenderedPageBreak/>
        <w:t>Schedule 1</w:t>
      </w:r>
      <w:bookmarkEnd w:id="15"/>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lastRenderedPageBreak/>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16" w:name="_Toc84319445"/>
      <w:r>
        <w:rPr>
          <w:rStyle w:val="CharSchNo"/>
        </w:rPr>
        <w:lastRenderedPageBreak/>
        <w:t>Schedule 2</w:t>
      </w:r>
      <w:r>
        <w:t> — </w:t>
      </w:r>
      <w:r>
        <w:rPr>
          <w:rStyle w:val="CharSchText"/>
        </w:rPr>
        <w:t>Offices and bodies to be regarded as part of other agencies</w:t>
      </w:r>
      <w:bookmarkEnd w:id="16"/>
    </w:p>
    <w:p>
      <w:pPr>
        <w:pStyle w:val="yShoulderClause"/>
      </w:pPr>
      <w:r>
        <w:t>[r. 10]</w:t>
      </w:r>
    </w:p>
    <w:p>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Valley Strategic Leadership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Lake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Upper Gascoyne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Wooroloo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val="restart"/>
          </w:tcPr>
          <w:p>
            <w:pPr>
              <w:pStyle w:val="yTable"/>
              <w:rPr>
                <w:sz w:val="20"/>
              </w:rPr>
            </w:pPr>
            <w:r>
              <w:rPr>
                <w:sz w:val="20"/>
              </w:rPr>
              <w:t>Department of Consumer and Employment Protection</w:t>
            </w:r>
            <w:r>
              <w:rPr>
                <w:sz w:val="20"/>
                <w:vertAlign w:val="superscript"/>
              </w:rPr>
              <w:t> 5</w:t>
            </w:r>
          </w:p>
        </w:tc>
        <w:tc>
          <w:tcPr>
            <w:tcW w:w="5194" w:type="dxa"/>
          </w:tcPr>
          <w:p>
            <w:pPr>
              <w:pStyle w:val="yTable"/>
              <w:ind w:left="209" w:hanging="209"/>
              <w:rPr>
                <w:sz w:val="20"/>
              </w:rPr>
            </w:pPr>
            <w:r>
              <w:rPr>
                <w:sz w:val="20"/>
              </w:rPr>
              <w:t>Board of Examiners (Coal Mining)</w:t>
            </w:r>
          </w:p>
        </w:tc>
      </w:tr>
      <w:tr>
        <w:trPr>
          <w:cantSplit/>
        </w:trPr>
        <w:tc>
          <w:tcPr>
            <w:tcW w:w="1894" w:type="dxa"/>
            <w:vMerge/>
          </w:tcPr>
          <w:p>
            <w:pPr>
              <w:pStyle w:val="yTable"/>
              <w:rPr>
                <w:sz w:val="20"/>
              </w:rPr>
            </w:pPr>
          </w:p>
        </w:tc>
        <w:tc>
          <w:tcPr>
            <w:tcW w:w="5194" w:type="dxa"/>
          </w:tcPr>
          <w:p>
            <w:pPr>
              <w:pStyle w:val="yTable"/>
              <w:ind w:left="209" w:hanging="209"/>
              <w:rPr>
                <w:sz w:val="20"/>
              </w:rPr>
            </w:pPr>
            <w:r>
              <w:rPr>
                <w:sz w:val="20"/>
              </w:rPr>
              <w:t>Board of Examiners (Mine Managers and Underground Supervisors)</w:t>
            </w:r>
          </w:p>
        </w:tc>
      </w:tr>
      <w:tr>
        <w:trPr>
          <w:cantSplit/>
        </w:trPr>
        <w:tc>
          <w:tcPr>
            <w:tcW w:w="1894" w:type="dxa"/>
            <w:vMerge/>
          </w:tcPr>
          <w:p>
            <w:pPr>
              <w:pStyle w:val="yTable"/>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Coal Industry Tribunal of Western Australia</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Library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Library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Foundation</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894" w:type="dxa"/>
            <w:vMerge w:val="restart"/>
          </w:tcPr>
          <w:p>
            <w:pPr>
              <w:pStyle w:val="yTableNAm"/>
              <w:keepNext/>
              <w:keepLines/>
              <w:spacing w:before="60"/>
              <w:rPr>
                <w:sz w:val="20"/>
              </w:rPr>
            </w:pPr>
            <w:r>
              <w:rPr>
                <w:sz w:val="20"/>
              </w:rPr>
              <w:lastRenderedPageBreak/>
              <w:t>Department of Education Services</w:t>
            </w:r>
          </w:p>
        </w:tc>
        <w:tc>
          <w:tcPr>
            <w:tcW w:w="5194" w:type="dxa"/>
          </w:tcPr>
          <w:p>
            <w:pPr>
              <w:pStyle w:val="yTableNAm"/>
              <w:keepNext/>
              <w:keepLines/>
              <w:spacing w:before="60"/>
              <w:rPr>
                <w:sz w:val="20"/>
              </w:rPr>
            </w:pPr>
            <w:r>
              <w:rPr>
                <w:sz w:val="20"/>
              </w:rPr>
              <w:t>Aboriginal Education and Training Council</w:t>
            </w:r>
          </w:p>
        </w:tc>
      </w:tr>
      <w:tr>
        <w:trPr>
          <w:cantSplit/>
        </w:trPr>
        <w:tc>
          <w:tcPr>
            <w:tcW w:w="1894" w:type="dxa"/>
            <w:vMerge/>
          </w:tcPr>
          <w:p>
            <w:pPr>
              <w:pStyle w:val="yTableNAm"/>
              <w:spacing w:before="60"/>
            </w:pPr>
          </w:p>
        </w:tc>
        <w:tc>
          <w:tcPr>
            <w:tcW w:w="5194" w:type="dxa"/>
          </w:tcPr>
          <w:p>
            <w:pPr>
              <w:pStyle w:val="yTableNAm"/>
              <w:spacing w:before="60"/>
            </w:pPr>
            <w:r>
              <w:rPr>
                <w:sz w:val="20"/>
              </w:rPr>
              <w:t>Non</w:t>
            </w:r>
            <w:r>
              <w:rPr>
                <w:sz w:val="20"/>
              </w:rPr>
              <w:noBreakHyphen/>
              <w:t>Government Schools Planning Advisory Committee</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Teacher Registration Board of Western Australia</w:t>
            </w:r>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Western Australian Higher Education Council</w:t>
            </w:r>
          </w:p>
        </w:tc>
      </w:tr>
      <w:tr>
        <w:trPr>
          <w:cantSplit/>
        </w:trPr>
        <w:tc>
          <w:tcPr>
            <w:tcW w:w="1894" w:type="dxa"/>
            <w:vMerge w:val="restart"/>
          </w:tcPr>
          <w:p>
            <w:pPr>
              <w:pStyle w:val="yTable"/>
              <w:rPr>
                <w:sz w:val="20"/>
              </w:rPr>
            </w:pPr>
            <w:r>
              <w:rPr>
                <w:sz w:val="20"/>
              </w:rPr>
              <w:t>Department of Environment Regulation</w:t>
            </w:r>
          </w:p>
        </w:tc>
        <w:tc>
          <w:tcPr>
            <w:tcW w:w="5194" w:type="dxa"/>
          </w:tcPr>
          <w:p>
            <w:pPr>
              <w:pStyle w:val="yTable"/>
              <w:tabs>
                <w:tab w:val="right" w:pos="2765"/>
                <w:tab w:val="left" w:pos="3053"/>
              </w:tabs>
              <w:ind w:left="209" w:hanging="209"/>
              <w:rPr>
                <w:sz w:val="20"/>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Keep Australia Beautiful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Waste Authority</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Abrolhos Islands Management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Aquaculture Development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Aged Care Advisory Panel</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Anaesthetic Morality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Aboriginal Housing and Infrastructure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Architects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Municipal Building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Building Management Authority</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Cultural Material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Aboriginal Lands Trust</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Centre of Excellence State Funding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Accident Relief Fund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Caravan Parks and Camping Grounds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val="restart"/>
          </w:tcPr>
          <w:p>
            <w:pPr>
              <w:pStyle w:val="yTable"/>
              <w:rPr>
                <w:i/>
                <w:sz w:val="20"/>
              </w:rPr>
            </w:pPr>
            <w:r>
              <w:rPr>
                <w:sz w:val="20"/>
              </w:rPr>
              <w:t>Department of Parks and Wildlife</w:t>
            </w:r>
          </w:p>
        </w:tc>
        <w:tc>
          <w:tcPr>
            <w:tcW w:w="5194" w:type="dxa"/>
          </w:tcPr>
          <w:p>
            <w:pPr>
              <w:pStyle w:val="yTable"/>
              <w:rPr>
                <w:i/>
                <w:sz w:val="20"/>
              </w:rPr>
            </w:pPr>
            <w:r>
              <w:rPr>
                <w:sz w:val="20"/>
              </w:rPr>
              <w:t>Conservation Commission of Western Australia</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Authority</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Scientific Advisory Committee</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Swan River Trust</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Gaming and Wagering Commission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Gaming Community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Premier’s Physical Activity Taskforce</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Supreme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The District Court of Western Australia</w:t>
            </w:r>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Completed Royal Commissions</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Constitutional Centre of Western Australia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European, North Asia and Middle East Offices</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Infrastructure WA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Division of Industrial Training</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State Training Board</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Anzac Day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Office of Shared Services</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Avon Waterways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Broome Groundwater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Geographe Bay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sz w:val="20"/>
              </w:rPr>
              <w:t xml:space="preserve">Advisory Council for Disability Services </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894" w:type="dxa"/>
          </w:tcPr>
          <w:p>
            <w:pPr>
              <w:pStyle w:val="yTable"/>
              <w:keepNext/>
              <w:keepLines/>
              <w:rPr>
                <w:i/>
                <w:sz w:val="20"/>
              </w:rPr>
            </w:pPr>
            <w:r>
              <w:rPr>
                <w:sz w:val="20"/>
              </w:rPr>
              <w:t>Office of the Environmental Protection Authority</w:t>
            </w:r>
          </w:p>
        </w:tc>
        <w:tc>
          <w:tcPr>
            <w:tcW w:w="5194"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Aboriginal and Remote Communities Power Supply Steering Committee</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State Underground Power Steering Committee</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 xml:space="preserve">Railway Appeal Board </w:t>
            </w:r>
          </w:p>
        </w:tc>
      </w:tr>
      <w:tr>
        <w:tc>
          <w:tcPr>
            <w:tcW w:w="1894" w:type="dxa"/>
            <w:vMerge w:val="restart"/>
          </w:tcPr>
          <w:p>
            <w:pPr>
              <w:pStyle w:val="yTable"/>
              <w:keepNext/>
              <w:keepLines/>
              <w:rPr>
                <w:sz w:val="20"/>
              </w:rPr>
            </w:pPr>
            <w:r>
              <w:rPr>
                <w:sz w:val="20"/>
              </w:rPr>
              <w:lastRenderedPageBreak/>
              <w:t>Western Australia Industrial Relations Commission</w:t>
            </w:r>
          </w:p>
        </w:tc>
        <w:tc>
          <w:tcPr>
            <w:tcW w:w="5194"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Industrial 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Community Safety and Crime Prevention Council</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Police Appeal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8" w:name="_Toc84319446"/>
      <w:r>
        <w:lastRenderedPageBreak/>
        <w:t>Notes</w:t>
      </w:r>
      <w:bookmarkEnd w:id="18"/>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w:t>
      </w:r>
    </w:p>
    <w:p>
      <w:pPr>
        <w:pStyle w:val="nHeading3"/>
      </w:pPr>
      <w:bookmarkStart w:id="19" w:name="_Toc84319447"/>
      <w:r>
        <w:t>Compilation table</w:t>
      </w:r>
      <w:bookmarkEnd w:id="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20" w:name="RuleErr_8"/>
            <w:r>
              <w:rPr>
                <w:i/>
              </w:rPr>
              <w:lastRenderedPageBreak/>
              <w:t>Freedom of Information Amendment Regulations 2013</w:t>
            </w:r>
            <w:bookmarkEnd w:id="20"/>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Attorney General Regulations Amendment (Swan Valley Planning Scheme) Regulations 2021</w:t>
            </w:r>
            <w:r>
              <w:t xml:space="preserve"> Pt. 2</w:t>
            </w:r>
          </w:p>
        </w:tc>
        <w:tc>
          <w:tcPr>
            <w:tcW w:w="1276" w:type="dxa"/>
            <w:tcBorders>
              <w:bottom w:val="single" w:sz="4" w:space="0" w:color="auto"/>
            </w:tcBorders>
          </w:tcPr>
          <w:p>
            <w:pPr>
              <w:pStyle w:val="nTable"/>
              <w:keepNext/>
              <w:spacing w:after="40"/>
            </w:pPr>
            <w:r>
              <w:t>SL 2021/127</w:t>
            </w:r>
            <w:r>
              <w:br/>
              <w:t>16 Jul 2021</w:t>
            </w:r>
          </w:p>
        </w:tc>
        <w:tc>
          <w:tcPr>
            <w:tcW w:w="2693" w:type="dxa"/>
            <w:tcBorders>
              <w:bottom w:val="single" w:sz="4" w:space="0" w:color="auto"/>
            </w:tcBorders>
          </w:tcPr>
          <w:p>
            <w:pPr>
              <w:pStyle w:val="nTable"/>
              <w:keepNext/>
              <w:spacing w:after="40"/>
              <w:rPr>
                <w:snapToGrid w:val="0"/>
              </w:rPr>
            </w:pPr>
            <w:r>
              <w:t>1 Aug 2021 (see r. 2(b) and SL 2021/124 cl. 2)</w:t>
            </w:r>
          </w:p>
        </w:tc>
      </w:tr>
    </w:tbl>
    <w:p>
      <w:pPr>
        <w:pStyle w:val="nHeading3"/>
      </w:pPr>
      <w:bookmarkStart w:id="21" w:name="_Toc84319448"/>
      <w:r>
        <w:t>Other notes</w:t>
      </w:r>
      <w:bookmarkEnd w:id="21"/>
    </w:p>
    <w:p>
      <w:pPr>
        <w:pStyle w:val="nNote"/>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w:t>
      </w:r>
      <w:r>
        <w:lastRenderedPageBreak/>
        <w:t xml:space="preserve">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3" w:name="_Toc84319449"/>
      <w:r>
        <w:rPr>
          <w:sz w:val="28"/>
        </w:rPr>
        <w:lastRenderedPageBreak/>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w:t>
      </w:r>
      <w:r>
        <w:noBreakHyphen/>
        <w:t>personal information</w:t>
      </w:r>
      <w:r>
        <w:tab/>
        <w:t>2A</w:t>
      </w:r>
    </w:p>
    <w:p>
      <w:pPr>
        <w:pStyle w:val="DefinedTerms"/>
      </w:pPr>
      <w:r>
        <w:t>suitably qualified person</w:t>
      </w:r>
      <w:r>
        <w:tab/>
        <w:t>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094102"/>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5A738-1D84-404B-AE37-C3B0E1607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4595</Words>
  <Characters>27203</Characters>
  <Application>Microsoft Office Word</Application>
  <DocSecurity>0</DocSecurity>
  <Lines>1236</Lines>
  <Paragraphs>691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1993 - 02-g0-05</dc:title>
  <dc:subject/>
  <dc:creator/>
  <cp:keywords/>
  <dc:description/>
  <cp:lastModifiedBy>Master Repository Process</cp:lastModifiedBy>
  <cp:revision>4</cp:revision>
  <cp:lastPrinted>2021-07-27T01:34:00Z</cp:lastPrinted>
  <dcterms:created xsi:type="dcterms:W3CDTF">2021-11-02T01:09:00Z</dcterms:created>
  <dcterms:modified xsi:type="dcterms:W3CDTF">2021-11-02T01:09:00Z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AsAtDate">
    <vt:lpwstr>01 Aug 2021</vt:lpwstr>
  </property>
  <property fmtid="{D5CDD505-2E9C-101B-9397-08002B2CF9AE}" pid="8" name="Suffix">
    <vt:lpwstr>02-g0-05</vt:lpwstr>
  </property>
  <property fmtid="{D5CDD505-2E9C-101B-9397-08002B2CF9AE}" pid="9" name="CommencementDate">
    <vt:lpwstr>20210801</vt:lpwstr>
  </property>
</Properties>
</file>