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Agricultural Produce Commission Act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Agricultural Produce Commission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_Toc80094865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_Toc80094866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_Toc80094867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Agricultural Produce Commission</w:t>
      </w:r>
    </w:p>
    <w:p>
      <w:pPr>
        <w:pStyle w:val="TOC8"/>
        <w:rPr>
          <w:rFonts w:asciiTheme="minorHAnsi" w:eastAsiaTheme="minorEastAsia" w:hAnsiTheme="minorHAnsi" w:cstheme="minorBidi"/>
          <w:szCs w:val="22"/>
        </w:rPr>
      </w:pPr>
      <w:r>
        <w:t>4</w:t>
      </w:r>
      <w:r>
        <w:rPr>
          <w:snapToGrid w:val="0"/>
        </w:rPr>
        <w:t>.</w:t>
      </w:r>
      <w:r>
        <w:rPr>
          <w:snapToGrid w:val="0"/>
        </w:rPr>
        <w:tab/>
      </w:r>
      <w:r>
        <w:t>Agricultural</w:t>
      </w:r>
      <w:r>
        <w:rPr>
          <w:snapToGrid w:val="0"/>
        </w:rPr>
        <w:t xml:space="preserve"> Produce Commission established</w:t>
      </w:r>
      <w:r>
        <w:tab/>
      </w:r>
      <w:r>
        <w:fldChar w:fldCharType="begin"/>
      </w:r>
      <w:r>
        <w:instrText xml:space="preserve"> PAGEREF _Toc80094869 \h </w:instrText>
      </w:r>
      <w:r>
        <w:fldChar w:fldCharType="separate"/>
      </w:r>
      <w:r>
        <w:t>4</w:t>
      </w:r>
      <w:r>
        <w:fldChar w:fldCharType="end"/>
      </w:r>
    </w:p>
    <w:p>
      <w:pPr>
        <w:pStyle w:val="TOC8"/>
        <w:rPr>
          <w:rFonts w:asciiTheme="minorHAnsi" w:eastAsiaTheme="minorEastAsia" w:hAnsiTheme="minorHAnsi" w:cstheme="minorBidi"/>
          <w:szCs w:val="22"/>
        </w:rPr>
      </w:pPr>
      <w:r>
        <w:t>5.</w:t>
      </w:r>
      <w:r>
        <w:tab/>
        <w:t>Constitution of Commission</w:t>
      </w:r>
      <w:r>
        <w:tab/>
      </w:r>
      <w:r>
        <w:fldChar w:fldCharType="begin"/>
      </w:r>
      <w:r>
        <w:instrText xml:space="preserve"> PAGEREF _Toc80094870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 of Commission</w:t>
      </w:r>
      <w:r>
        <w:tab/>
      </w:r>
      <w:r>
        <w:fldChar w:fldCharType="begin"/>
      </w:r>
      <w:r>
        <w:instrText xml:space="preserve"> PAGEREF _Toc80094871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Directions by Minister</w:t>
      </w:r>
      <w:r>
        <w:tab/>
      </w:r>
      <w:r>
        <w:fldChar w:fldCharType="begin"/>
      </w:r>
      <w:r>
        <w:instrText xml:space="preserve"> PAGEREF _Toc80094872 \h </w:instrText>
      </w:r>
      <w:r>
        <w:fldChar w:fldCharType="separate"/>
      </w:r>
      <w:r>
        <w:t>6</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Minister to have access to information</w:t>
      </w:r>
      <w:r>
        <w:tab/>
      </w:r>
      <w:r>
        <w:fldChar w:fldCharType="begin"/>
      </w:r>
      <w:r>
        <w:instrText xml:space="preserve"> PAGEREF _Toc80094873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Funds of Commission</w:t>
      </w:r>
      <w:r>
        <w:tab/>
      </w:r>
      <w:r>
        <w:fldChar w:fldCharType="begin"/>
      </w:r>
      <w:r>
        <w:instrText xml:space="preserve"> PAGEREF _Toc80094874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of funds</w:t>
      </w:r>
      <w:r>
        <w:tab/>
      </w:r>
      <w:r>
        <w:fldChar w:fldCharType="begin"/>
      </w:r>
      <w:r>
        <w:instrText xml:space="preserve"> PAGEREF _Toc80094875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Commission may employ or engage persons</w:t>
      </w:r>
      <w:r>
        <w:tab/>
      </w:r>
      <w:r>
        <w:fldChar w:fldCharType="begin"/>
      </w:r>
      <w:r>
        <w:instrText xml:space="preserve"> PAGEREF _Toc80094876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Producers’ committees</w:t>
      </w:r>
    </w:p>
    <w:p>
      <w:pPr>
        <w:pStyle w:val="TOC4"/>
        <w:tabs>
          <w:tab w:val="right" w:leader="dot" w:pos="7077"/>
        </w:tabs>
        <w:rPr>
          <w:rFonts w:asciiTheme="minorHAnsi" w:eastAsiaTheme="minorEastAsia" w:hAnsiTheme="minorHAnsi" w:cstheme="minorBidi"/>
          <w:b w:val="0"/>
          <w:szCs w:val="22"/>
        </w:rPr>
      </w:pPr>
      <w:r>
        <w:t>Division 1 — Establishing producers’ committees</w:t>
      </w:r>
    </w:p>
    <w:p>
      <w:pPr>
        <w:pStyle w:val="TOC8"/>
        <w:rPr>
          <w:rFonts w:asciiTheme="minorHAnsi" w:eastAsiaTheme="minorEastAsia" w:hAnsiTheme="minorHAnsi" w:cstheme="minorBidi"/>
          <w:szCs w:val="22"/>
        </w:rPr>
      </w:pPr>
      <w:r>
        <w:t>10</w:t>
      </w:r>
      <w:r>
        <w:rPr>
          <w:snapToGrid w:val="0"/>
        </w:rPr>
        <w:t>.</w:t>
      </w:r>
      <w:r>
        <w:rPr>
          <w:snapToGrid w:val="0"/>
        </w:rPr>
        <w:tab/>
        <w:t>Preliminary requirements for establishment of producers’ committees</w:t>
      </w:r>
      <w:r>
        <w:tab/>
      </w:r>
      <w:r>
        <w:fldChar w:fldCharType="begin"/>
      </w:r>
      <w:r>
        <w:instrText xml:space="preserve"> PAGEREF _Toc80094879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Establishment of producers’ committee</w:t>
      </w:r>
      <w:r>
        <w:tab/>
      </w:r>
      <w:r>
        <w:fldChar w:fldCharType="begin"/>
      </w:r>
      <w:r>
        <w:instrText xml:space="preserve"> PAGEREF _Toc80094880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Allocating responsibility for produce to an existing producers’ committee</w:t>
      </w:r>
    </w:p>
    <w:p>
      <w:pPr>
        <w:pStyle w:val="TOC8"/>
        <w:rPr>
          <w:rFonts w:asciiTheme="minorHAnsi" w:eastAsiaTheme="minorEastAsia" w:hAnsiTheme="minorHAnsi" w:cstheme="minorBidi"/>
          <w:szCs w:val="22"/>
        </w:rPr>
      </w:pPr>
      <w:r>
        <w:t>11A.</w:t>
      </w:r>
      <w:r>
        <w:tab/>
        <w:t>Preliminary requirements for allocating responsibility for agricultural produce to existing producers’ committee</w:t>
      </w:r>
      <w:r>
        <w:tab/>
      </w:r>
      <w:r>
        <w:fldChar w:fldCharType="begin"/>
      </w:r>
      <w:r>
        <w:instrText xml:space="preserve"> PAGEREF _Toc80094882 \h </w:instrText>
      </w:r>
      <w:r>
        <w:fldChar w:fldCharType="separate"/>
      </w:r>
      <w:r>
        <w:t>14</w:t>
      </w:r>
      <w:r>
        <w:fldChar w:fldCharType="end"/>
      </w:r>
    </w:p>
    <w:p>
      <w:pPr>
        <w:pStyle w:val="TOC8"/>
        <w:rPr>
          <w:rFonts w:asciiTheme="minorHAnsi" w:eastAsiaTheme="minorEastAsia" w:hAnsiTheme="minorHAnsi" w:cstheme="minorBidi"/>
          <w:szCs w:val="22"/>
        </w:rPr>
      </w:pPr>
      <w:r>
        <w:t>11B.</w:t>
      </w:r>
      <w:r>
        <w:tab/>
        <w:t>Polls to allocate responsibility for produce to existing producers’ committee</w:t>
      </w:r>
      <w:r>
        <w:tab/>
      </w:r>
      <w:r>
        <w:fldChar w:fldCharType="begin"/>
      </w:r>
      <w:r>
        <w:instrText xml:space="preserve"> PAGEREF _Toc80094883 \h </w:instrText>
      </w:r>
      <w:r>
        <w:fldChar w:fldCharType="separate"/>
      </w:r>
      <w:r>
        <w:t>15</w:t>
      </w:r>
      <w:r>
        <w:fldChar w:fldCharType="end"/>
      </w:r>
    </w:p>
    <w:p>
      <w:pPr>
        <w:pStyle w:val="TOC8"/>
        <w:rPr>
          <w:rFonts w:asciiTheme="minorHAnsi" w:eastAsiaTheme="minorEastAsia" w:hAnsiTheme="minorHAnsi" w:cstheme="minorBidi"/>
          <w:szCs w:val="22"/>
        </w:rPr>
      </w:pPr>
      <w:r>
        <w:t>11C.</w:t>
      </w:r>
      <w:r>
        <w:tab/>
        <w:t>Allocating responsibility for agricultural produce to existing producers’ committee</w:t>
      </w:r>
      <w:r>
        <w:tab/>
      </w:r>
      <w:r>
        <w:fldChar w:fldCharType="begin"/>
      </w:r>
      <w:r>
        <w:instrText xml:space="preserve"> PAGEREF _Toc80094884 \h </w:instrText>
      </w:r>
      <w:r>
        <w:fldChar w:fldCharType="separate"/>
      </w:r>
      <w:r>
        <w:t>16</w:t>
      </w:r>
      <w:r>
        <w:fldChar w:fldCharType="end"/>
      </w:r>
    </w:p>
    <w:p>
      <w:pPr>
        <w:pStyle w:val="TOC8"/>
        <w:rPr>
          <w:rFonts w:asciiTheme="minorHAnsi" w:eastAsiaTheme="minorEastAsia" w:hAnsiTheme="minorHAnsi" w:cstheme="minorBidi"/>
          <w:szCs w:val="22"/>
        </w:rPr>
      </w:pPr>
      <w:r>
        <w:t>11D.</w:t>
      </w:r>
      <w:r>
        <w:tab/>
        <w:t>Notice of allocation of responsibility for agricultural produce to existing producers’ committee and appointing additional members</w:t>
      </w:r>
      <w:r>
        <w:tab/>
      </w:r>
      <w:r>
        <w:fldChar w:fldCharType="begin"/>
      </w:r>
      <w:r>
        <w:instrText xml:space="preserve"> PAGEREF _Toc80094885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Appointment of non</w:t>
      </w:r>
      <w:r>
        <w:noBreakHyphen/>
        <w:t>producers to producers’ committees</w:t>
      </w:r>
    </w:p>
    <w:p>
      <w:pPr>
        <w:pStyle w:val="TOC8"/>
        <w:rPr>
          <w:rFonts w:asciiTheme="minorHAnsi" w:eastAsiaTheme="minorEastAsia" w:hAnsiTheme="minorHAnsi" w:cstheme="minorBidi"/>
          <w:szCs w:val="22"/>
        </w:rPr>
      </w:pPr>
      <w:r>
        <w:t>11E.</w:t>
      </w:r>
      <w:r>
        <w:tab/>
        <w:t>Appointment of non</w:t>
      </w:r>
      <w:r>
        <w:noBreakHyphen/>
        <w:t>producers to producers’ committees</w:t>
      </w:r>
      <w:r>
        <w:tab/>
      </w:r>
      <w:r>
        <w:fldChar w:fldCharType="begin"/>
      </w:r>
      <w:r>
        <w:instrText xml:space="preserve"> PAGEREF _Toc80094887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Functions of producers’ committees</w:t>
      </w:r>
    </w:p>
    <w:p>
      <w:pPr>
        <w:pStyle w:val="TOC8"/>
        <w:rPr>
          <w:rFonts w:asciiTheme="minorHAnsi" w:eastAsiaTheme="minorEastAsia" w:hAnsiTheme="minorHAnsi" w:cstheme="minorBidi"/>
          <w:szCs w:val="22"/>
        </w:rPr>
      </w:pPr>
      <w:r>
        <w:t>12</w:t>
      </w:r>
      <w:r>
        <w:rPr>
          <w:snapToGrid w:val="0"/>
        </w:rPr>
        <w:t>.</w:t>
      </w:r>
      <w:r>
        <w:rPr>
          <w:snapToGrid w:val="0"/>
        </w:rPr>
        <w:tab/>
        <w:t>Functions of producers’ committee</w:t>
      </w:r>
      <w:r>
        <w:tab/>
      </w:r>
      <w:r>
        <w:fldChar w:fldCharType="begin"/>
      </w:r>
      <w:r>
        <w:instrText xml:space="preserve"> PAGEREF _Toc80094889 \h </w:instrText>
      </w:r>
      <w:r>
        <w:fldChar w:fldCharType="separate"/>
      </w:r>
      <w:r>
        <w:t>19</w:t>
      </w:r>
      <w:r>
        <w:fldChar w:fldCharType="end"/>
      </w:r>
    </w:p>
    <w:p>
      <w:pPr>
        <w:pStyle w:val="TOC8"/>
        <w:rPr>
          <w:rFonts w:asciiTheme="minorHAnsi" w:eastAsiaTheme="minorEastAsia" w:hAnsiTheme="minorHAnsi" w:cstheme="minorBidi"/>
          <w:szCs w:val="22"/>
        </w:rPr>
      </w:pPr>
      <w:r>
        <w:t>12A.</w:t>
      </w:r>
      <w:r>
        <w:tab/>
        <w:t>Power to enter orchards to administer fruit fly control scheme</w:t>
      </w:r>
      <w:r>
        <w:tab/>
      </w:r>
      <w:r>
        <w:fldChar w:fldCharType="begin"/>
      </w:r>
      <w:r>
        <w:instrText xml:space="preserve"> PAGEREF _Toc80094890 \h </w:instrText>
      </w:r>
      <w:r>
        <w:fldChar w:fldCharType="separate"/>
      </w:r>
      <w:r>
        <w:t>21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Power to require statistical information</w:t>
      </w:r>
      <w:r>
        <w:tab/>
      </w:r>
      <w:r>
        <w:fldChar w:fldCharType="begin"/>
      </w:r>
      <w:r>
        <w:instrText xml:space="preserve"> PAGEREF _Toc80094891 \h </w:instrText>
      </w:r>
      <w:r>
        <w:fldChar w:fldCharType="separate"/>
      </w:r>
      <w:r>
        <w:t>22</w:t>
      </w:r>
      <w:r>
        <w:fldChar w:fldCharType="end"/>
      </w:r>
    </w:p>
    <w:p>
      <w:pPr>
        <w:pStyle w:val="TOC8"/>
        <w:rPr>
          <w:rFonts w:asciiTheme="minorHAnsi" w:eastAsiaTheme="minorEastAsia" w:hAnsiTheme="minorHAnsi" w:cstheme="minorBidi"/>
          <w:szCs w:val="22"/>
        </w:rPr>
      </w:pPr>
      <w:r>
        <w:t>14.</w:t>
      </w:r>
      <w:r>
        <w:tab/>
        <w:t>Imposition of charges for services</w:t>
      </w:r>
      <w:r>
        <w:tab/>
      </w:r>
      <w:r>
        <w:fldChar w:fldCharType="begin"/>
      </w:r>
      <w:r>
        <w:instrText xml:space="preserve"> PAGEREF _Toc80094892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 — Removing responsibility for agricultural produce from or dissolving producers’ committees</w:t>
      </w:r>
    </w:p>
    <w:p>
      <w:pPr>
        <w:pStyle w:val="TOC8"/>
        <w:rPr>
          <w:rFonts w:asciiTheme="minorHAnsi" w:eastAsiaTheme="minorEastAsia" w:hAnsiTheme="minorHAnsi" w:cstheme="minorBidi"/>
          <w:szCs w:val="22"/>
        </w:rPr>
      </w:pPr>
      <w:r>
        <w:t>14A.</w:t>
      </w:r>
      <w:r>
        <w:tab/>
        <w:t>Removing responsibility for agricultural produce from producers’ committee after poll</w:t>
      </w:r>
      <w:r>
        <w:tab/>
      </w:r>
      <w:r>
        <w:fldChar w:fldCharType="begin"/>
      </w:r>
      <w:r>
        <w:instrText xml:space="preserve"> PAGEREF _Toc80094894 \h </w:instrText>
      </w:r>
      <w:r>
        <w:fldChar w:fldCharType="separate"/>
      </w:r>
      <w:r>
        <w:t>23</w:t>
      </w:r>
      <w:r>
        <w:fldChar w:fldCharType="end"/>
      </w:r>
    </w:p>
    <w:p>
      <w:pPr>
        <w:pStyle w:val="TOC8"/>
        <w:rPr>
          <w:rFonts w:asciiTheme="minorHAnsi" w:eastAsiaTheme="minorEastAsia" w:hAnsiTheme="minorHAnsi" w:cstheme="minorBidi"/>
          <w:szCs w:val="22"/>
        </w:rPr>
      </w:pPr>
      <w:r>
        <w:t>14B.</w:t>
      </w:r>
      <w:r>
        <w:tab/>
        <w:t>Removing responsibility for agricultural produce from producers’ committee without poll</w:t>
      </w:r>
      <w:r>
        <w:tab/>
      </w:r>
      <w:r>
        <w:fldChar w:fldCharType="begin"/>
      </w:r>
      <w:r>
        <w:instrText xml:space="preserve"> PAGEREF _Toc80094895 \h </w:instrText>
      </w:r>
      <w:r>
        <w:fldChar w:fldCharType="separate"/>
      </w:r>
      <w:r>
        <w:t>24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r>
      <w:r>
        <w:t>Dissolution of producers’ committee after poll</w:t>
      </w:r>
      <w:r>
        <w:tab/>
      </w:r>
      <w:r>
        <w:fldChar w:fldCharType="begin"/>
      </w:r>
      <w:r>
        <w:instrText xml:space="preserve"> PAGEREF _Toc80094896 \h </w:instrText>
      </w:r>
      <w:r>
        <w:fldChar w:fldCharType="separate"/>
      </w:r>
      <w:r>
        <w:t>24</w:t>
      </w:r>
      <w:r>
        <w:fldChar w:fldCharType="end"/>
      </w:r>
    </w:p>
    <w:p>
      <w:pPr>
        <w:pStyle w:val="TOC8"/>
        <w:rPr>
          <w:rFonts w:asciiTheme="minorHAnsi" w:eastAsiaTheme="minorEastAsia" w:hAnsiTheme="minorHAnsi" w:cstheme="minorBidi"/>
          <w:szCs w:val="22"/>
        </w:rPr>
      </w:pPr>
      <w:r>
        <w:t>15A.</w:t>
      </w:r>
      <w:r>
        <w:tab/>
        <w:t>Dissolution of producers’ committee without poll</w:t>
      </w:r>
      <w:r>
        <w:tab/>
      </w:r>
      <w:r>
        <w:fldChar w:fldCharType="begin"/>
      </w:r>
      <w:r>
        <w:instrText xml:space="preserve"> PAGEREF _Toc80094897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6 — Conducting polls</w:t>
      </w:r>
    </w:p>
    <w:p>
      <w:pPr>
        <w:pStyle w:val="TOC8"/>
        <w:rPr>
          <w:rFonts w:asciiTheme="minorHAnsi" w:eastAsiaTheme="minorEastAsia" w:hAnsiTheme="minorHAnsi" w:cstheme="minorBidi"/>
          <w:szCs w:val="22"/>
        </w:rPr>
      </w:pPr>
      <w:r>
        <w:t>16</w:t>
      </w:r>
      <w:r>
        <w:rPr>
          <w:snapToGrid w:val="0"/>
        </w:rPr>
        <w:t>.</w:t>
      </w:r>
      <w:r>
        <w:rPr>
          <w:snapToGrid w:val="0"/>
        </w:rPr>
        <w:tab/>
        <w:t>List of producers</w:t>
      </w:r>
      <w:r>
        <w:tab/>
      </w:r>
      <w:r>
        <w:fldChar w:fldCharType="begin"/>
      </w:r>
      <w:r>
        <w:instrText xml:space="preserve"> PAGEREF _Toc80094899 \h </w:instrText>
      </w:r>
      <w:r>
        <w:fldChar w:fldCharType="separate"/>
      </w:r>
      <w:r>
        <w:t>26</w:t>
      </w:r>
      <w:r>
        <w:fldChar w:fldCharType="end"/>
      </w:r>
    </w:p>
    <w:p>
      <w:pPr>
        <w:pStyle w:val="TOC8"/>
        <w:rPr>
          <w:rFonts w:asciiTheme="minorHAnsi" w:eastAsiaTheme="minorEastAsia" w:hAnsiTheme="minorHAnsi" w:cstheme="minorBidi"/>
          <w:szCs w:val="22"/>
        </w:rPr>
      </w:pPr>
      <w:r>
        <w:t>16A.</w:t>
      </w:r>
      <w:r>
        <w:tab/>
        <w:t>Weighted voting</w:t>
      </w:r>
      <w:r>
        <w:tab/>
      </w:r>
      <w:r>
        <w:fldChar w:fldCharType="begin"/>
      </w:r>
      <w:r>
        <w:instrText xml:space="preserve"> PAGEREF _Toc80094900 \h </w:instrText>
      </w:r>
      <w:r>
        <w:fldChar w:fldCharType="separate"/>
      </w:r>
      <w:r>
        <w:t>27</w:t>
      </w:r>
      <w:r>
        <w:fldChar w:fldCharType="end"/>
      </w:r>
    </w:p>
    <w:p>
      <w:pPr>
        <w:pStyle w:val="TOC8"/>
        <w:rPr>
          <w:rFonts w:asciiTheme="minorHAnsi" w:eastAsiaTheme="minorEastAsia" w:hAnsiTheme="minorHAnsi" w:cstheme="minorBidi"/>
          <w:szCs w:val="22"/>
        </w:rPr>
      </w:pPr>
      <w:r>
        <w:t>16B.</w:t>
      </w:r>
      <w:r>
        <w:tab/>
        <w:t>Commission’s costs of conducting polls</w:t>
      </w:r>
      <w:r>
        <w:tab/>
      </w:r>
      <w:r>
        <w:fldChar w:fldCharType="begin"/>
      </w:r>
      <w:r>
        <w:instrText xml:space="preserve"> PAGEREF _Toc80094901 \h </w:instrText>
      </w:r>
      <w:r>
        <w:fldChar w:fldCharType="separate"/>
      </w:r>
      <w:r>
        <w:t>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polls</w:t>
      </w:r>
      <w:r>
        <w:tab/>
      </w:r>
      <w:r>
        <w:fldChar w:fldCharType="begin"/>
      </w:r>
      <w:r>
        <w:instrText xml:space="preserve"> PAGEREF _Toc80094902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Other matters</w:t>
      </w:r>
    </w:p>
    <w:p>
      <w:pPr>
        <w:pStyle w:val="TOC8"/>
        <w:rPr>
          <w:rFonts w:asciiTheme="minorHAnsi" w:eastAsiaTheme="minorEastAsia" w:hAnsiTheme="minorHAnsi" w:cstheme="minorBidi"/>
          <w:szCs w:val="22"/>
        </w:rPr>
      </w:pPr>
      <w:r>
        <w:t>18</w:t>
      </w:r>
      <w:r>
        <w:rPr>
          <w:snapToGrid w:val="0"/>
        </w:rPr>
        <w:t>.</w:t>
      </w:r>
      <w:r>
        <w:rPr>
          <w:snapToGrid w:val="0"/>
        </w:rPr>
        <w:tab/>
        <w:t>Accounts</w:t>
      </w:r>
      <w:r>
        <w:tab/>
      </w:r>
      <w:r>
        <w:fldChar w:fldCharType="begin"/>
      </w:r>
      <w:r>
        <w:instrText xml:space="preserve"> PAGEREF _Toc80094904 \h </w:instrText>
      </w:r>
      <w:r>
        <w:fldChar w:fldCharType="separate"/>
      </w:r>
      <w:r>
        <w:t>28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Voluntary associations of producers</w:t>
      </w:r>
      <w:r>
        <w:tab/>
      </w:r>
      <w:r>
        <w:fldChar w:fldCharType="begin"/>
      </w:r>
      <w:r>
        <w:instrText xml:space="preserve"> PAGEREF _Toc80094905 \h </w:instrText>
      </w:r>
      <w:r>
        <w:fldChar w:fldCharType="separate"/>
      </w:r>
      <w:r>
        <w:t>29</w:t>
      </w:r>
      <w:r>
        <w:fldChar w:fldCharType="end"/>
      </w:r>
    </w:p>
    <w:p>
      <w:pPr>
        <w:pStyle w:val="TOC8"/>
        <w:rPr>
          <w:rFonts w:asciiTheme="minorHAnsi" w:eastAsiaTheme="minorEastAsia" w:hAnsiTheme="minorHAnsi" w:cstheme="minorBidi"/>
          <w:szCs w:val="22"/>
        </w:rPr>
      </w:pPr>
      <w:r>
        <w:t>19A.</w:t>
      </w:r>
      <w:r>
        <w:tab/>
        <w:t>Application to commercial and non</w:t>
      </w:r>
      <w:r>
        <w:noBreakHyphen/>
        <w:t>commercial producers of provisions relating to control of certain pests or diseases</w:t>
      </w:r>
      <w:r>
        <w:tab/>
      </w:r>
      <w:r>
        <w:fldChar w:fldCharType="begin"/>
      </w:r>
      <w:r>
        <w:instrText xml:space="preserve"> PAGEREF _Toc80094906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3A — Compliance</w:t>
      </w:r>
    </w:p>
    <w:p>
      <w:pPr>
        <w:pStyle w:val="TOC4"/>
        <w:tabs>
          <w:tab w:val="right" w:leader="dot" w:pos="7077"/>
        </w:tabs>
        <w:rPr>
          <w:rFonts w:asciiTheme="minorHAnsi" w:eastAsiaTheme="minorEastAsia" w:hAnsiTheme="minorHAnsi" w:cstheme="minorBidi"/>
          <w:b w:val="0"/>
          <w:szCs w:val="22"/>
        </w:rPr>
      </w:pPr>
      <w:r>
        <w:t>Division 1 — Authorised officers</w:t>
      </w:r>
    </w:p>
    <w:p>
      <w:pPr>
        <w:pStyle w:val="TOC8"/>
        <w:rPr>
          <w:rFonts w:asciiTheme="minorHAnsi" w:eastAsiaTheme="minorEastAsia" w:hAnsiTheme="minorHAnsi" w:cstheme="minorBidi"/>
          <w:szCs w:val="22"/>
        </w:rPr>
      </w:pPr>
      <w:r>
        <w:t>19B.</w:t>
      </w:r>
      <w:r>
        <w:tab/>
        <w:t>Authorised officers</w:t>
      </w:r>
      <w:r>
        <w:tab/>
      </w:r>
      <w:r>
        <w:fldChar w:fldCharType="begin"/>
      </w:r>
      <w:r>
        <w:instrText xml:space="preserve"> PAGEREF _Toc80094909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Powers of authorised officers</w:t>
      </w:r>
    </w:p>
    <w:p>
      <w:pPr>
        <w:pStyle w:val="TOC8"/>
        <w:rPr>
          <w:rFonts w:asciiTheme="minorHAnsi" w:eastAsiaTheme="minorEastAsia" w:hAnsiTheme="minorHAnsi" w:cstheme="minorBidi"/>
          <w:szCs w:val="22"/>
        </w:rPr>
      </w:pPr>
      <w:r>
        <w:t>19C.</w:t>
      </w:r>
      <w:r>
        <w:tab/>
        <w:t>Terms used</w:t>
      </w:r>
      <w:r>
        <w:tab/>
      </w:r>
      <w:r>
        <w:fldChar w:fldCharType="begin"/>
      </w:r>
      <w:r>
        <w:instrText xml:space="preserve"> PAGEREF _Toc80094911 \h </w:instrText>
      </w:r>
      <w:r>
        <w:fldChar w:fldCharType="separate"/>
      </w:r>
      <w:r>
        <w:t>31</w:t>
      </w:r>
      <w:r>
        <w:fldChar w:fldCharType="end"/>
      </w:r>
    </w:p>
    <w:p>
      <w:pPr>
        <w:pStyle w:val="TOC8"/>
        <w:rPr>
          <w:rFonts w:asciiTheme="minorHAnsi" w:eastAsiaTheme="minorEastAsia" w:hAnsiTheme="minorHAnsi" w:cstheme="minorBidi"/>
          <w:szCs w:val="22"/>
        </w:rPr>
      </w:pPr>
      <w:r>
        <w:t>19D.</w:t>
      </w:r>
      <w:r>
        <w:tab/>
        <w:t>Obtaining information and relevant records</w:t>
      </w:r>
      <w:r>
        <w:tab/>
      </w:r>
      <w:r>
        <w:fldChar w:fldCharType="begin"/>
      </w:r>
      <w:r>
        <w:instrText xml:space="preserve"> PAGEREF _Toc80094912 \h </w:instrText>
      </w:r>
      <w:r>
        <w:fldChar w:fldCharType="separate"/>
      </w:r>
      <w:r>
        <w:t>32</w:t>
      </w:r>
      <w:r>
        <w:fldChar w:fldCharType="end"/>
      </w:r>
    </w:p>
    <w:p>
      <w:pPr>
        <w:pStyle w:val="TOC8"/>
        <w:rPr>
          <w:rFonts w:asciiTheme="minorHAnsi" w:eastAsiaTheme="minorEastAsia" w:hAnsiTheme="minorHAnsi" w:cstheme="minorBidi"/>
          <w:szCs w:val="22"/>
        </w:rPr>
      </w:pPr>
      <w:r>
        <w:t>19E.</w:t>
      </w:r>
      <w:r>
        <w:tab/>
        <w:t>Failure to comply with directions</w:t>
      </w:r>
      <w:r>
        <w:tab/>
      </w:r>
      <w:r>
        <w:fldChar w:fldCharType="begin"/>
      </w:r>
      <w:r>
        <w:instrText xml:space="preserve"> PAGEREF _Toc80094913 \h </w:instrText>
      </w:r>
      <w:r>
        <w:fldChar w:fldCharType="separate"/>
      </w:r>
      <w:r>
        <w:t>33</w:t>
      </w:r>
      <w:r>
        <w:fldChar w:fldCharType="end"/>
      </w:r>
    </w:p>
    <w:p>
      <w:pPr>
        <w:pStyle w:val="TOC8"/>
        <w:rPr>
          <w:rFonts w:asciiTheme="minorHAnsi" w:eastAsiaTheme="minorEastAsia" w:hAnsiTheme="minorHAnsi" w:cstheme="minorBidi"/>
          <w:szCs w:val="22"/>
        </w:rPr>
      </w:pPr>
      <w:r>
        <w:t>19F.</w:t>
      </w:r>
      <w:r>
        <w:tab/>
        <w:t>Self</w:t>
      </w:r>
      <w:r>
        <w:noBreakHyphen/>
        <w:t>incrimination not an excuse</w:t>
      </w:r>
      <w:r>
        <w:tab/>
      </w:r>
      <w:r>
        <w:fldChar w:fldCharType="begin"/>
      </w:r>
      <w:r>
        <w:instrText xml:space="preserve"> PAGEREF _Toc80094914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19G.</w:t>
      </w:r>
      <w:r>
        <w:tab/>
        <w:t>False or misleading information</w:t>
      </w:r>
      <w:r>
        <w:tab/>
      </w:r>
      <w:r>
        <w:fldChar w:fldCharType="begin"/>
      </w:r>
      <w:r>
        <w:instrText xml:space="preserve"> PAGEREF _Toc80094916 \h </w:instrText>
      </w:r>
      <w:r>
        <w:fldChar w:fldCharType="separate"/>
      </w:r>
      <w:r>
        <w:t>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Financial provisions</w:t>
      </w:r>
      <w:r>
        <w:tab/>
      </w:r>
      <w:r>
        <w:fldChar w:fldCharType="begin"/>
      </w:r>
      <w:r>
        <w:instrText xml:space="preserve"> PAGEREF _Toc80094917 \h </w:instrText>
      </w:r>
      <w:r>
        <w:fldChar w:fldCharType="separate"/>
      </w:r>
      <w:r>
        <w:t>36</w:t>
      </w:r>
      <w:r>
        <w:fldChar w:fldCharType="end"/>
      </w:r>
    </w:p>
    <w:p>
      <w:pPr>
        <w:pStyle w:val="TOC8"/>
        <w:rPr>
          <w:rFonts w:asciiTheme="minorHAnsi" w:eastAsiaTheme="minorEastAsia" w:hAnsiTheme="minorHAnsi" w:cstheme="minorBidi"/>
          <w:szCs w:val="22"/>
        </w:rPr>
      </w:pPr>
      <w:r>
        <w:t>20A.</w:t>
      </w:r>
      <w:r>
        <w:tab/>
        <w:t>Giving notices and other documents electronically</w:t>
      </w:r>
      <w:r>
        <w:tab/>
      </w:r>
      <w:r>
        <w:fldChar w:fldCharType="begin"/>
      </w:r>
      <w:r>
        <w:instrText xml:space="preserve"> PAGEREF _Toc80094918 \h </w:instrText>
      </w:r>
      <w:r>
        <w:fldChar w:fldCharType="separate"/>
      </w:r>
      <w:r>
        <w:t>36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Authentication</w:t>
      </w:r>
      <w:r>
        <w:tab/>
      </w:r>
      <w:r>
        <w:fldChar w:fldCharType="begin"/>
      </w:r>
      <w:r>
        <w:instrText xml:space="preserve"> PAGEREF _Toc80094919 \h </w:instrText>
      </w:r>
      <w:r>
        <w:fldChar w:fldCharType="separate"/>
      </w:r>
      <w:r>
        <w:t>36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Recovery of charges</w:t>
      </w:r>
      <w:r>
        <w:tab/>
      </w:r>
      <w:r>
        <w:fldChar w:fldCharType="begin"/>
      </w:r>
      <w:r>
        <w:instrText xml:space="preserve"> PAGEREF _Toc80094920 \h </w:instrText>
      </w:r>
      <w:r>
        <w:fldChar w:fldCharType="separate"/>
      </w:r>
      <w:r>
        <w:t>37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Evidentiary</w:t>
      </w:r>
      <w:r>
        <w:tab/>
      </w:r>
      <w:r>
        <w:fldChar w:fldCharType="begin"/>
      </w:r>
      <w:r>
        <w:instrText xml:space="preserve"> PAGEREF _Toc80094921 \h </w:instrText>
      </w:r>
      <w:r>
        <w:fldChar w:fldCharType="separate"/>
      </w:r>
      <w:r>
        <w:t>37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r>
      <w:r>
        <w:t>Protection from liability</w:t>
      </w:r>
      <w:r>
        <w:tab/>
      </w:r>
      <w:r>
        <w:fldChar w:fldCharType="begin"/>
      </w:r>
      <w:r>
        <w:instrText xml:space="preserve"> PAGEREF _Toc80094922 \h </w:instrText>
      </w:r>
      <w:r>
        <w:fldChar w:fldCharType="separate"/>
      </w:r>
      <w:r>
        <w:t>38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Regulations</w:t>
      </w:r>
      <w:r>
        <w:tab/>
      </w:r>
      <w:r>
        <w:fldChar w:fldCharType="begin"/>
      </w:r>
      <w:r>
        <w:instrText xml:space="preserve"> PAGEREF _Toc80094923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 The Commission and its proceedings</w:t>
      </w:r>
    </w:p>
    <w:p>
      <w:pPr>
        <w:pStyle w:val="TOC8"/>
        <w:rPr>
          <w:rFonts w:asciiTheme="minorHAnsi" w:eastAsiaTheme="minorEastAsia" w:hAnsiTheme="minorHAnsi" w:cstheme="minorBidi"/>
          <w:szCs w:val="22"/>
        </w:rPr>
      </w:pPr>
      <w:r>
        <w:t>1</w:t>
      </w:r>
      <w:r>
        <w:rPr>
          <w:snapToGrid w:val="0"/>
        </w:rPr>
        <w:t>.</w:t>
      </w:r>
      <w:r>
        <w:rPr>
          <w:snapToGrid w:val="0"/>
        </w:rPr>
        <w:tab/>
        <w:t>Term of office of member of Commission</w:t>
      </w:r>
      <w:r>
        <w:tab/>
      </w:r>
      <w:r>
        <w:fldChar w:fldCharType="begin"/>
      </w:r>
      <w:r>
        <w:instrText xml:space="preserve"> PAGEREF _Toc80094925 \h </w:instrText>
      </w:r>
      <w:r>
        <w:fldChar w:fldCharType="separate"/>
      </w:r>
      <w:r>
        <w:t>41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Remuneration of member of Commission</w:t>
      </w:r>
      <w:r>
        <w:tab/>
      </w:r>
      <w:r>
        <w:fldChar w:fldCharType="begin"/>
      </w:r>
      <w:r>
        <w:instrText xml:space="preserve"> PAGEREF _Toc80094926 \h </w:instrText>
      </w:r>
      <w:r>
        <w:fldChar w:fldCharType="separate"/>
      </w:r>
      <w:r>
        <w:t>41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Casual vacancies</w:t>
      </w:r>
      <w:r>
        <w:tab/>
      </w:r>
      <w:r>
        <w:fldChar w:fldCharType="begin"/>
      </w:r>
      <w:r>
        <w:instrText xml:space="preserve"> PAGEREF _Toc80094927 \h </w:instrText>
      </w:r>
      <w:r>
        <w:fldChar w:fldCharType="separate"/>
      </w:r>
      <w:r>
        <w:t>41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Vacation of office</w:t>
      </w:r>
      <w:r>
        <w:tab/>
      </w:r>
      <w:r>
        <w:fldChar w:fldCharType="begin"/>
      </w:r>
      <w:r>
        <w:instrText xml:space="preserve"> PAGEREF _Toc80094928 \h </w:instrText>
      </w:r>
      <w:r>
        <w:fldChar w:fldCharType="separate"/>
      </w:r>
      <w:r>
        <w:t>41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Disclosure</w:t>
      </w:r>
      <w:r>
        <w:tab/>
      </w:r>
      <w:r>
        <w:fldChar w:fldCharType="begin"/>
      </w:r>
      <w:r>
        <w:instrText xml:space="preserve"> PAGEREF _Toc80094929 \h </w:instrText>
      </w:r>
      <w:r>
        <w:fldChar w:fldCharType="separate"/>
      </w:r>
      <w:r>
        <w:t>42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Meetings</w:t>
      </w:r>
      <w:r>
        <w:tab/>
      </w:r>
      <w:r>
        <w:fldChar w:fldCharType="begin"/>
      </w:r>
      <w:r>
        <w:instrText xml:space="preserve"> PAGEREF _Toc80094930 \h </w:instrText>
      </w:r>
      <w:r>
        <w:fldChar w:fldCharType="separate"/>
      </w:r>
      <w:r>
        <w:t>42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Resolution without meeting</w:t>
      </w:r>
      <w:r>
        <w:tab/>
      </w:r>
      <w:r>
        <w:fldChar w:fldCharType="begin"/>
      </w:r>
      <w:r>
        <w:instrText xml:space="preserve"> PAGEREF _Toc80094931 \h </w:instrText>
      </w:r>
      <w:r>
        <w:fldChar w:fldCharType="separate"/>
      </w:r>
      <w:r>
        <w:t>43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Procedures of Commission</w:t>
      </w:r>
      <w:r>
        <w:tab/>
      </w:r>
      <w:r>
        <w:fldChar w:fldCharType="begin"/>
      </w:r>
      <w:r>
        <w:instrText xml:space="preserve"> PAGEREF _Toc80094932 \h </w:instrText>
      </w:r>
      <w:r>
        <w:fldChar w:fldCharType="separate"/>
      </w:r>
      <w:r>
        <w:t>43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Validity of acts of Commission</w:t>
      </w:r>
      <w:r>
        <w:tab/>
      </w:r>
      <w:r>
        <w:fldChar w:fldCharType="begin"/>
      </w:r>
      <w:r>
        <w:instrText xml:space="preserve"> PAGEREF _Toc80094933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_Toc80094935 \h </w:instrText>
      </w:r>
      <w:r>
        <w:fldChar w:fldCharType="separate"/>
      </w:r>
      <w:r>
        <w:t>44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_Toc80094936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Agricultural Produce Commission Act 1988</w:t>
      </w:r>
    </w:p>
    <w:p>
      <w:pPr>
        <w:pStyle w:val="LongTitle"/>
      </w:pPr>
      <w:r>
        <w:t>An Act to —</w:t>
      </w:r>
    </w:p>
    <w:p>
      <w:pPr>
        <w:pStyle w:val="LongTitle2"/>
      </w:pPr>
      <w:r>
        <w:tab/>
        <w:t>•</w:t>
      </w:r>
      <w:r>
        <w:tab/>
        <w:t>provide for the constitution of an Agricultural Produce Commission for the purposes of encouraging initiative among producers of agricultural produce to form producers’ committees for the purposes of providing services to producers of agricultural produce; and</w:t>
      </w:r>
    </w:p>
    <w:p>
      <w:pPr>
        <w:pStyle w:val="LongTitle2"/>
      </w:pPr>
      <w:r>
        <w:tab/>
        <w:t>•</w:t>
      </w:r>
      <w:r>
        <w:tab/>
        <w:t>define the functions of the Commission and producers’ committees; and</w:t>
      </w:r>
    </w:p>
    <w:p>
      <w:pPr>
        <w:pStyle w:val="LongTitle2"/>
      </w:pPr>
      <w:r>
        <w:tab/>
        <w:t>•</w:t>
      </w:r>
      <w:r>
        <w:tab/>
        <w:t>authorise the determination and imposition of charges for services; and</w:t>
      </w:r>
    </w:p>
    <w:p>
      <w:pPr>
        <w:pStyle w:val="LongTitle2"/>
      </w:pPr>
      <w:r>
        <w:tab/>
        <w:t>•</w:t>
      </w:r>
      <w:r>
        <w:tab/>
        <w:t xml:space="preserve">amend the </w:t>
      </w:r>
      <w:r>
        <w:rPr>
          <w:i/>
          <w:iCs/>
        </w:rPr>
        <w:t>Parliamentary Commissioner Act 1971</w:t>
      </w:r>
      <w:r>
        <w:t xml:space="preserve"> and the </w:t>
      </w:r>
      <w:r>
        <w:rPr>
          <w:i/>
          <w:iCs/>
        </w:rPr>
        <w:t>Constitution Acts Amendment Act 1899</w:t>
      </w:r>
      <w:r>
        <w:rPr>
          <w:snapToGrid w:val="0"/>
          <w:vertAlign w:val="superscript"/>
        </w:rPr>
        <w:t> 1</w:t>
      </w:r>
      <w:r>
        <w:t>,</w:t>
      </w:r>
    </w:p>
    <w:p>
      <w:pPr>
        <w:pStyle w:val="LongTitle"/>
        <w:spacing w:before="80"/>
      </w:pPr>
      <w:r>
        <w:t>and for related purposes.</w:t>
      </w:r>
    </w:p>
    <w:p>
      <w:pPr>
        <w:pStyle w:val="Footnotelongtitle"/>
      </w:pPr>
      <w:r>
        <w:tab/>
        <w:t>[Long title inserted: No. 20 of 2000 s. 4.]</w:t>
      </w:r>
    </w:p>
    <w:p>
      <w:pPr>
        <w:pStyle w:val="Heading2"/>
      </w:pPr>
      <w:bookmarkStart w:id="3" w:name="_Toc80017483"/>
      <w:bookmarkStart w:id="4" w:name="_Toc80024887"/>
      <w:bookmarkStart w:id="5" w:name="_Toc80084765"/>
      <w:bookmarkStart w:id="6" w:name="_Toc8009486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80094865"/>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rPr>
        <w:t>Agricultural</w:t>
      </w:r>
      <w:r>
        <w:rPr>
          <w:i/>
          <w:snapToGrid w:val="0"/>
        </w:rPr>
        <w:t xml:space="preserve"> Produce Commission Act 1988</w:t>
      </w:r>
      <w:r>
        <w:rPr>
          <w:snapToGrid w:val="0"/>
        </w:rPr>
        <w:t>.</w:t>
      </w:r>
    </w:p>
    <w:p>
      <w:pPr>
        <w:pStyle w:val="Footnotesection"/>
      </w:pPr>
      <w:r>
        <w:tab/>
        <w:t>[Section 1 amended: No. 20 of 2000 s. 5.]</w:t>
      </w:r>
    </w:p>
    <w:p>
      <w:pPr>
        <w:pStyle w:val="Heading5"/>
        <w:rPr>
          <w:snapToGrid w:val="0"/>
        </w:rPr>
      </w:pPr>
      <w:bookmarkStart w:id="8" w:name="_Toc80094866"/>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9" w:name="_Toc80094867"/>
      <w:r>
        <w:rPr>
          <w:rStyle w:val="CharSectno"/>
        </w:rPr>
        <w:t>3</w:t>
      </w:r>
      <w:r>
        <w:rPr>
          <w:snapToGrid w:val="0"/>
        </w:rPr>
        <w:t>.</w:t>
      </w:r>
      <w:r>
        <w:rPr>
          <w:snapToGrid w:val="0"/>
        </w:rPr>
        <w:tab/>
        <w:t>Terms used</w:t>
      </w:r>
      <w:bookmarkEnd w:id="9"/>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agricultural industry</w:t>
      </w:r>
      <w:r>
        <w:t xml:space="preserve"> means a horticultural industry and such other agricultural industry as is prescribed for the purposes of this definition, other than an industry that concerns livestock enterprises generally conducted on land under a pastoral lease;</w:t>
      </w:r>
    </w:p>
    <w:p>
      <w:pPr>
        <w:pStyle w:val="Defstart"/>
      </w:pPr>
      <w:r>
        <w:tab/>
      </w:r>
      <w:r>
        <w:rPr>
          <w:rStyle w:val="CharDefText"/>
        </w:rPr>
        <w:t>authorised officer</w:t>
      </w:r>
      <w:r>
        <w:t xml:space="preserve"> means a person designated under section 19B as an authorised officer;</w:t>
      </w:r>
    </w:p>
    <w:p>
      <w:pPr>
        <w:pStyle w:val="Defstart"/>
      </w:pPr>
      <w:r>
        <w:tab/>
      </w:r>
      <w:r>
        <w:rPr>
          <w:rStyle w:val="CharDefText"/>
        </w:rPr>
        <w:t>agricultural produce</w:t>
      </w:r>
      <w:r>
        <w:t xml:space="preserve"> means the produce of an agricultural industry;</w:t>
      </w:r>
    </w:p>
    <w:p>
      <w:pPr>
        <w:pStyle w:val="Defstart"/>
      </w:pPr>
      <w:r>
        <w:rPr>
          <w:b/>
        </w:rPr>
        <w:tab/>
      </w:r>
      <w:r>
        <w:rPr>
          <w:rStyle w:val="CharDefText"/>
        </w:rPr>
        <w:t>Commission</w:t>
      </w:r>
      <w:r>
        <w:t xml:space="preserve"> means the Agricultural Produce Commission established under section 4;</w:t>
      </w:r>
    </w:p>
    <w:p>
      <w:pPr>
        <w:pStyle w:val="Defstart"/>
      </w:pPr>
      <w:r>
        <w:rPr>
          <w:b/>
        </w:rPr>
        <w:tab/>
      </w:r>
      <w:r>
        <w:rPr>
          <w:rStyle w:val="CharDefText"/>
        </w:rPr>
        <w:t>member</w:t>
      </w:r>
      <w:r>
        <w:t xml:space="preserve"> in relation to —</w:t>
      </w:r>
    </w:p>
    <w:p>
      <w:pPr>
        <w:pStyle w:val="Defpara"/>
      </w:pPr>
      <w:r>
        <w:tab/>
        <w:t>(a)</w:t>
      </w:r>
      <w:r>
        <w:tab/>
        <w:t>the Commission, means a member of the Commission and includes the chairperson;</w:t>
      </w:r>
    </w:p>
    <w:p>
      <w:pPr>
        <w:pStyle w:val="Defpara"/>
      </w:pPr>
      <w:r>
        <w:tab/>
        <w:t>(b)</w:t>
      </w:r>
      <w:r>
        <w:tab/>
        <w:t>a producers’ committee, means a member of the producers’ committee and includes the chairperson;</w:t>
      </w:r>
    </w:p>
    <w:p>
      <w:pPr>
        <w:pStyle w:val="Defstart"/>
      </w:pPr>
      <w:r>
        <w:tab/>
      </w:r>
      <w:r>
        <w:rPr>
          <w:rStyle w:val="CharDefText"/>
        </w:rPr>
        <w:t>pastoral lease</w:t>
      </w:r>
      <w:r>
        <w:t xml:space="preserve"> has the meaning given in the </w:t>
      </w:r>
      <w:r>
        <w:rPr>
          <w:i/>
        </w:rPr>
        <w:t>Land Administration Act 1997</w:t>
      </w:r>
      <w:r>
        <w:t xml:space="preserve"> section 3(1);</w:t>
      </w:r>
    </w:p>
    <w:p>
      <w:pPr>
        <w:pStyle w:val="Defstart"/>
      </w:pPr>
      <w:r>
        <w:rPr>
          <w:b/>
        </w:rPr>
        <w:tab/>
      </w:r>
      <w:r>
        <w:rPr>
          <w:rStyle w:val="CharDefText"/>
        </w:rPr>
        <w:t>producers’ committee</w:t>
      </w:r>
      <w:r>
        <w:t xml:space="preserve"> means a producers’ committee established under section 11.</w:t>
      </w:r>
    </w:p>
    <w:p>
      <w:pPr>
        <w:pStyle w:val="Ednotesubsection"/>
      </w:pPr>
      <w:r>
        <w:lastRenderedPageBreak/>
        <w:tab/>
        <w:t>[(2)</w:t>
      </w:r>
      <w:r>
        <w:tab/>
        <w:t>deleted]</w:t>
      </w:r>
    </w:p>
    <w:p>
      <w:pPr>
        <w:pStyle w:val="Footnotesection"/>
      </w:pPr>
      <w:r>
        <w:tab/>
        <w:t>[Section 3 amended: No. 9 of 1998 s. 16; No. 20 of 2000 s. 6; No. 11 of 2021 s. 4.]</w:t>
      </w:r>
    </w:p>
    <w:p>
      <w:pPr>
        <w:pStyle w:val="Heading2"/>
      </w:pPr>
      <w:bookmarkStart w:id="10" w:name="_Toc80017487"/>
      <w:bookmarkStart w:id="11" w:name="_Toc80024891"/>
      <w:bookmarkStart w:id="12" w:name="_Toc80084769"/>
      <w:bookmarkStart w:id="13" w:name="_Toc80094868"/>
      <w:r>
        <w:rPr>
          <w:rStyle w:val="CharPartNo"/>
        </w:rPr>
        <w:lastRenderedPageBreak/>
        <w:t>Part 2</w:t>
      </w:r>
      <w:r>
        <w:t> — </w:t>
      </w:r>
      <w:r>
        <w:rPr>
          <w:rStyle w:val="CharPartText"/>
        </w:rPr>
        <w:t>Agricultural Produce Commission</w:t>
      </w:r>
      <w:bookmarkEnd w:id="10"/>
      <w:bookmarkEnd w:id="11"/>
      <w:bookmarkEnd w:id="12"/>
      <w:bookmarkEnd w:id="13"/>
    </w:p>
    <w:p>
      <w:pPr>
        <w:pStyle w:val="Footnoteheading"/>
        <w:ind w:left="890"/>
      </w:pPr>
      <w:r>
        <w:tab/>
        <w:t>[Heading inserted: No. 20 of 2000 s. 7.]</w:t>
      </w:r>
    </w:p>
    <w:p>
      <w:pPr>
        <w:pStyle w:val="Heading5"/>
        <w:rPr>
          <w:snapToGrid w:val="0"/>
        </w:rPr>
      </w:pPr>
      <w:bookmarkStart w:id="14" w:name="_Toc80094869"/>
      <w:r>
        <w:rPr>
          <w:rStyle w:val="CharSectno"/>
        </w:rPr>
        <w:t>4</w:t>
      </w:r>
      <w:r>
        <w:rPr>
          <w:snapToGrid w:val="0"/>
        </w:rPr>
        <w:t>.</w:t>
      </w:r>
      <w:r>
        <w:rPr>
          <w:snapToGrid w:val="0"/>
        </w:rPr>
        <w:tab/>
      </w:r>
      <w:r>
        <w:t>Agricultural</w:t>
      </w:r>
      <w:r>
        <w:rPr>
          <w:snapToGrid w:val="0"/>
        </w:rPr>
        <w:t xml:space="preserve"> Produce Commission established</w:t>
      </w:r>
      <w:bookmarkEnd w:id="14"/>
    </w:p>
    <w:p>
      <w:pPr>
        <w:pStyle w:val="Subsection"/>
        <w:rPr>
          <w:snapToGrid w:val="0"/>
        </w:rPr>
      </w:pPr>
      <w:r>
        <w:rPr>
          <w:snapToGrid w:val="0"/>
        </w:rPr>
        <w:tab/>
        <w:t>(1)</w:t>
      </w:r>
      <w:r>
        <w:rPr>
          <w:snapToGrid w:val="0"/>
        </w:rPr>
        <w:tab/>
        <w:t xml:space="preserve">There is hereby established a body to be called the </w:t>
      </w:r>
      <w:r>
        <w:t>Agricultural</w:t>
      </w:r>
      <w:r>
        <w:rPr>
          <w:snapToGrid w:val="0"/>
        </w:rPr>
        <w:t xml:space="preserve"> Produce Commission.</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managing, leasing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a corporation may lawfully do and suffer.</w:t>
      </w:r>
    </w:p>
    <w:p>
      <w:pPr>
        <w:pStyle w:val="Subsection"/>
        <w:rPr>
          <w:snapToGrid w:val="0"/>
        </w:rPr>
      </w:pPr>
      <w:r>
        <w:rPr>
          <w:snapToGrid w:val="0"/>
        </w:rPr>
        <w:tab/>
        <w:t>(3)</w:t>
      </w:r>
      <w:r>
        <w:rPr>
          <w:snapToGrid w:val="0"/>
        </w:rPr>
        <w:tab/>
        <w:t>The Commission is not an agent of the Crown in right of the State.</w:t>
      </w:r>
    </w:p>
    <w:p>
      <w:pPr>
        <w:pStyle w:val="Footnotesection"/>
      </w:pPr>
      <w:r>
        <w:tab/>
        <w:t>[Section 4 amended: No. 20 of 2000 s. 8 and 27.]</w:t>
      </w:r>
    </w:p>
    <w:p>
      <w:pPr>
        <w:pStyle w:val="Heading5"/>
      </w:pPr>
      <w:bookmarkStart w:id="15" w:name="_Toc80094870"/>
      <w:r>
        <w:rPr>
          <w:rStyle w:val="CharSectno"/>
        </w:rPr>
        <w:t>5</w:t>
      </w:r>
      <w:r>
        <w:t>.</w:t>
      </w:r>
      <w:r>
        <w:tab/>
        <w:t>Constitution of Commission</w:t>
      </w:r>
      <w:bookmarkEnd w:id="15"/>
    </w:p>
    <w:p>
      <w:pPr>
        <w:pStyle w:val="Subsection"/>
      </w:pPr>
      <w:r>
        <w:tab/>
        <w:t>(1)</w:t>
      </w:r>
      <w:r>
        <w:tab/>
        <w:t>The Commission is to consist of 3 or 4 members appointed by the Minister.</w:t>
      </w:r>
    </w:p>
    <w:p>
      <w:pPr>
        <w:pStyle w:val="Subsection"/>
      </w:pPr>
      <w:r>
        <w:tab/>
        <w:t>(2)</w:t>
      </w:r>
      <w:r>
        <w:tab/>
        <w:t>A member of the Commission is to have, in the Minister’s opinion, a broad understanding of agricultural industry and —</w:t>
      </w:r>
    </w:p>
    <w:p>
      <w:pPr>
        <w:pStyle w:val="Indenta"/>
      </w:pPr>
      <w:r>
        <w:tab/>
        <w:t>(a)</w:t>
      </w:r>
      <w:r>
        <w:tab/>
        <w:t>experience in financial management; or</w:t>
      </w:r>
    </w:p>
    <w:p>
      <w:pPr>
        <w:pStyle w:val="Indenta"/>
      </w:pPr>
      <w:r>
        <w:tab/>
        <w:t>(b)</w:t>
      </w:r>
      <w:r>
        <w:tab/>
        <w:t>other experience relevant to the Commission’s functions.</w:t>
      </w:r>
    </w:p>
    <w:p>
      <w:pPr>
        <w:pStyle w:val="Subsection"/>
      </w:pPr>
      <w:r>
        <w:tab/>
        <w:t>(3)</w:t>
      </w:r>
      <w:r>
        <w:tab/>
        <w:t>The Minister shall, prior to making any appointments to the Commission, establish in writing the particular experience relevant to the Commission’s functions which the Minister determines is necessary for membership of the Commission.</w:t>
      </w:r>
    </w:p>
    <w:p>
      <w:pPr>
        <w:pStyle w:val="Subsection"/>
        <w:keepNext/>
      </w:pPr>
      <w:r>
        <w:lastRenderedPageBreak/>
        <w:tab/>
        <w:t>(4)</w:t>
      </w:r>
      <w:r>
        <w:tab/>
        <w:t>The Minister shall —</w:t>
      </w:r>
    </w:p>
    <w:p>
      <w:pPr>
        <w:pStyle w:val="Indenta"/>
      </w:pPr>
      <w:r>
        <w:tab/>
        <w:t>(a)</w:t>
      </w:r>
      <w:r>
        <w:tab/>
        <w:t>publish and make available on request the selection criteria for membership of the Commission established under subsection (3);</w:t>
      </w:r>
    </w:p>
    <w:p>
      <w:pPr>
        <w:pStyle w:val="Indenta"/>
      </w:pPr>
      <w:r>
        <w:tab/>
        <w:t>(b)</w:t>
      </w:r>
      <w:r>
        <w:tab/>
        <w:t>advertise in a major newspaper circulating in the State when there is a vacancy in the Commission’s membership, and that applicants are invited to apply;</w:t>
      </w:r>
    </w:p>
    <w:p>
      <w:pPr>
        <w:pStyle w:val="Indenta"/>
      </w:pPr>
      <w:r>
        <w:tab/>
        <w:t>(c)</w:t>
      </w:r>
      <w:r>
        <w:tab/>
        <w:t>indicate in such advertisement any conditions required of candidates for membership of the Commission including the disclosure of any possible conflicts of interest.</w:t>
      </w:r>
    </w:p>
    <w:p>
      <w:pPr>
        <w:pStyle w:val="Subsection"/>
      </w:pPr>
      <w:r>
        <w:tab/>
        <w:t>(5)</w:t>
      </w:r>
      <w:r>
        <w:tab/>
        <w:t>The Minister is to appoint one of the members of the Commission to be the chairperson.</w:t>
      </w:r>
    </w:p>
    <w:p>
      <w:pPr>
        <w:pStyle w:val="Subsection"/>
      </w:pPr>
      <w:r>
        <w:tab/>
        <w:t>(6)</w:t>
      </w:r>
      <w:r>
        <w:tab/>
        <w:t>The Schedule has effect with respect to the Commission and its acts and proceedings.</w:t>
      </w:r>
    </w:p>
    <w:p>
      <w:pPr>
        <w:pStyle w:val="Footnotesection"/>
      </w:pPr>
      <w:r>
        <w:tab/>
        <w:t>[Section 5 inserted: No. 20 of 2000 s. 9; amended: No. 11 of 2021 s. 5.]</w:t>
      </w:r>
    </w:p>
    <w:p>
      <w:pPr>
        <w:pStyle w:val="Heading5"/>
        <w:rPr>
          <w:snapToGrid w:val="0"/>
        </w:rPr>
      </w:pPr>
      <w:bookmarkStart w:id="16" w:name="_Toc80094871"/>
      <w:r>
        <w:rPr>
          <w:rStyle w:val="CharSectno"/>
        </w:rPr>
        <w:t>6</w:t>
      </w:r>
      <w:r>
        <w:rPr>
          <w:snapToGrid w:val="0"/>
        </w:rPr>
        <w:t>.</w:t>
      </w:r>
      <w:r>
        <w:rPr>
          <w:snapToGrid w:val="0"/>
        </w:rPr>
        <w:tab/>
        <w:t>Functions of Commission</w:t>
      </w:r>
      <w:bookmarkEnd w:id="16"/>
    </w:p>
    <w:p>
      <w:pPr>
        <w:pStyle w:val="Subsection"/>
        <w:rPr>
          <w:snapToGrid w:val="0"/>
        </w:rPr>
      </w:pPr>
      <w:r>
        <w:rPr>
          <w:snapToGrid w:val="0"/>
        </w:rPr>
        <w:tab/>
        <w:t>(1)</w:t>
      </w:r>
      <w:r>
        <w:rPr>
          <w:snapToGrid w:val="0"/>
        </w:rPr>
        <w:tab/>
        <w:t>Subject to this Act the Commission may —</w:t>
      </w:r>
    </w:p>
    <w:p>
      <w:pPr>
        <w:pStyle w:val="Indenta"/>
        <w:rPr>
          <w:snapToGrid w:val="0"/>
        </w:rPr>
      </w:pPr>
      <w:r>
        <w:rPr>
          <w:snapToGrid w:val="0"/>
        </w:rPr>
        <w:tab/>
        <w:t>(a)</w:t>
      </w:r>
      <w:r>
        <w:rPr>
          <w:snapToGrid w:val="0"/>
        </w:rPr>
        <w:tab/>
        <w:t xml:space="preserve">establish producers’ committees </w:t>
      </w:r>
      <w:r>
        <w:t>with responsibility for</w:t>
      </w:r>
      <w:r>
        <w:rPr>
          <w:snapToGrid w:val="0"/>
        </w:rPr>
        <w:t xml:space="preserve"> </w:t>
      </w:r>
      <w:r>
        <w:t>agricultural</w:t>
      </w:r>
      <w:r>
        <w:rPr>
          <w:snapToGrid w:val="0"/>
        </w:rPr>
        <w:t xml:space="preserve"> produce; and</w:t>
      </w:r>
    </w:p>
    <w:p>
      <w:pPr>
        <w:pStyle w:val="Indenta"/>
      </w:pPr>
      <w:r>
        <w:tab/>
        <w:t>(aa)</w:t>
      </w:r>
      <w:r>
        <w:tab/>
        <w:t>allocate responsibility for agricultural produce to existing producers’ committees; and</w:t>
      </w:r>
    </w:p>
    <w:p>
      <w:pPr>
        <w:pStyle w:val="Indenta"/>
      </w:pPr>
      <w:r>
        <w:tab/>
        <w:t>(ab)</w:t>
      </w:r>
      <w:r>
        <w:tab/>
        <w:t>remove responsibility for agricultural produce from producers’ committees; and</w:t>
      </w:r>
    </w:p>
    <w:p>
      <w:pPr>
        <w:pStyle w:val="Indenta"/>
        <w:rPr>
          <w:snapToGrid w:val="0"/>
        </w:rPr>
      </w:pPr>
      <w:r>
        <w:rPr>
          <w:snapToGrid w:val="0"/>
        </w:rPr>
        <w:tab/>
        <w:t>(b)</w:t>
      </w:r>
      <w:r>
        <w:rPr>
          <w:snapToGrid w:val="0"/>
        </w:rPr>
        <w:tab/>
        <w:t>appoint members to producers’ committees; and</w:t>
      </w:r>
    </w:p>
    <w:p>
      <w:pPr>
        <w:pStyle w:val="Indenta"/>
        <w:rPr>
          <w:snapToGrid w:val="0"/>
        </w:rPr>
      </w:pPr>
      <w:r>
        <w:rPr>
          <w:snapToGrid w:val="0"/>
        </w:rPr>
        <w:tab/>
        <w:t>(c)</w:t>
      </w:r>
      <w:r>
        <w:rPr>
          <w:snapToGrid w:val="0"/>
        </w:rPr>
        <w:tab/>
        <w:t>advertise for the formation of producers’ committees; and</w:t>
      </w:r>
    </w:p>
    <w:p>
      <w:pPr>
        <w:pStyle w:val="Indenta"/>
      </w:pPr>
      <w:r>
        <w:tab/>
        <w:t>(d)</w:t>
      </w:r>
      <w:r>
        <w:tab/>
        <w:t>conduct polls under this Act; and</w:t>
      </w:r>
    </w:p>
    <w:p>
      <w:pPr>
        <w:pStyle w:val="Indenta"/>
      </w:pPr>
      <w:r>
        <w:tab/>
        <w:t>(da)</w:t>
      </w:r>
      <w:r>
        <w:tab/>
        <w:t>wind up the affairs of producers’ committees and appoint liquidators for that purpose; and</w:t>
      </w:r>
    </w:p>
    <w:p>
      <w:pPr>
        <w:pStyle w:val="Indenta"/>
      </w:pPr>
      <w:r>
        <w:lastRenderedPageBreak/>
        <w:tab/>
        <w:t>(e)</w:t>
      </w:r>
      <w:r>
        <w:tab/>
        <w:t>dissolve producers’ committees; and</w:t>
      </w:r>
    </w:p>
    <w:p>
      <w:pPr>
        <w:pStyle w:val="Indenta"/>
        <w:rPr>
          <w:snapToGrid w:val="0"/>
        </w:rPr>
      </w:pPr>
      <w:r>
        <w:rPr>
          <w:snapToGrid w:val="0"/>
        </w:rPr>
        <w:tab/>
        <w:t>(f)</w:t>
      </w:r>
      <w:r>
        <w:rPr>
          <w:snapToGrid w:val="0"/>
        </w:rPr>
        <w:tab/>
        <w:t>provide such services in relation to the functioning of producers’ committees as are necessary from time to time; and</w:t>
      </w:r>
    </w:p>
    <w:p>
      <w:pPr>
        <w:pStyle w:val="Indenta"/>
      </w:pPr>
      <w:r>
        <w:tab/>
        <w:t>(fa)</w:t>
      </w:r>
      <w:r>
        <w:tab/>
        <w:t>provide, as are necessary from time to time, persons to assist producers’ committees in carrying out their functions under this Act; and</w:t>
      </w:r>
    </w:p>
    <w:p>
      <w:pPr>
        <w:pStyle w:val="Indenta"/>
        <w:rPr>
          <w:snapToGrid w:val="0"/>
        </w:rPr>
      </w:pPr>
      <w:r>
        <w:rPr>
          <w:snapToGrid w:val="0"/>
        </w:rPr>
        <w:tab/>
        <w:t>(g)</w:t>
      </w:r>
      <w:r>
        <w:rPr>
          <w:snapToGrid w:val="0"/>
        </w:rPr>
        <w:tab/>
        <w:t>direct, co</w:t>
      </w:r>
      <w:r>
        <w:rPr>
          <w:snapToGrid w:val="0"/>
        </w:rPr>
        <w:noBreakHyphen/>
        <w:t>ordinate and supervise the functioning and expenditure of producers’ committees; and</w:t>
      </w:r>
    </w:p>
    <w:p>
      <w:pPr>
        <w:pStyle w:val="Indenta"/>
        <w:rPr>
          <w:snapToGrid w:val="0"/>
        </w:rPr>
      </w:pPr>
      <w:r>
        <w:rPr>
          <w:snapToGrid w:val="0"/>
        </w:rPr>
        <w:tab/>
        <w:t>(h)</w:t>
      </w:r>
      <w:r>
        <w:rPr>
          <w:snapToGrid w:val="0"/>
        </w:rPr>
        <w:tab/>
        <w:t>provide such other services to producers’ committees as the Minister may direct.</w:t>
      </w:r>
    </w:p>
    <w:p>
      <w:pPr>
        <w:pStyle w:val="Subsection"/>
      </w:pPr>
      <w:r>
        <w:tab/>
        <w:t>(2)</w:t>
      </w:r>
      <w:r>
        <w:tab/>
        <w:t>Without limiting subsection (1), a producers’ committee may be established with responsibility, or be allocated responsibility for —</w:t>
      </w:r>
    </w:p>
    <w:p>
      <w:pPr>
        <w:pStyle w:val="Indenta"/>
      </w:pPr>
      <w:r>
        <w:tab/>
        <w:t>(a)</w:t>
      </w:r>
      <w:r>
        <w:tab/>
        <w:t>any agricultural produce of a particular kind, class or variety or which possesses a particular characteristic; or</w:t>
      </w:r>
    </w:p>
    <w:p>
      <w:pPr>
        <w:pStyle w:val="Indenta"/>
      </w:pPr>
      <w:r>
        <w:tab/>
        <w:t>(b)</w:t>
      </w:r>
      <w:r>
        <w:tab/>
        <w:t>a number of different kinds, classes or varieties of agricultural produce; or</w:t>
      </w:r>
    </w:p>
    <w:p>
      <w:pPr>
        <w:pStyle w:val="Indenta"/>
      </w:pPr>
      <w:r>
        <w:tab/>
        <w:t>(c)</w:t>
      </w:r>
      <w:r>
        <w:tab/>
        <w:t>achieving specified objects in relation to any agricultural produce,</w:t>
      </w:r>
    </w:p>
    <w:p>
      <w:pPr>
        <w:pStyle w:val="Subsection"/>
      </w:pPr>
      <w:r>
        <w:tab/>
      </w:r>
      <w:r>
        <w:tab/>
        <w:t>for the whole State or part of the State.</w:t>
      </w:r>
    </w:p>
    <w:p>
      <w:pPr>
        <w:pStyle w:val="Subsection"/>
      </w:pPr>
      <w:r>
        <w:tab/>
        <w:t>(3)</w:t>
      </w:r>
      <w:r>
        <w:tab/>
        <w:t>In performing its functions in relation to a producers’ committee the Commission shall have regard to advice to it from the committee.</w:t>
      </w:r>
    </w:p>
    <w:p>
      <w:pPr>
        <w:pStyle w:val="Footnotesection"/>
      </w:pPr>
      <w:r>
        <w:tab/>
        <w:t>[Section 6 amended: No. 29 of 1993 s. 4; No. 20 of 2000 s. 10, 28 and 31; No. 11 of 2021 s. 6.]</w:t>
      </w:r>
    </w:p>
    <w:p>
      <w:pPr>
        <w:pStyle w:val="Heading5"/>
        <w:rPr>
          <w:snapToGrid w:val="0"/>
        </w:rPr>
      </w:pPr>
      <w:bookmarkStart w:id="17" w:name="_Toc80094872"/>
      <w:r>
        <w:rPr>
          <w:rStyle w:val="CharSectno"/>
        </w:rPr>
        <w:t>6A</w:t>
      </w:r>
      <w:r>
        <w:rPr>
          <w:snapToGrid w:val="0"/>
        </w:rPr>
        <w:t>.</w:t>
      </w:r>
      <w:r>
        <w:rPr>
          <w:snapToGrid w:val="0"/>
        </w:rPr>
        <w:tab/>
        <w:t>Directions by Minister</w:t>
      </w:r>
      <w:bookmarkEnd w:id="17"/>
    </w:p>
    <w:p>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shall give effect to such direction.</w:t>
      </w:r>
    </w:p>
    <w:p>
      <w:pPr>
        <w:pStyle w:val="Subsection"/>
        <w:rPr>
          <w:snapToGrid w:val="0"/>
        </w:rPr>
      </w:pPr>
      <w:r>
        <w:rPr>
          <w:snapToGrid w:val="0"/>
        </w:rPr>
        <w:lastRenderedPageBreak/>
        <w:tab/>
        <w:t>(2)</w:t>
      </w:r>
      <w:r>
        <w:rPr>
          <w:snapToGrid w:val="0"/>
        </w:rPr>
        <w:tab/>
        <w:t xml:space="preserve">The text of any direction given under subsection (1) shall be included in the annual report submitted by the Commission under </w:t>
      </w:r>
      <w:r>
        <w:t xml:space="preserve">Part 5 of the </w:t>
      </w:r>
      <w:r>
        <w:rPr>
          <w:i/>
          <w:iCs/>
        </w:rPr>
        <w:t>Financial Management Act 2006</w:t>
      </w:r>
      <w:r>
        <w:t>.</w:t>
      </w:r>
    </w:p>
    <w:p>
      <w:pPr>
        <w:pStyle w:val="Footnotesection"/>
      </w:pPr>
      <w:r>
        <w:tab/>
        <w:t>[Section 6A inserted: No. 29 of 1993 s. 5; amended: No. 77 of 2006 Sch. 1 cl. 3(1).]</w:t>
      </w:r>
    </w:p>
    <w:p>
      <w:pPr>
        <w:pStyle w:val="Heading5"/>
        <w:rPr>
          <w:snapToGrid w:val="0"/>
        </w:rPr>
      </w:pPr>
      <w:bookmarkStart w:id="18" w:name="_Toc80094873"/>
      <w:r>
        <w:rPr>
          <w:rStyle w:val="CharSectno"/>
        </w:rPr>
        <w:t>6B</w:t>
      </w:r>
      <w:r>
        <w:rPr>
          <w:snapToGrid w:val="0"/>
        </w:rPr>
        <w:t>.</w:t>
      </w:r>
      <w:r>
        <w:rPr>
          <w:snapToGrid w:val="0"/>
        </w:rPr>
        <w:tab/>
        <w:t>Minister to have access to information</w:t>
      </w:r>
      <w:bookmarkEnd w:id="18"/>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(3)</w:t>
      </w:r>
      <w:r>
        <w:rPr>
          <w:snapToGrid w:val="0"/>
        </w:rPr>
        <w:tab/>
        <w:t>The Commission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keepNext/>
      </w:pPr>
      <w:r>
        <w:rPr>
          <w:b/>
        </w:rPr>
        <w:lastRenderedPageBreak/>
        <w:tab/>
      </w:r>
      <w:bookmarkStart w:id="19" w:name="endcomma"/>
      <w:bookmarkEnd w:id="19"/>
      <w:r>
        <w:rPr>
          <w:rStyle w:val="CharDefText"/>
        </w:rPr>
        <w:t>parliamentary purposes</w:t>
      </w:r>
      <w:r>
        <w:t xml:space="preserve"> </w:t>
      </w:r>
      <w:bookmarkStart w:id="20" w:name="comma"/>
      <w:bookmarkEnd w:id="20"/>
      <w:r>
        <w:t>means the purpose of —</w:t>
      </w:r>
    </w:p>
    <w:p>
      <w:pPr>
        <w:pStyle w:val="Defpara"/>
        <w:rPr>
          <w:spacing w:val="-4"/>
        </w:rPr>
      </w:pPr>
      <w:r>
        <w:rPr>
          <w:spacing w:val="-4"/>
        </w:rPr>
        <w:tab/>
        <w:t>(a)</w:t>
      </w:r>
      <w:r>
        <w:rPr>
          <w:spacing w:val="-4"/>
        </w:rP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6B inserted: No. 29 of 1993 s. 5.]</w:t>
      </w:r>
    </w:p>
    <w:p>
      <w:pPr>
        <w:pStyle w:val="Heading5"/>
        <w:rPr>
          <w:snapToGrid w:val="0"/>
        </w:rPr>
      </w:pPr>
      <w:bookmarkStart w:id="21" w:name="_Toc80094874"/>
      <w:r>
        <w:rPr>
          <w:rStyle w:val="CharSectno"/>
        </w:rPr>
        <w:t>7</w:t>
      </w:r>
      <w:r>
        <w:rPr>
          <w:snapToGrid w:val="0"/>
        </w:rPr>
        <w:t>.</w:t>
      </w:r>
      <w:r>
        <w:rPr>
          <w:snapToGrid w:val="0"/>
        </w:rPr>
        <w:tab/>
        <w:t>Funds of Commission</w:t>
      </w:r>
      <w:bookmarkEnd w:id="21"/>
    </w:p>
    <w:p>
      <w:pPr>
        <w:pStyle w:val="Subsection"/>
        <w:rPr>
          <w:snapToGrid w:val="0"/>
        </w:rPr>
      </w:pPr>
      <w:r>
        <w:rPr>
          <w:snapToGrid w:val="0"/>
        </w:rPr>
        <w:tab/>
        <w:t>(1)</w:t>
      </w:r>
      <w:r>
        <w:rPr>
          <w:snapToGrid w:val="0"/>
        </w:rPr>
        <w:tab/>
        <w:t>The funds of the Commission shall consist of —</w:t>
      </w:r>
    </w:p>
    <w:p>
      <w:pPr>
        <w:pStyle w:val="Indenta"/>
        <w:rPr>
          <w:snapToGrid w:val="0"/>
        </w:rPr>
      </w:pPr>
      <w:r>
        <w:rPr>
          <w:snapToGrid w:val="0"/>
        </w:rPr>
        <w:tab/>
        <w:t>(a)</w:t>
      </w:r>
      <w:r>
        <w:rPr>
          <w:snapToGrid w:val="0"/>
        </w:rPr>
        <w:tab/>
      </w:r>
      <w:r>
        <w:t>charges received by the Commission for</w:t>
      </w:r>
      <w:r>
        <w:rPr>
          <w:snapToGrid w:val="0"/>
        </w:rPr>
        <w:t xml:space="preserve"> services provided by the Commission to producers’ committees; and</w:t>
      </w:r>
    </w:p>
    <w:p>
      <w:pPr>
        <w:pStyle w:val="Indenta"/>
        <w:rPr>
          <w:snapToGrid w:val="0"/>
        </w:rPr>
      </w:pPr>
      <w:r>
        <w:rPr>
          <w:snapToGrid w:val="0"/>
        </w:rPr>
        <w:tab/>
        <w:t>(b)</w:t>
      </w:r>
      <w:r>
        <w:rPr>
          <w:snapToGrid w:val="0"/>
        </w:rPr>
        <w:tab/>
        <w:t>moneys paid to the Commission upon the dissolution of any producers’ committee under section 15; and</w:t>
      </w:r>
    </w:p>
    <w:p>
      <w:pPr>
        <w:pStyle w:val="Indenta"/>
        <w:rPr>
          <w:snapToGrid w:val="0"/>
        </w:rPr>
      </w:pPr>
      <w:r>
        <w:rPr>
          <w:snapToGrid w:val="0"/>
        </w:rPr>
        <w:tab/>
        <w:t>(c)</w:t>
      </w:r>
      <w:r>
        <w:rPr>
          <w:snapToGrid w:val="0"/>
        </w:rPr>
        <w:tab/>
        <w:t>such moneys as may be lawfully received by the Commission.</w:t>
      </w:r>
    </w:p>
    <w:p>
      <w:pPr>
        <w:pStyle w:val="Subsection"/>
      </w:pPr>
      <w:r>
        <w:tab/>
        <w:t>(2)</w:t>
      </w:r>
      <w:r>
        <w:tab/>
        <w:t xml:space="preserve">An agency special purpose account called the Agricultural Produce Commission Account is established under section 16 of the </w:t>
      </w:r>
      <w:r>
        <w:rPr>
          <w:i/>
          <w:iCs/>
        </w:rPr>
        <w:t>Financial Management Act 2006</w:t>
      </w:r>
      <w:r>
        <w:t>.</w:t>
      </w:r>
    </w:p>
    <w:p>
      <w:pPr>
        <w:pStyle w:val="Subsection"/>
        <w:rPr>
          <w:snapToGrid w:val="0"/>
        </w:rPr>
      </w:pPr>
      <w:r>
        <w:rPr>
          <w:snapToGrid w:val="0"/>
        </w:rPr>
        <w:tab/>
        <w:t>(3)</w:t>
      </w:r>
      <w:r>
        <w:rPr>
          <w:snapToGrid w:val="0"/>
        </w:rPr>
        <w:tab/>
        <w:t xml:space="preserve">All moneys received by the Commission and by any producers’ committee shall be credited to the </w:t>
      </w:r>
      <w:r>
        <w:t>Agricultural</w:t>
      </w:r>
      <w:r>
        <w:rPr>
          <w:snapToGrid w:val="0"/>
        </w:rPr>
        <w:t xml:space="preserve"> Produce Commission Account.</w:t>
      </w:r>
    </w:p>
    <w:p>
      <w:pPr>
        <w:pStyle w:val="Footnotesection"/>
      </w:pPr>
      <w:r>
        <w:tab/>
        <w:t>[Section 7 amended: No. 49 of 1996 s. 64; No. 20 of 2000 s. 11, 27 and 31; No. 28 of 2006 s. 7; No. 77 of 2006 Sch. 1 cl. 3(2).]</w:t>
      </w:r>
    </w:p>
    <w:p>
      <w:pPr>
        <w:pStyle w:val="Heading5"/>
        <w:rPr>
          <w:snapToGrid w:val="0"/>
        </w:rPr>
      </w:pPr>
      <w:bookmarkStart w:id="22" w:name="_Toc80094875"/>
      <w:r>
        <w:rPr>
          <w:rStyle w:val="CharSectno"/>
        </w:rPr>
        <w:t>8</w:t>
      </w:r>
      <w:r>
        <w:rPr>
          <w:snapToGrid w:val="0"/>
        </w:rPr>
        <w:t>.</w:t>
      </w:r>
      <w:r>
        <w:rPr>
          <w:snapToGrid w:val="0"/>
        </w:rPr>
        <w:tab/>
        <w:t>Application of funds</w:t>
      </w:r>
      <w:bookmarkEnd w:id="22"/>
    </w:p>
    <w:p>
      <w:pPr>
        <w:pStyle w:val="Subsection"/>
        <w:rPr>
          <w:snapToGrid w:val="0"/>
        </w:rPr>
      </w:pPr>
      <w:r>
        <w:rPr>
          <w:snapToGrid w:val="0"/>
        </w:rPr>
        <w:tab/>
        <w:t>(1)</w:t>
      </w:r>
      <w:r>
        <w:rPr>
          <w:snapToGrid w:val="0"/>
        </w:rPr>
        <w:tab/>
        <w:t>The funds of the Commission shall be applied for the purposes of carrying out the functions of the Commission under this Act.</w:t>
      </w:r>
    </w:p>
    <w:p>
      <w:pPr>
        <w:pStyle w:val="Subsection"/>
        <w:rPr>
          <w:snapToGrid w:val="0"/>
        </w:rPr>
      </w:pPr>
      <w:r>
        <w:rPr>
          <w:snapToGrid w:val="0"/>
        </w:rPr>
        <w:tab/>
        <w:t>(2)</w:t>
      </w:r>
      <w:r>
        <w:rPr>
          <w:snapToGrid w:val="0"/>
        </w:rPr>
        <w:tab/>
        <w:t>Where the funds of the Commission are not sufficient the Treasurer may make advances of moneys to the Commission from time to time to make up any deficiency in those funds.</w:t>
      </w:r>
    </w:p>
    <w:p>
      <w:pPr>
        <w:pStyle w:val="Subsection"/>
        <w:rPr>
          <w:snapToGrid w:val="0"/>
        </w:rPr>
      </w:pPr>
      <w:r>
        <w:rPr>
          <w:snapToGrid w:val="0"/>
        </w:rPr>
        <w:lastRenderedPageBreak/>
        <w:tab/>
        <w:t>(3)</w:t>
      </w:r>
      <w:r>
        <w:rPr>
          <w:snapToGrid w:val="0"/>
        </w:rPr>
        <w:tab/>
        <w:t>The Treasurer may recoup any moneys advanced to the Commission under subsection (2) whenever the Treasurer is of the opinion the Commission has sufficient funds for carrying out its functions under this Act.</w:t>
      </w:r>
    </w:p>
    <w:p>
      <w:pPr>
        <w:pStyle w:val="Heading5"/>
        <w:rPr>
          <w:snapToGrid w:val="0"/>
        </w:rPr>
      </w:pPr>
      <w:bookmarkStart w:id="23" w:name="_Toc80094876"/>
      <w:r>
        <w:rPr>
          <w:rStyle w:val="CharSectno"/>
        </w:rPr>
        <w:t>9</w:t>
      </w:r>
      <w:r>
        <w:rPr>
          <w:snapToGrid w:val="0"/>
        </w:rPr>
        <w:t>.</w:t>
      </w:r>
      <w:r>
        <w:rPr>
          <w:snapToGrid w:val="0"/>
        </w:rPr>
        <w:tab/>
      </w:r>
      <w:r>
        <w:t>Commission may employ or engage persons</w:t>
      </w:r>
      <w:bookmarkEnd w:id="23"/>
    </w:p>
    <w:p>
      <w:pPr>
        <w:pStyle w:val="Subsection"/>
        <w:rPr>
          <w:snapToGrid w:val="0"/>
        </w:rPr>
      </w:pPr>
      <w:r>
        <w:rPr>
          <w:snapToGrid w:val="0"/>
        </w:rPr>
        <w:tab/>
      </w:r>
      <w:r>
        <w:rPr>
          <w:snapToGrid w:val="0"/>
        </w:rPr>
        <w:tab/>
        <w:t>The Commission may, with the approval of the Minister, employ or engage such persons as are necessary for the purposes of carrying out its functions under this Act.</w:t>
      </w:r>
    </w:p>
    <w:p>
      <w:pPr>
        <w:pStyle w:val="Footnotesection"/>
      </w:pPr>
      <w:bookmarkStart w:id="24" w:name="_Toc80017496"/>
      <w:r>
        <w:tab/>
        <w:t>[Section 9 amended: No. 11 of 2021 s. 7.]</w:t>
      </w:r>
    </w:p>
    <w:p>
      <w:pPr>
        <w:pStyle w:val="Heading2"/>
        <w:tabs>
          <w:tab w:val="left" w:pos="1134"/>
        </w:tabs>
      </w:pPr>
      <w:bookmarkStart w:id="25" w:name="_Toc80024900"/>
      <w:bookmarkStart w:id="26" w:name="_Toc80084778"/>
      <w:bookmarkStart w:id="27" w:name="_Toc80094877"/>
      <w:r>
        <w:rPr>
          <w:rStyle w:val="CharPartNo"/>
        </w:rPr>
        <w:lastRenderedPageBreak/>
        <w:t>Part 3</w:t>
      </w:r>
      <w:r>
        <w:t> — </w:t>
      </w:r>
      <w:r>
        <w:rPr>
          <w:rStyle w:val="CharPartText"/>
        </w:rPr>
        <w:t>Producers’ committees</w:t>
      </w:r>
      <w:bookmarkEnd w:id="24"/>
      <w:bookmarkEnd w:id="25"/>
      <w:bookmarkEnd w:id="26"/>
      <w:bookmarkEnd w:id="27"/>
    </w:p>
    <w:p>
      <w:pPr>
        <w:pStyle w:val="Footnoteheading"/>
        <w:ind w:left="890"/>
      </w:pPr>
      <w:r>
        <w:tab/>
        <w:t>[Heading inserted: No. 20 of 2000 s. 12.]</w:t>
      </w:r>
    </w:p>
    <w:p>
      <w:pPr>
        <w:pStyle w:val="Heading3"/>
      </w:pPr>
      <w:bookmarkStart w:id="28" w:name="_Toc80024901"/>
      <w:bookmarkStart w:id="29" w:name="_Toc80084779"/>
      <w:bookmarkStart w:id="30" w:name="_Toc80094878"/>
      <w:r>
        <w:rPr>
          <w:rStyle w:val="CharDivNo"/>
        </w:rPr>
        <w:t>Division 1</w:t>
      </w:r>
      <w:r>
        <w:t> — </w:t>
      </w:r>
      <w:r>
        <w:rPr>
          <w:rStyle w:val="CharDivText"/>
        </w:rPr>
        <w:t>Establishing producers’ committees</w:t>
      </w:r>
      <w:bookmarkEnd w:id="28"/>
      <w:bookmarkEnd w:id="29"/>
      <w:bookmarkEnd w:id="30"/>
    </w:p>
    <w:p>
      <w:pPr>
        <w:pStyle w:val="Footnoteheading"/>
        <w:ind w:left="890"/>
      </w:pPr>
      <w:r>
        <w:tab/>
        <w:t>[Heading inserted: No. 21 of 2021 s. 8.]</w:t>
      </w:r>
    </w:p>
    <w:p>
      <w:pPr>
        <w:pStyle w:val="Heading5"/>
        <w:rPr>
          <w:snapToGrid w:val="0"/>
        </w:rPr>
      </w:pPr>
      <w:bookmarkStart w:id="31" w:name="_Toc80094879"/>
      <w:r>
        <w:rPr>
          <w:rStyle w:val="CharSectno"/>
        </w:rPr>
        <w:t>10</w:t>
      </w:r>
      <w:r>
        <w:rPr>
          <w:snapToGrid w:val="0"/>
        </w:rPr>
        <w:t>.</w:t>
      </w:r>
      <w:r>
        <w:rPr>
          <w:snapToGrid w:val="0"/>
        </w:rPr>
        <w:tab/>
        <w:t>Preliminary requirements for establishment of producers’ committees</w:t>
      </w:r>
      <w:bookmarkEnd w:id="31"/>
    </w:p>
    <w:p>
      <w:pPr>
        <w:pStyle w:val="Subsection"/>
      </w:pPr>
      <w:r>
        <w:tab/>
        <w:t>(1)</w:t>
      </w:r>
      <w:r>
        <w:tab/>
        <w:t>A producer or producers of agricultural produce, or a body representing the interests of such producers, may request the Commission to conduct a poll for the purpose of establishing a producers’ committee with responsibility for the agricultural produce for the whole State or a part of the State.</w:t>
      </w:r>
    </w:p>
    <w:p>
      <w:pPr>
        <w:pStyle w:val="Subsection"/>
      </w:pPr>
      <w:r>
        <w:tab/>
        <w:t>(1A)</w:t>
      </w:r>
      <w:r>
        <w:tab/>
        <w:t>A request made under subsection (1) must —</w:t>
      </w:r>
    </w:p>
    <w:p>
      <w:pPr>
        <w:pStyle w:val="Indenta"/>
      </w:pPr>
      <w:r>
        <w:tab/>
        <w:t>(a)</w:t>
      </w:r>
      <w:r>
        <w:tab/>
        <w:t>be made in writing; and</w:t>
      </w:r>
    </w:p>
    <w:p>
      <w:pPr>
        <w:pStyle w:val="Indenta"/>
      </w:pPr>
      <w:r>
        <w:tab/>
        <w:t>(b)</w:t>
      </w:r>
      <w:r>
        <w:tab/>
        <w:t>specify the agricultural produce for which the producers’ committee is proposed to have responsibility; and</w:t>
      </w:r>
    </w:p>
    <w:p>
      <w:pPr>
        <w:pStyle w:val="Indenta"/>
      </w:pPr>
      <w:r>
        <w:tab/>
        <w:t>(c)</w:t>
      </w:r>
      <w:r>
        <w:tab/>
        <w:t>specify the objects sought to be effected by establishing the producers’ committee; and</w:t>
      </w:r>
    </w:p>
    <w:p>
      <w:pPr>
        <w:pStyle w:val="Indenta"/>
      </w:pPr>
      <w:r>
        <w:tab/>
        <w:t>(d)</w:t>
      </w:r>
      <w:r>
        <w:tab/>
        <w:t>if the producers’ committee is proposed to be established only in relation to a particular part of the State, specify the part of the State in relation to which it is proposed to be established.</w:t>
      </w:r>
    </w:p>
    <w:p>
      <w:pPr>
        <w:pStyle w:val="Subsection"/>
      </w:pPr>
      <w:r>
        <w:tab/>
        <w:t>(1B)</w:t>
      </w:r>
      <w:r>
        <w:tab/>
        <w:t>The Commission must publish notice of a proposal to establish the producers’ committee.</w:t>
      </w:r>
    </w:p>
    <w:p>
      <w:pPr>
        <w:pStyle w:val="Subsection"/>
        <w:rPr>
          <w:snapToGrid w:val="0"/>
        </w:rPr>
      </w:pPr>
      <w:r>
        <w:rPr>
          <w:snapToGrid w:val="0"/>
        </w:rPr>
        <w:tab/>
        <w:t>(2)</w:t>
      </w:r>
      <w:r>
        <w:rPr>
          <w:snapToGrid w:val="0"/>
        </w:rPr>
        <w:tab/>
        <w:t xml:space="preserve">A notice referred to in </w:t>
      </w:r>
      <w:r>
        <w:t>subsection (1B) —</w:t>
      </w:r>
    </w:p>
    <w:p>
      <w:pPr>
        <w:pStyle w:val="Indenta"/>
        <w:rPr>
          <w:snapToGrid w:val="0"/>
        </w:rPr>
      </w:pPr>
      <w:r>
        <w:rPr>
          <w:snapToGrid w:val="0"/>
        </w:rPr>
        <w:tab/>
        <w:t>(a)</w:t>
      </w:r>
      <w:r>
        <w:rPr>
          <w:snapToGrid w:val="0"/>
        </w:rPr>
        <w:tab/>
      </w:r>
      <w:r>
        <w:t>must</w:t>
      </w:r>
      <w:r>
        <w:rPr>
          <w:snapToGrid w:val="0"/>
        </w:rPr>
        <w:t xml:space="preserve"> be published in the manner directed by the Minister; and</w:t>
      </w:r>
    </w:p>
    <w:p>
      <w:pPr>
        <w:pStyle w:val="Indenta"/>
      </w:pPr>
      <w:r>
        <w:tab/>
        <w:t>(aa)</w:t>
      </w:r>
      <w:r>
        <w:tab/>
        <w:t>must specify the name or names of the producer or producers, or body, that made the request; and</w:t>
      </w:r>
    </w:p>
    <w:p>
      <w:pPr>
        <w:pStyle w:val="Indenta"/>
        <w:keepNext/>
        <w:rPr>
          <w:snapToGrid w:val="0"/>
        </w:rPr>
      </w:pPr>
      <w:r>
        <w:rPr>
          <w:snapToGrid w:val="0"/>
        </w:rPr>
        <w:lastRenderedPageBreak/>
        <w:tab/>
        <w:t>(b)</w:t>
      </w:r>
      <w:r>
        <w:rPr>
          <w:snapToGrid w:val="0"/>
        </w:rPr>
        <w:tab/>
      </w:r>
      <w:r>
        <w:t>must</w:t>
      </w:r>
      <w:r>
        <w:rPr>
          <w:snapToGrid w:val="0"/>
        </w:rPr>
        <w:t xml:space="preserve"> explain in simple terms the objects sought to be effected by the proposal; and</w:t>
      </w:r>
    </w:p>
    <w:p>
      <w:pPr>
        <w:pStyle w:val="Indenta"/>
        <w:rPr>
          <w:snapToGrid w:val="0"/>
        </w:rPr>
      </w:pPr>
      <w:r>
        <w:rPr>
          <w:snapToGrid w:val="0"/>
        </w:rPr>
        <w:tab/>
        <w:t>(c)</w:t>
      </w:r>
      <w:r>
        <w:rPr>
          <w:snapToGrid w:val="0"/>
        </w:rPr>
        <w:tab/>
      </w:r>
      <w:r>
        <w:t>must</w:t>
      </w:r>
      <w:r>
        <w:rPr>
          <w:snapToGrid w:val="0"/>
        </w:rPr>
        <w:t xml:space="preserve"> specify the </w:t>
      </w:r>
      <w:r>
        <w:t>agricultural</w:t>
      </w:r>
      <w:r>
        <w:rPr>
          <w:snapToGrid w:val="0"/>
        </w:rPr>
        <w:t xml:space="preserve"> produce </w:t>
      </w:r>
      <w:r>
        <w:t>for which the producers’ committee is proposed to have responsibility; and</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where the producers’ committee is to be established only in relation to a particular part of the State, </w:t>
      </w:r>
      <w:r>
        <w:t>must</w:t>
      </w:r>
      <w:r>
        <w:rPr>
          <w:snapToGrid w:val="0"/>
        </w:rPr>
        <w:t xml:space="preserve"> specify the part of the State in relation to which the producers’ committee is proposed to be established; and</w:t>
      </w:r>
    </w:p>
    <w:p>
      <w:pPr>
        <w:pStyle w:val="Indenta"/>
        <w:rPr>
          <w:snapToGrid w:val="0"/>
        </w:rPr>
      </w:pPr>
      <w:r>
        <w:rPr>
          <w:snapToGrid w:val="0"/>
        </w:rPr>
        <w:tab/>
        <w:t>(f)</w:t>
      </w:r>
      <w:r>
        <w:rPr>
          <w:snapToGrid w:val="0"/>
        </w:rPr>
        <w:tab/>
      </w:r>
      <w:r>
        <w:t>must</w:t>
      </w:r>
      <w:r>
        <w:rPr>
          <w:snapToGrid w:val="0"/>
        </w:rPr>
        <w:t xml:space="preserve"> invite submissions from producers who may be affected by the proposal.</w:t>
      </w:r>
    </w:p>
    <w:p>
      <w:pPr>
        <w:pStyle w:val="Subsection"/>
      </w:pPr>
      <w:r>
        <w:tab/>
        <w:t>(2a)</w:t>
      </w:r>
      <w:r>
        <w:tab/>
        <w:t xml:space="preserve">In performing its functions under </w:t>
      </w:r>
      <w:r>
        <w:rPr>
          <w:snapToGrid w:val="0"/>
        </w:rPr>
        <w:t>this</w:t>
      </w:r>
      <w:r>
        <w:t xml:space="preserve"> Division, the Commission must have regard to any submissions made to it under subsection (2)(f).</w:t>
      </w:r>
    </w:p>
    <w:p>
      <w:pPr>
        <w:pStyle w:val="Subsection"/>
        <w:rPr>
          <w:snapToGrid w:val="0"/>
        </w:rPr>
      </w:pPr>
      <w:r>
        <w:rPr>
          <w:snapToGrid w:val="0"/>
        </w:rPr>
        <w:tab/>
        <w:t>(3)</w:t>
      </w:r>
      <w:r>
        <w:rPr>
          <w:snapToGrid w:val="0"/>
        </w:rPr>
        <w:tab/>
        <w:t>If the Commission is satisfied that, having regard to the interests of the</w:t>
      </w:r>
      <w:r>
        <w:t xml:space="preserve"> agricultural industry in question</w:t>
      </w:r>
      <w:r>
        <w:rPr>
          <w:snapToGrid w:val="0"/>
        </w:rPr>
        <w:t xml:space="preserve">, the formation of the proposed producers’ committee would be materially to the financial detriment of a producer or </w:t>
      </w:r>
      <w:r>
        <w:t>producers who may be affected by the proposal</w:t>
      </w:r>
      <w:r>
        <w:rPr>
          <w:snapToGrid w:val="0"/>
        </w:rPr>
        <w:t xml:space="preserve"> the Commission </w:t>
      </w:r>
      <w:r>
        <w:t>must</w:t>
      </w:r>
      <w:r>
        <w:rPr>
          <w:snapToGrid w:val="0"/>
        </w:rPr>
        <w:t xml:space="preserve"> not proceed to conduct the poll in accordance with the provisions of this section but if the Commission is not so satisfied the Commission </w:t>
      </w:r>
      <w:r>
        <w:t>must, subject to subsection (5),</w:t>
      </w:r>
      <w:r>
        <w:rPr>
          <w:snapToGrid w:val="0"/>
        </w:rPr>
        <w:t xml:space="preserve"> conduct the poll.</w:t>
      </w:r>
    </w:p>
    <w:p>
      <w:pPr>
        <w:pStyle w:val="Subsection"/>
        <w:rPr>
          <w:snapToGrid w:val="0"/>
        </w:rPr>
      </w:pPr>
      <w:r>
        <w:rPr>
          <w:snapToGrid w:val="0"/>
        </w:rPr>
        <w:tab/>
        <w:t>(4)</w:t>
      </w:r>
      <w:r>
        <w:rPr>
          <w:snapToGrid w:val="0"/>
        </w:rPr>
        <w:tab/>
        <w:t xml:space="preserve">For the purposes of </w:t>
      </w:r>
      <w:r>
        <w:t>subsection (3),</w:t>
      </w:r>
      <w:r>
        <w:rPr>
          <w:snapToGrid w:val="0"/>
        </w:rPr>
        <w:t xml:space="preserve"> the Commission may invite any </w:t>
      </w:r>
      <w:r>
        <w:t>producer who in its opinion has</w:t>
      </w:r>
      <w:r>
        <w:rPr>
          <w:snapToGrid w:val="0"/>
        </w:rPr>
        <w:t xml:space="preserve"> an interest in the proposal to attend meetings of the Commission.</w:t>
      </w:r>
    </w:p>
    <w:p>
      <w:pPr>
        <w:pStyle w:val="Subsection"/>
      </w:pPr>
      <w:r>
        <w:tab/>
        <w:t>(5)</w:t>
      </w:r>
      <w:r>
        <w:tab/>
        <w:t>The Commission must not conduct a poll for the establishment of a producers’ committee unless the producer or producers, or body, that requested the poll deposits with the Commission such sum as is determined by the Commission as the reasonable costs of the poll and the estimated initial costs of the establishment of the producers’ committee.</w:t>
      </w:r>
    </w:p>
    <w:p>
      <w:pPr>
        <w:pStyle w:val="Subsection"/>
      </w:pPr>
      <w:r>
        <w:lastRenderedPageBreak/>
        <w:tab/>
        <w:t>(6)</w:t>
      </w:r>
      <w:r>
        <w:tab/>
        <w:t xml:space="preserve">If the Commission resolves to establish the producers’ committee, any money paid to the Commission under subsection (5) must be repaid by the producers’ committee out of the funds of the producers’ committee to the producer or producers, or body, that made the deposit under that subsection. </w:t>
      </w:r>
    </w:p>
    <w:p>
      <w:pPr>
        <w:pStyle w:val="Subsection"/>
      </w:pPr>
      <w:r>
        <w:tab/>
        <w:t>(7)</w:t>
      </w:r>
      <w:r>
        <w:tab/>
        <w:t xml:space="preserve">The Commission must not establish a producers’ committee with responsibility for agricultural produce unless — </w:t>
      </w:r>
    </w:p>
    <w:p>
      <w:pPr>
        <w:pStyle w:val="Indenta"/>
      </w:pPr>
      <w:r>
        <w:tab/>
        <w:t>(a)</w:t>
      </w:r>
      <w:r>
        <w:tab/>
        <w:t xml:space="preserve">the Commission has — </w:t>
      </w:r>
    </w:p>
    <w:p>
      <w:pPr>
        <w:pStyle w:val="Indenti"/>
      </w:pPr>
      <w:r>
        <w:tab/>
        <w:t>(i)</w:t>
      </w:r>
      <w:r>
        <w:tab/>
        <w:t>complied with subsections (1B) and (2); and</w:t>
      </w:r>
    </w:p>
    <w:p>
      <w:pPr>
        <w:pStyle w:val="Indenti"/>
      </w:pPr>
      <w:r>
        <w:tab/>
        <w:t>(ii)</w:t>
      </w:r>
      <w:r>
        <w:tab/>
        <w:t>conducted a poll among the producers of the agricultural produce in the whole of the State, or a part of the State, as is relevant to the proposal to establish the producers’ committee;</w:t>
      </w:r>
    </w:p>
    <w:p>
      <w:pPr>
        <w:pStyle w:val="Indenta"/>
      </w:pPr>
      <w:r>
        <w:tab/>
      </w:r>
      <w:r>
        <w:tab/>
        <w:t>and</w:t>
      </w:r>
    </w:p>
    <w:p>
      <w:pPr>
        <w:pStyle w:val="Indenta"/>
      </w:pPr>
      <w:r>
        <w:tab/>
        <w:t>(b)</w:t>
      </w:r>
      <w:r>
        <w:tab/>
        <w:t>the poll is in favour of the proposal.</w:t>
      </w:r>
    </w:p>
    <w:p>
      <w:pPr>
        <w:pStyle w:val="Subsection"/>
      </w:pPr>
      <w:r>
        <w:tab/>
        <w:t>(8)</w:t>
      </w:r>
      <w:r>
        <w:tab/>
        <w:t>Even if the Commission has complied with subsections (1B) to (5) and (7) and a poll of producers vote in favour of the proposal, the Commission may refuse to establish, or defer the establishment of, the producers’ committee if the Commission considers that, having regard to the circumstances of the case, it is not desirable or practicable to do so.</w:t>
      </w:r>
    </w:p>
    <w:p>
      <w:pPr>
        <w:pStyle w:val="Ednotesubsection"/>
      </w:pPr>
      <w:r>
        <w:tab/>
        <w:t>[(9)</w:t>
      </w:r>
      <w:r>
        <w:tab/>
        <w:t>deleted]</w:t>
      </w:r>
    </w:p>
    <w:p>
      <w:pPr>
        <w:pStyle w:val="Footnotesection"/>
      </w:pPr>
      <w:r>
        <w:tab/>
        <w:t>[Section 10 amended: No. 29 of 1993 s. 6; No. 20 of 2000 s. 13, 28, 29, 30 and 31; No. 11 of 2021 s. 9.]</w:t>
      </w:r>
    </w:p>
    <w:p>
      <w:pPr>
        <w:pStyle w:val="Heading5"/>
        <w:rPr>
          <w:snapToGrid w:val="0"/>
        </w:rPr>
      </w:pPr>
      <w:bookmarkStart w:id="32" w:name="_Toc80094880"/>
      <w:r>
        <w:rPr>
          <w:rStyle w:val="CharSectno"/>
        </w:rPr>
        <w:t>11</w:t>
      </w:r>
      <w:r>
        <w:rPr>
          <w:snapToGrid w:val="0"/>
        </w:rPr>
        <w:t>.</w:t>
      </w:r>
      <w:r>
        <w:rPr>
          <w:snapToGrid w:val="0"/>
        </w:rPr>
        <w:tab/>
        <w:t>Establishment of producers’ committee</w:t>
      </w:r>
      <w:bookmarkEnd w:id="32"/>
    </w:p>
    <w:p>
      <w:pPr>
        <w:pStyle w:val="Subsection"/>
        <w:rPr>
          <w:snapToGrid w:val="0"/>
        </w:rPr>
      </w:pPr>
      <w:r>
        <w:rPr>
          <w:snapToGrid w:val="0"/>
        </w:rPr>
        <w:tab/>
        <w:t>(1)</w:t>
      </w:r>
      <w:r>
        <w:rPr>
          <w:snapToGrid w:val="0"/>
        </w:rPr>
        <w:tab/>
        <w:t xml:space="preserve">Where the Commission resolves to establish a producers’ committee the Commission shall by notice in the </w:t>
      </w:r>
      <w:r>
        <w:rPr>
          <w:i/>
          <w:snapToGrid w:val="0"/>
        </w:rPr>
        <w:t>Gazette </w:t>
      </w:r>
      <w:r>
        <w:rPr>
          <w:snapToGrid w:val="0"/>
        </w:rPr>
        <w:t>—</w:t>
      </w:r>
    </w:p>
    <w:p>
      <w:pPr>
        <w:pStyle w:val="Indenta"/>
        <w:rPr>
          <w:snapToGrid w:val="0"/>
        </w:rPr>
      </w:pPr>
      <w:r>
        <w:rPr>
          <w:snapToGrid w:val="0"/>
        </w:rPr>
        <w:tab/>
        <w:t>(a)</w:t>
      </w:r>
      <w:r>
        <w:rPr>
          <w:snapToGrid w:val="0"/>
        </w:rPr>
        <w:tab/>
        <w:t>specify —</w:t>
      </w:r>
    </w:p>
    <w:p>
      <w:pPr>
        <w:pStyle w:val="Indenti"/>
      </w:pPr>
      <w:r>
        <w:tab/>
        <w:t>(i)</w:t>
      </w:r>
      <w:r>
        <w:tab/>
        <w:t>the agricultural produce for which the producers’ committee has responsibility; and</w:t>
      </w:r>
    </w:p>
    <w:p>
      <w:pPr>
        <w:pStyle w:val="Indenti"/>
        <w:rPr>
          <w:snapToGrid w:val="0"/>
        </w:rPr>
      </w:pPr>
      <w:r>
        <w:rPr>
          <w:snapToGrid w:val="0"/>
        </w:rPr>
        <w:lastRenderedPageBreak/>
        <w:tab/>
        <w:t>(ii)</w:t>
      </w:r>
      <w:r>
        <w:rPr>
          <w:snapToGrid w:val="0"/>
        </w:rPr>
        <w:tab/>
        <w:t xml:space="preserve">whether the producers’ committee is </w:t>
      </w:r>
      <w:r>
        <w:t>established</w:t>
      </w:r>
      <w:r>
        <w:rPr>
          <w:snapToGrid w:val="0"/>
        </w:rPr>
        <w:t xml:space="preserve"> in relation to the whole State or in relation to only a portion of the State and in that case the portion of the State in relation to which it is so established;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nominations from among the producers concerned for appointment to the producers’ committee.</w:t>
      </w:r>
    </w:p>
    <w:p>
      <w:pPr>
        <w:pStyle w:val="Subsection"/>
      </w:pPr>
      <w:r>
        <w:rPr>
          <w:spacing w:val="-4"/>
        </w:rPr>
        <w:tab/>
        <w:t>(1a)</w:t>
      </w:r>
      <w:r>
        <w:rPr>
          <w:spacing w:val="-4"/>
        </w:rPr>
        <w:tab/>
        <w:t>After receiving the nominations the Commission —</w:t>
      </w:r>
    </w:p>
    <w:p>
      <w:pPr>
        <w:pStyle w:val="Indenta"/>
      </w:pPr>
      <w:r>
        <w:tab/>
        <w:t>(a)</w:t>
      </w:r>
      <w:r>
        <w:tab/>
        <w:t>shall decide how many members there shall be on the producers’ committee; and</w:t>
      </w:r>
    </w:p>
    <w:p>
      <w:pPr>
        <w:pStyle w:val="Indenta"/>
      </w:pPr>
      <w:r>
        <w:tab/>
        <w:t>(b)</w:t>
      </w:r>
      <w:r>
        <w:tab/>
        <w:t>if it is of the opinion that a poll of the producers concerned should be held to elect the members, shall conduct a poll.</w:t>
      </w:r>
    </w:p>
    <w:p>
      <w:pPr>
        <w:pStyle w:val="Subsection"/>
      </w:pPr>
      <w:r>
        <w:tab/>
        <w:t>(1b)</w:t>
      </w:r>
      <w:r>
        <w:tab/>
        <w:t>A person is not eligible to stand at a poll to elect members of the producers’ committee unless the person is qualified to be appointed to the committee in relation to the kind of agricultural produce in question.</w:t>
      </w:r>
    </w:p>
    <w:p>
      <w:pPr>
        <w:pStyle w:val="Subsection"/>
        <w:rPr>
          <w:spacing w:val="-4"/>
        </w:rPr>
      </w:pPr>
      <w:r>
        <w:rPr>
          <w:spacing w:val="-4"/>
        </w:rPr>
        <w:tab/>
        <w:t>(1c)</w:t>
      </w:r>
      <w:r>
        <w:rPr>
          <w:spacing w:val="-4"/>
        </w:rPr>
        <w:tab/>
        <w:t>Subject to subsection (2), the persons elected at a poll to be members of a producers’ committee shall be appointed by the Commission to be members of the committee.</w:t>
      </w:r>
    </w:p>
    <w:p>
      <w:pPr>
        <w:pStyle w:val="Subsection"/>
        <w:rPr>
          <w:snapToGrid w:val="0"/>
        </w:rPr>
      </w:pPr>
      <w:r>
        <w:rPr>
          <w:snapToGrid w:val="0"/>
        </w:rPr>
        <w:tab/>
        <w:t>(2)</w:t>
      </w:r>
      <w:r>
        <w:rPr>
          <w:snapToGrid w:val="0"/>
        </w:rPr>
        <w:tab/>
        <w:t xml:space="preserve">The Commission shall not appoint a person to be a member of a producers’ committee unless the Commission is of the opinion that the person is qualified to be so appointed in relation to the </w:t>
      </w:r>
      <w:r>
        <w:t>agricultural</w:t>
      </w:r>
      <w:r>
        <w:rPr>
          <w:snapToGrid w:val="0"/>
        </w:rPr>
        <w:t xml:space="preserve"> produce in question.</w:t>
      </w:r>
    </w:p>
    <w:p>
      <w:pPr>
        <w:pStyle w:val="Subsection"/>
        <w:rPr>
          <w:snapToGrid w:val="0"/>
        </w:rPr>
      </w:pPr>
      <w:r>
        <w:rPr>
          <w:snapToGrid w:val="0"/>
        </w:rPr>
        <w:tab/>
        <w:t>(3)</w:t>
      </w:r>
      <w:r>
        <w:rPr>
          <w:snapToGrid w:val="0"/>
        </w:rPr>
        <w:tab/>
        <w:t>Except to the extent prescribed in this Act or the regulations the Commission may from time to time give directions with respect to the constitution, membership, terms and proceedings of a producers’ committee and incidental and related matters.</w:t>
      </w:r>
    </w:p>
    <w:p>
      <w:pPr>
        <w:pStyle w:val="Subsection"/>
        <w:rPr>
          <w:snapToGrid w:val="0"/>
        </w:rPr>
      </w:pPr>
      <w:r>
        <w:rPr>
          <w:snapToGrid w:val="0"/>
        </w:rPr>
        <w:tab/>
        <w:t>(4)</w:t>
      </w:r>
      <w:r>
        <w:rPr>
          <w:snapToGrid w:val="0"/>
        </w:rPr>
        <w:tab/>
        <w:t xml:space="preserve">Any directions given under subsection (3) shall be published in the </w:t>
      </w:r>
      <w:r>
        <w:rPr>
          <w:i/>
          <w:snapToGrid w:val="0"/>
        </w:rPr>
        <w:t>Gazette</w:t>
      </w:r>
      <w:r>
        <w:rPr>
          <w:snapToGrid w:val="0"/>
        </w:rPr>
        <w:t>.</w:t>
      </w:r>
    </w:p>
    <w:p>
      <w:pPr>
        <w:pStyle w:val="Subsection"/>
        <w:rPr>
          <w:snapToGrid w:val="0"/>
        </w:rPr>
      </w:pPr>
      <w:r>
        <w:rPr>
          <w:snapToGrid w:val="0"/>
        </w:rPr>
        <w:lastRenderedPageBreak/>
        <w:tab/>
        <w:t>(5)</w:t>
      </w:r>
      <w:r>
        <w:rPr>
          <w:snapToGrid w:val="0"/>
        </w:rPr>
        <w:tab/>
        <w:t xml:space="preserve">Sections 43 and 44 of the </w:t>
      </w:r>
      <w:r>
        <w:rPr>
          <w:i/>
          <w:snapToGrid w:val="0"/>
        </w:rPr>
        <w:t>Interpretation Act 1984</w:t>
      </w:r>
      <w:r>
        <w:rPr>
          <w:snapToGrid w:val="0"/>
        </w:rPr>
        <w:t xml:space="preserve"> apply to directions given under this section as though the directions were subsidiary legislation.</w:t>
      </w:r>
    </w:p>
    <w:p>
      <w:pPr>
        <w:pStyle w:val="Footnotesection"/>
      </w:pPr>
      <w:r>
        <w:tab/>
        <w:t>[Section 11 amended: No. 20 of 2000 s. 14, 28, 30 and 31; No. 11 of 2021 s. 10.]</w:t>
      </w:r>
    </w:p>
    <w:p>
      <w:pPr>
        <w:pStyle w:val="Heading3"/>
      </w:pPr>
      <w:bookmarkStart w:id="33" w:name="_Toc80024904"/>
      <w:bookmarkStart w:id="34" w:name="_Toc80084782"/>
      <w:bookmarkStart w:id="35" w:name="_Toc80094881"/>
      <w:r>
        <w:rPr>
          <w:rStyle w:val="CharDivNo"/>
        </w:rPr>
        <w:t>Division 2</w:t>
      </w:r>
      <w:r>
        <w:t> — </w:t>
      </w:r>
      <w:r>
        <w:rPr>
          <w:rStyle w:val="CharDivText"/>
        </w:rPr>
        <w:t>Allocating responsibility for produce to an existing producers’ committee</w:t>
      </w:r>
      <w:bookmarkEnd w:id="33"/>
      <w:bookmarkEnd w:id="34"/>
      <w:bookmarkEnd w:id="35"/>
    </w:p>
    <w:p>
      <w:pPr>
        <w:pStyle w:val="Footnoteheading"/>
        <w:ind w:left="890"/>
      </w:pPr>
      <w:r>
        <w:tab/>
        <w:t>[Heading inserted: No. 11 of 2021 s. 11.]</w:t>
      </w:r>
    </w:p>
    <w:p>
      <w:pPr>
        <w:pStyle w:val="Heading5"/>
      </w:pPr>
      <w:bookmarkStart w:id="36" w:name="_Toc80094882"/>
      <w:r>
        <w:rPr>
          <w:rStyle w:val="CharSectno"/>
        </w:rPr>
        <w:t>11A</w:t>
      </w:r>
      <w:r>
        <w:t>.</w:t>
      </w:r>
      <w:r>
        <w:tab/>
        <w:t>Preliminary requirements for allocating responsibility for agricultural produce to existing producers’ committee</w:t>
      </w:r>
      <w:bookmarkEnd w:id="36"/>
    </w:p>
    <w:p>
      <w:pPr>
        <w:pStyle w:val="Subsection"/>
      </w:pPr>
      <w:r>
        <w:tab/>
        <w:t>(1)</w:t>
      </w:r>
      <w:r>
        <w:tab/>
        <w:t>Subject to subsection (2), a producer or producers of agricultural produce, or a body representing the interests of such producers, may request the Commission to conduct a poll for the purpose of allocating responsibility for the agricultural produce to an existing producers’ committee.</w:t>
      </w:r>
    </w:p>
    <w:p>
      <w:pPr>
        <w:pStyle w:val="Subsection"/>
      </w:pPr>
      <w:r>
        <w:tab/>
        <w:t>(2)</w:t>
      </w:r>
      <w:r>
        <w:tab/>
        <w:t>A request cannot be made under subsection (1) unless the producers’ committee has given its written approval to the request being made.</w:t>
      </w:r>
    </w:p>
    <w:p>
      <w:pPr>
        <w:pStyle w:val="Subsection"/>
      </w:pPr>
      <w:r>
        <w:tab/>
        <w:t>(3)</w:t>
      </w:r>
      <w:r>
        <w:tab/>
        <w:t>A request made under subsection (1) must —</w:t>
      </w:r>
    </w:p>
    <w:p>
      <w:pPr>
        <w:pStyle w:val="Indenta"/>
      </w:pPr>
      <w:r>
        <w:tab/>
        <w:t>(a)</w:t>
      </w:r>
      <w:r>
        <w:tab/>
        <w:t>be made in writing; and</w:t>
      </w:r>
    </w:p>
    <w:p>
      <w:pPr>
        <w:pStyle w:val="Indenta"/>
      </w:pPr>
      <w:r>
        <w:tab/>
        <w:t>(b)</w:t>
      </w:r>
      <w:r>
        <w:tab/>
        <w:t>specify the producers’ committee and the additional agricultural produce for which it is proposed to have responsibility; and</w:t>
      </w:r>
    </w:p>
    <w:p>
      <w:pPr>
        <w:pStyle w:val="Indenta"/>
      </w:pPr>
      <w:r>
        <w:tab/>
        <w:t>(c)</w:t>
      </w:r>
      <w:r>
        <w:tab/>
        <w:t>specify the objects sought to be effected by allocating responsibility for the additional agricultural produce to the producers’ committee; and</w:t>
      </w:r>
    </w:p>
    <w:p>
      <w:pPr>
        <w:pStyle w:val="Indenta"/>
      </w:pPr>
      <w:r>
        <w:tab/>
        <w:t>(d)</w:t>
      </w:r>
      <w:r>
        <w:tab/>
        <w:t>attach the producers’ committee’s written approval to the request being made.</w:t>
      </w:r>
    </w:p>
    <w:p>
      <w:pPr>
        <w:pStyle w:val="Subsection"/>
      </w:pPr>
      <w:r>
        <w:tab/>
        <w:t>(4)</w:t>
      </w:r>
      <w:r>
        <w:tab/>
        <w:t>The Commission must publish notice of a proposal to allocate responsibility for agricultural produce to an existing producers’ committee.</w:t>
      </w:r>
    </w:p>
    <w:p>
      <w:pPr>
        <w:pStyle w:val="Subsection"/>
      </w:pPr>
      <w:r>
        <w:lastRenderedPageBreak/>
        <w:tab/>
        <w:t>(5)</w:t>
      </w:r>
      <w:r>
        <w:tab/>
        <w:t>A notice referred to in subsection (4) must —</w:t>
      </w:r>
    </w:p>
    <w:p>
      <w:pPr>
        <w:pStyle w:val="Indenta"/>
      </w:pPr>
      <w:r>
        <w:tab/>
        <w:t>(a)</w:t>
      </w:r>
      <w:r>
        <w:tab/>
        <w:t>be published in the manner directed by the Minister; and</w:t>
      </w:r>
    </w:p>
    <w:p>
      <w:pPr>
        <w:pStyle w:val="Indenta"/>
      </w:pPr>
      <w:r>
        <w:tab/>
        <w:t>(b)</w:t>
      </w:r>
      <w:r>
        <w:tab/>
        <w:t>specify the name or names of the producer or producers, or body, that made the request; and</w:t>
      </w:r>
    </w:p>
    <w:p>
      <w:pPr>
        <w:pStyle w:val="Indenta"/>
      </w:pPr>
      <w:r>
        <w:tab/>
        <w:t>(c)</w:t>
      </w:r>
      <w:r>
        <w:tab/>
        <w:t>specify the producers’ committee and the additional agricultural produce for which it is proposed to have responsibility; and</w:t>
      </w:r>
    </w:p>
    <w:p>
      <w:pPr>
        <w:pStyle w:val="Indenta"/>
      </w:pPr>
      <w:r>
        <w:tab/>
        <w:t>(d)</w:t>
      </w:r>
      <w:r>
        <w:tab/>
        <w:t>explain in simple terms the objects sought to be effected by the proposal; and</w:t>
      </w:r>
    </w:p>
    <w:p>
      <w:pPr>
        <w:pStyle w:val="Indenta"/>
      </w:pPr>
      <w:r>
        <w:tab/>
        <w:t>(e)</w:t>
      </w:r>
      <w:r>
        <w:tab/>
        <w:t>invite submissions from producers who may be affected by the proposal.</w:t>
      </w:r>
    </w:p>
    <w:p>
      <w:pPr>
        <w:pStyle w:val="Subsection"/>
      </w:pPr>
      <w:r>
        <w:tab/>
        <w:t>(6)</w:t>
      </w:r>
      <w:r>
        <w:tab/>
        <w:t>In performing its functions under this Division, the Commission must have regard to any submissions made to it under subsection (5)(e).</w:t>
      </w:r>
    </w:p>
    <w:p>
      <w:pPr>
        <w:pStyle w:val="Footnotesection"/>
      </w:pPr>
      <w:r>
        <w:tab/>
        <w:t>[Section 11A inserted: No. 11 of 2021 s. 11.]</w:t>
      </w:r>
    </w:p>
    <w:p>
      <w:pPr>
        <w:pStyle w:val="Heading5"/>
      </w:pPr>
      <w:bookmarkStart w:id="37" w:name="_Toc80094883"/>
      <w:r>
        <w:rPr>
          <w:rStyle w:val="CharSectno"/>
        </w:rPr>
        <w:t>11B</w:t>
      </w:r>
      <w:r>
        <w:t>.</w:t>
      </w:r>
      <w:r>
        <w:tab/>
        <w:t>Polls to allocate responsibility for produce to existing producers’ committee</w:t>
      </w:r>
      <w:bookmarkEnd w:id="37"/>
    </w:p>
    <w:p>
      <w:pPr>
        <w:pStyle w:val="Subsection"/>
      </w:pPr>
      <w:r>
        <w:tab/>
        <w:t>(1)</w:t>
      </w:r>
      <w:r>
        <w:tab/>
        <w:t>If a request is made under section 11A(1) to conduct a poll for the purpose of allocating responsibility for agricultural produce to an existing producers’ committee, the Commission must, subject to subsections (2) and (4), conduct the poll.</w:t>
      </w:r>
    </w:p>
    <w:p>
      <w:pPr>
        <w:pStyle w:val="Subsection"/>
      </w:pPr>
      <w:r>
        <w:tab/>
        <w:t>(2)</w:t>
      </w:r>
      <w:r>
        <w:tab/>
        <w:t>The Commission must not conduct the poll if, in its opinion, allocating responsibility for the agricultural produce to the producers’ committee would be materially to the financial detriment of a producer or producers of the agricultural produce.</w:t>
      </w:r>
    </w:p>
    <w:p>
      <w:pPr>
        <w:pStyle w:val="Subsection"/>
      </w:pPr>
      <w:r>
        <w:tab/>
        <w:t>(3)</w:t>
      </w:r>
      <w:r>
        <w:tab/>
        <w:t>For the purposes of subsection (2), the Commission may invite any producer who in the opinion of the Commission has an interest in the matter to attend meetings of the Commission.</w:t>
      </w:r>
    </w:p>
    <w:p>
      <w:pPr>
        <w:pStyle w:val="Subsection"/>
      </w:pPr>
      <w:r>
        <w:tab/>
        <w:t>(4)</w:t>
      </w:r>
      <w:r>
        <w:tab/>
        <w:t>The Commission must not conduct the poll unless the producer or producers, or body, that requested the poll deposits with the Commission such sum as is determined by the Commission as the reasonable costs of the poll.</w:t>
      </w:r>
    </w:p>
    <w:p>
      <w:pPr>
        <w:pStyle w:val="Subsection"/>
      </w:pPr>
      <w:r>
        <w:lastRenderedPageBreak/>
        <w:tab/>
        <w:t>(5)</w:t>
      </w:r>
      <w:r>
        <w:tab/>
        <w:t>If the Commission resolves to allocate responsibility for agricultural produce to the producers’ committee, any money paid to the Commission under subsection (4) must be repaid by the producers’ committee out of the funds of the producers’ committee to the producer or producers, or body, that made the deposit under that subsection.</w:t>
      </w:r>
    </w:p>
    <w:p>
      <w:pPr>
        <w:pStyle w:val="Footnotesection"/>
      </w:pPr>
      <w:r>
        <w:tab/>
        <w:t>[Section 11B inserted: No. 11 of 2021 s. 11.]</w:t>
      </w:r>
    </w:p>
    <w:p>
      <w:pPr>
        <w:pStyle w:val="Heading5"/>
      </w:pPr>
      <w:bookmarkStart w:id="38" w:name="_Toc80094884"/>
      <w:r>
        <w:rPr>
          <w:rStyle w:val="CharSectno"/>
        </w:rPr>
        <w:t>11C</w:t>
      </w:r>
      <w:r>
        <w:t>.</w:t>
      </w:r>
      <w:r>
        <w:tab/>
        <w:t>Allocating responsibility for agricultural produce to existing producers’ committee</w:t>
      </w:r>
      <w:bookmarkEnd w:id="38"/>
    </w:p>
    <w:p>
      <w:pPr>
        <w:pStyle w:val="Subsection"/>
      </w:pPr>
      <w:r>
        <w:tab/>
        <w:t>(1)</w:t>
      </w:r>
      <w:r>
        <w:tab/>
        <w:t xml:space="preserve">The Commission must not allocate responsibility for agricultural produce to an existing producers’ committee unless — </w:t>
      </w:r>
    </w:p>
    <w:p>
      <w:pPr>
        <w:pStyle w:val="Indenta"/>
      </w:pPr>
      <w:r>
        <w:tab/>
        <w:t>(a)</w:t>
      </w:r>
      <w:r>
        <w:tab/>
        <w:t xml:space="preserve">the Commission has — </w:t>
      </w:r>
    </w:p>
    <w:p>
      <w:pPr>
        <w:pStyle w:val="Indenti"/>
      </w:pPr>
      <w:r>
        <w:tab/>
        <w:t>(i)</w:t>
      </w:r>
      <w:r>
        <w:tab/>
        <w:t>complied with section 11A(4) and (5); and</w:t>
      </w:r>
    </w:p>
    <w:p>
      <w:pPr>
        <w:pStyle w:val="Indenti"/>
      </w:pPr>
      <w:r>
        <w:tab/>
        <w:t>(ii)</w:t>
      </w:r>
      <w:r>
        <w:tab/>
        <w:t>conducted a poll under section 11B among the producers of the agricultural produce;</w:t>
      </w:r>
    </w:p>
    <w:p>
      <w:pPr>
        <w:pStyle w:val="Indenta"/>
      </w:pPr>
      <w:r>
        <w:tab/>
      </w:r>
      <w:r>
        <w:tab/>
        <w:t>and</w:t>
      </w:r>
    </w:p>
    <w:p>
      <w:pPr>
        <w:pStyle w:val="Indenta"/>
      </w:pPr>
      <w:r>
        <w:tab/>
        <w:t>(b)</w:t>
      </w:r>
      <w:r>
        <w:tab/>
        <w:t>the poll is in favour of the proposal.</w:t>
      </w:r>
    </w:p>
    <w:p>
      <w:pPr>
        <w:pStyle w:val="Subsection"/>
      </w:pPr>
      <w:r>
        <w:tab/>
        <w:t>(2)</w:t>
      </w:r>
      <w:r>
        <w:tab/>
        <w:t>Even if the Commission has complied with sections 11A(4) and (5) and 11B(1) to (4), the Commission may refuse to allocate responsibility for the agricultural produce to the producers’ committee if the Commission considers that, having regard to the circumstances of the case, it is not desirable or practicable to do so.</w:t>
      </w:r>
    </w:p>
    <w:p>
      <w:pPr>
        <w:pStyle w:val="Subsection"/>
      </w:pPr>
      <w:r>
        <w:tab/>
        <w:t>(3)</w:t>
      </w:r>
      <w:r>
        <w:tab/>
        <w:t>If the Commission resolves to allocate responsibility for agricultural produce to the producers’ committee, then on a day specified by the Commission in a notice under section 11D(1) the producers’ committee commences to have responsibility for the agricultural produce.</w:t>
      </w:r>
    </w:p>
    <w:p>
      <w:pPr>
        <w:pStyle w:val="Footnotesection"/>
      </w:pPr>
      <w:r>
        <w:tab/>
        <w:t>[Section 11C inserted: No. 11 of 2021 s. 11.]</w:t>
      </w:r>
    </w:p>
    <w:p>
      <w:pPr>
        <w:pStyle w:val="Heading5"/>
      </w:pPr>
      <w:bookmarkStart w:id="39" w:name="_Toc80094885"/>
      <w:r>
        <w:rPr>
          <w:rStyle w:val="CharSectno"/>
        </w:rPr>
        <w:lastRenderedPageBreak/>
        <w:t>11D</w:t>
      </w:r>
      <w:r>
        <w:t>.</w:t>
      </w:r>
      <w:r>
        <w:tab/>
        <w:t>Notice of allocation of responsibility for agricultural produce to existing producers’ committee and appointing additional members</w:t>
      </w:r>
      <w:bookmarkEnd w:id="39"/>
    </w:p>
    <w:p>
      <w:pPr>
        <w:pStyle w:val="Subsection"/>
      </w:pPr>
      <w:r>
        <w:tab/>
        <w:t>(1)</w:t>
      </w:r>
      <w:r>
        <w:tab/>
        <w:t xml:space="preserve">If the Commission resolves to allocate responsibility for agricultural produce to an existing producers’ committee, the Commission must by notice published in the </w:t>
      </w:r>
      <w:r>
        <w:rPr>
          <w:i/>
        </w:rPr>
        <w:t>Gazette </w:t>
      </w:r>
      <w:r>
        <w:t>—</w:t>
      </w:r>
    </w:p>
    <w:p>
      <w:pPr>
        <w:pStyle w:val="Indenta"/>
      </w:pPr>
      <w:r>
        <w:tab/>
        <w:t>(a)</w:t>
      </w:r>
      <w:r>
        <w:tab/>
        <w:t>specify the producers’ committee and the agricultural produce for which it is allocated responsibility; and</w:t>
      </w:r>
    </w:p>
    <w:p>
      <w:pPr>
        <w:pStyle w:val="Indenta"/>
      </w:pPr>
      <w:r>
        <w:tab/>
        <w:t>(b)</w:t>
      </w:r>
      <w:r>
        <w:tab/>
        <w:t>specify the day on which the producers’ committee commences to have responsibility for the agricultural produce; and</w:t>
      </w:r>
    </w:p>
    <w:p>
      <w:pPr>
        <w:pStyle w:val="Indenta"/>
      </w:pPr>
      <w:r>
        <w:tab/>
        <w:t>(c)</w:t>
      </w:r>
      <w:r>
        <w:tab/>
        <w:t>invite nominations from among the producers of the agricultural produce for appointment to the producers’ committee.</w:t>
      </w:r>
    </w:p>
    <w:p>
      <w:pPr>
        <w:pStyle w:val="Subsection"/>
      </w:pPr>
      <w:r>
        <w:tab/>
        <w:t>(2)</w:t>
      </w:r>
      <w:r>
        <w:tab/>
        <w:t>After receiving nominations the Commission —</w:t>
      </w:r>
    </w:p>
    <w:p>
      <w:pPr>
        <w:pStyle w:val="Indenta"/>
      </w:pPr>
      <w:r>
        <w:tab/>
        <w:t>(a)</w:t>
      </w:r>
      <w:r>
        <w:tab/>
        <w:t>must decide how many members, in addition to the current number of members, there is to be on the producers’ committee; and</w:t>
      </w:r>
    </w:p>
    <w:p>
      <w:pPr>
        <w:pStyle w:val="Indenta"/>
      </w:pPr>
      <w:r>
        <w:tab/>
        <w:t>(b)</w:t>
      </w:r>
      <w:r>
        <w:tab/>
        <w:t>if it is of the opinion that a poll of the producers of the agricultural produce should be held to elect the members, must conduct a poll.</w:t>
      </w:r>
    </w:p>
    <w:p>
      <w:pPr>
        <w:pStyle w:val="Subsection"/>
      </w:pPr>
      <w:r>
        <w:tab/>
        <w:t>(3)</w:t>
      </w:r>
      <w:r>
        <w:tab/>
        <w:t>A person is not eligible to stand at a poll under this section to elect members of a producers’ committee unless the person is qualified to be appointed to the producers’ committee in relation to the agricultural produce in question.</w:t>
      </w:r>
    </w:p>
    <w:p>
      <w:pPr>
        <w:pStyle w:val="Subsection"/>
      </w:pPr>
      <w:r>
        <w:tab/>
        <w:t>(4)</w:t>
      </w:r>
      <w:r>
        <w:tab/>
        <w:t>Subject to subsection (5), a person elected at a poll under this section to be a member of a producers’ committee must be appointed by the Commission to be a member of the producers’ committee.</w:t>
      </w:r>
    </w:p>
    <w:p>
      <w:pPr>
        <w:pStyle w:val="Subsection"/>
        <w:keepNext/>
      </w:pPr>
      <w:r>
        <w:tab/>
        <w:t>(5)</w:t>
      </w:r>
      <w:r>
        <w:tab/>
        <w:t xml:space="preserve">The Commission must not appoint a person under this section to be a member of a producers’ committee unless the Commission </w:t>
      </w:r>
      <w:r>
        <w:lastRenderedPageBreak/>
        <w:t>is of the opinion that the person is qualified to be so appointed in relation to the agricultural produce in question.</w:t>
      </w:r>
    </w:p>
    <w:p>
      <w:pPr>
        <w:pStyle w:val="Footnotesection"/>
      </w:pPr>
      <w:r>
        <w:tab/>
        <w:t>[Section 11D inserted: No. 11 of 2021 s. 11.]</w:t>
      </w:r>
    </w:p>
    <w:p>
      <w:pPr>
        <w:pStyle w:val="Heading3"/>
      </w:pPr>
      <w:bookmarkStart w:id="40" w:name="_Toc80024909"/>
      <w:bookmarkStart w:id="41" w:name="_Toc80084787"/>
      <w:bookmarkStart w:id="42" w:name="_Toc80094886"/>
      <w:r>
        <w:rPr>
          <w:rStyle w:val="CharDivNo"/>
        </w:rPr>
        <w:t>Division 3</w:t>
      </w:r>
      <w:r>
        <w:t> — </w:t>
      </w:r>
      <w:r>
        <w:rPr>
          <w:rStyle w:val="CharDivText"/>
        </w:rPr>
        <w:t>Appointment of non</w:t>
      </w:r>
      <w:r>
        <w:rPr>
          <w:rStyle w:val="CharDivText"/>
        </w:rPr>
        <w:noBreakHyphen/>
        <w:t>producers to producers’ committees</w:t>
      </w:r>
      <w:bookmarkEnd w:id="40"/>
      <w:bookmarkEnd w:id="41"/>
      <w:bookmarkEnd w:id="42"/>
    </w:p>
    <w:p>
      <w:pPr>
        <w:pStyle w:val="Footnoteheading"/>
        <w:ind w:left="890"/>
      </w:pPr>
      <w:r>
        <w:tab/>
        <w:t>[Heading inserted: No. 11 of 2021 s. 11.]</w:t>
      </w:r>
    </w:p>
    <w:p>
      <w:pPr>
        <w:pStyle w:val="Heading5"/>
      </w:pPr>
      <w:bookmarkStart w:id="43" w:name="_Toc80094887"/>
      <w:r>
        <w:rPr>
          <w:rStyle w:val="CharSectno"/>
        </w:rPr>
        <w:t>11E</w:t>
      </w:r>
      <w:r>
        <w:t>.</w:t>
      </w:r>
      <w:r>
        <w:tab/>
        <w:t>Appointment of non</w:t>
      </w:r>
      <w:r>
        <w:noBreakHyphen/>
        <w:t>producers to producers’ committees</w:t>
      </w:r>
      <w:bookmarkEnd w:id="43"/>
    </w:p>
    <w:p>
      <w:pPr>
        <w:pStyle w:val="Subsection"/>
      </w:pPr>
      <w:r>
        <w:tab/>
        <w:t>(1)</w:t>
      </w:r>
      <w:r>
        <w:tab/>
        <w:t>A producers’ committee may nominate for appointment to that producers’ committee a person who would not be eligible to stand at a poll under section 11 or 11D to elect members of the producers’ committee.</w:t>
      </w:r>
    </w:p>
    <w:p>
      <w:pPr>
        <w:pStyle w:val="Subsection"/>
      </w:pPr>
      <w:r>
        <w:tab/>
        <w:t>(2)</w:t>
      </w:r>
      <w:r>
        <w:tab/>
        <w:t>The Commission may appoint a person nominated under subsection (1) by a producers’ committee to be a member of the producers’ committee if —</w:t>
      </w:r>
    </w:p>
    <w:p>
      <w:pPr>
        <w:pStyle w:val="Indenta"/>
      </w:pPr>
      <w:r>
        <w:tab/>
        <w:t>(a)</w:t>
      </w:r>
      <w:r>
        <w:tab/>
        <w:t>the Commission is of the opinion that it would be desirable and practicable to do so; and</w:t>
      </w:r>
    </w:p>
    <w:p>
      <w:pPr>
        <w:pStyle w:val="Indenta"/>
      </w:pPr>
      <w:r>
        <w:tab/>
        <w:t>(b)</w:t>
      </w:r>
      <w:r>
        <w:tab/>
        <w:t>the Commission is of the opinion that the person has experience relevant to the producers’ committee’s functions; and</w:t>
      </w:r>
    </w:p>
    <w:p>
      <w:pPr>
        <w:pStyle w:val="Indenta"/>
      </w:pPr>
      <w:r>
        <w:tab/>
        <w:t>(c)</w:t>
      </w:r>
      <w:r>
        <w:tab/>
        <w:t>after the person is appointed, the majority of members of the producers’ committee would be producers of the agricultural produce for which the producers’ committee has responsibility.</w:t>
      </w:r>
    </w:p>
    <w:p>
      <w:pPr>
        <w:pStyle w:val="Subsection"/>
      </w:pPr>
      <w:r>
        <w:tab/>
        <w:t>(3)</w:t>
      </w:r>
      <w:r>
        <w:tab/>
        <w:t>A person appointed to a producers’ committee under subsection (2) may take part in the consideration and discussion of any matter before a meeting of the producers’ committee, but cannot vote on any matter.</w:t>
      </w:r>
    </w:p>
    <w:p>
      <w:pPr>
        <w:pStyle w:val="Footnotesection"/>
      </w:pPr>
      <w:r>
        <w:tab/>
        <w:t>[Section 11E inserted: No. 11 of 2021 s. 11.]</w:t>
      </w:r>
    </w:p>
    <w:p>
      <w:pPr>
        <w:pStyle w:val="Heading3"/>
      </w:pPr>
      <w:bookmarkStart w:id="44" w:name="_Toc80024911"/>
      <w:bookmarkStart w:id="45" w:name="_Toc80084789"/>
      <w:bookmarkStart w:id="46" w:name="_Toc80094888"/>
      <w:r>
        <w:rPr>
          <w:rStyle w:val="CharDivNo"/>
        </w:rPr>
        <w:lastRenderedPageBreak/>
        <w:t>Division 4</w:t>
      </w:r>
      <w:r>
        <w:t> — </w:t>
      </w:r>
      <w:r>
        <w:rPr>
          <w:rStyle w:val="CharDivText"/>
        </w:rPr>
        <w:t>Functions of producers’ committees</w:t>
      </w:r>
      <w:bookmarkEnd w:id="44"/>
      <w:bookmarkEnd w:id="45"/>
      <w:bookmarkEnd w:id="46"/>
    </w:p>
    <w:p>
      <w:pPr>
        <w:pStyle w:val="Footnoteheading"/>
        <w:keepNext/>
        <w:ind w:left="890"/>
      </w:pPr>
      <w:r>
        <w:tab/>
        <w:t>[Heading inserted: No. 11 of 2021 s. 12.]</w:t>
      </w:r>
    </w:p>
    <w:p>
      <w:pPr>
        <w:pStyle w:val="Heading5"/>
        <w:rPr>
          <w:snapToGrid w:val="0"/>
        </w:rPr>
      </w:pPr>
      <w:bookmarkStart w:id="47" w:name="_Toc80094889"/>
      <w:r>
        <w:rPr>
          <w:rStyle w:val="CharSectno"/>
        </w:rPr>
        <w:t>12</w:t>
      </w:r>
      <w:r>
        <w:rPr>
          <w:snapToGrid w:val="0"/>
        </w:rPr>
        <w:t>.</w:t>
      </w:r>
      <w:r>
        <w:rPr>
          <w:snapToGrid w:val="0"/>
        </w:rPr>
        <w:tab/>
        <w:t>Functions of producers’ committee</w:t>
      </w:r>
      <w:bookmarkEnd w:id="47"/>
    </w:p>
    <w:p>
      <w:pPr>
        <w:pStyle w:val="Subsection"/>
        <w:rPr>
          <w:snapToGrid w:val="0"/>
        </w:rPr>
      </w:pPr>
      <w:r>
        <w:rPr>
          <w:snapToGrid w:val="0"/>
        </w:rPr>
        <w:tab/>
        <w:t>(1)</w:t>
      </w:r>
      <w:r>
        <w:rPr>
          <w:snapToGrid w:val="0"/>
        </w:rPr>
        <w:tab/>
      </w:r>
      <w:r>
        <w:t>Subject to any direction given by the Commission and to this section a producers’ committee may provide any one or more of the following services as are prescribed in relation to the agricultural produce for which the producers’ committee has responsibility —</w:t>
      </w:r>
    </w:p>
    <w:p>
      <w:pPr>
        <w:pStyle w:val="Indenta"/>
        <w:rPr>
          <w:snapToGrid w:val="0"/>
        </w:rPr>
      </w:pPr>
      <w:r>
        <w:rPr>
          <w:snapToGrid w:val="0"/>
        </w:rPr>
        <w:tab/>
        <w:t>(a)</w:t>
      </w:r>
      <w:r>
        <w:rPr>
          <w:snapToGrid w:val="0"/>
        </w:rPr>
        <w:tab/>
        <w:t xml:space="preserve">advertise and promote the </w:t>
      </w:r>
      <w:r>
        <w:t>agricultural</w:t>
      </w:r>
      <w:r>
        <w:rPr>
          <w:snapToGrid w:val="0"/>
        </w:rPr>
        <w:t xml:space="preserve"> produce;</w:t>
      </w:r>
    </w:p>
    <w:p>
      <w:pPr>
        <w:pStyle w:val="Indenta"/>
        <w:rPr>
          <w:snapToGrid w:val="0"/>
        </w:rPr>
      </w:pPr>
      <w:r>
        <w:rPr>
          <w:snapToGrid w:val="0"/>
        </w:rPr>
        <w:tab/>
        <w:t>(b)</w:t>
      </w:r>
      <w:r>
        <w:rPr>
          <w:snapToGrid w:val="0"/>
        </w:rPr>
        <w:tab/>
        <w:t xml:space="preserve">control or develop the means of controlling pests and diseases if there is a likelihood of those pests or diseases affecting the quality or volume of output of the </w:t>
      </w:r>
      <w:r>
        <w:t>agricultural</w:t>
      </w:r>
      <w:r>
        <w:rPr>
          <w:snapToGrid w:val="0"/>
        </w:rPr>
        <w:t xml:space="preserve"> produce;</w:t>
      </w:r>
    </w:p>
    <w:p>
      <w:pPr>
        <w:pStyle w:val="Indenta"/>
        <w:rPr>
          <w:snapToGrid w:val="0"/>
        </w:rPr>
      </w:pPr>
      <w:r>
        <w:rPr>
          <w:snapToGrid w:val="0"/>
        </w:rPr>
        <w:tab/>
        <w:t>(c)</w:t>
      </w:r>
      <w:r>
        <w:rPr>
          <w:snapToGrid w:val="0"/>
        </w:rPr>
        <w:tab/>
        <w:t xml:space="preserve">conduct research in relation to any matter, if in the opinion of the producers’ committee that research is of advantage to producers of the </w:t>
      </w:r>
      <w:r>
        <w:t>agricultural</w:t>
      </w:r>
      <w:r>
        <w:rPr>
          <w:snapToGrid w:val="0"/>
        </w:rPr>
        <w:t xml:space="preserve"> produce;</w:t>
      </w:r>
    </w:p>
    <w:p>
      <w:pPr>
        <w:pStyle w:val="Indenta"/>
        <w:rPr>
          <w:snapToGrid w:val="0"/>
        </w:rPr>
      </w:pPr>
      <w:r>
        <w:rPr>
          <w:snapToGrid w:val="0"/>
        </w:rPr>
        <w:tab/>
        <w:t>(d)</w:t>
      </w:r>
      <w:r>
        <w:rPr>
          <w:snapToGrid w:val="0"/>
        </w:rPr>
        <w:tab/>
        <w:t xml:space="preserve">conduct educational or instructional programmes </w:t>
      </w:r>
      <w:r>
        <w:t>that, in the opinion of the producers’ committee, may be of advantage to producers of the</w:t>
      </w:r>
      <w:r>
        <w:rPr>
          <w:snapToGrid w:val="0"/>
        </w:rPr>
        <w:t xml:space="preserve"> </w:t>
      </w:r>
      <w:r>
        <w:t>agricultural</w:t>
      </w:r>
      <w:r>
        <w:rPr>
          <w:snapToGrid w:val="0"/>
        </w:rPr>
        <w:t xml:space="preserve"> produce;</w:t>
      </w:r>
    </w:p>
    <w:p>
      <w:pPr>
        <w:pStyle w:val="Indenta"/>
        <w:rPr>
          <w:snapToGrid w:val="0"/>
        </w:rPr>
      </w:pPr>
      <w:r>
        <w:rPr>
          <w:snapToGrid w:val="0"/>
        </w:rPr>
        <w:tab/>
        <w:t>(e)</w:t>
      </w:r>
      <w:r>
        <w:rPr>
          <w:snapToGrid w:val="0"/>
        </w:rPr>
        <w:tab/>
        <w:t xml:space="preserve">develop and expand markets for the </w:t>
      </w:r>
      <w:r>
        <w:t>agricultural</w:t>
      </w:r>
      <w:r>
        <w:rPr>
          <w:snapToGrid w:val="0"/>
        </w:rPr>
        <w:t xml:space="preserve"> produce in Western Australia and elsewhere;</w:t>
      </w:r>
    </w:p>
    <w:p>
      <w:pPr>
        <w:pStyle w:val="Indenta"/>
        <w:rPr>
          <w:snapToGrid w:val="0"/>
        </w:rPr>
      </w:pPr>
      <w:r>
        <w:rPr>
          <w:snapToGrid w:val="0"/>
        </w:rPr>
        <w:tab/>
        <w:t>(f)</w:t>
      </w:r>
      <w:r>
        <w:rPr>
          <w:snapToGrid w:val="0"/>
        </w:rPr>
        <w:tab/>
        <w:t xml:space="preserve">establish a voluntary insurance scheme for the benefit of producers of the </w:t>
      </w:r>
      <w:r>
        <w:t>agricultural</w:t>
      </w:r>
      <w:r>
        <w:rPr>
          <w:snapToGrid w:val="0"/>
        </w:rPr>
        <w:t xml:space="preserve"> produce including insurance relating to crops;</w:t>
      </w:r>
    </w:p>
    <w:p>
      <w:pPr>
        <w:pStyle w:val="Indenta"/>
        <w:rPr>
          <w:snapToGrid w:val="0"/>
        </w:rPr>
      </w:pPr>
      <w:r>
        <w:rPr>
          <w:snapToGrid w:val="0"/>
        </w:rPr>
        <w:tab/>
        <w:t>(g)</w:t>
      </w:r>
      <w:r>
        <w:rPr>
          <w:snapToGrid w:val="0"/>
        </w:rPr>
        <w:tab/>
        <w:t xml:space="preserve">undertake and provide market forecasting for the </w:t>
      </w:r>
      <w:r>
        <w:t>agricultural</w:t>
      </w:r>
      <w:r>
        <w:rPr>
          <w:snapToGrid w:val="0"/>
        </w:rPr>
        <w:t xml:space="preserve"> produce;</w:t>
      </w:r>
    </w:p>
    <w:p>
      <w:pPr>
        <w:pStyle w:val="Indenta"/>
        <w:rPr>
          <w:snapToGrid w:val="0"/>
        </w:rPr>
      </w:pPr>
      <w:r>
        <w:rPr>
          <w:snapToGrid w:val="0"/>
        </w:rPr>
        <w:tab/>
        <w:t>(h)</w:t>
      </w:r>
      <w:r>
        <w:rPr>
          <w:snapToGrid w:val="0"/>
        </w:rPr>
        <w:tab/>
        <w:t xml:space="preserve">establish systems of inspection for the </w:t>
      </w:r>
      <w:r>
        <w:t>agricultural</w:t>
      </w:r>
      <w:r>
        <w:rPr>
          <w:snapToGrid w:val="0"/>
        </w:rPr>
        <w:t xml:space="preserve"> produce for the purpose of quality control or pest and disease control;</w:t>
      </w:r>
    </w:p>
    <w:p>
      <w:pPr>
        <w:pStyle w:val="Indenta"/>
        <w:keepNext/>
        <w:rPr>
          <w:snapToGrid w:val="0"/>
        </w:rPr>
      </w:pPr>
      <w:r>
        <w:rPr>
          <w:snapToGrid w:val="0"/>
        </w:rPr>
        <w:lastRenderedPageBreak/>
        <w:tab/>
        <w:t>(i)</w:t>
      </w:r>
      <w:r>
        <w:rPr>
          <w:snapToGrid w:val="0"/>
        </w:rPr>
        <w:tab/>
        <w:t xml:space="preserve">formulate schemes for declaring producers of the </w:t>
      </w:r>
      <w:r>
        <w:t>agricultural</w:t>
      </w:r>
      <w:r>
        <w:rPr>
          <w:snapToGrid w:val="0"/>
        </w:rPr>
        <w:t xml:space="preserve"> produce to be accredited producers;</w:t>
      </w:r>
    </w:p>
    <w:p>
      <w:pPr>
        <w:pStyle w:val="Indenta"/>
        <w:rPr>
          <w:snapToGrid w:val="0"/>
        </w:rPr>
      </w:pPr>
      <w:r>
        <w:rPr>
          <w:snapToGrid w:val="0"/>
        </w:rPr>
        <w:tab/>
        <w:t>(j)</w:t>
      </w:r>
      <w:r>
        <w:rPr>
          <w:snapToGrid w:val="0"/>
        </w:rPr>
        <w:tab/>
        <w:t xml:space="preserve">establish systems to facilitate inspection of grading, packaging and storage of the </w:t>
      </w:r>
      <w:r>
        <w:t>agricultural</w:t>
      </w:r>
      <w:r>
        <w:rPr>
          <w:snapToGrid w:val="0"/>
        </w:rPr>
        <w:t xml:space="preserve"> produce including weight and uniformity (including uniformity of ripeness) within packages;</w:t>
      </w:r>
    </w:p>
    <w:p>
      <w:pPr>
        <w:pStyle w:val="Indenta"/>
        <w:rPr>
          <w:snapToGrid w:val="0"/>
        </w:rPr>
      </w:pPr>
      <w:r>
        <w:rPr>
          <w:snapToGrid w:val="0"/>
        </w:rPr>
        <w:tab/>
        <w:t>(k)</w:t>
      </w:r>
      <w:r>
        <w:rPr>
          <w:snapToGrid w:val="0"/>
        </w:rPr>
        <w:tab/>
        <w:t xml:space="preserve">support, with or without grant of financial aid, and whether or not initiated by the committee or the Commission, any scheme or activity which in the committee’s opinion is capable of assisting in the </w:t>
      </w:r>
      <w:r>
        <w:t xml:space="preserve">production, </w:t>
      </w:r>
      <w:r>
        <w:rPr>
          <w:snapToGrid w:val="0"/>
        </w:rPr>
        <w:t xml:space="preserve">promotion or sale of the </w:t>
      </w:r>
      <w:r>
        <w:t>agricultural</w:t>
      </w:r>
      <w:r>
        <w:rPr>
          <w:snapToGrid w:val="0"/>
        </w:rPr>
        <w:t xml:space="preserve"> produce;</w:t>
      </w:r>
    </w:p>
    <w:p>
      <w:pPr>
        <w:pStyle w:val="Indenta"/>
        <w:rPr>
          <w:snapToGrid w:val="0"/>
        </w:rPr>
      </w:pPr>
      <w:r>
        <w:rPr>
          <w:snapToGrid w:val="0"/>
        </w:rPr>
        <w:tab/>
        <w:t>(l)</w:t>
      </w:r>
      <w:r>
        <w:rPr>
          <w:snapToGrid w:val="0"/>
        </w:rPr>
        <w:tab/>
        <w:t xml:space="preserve">provide such other services for the </w:t>
      </w:r>
      <w:r>
        <w:t>agricultural</w:t>
      </w:r>
      <w:r>
        <w:rPr>
          <w:snapToGrid w:val="0"/>
        </w:rPr>
        <w:t xml:space="preserve"> produce as may be prescribed;</w:t>
      </w:r>
    </w:p>
    <w:p>
      <w:pPr>
        <w:pStyle w:val="Indenta"/>
      </w:pPr>
      <w:r>
        <w:tab/>
        <w:t>(la)</w:t>
      </w:r>
      <w:r>
        <w:tab/>
        <w:t>establish a compensation scheme for the benefit of producers whose agricultural produce is destroyed as a result of a pest or disease of that produce or action taken to control a pest or disease of that produce;</w:t>
      </w:r>
    </w:p>
    <w:p>
      <w:pPr>
        <w:pStyle w:val="Indenta"/>
        <w:rPr>
          <w:snapToGrid w:val="0"/>
        </w:rPr>
      </w:pPr>
      <w:r>
        <w:rPr>
          <w:snapToGrid w:val="0"/>
        </w:rPr>
        <w:tab/>
        <w:t>(m)</w:t>
      </w:r>
      <w:r>
        <w:rPr>
          <w:snapToGrid w:val="0"/>
        </w:rPr>
        <w:tab/>
        <w:t xml:space="preserve">arrange for the provision of all or any of the services or the exercise of any of the functions referred to in paragraphs (a) to </w:t>
      </w:r>
      <w:r>
        <w:t>(la)</w:t>
      </w:r>
      <w:r>
        <w:rPr>
          <w:snapToGrid w:val="0"/>
        </w:rPr>
        <w:t xml:space="preserve"> in whole or in part by another person or </w:t>
      </w:r>
      <w:r>
        <w:t>organisation or in conjunction with the Commission or any other person or organisation.</w:t>
      </w:r>
    </w:p>
    <w:p>
      <w:pPr>
        <w:pStyle w:val="Ednotesubsection"/>
      </w:pPr>
      <w:r>
        <w:tab/>
        <w:t>[(2)</w:t>
      </w:r>
      <w:r>
        <w:tab/>
        <w:t>deleted]</w:t>
      </w:r>
    </w:p>
    <w:p>
      <w:pPr>
        <w:pStyle w:val="Subsection"/>
        <w:rPr>
          <w:snapToGrid w:val="0"/>
        </w:rPr>
      </w:pPr>
      <w:r>
        <w:rPr>
          <w:snapToGrid w:val="0"/>
        </w:rPr>
        <w:tab/>
        <w:t>(3)</w:t>
      </w:r>
      <w:r>
        <w:rPr>
          <w:snapToGrid w:val="0"/>
        </w:rPr>
        <w:tab/>
        <w:t xml:space="preserve">A producers’ committee </w:t>
      </w:r>
      <w:r>
        <w:t>must</w:t>
      </w:r>
      <w:r>
        <w:rPr>
          <w:snapToGrid w:val="0"/>
        </w:rPr>
        <w:t xml:space="preserve"> not provide any service or recommend the imposition of any charge for any service or proposed service additional to the service or services </w:t>
      </w:r>
      <w:r>
        <w:t>the producers’ committee is authorised to provide</w:t>
      </w:r>
      <w:r>
        <w:rPr>
          <w:snapToGrid w:val="0"/>
        </w:rPr>
        <w:t xml:space="preserve"> unless the producers’ committee has conducted a poll of the producers concerned and the poll is in favour of the proposal.</w:t>
      </w:r>
    </w:p>
    <w:p>
      <w:pPr>
        <w:pStyle w:val="Subsection"/>
        <w:rPr>
          <w:snapToGrid w:val="0"/>
        </w:rPr>
      </w:pPr>
      <w:r>
        <w:rPr>
          <w:snapToGrid w:val="0"/>
        </w:rPr>
        <w:tab/>
        <w:t>(4)</w:t>
      </w:r>
      <w:r>
        <w:rPr>
          <w:snapToGrid w:val="0"/>
        </w:rPr>
        <w:tab/>
        <w:t>The costs of any poll shall be charged to the general funds of the producers’ committee.</w:t>
      </w:r>
    </w:p>
    <w:p>
      <w:pPr>
        <w:pStyle w:val="Subsection"/>
      </w:pPr>
      <w:r>
        <w:lastRenderedPageBreak/>
        <w:tab/>
        <w:t>(5)</w:t>
      </w:r>
      <w:r>
        <w:tab/>
        <w:t xml:space="preserve">A producers’ committee may, for the purposes of providing services in relation to agricultural produce — </w:t>
      </w:r>
    </w:p>
    <w:p>
      <w:pPr>
        <w:pStyle w:val="Indenta"/>
      </w:pPr>
      <w:r>
        <w:tab/>
        <w:t>(a)</w:t>
      </w:r>
      <w:r>
        <w:tab/>
        <w:t>communicate, consult or liaise with producers of agricultural produce; and</w:t>
      </w:r>
    </w:p>
    <w:p>
      <w:pPr>
        <w:pStyle w:val="Indenta"/>
      </w:pPr>
      <w:r>
        <w:tab/>
        <w:t>(b)</w:t>
      </w:r>
      <w:r>
        <w:tab/>
        <w:t>hold meetings with producers of agricultural produce.</w:t>
      </w:r>
    </w:p>
    <w:p>
      <w:pPr>
        <w:pStyle w:val="Footnotesection"/>
      </w:pPr>
      <w:r>
        <w:tab/>
        <w:t>[Section 12 amended: No. 73 of 1994 s. 4; No. 49 of 1996 s. 64; No. 20 of 2000 s. 15, 28, 30 and 31; No. 11 of 2021 s. 13.]</w:t>
      </w:r>
    </w:p>
    <w:p>
      <w:pPr>
        <w:pStyle w:val="Heading5"/>
      </w:pPr>
      <w:bookmarkStart w:id="48" w:name="_Toc80094890"/>
      <w:r>
        <w:rPr>
          <w:rStyle w:val="CharSectno"/>
        </w:rPr>
        <w:t>12A</w:t>
      </w:r>
      <w:r>
        <w:t>.</w:t>
      </w:r>
      <w:r>
        <w:tab/>
        <w:t>Power to enter orchards to administer fruit fly control scheme</w:t>
      </w:r>
      <w:bookmarkEnd w:id="48"/>
    </w:p>
    <w:p>
      <w:pPr>
        <w:pStyle w:val="Subsection"/>
        <w:rPr>
          <w:snapToGrid w:val="0"/>
        </w:rPr>
      </w:pPr>
      <w:r>
        <w:rPr>
          <w:snapToGrid w:val="0"/>
        </w:rPr>
        <w:tab/>
        <w:t>(1)</w:t>
      </w:r>
      <w:r>
        <w:rPr>
          <w:snapToGrid w:val="0"/>
        </w:rPr>
        <w:tab/>
        <w:t xml:space="preserve">Any </w:t>
      </w:r>
      <w:r>
        <w:t>person employed or engaged by the Commission to assist a producers’ committee with responsibility for administering a fruit fly control</w:t>
      </w:r>
      <w:r>
        <w:rPr>
          <w:snapToGrid w:val="0"/>
        </w:rPr>
        <w:t xml:space="preserve"> scheme may, when authorised by the producers’ committee, enter any orchard within the specified area to bait or spray all or any of the fruit trees and fruit vines in the manner and with the materials determined by the producers’ </w:t>
      </w:r>
      <w:r>
        <w:t>committee or carry out any other control measures determined by the producers’ committee.</w:t>
      </w:r>
    </w:p>
    <w:p>
      <w:pPr>
        <w:pStyle w:val="Subsection"/>
      </w:pPr>
      <w:r>
        <w:tab/>
        <w:t>(2)</w:t>
      </w:r>
      <w:r>
        <w:tab/>
        <w:t xml:space="preserve">A person must not enter an orchard under subsection (1) unless — </w:t>
      </w:r>
    </w:p>
    <w:p>
      <w:pPr>
        <w:pStyle w:val="Indenta"/>
      </w:pPr>
      <w:r>
        <w:rPr>
          <w:szCs w:val="22"/>
        </w:rPr>
        <w:tab/>
        <w:t>(a)</w:t>
      </w:r>
      <w:r>
        <w:rPr>
          <w:szCs w:val="22"/>
        </w:rPr>
        <w:tab/>
        <w:t>the person has taken reasonable steps to give the owner or occupier of the orchard notice of the intended entry; or</w:t>
      </w:r>
    </w:p>
    <w:p>
      <w:pPr>
        <w:pStyle w:val="Indenta"/>
      </w:pPr>
      <w:r>
        <w:tab/>
        <w:t>(b)</w:t>
      </w:r>
      <w:r>
        <w:tab/>
        <w:t>the owner or occupier of the orchard consents to the entry.</w:t>
      </w:r>
    </w:p>
    <w:p>
      <w:pPr>
        <w:pStyle w:val="Subsection"/>
      </w:pPr>
      <w:r>
        <w:tab/>
        <w:t>(3)</w:t>
      </w:r>
      <w:r>
        <w:tab/>
        <w:t>The notice must specify the purpose for which the entry is required and successive entries for that purpose are to be regarded as entries to which the notice relates.</w:t>
      </w:r>
    </w:p>
    <w:p>
      <w:pPr>
        <w:pStyle w:val="Subsection"/>
      </w:pPr>
      <w:r>
        <w:tab/>
        <w:t>(4)</w:t>
      </w:r>
      <w:r>
        <w:tab/>
        <w:t>The notice must be given not less than 24 hours before the power of entry is exercised.</w:t>
      </w:r>
    </w:p>
    <w:p>
      <w:pPr>
        <w:pStyle w:val="Subsection"/>
        <w:rPr>
          <w:snapToGrid w:val="0"/>
        </w:rPr>
      </w:pPr>
      <w:r>
        <w:rPr>
          <w:snapToGrid w:val="0"/>
        </w:rPr>
        <w:tab/>
        <w:t>(5)</w:t>
      </w:r>
      <w:r>
        <w:rPr>
          <w:snapToGrid w:val="0"/>
        </w:rPr>
        <w:tab/>
        <w:t xml:space="preserve">In subsection (1) — </w:t>
      </w:r>
    </w:p>
    <w:p>
      <w:pPr>
        <w:pStyle w:val="Defstart"/>
      </w:pPr>
      <w:r>
        <w:rPr>
          <w:b/>
        </w:rPr>
        <w:tab/>
      </w:r>
      <w:r>
        <w:rPr>
          <w:rStyle w:val="CharDefText"/>
        </w:rPr>
        <w:t>orchard</w:t>
      </w:r>
      <w:r>
        <w:t xml:space="preserve"> means any land used for the purpose of growing or cultivating plants, and includes any garden, farm, vinery, </w:t>
      </w:r>
      <w:r>
        <w:lastRenderedPageBreak/>
        <w:t>vineyard, and hothouse, any place where any plant is cultivated or where any plant which has been cultivated is growing;</w:t>
      </w:r>
    </w:p>
    <w:p>
      <w:pPr>
        <w:pStyle w:val="Defstart"/>
      </w:pPr>
      <w:r>
        <w:rPr>
          <w:b/>
        </w:rPr>
        <w:tab/>
      </w:r>
      <w:r>
        <w:rPr>
          <w:rStyle w:val="CharDefText"/>
        </w:rPr>
        <w:t>specified area</w:t>
      </w:r>
      <w:r>
        <w:t xml:space="preserve"> means the portion of the State specified in a notice under section 11(1)(a)(ii) in relation to which the producers’ committee is established.</w:t>
      </w:r>
    </w:p>
    <w:p>
      <w:pPr>
        <w:pStyle w:val="Footnotesection"/>
      </w:pPr>
      <w:r>
        <w:tab/>
        <w:t>[Section 12A inserted: No. 24 of 2007 s. 63; amended: No. 11 of 2021 s. 14.]</w:t>
      </w:r>
    </w:p>
    <w:p>
      <w:pPr>
        <w:pStyle w:val="Heading5"/>
        <w:rPr>
          <w:snapToGrid w:val="0"/>
        </w:rPr>
      </w:pPr>
      <w:bookmarkStart w:id="49" w:name="_Toc80094891"/>
      <w:r>
        <w:rPr>
          <w:rStyle w:val="CharSectno"/>
        </w:rPr>
        <w:t>13</w:t>
      </w:r>
      <w:r>
        <w:rPr>
          <w:snapToGrid w:val="0"/>
        </w:rPr>
        <w:t>.</w:t>
      </w:r>
      <w:r>
        <w:rPr>
          <w:snapToGrid w:val="0"/>
        </w:rPr>
        <w:tab/>
      </w:r>
      <w:r>
        <w:t>Power to require statistical information</w:t>
      </w:r>
      <w:bookmarkEnd w:id="49"/>
    </w:p>
    <w:p>
      <w:pPr>
        <w:pStyle w:val="Subsection"/>
      </w:pPr>
      <w:r>
        <w:tab/>
        <w:t>(1A)</w:t>
      </w:r>
      <w:r>
        <w:tab/>
        <w:t xml:space="preserve">In this section — </w:t>
      </w:r>
    </w:p>
    <w:p>
      <w:pPr>
        <w:pStyle w:val="Defstart"/>
      </w:pPr>
      <w:r>
        <w:tab/>
      </w:r>
      <w:r>
        <w:rPr>
          <w:rStyle w:val="CharDefText"/>
        </w:rPr>
        <w:t>prescribed person</w:t>
      </w:r>
      <w:r>
        <w:t xml:space="preserve"> means a person prescribed for the purposes of this definition.</w:t>
      </w:r>
    </w:p>
    <w:p>
      <w:pPr>
        <w:pStyle w:val="Subsection"/>
        <w:rPr>
          <w:snapToGrid w:val="0"/>
        </w:rPr>
      </w:pPr>
      <w:r>
        <w:rPr>
          <w:snapToGrid w:val="0"/>
        </w:rPr>
        <w:tab/>
        <w:t>(1)</w:t>
      </w:r>
      <w:r>
        <w:rPr>
          <w:snapToGrid w:val="0"/>
        </w:rPr>
        <w:tab/>
        <w:t xml:space="preserve">For the purposes of facilitating the establishment or operation or both the establishment and operation of </w:t>
      </w:r>
      <w:r>
        <w:t xml:space="preserve">a producers’ </w:t>
      </w:r>
      <w:r>
        <w:rPr>
          <w:snapToGrid w:val="0"/>
        </w:rPr>
        <w:t xml:space="preserve">committee the Commission may by notice served on a </w:t>
      </w:r>
      <w:r>
        <w:t>producer, or a prescribed person, require the producer or prescribed person to furnish in writing in</w:t>
      </w:r>
      <w:r>
        <w:rPr>
          <w:snapToGrid w:val="0"/>
        </w:rPr>
        <w:t xml:space="preserve"> a form specified by the Commission within the time specified by the Commission such prescribed statistical information as is specified in the notice.</w:t>
      </w:r>
    </w:p>
    <w:p>
      <w:pPr>
        <w:pStyle w:val="Subsection"/>
      </w:pPr>
      <w:r>
        <w:tab/>
        <w:t>(2)</w:t>
      </w:r>
      <w:r>
        <w:tab/>
        <w:t>A person must not without reasonable excuse fail to comply with a requirement in a notice under this section.</w:t>
      </w:r>
    </w:p>
    <w:p>
      <w:pPr>
        <w:pStyle w:val="Penstart"/>
      </w:pPr>
      <w:r>
        <w:tab/>
        <w:t>Penalty for this subsection: a fine of $1 000.</w:t>
      </w:r>
    </w:p>
    <w:p>
      <w:pPr>
        <w:pStyle w:val="Footnotesection"/>
      </w:pPr>
      <w:r>
        <w:tab/>
        <w:t>[Section 13 amended: No. 20 of 2000 s. 16 and 29; No. 11 of 2021 s. 15.]</w:t>
      </w:r>
    </w:p>
    <w:p>
      <w:pPr>
        <w:pStyle w:val="Heading5"/>
      </w:pPr>
      <w:bookmarkStart w:id="50" w:name="_Toc80094892"/>
      <w:r>
        <w:rPr>
          <w:rStyle w:val="CharSectno"/>
        </w:rPr>
        <w:t>14</w:t>
      </w:r>
      <w:r>
        <w:t>.</w:t>
      </w:r>
      <w:r>
        <w:tab/>
        <w:t>Imposition of charges for services</w:t>
      </w:r>
      <w:bookmarkEnd w:id="50"/>
    </w:p>
    <w:p>
      <w:pPr>
        <w:pStyle w:val="Subsection"/>
        <w:spacing w:before="100"/>
      </w:pPr>
      <w:r>
        <w:tab/>
        <w:t>(1)</w:t>
      </w:r>
      <w:r>
        <w:tab/>
        <w:t xml:space="preserve">The </w:t>
      </w:r>
      <w:r>
        <w:rPr>
          <w:snapToGrid w:val="0"/>
        </w:rPr>
        <w:t>Commission</w:t>
      </w:r>
      <w:r>
        <w:t>, at the request and with the advice of a producers’ committee, may determine the cost or estimated cost of providing a service which the producers’ committee is authorised to provide and, with the approval of the Minister, may impose a charge for the provision of that service.</w:t>
      </w:r>
    </w:p>
    <w:p>
      <w:pPr>
        <w:pStyle w:val="Subsection"/>
      </w:pPr>
      <w:r>
        <w:tab/>
        <w:t>(2)</w:t>
      </w:r>
      <w:r>
        <w:tab/>
        <w:t xml:space="preserve">The Commission is to determine the amount of a charge imposed under this section having regard to the cost or </w:t>
      </w:r>
      <w:r>
        <w:lastRenderedPageBreak/>
        <w:t>estimated cost of providing the service and any other relevant factors.</w:t>
      </w:r>
    </w:p>
    <w:p>
      <w:pPr>
        <w:pStyle w:val="Subsection"/>
      </w:pPr>
      <w:r>
        <w:tab/>
        <w:t>(2A)</w:t>
      </w:r>
      <w:r>
        <w:tab/>
        <w:t>Without limiting subsection (1) or (2), the cost or estimated cost of providing a service includes any cost of or associated with communicating, consulting, liaising or meeting with producers of agricultural produce for the purposes of providing the service.</w:t>
      </w:r>
    </w:p>
    <w:p>
      <w:pPr>
        <w:pStyle w:val="Subsection"/>
      </w:pPr>
      <w:r>
        <w:tab/>
        <w:t>(3)</w:t>
      </w:r>
      <w:r>
        <w:tab/>
        <w:t>Notice of a charge imposed under this section is to be published, and the charge is payable, in accordance with the regulations.</w:t>
      </w:r>
    </w:p>
    <w:p>
      <w:pPr>
        <w:pStyle w:val="Subsection"/>
      </w:pPr>
      <w:r>
        <w:tab/>
        <w:t>(4)</w:t>
      </w:r>
      <w:r>
        <w:tab/>
        <w:t>A charge imposed under this section that is paid to, or collected by, a person is held by that person on trust for the producers’ committee providing the service for which it is imposed until it is paid to the Commission in accordance with the regulations.</w:t>
      </w:r>
    </w:p>
    <w:p>
      <w:pPr>
        <w:pStyle w:val="Subsection"/>
      </w:pPr>
      <w:r>
        <w:tab/>
        <w:t>(5)</w:t>
      </w:r>
      <w:r>
        <w:tab/>
        <w:t>The regulations may provide for the circumstances in which a charge imposed under this section may be waived, refunded or reduced, in whole or in part.</w:t>
      </w:r>
    </w:p>
    <w:p>
      <w:pPr>
        <w:pStyle w:val="Footnotesection"/>
      </w:pPr>
      <w:r>
        <w:tab/>
        <w:t>[Section 14 inserted: No. 20 of 2000 s. 17; amended: No. 11 of 2021 s. 16.]</w:t>
      </w:r>
    </w:p>
    <w:p>
      <w:pPr>
        <w:pStyle w:val="Heading3"/>
      </w:pPr>
      <w:bookmarkStart w:id="51" w:name="_Toc80024916"/>
      <w:bookmarkStart w:id="52" w:name="_Toc80084794"/>
      <w:bookmarkStart w:id="53" w:name="_Toc80094893"/>
      <w:r>
        <w:rPr>
          <w:rStyle w:val="CharDivNo"/>
        </w:rPr>
        <w:t>Division 5</w:t>
      </w:r>
      <w:r>
        <w:t> — </w:t>
      </w:r>
      <w:r>
        <w:rPr>
          <w:rStyle w:val="CharDivText"/>
        </w:rPr>
        <w:t>Removing responsibility for agricultural produce from or dissolving producers’ committees</w:t>
      </w:r>
      <w:bookmarkEnd w:id="51"/>
      <w:bookmarkEnd w:id="52"/>
      <w:bookmarkEnd w:id="53"/>
    </w:p>
    <w:p>
      <w:pPr>
        <w:pStyle w:val="Footnoteheading"/>
        <w:ind w:left="890"/>
      </w:pPr>
      <w:r>
        <w:tab/>
        <w:t>[Heading inserted: No. 11 of 2021 s. 17.]</w:t>
      </w:r>
    </w:p>
    <w:p>
      <w:pPr>
        <w:pStyle w:val="Heading5"/>
      </w:pPr>
      <w:bookmarkStart w:id="54" w:name="_Toc80094894"/>
      <w:r>
        <w:rPr>
          <w:rStyle w:val="CharSectno"/>
        </w:rPr>
        <w:t>14A</w:t>
      </w:r>
      <w:r>
        <w:t>.</w:t>
      </w:r>
      <w:r>
        <w:tab/>
        <w:t>Removing responsibility for agricultural produce from producers’ committee after poll</w:t>
      </w:r>
      <w:bookmarkEnd w:id="54"/>
    </w:p>
    <w:p>
      <w:pPr>
        <w:pStyle w:val="Subsection"/>
      </w:pPr>
      <w:r>
        <w:tab/>
        <w:t>(1)</w:t>
      </w:r>
      <w:r>
        <w:tab/>
        <w:t>The Commission may conduct a poll of the producers of agricultural produce for which a producers’ committee has responsibility for the removal of responsibility for the agricultural produce from the producers’ committee.</w:t>
      </w:r>
    </w:p>
    <w:p>
      <w:pPr>
        <w:pStyle w:val="Subsection"/>
      </w:pPr>
      <w:r>
        <w:tab/>
        <w:t>(2)</w:t>
      </w:r>
      <w:r>
        <w:tab/>
        <w:t xml:space="preserve">If the poll is in favour of removing responsibility for the agricultural produce from the producers’ committee, then on a day specified by the Commission by notice published in the </w:t>
      </w:r>
      <w:r>
        <w:rPr>
          <w:i/>
        </w:rPr>
        <w:lastRenderedPageBreak/>
        <w:t>Gazette</w:t>
      </w:r>
      <w:r>
        <w:t>, the producers’ committee ceases to have responsibility for the agricultural produce.</w:t>
      </w:r>
    </w:p>
    <w:p>
      <w:pPr>
        <w:pStyle w:val="Footnotesection"/>
      </w:pPr>
      <w:r>
        <w:tab/>
        <w:t>[Section 14A inserted: No. 11 of 2021 s. 17.]</w:t>
      </w:r>
    </w:p>
    <w:p>
      <w:pPr>
        <w:pStyle w:val="Heading5"/>
      </w:pPr>
      <w:bookmarkStart w:id="55" w:name="_Toc80094895"/>
      <w:r>
        <w:rPr>
          <w:rStyle w:val="CharSectno"/>
        </w:rPr>
        <w:t>14B</w:t>
      </w:r>
      <w:r>
        <w:t>.</w:t>
      </w:r>
      <w:r>
        <w:tab/>
        <w:t>Removing responsibility for agricultural produce from producers’ committee without poll</w:t>
      </w:r>
      <w:bookmarkEnd w:id="55"/>
    </w:p>
    <w:p>
      <w:pPr>
        <w:pStyle w:val="Subsection"/>
      </w:pPr>
      <w:r>
        <w:tab/>
        <w:t>(1)</w:t>
      </w:r>
      <w:r>
        <w:tab/>
        <w:t>The Commission may remove responsibility for agricultural produce from a producers’ committee if the Commission is satisfied that the producers’ committee —</w:t>
      </w:r>
    </w:p>
    <w:p>
      <w:pPr>
        <w:pStyle w:val="Indenta"/>
      </w:pPr>
      <w:r>
        <w:tab/>
        <w:t>(a)</w:t>
      </w:r>
      <w:r>
        <w:tab/>
        <w:t>is operating in a manner that is materially to the financial detriment of a producer or producers of the agricultural produce; or</w:t>
      </w:r>
    </w:p>
    <w:p>
      <w:pPr>
        <w:pStyle w:val="Indenta"/>
      </w:pPr>
      <w:r>
        <w:tab/>
        <w:t>(b)</w:t>
      </w:r>
      <w:r>
        <w:tab/>
        <w:t>is no longer providing any service the producers’ committee is authorised to provide.</w:t>
      </w:r>
    </w:p>
    <w:p>
      <w:pPr>
        <w:pStyle w:val="Subsection"/>
      </w:pPr>
      <w:r>
        <w:tab/>
        <w:t>(2)</w:t>
      </w:r>
      <w:r>
        <w:tab/>
        <w:t xml:space="preserve">If the Commission resolves to remove responsibility for agricultural produce from a producers’ committee, then on a day specified by the Commission by notice published in the </w:t>
      </w:r>
      <w:r>
        <w:rPr>
          <w:i/>
        </w:rPr>
        <w:t>Gazette</w:t>
      </w:r>
      <w:r>
        <w:t xml:space="preserve"> the producers’ committee ceases to have responsibility for the agricultural produce.</w:t>
      </w:r>
    </w:p>
    <w:p>
      <w:pPr>
        <w:pStyle w:val="Footnotesection"/>
      </w:pPr>
      <w:r>
        <w:tab/>
        <w:t>[Section 14B inserted: No. 11 of 2021 s. 17.]</w:t>
      </w:r>
    </w:p>
    <w:p>
      <w:pPr>
        <w:pStyle w:val="Heading5"/>
        <w:rPr>
          <w:snapToGrid w:val="0"/>
        </w:rPr>
      </w:pPr>
      <w:bookmarkStart w:id="56" w:name="_Toc80094896"/>
      <w:r>
        <w:rPr>
          <w:rStyle w:val="CharSectno"/>
        </w:rPr>
        <w:t>15</w:t>
      </w:r>
      <w:r>
        <w:rPr>
          <w:snapToGrid w:val="0"/>
        </w:rPr>
        <w:t>.</w:t>
      </w:r>
      <w:r>
        <w:rPr>
          <w:snapToGrid w:val="0"/>
        </w:rPr>
        <w:tab/>
      </w:r>
      <w:r>
        <w:t>Dissolution of producers’ committee after poll</w:t>
      </w:r>
      <w:bookmarkEnd w:id="56"/>
    </w:p>
    <w:p>
      <w:pPr>
        <w:pStyle w:val="Subsection"/>
      </w:pPr>
      <w:r>
        <w:tab/>
        <w:t>(1)</w:t>
      </w:r>
      <w:r>
        <w:tab/>
        <w:t>The Commission may conduct a poll of producers of the agricultural produce for which a producers’ committee has responsibility for the dissolution of the producers’ committee.</w:t>
      </w:r>
    </w:p>
    <w:p>
      <w:pPr>
        <w:pStyle w:val="Subsection"/>
      </w:pPr>
      <w:r>
        <w:tab/>
        <w:t>(2)</w:t>
      </w:r>
      <w:r>
        <w:tab/>
        <w:t xml:space="preserve">If the poll is in favour of the dissolution of the producers’ committee, then on a day specified by the Commission by notice published in the </w:t>
      </w:r>
      <w:r>
        <w:rPr>
          <w:i/>
        </w:rPr>
        <w:t>Gazette</w:t>
      </w:r>
      <w:r>
        <w:t xml:space="preserve"> the affairs of the producers’ committee must commence to be wound up by —</w:t>
      </w:r>
    </w:p>
    <w:p>
      <w:pPr>
        <w:pStyle w:val="Indenta"/>
      </w:pPr>
      <w:r>
        <w:tab/>
        <w:t>(a)</w:t>
      </w:r>
      <w:r>
        <w:tab/>
        <w:t>the Commission; or</w:t>
      </w:r>
    </w:p>
    <w:p>
      <w:pPr>
        <w:pStyle w:val="Indenta"/>
      </w:pPr>
      <w:r>
        <w:tab/>
        <w:t>(b)</w:t>
      </w:r>
      <w:r>
        <w:tab/>
        <w:t>a liquidator appointed by the Commission.</w:t>
      </w:r>
    </w:p>
    <w:p>
      <w:pPr>
        <w:pStyle w:val="Subsection"/>
      </w:pPr>
      <w:r>
        <w:tab/>
        <w:t>(3)</w:t>
      </w:r>
      <w:r>
        <w:tab/>
        <w:t>The day specified under subsection (2) must not be later than 6 months after the taking of the poll.</w:t>
      </w:r>
    </w:p>
    <w:p>
      <w:pPr>
        <w:pStyle w:val="Subsection"/>
      </w:pPr>
      <w:r>
        <w:lastRenderedPageBreak/>
        <w:tab/>
        <w:t>(3A)</w:t>
      </w:r>
      <w:r>
        <w:tab/>
        <w:t>On the day specified by the Commission under subsection (2), the producers’ committee must cease to act.</w:t>
      </w:r>
    </w:p>
    <w:p>
      <w:pPr>
        <w:pStyle w:val="Subsection"/>
      </w:pPr>
      <w:r>
        <w:tab/>
        <w:t>(3B)</w:t>
      </w:r>
      <w:r>
        <w:tab/>
        <w:t>On and from the day specified by the Commission under subsection (2), the Commission or the liquidator, as is relevant, may for the purposes of winding up the affairs of the producers’ committee —</w:t>
      </w:r>
    </w:p>
    <w:p>
      <w:pPr>
        <w:pStyle w:val="Indenta"/>
      </w:pPr>
      <w:r>
        <w:tab/>
        <w:t>(a)</w:t>
      </w:r>
      <w:r>
        <w:tab/>
        <w:t>perform the functions of the producers’ committee; and</w:t>
      </w:r>
    </w:p>
    <w:p>
      <w:pPr>
        <w:pStyle w:val="Indenta"/>
      </w:pPr>
      <w:r>
        <w:tab/>
        <w:t>(b)</w:t>
      </w:r>
      <w:r>
        <w:tab/>
        <w:t>do such other acts and things as the Commission, or liquidator, thinks fit.</w:t>
      </w:r>
    </w:p>
    <w:p>
      <w:pPr>
        <w:pStyle w:val="Subsection"/>
        <w:rPr>
          <w:snapToGrid w:val="0"/>
        </w:rPr>
      </w:pPr>
      <w:r>
        <w:rPr>
          <w:snapToGrid w:val="0"/>
        </w:rPr>
        <w:tab/>
        <w:t>(4)</w:t>
      </w:r>
      <w:r>
        <w:rPr>
          <w:snapToGrid w:val="0"/>
        </w:rPr>
        <w:tab/>
        <w:t>A liquidator shall receive such remuneration as is determined by the Commission.</w:t>
      </w:r>
    </w:p>
    <w:p>
      <w:pPr>
        <w:pStyle w:val="Subsection"/>
        <w:rPr>
          <w:snapToGrid w:val="0"/>
        </w:rPr>
      </w:pPr>
      <w:r>
        <w:rPr>
          <w:snapToGrid w:val="0"/>
        </w:rPr>
        <w:tab/>
        <w:t>(5)</w:t>
      </w:r>
      <w:r>
        <w:rPr>
          <w:snapToGrid w:val="0"/>
        </w:rPr>
        <w:tab/>
        <w:t xml:space="preserve">The Commission may by notice published in the </w:t>
      </w:r>
      <w:r>
        <w:rPr>
          <w:i/>
          <w:snapToGrid w:val="0"/>
        </w:rPr>
        <w:t>Gazette</w:t>
      </w:r>
      <w:r>
        <w:rPr>
          <w:snapToGrid w:val="0"/>
        </w:rPr>
        <w:t xml:space="preserve"> declare a producers’ committee to be dissolved.</w:t>
      </w:r>
    </w:p>
    <w:p>
      <w:pPr>
        <w:pStyle w:val="Subsection"/>
        <w:rPr>
          <w:snapToGrid w:val="0"/>
        </w:rPr>
      </w:pPr>
      <w:r>
        <w:rPr>
          <w:snapToGrid w:val="0"/>
        </w:rPr>
        <w:tab/>
        <w:t>(6)</w:t>
      </w:r>
      <w:r>
        <w:rPr>
          <w:snapToGrid w:val="0"/>
        </w:rPr>
        <w:tab/>
        <w:t>The dissolution of a producers’ committee shall take effect on the date specified in the notice referred to in subsection (5).</w:t>
      </w:r>
    </w:p>
    <w:p>
      <w:pPr>
        <w:pStyle w:val="Subsection"/>
        <w:rPr>
          <w:snapToGrid w:val="0"/>
        </w:rPr>
      </w:pPr>
      <w:r>
        <w:rPr>
          <w:snapToGrid w:val="0"/>
        </w:rPr>
        <w:tab/>
        <w:t>(7)</w:t>
      </w:r>
      <w:r>
        <w:rPr>
          <w:snapToGrid w:val="0"/>
        </w:rPr>
        <w:tab/>
        <w:t>On the dissolution of a producers’ committee all money and other assets of the producers’ committee —</w:t>
      </w:r>
    </w:p>
    <w:p>
      <w:pPr>
        <w:pStyle w:val="Indenta"/>
        <w:rPr>
          <w:snapToGrid w:val="0"/>
        </w:rPr>
      </w:pPr>
      <w:r>
        <w:rPr>
          <w:snapToGrid w:val="0"/>
        </w:rPr>
        <w:tab/>
        <w:t>(a)</w:t>
      </w:r>
      <w:r>
        <w:rPr>
          <w:snapToGrid w:val="0"/>
        </w:rPr>
        <w:tab/>
        <w:t>shall vest in the Commission;</w:t>
      </w:r>
    </w:p>
    <w:p>
      <w:pPr>
        <w:pStyle w:val="Indenta"/>
        <w:rPr>
          <w:snapToGrid w:val="0"/>
        </w:rPr>
      </w:pPr>
      <w:r>
        <w:rPr>
          <w:snapToGrid w:val="0"/>
        </w:rPr>
        <w:tab/>
        <w:t>(b)</w:t>
      </w:r>
      <w:r>
        <w:rPr>
          <w:snapToGrid w:val="0"/>
        </w:rPr>
        <w:tab/>
        <w:t>shall be dealt with as the Minister directs</w:t>
      </w:r>
      <w:r>
        <w:t xml:space="preserve"> for the benefit of the producers concerned</w:t>
      </w:r>
      <w:r>
        <w:rPr>
          <w:snapToGrid w:val="0"/>
        </w:rPr>
        <w:t>.</w:t>
      </w:r>
    </w:p>
    <w:p>
      <w:pPr>
        <w:pStyle w:val="Ednotesubsection"/>
      </w:pPr>
      <w:r>
        <w:tab/>
        <w:t>[(8)</w:t>
      </w:r>
      <w:r>
        <w:tab/>
        <w:t>deleted]</w:t>
      </w:r>
    </w:p>
    <w:p>
      <w:pPr>
        <w:pStyle w:val="Footnotesection"/>
      </w:pPr>
      <w:r>
        <w:tab/>
        <w:t>[Section 15 amended: No. 20 of 2000 s. 18, 29, 30 and 31; No. 11 of 2021 s. 18.]</w:t>
      </w:r>
    </w:p>
    <w:p>
      <w:pPr>
        <w:pStyle w:val="Heading5"/>
      </w:pPr>
      <w:bookmarkStart w:id="57" w:name="_Toc80094897"/>
      <w:r>
        <w:rPr>
          <w:rStyle w:val="CharSectno"/>
        </w:rPr>
        <w:t>15A</w:t>
      </w:r>
      <w:r>
        <w:t>.</w:t>
      </w:r>
      <w:r>
        <w:tab/>
        <w:t>Dissolution of producers’ committee without poll</w:t>
      </w:r>
      <w:bookmarkEnd w:id="57"/>
    </w:p>
    <w:p>
      <w:pPr>
        <w:pStyle w:val="Subsection"/>
      </w:pPr>
      <w:r>
        <w:tab/>
        <w:t>(1)</w:t>
      </w:r>
      <w:r>
        <w:tab/>
        <w:t xml:space="preserve">The Commission may dissolve a producers’ committee if the Commission is satisfied that the producers’ committee — </w:t>
      </w:r>
    </w:p>
    <w:p>
      <w:pPr>
        <w:pStyle w:val="Indenta"/>
      </w:pPr>
      <w:r>
        <w:tab/>
        <w:t>(a)</w:t>
      </w:r>
      <w:r>
        <w:tab/>
        <w:t>is operating in a manner that is materially to the financial detriment of a producer or producers of agricultural produce for which it has responsibility; or</w:t>
      </w:r>
    </w:p>
    <w:p>
      <w:pPr>
        <w:pStyle w:val="Indenta"/>
      </w:pPr>
      <w:r>
        <w:lastRenderedPageBreak/>
        <w:tab/>
        <w:t>(b)</w:t>
      </w:r>
      <w:r>
        <w:tab/>
        <w:t>is no longer providing any service the producers’ committee is authorised to provide.</w:t>
      </w:r>
    </w:p>
    <w:p>
      <w:pPr>
        <w:pStyle w:val="Subsection"/>
      </w:pPr>
      <w:r>
        <w:tab/>
        <w:t>(2)</w:t>
      </w:r>
      <w:r>
        <w:tab/>
        <w:t xml:space="preserve">If the Commission resolves to dissolve a producers’ committee, then on a day specified by the Commission by notice published in the </w:t>
      </w:r>
      <w:r>
        <w:rPr>
          <w:i/>
        </w:rPr>
        <w:t>Gazette</w:t>
      </w:r>
      <w:r>
        <w:t xml:space="preserve">, the affairs of the producers’ committee must commence to be wound up by — </w:t>
      </w:r>
    </w:p>
    <w:p>
      <w:pPr>
        <w:pStyle w:val="Indenta"/>
      </w:pPr>
      <w:r>
        <w:tab/>
        <w:t>(a)</w:t>
      </w:r>
      <w:r>
        <w:tab/>
        <w:t>the Commission; or</w:t>
      </w:r>
    </w:p>
    <w:p>
      <w:pPr>
        <w:pStyle w:val="Indenta"/>
      </w:pPr>
      <w:r>
        <w:tab/>
        <w:t>(b)</w:t>
      </w:r>
      <w:r>
        <w:tab/>
        <w:t>a liquidator appointed by the Commission.</w:t>
      </w:r>
    </w:p>
    <w:p>
      <w:pPr>
        <w:pStyle w:val="Subsection"/>
      </w:pPr>
      <w:r>
        <w:tab/>
        <w:t>(3)</w:t>
      </w:r>
      <w:r>
        <w:tab/>
        <w:t>Section 15(3A) to (7) applies, with any necessary modifications, to the dissolution of a producers’ committee under this section.</w:t>
      </w:r>
    </w:p>
    <w:p>
      <w:pPr>
        <w:pStyle w:val="Footnotesection"/>
      </w:pPr>
      <w:r>
        <w:tab/>
        <w:t>[Section 15A inserted: No. 11 of 2021 s. 19.]</w:t>
      </w:r>
    </w:p>
    <w:p>
      <w:pPr>
        <w:pStyle w:val="Heading3"/>
      </w:pPr>
      <w:bookmarkStart w:id="58" w:name="_Toc80024921"/>
      <w:bookmarkStart w:id="59" w:name="_Toc80084799"/>
      <w:bookmarkStart w:id="60" w:name="_Toc80094898"/>
      <w:r>
        <w:rPr>
          <w:rStyle w:val="CharDivNo"/>
        </w:rPr>
        <w:t>Division 6</w:t>
      </w:r>
      <w:r>
        <w:t> — </w:t>
      </w:r>
      <w:r>
        <w:rPr>
          <w:rStyle w:val="CharDivText"/>
        </w:rPr>
        <w:t>Conducting polls</w:t>
      </w:r>
      <w:bookmarkEnd w:id="58"/>
      <w:bookmarkEnd w:id="59"/>
      <w:bookmarkEnd w:id="60"/>
    </w:p>
    <w:p>
      <w:pPr>
        <w:pStyle w:val="Footnoteheading"/>
        <w:ind w:left="890"/>
      </w:pPr>
      <w:r>
        <w:tab/>
        <w:t>[Heading inserted: No. 11 of 2021 s. 20.]</w:t>
      </w:r>
    </w:p>
    <w:p>
      <w:pPr>
        <w:pStyle w:val="Heading5"/>
        <w:rPr>
          <w:snapToGrid w:val="0"/>
        </w:rPr>
      </w:pPr>
      <w:bookmarkStart w:id="61" w:name="_Toc80094899"/>
      <w:r>
        <w:rPr>
          <w:rStyle w:val="CharSectno"/>
        </w:rPr>
        <w:t>16</w:t>
      </w:r>
      <w:r>
        <w:rPr>
          <w:snapToGrid w:val="0"/>
        </w:rPr>
        <w:t>.</w:t>
      </w:r>
      <w:r>
        <w:rPr>
          <w:snapToGrid w:val="0"/>
        </w:rPr>
        <w:tab/>
        <w:t>List of producers</w:t>
      </w:r>
      <w:bookmarkEnd w:id="61"/>
    </w:p>
    <w:p>
      <w:pPr>
        <w:pStyle w:val="Subsection"/>
      </w:pPr>
      <w:r>
        <w:tab/>
        <w:t>(1)</w:t>
      </w:r>
      <w:r>
        <w:tab/>
        <w:t xml:space="preserve">For the purposes of conducting a poll under this Act the Commission must — </w:t>
      </w:r>
    </w:p>
    <w:p>
      <w:pPr>
        <w:pStyle w:val="Indenta"/>
      </w:pPr>
      <w:r>
        <w:tab/>
        <w:t>(a)</w:t>
      </w:r>
      <w:r>
        <w:tab/>
        <w:t>in the case of a producers’ committee that has, or is proposed to have, responsibility for agricultural produce for the whole of the State — compile a list of producers of the agricultural produce in the whole of the State; and</w:t>
      </w:r>
    </w:p>
    <w:p>
      <w:pPr>
        <w:pStyle w:val="Indenta"/>
      </w:pPr>
      <w:r>
        <w:tab/>
        <w:t>(b)</w:t>
      </w:r>
      <w:r>
        <w:tab/>
        <w:t>in the case of a producers’ committee that has, or is proposed to have, responsibility for agricultural produce only in relation to a particular part of the State — compile a list of producers of the agricultural produce in that part of the State.</w:t>
      </w:r>
    </w:p>
    <w:p>
      <w:pPr>
        <w:pStyle w:val="Subsection"/>
        <w:rPr>
          <w:snapToGrid w:val="0"/>
        </w:rPr>
      </w:pPr>
      <w:r>
        <w:rPr>
          <w:snapToGrid w:val="0"/>
        </w:rPr>
        <w:tab/>
        <w:t>(2)</w:t>
      </w:r>
      <w:r>
        <w:rPr>
          <w:snapToGrid w:val="0"/>
        </w:rPr>
        <w:tab/>
        <w:t>A person whose name is included or omitted from a list compiled under subsection (1) and who is aggrieved in relation to that fact may apply to the State Administrative Tribunal for a review of the decision to include or omit the person’s name.</w:t>
      </w:r>
    </w:p>
    <w:p>
      <w:pPr>
        <w:pStyle w:val="Footnotesection"/>
      </w:pPr>
      <w:r>
        <w:tab/>
        <w:t>[Section 16 amended: No. 20 of 2000 s. 19, 30 and 31; No. 55 of 2004 s. 22; No. 11 of 2021 s. 21.]</w:t>
      </w:r>
    </w:p>
    <w:p>
      <w:pPr>
        <w:pStyle w:val="Heading5"/>
      </w:pPr>
      <w:bookmarkStart w:id="62" w:name="_Toc80094900"/>
      <w:r>
        <w:rPr>
          <w:rStyle w:val="CharSectno"/>
        </w:rPr>
        <w:lastRenderedPageBreak/>
        <w:t>16A</w:t>
      </w:r>
      <w:r>
        <w:t>.</w:t>
      </w:r>
      <w:r>
        <w:tab/>
        <w:t>Weighted voting</w:t>
      </w:r>
      <w:bookmarkEnd w:id="62"/>
    </w:p>
    <w:p>
      <w:pPr>
        <w:pStyle w:val="Subsection"/>
      </w:pPr>
      <w:r>
        <w:tab/>
        <w:t>(1)</w:t>
      </w:r>
      <w:r>
        <w:tab/>
        <w:t>The Commission may in compiling a list of producers of agricultural produce, determine in writing the number of votes each producer is to have in a poll of the producers of the agricultural produce.</w:t>
      </w:r>
    </w:p>
    <w:p>
      <w:pPr>
        <w:pStyle w:val="Subsection"/>
      </w:pPr>
      <w:r>
        <w:tab/>
        <w:t>(2)</w:t>
      </w:r>
      <w:r>
        <w:tab/>
        <w:t xml:space="preserve">In determining the number of votes each producer is to have in the poll, the Commission is to ensure that each producer — </w:t>
      </w:r>
    </w:p>
    <w:p>
      <w:pPr>
        <w:pStyle w:val="Indenta"/>
      </w:pPr>
      <w:r>
        <w:tab/>
        <w:t>(a)</w:t>
      </w:r>
      <w:r>
        <w:tab/>
        <w:t>has at least 1 vote; and</w:t>
      </w:r>
    </w:p>
    <w:p>
      <w:pPr>
        <w:pStyle w:val="Indenta"/>
      </w:pPr>
      <w:r>
        <w:tab/>
        <w:t>(b)</w:t>
      </w:r>
      <w:r>
        <w:tab/>
        <w:t>has such number of votes as is proportionate to the percentage of the relevant agricultural produce produced in the State, or the relevant part of the State, that was produced by the producer in the 3 year period preceding the year in which the determination is made.</w:t>
      </w:r>
    </w:p>
    <w:p>
      <w:pPr>
        <w:pStyle w:val="Subsection"/>
      </w:pPr>
      <w:r>
        <w:tab/>
        <w:t>(3)</w:t>
      </w:r>
      <w:r>
        <w:tab/>
        <w:t xml:space="preserve">The Commission must not make a determination under subsection (1) unless it is satisfied that — </w:t>
      </w:r>
    </w:p>
    <w:p>
      <w:pPr>
        <w:pStyle w:val="Indenta"/>
      </w:pPr>
      <w:r>
        <w:tab/>
        <w:t>(a)</w:t>
      </w:r>
      <w:r>
        <w:tab/>
        <w:t>there is sufficient industry data available to the Commission for it to make the determination; and</w:t>
      </w:r>
    </w:p>
    <w:p>
      <w:pPr>
        <w:pStyle w:val="Indenta"/>
      </w:pPr>
      <w:r>
        <w:tab/>
        <w:t>(b)</w:t>
      </w:r>
      <w:r>
        <w:tab/>
        <w:t>it is in the best interests of the agricultural industry to do so.</w:t>
      </w:r>
    </w:p>
    <w:p>
      <w:pPr>
        <w:pStyle w:val="Subsection"/>
      </w:pPr>
      <w:r>
        <w:tab/>
        <w:t>(4)</w:t>
      </w:r>
      <w:r>
        <w:tab/>
        <w:t>As soon as practicable after making a determination under subsection (1), the Commission must give a copy of the determination to each producer of the agricultural produce concerned.</w:t>
      </w:r>
    </w:p>
    <w:p>
      <w:pPr>
        <w:pStyle w:val="Subsection"/>
      </w:pPr>
      <w:r>
        <w:tab/>
        <w:t>(5)</w:t>
      </w:r>
      <w:r>
        <w:tab/>
        <w:t>In a poll for which a determination has been made under subsection (1), the number of votes a producer has is to be in accordance with the determination.</w:t>
      </w:r>
    </w:p>
    <w:p>
      <w:pPr>
        <w:pStyle w:val="Footnotesection"/>
      </w:pPr>
      <w:r>
        <w:tab/>
        <w:t>[Section 16A inserted: No. 11 of 2021 s. 22.]</w:t>
      </w:r>
    </w:p>
    <w:p>
      <w:pPr>
        <w:pStyle w:val="Heading5"/>
      </w:pPr>
      <w:bookmarkStart w:id="63" w:name="_Toc80094901"/>
      <w:r>
        <w:rPr>
          <w:rStyle w:val="CharSectno"/>
        </w:rPr>
        <w:t>16B</w:t>
      </w:r>
      <w:r>
        <w:t>.</w:t>
      </w:r>
      <w:r>
        <w:tab/>
        <w:t>Commission’s costs of conducting polls</w:t>
      </w:r>
      <w:bookmarkEnd w:id="63"/>
    </w:p>
    <w:p>
      <w:pPr>
        <w:pStyle w:val="Subsection"/>
      </w:pPr>
      <w:r>
        <w:tab/>
        <w:t>(1)</w:t>
      </w:r>
      <w:r>
        <w:tab/>
        <w:t xml:space="preserve">Subject to subsection (2), the Commission is entitled to recover from the funds of a producers’ committee the Commission’s </w:t>
      </w:r>
      <w:r>
        <w:lastRenderedPageBreak/>
        <w:t>costs of conducting a poll in relation to the producers’ committee.</w:t>
      </w:r>
    </w:p>
    <w:p>
      <w:pPr>
        <w:pStyle w:val="Subsection"/>
      </w:pPr>
      <w:r>
        <w:tab/>
        <w:t>(2)</w:t>
      </w:r>
      <w:r>
        <w:tab/>
        <w:t xml:space="preserve">The amount the Commission may recover under subsection (1) — </w:t>
      </w:r>
    </w:p>
    <w:p>
      <w:pPr>
        <w:pStyle w:val="Indenta"/>
      </w:pPr>
      <w:r>
        <w:tab/>
        <w:t>(a)</w:t>
      </w:r>
      <w:r>
        <w:tab/>
        <w:t>for a poll under section 10 or 11 — is the amount by which the costs of the poll exceed the sum deposited with the Commission under section 10(5) for the purposes of establishing the producers’ committee; and</w:t>
      </w:r>
    </w:p>
    <w:p>
      <w:pPr>
        <w:pStyle w:val="Indenta"/>
      </w:pPr>
      <w:r>
        <w:tab/>
        <w:t>(b)</w:t>
      </w:r>
      <w:r>
        <w:tab/>
        <w:t>for a poll under section 11B — is the amount by which the costs of the poll exceed the sum deposited with the Commission under section 11B(4) for the purposes of the poll.</w:t>
      </w:r>
    </w:p>
    <w:p>
      <w:pPr>
        <w:pStyle w:val="Footnotesection"/>
      </w:pPr>
      <w:r>
        <w:tab/>
        <w:t>[Section 16B inserted: No. 11 of 2021 s. 22.]</w:t>
      </w:r>
    </w:p>
    <w:p>
      <w:pPr>
        <w:pStyle w:val="Heading5"/>
        <w:rPr>
          <w:snapToGrid w:val="0"/>
        </w:rPr>
      </w:pPr>
      <w:bookmarkStart w:id="64" w:name="_Toc80094902"/>
      <w:r>
        <w:rPr>
          <w:rStyle w:val="CharSectno"/>
        </w:rPr>
        <w:t>17</w:t>
      </w:r>
      <w:r>
        <w:rPr>
          <w:snapToGrid w:val="0"/>
        </w:rPr>
        <w:t>.</w:t>
      </w:r>
      <w:r>
        <w:rPr>
          <w:snapToGrid w:val="0"/>
        </w:rPr>
        <w:tab/>
        <w:t>Conduct of polls</w:t>
      </w:r>
      <w:bookmarkEnd w:id="64"/>
    </w:p>
    <w:p>
      <w:pPr>
        <w:pStyle w:val="Subsection"/>
        <w:rPr>
          <w:snapToGrid w:val="0"/>
        </w:rPr>
      </w:pPr>
      <w:r>
        <w:rPr>
          <w:snapToGrid w:val="0"/>
        </w:rPr>
        <w:tab/>
        <w:t>(1)</w:t>
      </w:r>
      <w:r>
        <w:rPr>
          <w:snapToGrid w:val="0"/>
        </w:rPr>
        <w:tab/>
        <w:t>A poll conducted for the purposes of this Act shall be conducted in accordance with the regulations.</w:t>
      </w:r>
    </w:p>
    <w:p>
      <w:pPr>
        <w:pStyle w:val="Ednotesubsection"/>
      </w:pPr>
      <w:r>
        <w:tab/>
        <w:t>[(2)</w:t>
      </w:r>
      <w:r>
        <w:tab/>
        <w:t>deleted]</w:t>
      </w:r>
    </w:p>
    <w:p>
      <w:pPr>
        <w:pStyle w:val="Footnotesection"/>
      </w:pPr>
      <w:r>
        <w:tab/>
        <w:t>[Section 17 amended: No. 20 of 2000 s. 31; No. 11 of 2021 s. 23.]</w:t>
      </w:r>
    </w:p>
    <w:p>
      <w:pPr>
        <w:pStyle w:val="Heading3"/>
      </w:pPr>
      <w:bookmarkStart w:id="65" w:name="_Toc80024926"/>
      <w:bookmarkStart w:id="66" w:name="_Toc80084804"/>
      <w:bookmarkStart w:id="67" w:name="_Toc80094903"/>
      <w:r>
        <w:rPr>
          <w:rStyle w:val="CharDivNo"/>
        </w:rPr>
        <w:t>Division 7</w:t>
      </w:r>
      <w:r>
        <w:t> — </w:t>
      </w:r>
      <w:r>
        <w:rPr>
          <w:rStyle w:val="CharDivText"/>
        </w:rPr>
        <w:t>Other matters</w:t>
      </w:r>
      <w:bookmarkEnd w:id="65"/>
      <w:bookmarkEnd w:id="66"/>
      <w:bookmarkEnd w:id="67"/>
    </w:p>
    <w:p>
      <w:pPr>
        <w:pStyle w:val="Footnoteheading"/>
        <w:ind w:left="890"/>
      </w:pPr>
      <w:r>
        <w:tab/>
        <w:t>[Heading inserted: No. 11 of 2021 s. 24.]</w:t>
      </w:r>
    </w:p>
    <w:p>
      <w:pPr>
        <w:pStyle w:val="Heading5"/>
        <w:rPr>
          <w:snapToGrid w:val="0"/>
        </w:rPr>
      </w:pPr>
      <w:bookmarkStart w:id="68" w:name="_Toc80094904"/>
      <w:r>
        <w:rPr>
          <w:rStyle w:val="CharSectno"/>
        </w:rPr>
        <w:t>18</w:t>
      </w:r>
      <w:r>
        <w:rPr>
          <w:snapToGrid w:val="0"/>
        </w:rPr>
        <w:t>.</w:t>
      </w:r>
      <w:r>
        <w:rPr>
          <w:snapToGrid w:val="0"/>
        </w:rPr>
        <w:tab/>
        <w:t>Accounts</w:t>
      </w:r>
      <w:bookmarkEnd w:id="68"/>
    </w:p>
    <w:p>
      <w:pPr>
        <w:pStyle w:val="Subsection"/>
        <w:rPr>
          <w:snapToGrid w:val="0"/>
        </w:rPr>
      </w:pPr>
      <w:r>
        <w:rPr>
          <w:snapToGrid w:val="0"/>
        </w:rPr>
        <w:tab/>
        <w:t>(1)</w:t>
      </w:r>
      <w:r>
        <w:rPr>
          <w:snapToGrid w:val="0"/>
        </w:rPr>
        <w:tab/>
        <w:t>A producers’ committee shall credit to the account established under section 7(2) all moneys received by the producers’ committee.</w:t>
      </w:r>
    </w:p>
    <w:p>
      <w:pPr>
        <w:pStyle w:val="Subsection"/>
        <w:rPr>
          <w:snapToGrid w:val="0"/>
        </w:rPr>
      </w:pPr>
      <w:r>
        <w:rPr>
          <w:snapToGrid w:val="0"/>
        </w:rPr>
        <w:tab/>
        <w:t>(2)</w:t>
      </w:r>
      <w:r>
        <w:rPr>
          <w:snapToGrid w:val="0"/>
        </w:rPr>
        <w:tab/>
        <w:t>Moneys received in payment of charges imposed under this Act shall be applied exclusively for the services in relation to which those charges were imposed.</w:t>
      </w:r>
    </w:p>
    <w:p>
      <w:pPr>
        <w:pStyle w:val="Subsection"/>
      </w:pPr>
      <w:r>
        <w:lastRenderedPageBreak/>
        <w:tab/>
        <w:t>(3)</w:t>
      </w:r>
      <w:r>
        <w:tab/>
        <w:t>Despite subsection (2), any amount which is no longer required by a producers’ committee —</w:t>
      </w:r>
    </w:p>
    <w:p>
      <w:pPr>
        <w:pStyle w:val="Indenta"/>
      </w:pPr>
      <w:r>
        <w:tab/>
        <w:t>(a)</w:t>
      </w:r>
      <w:r>
        <w:tab/>
        <w:t>to be applied for the service in relation to which the charge was imposed; or</w:t>
      </w:r>
    </w:p>
    <w:p>
      <w:pPr>
        <w:pStyle w:val="Indenta"/>
      </w:pPr>
      <w:r>
        <w:tab/>
        <w:t>(b)</w:t>
      </w:r>
      <w:r>
        <w:tab/>
        <w:t>to defray the proper costs and expenses of the producers’ committee,</w:t>
      </w:r>
    </w:p>
    <w:p>
      <w:pPr>
        <w:pStyle w:val="Subsection"/>
      </w:pPr>
      <w:r>
        <w:tab/>
      </w:r>
      <w:r>
        <w:tab/>
        <w:t>may be allocated by the Commission to be applied for the provision of another service that the committee is authorised to provide.</w:t>
      </w:r>
    </w:p>
    <w:p>
      <w:pPr>
        <w:pStyle w:val="Subsection"/>
      </w:pPr>
      <w:r>
        <w:tab/>
        <w:t>(4)</w:t>
      </w:r>
      <w:r>
        <w:tab/>
        <w:t>The Commission shall maintain proper books of account and records showing amounts credited to the account referred to in subsection (1) and the manner in which the moneys in that account are applied.</w:t>
      </w:r>
    </w:p>
    <w:p>
      <w:pPr>
        <w:pStyle w:val="Footnotesection"/>
      </w:pPr>
      <w:r>
        <w:tab/>
        <w:t>[Section 18 amended: No. 49 of 1996 s. 64; No. 20 of 2000 s. 20 and 31.]</w:t>
      </w:r>
    </w:p>
    <w:p>
      <w:pPr>
        <w:pStyle w:val="Heading5"/>
        <w:rPr>
          <w:snapToGrid w:val="0"/>
        </w:rPr>
      </w:pPr>
      <w:bookmarkStart w:id="69" w:name="_Toc80094905"/>
      <w:r>
        <w:rPr>
          <w:rStyle w:val="CharSectno"/>
        </w:rPr>
        <w:t>19</w:t>
      </w:r>
      <w:r>
        <w:rPr>
          <w:snapToGrid w:val="0"/>
        </w:rPr>
        <w:t>.</w:t>
      </w:r>
      <w:r>
        <w:rPr>
          <w:snapToGrid w:val="0"/>
        </w:rPr>
        <w:tab/>
        <w:t>Voluntary associations of producers</w:t>
      </w:r>
      <w:bookmarkEnd w:id="69"/>
    </w:p>
    <w:p>
      <w:pPr>
        <w:pStyle w:val="Subsection"/>
        <w:rPr>
          <w:snapToGrid w:val="0"/>
        </w:rPr>
      </w:pPr>
      <w:r>
        <w:rPr>
          <w:snapToGrid w:val="0"/>
        </w:rPr>
        <w:tab/>
        <w:t>(1)</w:t>
      </w:r>
      <w:r>
        <w:rPr>
          <w:snapToGrid w:val="0"/>
        </w:rPr>
        <w:tab/>
        <w:t xml:space="preserve">Notwithstanding anything in this Part where a group of producers of </w:t>
      </w:r>
      <w:r>
        <w:t>agricultural</w:t>
      </w:r>
      <w:r>
        <w:rPr>
          <w:snapToGrid w:val="0"/>
        </w:rPr>
        <w:t xml:space="preserve"> produce applies to the Commission for the performance by the Commission of the functions of the Commission under this Act in relation to that group of producers and the Commission is satisfied that </w:t>
      </w:r>
      <w:r>
        <w:t>there is no producers’ committee with responsibility</w:t>
      </w:r>
      <w:r>
        <w:rPr>
          <w:snapToGrid w:val="0"/>
        </w:rPr>
        <w:t xml:space="preserve"> for the </w:t>
      </w:r>
      <w:r>
        <w:t>agricultural</w:t>
      </w:r>
      <w:r>
        <w:rPr>
          <w:snapToGrid w:val="0"/>
        </w:rPr>
        <w:t xml:space="preserve"> produce in question the Commission may with the approval of the Minister perform such functions in relation to the group of producers as are referred to in the application subject to such terms and conditions, including the payment of charges, as are approved by the Minister.</w:t>
      </w:r>
    </w:p>
    <w:p>
      <w:pPr>
        <w:pStyle w:val="Subsection"/>
        <w:keepNext/>
        <w:rPr>
          <w:snapToGrid w:val="0"/>
        </w:rPr>
      </w:pPr>
      <w:r>
        <w:rPr>
          <w:snapToGrid w:val="0"/>
        </w:rPr>
        <w:tab/>
        <w:t>(2)</w:t>
      </w:r>
      <w:r>
        <w:rPr>
          <w:snapToGrid w:val="0"/>
        </w:rPr>
        <w:tab/>
        <w:t xml:space="preserve">Where the Commission performs any function or renders any service under subsection (1) each member of the group of producers is jointly and severally liable for such payment of </w:t>
      </w:r>
      <w:r>
        <w:rPr>
          <w:snapToGrid w:val="0"/>
        </w:rPr>
        <w:lastRenderedPageBreak/>
        <w:t>charges (if any) that are payable under the terms and conditions approved under that subsection.</w:t>
      </w:r>
    </w:p>
    <w:p>
      <w:pPr>
        <w:pStyle w:val="Footnotesection"/>
      </w:pPr>
      <w:r>
        <w:tab/>
        <w:t>[Section 19 amended: No. 20 of 2000 s. 21, 28, 30 and 31; No. 11 of 2021 s. 25.]</w:t>
      </w:r>
    </w:p>
    <w:p>
      <w:pPr>
        <w:pStyle w:val="Heading5"/>
      </w:pPr>
      <w:bookmarkStart w:id="70" w:name="_Toc80094906"/>
      <w:r>
        <w:rPr>
          <w:rStyle w:val="CharSectno"/>
        </w:rPr>
        <w:t>19A</w:t>
      </w:r>
      <w:r>
        <w:t>.</w:t>
      </w:r>
      <w:r>
        <w:tab/>
        <w:t>Application to commercial and non</w:t>
      </w:r>
      <w:r>
        <w:noBreakHyphen/>
        <w:t>commercial producers of provisions relating to control of certain pests or diseases</w:t>
      </w:r>
      <w:bookmarkEnd w:id="70"/>
    </w:p>
    <w:p>
      <w:pPr>
        <w:pStyle w:val="Subsection"/>
      </w:pPr>
      <w:r>
        <w:tab/>
        <w:t>(1)</w:t>
      </w:r>
      <w:r>
        <w:tab/>
        <w:t xml:space="preserve">Where this section applies, a reference in this Act to a </w:t>
      </w:r>
      <w:r>
        <w:rPr>
          <w:rStyle w:val="CharDefText"/>
        </w:rPr>
        <w:t>producer</w:t>
      </w:r>
      <w:r>
        <w:t xml:space="preserve"> includes a reference to a producer of any quantity of agricultural produce, whether for sale or not.</w:t>
      </w:r>
    </w:p>
    <w:p>
      <w:pPr>
        <w:pStyle w:val="Subsection"/>
      </w:pPr>
      <w:r>
        <w:tab/>
        <w:t>(2)</w:t>
      </w:r>
      <w:r>
        <w:tab/>
        <w:t>This section applies if —</w:t>
      </w:r>
    </w:p>
    <w:p>
      <w:pPr>
        <w:pStyle w:val="Indenta"/>
      </w:pPr>
      <w:r>
        <w:tab/>
        <w:t>(a)</w:t>
      </w:r>
      <w:r>
        <w:tab/>
        <w:t xml:space="preserve">the Minister, by notice published in the </w:t>
      </w:r>
      <w:r>
        <w:rPr>
          <w:i/>
        </w:rPr>
        <w:t>Gazette</w:t>
      </w:r>
      <w:r>
        <w:t>, has declared a specified pest or disease to be a pest or disease to which this section applies; and</w:t>
      </w:r>
    </w:p>
    <w:p>
      <w:pPr>
        <w:pStyle w:val="Indenta"/>
      </w:pPr>
      <w:r>
        <w:tab/>
        <w:t>(b)</w:t>
      </w:r>
      <w:r>
        <w:tab/>
        <w:t>a producers’ committee is established, or is to be established, with the object of controlling or developing the means of controlling the pest or disease specified in the notice.</w:t>
      </w:r>
    </w:p>
    <w:p>
      <w:pPr>
        <w:pStyle w:val="Footnotesection"/>
      </w:pPr>
      <w:r>
        <w:tab/>
        <w:t>[Section 19A inserted: No. 20 of 2000 s. 22.]</w:t>
      </w:r>
    </w:p>
    <w:p>
      <w:pPr>
        <w:pStyle w:val="Heading2"/>
      </w:pPr>
      <w:bookmarkStart w:id="71" w:name="_Toc80024930"/>
      <w:bookmarkStart w:id="72" w:name="_Toc80084808"/>
      <w:bookmarkStart w:id="73" w:name="_Toc80094907"/>
      <w:bookmarkStart w:id="74" w:name="_Toc80017509"/>
      <w:r>
        <w:rPr>
          <w:rStyle w:val="CharPartNo"/>
        </w:rPr>
        <w:lastRenderedPageBreak/>
        <w:t>Part 3A</w:t>
      </w:r>
      <w:r>
        <w:t> — </w:t>
      </w:r>
      <w:r>
        <w:rPr>
          <w:rStyle w:val="CharPartText"/>
        </w:rPr>
        <w:t>Compliance</w:t>
      </w:r>
      <w:bookmarkEnd w:id="71"/>
      <w:bookmarkEnd w:id="72"/>
      <w:bookmarkEnd w:id="73"/>
    </w:p>
    <w:p>
      <w:pPr>
        <w:pStyle w:val="Footnoteheading"/>
        <w:ind w:left="890"/>
      </w:pPr>
      <w:r>
        <w:tab/>
        <w:t>[Heading inserted: No. 11 of 2021 s. 26.]</w:t>
      </w:r>
    </w:p>
    <w:p>
      <w:pPr>
        <w:pStyle w:val="Heading3"/>
      </w:pPr>
      <w:bookmarkStart w:id="75" w:name="_Toc80024931"/>
      <w:bookmarkStart w:id="76" w:name="_Toc80084809"/>
      <w:bookmarkStart w:id="77" w:name="_Toc80094908"/>
      <w:r>
        <w:rPr>
          <w:rStyle w:val="CharDivNo"/>
        </w:rPr>
        <w:t>Division 1</w:t>
      </w:r>
      <w:r>
        <w:t> — </w:t>
      </w:r>
      <w:r>
        <w:rPr>
          <w:rStyle w:val="CharDivText"/>
        </w:rPr>
        <w:t>Authorised officers</w:t>
      </w:r>
      <w:bookmarkEnd w:id="75"/>
      <w:bookmarkEnd w:id="76"/>
      <w:bookmarkEnd w:id="77"/>
    </w:p>
    <w:p>
      <w:pPr>
        <w:pStyle w:val="Footnoteheading"/>
        <w:ind w:left="890"/>
      </w:pPr>
      <w:r>
        <w:tab/>
        <w:t>[Heading inserted: No. 11 of 2021 s. 26.]</w:t>
      </w:r>
    </w:p>
    <w:p>
      <w:pPr>
        <w:pStyle w:val="Heading5"/>
      </w:pPr>
      <w:bookmarkStart w:id="78" w:name="_Toc80094909"/>
      <w:r>
        <w:rPr>
          <w:rStyle w:val="CharSectno"/>
        </w:rPr>
        <w:t>19B</w:t>
      </w:r>
      <w:r>
        <w:t>.</w:t>
      </w:r>
      <w:r>
        <w:tab/>
        <w:t>Authorised officers</w:t>
      </w:r>
      <w:bookmarkEnd w:id="78"/>
    </w:p>
    <w:p>
      <w:pPr>
        <w:pStyle w:val="Subsection"/>
      </w:pPr>
      <w:r>
        <w:tab/>
      </w:r>
      <w:r>
        <w:tab/>
        <w:t>The Commission may, by instrument in writing, designate any person employed or engaged by the Commission as an authorised officer for the purposes of this Part.</w:t>
      </w:r>
    </w:p>
    <w:p>
      <w:pPr>
        <w:pStyle w:val="Footnotesection"/>
      </w:pPr>
      <w:r>
        <w:tab/>
        <w:t>[Section 19B inserted: No. 11 of 2021 s. 26.]</w:t>
      </w:r>
    </w:p>
    <w:p>
      <w:pPr>
        <w:pStyle w:val="Heading3"/>
      </w:pPr>
      <w:bookmarkStart w:id="79" w:name="_Toc80024933"/>
      <w:bookmarkStart w:id="80" w:name="_Toc80084811"/>
      <w:bookmarkStart w:id="81" w:name="_Toc80094910"/>
      <w:r>
        <w:rPr>
          <w:rStyle w:val="CharDivNo"/>
        </w:rPr>
        <w:t>Division 2</w:t>
      </w:r>
      <w:r>
        <w:t> — </w:t>
      </w:r>
      <w:r>
        <w:rPr>
          <w:rStyle w:val="CharDivText"/>
        </w:rPr>
        <w:t>Powers of authorised officers</w:t>
      </w:r>
      <w:bookmarkEnd w:id="79"/>
      <w:bookmarkEnd w:id="80"/>
      <w:bookmarkEnd w:id="81"/>
    </w:p>
    <w:p>
      <w:pPr>
        <w:pStyle w:val="Footnoteheading"/>
        <w:ind w:left="890"/>
      </w:pPr>
      <w:r>
        <w:tab/>
        <w:t>[Heading inserted: No. 11 of 2021 s. 26.]</w:t>
      </w:r>
    </w:p>
    <w:p>
      <w:pPr>
        <w:pStyle w:val="Heading5"/>
      </w:pPr>
      <w:bookmarkStart w:id="82" w:name="_Toc80094911"/>
      <w:r>
        <w:rPr>
          <w:rStyle w:val="CharSectno"/>
        </w:rPr>
        <w:t>19C</w:t>
      </w:r>
      <w:r>
        <w:t>.</w:t>
      </w:r>
      <w:r>
        <w:tab/>
        <w:t>Terms used</w:t>
      </w:r>
      <w:bookmarkEnd w:id="82"/>
    </w:p>
    <w:p>
      <w:pPr>
        <w:pStyle w:val="Subsection"/>
      </w:pPr>
      <w:r>
        <w:tab/>
      </w:r>
      <w:r>
        <w:tab/>
        <w:t xml:space="preserve">In this Division — </w:t>
      </w:r>
    </w:p>
    <w:p>
      <w:pPr>
        <w:pStyle w:val="Defstart"/>
      </w:pPr>
      <w:r>
        <w:tab/>
      </w:r>
      <w:r>
        <w:rPr>
          <w:rStyle w:val="CharDefText"/>
        </w:rPr>
        <w:t xml:space="preserve">charge </w:t>
      </w:r>
      <w:r>
        <w:t>means a charge imposed under this Act;</w:t>
      </w:r>
    </w:p>
    <w:p>
      <w:pPr>
        <w:pStyle w:val="Defstart"/>
      </w:pPr>
      <w:r>
        <w:tab/>
      </w:r>
      <w:r>
        <w:rPr>
          <w:rStyle w:val="CharDefText"/>
        </w:rPr>
        <w:t>compliance purposes</w:t>
      </w:r>
      <w:r>
        <w:t xml:space="preserve"> means the following purposes — </w:t>
      </w:r>
    </w:p>
    <w:p>
      <w:pPr>
        <w:pStyle w:val="Defpara"/>
      </w:pPr>
      <w:r>
        <w:tab/>
        <w:t>(a)</w:t>
      </w:r>
      <w:r>
        <w:tab/>
        <w:t>monitoring compliance with a requirement under this Act to pay or collect a charge;</w:t>
      </w:r>
    </w:p>
    <w:p>
      <w:pPr>
        <w:pStyle w:val="Defpara"/>
      </w:pPr>
      <w:r>
        <w:tab/>
        <w:t>(b)</w:t>
      </w:r>
      <w:r>
        <w:tab/>
        <w:t>monitoring compliance with a requirement under this Act to give information, or produce a record, relating to the production, processing, sale or purchase of agricultural produce or the payment or collection of a charge;</w:t>
      </w:r>
    </w:p>
    <w:p>
      <w:pPr>
        <w:pStyle w:val="Defpara"/>
      </w:pPr>
      <w:r>
        <w:tab/>
        <w:t>(c)</w:t>
      </w:r>
      <w:r>
        <w:tab/>
        <w:t>monitoring compliance with a requirement in a notice under section 13;</w:t>
      </w:r>
    </w:p>
    <w:p>
      <w:pPr>
        <w:pStyle w:val="Defpara"/>
      </w:pPr>
      <w:r>
        <w:tab/>
        <w:t>(d)</w:t>
      </w:r>
      <w:r>
        <w:tab/>
        <w:t>investigating a suspected contravention of a requirement referred to in paragraph (a), (b) or (c) or an offence under this Act;</w:t>
      </w:r>
    </w:p>
    <w:p>
      <w:pPr>
        <w:pStyle w:val="Defstart"/>
      </w:pPr>
      <w:r>
        <w:tab/>
      </w:r>
      <w:r>
        <w:rPr>
          <w:rStyle w:val="CharDefText"/>
        </w:rPr>
        <w:t>record</w:t>
      </w:r>
      <w:r>
        <w:t xml:space="preserve"> includes a receipt, return or other document;</w:t>
      </w:r>
    </w:p>
    <w:p>
      <w:pPr>
        <w:pStyle w:val="Defstart"/>
      </w:pPr>
      <w:r>
        <w:lastRenderedPageBreak/>
        <w:tab/>
      </w:r>
      <w:r>
        <w:rPr>
          <w:rStyle w:val="CharDefText"/>
        </w:rPr>
        <w:t>relevant person</w:t>
      </w:r>
      <w:r>
        <w:t xml:space="preserve"> means a person who is or was — </w:t>
      </w:r>
    </w:p>
    <w:p>
      <w:pPr>
        <w:pStyle w:val="Defpara"/>
      </w:pPr>
      <w:r>
        <w:tab/>
        <w:t>(a)</w:t>
      </w:r>
      <w:r>
        <w:tab/>
        <w:t>a producer of agricultural produce for which a producers’ committee has responsibility; or</w:t>
      </w:r>
    </w:p>
    <w:p>
      <w:pPr>
        <w:pStyle w:val="Defpara"/>
      </w:pPr>
      <w:r>
        <w:tab/>
        <w:t>(b)</w:t>
      </w:r>
      <w:r>
        <w:tab/>
        <w:t>a person required under this Act to pay or collect a charge; or</w:t>
      </w:r>
    </w:p>
    <w:p>
      <w:pPr>
        <w:pStyle w:val="Defpara"/>
      </w:pPr>
      <w:r>
        <w:tab/>
        <w:t>(c)</w:t>
      </w:r>
      <w:r>
        <w:tab/>
        <w:t>a person required under this Act to give information, or produce a record, relating to the production, processing, sale or purchase of agricultural produce or the payment or collection of a charge; or</w:t>
      </w:r>
    </w:p>
    <w:p>
      <w:pPr>
        <w:pStyle w:val="Defpara"/>
      </w:pPr>
      <w:r>
        <w:tab/>
        <w:t>(d)</w:t>
      </w:r>
      <w:r>
        <w:tab/>
        <w:t>a person required to comply with a requirement in a notice under section 13;</w:t>
      </w:r>
    </w:p>
    <w:p>
      <w:pPr>
        <w:pStyle w:val="Defstart"/>
      </w:pPr>
      <w:r>
        <w:rPr>
          <w:b/>
        </w:rPr>
        <w:tab/>
      </w:r>
      <w:r>
        <w:rPr>
          <w:rStyle w:val="CharDefText"/>
        </w:rPr>
        <w:t>relevant record</w:t>
      </w:r>
      <w:r>
        <w:t xml:space="preserve"> means a record that — </w:t>
      </w:r>
    </w:p>
    <w:p>
      <w:pPr>
        <w:pStyle w:val="Defpara"/>
      </w:pPr>
      <w:r>
        <w:tab/>
        <w:t>(a)</w:t>
      </w:r>
      <w:r>
        <w:tab/>
        <w:t>is required to be kept or given under this Act; or</w:t>
      </w:r>
    </w:p>
    <w:p>
      <w:pPr>
        <w:pStyle w:val="Defpara"/>
      </w:pPr>
      <w:r>
        <w:tab/>
        <w:t>(b)</w:t>
      </w:r>
      <w:r>
        <w:tab/>
        <w:t>relates to the production, processing, sale or purchase of agricultural produce in relation to which a charge is payable; or</w:t>
      </w:r>
    </w:p>
    <w:p>
      <w:pPr>
        <w:pStyle w:val="Defpara"/>
      </w:pPr>
      <w:r>
        <w:tab/>
        <w:t>(c)</w:t>
      </w:r>
      <w:r>
        <w:tab/>
        <w:t>relates to the payment or collection of a charge; or</w:t>
      </w:r>
    </w:p>
    <w:p>
      <w:pPr>
        <w:pStyle w:val="Defpara"/>
      </w:pPr>
      <w:r>
        <w:tab/>
        <w:t>(d)</w:t>
      </w:r>
      <w:r>
        <w:tab/>
        <w:t>contains any information that is, or is likely to be, relevant for compliance purposes.</w:t>
      </w:r>
    </w:p>
    <w:p>
      <w:pPr>
        <w:pStyle w:val="Footnotesection"/>
      </w:pPr>
      <w:r>
        <w:tab/>
        <w:t>[Section 19C inserted: No. 11 of 2021 s. 26.]</w:t>
      </w:r>
    </w:p>
    <w:p>
      <w:pPr>
        <w:pStyle w:val="Heading5"/>
      </w:pPr>
      <w:bookmarkStart w:id="83" w:name="_Toc80094912"/>
      <w:r>
        <w:rPr>
          <w:rStyle w:val="CharSectno"/>
        </w:rPr>
        <w:t>19D</w:t>
      </w:r>
      <w:r>
        <w:t>.</w:t>
      </w:r>
      <w:r>
        <w:tab/>
        <w:t>Obtaining information and relevant records</w:t>
      </w:r>
      <w:bookmarkEnd w:id="83"/>
    </w:p>
    <w:p>
      <w:pPr>
        <w:pStyle w:val="Subsection"/>
      </w:pPr>
      <w:r>
        <w:tab/>
        <w:t>(1)</w:t>
      </w:r>
      <w:r>
        <w:tab/>
        <w:t xml:space="preserve">An authorised officer may, for compliance purposes, do 1 or more of the following — </w:t>
      </w:r>
    </w:p>
    <w:p>
      <w:pPr>
        <w:pStyle w:val="Indenta"/>
      </w:pPr>
      <w:r>
        <w:tab/>
        <w:t>(a)</w:t>
      </w:r>
      <w:r>
        <w:tab/>
        <w:t xml:space="preserve">direct a relevant person — </w:t>
      </w:r>
    </w:p>
    <w:p>
      <w:pPr>
        <w:pStyle w:val="Indenti"/>
      </w:pPr>
      <w:r>
        <w:tab/>
        <w:t>(i)</w:t>
      </w:r>
      <w:r>
        <w:tab/>
        <w:t>to give any information as is required; or</w:t>
      </w:r>
    </w:p>
    <w:p>
      <w:pPr>
        <w:pStyle w:val="Indenti"/>
      </w:pPr>
      <w:r>
        <w:tab/>
        <w:t>(ii)</w:t>
      </w:r>
      <w:r>
        <w:tab/>
        <w:t>to answer a question put to the person;</w:t>
      </w:r>
    </w:p>
    <w:p>
      <w:pPr>
        <w:pStyle w:val="Indenta"/>
      </w:pPr>
      <w:r>
        <w:tab/>
        <w:t>(b)</w:t>
      </w:r>
      <w:r>
        <w:tab/>
        <w:t>direct a relevant person to produce to the authorised officer a relevant record in the person’s custody or under the person’s control.</w:t>
      </w:r>
    </w:p>
    <w:p>
      <w:pPr>
        <w:pStyle w:val="Subsection"/>
      </w:pPr>
      <w:r>
        <w:lastRenderedPageBreak/>
        <w:tab/>
        <w:t>(2)</w:t>
      </w:r>
      <w:r>
        <w:tab/>
        <w:t>An authorised officer may examine and make a copy of a record produced in response to a direction under subsection (1)(b), and retain the record for as long as is reasonably necessary.</w:t>
      </w:r>
    </w:p>
    <w:p>
      <w:pPr>
        <w:pStyle w:val="Subsection"/>
      </w:pPr>
      <w:r>
        <w:tab/>
        <w:t>(3)</w:t>
      </w:r>
      <w:r>
        <w:tab/>
        <w:t xml:space="preserve">A direction under subsection (1)(a) — </w:t>
      </w:r>
    </w:p>
    <w:p>
      <w:pPr>
        <w:pStyle w:val="Indenta"/>
      </w:pPr>
      <w:r>
        <w:tab/>
        <w:t>(a)</w:t>
      </w:r>
      <w:r>
        <w:tab/>
        <w:t>may be given orally or in writing; and</w:t>
      </w:r>
    </w:p>
    <w:p>
      <w:pPr>
        <w:pStyle w:val="Indenta"/>
      </w:pPr>
      <w:r>
        <w:tab/>
        <w:t>(b)</w:t>
      </w:r>
      <w:r>
        <w:tab/>
        <w:t>must specify the time at, or within which, the information or answer must be given to the authorised officer; and</w:t>
      </w:r>
    </w:p>
    <w:p>
      <w:pPr>
        <w:pStyle w:val="Indenta"/>
      </w:pPr>
      <w:r>
        <w:tab/>
        <w:t>(c)</w:t>
      </w:r>
      <w:r>
        <w:tab/>
        <w:t xml:space="preserve">may require that the information or answer — </w:t>
      </w:r>
    </w:p>
    <w:p>
      <w:pPr>
        <w:pStyle w:val="Indenti"/>
      </w:pPr>
      <w:r>
        <w:tab/>
        <w:t>(i)</w:t>
      </w:r>
      <w:r>
        <w:tab/>
        <w:t>be given orally or in writing; or</w:t>
      </w:r>
    </w:p>
    <w:p>
      <w:pPr>
        <w:pStyle w:val="Indenti"/>
      </w:pPr>
      <w:r>
        <w:tab/>
        <w:t>(ii)</w:t>
      </w:r>
      <w:r>
        <w:tab/>
        <w:t>if it is directed to be given in writing, be given by means specified in the direction; or</w:t>
      </w:r>
    </w:p>
    <w:p>
      <w:pPr>
        <w:pStyle w:val="Indenti"/>
      </w:pPr>
      <w:r>
        <w:tab/>
        <w:t>(iii)</w:t>
      </w:r>
      <w:r>
        <w:tab/>
        <w:t>be verified by statutory declaration.</w:t>
      </w:r>
    </w:p>
    <w:p>
      <w:pPr>
        <w:pStyle w:val="Subsection"/>
      </w:pPr>
      <w:r>
        <w:tab/>
        <w:t>(4)</w:t>
      </w:r>
      <w:r>
        <w:tab/>
        <w:t xml:space="preserve">A direction under subsection (1)(b) — </w:t>
      </w:r>
    </w:p>
    <w:p>
      <w:pPr>
        <w:pStyle w:val="Indenta"/>
      </w:pPr>
      <w:r>
        <w:tab/>
        <w:t>(a)</w:t>
      </w:r>
      <w:r>
        <w:tab/>
        <w:t>must be in writing given to the person required to produce the record; and</w:t>
      </w:r>
    </w:p>
    <w:p>
      <w:pPr>
        <w:pStyle w:val="Indenta"/>
      </w:pPr>
      <w:r>
        <w:tab/>
        <w:t>(b)</w:t>
      </w:r>
      <w:r>
        <w:tab/>
        <w:t>must specify the time at, or within which, the record is to be produced; and</w:t>
      </w:r>
    </w:p>
    <w:p>
      <w:pPr>
        <w:pStyle w:val="Indenta"/>
      </w:pPr>
      <w:r>
        <w:tab/>
        <w:t>(c)</w:t>
      </w:r>
      <w:r>
        <w:tab/>
        <w:t xml:space="preserve">may require that the record be produced to the authorised officer — </w:t>
      </w:r>
    </w:p>
    <w:p>
      <w:pPr>
        <w:pStyle w:val="Indenti"/>
      </w:pPr>
      <w:r>
        <w:tab/>
        <w:t>(i)</w:t>
      </w:r>
      <w:r>
        <w:tab/>
        <w:t>at a place specified in the direction; and</w:t>
      </w:r>
    </w:p>
    <w:p>
      <w:pPr>
        <w:pStyle w:val="Indenti"/>
      </w:pPr>
      <w:r>
        <w:tab/>
        <w:t>(ii)</w:t>
      </w:r>
      <w:r>
        <w:tab/>
        <w:t>by the means specified in the direction.</w:t>
      </w:r>
    </w:p>
    <w:p>
      <w:pPr>
        <w:pStyle w:val="Footnotesection"/>
      </w:pPr>
      <w:r>
        <w:tab/>
        <w:t>[Section 19D inserted: No. 11 of 2021 s. 26.]</w:t>
      </w:r>
    </w:p>
    <w:p>
      <w:pPr>
        <w:pStyle w:val="Heading5"/>
      </w:pPr>
      <w:bookmarkStart w:id="84" w:name="_Toc80094913"/>
      <w:r>
        <w:rPr>
          <w:rStyle w:val="CharSectno"/>
        </w:rPr>
        <w:t>19E</w:t>
      </w:r>
      <w:r>
        <w:t>.</w:t>
      </w:r>
      <w:r>
        <w:tab/>
        <w:t>Failure to comply with directions</w:t>
      </w:r>
      <w:bookmarkEnd w:id="84"/>
    </w:p>
    <w:p>
      <w:pPr>
        <w:pStyle w:val="Subsection"/>
      </w:pPr>
      <w:r>
        <w:tab/>
      </w:r>
      <w:r>
        <w:tab/>
        <w:t>A person must not without reasonable excuse fail to comply with a direction given to the person under section 19D(1).</w:t>
      </w:r>
    </w:p>
    <w:p>
      <w:pPr>
        <w:pStyle w:val="Penstart"/>
      </w:pPr>
      <w:r>
        <w:tab/>
        <w:t>Penalty: a fine of $1 000.</w:t>
      </w:r>
    </w:p>
    <w:p>
      <w:pPr>
        <w:pStyle w:val="Footnotesection"/>
      </w:pPr>
      <w:r>
        <w:tab/>
        <w:t>[Section 19E inserted: No. 11 of 2021 s. 26.]</w:t>
      </w:r>
    </w:p>
    <w:p>
      <w:pPr>
        <w:pStyle w:val="Heading5"/>
      </w:pPr>
      <w:bookmarkStart w:id="85" w:name="_Toc80094914"/>
      <w:r>
        <w:rPr>
          <w:rStyle w:val="CharSectno"/>
        </w:rPr>
        <w:lastRenderedPageBreak/>
        <w:t>19F</w:t>
      </w:r>
      <w:r>
        <w:t>.</w:t>
      </w:r>
      <w:r>
        <w:tab/>
        <w:t>Self</w:t>
      </w:r>
      <w:r>
        <w:noBreakHyphen/>
        <w:t>incrimination not an excuse</w:t>
      </w:r>
      <w:bookmarkEnd w:id="85"/>
    </w:p>
    <w:p>
      <w:pPr>
        <w:pStyle w:val="Subsection"/>
      </w:pPr>
      <w:r>
        <w:tab/>
        <w:t>(1)</w:t>
      </w:r>
      <w:r>
        <w:tab/>
        <w:t>An individual is not excused from complying with a direction under section 19D(1) to provide information or answer questions, or to produce a record, on the ground that the information, answer or record might incriminate the individual or make the individual liable to a penalty.</w:t>
      </w:r>
    </w:p>
    <w:p>
      <w:pPr>
        <w:pStyle w:val="Subsection"/>
      </w:pPr>
      <w:r>
        <w:tab/>
        <w:t>(2)</w:t>
      </w:r>
      <w:r>
        <w:tab/>
        <w:t>However, any information or answer provided, or record produced, by an individual in compliance with a direction under section 19D(1) is not admissible in evidence in any proceedings against the individual other than proceedings for perjury or an offence against section 19G(2).</w:t>
      </w:r>
    </w:p>
    <w:p>
      <w:pPr>
        <w:pStyle w:val="Footnotesection"/>
      </w:pPr>
      <w:r>
        <w:tab/>
        <w:t>[Section 19F inserted: No. 11 of 2021 s. 26.]</w:t>
      </w:r>
    </w:p>
    <w:p>
      <w:pPr>
        <w:pStyle w:val="Heading2"/>
      </w:pPr>
      <w:bookmarkStart w:id="86" w:name="_Toc80024938"/>
      <w:bookmarkStart w:id="87" w:name="_Toc80084816"/>
      <w:bookmarkStart w:id="88" w:name="_Toc80094915"/>
      <w:r>
        <w:rPr>
          <w:rStyle w:val="CharPartNo"/>
        </w:rPr>
        <w:lastRenderedPageBreak/>
        <w:t>Part 4</w:t>
      </w:r>
      <w:r>
        <w:rPr>
          <w:rStyle w:val="CharDivNo"/>
        </w:rPr>
        <w:t> </w:t>
      </w:r>
      <w:r>
        <w:t>—</w:t>
      </w:r>
      <w:r>
        <w:rPr>
          <w:rStyle w:val="CharDivText"/>
        </w:rPr>
        <w:t> </w:t>
      </w:r>
      <w:r>
        <w:rPr>
          <w:rStyle w:val="CharPartText"/>
        </w:rPr>
        <w:t>Miscellaneous</w:t>
      </w:r>
      <w:bookmarkEnd w:id="74"/>
      <w:bookmarkEnd w:id="86"/>
      <w:bookmarkEnd w:id="87"/>
      <w:bookmarkEnd w:id="88"/>
    </w:p>
    <w:p>
      <w:pPr>
        <w:pStyle w:val="Heading5"/>
      </w:pPr>
      <w:bookmarkStart w:id="89" w:name="_Toc80094916"/>
      <w:r>
        <w:rPr>
          <w:rStyle w:val="CharSectno"/>
        </w:rPr>
        <w:t>19G</w:t>
      </w:r>
      <w:r>
        <w:t>.</w:t>
      </w:r>
      <w:r>
        <w:tab/>
        <w:t>False or misleading information</w:t>
      </w:r>
      <w:bookmarkEnd w:id="89"/>
    </w:p>
    <w:p>
      <w:pPr>
        <w:pStyle w:val="Subsection"/>
      </w:pPr>
      <w:r>
        <w:tab/>
        <w:t>(1)</w:t>
      </w:r>
      <w:r>
        <w:tab/>
        <w:t xml:space="preserve">In this section — </w:t>
      </w:r>
    </w:p>
    <w:p>
      <w:pPr>
        <w:pStyle w:val="Defstart"/>
      </w:pPr>
      <w:r>
        <w:tab/>
      </w:r>
      <w:r>
        <w:rPr>
          <w:rStyle w:val="CharDefText"/>
        </w:rPr>
        <w:t>record</w:t>
      </w:r>
      <w:r>
        <w:t xml:space="preserve"> has the meaning given in section 19C.</w:t>
      </w:r>
    </w:p>
    <w:p>
      <w:pPr>
        <w:pStyle w:val="Subsection"/>
      </w:pPr>
      <w:r>
        <w:tab/>
        <w:t>(2)</w:t>
      </w:r>
      <w:r>
        <w:tab/>
        <w:t xml:space="preserve">A person must not give false or misleading information to — </w:t>
      </w:r>
    </w:p>
    <w:p>
      <w:pPr>
        <w:pStyle w:val="Indenta"/>
      </w:pPr>
      <w:r>
        <w:tab/>
        <w:t>(a)</w:t>
      </w:r>
      <w:r>
        <w:tab/>
        <w:t>an authorised officer pursuant to a direction under section 19D(1); or</w:t>
      </w:r>
    </w:p>
    <w:p>
      <w:pPr>
        <w:pStyle w:val="Indenta"/>
      </w:pPr>
      <w:r>
        <w:tab/>
        <w:t>(b)</w:t>
      </w:r>
      <w:r>
        <w:tab/>
        <w:t>the Commission pursuant to a notice under section 13; or</w:t>
      </w:r>
    </w:p>
    <w:p>
      <w:pPr>
        <w:pStyle w:val="Indenta"/>
      </w:pPr>
      <w:r>
        <w:tab/>
        <w:t>(c)</w:t>
      </w:r>
      <w:r>
        <w:tab/>
        <w:t>any person pursuant to a requirement under this Act to give information, or produce a record, to that person relating to the production, processing, sale or purchase of agricultural produce or the payment or collection of a charge imposed under this Act.</w:t>
      </w:r>
    </w:p>
    <w:p>
      <w:pPr>
        <w:pStyle w:val="Penstart"/>
      </w:pPr>
      <w:r>
        <w:tab/>
        <w:t>Penalty for this subsection: a fine of $1 000.</w:t>
      </w:r>
    </w:p>
    <w:p>
      <w:pPr>
        <w:pStyle w:val="Subsection"/>
      </w:pPr>
      <w:r>
        <w:tab/>
        <w:t>(3)</w:t>
      </w:r>
      <w:r>
        <w:tab/>
        <w:t xml:space="preserve">For the purposes of subsection (2), a person gives false or misleading information if the person does 1 or more of the following — </w:t>
      </w:r>
    </w:p>
    <w:p>
      <w:pPr>
        <w:pStyle w:val="Indenta"/>
      </w:pPr>
      <w:r>
        <w:tab/>
        <w:t>(a)</w:t>
      </w:r>
      <w:r>
        <w:tab/>
        <w:t>states anything that the person knows is false or misleading in a material particular;</w:t>
      </w:r>
    </w:p>
    <w:p>
      <w:pPr>
        <w:pStyle w:val="Indenta"/>
      </w:pPr>
      <w:r>
        <w:tab/>
        <w:t>(b)</w:t>
      </w:r>
      <w:r>
        <w:tab/>
        <w:t>omits from a statement anything without which the statement is, to the person’s knowledge, misleading in a material particular;</w:t>
      </w:r>
    </w:p>
    <w:p>
      <w:pPr>
        <w:pStyle w:val="Indenta"/>
      </w:pPr>
      <w:r>
        <w:tab/>
        <w:t>(c)</w:t>
      </w:r>
      <w:r>
        <w:tab/>
        <w:t xml:space="preserve">gives or produces any record that — </w:t>
      </w:r>
    </w:p>
    <w:p>
      <w:pPr>
        <w:pStyle w:val="Indenti"/>
      </w:pPr>
      <w:r>
        <w:tab/>
        <w:t>(i)</w:t>
      </w:r>
      <w:r>
        <w:tab/>
        <w:t>the person knows is false or misleading in a material particular; or</w:t>
      </w:r>
    </w:p>
    <w:p>
      <w:pPr>
        <w:pStyle w:val="Indenti"/>
      </w:pPr>
      <w:r>
        <w:tab/>
        <w:t>(ii)</w:t>
      </w:r>
      <w:r>
        <w:tab/>
        <w:t>omits anything without which the record is, to the person’s knowledge, misleading in a material particular.</w:t>
      </w:r>
    </w:p>
    <w:p>
      <w:pPr>
        <w:pStyle w:val="Footnotesection"/>
      </w:pPr>
      <w:r>
        <w:tab/>
        <w:t>[Section 19G inserted: No. 11 of 2021 s. 27.]</w:t>
      </w:r>
    </w:p>
    <w:p>
      <w:pPr>
        <w:pStyle w:val="Heading5"/>
        <w:rPr>
          <w:snapToGrid w:val="0"/>
        </w:rPr>
      </w:pPr>
      <w:bookmarkStart w:id="90" w:name="_Toc80094917"/>
      <w:r>
        <w:rPr>
          <w:rStyle w:val="CharSectno"/>
        </w:rPr>
        <w:lastRenderedPageBreak/>
        <w:t>20</w:t>
      </w:r>
      <w:r>
        <w:rPr>
          <w:snapToGrid w:val="0"/>
        </w:rPr>
        <w:t>.</w:t>
      </w:r>
      <w:r>
        <w:rPr>
          <w:snapToGrid w:val="0"/>
        </w:rPr>
        <w:tab/>
        <w:t>Financial provisions</w:t>
      </w:r>
      <w:bookmarkEnd w:id="90"/>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relation to the Commission and its operations.</w:t>
      </w:r>
    </w:p>
    <w:p>
      <w:pPr>
        <w:pStyle w:val="Subsection"/>
        <w:rPr>
          <w:snapToGrid w:val="0"/>
        </w:rPr>
      </w:pPr>
      <w:r>
        <w:rPr>
          <w:snapToGrid w:val="0"/>
        </w:rPr>
        <w:tab/>
        <w:t>(2)</w:t>
      </w:r>
      <w:r>
        <w:rPr>
          <w:snapToGrid w:val="0"/>
        </w:rPr>
        <w:tab/>
        <w:t>The Commission shall ensure that each producers’ committee maintains proper accounts and records of its financial administration and operations in such manner and form as the Treasurer approves.</w:t>
      </w:r>
    </w:p>
    <w:p>
      <w:pPr>
        <w:pStyle w:val="Footnotesection"/>
      </w:pPr>
      <w:r>
        <w:tab/>
        <w:t>[Section 20 amended: No. 20 of 2000 s. 31; No. 77 of 2006 Sch. 1 cl. 3(3).]</w:t>
      </w:r>
    </w:p>
    <w:p>
      <w:pPr>
        <w:pStyle w:val="Heading5"/>
      </w:pPr>
      <w:bookmarkStart w:id="91" w:name="_Toc80094918"/>
      <w:r>
        <w:rPr>
          <w:rStyle w:val="CharSectno"/>
        </w:rPr>
        <w:t>20A</w:t>
      </w:r>
      <w:r>
        <w:t>.</w:t>
      </w:r>
      <w:r>
        <w:tab/>
        <w:t>Giving notices and other documents electronically</w:t>
      </w:r>
      <w:bookmarkEnd w:id="91"/>
    </w:p>
    <w:p>
      <w:pPr>
        <w:pStyle w:val="Subsection"/>
      </w:pPr>
      <w:r>
        <w:tab/>
        <w:t>(1)</w:t>
      </w:r>
      <w:r>
        <w:tab/>
        <w:t xml:space="preserve">A notice or other document required or permitted under this Act to be given to a person may be given to the person by emailing it to an email address — </w:t>
      </w:r>
    </w:p>
    <w:p>
      <w:pPr>
        <w:pStyle w:val="Indenta"/>
      </w:pPr>
      <w:r>
        <w:tab/>
        <w:t>(a)</w:t>
      </w:r>
      <w:r>
        <w:tab/>
        <w:t>provided by the person; or</w:t>
      </w:r>
    </w:p>
    <w:p>
      <w:pPr>
        <w:pStyle w:val="Indenta"/>
      </w:pPr>
      <w:r>
        <w:tab/>
        <w:t>(b)</w:t>
      </w:r>
      <w:r>
        <w:tab/>
        <w:t>appearing on recent correspondence addressed by or on behalf of the person to the Commission or a producers’ committee; or</w:t>
      </w:r>
    </w:p>
    <w:p>
      <w:pPr>
        <w:pStyle w:val="Indenta"/>
      </w:pPr>
      <w:r>
        <w:tab/>
        <w:t>(c)</w:t>
      </w:r>
      <w:r>
        <w:tab/>
        <w:t>otherwise notified to the Commission or a producers’ committee, or published by the person.</w:t>
      </w:r>
    </w:p>
    <w:p>
      <w:pPr>
        <w:pStyle w:val="Subsection"/>
      </w:pPr>
      <w:r>
        <w:tab/>
        <w:t>(2)</w:t>
      </w:r>
      <w:r>
        <w:tab/>
        <w:t xml:space="preserve">This section is in addition to the </w:t>
      </w:r>
      <w:r>
        <w:rPr>
          <w:i/>
        </w:rPr>
        <w:t>Interpretation Act 1984</w:t>
      </w:r>
      <w:r>
        <w:t xml:space="preserve"> section 76.</w:t>
      </w:r>
    </w:p>
    <w:p>
      <w:pPr>
        <w:pStyle w:val="Footnotesection"/>
      </w:pPr>
      <w:r>
        <w:tab/>
        <w:t>[Section 20A inserted: No. 11 of 2021 s. 28.]</w:t>
      </w:r>
    </w:p>
    <w:p>
      <w:pPr>
        <w:pStyle w:val="Heading5"/>
        <w:rPr>
          <w:snapToGrid w:val="0"/>
        </w:rPr>
      </w:pPr>
      <w:bookmarkStart w:id="92" w:name="_Toc80094919"/>
      <w:r>
        <w:rPr>
          <w:rStyle w:val="CharSectno"/>
        </w:rPr>
        <w:t>21</w:t>
      </w:r>
      <w:r>
        <w:rPr>
          <w:snapToGrid w:val="0"/>
        </w:rPr>
        <w:t>.</w:t>
      </w:r>
      <w:r>
        <w:rPr>
          <w:snapToGrid w:val="0"/>
        </w:rPr>
        <w:tab/>
        <w:t>Authentication</w:t>
      </w:r>
      <w:bookmarkEnd w:id="92"/>
    </w:p>
    <w:p>
      <w:pPr>
        <w:pStyle w:val="Subsection"/>
        <w:rPr>
          <w:snapToGrid w:val="0"/>
        </w:rPr>
      </w:pPr>
      <w:r>
        <w:rPr>
          <w:snapToGrid w:val="0"/>
        </w:rPr>
        <w:tab/>
      </w:r>
      <w:r>
        <w:rPr>
          <w:snapToGrid w:val="0"/>
        </w:rPr>
        <w:tab/>
        <w:t>Every summons, process, order, notice, statement or advertisement requiring authentication by the Commission may be authenticated without the seal of the Commission if signed by —</w:t>
      </w:r>
    </w:p>
    <w:p>
      <w:pPr>
        <w:pStyle w:val="Indenta"/>
        <w:rPr>
          <w:snapToGrid w:val="0"/>
        </w:rPr>
      </w:pPr>
      <w:r>
        <w:rPr>
          <w:snapToGrid w:val="0"/>
        </w:rPr>
        <w:tab/>
        <w:t>(a)</w:t>
      </w:r>
      <w:r>
        <w:rPr>
          <w:snapToGrid w:val="0"/>
        </w:rPr>
        <w:tab/>
        <w:t>the chairperson; or</w:t>
      </w:r>
    </w:p>
    <w:p>
      <w:pPr>
        <w:pStyle w:val="Indenta"/>
        <w:rPr>
          <w:snapToGrid w:val="0"/>
        </w:rPr>
      </w:pPr>
      <w:r>
        <w:rPr>
          <w:snapToGrid w:val="0"/>
        </w:rPr>
        <w:lastRenderedPageBreak/>
        <w:tab/>
        <w:t>(b)</w:t>
      </w:r>
      <w:r>
        <w:rPr>
          <w:snapToGrid w:val="0"/>
        </w:rPr>
        <w:tab/>
        <w:t>a person authorised by the chairperson.</w:t>
      </w:r>
    </w:p>
    <w:p>
      <w:pPr>
        <w:pStyle w:val="Heading5"/>
        <w:rPr>
          <w:snapToGrid w:val="0"/>
        </w:rPr>
      </w:pPr>
      <w:bookmarkStart w:id="93" w:name="_Toc80094920"/>
      <w:r>
        <w:rPr>
          <w:rStyle w:val="CharSectno"/>
        </w:rPr>
        <w:t>22</w:t>
      </w:r>
      <w:r>
        <w:rPr>
          <w:snapToGrid w:val="0"/>
        </w:rPr>
        <w:t>.</w:t>
      </w:r>
      <w:r>
        <w:rPr>
          <w:snapToGrid w:val="0"/>
        </w:rPr>
        <w:tab/>
        <w:t>Recovery of charges</w:t>
      </w:r>
      <w:bookmarkEnd w:id="93"/>
    </w:p>
    <w:p>
      <w:pPr>
        <w:pStyle w:val="Subsection"/>
        <w:rPr>
          <w:snapToGrid w:val="0"/>
        </w:rPr>
      </w:pPr>
      <w:r>
        <w:rPr>
          <w:snapToGrid w:val="0"/>
        </w:rPr>
        <w:tab/>
        <w:t>(1)</w:t>
      </w:r>
      <w:r>
        <w:rPr>
          <w:snapToGrid w:val="0"/>
        </w:rPr>
        <w:tab/>
        <w:t>Any moneys due to the Commission or to a producers’ committee may be recovered by the Commission in any court of competent jurisdiction.</w:t>
      </w:r>
    </w:p>
    <w:p>
      <w:pPr>
        <w:pStyle w:val="Ednotesubsection"/>
      </w:pPr>
      <w:r>
        <w:tab/>
        <w:t>[(2)</w:t>
      </w:r>
      <w:r>
        <w:tab/>
        <w:t>deleted]</w:t>
      </w:r>
    </w:p>
    <w:p>
      <w:pPr>
        <w:pStyle w:val="Footnotesection"/>
      </w:pPr>
      <w:r>
        <w:tab/>
        <w:t>[Section 22 amended: No. 49 of 1996 s. 64; No. 20 of 2000 s. 23 and 31.]</w:t>
      </w:r>
    </w:p>
    <w:p>
      <w:pPr>
        <w:pStyle w:val="Heading5"/>
        <w:rPr>
          <w:snapToGrid w:val="0"/>
        </w:rPr>
      </w:pPr>
      <w:bookmarkStart w:id="94" w:name="_Toc80094921"/>
      <w:r>
        <w:rPr>
          <w:rStyle w:val="CharSectno"/>
        </w:rPr>
        <w:t>23</w:t>
      </w:r>
      <w:r>
        <w:rPr>
          <w:snapToGrid w:val="0"/>
        </w:rPr>
        <w:t>.</w:t>
      </w:r>
      <w:r>
        <w:rPr>
          <w:snapToGrid w:val="0"/>
        </w:rPr>
        <w:tab/>
        <w:t>Evidentiary</w:t>
      </w:r>
      <w:bookmarkEnd w:id="94"/>
    </w:p>
    <w:p>
      <w:pPr>
        <w:pStyle w:val="Subsection"/>
        <w:keepNext/>
        <w:keepLines/>
        <w:rPr>
          <w:snapToGrid w:val="0"/>
        </w:rPr>
      </w:pPr>
      <w:r>
        <w:rPr>
          <w:snapToGrid w:val="0"/>
        </w:rPr>
        <w:tab/>
      </w:r>
      <w:r>
        <w:rPr>
          <w:snapToGrid w:val="0"/>
        </w:rPr>
        <w:tab/>
        <w:t>In any legal proceedings —</w:t>
      </w:r>
    </w:p>
    <w:p>
      <w:pPr>
        <w:pStyle w:val="Indenta"/>
        <w:rPr>
          <w:snapToGrid w:val="0"/>
        </w:rPr>
      </w:pPr>
      <w:r>
        <w:rPr>
          <w:snapToGrid w:val="0"/>
        </w:rPr>
        <w:tab/>
        <w:t>(a)</w:t>
      </w:r>
      <w:r>
        <w:rPr>
          <w:snapToGrid w:val="0"/>
        </w:rPr>
        <w:tab/>
        <w:t>until evidence is given to the contrary proof is not required of —</w:t>
      </w:r>
    </w:p>
    <w:p>
      <w:pPr>
        <w:pStyle w:val="Indenti"/>
        <w:rPr>
          <w:snapToGrid w:val="0"/>
        </w:rPr>
      </w:pPr>
      <w:r>
        <w:rPr>
          <w:snapToGrid w:val="0"/>
        </w:rPr>
        <w:tab/>
        <w:t>(i)</w:t>
      </w:r>
      <w:r>
        <w:rPr>
          <w:snapToGrid w:val="0"/>
        </w:rPr>
        <w:tab/>
        <w:t>the constitution of a producers’ committee;</w:t>
      </w:r>
    </w:p>
    <w:p>
      <w:pPr>
        <w:pStyle w:val="Indenti"/>
        <w:rPr>
          <w:snapToGrid w:val="0"/>
        </w:rPr>
      </w:pPr>
      <w:r>
        <w:rPr>
          <w:snapToGrid w:val="0"/>
        </w:rPr>
        <w:tab/>
        <w:t>(ii)</w:t>
      </w:r>
      <w:r>
        <w:rPr>
          <w:snapToGrid w:val="0"/>
        </w:rPr>
        <w:tab/>
        <w:t>the constitution of the Commission;</w:t>
      </w:r>
    </w:p>
    <w:p>
      <w:pPr>
        <w:pStyle w:val="Indenti"/>
        <w:rPr>
          <w:snapToGrid w:val="0"/>
        </w:rPr>
      </w:pPr>
      <w:r>
        <w:rPr>
          <w:snapToGrid w:val="0"/>
        </w:rPr>
        <w:tab/>
        <w:t>(iii)</w:t>
      </w:r>
      <w:r>
        <w:rPr>
          <w:snapToGrid w:val="0"/>
        </w:rPr>
        <w:tab/>
        <w:t>any resolution of the Commission or producers’ committee;</w:t>
      </w:r>
    </w:p>
    <w:p>
      <w:pPr>
        <w:pStyle w:val="Indenti"/>
        <w:rPr>
          <w:snapToGrid w:val="0"/>
        </w:rPr>
      </w:pPr>
      <w:r>
        <w:rPr>
          <w:snapToGrid w:val="0"/>
        </w:rPr>
        <w:tab/>
        <w:t>(iv)</w:t>
      </w:r>
      <w:r>
        <w:rPr>
          <w:snapToGrid w:val="0"/>
        </w:rPr>
        <w:tab/>
        <w:t>the appointment of any member or of the Commission or of a producers’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production of a copy of the </w:t>
      </w:r>
      <w:r>
        <w:rPr>
          <w:i/>
          <w:snapToGrid w:val="0"/>
        </w:rPr>
        <w:t>Gazette</w:t>
      </w:r>
      <w:r>
        <w:rPr>
          <w:snapToGrid w:val="0"/>
        </w:rPr>
        <w:t xml:space="preserve"> or a newspaper containing or purporting to contain a copy of any notice or advertisement published under this Act is —</w:t>
      </w:r>
    </w:p>
    <w:p>
      <w:pPr>
        <w:pStyle w:val="Indenti"/>
        <w:rPr>
          <w:snapToGrid w:val="0"/>
        </w:rPr>
      </w:pPr>
      <w:r>
        <w:rPr>
          <w:snapToGrid w:val="0"/>
        </w:rPr>
        <w:tab/>
        <w:t>(i)</w:t>
      </w:r>
      <w:r>
        <w:rPr>
          <w:snapToGrid w:val="0"/>
        </w:rPr>
        <w:tab/>
        <w:t>evidence of the matters contained in the notice or advertisement; and</w:t>
      </w:r>
    </w:p>
    <w:p>
      <w:pPr>
        <w:pStyle w:val="Indenti"/>
        <w:rPr>
          <w:snapToGrid w:val="0"/>
        </w:rPr>
      </w:pPr>
      <w:r>
        <w:rPr>
          <w:snapToGrid w:val="0"/>
        </w:rPr>
        <w:tab/>
        <w:t>(ii)</w:t>
      </w:r>
      <w:r>
        <w:rPr>
          <w:snapToGrid w:val="0"/>
        </w:rPr>
        <w:tab/>
        <w:t>evidence that all steps necessary to be taken prior to the publication of the notice or advertisement were duly taken;</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(c)</w:t>
      </w:r>
      <w:r>
        <w:rPr>
          <w:snapToGrid w:val="0"/>
        </w:rPr>
        <w:tab/>
        <w:t>an averment on behalf of the Commission —</w:t>
      </w:r>
    </w:p>
    <w:p>
      <w:pPr>
        <w:pStyle w:val="Indenti"/>
        <w:rPr>
          <w:snapToGrid w:val="0"/>
        </w:rPr>
      </w:pPr>
      <w:r>
        <w:rPr>
          <w:snapToGrid w:val="0"/>
        </w:rPr>
        <w:tab/>
        <w:t>(i)</w:t>
      </w:r>
      <w:r>
        <w:rPr>
          <w:snapToGrid w:val="0"/>
        </w:rPr>
        <w:tab/>
        <w:t xml:space="preserve">that any </w:t>
      </w:r>
      <w:r>
        <w:t>agricultural</w:t>
      </w:r>
      <w:r>
        <w:rPr>
          <w:snapToGrid w:val="0"/>
        </w:rPr>
        <w:t xml:space="preserve"> produce is or was, during a specified period, </w:t>
      </w:r>
      <w:r>
        <w:t>agricultural</w:t>
      </w:r>
      <w:r>
        <w:rPr>
          <w:snapToGrid w:val="0"/>
        </w:rPr>
        <w:t xml:space="preserve"> produce to which this Act applies or applied as the case requires; or</w:t>
      </w:r>
    </w:p>
    <w:p>
      <w:pPr>
        <w:pStyle w:val="Indenti"/>
        <w:rPr>
          <w:snapToGrid w:val="0"/>
        </w:rPr>
      </w:pPr>
      <w:r>
        <w:rPr>
          <w:snapToGrid w:val="0"/>
        </w:rPr>
        <w:tab/>
        <w:t>(ii)</w:t>
      </w:r>
      <w:r>
        <w:rPr>
          <w:snapToGrid w:val="0"/>
        </w:rPr>
        <w:tab/>
        <w:t>that any area or place is or was an area or place or is or was during a specified period within an area specified in a notice or advertisement; or</w:t>
      </w:r>
    </w:p>
    <w:p>
      <w:pPr>
        <w:pStyle w:val="Indenti"/>
        <w:rPr>
          <w:snapToGrid w:val="0"/>
        </w:rPr>
      </w:pPr>
      <w:r>
        <w:rPr>
          <w:snapToGrid w:val="0"/>
        </w:rPr>
        <w:tab/>
        <w:t>(iii)</w:t>
      </w:r>
      <w:r>
        <w:rPr>
          <w:snapToGrid w:val="0"/>
        </w:rPr>
        <w:tab/>
        <w:t xml:space="preserve">that any person is or was a producer during a specified period of </w:t>
      </w:r>
      <w:r>
        <w:t>agricultural</w:t>
      </w:r>
      <w:r>
        <w:rPr>
          <w:snapToGrid w:val="0"/>
        </w:rPr>
        <w:t xml:space="preserve"> produce,</w:t>
      </w:r>
    </w:p>
    <w:p>
      <w:pPr>
        <w:pStyle w:val="Indenta"/>
        <w:rPr>
          <w:snapToGrid w:val="0"/>
        </w:rPr>
      </w:pPr>
      <w:r>
        <w:rPr>
          <w:snapToGrid w:val="0"/>
        </w:rPr>
        <w:tab/>
      </w:r>
      <w:r>
        <w:rPr>
          <w:snapToGrid w:val="0"/>
        </w:rPr>
        <w:tab/>
        <w:t>is until the contrary is proved evidence of that fact; and</w:t>
      </w:r>
    </w:p>
    <w:p>
      <w:pPr>
        <w:pStyle w:val="Indenta"/>
        <w:keepNext/>
        <w:rPr>
          <w:snapToGrid w:val="0"/>
        </w:rPr>
      </w:pPr>
      <w:r>
        <w:rPr>
          <w:snapToGrid w:val="0"/>
        </w:rPr>
        <w:tab/>
        <w:t>(d)</w:t>
      </w:r>
      <w:r>
        <w:rPr>
          <w:snapToGrid w:val="0"/>
        </w:rPr>
        <w:tab/>
        <w:t>a certificate —</w:t>
      </w:r>
    </w:p>
    <w:p>
      <w:pPr>
        <w:pStyle w:val="Indenti"/>
        <w:rPr>
          <w:snapToGrid w:val="0"/>
        </w:rPr>
      </w:pPr>
      <w:r>
        <w:rPr>
          <w:snapToGrid w:val="0"/>
        </w:rPr>
        <w:tab/>
        <w:t>(i)</w:t>
      </w:r>
      <w:r>
        <w:rPr>
          <w:snapToGrid w:val="0"/>
        </w:rPr>
        <w:tab/>
        <w:t>signed or purporting to be signed by a prescribed officer of the Commission;</w:t>
      </w:r>
    </w:p>
    <w:p>
      <w:pPr>
        <w:pStyle w:val="Indenti"/>
        <w:rPr>
          <w:snapToGrid w:val="0"/>
        </w:rPr>
      </w:pPr>
      <w:r>
        <w:rPr>
          <w:snapToGrid w:val="0"/>
        </w:rPr>
        <w:tab/>
        <w:t>(ii)</w:t>
      </w:r>
      <w:r>
        <w:rPr>
          <w:snapToGrid w:val="0"/>
        </w:rPr>
        <w:tab/>
        <w:t xml:space="preserve">certifying that on a specified day or during a specified period any person was or was not included in a list of producers of </w:t>
      </w:r>
      <w:r>
        <w:t>agricultural</w:t>
      </w:r>
      <w:r>
        <w:rPr>
          <w:snapToGrid w:val="0"/>
        </w:rPr>
        <w:t xml:space="preserve"> produce compiled under this Act,</w:t>
      </w:r>
    </w:p>
    <w:p>
      <w:pPr>
        <w:pStyle w:val="Indenta"/>
        <w:rPr>
          <w:snapToGrid w:val="0"/>
        </w:rPr>
      </w:pPr>
      <w:r>
        <w:rPr>
          <w:snapToGrid w:val="0"/>
        </w:rPr>
        <w:tab/>
      </w:r>
      <w:r>
        <w:rPr>
          <w:snapToGrid w:val="0"/>
        </w:rPr>
        <w:tab/>
        <w:t>is, without proof of the signature of the person purporting to sign the certificate or that the person is a prescribed officer, evidence of the matters certified in and by the certificate.</w:t>
      </w:r>
    </w:p>
    <w:p>
      <w:pPr>
        <w:pStyle w:val="Footnotesection"/>
      </w:pPr>
      <w:r>
        <w:tab/>
        <w:t>[Section 23 amended: No. 20 of 2000 s. 28, 29, 30 and 31.]</w:t>
      </w:r>
    </w:p>
    <w:p>
      <w:pPr>
        <w:pStyle w:val="Heading5"/>
        <w:rPr>
          <w:snapToGrid w:val="0"/>
        </w:rPr>
      </w:pPr>
      <w:bookmarkStart w:id="95" w:name="_Toc80094922"/>
      <w:r>
        <w:rPr>
          <w:rStyle w:val="CharSectno"/>
        </w:rPr>
        <w:t>24</w:t>
      </w:r>
      <w:r>
        <w:rPr>
          <w:snapToGrid w:val="0"/>
        </w:rPr>
        <w:t>.</w:t>
      </w:r>
      <w:r>
        <w:rPr>
          <w:snapToGrid w:val="0"/>
        </w:rPr>
        <w:tab/>
      </w:r>
      <w:r>
        <w:t>Protection from liability</w:t>
      </w:r>
      <w:bookmarkEnd w:id="95"/>
    </w:p>
    <w:p>
      <w:pPr>
        <w:pStyle w:val="Subsection"/>
      </w:pPr>
      <w:r>
        <w:tab/>
        <w:t>(1)</w:t>
      </w:r>
      <w:r>
        <w:tab/>
        <w:t xml:space="preserve">In this section — </w:t>
      </w:r>
    </w:p>
    <w:p>
      <w:pPr>
        <w:pStyle w:val="Defstart"/>
      </w:pPr>
      <w:r>
        <w:tab/>
      </w:r>
      <w:r>
        <w:rPr>
          <w:rStyle w:val="CharDefText"/>
        </w:rPr>
        <w:t>officer or employee</w:t>
      </w:r>
      <w:r>
        <w:t xml:space="preserve"> — </w:t>
      </w:r>
    </w:p>
    <w:p>
      <w:pPr>
        <w:pStyle w:val="Defpara"/>
      </w:pPr>
      <w:r>
        <w:tab/>
        <w:t>(a)</w:t>
      </w:r>
      <w:r>
        <w:tab/>
        <w:t xml:space="preserve">in relation to the Commission — </w:t>
      </w:r>
    </w:p>
    <w:p>
      <w:pPr>
        <w:pStyle w:val="Defsubpara"/>
      </w:pPr>
      <w:r>
        <w:tab/>
        <w:t>(i)</w:t>
      </w:r>
      <w:r>
        <w:tab/>
        <w:t>means a person employed or engaged by the Commission; and</w:t>
      </w:r>
    </w:p>
    <w:p>
      <w:pPr>
        <w:pStyle w:val="Defsubpara"/>
      </w:pPr>
      <w:r>
        <w:tab/>
        <w:t>(ii)</w:t>
      </w:r>
      <w:r>
        <w:tab/>
        <w:t>includes an authorised officer;</w:t>
      </w:r>
    </w:p>
    <w:p>
      <w:pPr>
        <w:pStyle w:val="Defpara"/>
      </w:pPr>
      <w:r>
        <w:tab/>
      </w:r>
      <w:r>
        <w:tab/>
        <w:t>and</w:t>
      </w:r>
    </w:p>
    <w:p>
      <w:pPr>
        <w:pStyle w:val="Defpara"/>
      </w:pPr>
      <w:r>
        <w:lastRenderedPageBreak/>
        <w:tab/>
        <w:t>(b)</w:t>
      </w:r>
      <w:r>
        <w:tab/>
        <w:t>in relation to a producers’ committee — means a person employed or engaged by a producers’ committee.</w:t>
      </w:r>
    </w:p>
    <w:p>
      <w:pPr>
        <w:pStyle w:val="Subsection"/>
        <w:rPr>
          <w:snapToGrid w:val="0"/>
        </w:rPr>
      </w:pPr>
      <w:r>
        <w:rPr>
          <w:snapToGrid w:val="0"/>
        </w:rPr>
        <w:tab/>
      </w:r>
      <w:r>
        <w:t>(2)</w:t>
      </w:r>
      <w:r>
        <w:tab/>
        <w:t>A person</w:t>
      </w:r>
      <w:r>
        <w:rPr>
          <w:snapToGrid w:val="0"/>
        </w:rPr>
        <w:t xml:space="preserve"> who is or was a member of the Commission or a producers’ committee, or an officer or employee of the Commission or producers’ committee is not personally liable for any act done or omitted to be done in good faith by the Commission or a producers’ committee or by </w:t>
      </w:r>
      <w:r>
        <w:t>the person</w:t>
      </w:r>
      <w:r>
        <w:rPr>
          <w:snapToGrid w:val="0"/>
        </w:rPr>
        <w:t xml:space="preserve"> acting as a member of the Commission or producers’ committee or as an officer or employee of the Commission or a producers’ committee.</w:t>
      </w:r>
    </w:p>
    <w:p>
      <w:pPr>
        <w:pStyle w:val="Footnotesection"/>
      </w:pPr>
      <w:r>
        <w:tab/>
        <w:t>[Section 24 amended: No. 20 of 2000 s. 31; No. 11 of 2021 s. 29.]</w:t>
      </w:r>
    </w:p>
    <w:p>
      <w:pPr>
        <w:pStyle w:val="Heading5"/>
        <w:rPr>
          <w:snapToGrid w:val="0"/>
        </w:rPr>
      </w:pPr>
      <w:bookmarkStart w:id="96" w:name="_Toc80094923"/>
      <w:r>
        <w:rPr>
          <w:rStyle w:val="CharSectno"/>
        </w:rPr>
        <w:t>25</w:t>
      </w:r>
      <w:r>
        <w:rPr>
          <w:snapToGrid w:val="0"/>
        </w:rPr>
        <w:t>.</w:t>
      </w:r>
      <w:r>
        <w:rPr>
          <w:snapToGrid w:val="0"/>
        </w:rPr>
        <w:tab/>
        <w:t>Regulations</w:t>
      </w:r>
      <w:bookmarkEnd w:id="9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method of determining the eligibility of producers to be regarded as producers for the purposes of this Act; and</w:t>
      </w:r>
    </w:p>
    <w:p>
      <w:pPr>
        <w:pStyle w:val="Indenta"/>
        <w:spacing w:before="60"/>
        <w:rPr>
          <w:snapToGrid w:val="0"/>
        </w:rPr>
      </w:pPr>
      <w:r>
        <w:rPr>
          <w:snapToGrid w:val="0"/>
        </w:rPr>
        <w:tab/>
        <w:t>(b)</w:t>
      </w:r>
      <w:r>
        <w:rPr>
          <w:snapToGrid w:val="0"/>
        </w:rPr>
        <w:tab/>
        <w:t>provide for the taking of any poll including the method of voting at a poll and determining the manner in which the results of a poll shall be ascertained; and</w:t>
      </w:r>
    </w:p>
    <w:p>
      <w:pPr>
        <w:pStyle w:val="Indenta"/>
        <w:spacing w:before="60"/>
        <w:rPr>
          <w:snapToGrid w:val="0"/>
        </w:rPr>
      </w:pPr>
      <w:r>
        <w:rPr>
          <w:snapToGrid w:val="0"/>
        </w:rPr>
        <w:tab/>
        <w:t>(c)</w:t>
      </w:r>
      <w:r>
        <w:rPr>
          <w:snapToGrid w:val="0"/>
        </w:rPr>
        <w:tab/>
        <w:t>prescribe matters concerning the compilation and revision of lists of names of producers; and</w:t>
      </w:r>
    </w:p>
    <w:p>
      <w:pPr>
        <w:pStyle w:val="Indenta"/>
        <w:spacing w:before="60"/>
        <w:rPr>
          <w:snapToGrid w:val="0"/>
        </w:rPr>
      </w:pPr>
      <w:r>
        <w:rPr>
          <w:snapToGrid w:val="0"/>
        </w:rPr>
        <w:tab/>
        <w:t>(d)</w:t>
      </w:r>
      <w:r>
        <w:rPr>
          <w:snapToGrid w:val="0"/>
        </w:rPr>
        <w:tab/>
        <w:t>prescribe the manner in which the results of a poll taken under this Act shall be notified; and</w:t>
      </w:r>
    </w:p>
    <w:p>
      <w:pPr>
        <w:pStyle w:val="Indenta"/>
        <w:spacing w:before="60"/>
      </w:pPr>
      <w:r>
        <w:tab/>
        <w:t>(e)</w:t>
      </w:r>
      <w:r>
        <w:tab/>
        <w:t>require that for the purposes of this Act information relating to agricultural produce be furnished to prescribed persons or organisations; and</w:t>
      </w:r>
    </w:p>
    <w:p>
      <w:pPr>
        <w:pStyle w:val="Indenta"/>
        <w:spacing w:before="60"/>
      </w:pPr>
      <w:r>
        <w:lastRenderedPageBreak/>
        <w:tab/>
        <w:t>(ea)</w:t>
      </w:r>
      <w:r>
        <w:tab/>
        <w:t>prescribe the manner in which charges imposed under this Act shall be paid and collected and the persons to whom the charges shall be paid or by whom the charges shall be collected; and</w:t>
      </w:r>
    </w:p>
    <w:p>
      <w:pPr>
        <w:pStyle w:val="Indenta"/>
        <w:spacing w:before="60"/>
        <w:rPr>
          <w:snapToGrid w:val="0"/>
        </w:rPr>
      </w:pPr>
      <w:r>
        <w:rPr>
          <w:snapToGrid w:val="0"/>
        </w:rPr>
        <w:tab/>
        <w:t>(f)</w:t>
      </w:r>
      <w:r>
        <w:rPr>
          <w:snapToGrid w:val="0"/>
        </w:rPr>
        <w:tab/>
        <w:t>prescribing penalties not exceeding $2 000 for any breach of the regulations.</w:t>
      </w:r>
    </w:p>
    <w:p>
      <w:pPr>
        <w:pStyle w:val="Footnotesection"/>
        <w:spacing w:before="80"/>
      </w:pPr>
      <w:r>
        <w:tab/>
        <w:t>[Section 25 amended: No. 29 of 1993 s. 7; No. 20 of 2000 s. 24 and 30; No. 11 of 2021 s. 30.]</w:t>
      </w:r>
    </w:p>
    <w:p>
      <w:pPr>
        <w:pStyle w:val="Ednotesection"/>
        <w:rPr>
          <w:i w:val="0"/>
        </w:rPr>
      </w:pPr>
      <w:r>
        <w:t>[</w:t>
      </w:r>
      <w:r>
        <w:rPr>
          <w:b/>
        </w:rPr>
        <w:t>26</w:t>
      </w:r>
      <w:r>
        <w:t xml:space="preserve">, </w:t>
      </w:r>
      <w:r>
        <w:rPr>
          <w:b/>
        </w:rPr>
        <w:t>27.</w:t>
      </w:r>
      <w:r>
        <w:rPr>
          <w:b/>
        </w:rPr>
        <w:tab/>
      </w:r>
      <w:r>
        <w:t>Deleted: No. 11 of 2021 s. 31.]</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97" w:name="_Toc80017517"/>
      <w:bookmarkStart w:id="98" w:name="_Toc80024947"/>
      <w:bookmarkStart w:id="99" w:name="_Toc80084825"/>
      <w:bookmarkStart w:id="100" w:name="_Toc80094924"/>
      <w:r>
        <w:rPr>
          <w:rStyle w:val="CharSchNo"/>
          <w:rFonts w:eastAsia="MS Mincho"/>
        </w:rPr>
        <w:lastRenderedPageBreak/>
        <w:t>Schedule</w:t>
      </w:r>
      <w:r>
        <w:rPr>
          <w:rStyle w:val="CharSDivNo"/>
          <w:rFonts w:eastAsia="MS Mincho"/>
        </w:rPr>
        <w:t> </w:t>
      </w:r>
      <w:r>
        <w:rPr>
          <w:rFonts w:eastAsia="MS Mincho"/>
        </w:rPr>
        <w:t>—</w:t>
      </w:r>
      <w:r>
        <w:rPr>
          <w:rStyle w:val="CharSDivText"/>
          <w:rFonts w:eastAsia="MS Mincho"/>
        </w:rPr>
        <w:t> </w:t>
      </w:r>
      <w:r>
        <w:rPr>
          <w:rStyle w:val="CharSchText"/>
          <w:rFonts w:eastAsia="MS Mincho"/>
        </w:rPr>
        <w:t>The Commission and its proceedings</w:t>
      </w:r>
      <w:bookmarkEnd w:id="97"/>
      <w:bookmarkEnd w:id="98"/>
      <w:bookmarkEnd w:id="99"/>
      <w:bookmarkEnd w:id="100"/>
    </w:p>
    <w:p>
      <w:pPr>
        <w:pStyle w:val="yShoulderClause"/>
        <w:rPr>
          <w:rFonts w:eastAsia="MS Mincho"/>
        </w:rPr>
      </w:pPr>
      <w:r>
        <w:rPr>
          <w:rFonts w:eastAsia="MS Mincho"/>
        </w:rPr>
        <w:t>[s. 5(6)]</w:t>
      </w:r>
    </w:p>
    <w:p>
      <w:pPr>
        <w:pStyle w:val="yFootnoteheading"/>
      </w:pPr>
      <w:r>
        <w:tab/>
        <w:t>[Heading inserted: No. 19 of 2010 s. 7.]</w:t>
      </w:r>
    </w:p>
    <w:p>
      <w:pPr>
        <w:pStyle w:val="yHeading5"/>
        <w:ind w:left="890" w:hanging="890"/>
        <w:outlineLvl w:val="9"/>
        <w:rPr>
          <w:snapToGrid w:val="0"/>
        </w:rPr>
      </w:pPr>
      <w:bookmarkStart w:id="101" w:name="_Toc80094925"/>
      <w:r>
        <w:rPr>
          <w:rStyle w:val="CharSClsNo"/>
        </w:rPr>
        <w:t>1</w:t>
      </w:r>
      <w:r>
        <w:rPr>
          <w:snapToGrid w:val="0"/>
        </w:rPr>
        <w:t>.</w:t>
      </w:r>
      <w:r>
        <w:rPr>
          <w:snapToGrid w:val="0"/>
        </w:rPr>
        <w:tab/>
        <w:t>Term of office of member of Commission</w:t>
      </w:r>
      <w:bookmarkEnd w:id="101"/>
    </w:p>
    <w:p>
      <w:pPr>
        <w:pStyle w:val="ySubsection"/>
        <w:rPr>
          <w:snapToGrid w:val="0"/>
        </w:rPr>
      </w:pPr>
      <w:r>
        <w:rPr>
          <w:snapToGrid w:val="0"/>
        </w:rPr>
        <w:tab/>
      </w:r>
      <w:r>
        <w:rPr>
          <w:snapToGrid w:val="0"/>
        </w:rPr>
        <w:tab/>
        <w:t>Subject to this Schedule, a member of the Commission shall be appointed for such period not exceeding 3 years as is specified in the instrument of appointment of that member.</w:t>
      </w:r>
    </w:p>
    <w:p>
      <w:pPr>
        <w:pStyle w:val="yHeading5"/>
        <w:ind w:left="890" w:hanging="890"/>
        <w:outlineLvl w:val="9"/>
        <w:rPr>
          <w:snapToGrid w:val="0"/>
        </w:rPr>
      </w:pPr>
      <w:bookmarkStart w:id="102" w:name="_Toc80094926"/>
      <w:r>
        <w:rPr>
          <w:rStyle w:val="CharSClsNo"/>
        </w:rPr>
        <w:t>2</w:t>
      </w:r>
      <w:r>
        <w:rPr>
          <w:snapToGrid w:val="0"/>
        </w:rPr>
        <w:t>.</w:t>
      </w:r>
      <w:r>
        <w:rPr>
          <w:snapToGrid w:val="0"/>
        </w:rPr>
        <w:tab/>
        <w:t>Remuneration of member of Commission</w:t>
      </w:r>
      <w:bookmarkEnd w:id="102"/>
    </w:p>
    <w:p>
      <w:pPr>
        <w:pStyle w:val="ySubsection"/>
        <w:rPr>
          <w:snapToGrid w:val="0"/>
        </w:rPr>
      </w:pPr>
      <w:r>
        <w:rPr>
          <w:snapToGrid w:val="0"/>
        </w:rPr>
        <w:tab/>
      </w:r>
      <w:r>
        <w:rPr>
          <w:snapToGrid w:val="0"/>
        </w:rPr>
        <w:tab/>
        <w:t>A member of the Commission other than a member who is an officer of the Public Service of the State or the Commonwealth is entitled to be paid such remuneration and allowances as the Minister, on the recommendation of the</w:t>
      </w:r>
      <w:r>
        <w:t xml:space="preserve"> Public Sector Commissioner</w:t>
      </w:r>
      <w:r>
        <w:rPr>
          <w:snapToGrid w:val="0"/>
        </w:rPr>
        <w:t>, determines.</w:t>
      </w:r>
    </w:p>
    <w:p>
      <w:pPr>
        <w:pStyle w:val="yFootnotesection"/>
      </w:pPr>
      <w:r>
        <w:tab/>
        <w:t>[Clause 2 amended: No. 20 of 2000 s. 26(1); No. 39 of 2010 s. 89.]</w:t>
      </w:r>
    </w:p>
    <w:p>
      <w:pPr>
        <w:pStyle w:val="yHeading5"/>
        <w:ind w:left="890" w:hanging="890"/>
        <w:outlineLvl w:val="9"/>
        <w:rPr>
          <w:snapToGrid w:val="0"/>
        </w:rPr>
      </w:pPr>
      <w:bookmarkStart w:id="103" w:name="_Toc80094927"/>
      <w:r>
        <w:rPr>
          <w:rStyle w:val="CharSClsNo"/>
        </w:rPr>
        <w:t>3</w:t>
      </w:r>
      <w:r>
        <w:rPr>
          <w:snapToGrid w:val="0"/>
        </w:rPr>
        <w:t>.</w:t>
      </w:r>
      <w:r>
        <w:rPr>
          <w:snapToGrid w:val="0"/>
        </w:rPr>
        <w:tab/>
        <w:t>Casual vacancies</w:t>
      </w:r>
      <w:bookmarkEnd w:id="103"/>
    </w:p>
    <w:p>
      <w:pPr>
        <w:pStyle w:val="ySubsection"/>
        <w:rPr>
          <w:snapToGrid w:val="0"/>
        </w:rPr>
      </w:pPr>
      <w:r>
        <w:rPr>
          <w:snapToGrid w:val="0"/>
        </w:rPr>
        <w:tab/>
      </w:r>
      <w:r>
        <w:rPr>
          <w:snapToGrid w:val="0"/>
        </w:rPr>
        <w:tab/>
        <w:t>Where an office of member of the Commission becomes vacant the Minister shall, subject to this Act, fill the vacancy.</w:t>
      </w:r>
    </w:p>
    <w:p>
      <w:pPr>
        <w:pStyle w:val="yHeading5"/>
        <w:ind w:left="890" w:hanging="890"/>
        <w:outlineLvl w:val="9"/>
        <w:rPr>
          <w:snapToGrid w:val="0"/>
        </w:rPr>
      </w:pPr>
      <w:bookmarkStart w:id="104" w:name="_Toc80094928"/>
      <w:r>
        <w:rPr>
          <w:rStyle w:val="CharSClsNo"/>
        </w:rPr>
        <w:t>4</w:t>
      </w:r>
      <w:r>
        <w:rPr>
          <w:snapToGrid w:val="0"/>
        </w:rPr>
        <w:t>.</w:t>
      </w:r>
      <w:r>
        <w:rPr>
          <w:snapToGrid w:val="0"/>
        </w:rPr>
        <w:tab/>
        <w:t>Vacation of office</w:t>
      </w:r>
      <w:bookmarkEnd w:id="104"/>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dies; or</w:t>
      </w:r>
    </w:p>
    <w:p>
      <w:pPr>
        <w:pStyle w:val="yIndenta"/>
        <w:rPr>
          <w:snapToGrid w:val="0"/>
        </w:rPr>
      </w:pPr>
      <w:r>
        <w:rPr>
          <w:snapToGrid w:val="0"/>
        </w:rPr>
        <w:tab/>
        <w:t>(b)</w:t>
      </w:r>
      <w:r>
        <w:rPr>
          <w:snapToGrid w:val="0"/>
        </w:rPr>
        <w:tab/>
        <w:t>is absent from 4 consecutive meetings of the Commission without the permission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removed from office by the Minister on the ground that the member is mentally or physically incapable of performing the duties of a member or for incompetence, neglect of duty or misconduct proved to the satisfaction of the Minister.</w:t>
      </w:r>
    </w:p>
    <w:p>
      <w:pPr>
        <w:pStyle w:val="yFootnotesection"/>
      </w:pPr>
      <w:r>
        <w:tab/>
        <w:t>[Clause 4 amended: No. 18 of 2009 s. 7.]</w:t>
      </w:r>
    </w:p>
    <w:p>
      <w:pPr>
        <w:pStyle w:val="yHeading5"/>
        <w:ind w:left="890" w:hanging="890"/>
        <w:outlineLvl w:val="9"/>
        <w:rPr>
          <w:snapToGrid w:val="0"/>
        </w:rPr>
      </w:pPr>
      <w:bookmarkStart w:id="105" w:name="_Toc80094929"/>
      <w:r>
        <w:rPr>
          <w:rStyle w:val="CharSClsNo"/>
        </w:rPr>
        <w:lastRenderedPageBreak/>
        <w:t>5</w:t>
      </w:r>
      <w:r>
        <w:rPr>
          <w:snapToGrid w:val="0"/>
        </w:rPr>
        <w:t>.</w:t>
      </w:r>
      <w:r>
        <w:rPr>
          <w:snapToGrid w:val="0"/>
        </w:rPr>
        <w:tab/>
        <w:t>Disclosure</w:t>
      </w:r>
      <w:bookmarkEnd w:id="105"/>
    </w:p>
    <w:p>
      <w:pPr>
        <w:pStyle w:val="ySubsection"/>
        <w:rPr>
          <w:snapToGrid w:val="0"/>
        </w:rPr>
      </w:pPr>
      <w:r>
        <w:rPr>
          <w:snapToGrid w:val="0"/>
        </w:rPr>
        <w:tab/>
        <w:t xml:space="preserve"> (1)</w:t>
      </w:r>
      <w:r>
        <w:rPr>
          <w:snapToGrid w:val="0"/>
        </w:rPr>
        <w:tab/>
        <w:t>A member of the Commission who has a direct or indirect pecuniary interest in a matter being considered or about to be considered at a meeting of the Commission shall, as soon as possible after the relevant facts have come to his or her knowledge, disclose his or her interest at a meeting of the Commission.</w:t>
      </w:r>
    </w:p>
    <w:p>
      <w:pPr>
        <w:pStyle w:val="ySubsection"/>
        <w:rPr>
          <w:snapToGrid w:val="0"/>
        </w:rPr>
      </w:pPr>
      <w:r>
        <w:rPr>
          <w:snapToGrid w:val="0"/>
        </w:rPr>
        <w:tab/>
        <w:t>(2)</w:t>
      </w:r>
      <w:r>
        <w:rPr>
          <w:snapToGrid w:val="0"/>
        </w:rPr>
        <w:tab/>
        <w:t>A disclosure under subclause (1) shall be recorded in the minutes of the meeting of the Commission and the member shall not unless the meeting otherwise determines —</w:t>
      </w:r>
    </w:p>
    <w:p>
      <w:pPr>
        <w:pStyle w:val="yIndenta"/>
        <w:rPr>
          <w:snapToGrid w:val="0"/>
        </w:rPr>
      </w:pPr>
      <w:r>
        <w:rPr>
          <w:snapToGrid w:val="0"/>
        </w:rPr>
        <w:tab/>
        <w:t>(a)</w:t>
      </w:r>
      <w:r>
        <w:rPr>
          <w:snapToGrid w:val="0"/>
        </w:rPr>
        <w:tab/>
        <w:t>be present during any deliberation by the Commission with respect to that matter; or</w:t>
      </w:r>
    </w:p>
    <w:p>
      <w:pPr>
        <w:pStyle w:val="yIndenta"/>
        <w:rPr>
          <w:snapToGrid w:val="0"/>
        </w:rPr>
      </w:pPr>
      <w:r>
        <w:rPr>
          <w:snapToGrid w:val="0"/>
        </w:rPr>
        <w:tab/>
        <w:t>(b)</w:t>
      </w:r>
      <w:r>
        <w:rPr>
          <w:snapToGrid w:val="0"/>
        </w:rPr>
        <w:tab/>
        <w:t>take part in any decision of the Commission with respect to that matter.</w:t>
      </w:r>
    </w:p>
    <w:p>
      <w:pPr>
        <w:pStyle w:val="ySubsection"/>
        <w:rPr>
          <w:snapToGrid w:val="0"/>
        </w:rPr>
      </w:pPr>
      <w:r>
        <w:rPr>
          <w:snapToGrid w:val="0"/>
        </w:rPr>
        <w:tab/>
        <w:t>(3)</w:t>
      </w:r>
      <w:r>
        <w:rPr>
          <w:snapToGrid w:val="0"/>
        </w:rPr>
        <w:tab/>
        <w:t>For the purpose of making a determination by the Commission under subclause (2) in relation to a member who has made a disclosure under subclause (1), a member who has a direct or indirect interest in the matter to which the disclosure relates shall not —</w:t>
      </w:r>
    </w:p>
    <w:p>
      <w:pPr>
        <w:pStyle w:val="yIndenta"/>
        <w:rPr>
          <w:snapToGrid w:val="0"/>
        </w:rPr>
      </w:pPr>
      <w:r>
        <w:rPr>
          <w:snapToGrid w:val="0"/>
        </w:rPr>
        <w:tab/>
        <w:t>(a)</w:t>
      </w:r>
      <w:r>
        <w:rPr>
          <w:snapToGrid w:val="0"/>
        </w:rPr>
        <w:tab/>
        <w:t>be present during any deliberation of the Commission for the purpose of making the determination; or</w:t>
      </w:r>
    </w:p>
    <w:p>
      <w:pPr>
        <w:pStyle w:val="yIndenta"/>
        <w:rPr>
          <w:snapToGrid w:val="0"/>
        </w:rPr>
      </w:pPr>
      <w:r>
        <w:rPr>
          <w:snapToGrid w:val="0"/>
        </w:rPr>
        <w:tab/>
        <w:t>(b)</w:t>
      </w:r>
      <w:r>
        <w:rPr>
          <w:snapToGrid w:val="0"/>
        </w:rPr>
        <w:tab/>
        <w:t>take part in the making by the Commission of the determination.</w:t>
      </w:r>
    </w:p>
    <w:p>
      <w:pPr>
        <w:pStyle w:val="yHeading5"/>
        <w:ind w:left="890" w:hanging="890"/>
        <w:outlineLvl w:val="9"/>
        <w:rPr>
          <w:snapToGrid w:val="0"/>
        </w:rPr>
      </w:pPr>
      <w:bookmarkStart w:id="106" w:name="_Toc80094930"/>
      <w:r>
        <w:rPr>
          <w:rStyle w:val="CharSClsNo"/>
        </w:rPr>
        <w:t>6</w:t>
      </w:r>
      <w:r>
        <w:rPr>
          <w:snapToGrid w:val="0"/>
        </w:rPr>
        <w:t>.</w:t>
      </w:r>
      <w:r>
        <w:rPr>
          <w:snapToGrid w:val="0"/>
        </w:rPr>
        <w:tab/>
        <w:t>Meetings</w:t>
      </w:r>
      <w:bookmarkEnd w:id="106"/>
    </w:p>
    <w:p>
      <w:pPr>
        <w:pStyle w:val="ySubsection"/>
        <w:rPr>
          <w:snapToGrid w:val="0"/>
        </w:rPr>
      </w:pPr>
      <w:r>
        <w:rPr>
          <w:snapToGrid w:val="0"/>
        </w:rPr>
        <w:tab/>
        <w:t>(1)</w:t>
      </w:r>
      <w:r>
        <w:rPr>
          <w:snapToGrid w:val="0"/>
        </w:rPr>
        <w:tab/>
        <w:t>The first meeting of the Commission shall be convened by the chairperson of the Commission and thereafter, subject to subclause (2), shall be held at such times and places as the Commission determines.</w:t>
      </w:r>
    </w:p>
    <w:p>
      <w:pPr>
        <w:pStyle w:val="ySubsection"/>
        <w:rPr>
          <w:snapToGrid w:val="0"/>
        </w:rPr>
      </w:pPr>
      <w:r>
        <w:rPr>
          <w:snapToGrid w:val="0"/>
        </w:rPr>
        <w:tab/>
        <w:t>(2)</w:t>
      </w:r>
      <w:r>
        <w:rPr>
          <w:snapToGrid w:val="0"/>
        </w:rPr>
        <w:tab/>
        <w:t>A special meeting of the Commission may at any time be convened by the chairperson of the Commission.</w:t>
      </w:r>
    </w:p>
    <w:p>
      <w:pPr>
        <w:pStyle w:val="ySubsection"/>
        <w:rPr>
          <w:snapToGrid w:val="0"/>
        </w:rPr>
      </w:pPr>
      <w:r>
        <w:rPr>
          <w:snapToGrid w:val="0"/>
        </w:rPr>
        <w:tab/>
        <w:t>(3)</w:t>
      </w:r>
      <w:r>
        <w:rPr>
          <w:snapToGrid w:val="0"/>
        </w:rPr>
        <w:tab/>
        <w:t>The chairperson of the Commission shall preside at any meeting of the Commission at which the chairperson is present and in the absence of the chairperson, the members present shall elect one of their number to preside.</w:t>
      </w:r>
    </w:p>
    <w:p>
      <w:pPr>
        <w:pStyle w:val="ySubsection"/>
        <w:rPr>
          <w:snapToGrid w:val="0"/>
        </w:rPr>
      </w:pPr>
      <w:r>
        <w:rPr>
          <w:snapToGrid w:val="0"/>
        </w:rPr>
        <w:tab/>
        <w:t>(4)</w:t>
      </w:r>
      <w:r>
        <w:rPr>
          <w:snapToGrid w:val="0"/>
        </w:rPr>
        <w:tab/>
        <w:t>At any meeting of the Commission 3 members constitute a quorum.</w:t>
      </w:r>
    </w:p>
    <w:p>
      <w:pPr>
        <w:pStyle w:val="ySubsection"/>
        <w:rPr>
          <w:snapToGrid w:val="0"/>
        </w:rPr>
      </w:pPr>
      <w:r>
        <w:rPr>
          <w:snapToGrid w:val="0"/>
        </w:rPr>
        <w:lastRenderedPageBreak/>
        <w:tab/>
        <w:t>(5)</w:t>
      </w:r>
      <w:r>
        <w:rPr>
          <w:snapToGrid w:val="0"/>
        </w:rPr>
        <w:tab/>
        <w:t>At any meeting of the Commission the member presiding at the meeting shall have a deliberative vote, and in the case of an equality of votes being cast on any question, shall have a casting vote.</w:t>
      </w:r>
    </w:p>
    <w:p>
      <w:pPr>
        <w:pStyle w:val="yFootnotesection"/>
      </w:pPr>
      <w:r>
        <w:tab/>
        <w:t>[Clause 6 amended: No. 20 of 2000 s. 26(2).]</w:t>
      </w:r>
    </w:p>
    <w:p>
      <w:pPr>
        <w:pStyle w:val="yHeading5"/>
        <w:ind w:left="890" w:hanging="890"/>
        <w:outlineLvl w:val="9"/>
        <w:rPr>
          <w:snapToGrid w:val="0"/>
        </w:rPr>
      </w:pPr>
      <w:bookmarkStart w:id="107" w:name="_Toc80094931"/>
      <w:r>
        <w:rPr>
          <w:rStyle w:val="CharSClsNo"/>
        </w:rPr>
        <w:t>7</w:t>
      </w:r>
      <w:r>
        <w:rPr>
          <w:snapToGrid w:val="0"/>
        </w:rPr>
        <w:t>.</w:t>
      </w:r>
      <w:r>
        <w:rPr>
          <w:snapToGrid w:val="0"/>
        </w:rPr>
        <w:tab/>
        <w:t>Resolution without meeting</w:t>
      </w:r>
      <w:bookmarkEnd w:id="107"/>
    </w:p>
    <w:p>
      <w:pPr>
        <w:pStyle w:val="ySubsection"/>
        <w:rPr>
          <w:snapToGrid w:val="0"/>
        </w:rPr>
      </w:pPr>
      <w:r>
        <w:rPr>
          <w:snapToGrid w:val="0"/>
        </w:rPr>
        <w:tab/>
      </w:r>
      <w:r>
        <w:rPr>
          <w:snapToGrid w:val="0"/>
        </w:rPr>
        <w:tab/>
        <w:t>A resolution in writing signed or assented to by letter, or electronic means of communication by each member of the Commission shall be as valid and effectual as if it had been passed at a meeting of the Commission.</w:t>
      </w:r>
    </w:p>
    <w:p>
      <w:pPr>
        <w:pStyle w:val="yHeading5"/>
        <w:ind w:left="890" w:hanging="890"/>
        <w:outlineLvl w:val="9"/>
        <w:rPr>
          <w:snapToGrid w:val="0"/>
        </w:rPr>
      </w:pPr>
      <w:bookmarkStart w:id="108" w:name="_Toc80094932"/>
      <w:r>
        <w:rPr>
          <w:rStyle w:val="CharSClsNo"/>
        </w:rPr>
        <w:t>8</w:t>
      </w:r>
      <w:r>
        <w:rPr>
          <w:snapToGrid w:val="0"/>
        </w:rPr>
        <w:t>.</w:t>
      </w:r>
      <w:r>
        <w:rPr>
          <w:snapToGrid w:val="0"/>
        </w:rPr>
        <w:tab/>
        <w:t>Procedures of Commission</w:t>
      </w:r>
      <w:bookmarkEnd w:id="108"/>
    </w:p>
    <w:p>
      <w:pPr>
        <w:pStyle w:val="ySubsection"/>
        <w:rPr>
          <w:snapToGrid w:val="0"/>
        </w:rPr>
      </w:pPr>
      <w:r>
        <w:rPr>
          <w:snapToGrid w:val="0"/>
        </w:rPr>
        <w:tab/>
      </w:r>
      <w:r>
        <w:rPr>
          <w:snapToGrid w:val="0"/>
        </w:rPr>
        <w:tab/>
        <w:t>Except to the extent that they are prescribed, the Commission shall determine its own procedures.</w:t>
      </w:r>
    </w:p>
    <w:p>
      <w:pPr>
        <w:pStyle w:val="yHeading5"/>
        <w:ind w:left="890" w:hanging="890"/>
        <w:outlineLvl w:val="9"/>
        <w:rPr>
          <w:snapToGrid w:val="0"/>
        </w:rPr>
      </w:pPr>
      <w:bookmarkStart w:id="109" w:name="_Toc80094933"/>
      <w:r>
        <w:rPr>
          <w:rStyle w:val="CharSClsNo"/>
        </w:rPr>
        <w:t>9</w:t>
      </w:r>
      <w:r>
        <w:rPr>
          <w:snapToGrid w:val="0"/>
        </w:rPr>
        <w:t>.</w:t>
      </w:r>
      <w:r>
        <w:rPr>
          <w:snapToGrid w:val="0"/>
        </w:rPr>
        <w:tab/>
        <w:t>Validity of acts of Commission</w:t>
      </w:r>
      <w:bookmarkEnd w:id="109"/>
    </w:p>
    <w:p>
      <w:pPr>
        <w:pStyle w:val="ySubsection"/>
        <w:rPr>
          <w:snapToGrid w:val="0"/>
        </w:rPr>
      </w:pPr>
      <w:r>
        <w:rPr>
          <w:snapToGrid w:val="0"/>
        </w:rPr>
        <w:tab/>
      </w:r>
      <w:r>
        <w:rPr>
          <w:snapToGrid w:val="0"/>
        </w:rPr>
        <w:tab/>
        <w:t>No act, proceeding or decision of the Commission shall be invalid on the ground of any vacancy in the office of any member of the Commission or of any defect in the appointment of any member of the commission.</w:t>
      </w:r>
    </w:p>
    <w:p>
      <w:pPr>
        <w:pStyle w:val="CentredBaseLine"/>
        <w:jc w:val="center"/>
      </w:pPr>
      <w:r>
        <w:rPr>
          <w:noProof/>
        </w:rPr>
        <w:drawing>
          <wp:inline distT="0" distB="0" distL="0" distR="0">
            <wp:extent cx="936625"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70815"/>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11" w:name="_Toc80024957"/>
      <w:bookmarkStart w:id="112" w:name="_Toc80084835"/>
      <w:bookmarkStart w:id="113" w:name="_Toc80094934"/>
      <w:bookmarkStart w:id="114" w:name="_Toc80017529"/>
      <w:r>
        <w:lastRenderedPageBreak/>
        <w:t>Notes</w:t>
      </w:r>
      <w:bookmarkEnd w:id="111"/>
      <w:bookmarkEnd w:id="112"/>
      <w:bookmarkEnd w:id="113"/>
    </w:p>
    <w:p>
      <w:pPr>
        <w:pStyle w:val="nStatement"/>
      </w:pPr>
      <w:r>
        <w:t xml:space="preserve">This is a compilation of the </w:t>
      </w:r>
      <w:r>
        <w:rPr>
          <w:i/>
          <w:noProof/>
        </w:rPr>
        <w:t>Agricultural Produce Commission Act 1988</w:t>
      </w:r>
      <w:r>
        <w:t xml:space="preserve"> and includes amendments made by other written laws</w:t>
      </w:r>
      <w:r>
        <w:rPr>
          <w:vertAlign w:val="superscript"/>
        </w:rPr>
        <w:t> 2</w:t>
      </w:r>
      <w:r>
        <w:t>. For provisions that have come into operation, and for information about any reprints, see the compilation table.</w:t>
      </w:r>
    </w:p>
    <w:p>
      <w:pPr>
        <w:pStyle w:val="nHeading3"/>
      </w:pPr>
      <w:bookmarkStart w:id="115" w:name="_Toc80094935"/>
      <w:r>
        <w:t>Compilation table</w:t>
      </w:r>
      <w:bookmarkEnd w:id="115"/>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1135"/>
        <w:gridCol w:w="1135"/>
        <w:gridCol w:w="2552"/>
      </w:tblGrid>
      <w:tr>
        <w:trPr>
          <w:tblHeader/>
        </w:trPr>
        <w:tc>
          <w:tcPr>
            <w:tcW w:w="2267" w:type="dxa"/>
          </w:tcPr>
          <w:p>
            <w:pPr>
              <w:pStyle w:val="nTable"/>
              <w:spacing w:after="40"/>
              <w:rPr>
                <w:b/>
              </w:rPr>
            </w:pPr>
            <w:r>
              <w:rPr>
                <w:b/>
              </w:rPr>
              <w:t>Short title</w:t>
            </w:r>
          </w:p>
        </w:tc>
        <w:tc>
          <w:tcPr>
            <w:tcW w:w="1135" w:type="dxa"/>
          </w:tcPr>
          <w:p>
            <w:pPr>
              <w:pStyle w:val="nTable"/>
              <w:spacing w:after="40"/>
              <w:rPr>
                <w:b/>
              </w:rPr>
            </w:pPr>
            <w:r>
              <w:rPr>
                <w:b/>
              </w:rPr>
              <w:t>Number and year</w:t>
            </w:r>
          </w:p>
        </w:tc>
        <w:tc>
          <w:tcPr>
            <w:tcW w:w="1135"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7" w:type="dxa"/>
            <w:tcBorders>
              <w:top w:val="single" w:sz="8" w:space="0" w:color="auto"/>
            </w:tcBorders>
          </w:tcPr>
          <w:p>
            <w:pPr>
              <w:pStyle w:val="nTable"/>
              <w:spacing w:after="40"/>
              <w:ind w:right="113"/>
              <w:rPr>
                <w:vertAlign w:val="superscript"/>
              </w:rPr>
            </w:pPr>
            <w:r>
              <w:rPr>
                <w:i/>
              </w:rPr>
              <w:t>Horticultural Produce Commission Act 1988</w:t>
            </w:r>
            <w:r>
              <w:rPr>
                <w:vertAlign w:val="superscript"/>
              </w:rPr>
              <w:t> 3</w:t>
            </w:r>
          </w:p>
        </w:tc>
        <w:tc>
          <w:tcPr>
            <w:tcW w:w="1135" w:type="dxa"/>
            <w:tcBorders>
              <w:top w:val="single" w:sz="8" w:space="0" w:color="auto"/>
            </w:tcBorders>
          </w:tcPr>
          <w:p>
            <w:pPr>
              <w:pStyle w:val="nTable"/>
              <w:spacing w:after="40"/>
            </w:pPr>
            <w:r>
              <w:t>75 of 1988</w:t>
            </w:r>
          </w:p>
        </w:tc>
        <w:tc>
          <w:tcPr>
            <w:tcW w:w="1135" w:type="dxa"/>
            <w:tcBorders>
              <w:top w:val="single" w:sz="8" w:space="0" w:color="auto"/>
            </w:tcBorders>
          </w:tcPr>
          <w:p>
            <w:pPr>
              <w:pStyle w:val="nTable"/>
              <w:spacing w:after="40"/>
            </w:pPr>
            <w:r>
              <w:t>23 Dec 1988</w:t>
            </w:r>
          </w:p>
        </w:tc>
        <w:tc>
          <w:tcPr>
            <w:tcW w:w="2552" w:type="dxa"/>
            <w:tcBorders>
              <w:top w:val="single" w:sz="8" w:space="0" w:color="auto"/>
            </w:tcBorders>
          </w:tcPr>
          <w:p>
            <w:pPr>
              <w:pStyle w:val="nTable"/>
              <w:spacing w:after="40"/>
            </w:pPr>
            <w:r>
              <w:t>s. 1 and 2: 23 Dec 1988;</w:t>
            </w:r>
            <w:r>
              <w:br/>
              <w:t xml:space="preserve">Act other than s. 1 and 2: 1 Sep 1989 (see s. 2 and </w:t>
            </w:r>
            <w:r>
              <w:rPr>
                <w:i/>
              </w:rPr>
              <w:t>Gazette</w:t>
            </w:r>
            <w:r>
              <w:t xml:space="preserve"> 1 Sep 1989 p. 3017)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pPr>
            <w:r>
              <w:rPr>
                <w:i/>
              </w:rPr>
              <w:t>Horticultural Produce Commission Amendment Act 1993</w:t>
            </w:r>
          </w:p>
        </w:tc>
        <w:tc>
          <w:tcPr>
            <w:tcW w:w="1135" w:type="dxa"/>
          </w:tcPr>
          <w:p>
            <w:pPr>
              <w:pStyle w:val="nTable"/>
              <w:spacing w:after="40"/>
            </w:pPr>
            <w:r>
              <w:t>29 of 1993</w:t>
            </w:r>
          </w:p>
        </w:tc>
        <w:tc>
          <w:tcPr>
            <w:tcW w:w="1135" w:type="dxa"/>
          </w:tcPr>
          <w:p>
            <w:pPr>
              <w:pStyle w:val="nTable"/>
              <w:spacing w:after="40"/>
            </w:pPr>
            <w:r>
              <w:t>15 Dec 1993</w:t>
            </w:r>
          </w:p>
        </w:tc>
        <w:tc>
          <w:tcPr>
            <w:tcW w:w="2552" w:type="dxa"/>
          </w:tcPr>
          <w:p>
            <w:pPr>
              <w:pStyle w:val="nTable"/>
              <w:spacing w:after="40"/>
            </w:pPr>
            <w:r>
              <w:t>15 Dec 1993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pPr>
            <w:r>
              <w:rPr>
                <w:i/>
              </w:rPr>
              <w:t>Statutes (Repeals and Minor Amendments) Act 1994</w:t>
            </w:r>
            <w:r>
              <w:t xml:space="preserve"> s. 4</w:t>
            </w:r>
          </w:p>
        </w:tc>
        <w:tc>
          <w:tcPr>
            <w:tcW w:w="1135" w:type="dxa"/>
          </w:tcPr>
          <w:p>
            <w:pPr>
              <w:pStyle w:val="nTable"/>
              <w:spacing w:after="40"/>
            </w:pPr>
            <w:r>
              <w:t>73 of 1994</w:t>
            </w:r>
          </w:p>
        </w:tc>
        <w:tc>
          <w:tcPr>
            <w:tcW w:w="1135"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pPr>
            <w:r>
              <w:rPr>
                <w:i/>
              </w:rPr>
              <w:t>Financial Legislation Amendment Act 1996</w:t>
            </w:r>
            <w:r>
              <w:t xml:space="preserve"> s. 64</w:t>
            </w:r>
          </w:p>
        </w:tc>
        <w:tc>
          <w:tcPr>
            <w:tcW w:w="1135" w:type="dxa"/>
          </w:tcPr>
          <w:p>
            <w:pPr>
              <w:pStyle w:val="nTable"/>
              <w:spacing w:after="40"/>
            </w:pPr>
            <w:r>
              <w:t>49 of 1996</w:t>
            </w:r>
          </w:p>
        </w:tc>
        <w:tc>
          <w:tcPr>
            <w:tcW w:w="1135"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pPr>
            <w:r>
              <w:rPr>
                <w:i/>
              </w:rPr>
              <w:t>Agricultural Legislation Amendment and Repeal Act 1998</w:t>
            </w:r>
            <w:r>
              <w:t xml:space="preserve"> Pt. 6</w:t>
            </w:r>
          </w:p>
        </w:tc>
        <w:tc>
          <w:tcPr>
            <w:tcW w:w="1135" w:type="dxa"/>
          </w:tcPr>
          <w:p>
            <w:pPr>
              <w:pStyle w:val="nTable"/>
              <w:spacing w:after="40"/>
            </w:pPr>
            <w:r>
              <w:t>9 of 1998</w:t>
            </w:r>
          </w:p>
        </w:tc>
        <w:tc>
          <w:tcPr>
            <w:tcW w:w="1135" w:type="dxa"/>
          </w:tcPr>
          <w:p>
            <w:pPr>
              <w:pStyle w:val="nTable"/>
              <w:spacing w:after="40"/>
            </w:pPr>
            <w:r>
              <w:t>30 Apr 1998</w:t>
            </w:r>
          </w:p>
        </w:tc>
        <w:tc>
          <w:tcPr>
            <w:tcW w:w="2552" w:type="dxa"/>
          </w:tcPr>
          <w:p>
            <w:pPr>
              <w:pStyle w:val="nTable"/>
              <w:spacing w:after="40"/>
            </w:pPr>
            <w:r>
              <w:t xml:space="preserve">4 Jul 1998 (see s. 2 and </w:t>
            </w:r>
            <w:r>
              <w:rPr>
                <w:i/>
              </w:rPr>
              <w:t>Gazette</w:t>
            </w:r>
            <w:r>
              <w:t xml:space="preserve"> 3 Jul 1998 p. 3581)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pPr>
            <w:r>
              <w:rPr>
                <w:i/>
              </w:rPr>
              <w:t>Horticultural Produce Commission Amendment Act 2000</w:t>
            </w:r>
            <w:r>
              <w:rPr>
                <w:vertAlign w:val="superscript"/>
              </w:rPr>
              <w:t> </w:t>
            </w:r>
            <w:r>
              <w:rPr>
                <w:snapToGrid w:val="0"/>
                <w:vertAlign w:val="superscript"/>
              </w:rPr>
              <w:t>4</w:t>
            </w:r>
          </w:p>
        </w:tc>
        <w:tc>
          <w:tcPr>
            <w:tcW w:w="1135" w:type="dxa"/>
          </w:tcPr>
          <w:p>
            <w:pPr>
              <w:pStyle w:val="nTable"/>
              <w:spacing w:after="40"/>
            </w:pPr>
            <w:r>
              <w:t>20 of 2000</w:t>
            </w:r>
          </w:p>
        </w:tc>
        <w:tc>
          <w:tcPr>
            <w:tcW w:w="1135" w:type="dxa"/>
          </w:tcPr>
          <w:p>
            <w:pPr>
              <w:pStyle w:val="nTable"/>
              <w:spacing w:after="40"/>
            </w:pPr>
            <w:r>
              <w:t>30 Jun 2000</w:t>
            </w:r>
          </w:p>
        </w:tc>
        <w:tc>
          <w:tcPr>
            <w:tcW w:w="2552" w:type="dxa"/>
          </w:tcPr>
          <w:p>
            <w:pPr>
              <w:pStyle w:val="nTable"/>
              <w:spacing w:after="40"/>
            </w:pPr>
            <w:r>
              <w:t>s. 1 and 2: 30 Jun 2000;</w:t>
            </w:r>
            <w:r>
              <w:br/>
              <w:t xml:space="preserve">Act other than s. 1 and 2: 11 Aug 2000 (see s. 2 and </w:t>
            </w:r>
            <w:r>
              <w:rPr>
                <w:i/>
              </w:rPr>
              <w:t>Gazette</w:t>
            </w:r>
            <w:r>
              <w:t xml:space="preserve"> 11 Aug 2000 p. 4691)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Agricultural Produce Commission Act 1988</w:t>
            </w:r>
            <w:r>
              <w:rPr>
                <w:b/>
              </w:rPr>
              <w:t xml:space="preserve"> as at 5 Apr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pPr>
            <w:r>
              <w:rPr>
                <w:i/>
              </w:rPr>
              <w:t>State Administrative Tribunal (Conferral of Jurisdiction) Amendment and Repeal Act 2004</w:t>
            </w:r>
            <w:r>
              <w:rPr>
                <w:iCs/>
              </w:rPr>
              <w:t xml:space="preserve"> Pt. 2 Div. 5</w:t>
            </w:r>
            <w:r>
              <w:rPr>
                <w:iCs/>
                <w:vertAlign w:val="superscript"/>
              </w:rPr>
              <w:t> 5</w:t>
            </w:r>
          </w:p>
        </w:tc>
        <w:tc>
          <w:tcPr>
            <w:tcW w:w="1135" w:type="dxa"/>
          </w:tcPr>
          <w:p>
            <w:pPr>
              <w:pStyle w:val="nTable"/>
              <w:spacing w:after="40"/>
            </w:pPr>
            <w:r>
              <w:t>55 of 2004</w:t>
            </w:r>
          </w:p>
        </w:tc>
        <w:tc>
          <w:tcPr>
            <w:tcW w:w="1135"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Cs/>
              </w:rPr>
            </w:pPr>
            <w:r>
              <w:rPr>
                <w:i/>
              </w:rPr>
              <w:t>Machinery of Government (Miscellaneous Amendments) Act 2006</w:t>
            </w:r>
            <w:r>
              <w:rPr>
                <w:iCs/>
              </w:rPr>
              <w:t xml:space="preserve"> Pt. 2 Div. 1</w:t>
            </w:r>
          </w:p>
        </w:tc>
        <w:tc>
          <w:tcPr>
            <w:tcW w:w="1135" w:type="dxa"/>
          </w:tcPr>
          <w:p>
            <w:pPr>
              <w:pStyle w:val="nTable"/>
              <w:spacing w:after="40"/>
            </w:pPr>
            <w:r>
              <w:t>28 of 2006</w:t>
            </w:r>
          </w:p>
        </w:tc>
        <w:tc>
          <w:tcPr>
            <w:tcW w:w="1135" w:type="dxa"/>
          </w:tcPr>
          <w:p>
            <w:pPr>
              <w:pStyle w:val="nTable"/>
              <w:spacing w:after="40"/>
            </w:pPr>
            <w:r>
              <w:t>26 Jun 2006</w:t>
            </w:r>
          </w:p>
        </w:tc>
        <w:tc>
          <w:tcPr>
            <w:tcW w:w="2552"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
              </w:rPr>
            </w:pPr>
            <w:r>
              <w:rPr>
                <w:i/>
                <w:snapToGrid w:val="0"/>
              </w:rPr>
              <w:t xml:space="preserve">Financial Legislation Amendment and Repeal Act 2006 </w:t>
            </w:r>
            <w:r>
              <w:rPr>
                <w:iCs/>
                <w:snapToGrid w:val="0"/>
              </w:rPr>
              <w:t>Sch. 1 cl. 3</w:t>
            </w:r>
          </w:p>
        </w:tc>
        <w:tc>
          <w:tcPr>
            <w:tcW w:w="1135" w:type="dxa"/>
          </w:tcPr>
          <w:p>
            <w:pPr>
              <w:pStyle w:val="nTable"/>
              <w:spacing w:after="40"/>
            </w:pPr>
            <w:r>
              <w:rPr>
                <w:snapToGrid w:val="0"/>
              </w:rPr>
              <w:t xml:space="preserve">77 of 2006 </w:t>
            </w:r>
          </w:p>
        </w:tc>
        <w:tc>
          <w:tcPr>
            <w:tcW w:w="1135"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rPr>
                <w:i/>
                <w:iCs/>
                <w:snapToGrid w:val="0"/>
              </w:rPr>
            </w:pPr>
            <w:r>
              <w:rPr>
                <w:i/>
                <w:snapToGrid w:val="0"/>
              </w:rPr>
              <w:lastRenderedPageBreak/>
              <w:t>Biosecurity and Agriculture Management (Repeal and Consequential Provisions) Act 2007</w:t>
            </w:r>
            <w:r>
              <w:rPr>
                <w:iCs/>
                <w:snapToGrid w:val="0"/>
              </w:rPr>
              <w:t xml:space="preserve"> s. 63</w:t>
            </w:r>
          </w:p>
        </w:tc>
        <w:tc>
          <w:tcPr>
            <w:tcW w:w="1135" w:type="dxa"/>
            <w:tcBorders>
              <w:top w:val="nil"/>
              <w:bottom w:val="nil"/>
            </w:tcBorders>
          </w:tcPr>
          <w:p>
            <w:pPr>
              <w:pStyle w:val="nTable"/>
              <w:spacing w:after="40"/>
              <w:rPr>
                <w:snapToGrid w:val="0"/>
              </w:rPr>
            </w:pPr>
            <w:r>
              <w:rPr>
                <w:snapToGrid w:val="0"/>
              </w:rPr>
              <w:t>24 of 2007</w:t>
            </w:r>
          </w:p>
        </w:tc>
        <w:tc>
          <w:tcPr>
            <w:tcW w:w="1135" w:type="dxa"/>
            <w:tcBorders>
              <w:top w:val="nil"/>
              <w:bottom w:val="nil"/>
            </w:tcBorders>
          </w:tcPr>
          <w:p>
            <w:pPr>
              <w:pStyle w:val="nTable"/>
              <w:spacing w:after="40"/>
            </w:pPr>
            <w:r>
              <w:rPr>
                <w:snapToGrid w:val="0"/>
              </w:rPr>
              <w:t>12 Oct 2007</w:t>
            </w:r>
          </w:p>
        </w:tc>
        <w:tc>
          <w:tcPr>
            <w:tcW w:w="2552" w:type="dxa"/>
            <w:tcBorders>
              <w:top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823-4)</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2: The </w:t>
            </w:r>
            <w:r>
              <w:rPr>
                <w:b/>
                <w:i/>
              </w:rPr>
              <w:t>Agricultural Produce Commission Act 1988</w:t>
            </w:r>
            <w:r>
              <w:rPr>
                <w:b/>
              </w:rPr>
              <w:t xml:space="preserve"> as at 1 May 2009</w:t>
            </w:r>
            <w:r>
              <w:rPr>
                <w:b/>
              </w:rPr>
              <w:br/>
            </w:r>
            <w:r>
              <w:t xml:space="preserve">(includes amendments listed above except those in the </w:t>
            </w:r>
            <w:r>
              <w:rPr>
                <w:i/>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Cs/>
                <w:snapToGrid w:val="0"/>
              </w:rPr>
            </w:pPr>
            <w:r>
              <w:rPr>
                <w:i/>
                <w:snapToGrid w:val="0"/>
              </w:rPr>
              <w:t>Acts Amendment (Bankruptcy) Act 2009</w:t>
            </w:r>
            <w:r>
              <w:rPr>
                <w:iCs/>
                <w:snapToGrid w:val="0"/>
              </w:rPr>
              <w:t xml:space="preserve"> s. 7</w:t>
            </w:r>
          </w:p>
        </w:tc>
        <w:tc>
          <w:tcPr>
            <w:tcW w:w="1135" w:type="dxa"/>
          </w:tcPr>
          <w:p>
            <w:pPr>
              <w:pStyle w:val="nTable"/>
              <w:spacing w:after="40"/>
            </w:pPr>
            <w:r>
              <w:t>18 of 2009</w:t>
            </w:r>
          </w:p>
        </w:tc>
        <w:tc>
          <w:tcPr>
            <w:tcW w:w="1135"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7</w:t>
            </w:r>
          </w:p>
        </w:tc>
        <w:tc>
          <w:tcPr>
            <w:tcW w:w="1135"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7" w:type="dxa"/>
            <w:shd w:val="clear" w:color="auto" w:fill="auto"/>
          </w:tcPr>
          <w:p>
            <w:pPr>
              <w:pStyle w:val="nTable"/>
              <w:spacing w:after="40"/>
              <w:ind w:right="113"/>
              <w:rPr>
                <w:i/>
                <w:snapToGrid w:val="0"/>
              </w:rPr>
            </w:pPr>
            <w:r>
              <w:rPr>
                <w:i/>
                <w:snapToGrid w:val="0"/>
              </w:rPr>
              <w:t>Public Sector Reform Act 2010</w:t>
            </w:r>
            <w:r>
              <w:rPr>
                <w:iCs/>
                <w:snapToGrid w:val="0"/>
              </w:rPr>
              <w:t xml:space="preserve"> s. 89</w:t>
            </w:r>
          </w:p>
        </w:tc>
        <w:tc>
          <w:tcPr>
            <w:tcW w:w="1135" w:type="dxa"/>
            <w:shd w:val="clear" w:color="auto" w:fill="auto"/>
          </w:tcPr>
          <w:p>
            <w:pPr>
              <w:pStyle w:val="nTable"/>
              <w:spacing w:after="40"/>
              <w:rPr>
                <w:snapToGrid w:val="0"/>
              </w:rPr>
            </w:pPr>
            <w:r>
              <w:rPr>
                <w:snapToGrid w:val="0"/>
              </w:rPr>
              <w:t>39 of 2010</w:t>
            </w:r>
          </w:p>
        </w:tc>
        <w:tc>
          <w:tcPr>
            <w:tcW w:w="1135" w:type="dxa"/>
            <w:shd w:val="clear" w:color="auto" w:fill="auto"/>
          </w:tcPr>
          <w:p>
            <w:pPr>
              <w:pStyle w:val="nTable"/>
              <w:spacing w:after="40"/>
              <w:rPr>
                <w:snapToGrid w:val="0"/>
              </w:rPr>
            </w:pPr>
            <w:r>
              <w:t>1 Oct 2010</w:t>
            </w:r>
          </w:p>
        </w:tc>
        <w:tc>
          <w:tcPr>
            <w:tcW w:w="2552"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rPr>
              <w:t xml:space="preserve">Reprint 3: The </w:t>
            </w:r>
            <w:r>
              <w:rPr>
                <w:b/>
                <w:i/>
              </w:rPr>
              <w:t>Agricultural Produce Commission Act 1988</w:t>
            </w:r>
            <w:r>
              <w:rPr>
                <w:b/>
              </w:rPr>
              <w:t xml:space="preserve"> as at 14 Jun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Borders>
              <w:bottom w:val="single" w:sz="4" w:space="0" w:color="auto"/>
            </w:tcBorders>
            <w:shd w:val="clear" w:color="auto" w:fill="auto"/>
          </w:tcPr>
          <w:p>
            <w:pPr>
              <w:pStyle w:val="nTable"/>
              <w:spacing w:after="40"/>
              <w:ind w:right="113"/>
              <w:rPr>
                <w:i/>
                <w:snapToGrid w:val="0"/>
              </w:rPr>
            </w:pPr>
            <w:r>
              <w:rPr>
                <w:i/>
                <w:snapToGrid w:val="0"/>
              </w:rPr>
              <w:t>Agricultural Produce Commission Amendment Act 2021</w:t>
            </w:r>
          </w:p>
        </w:tc>
        <w:tc>
          <w:tcPr>
            <w:tcW w:w="1135" w:type="dxa"/>
            <w:tcBorders>
              <w:bottom w:val="single" w:sz="4" w:space="0" w:color="auto"/>
            </w:tcBorders>
            <w:shd w:val="clear" w:color="auto" w:fill="auto"/>
          </w:tcPr>
          <w:p>
            <w:pPr>
              <w:pStyle w:val="nTable"/>
              <w:spacing w:after="40"/>
              <w:rPr>
                <w:snapToGrid w:val="0"/>
              </w:rPr>
            </w:pPr>
            <w:r>
              <w:rPr>
                <w:snapToGrid w:val="0"/>
              </w:rPr>
              <w:t>11 of 2021</w:t>
            </w:r>
          </w:p>
        </w:tc>
        <w:tc>
          <w:tcPr>
            <w:tcW w:w="1135" w:type="dxa"/>
            <w:tcBorders>
              <w:bottom w:val="single" w:sz="4" w:space="0" w:color="auto"/>
            </w:tcBorders>
            <w:shd w:val="clear" w:color="auto" w:fill="auto"/>
          </w:tcPr>
          <w:p>
            <w:pPr>
              <w:pStyle w:val="nTable"/>
              <w:spacing w:after="40"/>
            </w:pPr>
            <w:r>
              <w:t>17 Aug 2021</w:t>
            </w:r>
          </w:p>
        </w:tc>
        <w:tc>
          <w:tcPr>
            <w:tcW w:w="2552" w:type="dxa"/>
            <w:tcBorders>
              <w:bottom w:val="single" w:sz="4" w:space="0" w:color="auto"/>
            </w:tcBorders>
            <w:shd w:val="clear" w:color="auto" w:fill="auto"/>
          </w:tcPr>
          <w:p>
            <w:pPr>
              <w:pStyle w:val="nTable"/>
              <w:keepNext/>
            </w:pPr>
            <w:r>
              <w:t>s. 1 and 2: 17 Aug 2021 (see s. 2(a));</w:t>
            </w:r>
            <w:r>
              <w:br/>
              <w:t>Act other than s. 1 and 2: 18 Aug 2021 (see s. 2(b))</w:t>
            </w:r>
          </w:p>
        </w:tc>
      </w:tr>
    </w:tbl>
    <w:p>
      <w:pPr>
        <w:pStyle w:val="nHeading3"/>
      </w:pPr>
      <w:bookmarkStart w:id="116" w:name="_Toc80094936"/>
      <w:r>
        <w:t>Other notes</w:t>
      </w:r>
      <w:bookmarkEnd w:id="116"/>
    </w:p>
    <w:p>
      <w:pPr>
        <w:pStyle w:val="nNote"/>
        <w:spacing w:before="100"/>
        <w:rPr>
          <w:snapToGrid w:val="0"/>
        </w:rPr>
      </w:pPr>
      <w:r>
        <w:rPr>
          <w:snapToGrid w:val="0"/>
          <w:vertAlign w:val="superscript"/>
        </w:rPr>
        <w:t>1</w:t>
      </w:r>
      <w:r>
        <w:rPr>
          <w:snapToGrid w:val="0"/>
        </w:rPr>
        <w:tab/>
        <w:t xml:space="preserve">The provision in this Act amending these Acts was deleted by the </w:t>
      </w:r>
      <w:r>
        <w:rPr>
          <w:i/>
          <w:snapToGrid w:val="0"/>
        </w:rPr>
        <w:t xml:space="preserve">Agricultural Produce Commission Amendment Act 2021 </w:t>
      </w:r>
      <w:r>
        <w:rPr>
          <w:snapToGrid w:val="0"/>
        </w:rPr>
        <w:t>s. 31.</w:t>
      </w:r>
    </w:p>
    <w:p>
      <w:pPr>
        <w:pStyle w:val="nNote"/>
        <w:spacing w:before="100"/>
        <w:rPr>
          <w:snapToGrid w:val="0"/>
        </w:rPr>
      </w:pPr>
      <w:r>
        <w:rPr>
          <w:vertAlign w:val="superscript"/>
        </w:rPr>
        <w:t>2</w:t>
      </w:r>
      <w:r>
        <w:tab/>
      </w:r>
      <w:r>
        <w:rPr>
          <w:snapToGrid w:val="0"/>
        </w:rPr>
        <w:t xml:space="preserve">The amendments in the </w:t>
      </w:r>
      <w:r>
        <w:rPr>
          <w:i/>
          <w:iCs/>
          <w:snapToGrid w:val="0"/>
        </w:rPr>
        <w:t>Courts Legislation Amendment and Repeal Act 2004</w:t>
      </w:r>
      <w:r>
        <w:rPr>
          <w:snapToGrid w:val="0"/>
        </w:rPr>
        <w:t xml:space="preserve"> Sch. 2 cl. 3 are not included in this compilation as that provision was repealed before it came into operation by the </w:t>
      </w:r>
      <w:r>
        <w:rPr>
          <w:i/>
          <w:iCs/>
          <w:snapToGrid w:val="0"/>
        </w:rPr>
        <w:t>Criminal Law and Evidence Amendment Act 2008</w:t>
      </w:r>
      <w:r>
        <w:rPr>
          <w:snapToGrid w:val="0"/>
        </w:rPr>
        <w:t xml:space="preserve"> s. 77(13).</w:t>
      </w:r>
    </w:p>
    <w:p>
      <w:pPr>
        <w:pStyle w:val="nNote"/>
        <w:spacing w:before="100"/>
      </w:pPr>
      <w:r>
        <w:rPr>
          <w:vertAlign w:val="superscript"/>
        </w:rPr>
        <w:t>3</w:t>
      </w:r>
      <w:r>
        <w:tab/>
        <w:t xml:space="preserve">Now known as the </w:t>
      </w:r>
      <w:r>
        <w:rPr>
          <w:i/>
        </w:rPr>
        <w:t>Agricultural Produce Commission Act 1988</w:t>
      </w:r>
      <w:r>
        <w:t>; short title changed (see note under s. 1).</w:t>
      </w:r>
    </w:p>
    <w:p>
      <w:pPr>
        <w:pStyle w:val="nNote"/>
        <w:spacing w:before="100"/>
      </w:pPr>
      <w:r>
        <w:rPr>
          <w:vertAlign w:val="superscript"/>
        </w:rPr>
        <w:t>4</w:t>
      </w:r>
      <w:r>
        <w:tab/>
        <w:t xml:space="preserve">The </w:t>
      </w:r>
      <w:r>
        <w:rPr>
          <w:i/>
        </w:rPr>
        <w:t>Horticultural Produce Commission Amendment Act 2000</w:t>
      </w:r>
      <w:r>
        <w:t xml:space="preserve"> s. 32 and 34 read as follows:</w:t>
      </w:r>
    </w:p>
    <w:p>
      <w:pPr>
        <w:pStyle w:val="BlankOpen"/>
      </w:pPr>
    </w:p>
    <w:p>
      <w:pPr>
        <w:pStyle w:val="nzHeading5"/>
      </w:pPr>
      <w:r>
        <w:t>32.</w:t>
      </w:r>
      <w:r>
        <w:tab/>
        <w:t>Validation</w:t>
      </w:r>
    </w:p>
    <w:p>
      <w:pPr>
        <w:pStyle w:val="nzSubsection"/>
      </w:pPr>
      <w:r>
        <w:tab/>
        <w:t>(1)</w:t>
      </w:r>
      <w:r>
        <w:tab/>
        <w:t xml:space="preserve">Any appointment made after the commencement of the </w:t>
      </w:r>
      <w:r>
        <w:rPr>
          <w:i/>
        </w:rPr>
        <w:t>Plant Diseases</w:t>
      </w:r>
      <w:r>
        <w:rPr>
          <w:i/>
          <w:iCs/>
        </w:rPr>
        <w:t xml:space="preserve"> </w:t>
      </w:r>
      <w:r>
        <w:rPr>
          <w:i/>
        </w:rPr>
        <w:t>Amendment Act 1993</w:t>
      </w:r>
      <w:r>
        <w:t xml:space="preserve"> and before the commencement of this Act to a growers’ committee by the Commission purporting to act under section 11 of the </w:t>
      </w:r>
      <w:r>
        <w:rPr>
          <w:i/>
        </w:rPr>
        <w:t xml:space="preserve">Horticultural Produce Commission </w:t>
      </w:r>
      <w:r>
        <w:rPr>
          <w:i/>
        </w:rPr>
        <w:lastRenderedPageBreak/>
        <w:t>Act 1988</w:t>
      </w:r>
      <w:r>
        <w:t xml:space="preserve"> is hereby validated and declared to have been lawfully made.</w:t>
      </w:r>
    </w:p>
    <w:p>
      <w:pPr>
        <w:pStyle w:val="nzSubsection"/>
      </w:pPr>
      <w:r>
        <w:tab/>
        <w:t>(2)</w:t>
      </w:r>
      <w:r>
        <w:tab/>
        <w:t xml:space="preserve">Any act or thing done after the commencement of the </w:t>
      </w:r>
      <w:r>
        <w:rPr>
          <w:i/>
        </w:rPr>
        <w:t>Plant Diseases Amendment Act 1993</w:t>
      </w:r>
      <w:r>
        <w:t xml:space="preserve"> and before the commencement of this Act by a growers’ committee purporting to act under the </w:t>
      </w:r>
      <w:r>
        <w:rPr>
          <w:i/>
        </w:rPr>
        <w:t>Horticultural Produce Commission Act 1988</w:t>
      </w:r>
      <w:r>
        <w:t xml:space="preserve"> that would have been lawful if this Act had been in force at the time when it was done is hereby validated and declared to have been lawfully done.</w:t>
      </w:r>
    </w:p>
    <w:p>
      <w:pPr>
        <w:pStyle w:val="nzHeading5"/>
      </w:pPr>
      <w:r>
        <w:t>34.</w:t>
      </w:r>
      <w:r>
        <w:tab/>
        <w:t>Transitional</w:t>
      </w:r>
    </w:p>
    <w:p>
      <w:pPr>
        <w:pStyle w:val="nzSubsection"/>
      </w:pPr>
      <w:r>
        <w:tab/>
        <w:t>(1)</w:t>
      </w:r>
      <w:r>
        <w:tab/>
        <w:t xml:space="preserve">On the commencement of this Act the account known as the Horticultural Produce Commission Account established under section 7 of the </w:t>
      </w:r>
      <w:r>
        <w:rPr>
          <w:i/>
        </w:rPr>
        <w:t>Horticultural Produce Commission Act 1988</w:t>
      </w:r>
      <w:r>
        <w:t xml:space="preserve"> is continued in existence under the name the Agricultural Produce Commission Account.</w:t>
      </w:r>
    </w:p>
    <w:p>
      <w:pPr>
        <w:pStyle w:val="nzSubsection"/>
        <w:rPr>
          <w:spacing w:val="-4"/>
        </w:rPr>
      </w:pPr>
      <w:r>
        <w:rPr>
          <w:spacing w:val="-4"/>
        </w:rPr>
        <w:tab/>
        <w:t>(2)</w:t>
      </w:r>
      <w:r>
        <w:rPr>
          <w:spacing w:val="-4"/>
        </w:rPr>
        <w:tab/>
        <w:t xml:space="preserve">If immediately before the commencement of this Act a committee established under section 11 of the </w:t>
      </w:r>
      <w:r>
        <w:rPr>
          <w:i/>
          <w:spacing w:val="-4"/>
        </w:rPr>
        <w:t>Horticultural Produce Commission Act 1988</w:t>
      </w:r>
      <w:r>
        <w:rPr>
          <w:spacing w:val="-4"/>
        </w:rPr>
        <w:t xml:space="preserve"> is in existence then on commencement —</w:t>
      </w:r>
    </w:p>
    <w:p>
      <w:pPr>
        <w:pStyle w:val="nzIndenta"/>
      </w:pPr>
      <w:r>
        <w:tab/>
        <w:t>(a)</w:t>
      </w:r>
      <w:r>
        <w:tab/>
        <w:t>the committee continues in existence; and</w:t>
      </w:r>
    </w:p>
    <w:p>
      <w:pPr>
        <w:pStyle w:val="nzIndenta"/>
      </w:pPr>
      <w:r>
        <w:tab/>
        <w:t>(b)</w:t>
      </w:r>
      <w:r>
        <w:tab/>
        <w:t>the name of the committee is deemed to have “Producers</w:t>
      </w:r>
      <w:r>
        <w:rPr>
          <w:spacing w:val="20"/>
        </w:rPr>
        <w:t>’</w:t>
      </w:r>
      <w:r>
        <w:t>” substituted for “Growers</w:t>
      </w:r>
      <w:r>
        <w:rPr>
          <w:spacing w:val="20"/>
        </w:rPr>
        <w:t>’</w:t>
      </w:r>
      <w:r>
        <w:t>”.</w:t>
      </w:r>
    </w:p>
    <w:p>
      <w:pPr>
        <w:pStyle w:val="nzSubsection"/>
      </w:pPr>
      <w:r>
        <w:tab/>
        <w:t>(3)</w:t>
      </w:r>
      <w:r>
        <w:tab/>
        <w:t xml:space="preserve">If the procedure for establishing a growers’ committee under the </w:t>
      </w:r>
      <w:r>
        <w:rPr>
          <w:i/>
        </w:rPr>
        <w:t>Horticultural Produce Commission Act 1988</w:t>
      </w:r>
      <w:r>
        <w:t xml:space="preserve"> has been initiated but has not been completed before the commencement of this Act, that procedure may continue to be followed and be completed after the commencement of this Act as if this Act had not come into operation but if a committee is established under that procedure it is established as a producers’ committee with a name containing “Producers</w:t>
      </w:r>
      <w:r>
        <w:rPr>
          <w:spacing w:val="20"/>
        </w:rPr>
        <w:t>’</w:t>
      </w:r>
      <w:r>
        <w:t>” instead of “Growers</w:t>
      </w:r>
      <w:r>
        <w:rPr>
          <w:spacing w:val="20"/>
        </w:rPr>
        <w:t>’</w:t>
      </w:r>
      <w:r>
        <w:t>”.</w:t>
      </w:r>
    </w:p>
    <w:p>
      <w:pPr>
        <w:pStyle w:val="BlankClose"/>
      </w:pPr>
    </w:p>
    <w:p>
      <w:pPr>
        <w:pStyle w:val="nNote"/>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18" w:name="_Toc80094937"/>
      <w:bookmarkEnd w:id="114"/>
      <w:r>
        <w:rPr>
          <w:sz w:val="28"/>
        </w:rPr>
        <w:lastRenderedPageBreak/>
        <w:t>Defined terms</w:t>
      </w:r>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agricultural industry</w:t>
      </w:r>
      <w:r>
        <w:tab/>
        <w:t>3(1)</w:t>
      </w:r>
    </w:p>
    <w:p>
      <w:pPr>
        <w:pStyle w:val="DefinedTerms"/>
      </w:pPr>
      <w:r>
        <w:t>agricultural produce</w:t>
      </w:r>
      <w:r>
        <w:tab/>
        <w:t>3(1)</w:t>
      </w:r>
    </w:p>
    <w:p>
      <w:pPr>
        <w:pStyle w:val="DefinedTerms"/>
      </w:pPr>
      <w:r>
        <w:t>authorised officer</w:t>
      </w:r>
      <w:r>
        <w:tab/>
        <w:t>3(1)</w:t>
      </w:r>
    </w:p>
    <w:p>
      <w:pPr>
        <w:pStyle w:val="DefinedTerms"/>
      </w:pPr>
      <w:r>
        <w:t xml:space="preserve">charge </w:t>
      </w:r>
      <w:r>
        <w:tab/>
        <w:t>19C</w:t>
      </w:r>
    </w:p>
    <w:p>
      <w:pPr>
        <w:pStyle w:val="DefinedTerms"/>
      </w:pPr>
      <w:r>
        <w:t>Commission</w:t>
      </w:r>
      <w:r>
        <w:tab/>
        <w:t>3(1)</w:t>
      </w:r>
    </w:p>
    <w:p>
      <w:pPr>
        <w:pStyle w:val="DefinedTerms"/>
      </w:pPr>
      <w:r>
        <w:t>compliance purposes</w:t>
      </w:r>
      <w:r>
        <w:tab/>
        <w:t>19C</w:t>
      </w:r>
    </w:p>
    <w:p>
      <w:pPr>
        <w:pStyle w:val="DefinedTerms"/>
      </w:pPr>
      <w:r>
        <w:t>document</w:t>
      </w:r>
      <w:r>
        <w:tab/>
        <w:t>6B(4)</w:t>
      </w:r>
    </w:p>
    <w:p>
      <w:pPr>
        <w:pStyle w:val="DefinedTerms"/>
      </w:pPr>
      <w:r>
        <w:t>information</w:t>
      </w:r>
      <w:r>
        <w:tab/>
        <w:t>6B(4)</w:t>
      </w:r>
    </w:p>
    <w:p>
      <w:pPr>
        <w:pStyle w:val="DefinedTerms"/>
      </w:pPr>
      <w:r>
        <w:t>member</w:t>
      </w:r>
      <w:r>
        <w:tab/>
        <w:t>3(1)</w:t>
      </w:r>
    </w:p>
    <w:p>
      <w:pPr>
        <w:pStyle w:val="DefinedTerms"/>
      </w:pPr>
      <w:r>
        <w:t>officer or employee</w:t>
      </w:r>
      <w:r>
        <w:tab/>
        <w:t>24(1)</w:t>
      </w:r>
    </w:p>
    <w:p>
      <w:pPr>
        <w:pStyle w:val="DefinedTerms"/>
      </w:pPr>
      <w:r>
        <w:t>orchard</w:t>
      </w:r>
      <w:r>
        <w:tab/>
        <w:t>12A(5)</w:t>
      </w:r>
    </w:p>
    <w:p>
      <w:pPr>
        <w:pStyle w:val="DefinedTerms"/>
      </w:pPr>
      <w:r>
        <w:t>parliamentary purposes</w:t>
      </w:r>
      <w:r>
        <w:tab/>
        <w:t>6B(4)</w:t>
      </w:r>
    </w:p>
    <w:p>
      <w:pPr>
        <w:pStyle w:val="DefinedTerms"/>
      </w:pPr>
      <w:r>
        <w:t>pastoral lease</w:t>
      </w:r>
      <w:r>
        <w:tab/>
        <w:t>3(1)</w:t>
      </w:r>
    </w:p>
    <w:p>
      <w:pPr>
        <w:pStyle w:val="DefinedTerms"/>
      </w:pPr>
      <w:r>
        <w:t>prescribed person</w:t>
      </w:r>
      <w:r>
        <w:tab/>
        <w:t>13(1A)</w:t>
      </w:r>
    </w:p>
    <w:p>
      <w:pPr>
        <w:pStyle w:val="DefinedTerms"/>
      </w:pPr>
      <w:r>
        <w:t>producer</w:t>
      </w:r>
      <w:r>
        <w:tab/>
        <w:t>19A(1)</w:t>
      </w:r>
    </w:p>
    <w:p>
      <w:pPr>
        <w:pStyle w:val="DefinedTerms"/>
      </w:pPr>
      <w:r>
        <w:t>producers’ committee</w:t>
      </w:r>
      <w:r>
        <w:tab/>
        <w:t>2(1)</w:t>
      </w:r>
    </w:p>
    <w:p>
      <w:pPr>
        <w:pStyle w:val="DefinedTerms"/>
      </w:pPr>
      <w:r>
        <w:t>record</w:t>
      </w:r>
      <w:r>
        <w:tab/>
        <w:t>19C, 19G(1)</w:t>
      </w:r>
    </w:p>
    <w:p>
      <w:pPr>
        <w:pStyle w:val="DefinedTerms"/>
      </w:pPr>
      <w:r>
        <w:t>relevant person</w:t>
      </w:r>
      <w:r>
        <w:tab/>
        <w:t>19C</w:t>
      </w:r>
    </w:p>
    <w:p>
      <w:pPr>
        <w:pStyle w:val="DefinedTerms"/>
      </w:pPr>
      <w:r>
        <w:t>relevant record</w:t>
      </w:r>
      <w:r>
        <w:tab/>
        <w:t>19C</w:t>
      </w:r>
    </w:p>
    <w:p>
      <w:pPr>
        <w:pStyle w:val="DefinedTerms"/>
      </w:pPr>
      <w:r>
        <w:t>specified area</w:t>
      </w:r>
      <w:r>
        <w:tab/>
        <w:t>12A(5)</w:t>
      </w:r>
    </w:p>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Produce Commission Act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Agricultural Produce Commission Act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Agricultural Produce Commission Act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Produce Commission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Produce Commission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Agricultural Produce Commission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10" w:name="Schedule"/>
    <w:bookmarkEnd w:id="1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Produce Commission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Agricultural Produce Commission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7" w:name="Compilation"/>
    <w:bookmarkEnd w:id="11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Produce Commission Act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Agricultural Produce Commission Act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9" w:name="DefinedTerms"/>
    <w:bookmarkEnd w:id="11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0" w:name="Coversheet"/>
    <w:bookmarkEnd w:id="1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DA141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D5EE7E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E6E19B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A0429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83A525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E8027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EA82C3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0A3B7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32477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86E5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63A57A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16144320"/>
    <w:docVar w:name="WAFER_20140115091014" w:val="RemoveTocBookmarks,RemoveUnusedBookmarks,RemoveLanguageTags,UsedStyles,ResetPageSize,UpdateArrangement"/>
    <w:docVar w:name="WAFER_20140115091014_GUID" w:val="f25f3284-d741-4307-bc1b-5d4bfbbae0c2"/>
    <w:docVar w:name="WAFER_20140115091021" w:val="RemoveTocBookmarks,RunningHeaders"/>
    <w:docVar w:name="WAFER_20140115091021_GUID" w:val="35c1b36d-5926-4233-a430-de2926b9ad6b"/>
    <w:docVar w:name="WAFER_20140306113918" w:val="RemoveTocBookmarks,RemoveUnusedBookmarks,RemoveLanguageTags,UsedStyles,ResetPageSize"/>
    <w:docVar w:name="WAFER_20140306113918_GUID" w:val="4c891171-1b29-45e0-9d50-be578dd3369f"/>
    <w:docVar w:name="WAFER_20140306114727" w:val="RemoveTocBookmarks,RunningHeaders"/>
    <w:docVar w:name="WAFER_20140306114727_GUID" w:val="807dc5d3-baef-4396-ba5b-f9f97ac1ec7f"/>
    <w:docVar w:name="WAFER_20150224160204" w:val="ResetPageSize,UpdateArrangement,UpdateNTable"/>
    <w:docVar w:name="WAFER_20150224160204_GUID" w:val="7a398a96-0ccc-4a21-9c26-991fa7758984"/>
    <w:docVar w:name="WAFER_20151102105043" w:val="UpdateStyles,UsedStyles"/>
    <w:docVar w:name="WAFER_20151102105043_GUID" w:val="95f0ecf2-4f1c-46c9-9406-b9cfdd9e3ff3"/>
    <w:docVar w:name="WAFER_202108161443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6144320_GUID" w:val="7b2f7e4a-9d0a-4ba4-8e76-3489298f96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5:docId w15:val="{FBDC3D40-F5CA-4234-A5C5-0C4146C26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28AB00-2CB0-47BF-A960-FDE3030CF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11141</Words>
  <Characters>55929</Characters>
  <Application>Microsoft Office Word</Application>
  <DocSecurity>0</DocSecurity>
  <Lines>1553</Lines>
  <Paragraphs>882</Paragraphs>
  <ScaleCrop>false</ScaleCrop>
  <HeadingPairs>
    <vt:vector size="2" baseType="variant">
      <vt:variant>
        <vt:lpstr>Title</vt:lpstr>
      </vt:variant>
      <vt:variant>
        <vt:i4>1</vt:i4>
      </vt:variant>
    </vt:vector>
  </HeadingPairs>
  <TitlesOfParts>
    <vt:vector size="1" baseType="lpstr">
      <vt:lpstr>Agricultural Produce Commission Act 1988</vt:lpstr>
    </vt:vector>
  </TitlesOfParts>
  <Manager/>
  <Company/>
  <LinksUpToDate>false</LinksUpToDate>
  <CharactersWithSpaces>66188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Commission Act 1988 - 03-b0-00</dc:title>
  <dc:subject/>
  <dc:creator/>
  <cp:keywords/>
  <dc:description/>
  <cp:lastModifiedBy>Master Repository Process</cp:lastModifiedBy>
  <cp:revision>4</cp:revision>
  <cp:lastPrinted>2013-06-20T23:54:00Z</cp:lastPrinted>
  <dcterms:created xsi:type="dcterms:W3CDTF">2021-08-18T02:08:00Z</dcterms:created>
  <dcterms:modified xsi:type="dcterms:W3CDTF">2021-08-18T02:08:00Z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1988</vt:lpwstr>
  </property>
  <property fmtid="{D5CDD505-2E9C-101B-9397-08002B2CF9AE}" pid="3" name="DocumentType">
    <vt:lpwstr>Act</vt:lpwstr>
  </property>
  <property fmtid="{D5CDD505-2E9C-101B-9397-08002B2CF9AE}" pid="4" name="OwlsUID">
    <vt:i4>354</vt:i4>
  </property>
  <property fmtid="{D5CDD505-2E9C-101B-9397-08002B2CF9AE}" pid="5" name="ReprintNo">
    <vt:lpwstr>3</vt:lpwstr>
  </property>
  <property fmtid="{D5CDD505-2E9C-101B-9397-08002B2CF9AE}" pid="6" name="ReprintedAsAt">
    <vt:filetime>2013-06-13T16:00:00Z</vt:filetime>
  </property>
  <property fmtid="{D5CDD505-2E9C-101B-9397-08002B2CF9AE}" pid="7" name="AsAtDate">
    <vt:lpwstr>18 Aug 2021</vt:lpwstr>
  </property>
  <property fmtid="{D5CDD505-2E9C-101B-9397-08002B2CF9AE}" pid="8" name="Suffix">
    <vt:lpwstr>03-b0-00</vt:lpwstr>
  </property>
  <property fmtid="{D5CDD505-2E9C-101B-9397-08002B2CF9AE}" pid="9" name="CommencementDate">
    <vt:lpwstr>20210818</vt:lpwstr>
  </property>
</Properties>
</file>