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Evidence Act 1906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_Toc80794294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_Toc80794295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_Toc80794296 \h </w:instrText>
      </w:r>
      <w:r>
        <w:fldChar w:fldCharType="separate"/>
      </w:r>
      <w:r>
        <w:t>4</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Part 2 applies</w:t>
      </w:r>
      <w:r>
        <w:tab/>
      </w:r>
      <w:r>
        <w:fldChar w:fldCharType="begin"/>
      </w:r>
      <w:r>
        <w:instrText xml:space="preserve"> PAGEREF _Toc80794297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This Act not to derogate from existing powers</w:t>
      </w:r>
      <w:r>
        <w:tab/>
      </w:r>
      <w:r>
        <w:fldChar w:fldCharType="begin"/>
      </w:r>
      <w:r>
        <w:instrText xml:space="preserve"> PAGEREF _Toc80794298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Witnesses interested or convicted of offence</w:t>
      </w:r>
      <w:r>
        <w:tab/>
      </w:r>
      <w:r>
        <w:fldChar w:fldCharType="begin"/>
      </w:r>
      <w:r>
        <w:instrText xml:space="preserve"> PAGEREF _Toc80794299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Parties to civil proceedings and spouses and ex</w:t>
      </w:r>
      <w:r>
        <w:rPr>
          <w:snapToGrid w:val="0"/>
        </w:rPr>
        <w:noBreakHyphen/>
        <w:t>spouses of parties</w:t>
      </w:r>
      <w:r>
        <w:tab/>
      </w:r>
      <w:r>
        <w:fldChar w:fldCharType="begin"/>
      </w:r>
      <w:r>
        <w:instrText xml:space="preserve"> PAGEREF _Toc80794300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Accused persons in criminal cases</w:t>
      </w:r>
      <w:r>
        <w:tab/>
      </w:r>
      <w:r>
        <w:fldChar w:fldCharType="begin"/>
      </w:r>
      <w:r>
        <w:instrText xml:space="preserve"> PAGEREF _Toc80794301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Spouses and ex</w:t>
      </w:r>
      <w:r>
        <w:rPr>
          <w:snapToGrid w:val="0"/>
        </w:rPr>
        <w:noBreakHyphen/>
        <w:t>spouses of accused persons in criminal cases</w:t>
      </w:r>
      <w:r>
        <w:tab/>
      </w:r>
      <w:r>
        <w:fldChar w:fldCharType="begin"/>
      </w:r>
      <w:r>
        <w:instrText xml:space="preserve"> PAGEREF _Toc80794302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compel answer to incriminating question</w:t>
      </w:r>
      <w:r>
        <w:tab/>
      </w:r>
      <w:r>
        <w:fldChar w:fldCharType="begin"/>
      </w:r>
      <w:r>
        <w:instrText xml:space="preserve"> PAGEREF _Toc80794303 \h </w:instrText>
      </w:r>
      <w:r>
        <w:fldChar w:fldCharType="separate"/>
      </w:r>
      <w:r>
        <w:t>8</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Judge may restrict publication of evidence where s. 11 certificate given</w:t>
      </w:r>
      <w:r>
        <w:tab/>
      </w:r>
      <w:r>
        <w:fldChar w:fldCharType="begin"/>
      </w:r>
      <w:r>
        <w:instrText xml:space="preserve"> PAGEREF _Toc80794304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Witnesses in revenue cases may be compelled to give evidence</w:t>
      </w:r>
      <w:r>
        <w:tab/>
      </w:r>
      <w:r>
        <w:fldChar w:fldCharType="begin"/>
      </w:r>
      <w:r>
        <w:instrText xml:space="preserve"> PAGEREF _Toc80794305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under s. 12 may be pleaded in bar to prosecution</w:t>
      </w:r>
      <w:r>
        <w:tab/>
      </w:r>
      <w:r>
        <w:fldChar w:fldCharType="begin"/>
      </w:r>
      <w:r>
        <w:instrText xml:space="preserve"> PAGEREF _Toc80794306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Customs prosecutions, accused compellable</w:t>
      </w:r>
      <w:r>
        <w:tab/>
      </w:r>
      <w:r>
        <w:fldChar w:fldCharType="begin"/>
      </w:r>
      <w:r>
        <w:instrText xml:space="preserve"> PAGEREF _Toc80794307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Persons may be examined without subpoena</w:t>
      </w:r>
      <w:r>
        <w:tab/>
      </w:r>
      <w:r>
        <w:fldChar w:fldCharType="begin"/>
      </w:r>
      <w:r>
        <w:instrText xml:space="preserve"> PAGEREF _Toc80794308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Witnesses failing to attend trial</w:t>
      </w:r>
      <w:r>
        <w:tab/>
      </w:r>
      <w:r>
        <w:fldChar w:fldCharType="begin"/>
      </w:r>
      <w:r>
        <w:instrText xml:space="preserve"> PAGEREF _Toc80794309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Procedure on non</w:t>
      </w:r>
      <w:r>
        <w:rPr>
          <w:snapToGrid w:val="0"/>
        </w:rPr>
        <w:noBreakHyphen/>
        <w:t>appearance of witness</w:t>
      </w:r>
      <w:r>
        <w:tab/>
      </w:r>
      <w:r>
        <w:fldChar w:fldCharType="begin"/>
      </w:r>
      <w:r>
        <w:instrText xml:space="preserve"> PAGEREF _Toc80794310 \h </w:instrText>
      </w:r>
      <w:r>
        <w:fldChar w:fldCharType="separate"/>
      </w:r>
      <w:r>
        <w:t>12</w:t>
      </w:r>
      <w:r>
        <w:fldChar w:fldCharType="end"/>
      </w:r>
    </w:p>
    <w:p>
      <w:pPr>
        <w:pStyle w:val="TOC8"/>
        <w:rPr>
          <w:rFonts w:asciiTheme="minorHAnsi" w:eastAsiaTheme="minorEastAsia" w:hAnsiTheme="minorHAnsi" w:cstheme="minorBidi"/>
          <w:szCs w:val="22"/>
        </w:rPr>
      </w:pPr>
      <w:r>
        <w:rPr>
          <w:snapToGrid w:val="0"/>
        </w:rPr>
        <w:t>18.</w:t>
      </w:r>
      <w:r>
        <w:rPr>
          <w:snapToGrid w:val="0"/>
        </w:rPr>
        <w:tab/>
        <w:t>Communications during marriage</w:t>
      </w:r>
      <w:r>
        <w:tab/>
      </w:r>
      <w:r>
        <w:fldChar w:fldCharType="begin"/>
      </w:r>
      <w:r>
        <w:instrText xml:space="preserve"> PAGEREF _Toc80794311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Evidence of non</w:t>
      </w:r>
      <w:r>
        <w:rPr>
          <w:snapToGrid w:val="0"/>
        </w:rPr>
        <w:noBreakHyphen/>
        <w:t>access</w:t>
      </w:r>
      <w:r>
        <w:tab/>
      </w:r>
      <w:r>
        <w:fldChar w:fldCharType="begin"/>
      </w:r>
      <w:r>
        <w:instrText xml:space="preserve"> PAGEREF _Toc80794312 \h </w:instrText>
      </w:r>
      <w:r>
        <w:fldChar w:fldCharType="separate"/>
      </w:r>
      <w:r>
        <w:t>13</w:t>
      </w:r>
      <w:r>
        <w:fldChar w:fldCharType="end"/>
      </w:r>
    </w:p>
    <w:p>
      <w:pPr>
        <w:pStyle w:val="TOC8"/>
        <w:rPr>
          <w:rFonts w:asciiTheme="minorHAnsi" w:eastAsiaTheme="minorEastAsia" w:hAnsiTheme="minorHAnsi" w:cstheme="minorBidi"/>
          <w:szCs w:val="22"/>
        </w:rPr>
      </w:pPr>
      <w:r>
        <w:t>19A.</w:t>
      </w:r>
      <w:r>
        <w:tab/>
        <w:t>Terms used</w:t>
      </w:r>
      <w:r>
        <w:tab/>
      </w:r>
      <w:r>
        <w:fldChar w:fldCharType="begin"/>
      </w:r>
      <w:r>
        <w:instrText xml:space="preserve"> PAGEREF _Toc80794313 \h </w:instrText>
      </w:r>
      <w:r>
        <w:fldChar w:fldCharType="separate"/>
      </w:r>
      <w:r>
        <w:t>13</w:t>
      </w:r>
      <w:r>
        <w:fldChar w:fldCharType="end"/>
      </w:r>
    </w:p>
    <w:p>
      <w:pPr>
        <w:pStyle w:val="TOC8"/>
        <w:rPr>
          <w:rFonts w:asciiTheme="minorHAnsi" w:eastAsiaTheme="minorEastAsia" w:hAnsiTheme="minorHAnsi" w:cstheme="minorBidi"/>
          <w:szCs w:val="22"/>
        </w:rPr>
      </w:pPr>
      <w:r>
        <w:t>19B.</w:t>
      </w:r>
      <w:r>
        <w:tab/>
        <w:t>Protected communications recorded electronically</w:t>
      </w:r>
      <w:r>
        <w:tab/>
      </w:r>
      <w:r>
        <w:fldChar w:fldCharType="begin"/>
      </w:r>
      <w:r>
        <w:instrText xml:space="preserve"> PAGEREF _Toc80794314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19C.</w:t>
      </w:r>
      <w:r>
        <w:tab/>
        <w:t>Protected communications not to be disclosed in criminal proceedings except with leave of court</w:t>
      </w:r>
      <w:r>
        <w:tab/>
      </w:r>
      <w:r>
        <w:fldChar w:fldCharType="begin"/>
      </w:r>
      <w:r>
        <w:instrText xml:space="preserve"> PAGEREF _Toc80794315 \h </w:instrText>
      </w:r>
      <w:r>
        <w:fldChar w:fldCharType="separate"/>
      </w:r>
      <w:r>
        <w:t>17</w:t>
      </w:r>
      <w:r>
        <w:fldChar w:fldCharType="end"/>
      </w:r>
    </w:p>
    <w:p>
      <w:pPr>
        <w:pStyle w:val="TOC8"/>
        <w:rPr>
          <w:rFonts w:asciiTheme="minorHAnsi" w:eastAsiaTheme="minorEastAsia" w:hAnsiTheme="minorHAnsi" w:cstheme="minorBidi"/>
          <w:szCs w:val="22"/>
        </w:rPr>
      </w:pPr>
      <w:r>
        <w:t>19D.</w:t>
      </w:r>
      <w:r>
        <w:tab/>
        <w:t>Procedure on hearing of application for leave</w:t>
      </w:r>
      <w:r>
        <w:tab/>
      </w:r>
      <w:r>
        <w:fldChar w:fldCharType="begin"/>
      </w:r>
      <w:r>
        <w:instrText xml:space="preserve"> PAGEREF _Toc80794316 \h </w:instrText>
      </w:r>
      <w:r>
        <w:fldChar w:fldCharType="separate"/>
      </w:r>
      <w:r>
        <w:t>18</w:t>
      </w:r>
      <w:r>
        <w:fldChar w:fldCharType="end"/>
      </w:r>
    </w:p>
    <w:p>
      <w:pPr>
        <w:pStyle w:val="TOC8"/>
        <w:rPr>
          <w:rFonts w:asciiTheme="minorHAnsi" w:eastAsiaTheme="minorEastAsia" w:hAnsiTheme="minorHAnsi" w:cstheme="minorBidi"/>
          <w:szCs w:val="22"/>
        </w:rPr>
      </w:pPr>
      <w:r>
        <w:t>19E.</w:t>
      </w:r>
      <w:r>
        <w:tab/>
        <w:t>Application for leave to be dismissed if there is no legitimate forensic purpose for it</w:t>
      </w:r>
      <w:r>
        <w:tab/>
      </w:r>
      <w:r>
        <w:fldChar w:fldCharType="begin"/>
      </w:r>
      <w:r>
        <w:instrText xml:space="preserve"> PAGEREF _Toc80794317 \h </w:instrText>
      </w:r>
      <w:r>
        <w:fldChar w:fldCharType="separate"/>
      </w:r>
      <w:r>
        <w:t>18</w:t>
      </w:r>
      <w:r>
        <w:fldChar w:fldCharType="end"/>
      </w:r>
    </w:p>
    <w:p>
      <w:pPr>
        <w:pStyle w:val="TOC8"/>
        <w:rPr>
          <w:rFonts w:asciiTheme="minorHAnsi" w:eastAsiaTheme="minorEastAsia" w:hAnsiTheme="minorHAnsi" w:cstheme="minorBidi"/>
          <w:szCs w:val="22"/>
        </w:rPr>
      </w:pPr>
      <w:r>
        <w:t>19F.</w:t>
      </w:r>
      <w:r>
        <w:tab/>
        <w:t>Determination of application</w:t>
      </w:r>
      <w:r>
        <w:tab/>
      </w:r>
      <w:r>
        <w:fldChar w:fldCharType="begin"/>
      </w:r>
      <w:r>
        <w:instrText xml:space="preserve"> PAGEREF _Toc80794318 \h </w:instrText>
      </w:r>
      <w:r>
        <w:fldChar w:fldCharType="separate"/>
      </w:r>
      <w:r>
        <w:t>20</w:t>
      </w:r>
      <w:r>
        <w:fldChar w:fldCharType="end"/>
      </w:r>
    </w:p>
    <w:p>
      <w:pPr>
        <w:pStyle w:val="TOC8"/>
        <w:rPr>
          <w:rFonts w:asciiTheme="minorHAnsi" w:eastAsiaTheme="minorEastAsia" w:hAnsiTheme="minorHAnsi" w:cstheme="minorBidi"/>
          <w:szCs w:val="22"/>
        </w:rPr>
      </w:pPr>
      <w:r>
        <w:t>19G.</w:t>
      </w:r>
      <w:r>
        <w:tab/>
        <w:t>Public interest test</w:t>
      </w:r>
      <w:r>
        <w:tab/>
      </w:r>
      <w:r>
        <w:fldChar w:fldCharType="begin"/>
      </w:r>
      <w:r>
        <w:instrText xml:space="preserve"> PAGEREF _Toc80794319 \h </w:instrText>
      </w:r>
      <w:r>
        <w:fldChar w:fldCharType="separate"/>
      </w:r>
      <w:r>
        <w:t>20</w:t>
      </w:r>
      <w:r>
        <w:fldChar w:fldCharType="end"/>
      </w:r>
    </w:p>
    <w:p>
      <w:pPr>
        <w:pStyle w:val="TOC8"/>
        <w:rPr>
          <w:rFonts w:asciiTheme="minorHAnsi" w:eastAsiaTheme="minorEastAsia" w:hAnsiTheme="minorHAnsi" w:cstheme="minorBidi"/>
          <w:szCs w:val="22"/>
        </w:rPr>
      </w:pPr>
      <w:r>
        <w:t>19H.</w:t>
      </w:r>
      <w:r>
        <w:tab/>
        <w:t>Effect of consent</w:t>
      </w:r>
      <w:r>
        <w:tab/>
      </w:r>
      <w:r>
        <w:fldChar w:fldCharType="begin"/>
      </w:r>
      <w:r>
        <w:instrText xml:space="preserve"> PAGEREF _Toc80794320 \h </w:instrText>
      </w:r>
      <w:r>
        <w:fldChar w:fldCharType="separate"/>
      </w:r>
      <w:r>
        <w:t>21</w:t>
      </w:r>
      <w:r>
        <w:fldChar w:fldCharType="end"/>
      </w:r>
    </w:p>
    <w:p>
      <w:pPr>
        <w:pStyle w:val="TOC8"/>
        <w:rPr>
          <w:rFonts w:asciiTheme="minorHAnsi" w:eastAsiaTheme="minorEastAsia" w:hAnsiTheme="minorHAnsi" w:cstheme="minorBidi"/>
          <w:szCs w:val="22"/>
        </w:rPr>
      </w:pPr>
      <w:r>
        <w:t>19I.</w:t>
      </w:r>
      <w:r>
        <w:tab/>
        <w:t>Loss of sexual assault communications privilege: misconduct</w:t>
      </w:r>
      <w:r>
        <w:tab/>
      </w:r>
      <w:r>
        <w:fldChar w:fldCharType="begin"/>
      </w:r>
      <w:r>
        <w:instrText xml:space="preserve"> PAGEREF _Toc80794321 \h </w:instrText>
      </w:r>
      <w:r>
        <w:fldChar w:fldCharType="separate"/>
      </w:r>
      <w:r>
        <w:t>22</w:t>
      </w:r>
      <w:r>
        <w:fldChar w:fldCharType="end"/>
      </w:r>
    </w:p>
    <w:p>
      <w:pPr>
        <w:pStyle w:val="TOC8"/>
        <w:rPr>
          <w:rFonts w:asciiTheme="minorHAnsi" w:eastAsiaTheme="minorEastAsia" w:hAnsiTheme="minorHAnsi" w:cstheme="minorBidi"/>
          <w:szCs w:val="22"/>
        </w:rPr>
      </w:pPr>
      <w:r>
        <w:t>19J.</w:t>
      </w:r>
      <w:r>
        <w:tab/>
        <w:t>Ancillary orders</w:t>
      </w:r>
      <w:r>
        <w:tab/>
      </w:r>
      <w:r>
        <w:fldChar w:fldCharType="begin"/>
      </w:r>
      <w:r>
        <w:instrText xml:space="preserve"> PAGEREF _Toc80794322 \h </w:instrText>
      </w:r>
      <w:r>
        <w:fldChar w:fldCharType="separate"/>
      </w:r>
      <w:r>
        <w:t>22</w:t>
      </w:r>
      <w:r>
        <w:fldChar w:fldCharType="end"/>
      </w:r>
    </w:p>
    <w:p>
      <w:pPr>
        <w:pStyle w:val="TOC8"/>
        <w:rPr>
          <w:rFonts w:asciiTheme="minorHAnsi" w:eastAsiaTheme="minorEastAsia" w:hAnsiTheme="minorHAnsi" w:cstheme="minorBidi"/>
          <w:szCs w:val="22"/>
        </w:rPr>
      </w:pPr>
      <w:r>
        <w:t>19K.</w:t>
      </w:r>
      <w:r>
        <w:tab/>
        <w:t>Inadmissibility of evidence that must not be adduced or given</w:t>
      </w:r>
      <w:r>
        <w:tab/>
      </w:r>
      <w:r>
        <w:fldChar w:fldCharType="begin"/>
      </w:r>
      <w:r>
        <w:instrText xml:space="preserve"> PAGEREF _Toc80794323 \h </w:instrText>
      </w:r>
      <w:r>
        <w:fldChar w:fldCharType="separate"/>
      </w:r>
      <w:r>
        <w:t>23</w:t>
      </w:r>
      <w:r>
        <w:fldChar w:fldCharType="end"/>
      </w:r>
    </w:p>
    <w:p>
      <w:pPr>
        <w:pStyle w:val="TOC8"/>
        <w:rPr>
          <w:rFonts w:asciiTheme="minorHAnsi" w:eastAsiaTheme="minorEastAsia" w:hAnsiTheme="minorHAnsi" w:cstheme="minorBidi"/>
          <w:szCs w:val="22"/>
        </w:rPr>
      </w:pPr>
      <w:r>
        <w:t>19L.</w:t>
      </w:r>
      <w:r>
        <w:tab/>
        <w:t>Application of other laws</w:t>
      </w:r>
      <w:r>
        <w:tab/>
      </w:r>
      <w:r>
        <w:fldChar w:fldCharType="begin"/>
      </w:r>
      <w:r>
        <w:instrText xml:space="preserve"> PAGEREF _Toc80794324 \h </w:instrText>
      </w:r>
      <w:r>
        <w:fldChar w:fldCharType="separate"/>
      </w:r>
      <w:r>
        <w:t>23</w:t>
      </w:r>
      <w:r>
        <w:fldChar w:fldCharType="end"/>
      </w:r>
    </w:p>
    <w:p>
      <w:pPr>
        <w:pStyle w:val="TOC8"/>
        <w:rPr>
          <w:rFonts w:asciiTheme="minorHAnsi" w:eastAsiaTheme="minorEastAsia" w:hAnsiTheme="minorHAnsi" w:cstheme="minorBidi"/>
          <w:szCs w:val="22"/>
        </w:rPr>
      </w:pPr>
      <w:r>
        <w:t>19M.</w:t>
      </w:r>
      <w:r>
        <w:tab/>
        <w:t>Regulations as to disclosure of protected communications</w:t>
      </w:r>
      <w:r>
        <w:tab/>
      </w:r>
      <w:r>
        <w:fldChar w:fldCharType="begin"/>
      </w:r>
      <w:r>
        <w:instrText xml:space="preserve"> PAGEREF _Toc80794325 \h </w:instrText>
      </w:r>
      <w:r>
        <w:fldChar w:fldCharType="separate"/>
      </w:r>
      <w:r>
        <w:t>24</w:t>
      </w:r>
      <w:r>
        <w:fldChar w:fldCharType="end"/>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_Toc80794326 \h </w:instrText>
      </w:r>
      <w:r>
        <w:fldChar w:fldCharType="separate"/>
      </w:r>
      <w:r>
        <w:t>25</w:t>
      </w:r>
      <w:r>
        <w:fldChar w:fldCharType="end"/>
      </w:r>
    </w:p>
    <w:p>
      <w:pPr>
        <w:pStyle w:val="TOC8"/>
        <w:rPr>
          <w:rFonts w:asciiTheme="minorHAnsi" w:eastAsiaTheme="minorEastAsia" w:hAnsiTheme="minorHAnsi" w:cstheme="minorBidi"/>
          <w:szCs w:val="22"/>
        </w:rPr>
      </w:pPr>
      <w:r>
        <w:t>20B.</w:t>
      </w:r>
      <w:r>
        <w:tab/>
        <w:t>Application of protection provisions (PCR)</w:t>
      </w:r>
      <w:r>
        <w:tab/>
      </w:r>
      <w:r>
        <w:fldChar w:fldCharType="begin"/>
      </w:r>
      <w:r>
        <w:instrText xml:space="preserve"> PAGEREF _Toc80794327 \h </w:instrText>
      </w:r>
      <w:r>
        <w:fldChar w:fldCharType="separate"/>
      </w:r>
      <w:r>
        <w:t>26</w:t>
      </w:r>
      <w:r>
        <w:fldChar w:fldCharType="end"/>
      </w:r>
    </w:p>
    <w:p>
      <w:pPr>
        <w:pStyle w:val="TOC8"/>
        <w:rPr>
          <w:rFonts w:asciiTheme="minorHAnsi" w:eastAsiaTheme="minorEastAsia" w:hAnsiTheme="minorHAnsi" w:cstheme="minorBidi"/>
          <w:szCs w:val="22"/>
        </w:rPr>
      </w:pPr>
      <w:r>
        <w:t>20C.</w:t>
      </w:r>
      <w:r>
        <w:tab/>
        <w:t>Exclusion of evidence of protected confidences</w:t>
      </w:r>
      <w:r>
        <w:tab/>
      </w:r>
      <w:r>
        <w:fldChar w:fldCharType="begin"/>
      </w:r>
      <w:r>
        <w:instrText xml:space="preserve"> PAGEREF _Toc80794328 \h </w:instrText>
      </w:r>
      <w:r>
        <w:fldChar w:fldCharType="separate"/>
      </w:r>
      <w:r>
        <w:t>27</w:t>
      </w:r>
      <w:r>
        <w:fldChar w:fldCharType="end"/>
      </w:r>
    </w:p>
    <w:p>
      <w:pPr>
        <w:pStyle w:val="TOC8"/>
        <w:rPr>
          <w:rFonts w:asciiTheme="minorHAnsi" w:eastAsiaTheme="minorEastAsia" w:hAnsiTheme="minorHAnsi" w:cstheme="minorBidi"/>
          <w:szCs w:val="22"/>
        </w:rPr>
      </w:pPr>
      <w:r>
        <w:t>20D.</w:t>
      </w:r>
      <w:r>
        <w:tab/>
        <w:t>Loss of professional confidential relationship protection: consent</w:t>
      </w:r>
      <w:r>
        <w:tab/>
      </w:r>
      <w:r>
        <w:fldChar w:fldCharType="begin"/>
      </w:r>
      <w:r>
        <w:instrText xml:space="preserve"> PAGEREF _Toc80794329 \h </w:instrText>
      </w:r>
      <w:r>
        <w:fldChar w:fldCharType="separate"/>
      </w:r>
      <w:r>
        <w:t>29</w:t>
      </w:r>
      <w:r>
        <w:fldChar w:fldCharType="end"/>
      </w:r>
    </w:p>
    <w:p>
      <w:pPr>
        <w:pStyle w:val="TOC8"/>
        <w:rPr>
          <w:rFonts w:asciiTheme="minorHAnsi" w:eastAsiaTheme="minorEastAsia" w:hAnsiTheme="minorHAnsi" w:cstheme="minorBidi"/>
          <w:szCs w:val="22"/>
        </w:rPr>
      </w:pPr>
      <w:r>
        <w:t>20E.</w:t>
      </w:r>
      <w:r>
        <w:tab/>
        <w:t>Loss of professional confidential relationship protection: misconduct</w:t>
      </w:r>
      <w:r>
        <w:tab/>
      </w:r>
      <w:r>
        <w:fldChar w:fldCharType="begin"/>
      </w:r>
      <w:r>
        <w:instrText xml:space="preserve"> PAGEREF _Toc80794330 \h </w:instrText>
      </w:r>
      <w:r>
        <w:fldChar w:fldCharType="separate"/>
      </w:r>
      <w:r>
        <w:t>29</w:t>
      </w:r>
      <w:r>
        <w:fldChar w:fldCharType="end"/>
      </w:r>
    </w:p>
    <w:p>
      <w:pPr>
        <w:pStyle w:val="TOC8"/>
        <w:rPr>
          <w:rFonts w:asciiTheme="minorHAnsi" w:eastAsiaTheme="minorEastAsia" w:hAnsiTheme="minorHAnsi" w:cstheme="minorBidi"/>
          <w:szCs w:val="22"/>
        </w:rPr>
      </w:pPr>
      <w:r>
        <w:t>20F.</w:t>
      </w:r>
      <w:r>
        <w:tab/>
        <w:t>Ancillary orders</w:t>
      </w:r>
      <w:r>
        <w:tab/>
      </w:r>
      <w:r>
        <w:fldChar w:fldCharType="begin"/>
      </w:r>
      <w:r>
        <w:instrText xml:space="preserve"> PAGEREF _Toc80794331 \h </w:instrText>
      </w:r>
      <w:r>
        <w:fldChar w:fldCharType="separate"/>
      </w:r>
      <w:r>
        <w:t>30</w:t>
      </w:r>
      <w:r>
        <w:fldChar w:fldCharType="end"/>
      </w:r>
    </w:p>
    <w:p>
      <w:pPr>
        <w:pStyle w:val="TOC8"/>
        <w:rPr>
          <w:rFonts w:asciiTheme="minorHAnsi" w:eastAsiaTheme="minorEastAsia" w:hAnsiTheme="minorHAnsi" w:cstheme="minorBidi"/>
          <w:szCs w:val="22"/>
        </w:rPr>
      </w:pPr>
      <w:r>
        <w:t>20G.</w:t>
      </w:r>
      <w:r>
        <w:tab/>
        <w:t>Terms used</w:t>
      </w:r>
      <w:r>
        <w:tab/>
      </w:r>
      <w:r>
        <w:fldChar w:fldCharType="begin"/>
      </w:r>
      <w:r>
        <w:instrText xml:space="preserve"> PAGEREF _Toc80794332 \h </w:instrText>
      </w:r>
      <w:r>
        <w:fldChar w:fldCharType="separate"/>
      </w:r>
      <w:r>
        <w:t>31</w:t>
      </w:r>
      <w:r>
        <w:fldChar w:fldCharType="end"/>
      </w:r>
    </w:p>
    <w:p>
      <w:pPr>
        <w:pStyle w:val="TOC8"/>
        <w:rPr>
          <w:rFonts w:asciiTheme="minorHAnsi" w:eastAsiaTheme="minorEastAsia" w:hAnsiTheme="minorHAnsi" w:cstheme="minorBidi"/>
          <w:szCs w:val="22"/>
        </w:rPr>
      </w:pPr>
      <w:r>
        <w:t>20H.</w:t>
      </w:r>
      <w:r>
        <w:tab/>
        <w:t>Application of protection provisions (journalists)</w:t>
      </w:r>
      <w:r>
        <w:tab/>
      </w:r>
      <w:r>
        <w:fldChar w:fldCharType="begin"/>
      </w:r>
      <w:r>
        <w:instrText xml:space="preserve"> PAGEREF _Toc80794333 \h </w:instrText>
      </w:r>
      <w:r>
        <w:fldChar w:fldCharType="separate"/>
      </w:r>
      <w:r>
        <w:t>32</w:t>
      </w:r>
      <w:r>
        <w:fldChar w:fldCharType="end"/>
      </w:r>
    </w:p>
    <w:p>
      <w:pPr>
        <w:pStyle w:val="TOC8"/>
        <w:rPr>
          <w:rFonts w:asciiTheme="minorHAnsi" w:eastAsiaTheme="minorEastAsia" w:hAnsiTheme="minorHAnsi" w:cstheme="minorBidi"/>
          <w:szCs w:val="22"/>
        </w:rPr>
      </w:pPr>
      <w:r>
        <w:t>20I.</w:t>
      </w:r>
      <w:r>
        <w:tab/>
        <w:t>Protection of identity of informants</w:t>
      </w:r>
      <w:r>
        <w:tab/>
      </w:r>
      <w:r>
        <w:fldChar w:fldCharType="begin"/>
      </w:r>
      <w:r>
        <w:instrText xml:space="preserve"> PAGEREF _Toc80794334 \h </w:instrText>
      </w:r>
      <w:r>
        <w:fldChar w:fldCharType="separate"/>
      </w:r>
      <w:r>
        <w:t>32</w:t>
      </w:r>
      <w:r>
        <w:fldChar w:fldCharType="end"/>
      </w:r>
    </w:p>
    <w:p>
      <w:pPr>
        <w:pStyle w:val="TOC8"/>
        <w:rPr>
          <w:rFonts w:asciiTheme="minorHAnsi" w:eastAsiaTheme="minorEastAsia" w:hAnsiTheme="minorHAnsi" w:cstheme="minorBidi"/>
          <w:szCs w:val="22"/>
        </w:rPr>
      </w:pPr>
      <w:r>
        <w:t>20J.</w:t>
      </w:r>
      <w:r>
        <w:tab/>
        <w:t>Direction to give identifying evidence</w:t>
      </w:r>
      <w:r>
        <w:tab/>
      </w:r>
      <w:r>
        <w:fldChar w:fldCharType="begin"/>
      </w:r>
      <w:r>
        <w:instrText xml:space="preserve"> PAGEREF _Toc80794335 \h </w:instrText>
      </w:r>
      <w:r>
        <w:fldChar w:fldCharType="separate"/>
      </w:r>
      <w:r>
        <w:t>32</w:t>
      </w:r>
      <w:r>
        <w:fldChar w:fldCharType="end"/>
      </w:r>
    </w:p>
    <w:p>
      <w:pPr>
        <w:pStyle w:val="TOC8"/>
        <w:rPr>
          <w:rFonts w:asciiTheme="minorHAnsi" w:eastAsiaTheme="minorEastAsia" w:hAnsiTheme="minorHAnsi" w:cstheme="minorBidi"/>
          <w:szCs w:val="22"/>
        </w:rPr>
      </w:pPr>
      <w:r>
        <w:t>20K.</w:t>
      </w:r>
      <w:r>
        <w:tab/>
        <w:t>Effect of misconduct as to directions</w:t>
      </w:r>
      <w:r>
        <w:tab/>
      </w:r>
      <w:r>
        <w:fldChar w:fldCharType="begin"/>
      </w:r>
      <w:r>
        <w:instrText xml:space="preserve"> PAGEREF _Toc80794336 \h </w:instrText>
      </w:r>
      <w:r>
        <w:fldChar w:fldCharType="separate"/>
      </w:r>
      <w:r>
        <w:t>34</w:t>
      </w:r>
      <w:r>
        <w:fldChar w:fldCharType="end"/>
      </w:r>
    </w:p>
    <w:p>
      <w:pPr>
        <w:pStyle w:val="TOC8"/>
        <w:rPr>
          <w:rFonts w:asciiTheme="minorHAnsi" w:eastAsiaTheme="minorEastAsia" w:hAnsiTheme="minorHAnsi" w:cstheme="minorBidi"/>
          <w:szCs w:val="22"/>
        </w:rPr>
      </w:pPr>
      <w:r>
        <w:t>20L.</w:t>
      </w:r>
      <w:r>
        <w:tab/>
        <w:t>Identifying informant with consent</w:t>
      </w:r>
      <w:r>
        <w:tab/>
      </w:r>
      <w:r>
        <w:fldChar w:fldCharType="begin"/>
      </w:r>
      <w:r>
        <w:instrText xml:space="preserve"> PAGEREF _Toc80794337 \h </w:instrText>
      </w:r>
      <w:r>
        <w:fldChar w:fldCharType="separate"/>
      </w:r>
      <w:r>
        <w:t>37</w:t>
      </w:r>
      <w:r>
        <w:fldChar w:fldCharType="end"/>
      </w:r>
    </w:p>
    <w:p>
      <w:pPr>
        <w:pStyle w:val="TOC8"/>
        <w:rPr>
          <w:rFonts w:asciiTheme="minorHAnsi" w:eastAsiaTheme="minorEastAsia" w:hAnsiTheme="minorHAnsi" w:cstheme="minorBidi"/>
          <w:szCs w:val="22"/>
        </w:rPr>
      </w:pPr>
      <w:r>
        <w:t>20M.</w:t>
      </w:r>
      <w:r>
        <w:tab/>
        <w:t>Ancillary orders</w:t>
      </w:r>
      <w:r>
        <w:tab/>
      </w:r>
      <w:r>
        <w:fldChar w:fldCharType="begin"/>
      </w:r>
      <w:r>
        <w:instrText xml:space="preserve"> PAGEREF _Toc80794338 \h </w:instrText>
      </w:r>
      <w:r>
        <w:fldChar w:fldCharType="separate"/>
      </w:r>
      <w:r>
        <w:t>37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How far a party may discredit his own witness</w:t>
      </w:r>
      <w:r>
        <w:tab/>
      </w:r>
      <w:r>
        <w:fldChar w:fldCharType="begin"/>
      </w:r>
      <w:r>
        <w:instrText xml:space="preserve"> PAGEREF _Toc80794339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Cross</w:t>
      </w:r>
      <w:r>
        <w:rPr>
          <w:snapToGrid w:val="0"/>
        </w:rPr>
        <w:noBreakHyphen/>
        <w:t>examination as to and proof of prior inconsistent statement</w:t>
      </w:r>
      <w:r>
        <w:tab/>
      </w:r>
      <w:r>
        <w:fldChar w:fldCharType="begin"/>
      </w:r>
      <w:r>
        <w:instrText xml:space="preserve"> PAGEREF _Toc80794340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Procedure for purposes of s. 21</w:t>
      </w:r>
      <w:r>
        <w:tab/>
      </w:r>
      <w:r>
        <w:fldChar w:fldCharType="begin"/>
      </w:r>
      <w:r>
        <w:instrText xml:space="preserve"> PAGEREF _Toc80794341 \h </w:instrText>
      </w:r>
      <w:r>
        <w:fldChar w:fldCharType="separate"/>
      </w:r>
      <w:r>
        <w:t>38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Cross</w:t>
      </w:r>
      <w:r>
        <w:rPr>
          <w:snapToGrid w:val="0"/>
        </w:rPr>
        <w:noBreakHyphen/>
        <w:t>examination as to and proof of previous conviction</w:t>
      </w:r>
      <w:r>
        <w:tab/>
      </w:r>
      <w:r>
        <w:fldChar w:fldCharType="begin"/>
      </w:r>
      <w:r>
        <w:instrText xml:space="preserve"> PAGEREF _Toc80794342 \h </w:instrText>
      </w:r>
      <w:r>
        <w:fldChar w:fldCharType="separate"/>
      </w:r>
      <w:r>
        <w:t>39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Questions tending to criminate</w:t>
      </w:r>
      <w:r>
        <w:tab/>
      </w:r>
      <w:r>
        <w:fldChar w:fldCharType="begin"/>
      </w:r>
      <w:r>
        <w:instrText xml:space="preserve"> PAGEREF _Toc80794343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Cross</w:t>
      </w:r>
      <w:r>
        <w:rPr>
          <w:snapToGrid w:val="0"/>
        </w:rPr>
        <w:noBreakHyphen/>
        <w:t>examination as to credit</w:t>
      </w:r>
      <w:r>
        <w:tab/>
      </w:r>
      <w:r>
        <w:fldChar w:fldCharType="begin"/>
      </w:r>
      <w:r>
        <w:instrText xml:space="preserve"> PAGEREF _Toc80794344 \h </w:instrText>
      </w:r>
      <w:r>
        <w:fldChar w:fldCharType="separate"/>
      </w:r>
      <w:r>
        <w:t>40</w:t>
      </w:r>
      <w:r>
        <w:fldChar w:fldCharType="end"/>
      </w:r>
    </w:p>
    <w:p>
      <w:pPr>
        <w:pStyle w:val="TOC8"/>
        <w:rPr>
          <w:rFonts w:asciiTheme="minorHAnsi" w:eastAsiaTheme="minorEastAsia" w:hAnsiTheme="minorHAnsi" w:cstheme="minorBidi"/>
          <w:szCs w:val="22"/>
        </w:rPr>
      </w:pPr>
      <w:r>
        <w:t>25A.</w:t>
      </w:r>
      <w:r>
        <w:tab/>
        <w:t>Cross</w:t>
      </w:r>
      <w:r>
        <w:noBreakHyphen/>
        <w:t>examination by accused in person</w:t>
      </w:r>
      <w:r>
        <w:tab/>
      </w:r>
      <w:r>
        <w:fldChar w:fldCharType="begin"/>
      </w:r>
      <w:r>
        <w:instrText xml:space="preserve"> PAGEREF _Toc80794345 \h </w:instrText>
      </w:r>
      <w:r>
        <w:fldChar w:fldCharType="separate"/>
      </w:r>
      <w:r>
        <w:t>41</w:t>
      </w:r>
      <w:r>
        <w:fldChar w:fldCharType="end"/>
      </w:r>
    </w:p>
    <w:p>
      <w:pPr>
        <w:pStyle w:val="TOC8"/>
        <w:rPr>
          <w:rFonts w:asciiTheme="minorHAnsi" w:eastAsiaTheme="minorEastAsia" w:hAnsiTheme="minorHAnsi" w:cstheme="minorBidi"/>
          <w:szCs w:val="22"/>
        </w:rPr>
      </w:pPr>
      <w:r>
        <w:lastRenderedPageBreak/>
        <w:t>26.</w:t>
      </w:r>
      <w:r>
        <w:tab/>
        <w:t>Improper questions</w:t>
      </w:r>
      <w:r>
        <w:tab/>
      </w:r>
      <w:r>
        <w:fldChar w:fldCharType="begin"/>
      </w:r>
      <w:r>
        <w:instrText xml:space="preserve"> PAGEREF _Toc80794346 \h </w:instrText>
      </w:r>
      <w:r>
        <w:fldChar w:fldCharType="separate"/>
      </w:r>
      <w:r>
        <w:t>42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Prohibited questions not to be published</w:t>
      </w:r>
      <w:r>
        <w:tab/>
      </w:r>
      <w:r>
        <w:fldChar w:fldCharType="begin"/>
      </w:r>
      <w:r>
        <w:instrText xml:space="preserve"> PAGEREF _Toc80794347 \h </w:instrText>
      </w:r>
      <w:r>
        <w:fldChar w:fldCharType="separate"/>
      </w:r>
      <w:r>
        <w:t>43</w:t>
      </w:r>
      <w:r>
        <w:fldChar w:fldCharType="end"/>
      </w:r>
    </w:p>
    <w:p>
      <w:pPr>
        <w:pStyle w:val="TOC8"/>
        <w:rPr>
          <w:rFonts w:asciiTheme="minorHAnsi" w:eastAsiaTheme="minorEastAsia" w:hAnsiTheme="minorHAnsi" w:cstheme="minorBidi"/>
          <w:szCs w:val="22"/>
        </w:rPr>
      </w:pPr>
      <w:r>
        <w:t>27A.</w:t>
      </w:r>
      <w:r>
        <w:tab/>
        <w:t>Form of evidence</w:t>
      </w:r>
      <w:r>
        <w:tab/>
      </w:r>
      <w:r>
        <w:fldChar w:fldCharType="begin"/>
      </w:r>
      <w:r>
        <w:instrText xml:space="preserve"> PAGEREF _Toc80794348 \h </w:instrText>
      </w:r>
      <w:r>
        <w:fldChar w:fldCharType="separate"/>
      </w:r>
      <w:r>
        <w:t>43</w:t>
      </w:r>
      <w:r>
        <w:fldChar w:fldCharType="end"/>
      </w:r>
    </w:p>
    <w:p>
      <w:pPr>
        <w:pStyle w:val="TOC8"/>
        <w:rPr>
          <w:rFonts w:asciiTheme="minorHAnsi" w:eastAsiaTheme="minorEastAsia" w:hAnsiTheme="minorHAnsi" w:cstheme="minorBidi"/>
          <w:szCs w:val="22"/>
        </w:rPr>
      </w:pPr>
      <w:r>
        <w:t>27B.</w:t>
      </w:r>
      <w:r>
        <w:tab/>
        <w:t>Manner of giving voluminous or complex evidence</w:t>
      </w:r>
      <w:r>
        <w:tab/>
      </w:r>
      <w:r>
        <w:fldChar w:fldCharType="begin"/>
      </w:r>
      <w:r>
        <w:instrText xml:space="preserve"> PAGEREF _Toc80794349 \h </w:instrText>
      </w:r>
      <w:r>
        <w:fldChar w:fldCharType="separate"/>
      </w:r>
      <w:r>
        <w:t>43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Intention to defraud, proof of</w:t>
      </w:r>
      <w:r>
        <w:tab/>
      </w:r>
      <w:r>
        <w:fldChar w:fldCharType="begin"/>
      </w:r>
      <w:r>
        <w:instrText xml:space="preserve"> PAGEREF _Toc80794350 \h </w:instrText>
      </w:r>
      <w:r>
        <w:fldChar w:fldCharType="separate"/>
      </w:r>
      <w:r>
        <w:t>44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Proof by attesting witness unnecessary in certain cases</w:t>
      </w:r>
      <w:r>
        <w:tab/>
      </w:r>
      <w:r>
        <w:fldChar w:fldCharType="begin"/>
      </w:r>
      <w:r>
        <w:instrText xml:space="preserve"> PAGEREF _Toc80794351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Comparison of disputed hand</w:t>
      </w:r>
      <w:r>
        <w:rPr>
          <w:snapToGrid w:val="0"/>
        </w:rPr>
        <w:noBreakHyphen/>
        <w:t>writing</w:t>
      </w:r>
      <w:r>
        <w:tab/>
      </w:r>
      <w:r>
        <w:fldChar w:fldCharType="begin"/>
      </w:r>
      <w:r>
        <w:instrText xml:space="preserve"> PAGEREF _Toc80794352 \h </w:instrText>
      </w:r>
      <w:r>
        <w:fldChar w:fldCharType="separate"/>
      </w:r>
      <w:r>
        <w:t>45</w:t>
      </w:r>
      <w:r>
        <w:fldChar w:fldCharType="end"/>
      </w:r>
    </w:p>
    <w:p>
      <w:pPr>
        <w:pStyle w:val="TOC8"/>
        <w:rPr>
          <w:rFonts w:asciiTheme="minorHAnsi" w:eastAsiaTheme="minorEastAsia" w:hAnsiTheme="minorHAnsi" w:cstheme="minorBidi"/>
          <w:szCs w:val="22"/>
        </w:rPr>
      </w:pPr>
      <w:r>
        <w:t>31A.</w:t>
      </w:r>
      <w:r>
        <w:tab/>
        <w:t>Propensity and relationship evidence</w:t>
      </w:r>
      <w:r>
        <w:tab/>
      </w:r>
      <w:r>
        <w:fldChar w:fldCharType="begin"/>
      </w:r>
      <w:r>
        <w:instrText xml:space="preserve"> PAGEREF _Toc80794353 \h </w:instrText>
      </w:r>
      <w:r>
        <w:fldChar w:fldCharType="separate"/>
      </w:r>
      <w:r>
        <w:t>45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Admissions by accused persons in criminal cases</w:t>
      </w:r>
      <w:r>
        <w:tab/>
      </w:r>
      <w:r>
        <w:fldChar w:fldCharType="begin"/>
      </w:r>
      <w:r>
        <w:instrText xml:space="preserve"> PAGEREF _Toc80794354 \h </w:instrText>
      </w:r>
      <w:r>
        <w:fldChar w:fldCharType="separate"/>
      </w:r>
      <w:r>
        <w:t>46</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Derogation of privilege in civil proceedings</w:t>
      </w:r>
      <w:r>
        <w:tab/>
      </w:r>
      <w:r>
        <w:fldChar w:fldCharType="begin"/>
      </w:r>
      <w:r>
        <w:instrText xml:space="preserve"> PAGEREF _Toc80794355 \h </w:instrText>
      </w:r>
      <w:r>
        <w:fldChar w:fldCharType="separate"/>
      </w:r>
      <w:r>
        <w:t>46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Perjury charge, corroboration not required</w:t>
      </w:r>
      <w:r>
        <w:tab/>
      </w:r>
      <w:r>
        <w:fldChar w:fldCharType="begin"/>
      </w:r>
      <w:r>
        <w:instrText xml:space="preserve"> PAGEREF _Toc80794356 \h </w:instrText>
      </w:r>
      <w:r>
        <w:fldChar w:fldCharType="separate"/>
      </w:r>
      <w:r>
        <w:t>47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Perjury charge, proof of trial etc.</w:t>
      </w:r>
      <w:r>
        <w:tab/>
      </w:r>
      <w:r>
        <w:fldChar w:fldCharType="begin"/>
      </w:r>
      <w:r>
        <w:instrText xml:space="preserve"> PAGEREF _Toc80794357 \h </w:instrText>
      </w:r>
      <w:r>
        <w:fldChar w:fldCharType="separate"/>
      </w:r>
      <w:r>
        <w:t>47</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Terms used</w:t>
      </w:r>
      <w:r>
        <w:tab/>
      </w:r>
      <w:r>
        <w:fldChar w:fldCharType="begin"/>
      </w:r>
      <w:r>
        <w:instrText xml:space="preserve"> PAGEREF _Toc80794358 \h </w:instrText>
      </w:r>
      <w:r>
        <w:fldChar w:fldCharType="separate"/>
      </w:r>
      <w:r>
        <w:t>48</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Sexual reputation of complainant, evidence of</w:t>
      </w:r>
      <w:r>
        <w:tab/>
      </w:r>
      <w:r>
        <w:fldChar w:fldCharType="begin"/>
      </w:r>
      <w:r>
        <w:instrText xml:space="preserve"> PAGEREF _Toc80794359 \h </w:instrText>
      </w:r>
      <w:r>
        <w:fldChar w:fldCharType="separate"/>
      </w:r>
      <w:r>
        <w:t>49</w:t>
      </w:r>
      <w:r>
        <w:fldChar w:fldCharType="end"/>
      </w:r>
    </w:p>
    <w:p>
      <w:pPr>
        <w:pStyle w:val="TOC8"/>
        <w:rPr>
          <w:rFonts w:asciiTheme="minorHAnsi" w:eastAsiaTheme="minorEastAsia" w:hAnsiTheme="minorHAnsi" w:cstheme="minorBidi"/>
          <w:szCs w:val="22"/>
        </w:rPr>
      </w:pPr>
      <w:r>
        <w:t>36BA</w:t>
      </w:r>
      <w:r>
        <w:rPr>
          <w:snapToGrid w:val="0"/>
        </w:rPr>
        <w:t>.</w:t>
      </w:r>
      <w:r>
        <w:rPr>
          <w:snapToGrid w:val="0"/>
        </w:rPr>
        <w:tab/>
        <w:t>Sexual disposition of complainant, evidence of</w:t>
      </w:r>
      <w:r>
        <w:tab/>
      </w:r>
      <w:r>
        <w:fldChar w:fldCharType="begin"/>
      </w:r>
      <w:r>
        <w:instrText xml:space="preserve"> PAGEREF _Toc80794360 \h </w:instrText>
      </w:r>
      <w:r>
        <w:fldChar w:fldCharType="separate"/>
      </w:r>
      <w:r>
        <w:t>49</w:t>
      </w:r>
      <w:r>
        <w:fldChar w:fldCharType="end"/>
      </w:r>
    </w:p>
    <w:p>
      <w:pPr>
        <w:pStyle w:val="TOC8"/>
        <w:rPr>
          <w:rFonts w:asciiTheme="minorHAnsi" w:eastAsiaTheme="minorEastAsia" w:hAnsiTheme="minorHAnsi" w:cstheme="minorBidi"/>
          <w:szCs w:val="22"/>
        </w:rPr>
      </w:pPr>
      <w:r>
        <w:t>36BC</w:t>
      </w:r>
      <w:r>
        <w:rPr>
          <w:snapToGrid w:val="0"/>
        </w:rPr>
        <w:t>.</w:t>
      </w:r>
      <w:r>
        <w:rPr>
          <w:snapToGrid w:val="0"/>
        </w:rPr>
        <w:tab/>
        <w:t>Sexual experience of complainant, evidence of</w:t>
      </w:r>
      <w:r>
        <w:tab/>
      </w:r>
      <w:r>
        <w:fldChar w:fldCharType="begin"/>
      </w:r>
      <w:r>
        <w:instrText xml:space="preserve"> PAGEREF _Toc80794361 \h </w:instrText>
      </w:r>
      <w:r>
        <w:fldChar w:fldCharType="separate"/>
      </w:r>
      <w:r>
        <w:t>49</w:t>
      </w:r>
      <w:r>
        <w:fldChar w:fldCharType="end"/>
      </w:r>
    </w:p>
    <w:p>
      <w:pPr>
        <w:pStyle w:val="TOC8"/>
        <w:rPr>
          <w:rFonts w:asciiTheme="minorHAnsi" w:eastAsiaTheme="minorEastAsia" w:hAnsiTheme="minorHAnsi" w:cstheme="minorBidi"/>
          <w:szCs w:val="22"/>
        </w:rPr>
      </w:pPr>
      <w:r>
        <w:t>36BD</w:t>
      </w:r>
      <w:r>
        <w:rPr>
          <w:snapToGrid w:val="0"/>
        </w:rPr>
        <w:t>.</w:t>
      </w:r>
      <w:r>
        <w:rPr>
          <w:snapToGrid w:val="0"/>
        </w:rPr>
        <w:tab/>
        <w:t>Lack of complaint, jury warning about</w:t>
      </w:r>
      <w:r>
        <w:tab/>
      </w:r>
      <w:r>
        <w:fldChar w:fldCharType="begin"/>
      </w:r>
      <w:r>
        <w:instrText xml:space="preserve"> PAGEREF _Toc80794362 \h </w:instrText>
      </w:r>
      <w:r>
        <w:fldChar w:fldCharType="separate"/>
      </w:r>
      <w:r>
        <w:t>50</w:t>
      </w:r>
      <w:r>
        <w:fldChar w:fldCharType="end"/>
      </w:r>
    </w:p>
    <w:p>
      <w:pPr>
        <w:pStyle w:val="TOC8"/>
        <w:rPr>
          <w:rFonts w:asciiTheme="minorHAnsi" w:eastAsiaTheme="minorEastAsia" w:hAnsiTheme="minorHAnsi" w:cstheme="minorBidi"/>
          <w:szCs w:val="22"/>
        </w:rPr>
      </w:pPr>
      <w:r>
        <w:t>36BE.</w:t>
      </w:r>
      <w:r>
        <w:tab/>
        <w:t>Expert evidence of child behaviour</w:t>
      </w:r>
      <w:r>
        <w:tab/>
      </w:r>
      <w:r>
        <w:fldChar w:fldCharType="begin"/>
      </w:r>
      <w:r>
        <w:instrText xml:space="preserve"> PAGEREF _Toc80794363 \h </w:instrText>
      </w:r>
      <w:r>
        <w:fldChar w:fldCharType="separate"/>
      </w:r>
      <w:r>
        <w:t>50</w:t>
      </w:r>
      <w:r>
        <w:fldChar w:fldCharType="end"/>
      </w:r>
    </w:p>
    <w:p>
      <w:pPr>
        <w:pStyle w:val="TOC8"/>
        <w:rPr>
          <w:rFonts w:asciiTheme="minorHAnsi" w:eastAsiaTheme="minorEastAsia" w:hAnsiTheme="minorHAnsi" w:cstheme="minorBidi"/>
          <w:szCs w:val="22"/>
        </w:rPr>
      </w:pPr>
      <w:r>
        <w:t>36C</w:t>
      </w:r>
      <w:r>
        <w:rPr>
          <w:snapToGrid w:val="0"/>
        </w:rPr>
        <w:t>.</w:t>
      </w:r>
      <w:r>
        <w:rPr>
          <w:snapToGrid w:val="0"/>
        </w:rPr>
        <w:tab/>
        <w:t>Names of complainants not to be published</w:t>
      </w:r>
      <w:r>
        <w:tab/>
      </w:r>
      <w:r>
        <w:fldChar w:fldCharType="begin"/>
      </w:r>
      <w:r>
        <w:instrText xml:space="preserve"> PAGEREF _Toc80794364 \h </w:instrText>
      </w:r>
      <w:r>
        <w:fldChar w:fldCharType="separate"/>
      </w:r>
      <w:r>
        <w:t>51</w:t>
      </w:r>
      <w:r>
        <w:fldChar w:fldCharType="end"/>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_Toc80794365 \h </w:instrText>
      </w:r>
      <w:r>
        <w:fldChar w:fldCharType="separate"/>
      </w:r>
      <w:r>
        <w:t>53</w:t>
      </w:r>
      <w:r>
        <w:fldChar w:fldCharType="end"/>
      </w:r>
    </w:p>
    <w:p>
      <w:pPr>
        <w:pStyle w:val="TOC8"/>
        <w:rPr>
          <w:rFonts w:asciiTheme="minorHAnsi" w:eastAsiaTheme="minorEastAsia" w:hAnsiTheme="minorHAnsi" w:cstheme="minorBidi"/>
          <w:szCs w:val="22"/>
        </w:rPr>
      </w:pPr>
      <w:r>
        <w:t>38.</w:t>
      </w:r>
      <w:r>
        <w:tab/>
        <w:t>What may constitute evidence of family violence</w:t>
      </w:r>
      <w:r>
        <w:tab/>
      </w:r>
      <w:r>
        <w:fldChar w:fldCharType="begin"/>
      </w:r>
      <w:r>
        <w:instrText xml:space="preserve"> PAGEREF _Toc80794366 \h </w:instrText>
      </w:r>
      <w:r>
        <w:fldChar w:fldCharType="separate"/>
      </w:r>
      <w:r>
        <w:t>54</w:t>
      </w:r>
      <w:r>
        <w:fldChar w:fldCharType="end"/>
      </w:r>
    </w:p>
    <w:p>
      <w:pPr>
        <w:pStyle w:val="TOC8"/>
        <w:rPr>
          <w:rFonts w:asciiTheme="minorHAnsi" w:eastAsiaTheme="minorEastAsia" w:hAnsiTheme="minorHAnsi" w:cstheme="minorBidi"/>
          <w:szCs w:val="22"/>
        </w:rPr>
      </w:pPr>
      <w:r>
        <w:t>39.</w:t>
      </w:r>
      <w:r>
        <w:tab/>
        <w:t>Expert evidence of family violence</w:t>
      </w:r>
      <w:r>
        <w:tab/>
      </w:r>
      <w:r>
        <w:fldChar w:fldCharType="begin"/>
      </w:r>
      <w:r>
        <w:instrText xml:space="preserve"> PAGEREF _Toc80794367 \h </w:instrText>
      </w:r>
      <w:r>
        <w:fldChar w:fldCharType="separate"/>
      </w:r>
      <w:r>
        <w:t>55</w:t>
      </w:r>
      <w:r>
        <w:fldChar w:fldCharType="end"/>
      </w:r>
    </w:p>
    <w:p>
      <w:pPr>
        <w:pStyle w:val="TOC8"/>
        <w:rPr>
          <w:rFonts w:asciiTheme="minorHAnsi" w:eastAsiaTheme="minorEastAsia" w:hAnsiTheme="minorHAnsi" w:cstheme="minorBidi"/>
          <w:szCs w:val="22"/>
        </w:rPr>
      </w:pPr>
      <w:r>
        <w:t>39A.</w:t>
      </w:r>
      <w:r>
        <w:tab/>
        <w:t>Evidence of family violence — general provision</w:t>
      </w:r>
      <w:r>
        <w:tab/>
      </w:r>
      <w:r>
        <w:fldChar w:fldCharType="begin"/>
      </w:r>
      <w:r>
        <w:instrText xml:space="preserve"> PAGEREF _Toc80794368 \h </w:instrText>
      </w:r>
      <w:r>
        <w:fldChar w:fldCharType="separate"/>
      </w:r>
      <w:r>
        <w:t>56</w:t>
      </w:r>
      <w:r>
        <w:fldChar w:fldCharType="end"/>
      </w:r>
    </w:p>
    <w:p>
      <w:pPr>
        <w:pStyle w:val="TOC8"/>
        <w:rPr>
          <w:rFonts w:asciiTheme="minorHAnsi" w:eastAsiaTheme="minorEastAsia" w:hAnsiTheme="minorHAnsi" w:cstheme="minorBidi"/>
          <w:szCs w:val="22"/>
        </w:rPr>
      </w:pPr>
      <w:r>
        <w:t>39B.</w:t>
      </w:r>
      <w:r>
        <w:tab/>
        <w:t>Evidence of family violence — self</w:t>
      </w:r>
      <w:r>
        <w:noBreakHyphen/>
        <w:t>defence</w:t>
      </w:r>
      <w:r>
        <w:tab/>
      </w:r>
      <w:r>
        <w:fldChar w:fldCharType="begin"/>
      </w:r>
      <w:r>
        <w:instrText xml:space="preserve"> PAGEREF _Toc80794369 \h </w:instrText>
      </w:r>
      <w:r>
        <w:fldChar w:fldCharType="separate"/>
      </w:r>
      <w:r>
        <w:t>56</w:t>
      </w:r>
      <w:r>
        <w:fldChar w:fldCharType="end"/>
      </w:r>
    </w:p>
    <w:p>
      <w:pPr>
        <w:pStyle w:val="TOC8"/>
        <w:rPr>
          <w:rFonts w:asciiTheme="minorHAnsi" w:eastAsiaTheme="minorEastAsia" w:hAnsiTheme="minorHAnsi" w:cstheme="minorBidi"/>
          <w:szCs w:val="22"/>
        </w:rPr>
      </w:pPr>
      <w:r>
        <w:t>39C.</w:t>
      </w:r>
      <w:r>
        <w:tab/>
        <w:t>Request for direction on family violence — self</w:t>
      </w:r>
      <w:r>
        <w:noBreakHyphen/>
        <w:t>defence</w:t>
      </w:r>
      <w:r>
        <w:tab/>
      </w:r>
      <w:r>
        <w:fldChar w:fldCharType="begin"/>
      </w:r>
      <w:r>
        <w:instrText xml:space="preserve"> PAGEREF _Toc80794370 \h </w:instrText>
      </w:r>
      <w:r>
        <w:fldChar w:fldCharType="separate"/>
      </w:r>
      <w:r>
        <w:t>57</w:t>
      </w:r>
      <w:r>
        <w:fldChar w:fldCharType="end"/>
      </w:r>
    </w:p>
    <w:p>
      <w:pPr>
        <w:pStyle w:val="TOC8"/>
        <w:rPr>
          <w:rFonts w:asciiTheme="minorHAnsi" w:eastAsiaTheme="minorEastAsia" w:hAnsiTheme="minorHAnsi" w:cstheme="minorBidi"/>
          <w:szCs w:val="22"/>
        </w:rPr>
      </w:pPr>
      <w:r>
        <w:t>39D.</w:t>
      </w:r>
      <w:r>
        <w:tab/>
        <w:t>Request for direction on family violence — general provision</w:t>
      </w:r>
      <w:r>
        <w:tab/>
      </w:r>
      <w:r>
        <w:fldChar w:fldCharType="begin"/>
      </w:r>
      <w:r>
        <w:instrText xml:space="preserve"> PAGEREF _Toc80794371 \h </w:instrText>
      </w:r>
      <w:r>
        <w:fldChar w:fldCharType="separate"/>
      </w:r>
      <w:r>
        <w:t>57</w:t>
      </w:r>
      <w:r>
        <w:fldChar w:fldCharType="end"/>
      </w:r>
    </w:p>
    <w:p>
      <w:pPr>
        <w:pStyle w:val="TOC8"/>
        <w:rPr>
          <w:rFonts w:asciiTheme="minorHAnsi" w:eastAsiaTheme="minorEastAsia" w:hAnsiTheme="minorHAnsi" w:cstheme="minorBidi"/>
          <w:szCs w:val="22"/>
        </w:rPr>
      </w:pPr>
      <w:r>
        <w:t>39E.</w:t>
      </w:r>
      <w:r>
        <w:tab/>
        <w:t>Content of direction on family violence</w:t>
      </w:r>
      <w:r>
        <w:tab/>
      </w:r>
      <w:r>
        <w:fldChar w:fldCharType="begin"/>
      </w:r>
      <w:r>
        <w:instrText xml:space="preserve"> PAGEREF _Toc80794372 \h </w:instrText>
      </w:r>
      <w:r>
        <w:fldChar w:fldCharType="separate"/>
      </w:r>
      <w:r>
        <w:t>58</w:t>
      </w:r>
      <w:r>
        <w:fldChar w:fldCharType="end"/>
      </w:r>
    </w:p>
    <w:p>
      <w:pPr>
        <w:pStyle w:val="TOC8"/>
        <w:rPr>
          <w:rFonts w:asciiTheme="minorHAnsi" w:eastAsiaTheme="minorEastAsia" w:hAnsiTheme="minorHAnsi" w:cstheme="minorBidi"/>
          <w:szCs w:val="22"/>
        </w:rPr>
      </w:pPr>
      <w:r>
        <w:t>39F.</w:t>
      </w:r>
      <w:r>
        <w:tab/>
        <w:t>Additional matters for direction on family violence</w:t>
      </w:r>
      <w:r>
        <w:tab/>
      </w:r>
      <w:r>
        <w:fldChar w:fldCharType="begin"/>
      </w:r>
      <w:r>
        <w:instrText xml:space="preserve"> PAGEREF _Toc80794373 \h </w:instrText>
      </w:r>
      <w:r>
        <w:fldChar w:fldCharType="separate"/>
      </w:r>
      <w:r>
        <w:t>59</w:t>
      </w:r>
      <w:r>
        <w:fldChar w:fldCharType="end"/>
      </w:r>
    </w:p>
    <w:p>
      <w:pPr>
        <w:pStyle w:val="TOC8"/>
        <w:rPr>
          <w:rFonts w:asciiTheme="minorHAnsi" w:eastAsiaTheme="minorEastAsia" w:hAnsiTheme="minorHAnsi" w:cstheme="minorBidi"/>
          <w:szCs w:val="22"/>
        </w:rPr>
      </w:pPr>
      <w:r>
        <w:t>39G.</w:t>
      </w:r>
      <w:r>
        <w:tab/>
        <w:t>Application of s. 39E and 39F to criminal proceedings without juries</w:t>
      </w:r>
      <w:r>
        <w:tab/>
      </w:r>
      <w:r>
        <w:fldChar w:fldCharType="begin"/>
      </w:r>
      <w:r>
        <w:instrText xml:space="preserve"> PAGEREF _Toc80794374 \h </w:instrText>
      </w:r>
      <w:r>
        <w:fldChar w:fldCharType="separate"/>
      </w:r>
      <w:r>
        <w:t>61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Customs prosecutions, effect of averments in</w:t>
      </w:r>
      <w:r>
        <w:tab/>
      </w:r>
      <w:r>
        <w:fldChar w:fldCharType="begin"/>
      </w:r>
      <w:r>
        <w:instrText xml:space="preserve"> PAGEREF _Toc80794375 \h </w:instrText>
      </w:r>
      <w:r>
        <w:fldChar w:fldCharType="separate"/>
      </w:r>
      <w:r>
        <w:t>61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Customs prosecutions, proof of appointment of officers</w:t>
      </w:r>
      <w:r>
        <w:tab/>
      </w:r>
      <w:r>
        <w:fldChar w:fldCharType="begin"/>
      </w:r>
      <w:r>
        <w:instrText xml:space="preserve"> PAGEREF _Toc80794376 \h </w:instrText>
      </w:r>
      <w:r>
        <w:fldChar w:fldCharType="separate"/>
      </w:r>
      <w:r>
        <w:t>62</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Stealing and receiving charges, evidence of ownership of property stolen from ships, wharves etc.</w:t>
      </w:r>
      <w:r>
        <w:tab/>
      </w:r>
      <w:r>
        <w:fldChar w:fldCharType="begin"/>
      </w:r>
      <w:r>
        <w:instrText xml:space="preserve"> PAGEREF _Toc80794377 \h </w:instrText>
      </w:r>
      <w:r>
        <w:fldChar w:fldCharType="separate"/>
      </w:r>
      <w:r>
        <w:t>62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Evidence on trial for defamation</w:t>
      </w:r>
      <w:r>
        <w:tab/>
      </w:r>
      <w:r>
        <w:fldChar w:fldCharType="begin"/>
      </w:r>
      <w:r>
        <w:instrText xml:space="preserve"> PAGEREF _Toc80794378 \h </w:instrText>
      </w:r>
      <w:r>
        <w:fldChar w:fldCharType="separate"/>
      </w:r>
      <w:r>
        <w:t>63</w:t>
      </w:r>
      <w:r>
        <w:fldChar w:fldCharType="end"/>
      </w:r>
    </w:p>
    <w:p>
      <w:pPr>
        <w:pStyle w:val="TOC8"/>
        <w:rPr>
          <w:rFonts w:asciiTheme="minorHAnsi" w:eastAsiaTheme="minorEastAsia" w:hAnsiTheme="minorHAnsi" w:cstheme="minorBidi"/>
          <w:szCs w:val="22"/>
        </w:rPr>
      </w:pPr>
      <w:r>
        <w:lastRenderedPageBreak/>
        <w:t>44</w:t>
      </w:r>
      <w:r>
        <w:rPr>
          <w:snapToGrid w:val="0"/>
        </w:rPr>
        <w:t>.</w:t>
      </w:r>
      <w:r>
        <w:rPr>
          <w:snapToGrid w:val="0"/>
        </w:rPr>
        <w:tab/>
        <w:t>Stealing charges, proof of receipt of money by accused, proof of general deficiency</w:t>
      </w:r>
      <w:r>
        <w:tab/>
      </w:r>
      <w:r>
        <w:fldChar w:fldCharType="begin"/>
      </w:r>
      <w:r>
        <w:instrText xml:space="preserve"> PAGEREF _Toc80794379 \h </w:instrText>
      </w:r>
      <w:r>
        <w:fldChar w:fldCharType="separate"/>
      </w:r>
      <w:r>
        <w:t>64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Seals and stamps for the revenue or post office, proof of</w:t>
      </w:r>
      <w:r>
        <w:tab/>
      </w:r>
      <w:r>
        <w:fldChar w:fldCharType="begin"/>
      </w:r>
      <w:r>
        <w:instrText xml:space="preserve"> PAGEREF _Toc80794380 \h </w:instrText>
      </w:r>
      <w:r>
        <w:fldChar w:fldCharType="separate"/>
      </w:r>
      <w:r>
        <w:t>64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Receiving charges, proof of knowledge that goods were stolen</w:t>
      </w:r>
      <w:r>
        <w:tab/>
      </w:r>
      <w:r>
        <w:fldChar w:fldCharType="begin"/>
      </w:r>
      <w:r>
        <w:instrText xml:space="preserve"> PAGEREF _Toc80794381 \h </w:instrText>
      </w:r>
      <w:r>
        <w:fldChar w:fldCharType="separate"/>
      </w:r>
      <w:r>
        <w:t>65</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Sunrise and sunset, proof of</w:t>
      </w:r>
      <w:r>
        <w:tab/>
      </w:r>
      <w:r>
        <w:fldChar w:fldCharType="begin"/>
      </w:r>
      <w:r>
        <w:instrText xml:space="preserve"> PAGEREF _Toc80794382 \h </w:instrText>
      </w:r>
      <w:r>
        <w:fldChar w:fldCharType="separate"/>
      </w:r>
      <w:r>
        <w:t>65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Conviction, acquittal and identity, proof of</w:t>
      </w:r>
      <w:r>
        <w:tab/>
      </w:r>
      <w:r>
        <w:fldChar w:fldCharType="begin"/>
      </w:r>
      <w:r>
        <w:instrText xml:space="preserve"> PAGEREF _Toc80794383 \h </w:instrText>
      </w:r>
      <w:r>
        <w:fldChar w:fldCharType="separate"/>
      </w:r>
      <w:r>
        <w:t>65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Actions for seduction</w:t>
      </w:r>
      <w:r>
        <w:tab/>
      </w:r>
      <w:r>
        <w:fldChar w:fldCharType="begin"/>
      </w:r>
      <w:r>
        <w:instrText xml:space="preserve"> PAGEREF _Toc80794384 \h </w:instrText>
      </w:r>
      <w:r>
        <w:fldChar w:fldCharType="separate"/>
      </w:r>
      <w:r>
        <w:t>67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Corroboration warnings not generally required</w:t>
      </w:r>
      <w:r>
        <w:tab/>
      </w:r>
      <w:r>
        <w:fldChar w:fldCharType="begin"/>
      </w:r>
      <w:r>
        <w:instrText xml:space="preserve"> PAGEREF _Toc80794385 \h </w:instrText>
      </w:r>
      <w:r>
        <w:fldChar w:fldCharType="separate"/>
      </w:r>
      <w:r>
        <w:t>67</w:t>
      </w:r>
      <w:r>
        <w:fldChar w:fldCharType="end"/>
      </w:r>
    </w:p>
    <w:p>
      <w:pPr>
        <w:pStyle w:val="TOC8"/>
        <w:rPr>
          <w:rFonts w:asciiTheme="minorHAnsi" w:eastAsiaTheme="minorEastAsia" w:hAnsiTheme="minorHAnsi" w:cstheme="minorBidi"/>
          <w:szCs w:val="22"/>
        </w:rPr>
      </w:pPr>
      <w:r>
        <w:t>50A.</w:t>
      </w:r>
      <w:r>
        <w:tab/>
        <w:t>Transcripts, proof of</w:t>
      </w:r>
      <w:r>
        <w:tab/>
      </w:r>
      <w:r>
        <w:fldChar w:fldCharType="begin"/>
      </w:r>
      <w:r>
        <w:instrText xml:space="preserve"> PAGEREF _Toc80794386 \h </w:instrText>
      </w:r>
      <w:r>
        <w:fldChar w:fldCharType="separate"/>
      </w:r>
      <w:r>
        <w:t>68</w:t>
      </w:r>
      <w:r>
        <w:fldChar w:fldCharType="end"/>
      </w:r>
    </w:p>
    <w:p>
      <w:pPr>
        <w:pStyle w:val="TOC8"/>
        <w:rPr>
          <w:rFonts w:asciiTheme="minorHAnsi" w:eastAsiaTheme="minorEastAsia" w:hAnsiTheme="minorHAnsi" w:cstheme="minorBidi"/>
          <w:szCs w:val="22"/>
        </w:rPr>
      </w:pPr>
      <w:r>
        <w:t>50B.</w:t>
      </w:r>
      <w:r>
        <w:tab/>
        <w:t>DNA evidentiary certificate</w:t>
      </w:r>
      <w:r>
        <w:tab/>
      </w:r>
      <w:r>
        <w:fldChar w:fldCharType="begin"/>
      </w:r>
      <w:r>
        <w:instrText xml:space="preserve"> PAGEREF _Toc80794387 \h </w:instrText>
      </w:r>
      <w:r>
        <w:fldChar w:fldCharType="separate"/>
      </w:r>
      <w:r>
        <w:t>69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Prisoner required to give evidence may be brought up on order</w:t>
      </w:r>
      <w:r>
        <w:tab/>
      </w:r>
      <w:r>
        <w:fldChar w:fldCharType="begin"/>
      </w:r>
      <w:r>
        <w:instrText xml:space="preserve"> PAGEREF _Toc80794388 \h </w:instrText>
      </w:r>
      <w:r>
        <w:fldChar w:fldCharType="separate"/>
      </w:r>
      <w:r>
        <w:t>71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Expense of bringing up prisoner</w:t>
      </w:r>
      <w:r>
        <w:tab/>
      </w:r>
      <w:r>
        <w:fldChar w:fldCharType="begin"/>
      </w:r>
      <w:r>
        <w:instrText xml:space="preserve"> PAGEREF _Toc80794389 \h </w:instrText>
      </w:r>
      <w:r>
        <w:fldChar w:fldCharType="separate"/>
      </w:r>
      <w:r>
        <w:t>71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Commonwealth and States etc., and their Acts to be judicially noticed</w:t>
      </w:r>
      <w:r>
        <w:tab/>
      </w:r>
      <w:r>
        <w:fldChar w:fldCharType="begin"/>
      </w:r>
      <w:r>
        <w:instrText xml:space="preserve"> PAGEREF _Toc80794390 \h </w:instrText>
      </w:r>
      <w:r>
        <w:fldChar w:fldCharType="separate"/>
      </w:r>
      <w:r>
        <w:t>72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Seals of the Commonwealth and States to be judicially noticed</w:t>
      </w:r>
      <w:r>
        <w:tab/>
      </w:r>
      <w:r>
        <w:fldChar w:fldCharType="begin"/>
      </w:r>
      <w:r>
        <w:instrText xml:space="preserve"> PAGEREF _Toc80794391 \h </w:instrText>
      </w:r>
      <w:r>
        <w:fldChar w:fldCharType="separate"/>
      </w:r>
      <w:r>
        <w:t>72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Official seals to be judicially noticed</w:t>
      </w:r>
      <w:r>
        <w:tab/>
      </w:r>
      <w:r>
        <w:fldChar w:fldCharType="begin"/>
      </w:r>
      <w:r>
        <w:instrText xml:space="preserve"> PAGEREF _Toc80794392 \h </w:instrText>
      </w:r>
      <w:r>
        <w:fldChar w:fldCharType="separate"/>
      </w:r>
      <w:r>
        <w:t>73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Certain signatures to be judicially noticed</w:t>
      </w:r>
      <w:r>
        <w:tab/>
      </w:r>
      <w:r>
        <w:fldChar w:fldCharType="begin"/>
      </w:r>
      <w:r>
        <w:instrText xml:space="preserve"> PAGEREF _Toc80794393 \h </w:instrText>
      </w:r>
      <w:r>
        <w:fldChar w:fldCharType="separate"/>
      </w:r>
      <w:r>
        <w:t>73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United Kingdom proclamations, regulations etc., proof of</w:t>
      </w:r>
      <w:r>
        <w:tab/>
      </w:r>
      <w:r>
        <w:fldChar w:fldCharType="begin"/>
      </w:r>
      <w:r>
        <w:instrText xml:space="preserve"> PAGEREF _Toc80794394 \h </w:instrText>
      </w:r>
      <w:r>
        <w:fldChar w:fldCharType="separate"/>
      </w:r>
      <w:r>
        <w:t>74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Australasian proclamations, regulations etc., proof of</w:t>
      </w:r>
      <w:r>
        <w:tab/>
      </w:r>
      <w:r>
        <w:fldChar w:fldCharType="begin"/>
      </w:r>
      <w:r>
        <w:instrText xml:space="preserve"> PAGEREF _Toc80794395 \h </w:instrText>
      </w:r>
      <w:r>
        <w:fldChar w:fldCharType="separate"/>
      </w:r>
      <w:r>
        <w:t>76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r>
      <w:r>
        <w:rPr>
          <w:i/>
          <w:snapToGrid w:val="0"/>
        </w:rPr>
        <w:t>Customs Act 1901</w:t>
      </w:r>
      <w:r>
        <w:rPr>
          <w:snapToGrid w:val="0"/>
        </w:rPr>
        <w:t xml:space="preserve"> (Cwlth) proclamations, regulations etc., proof of</w:t>
      </w:r>
      <w:r>
        <w:tab/>
      </w:r>
      <w:r>
        <w:fldChar w:fldCharType="begin"/>
      </w:r>
      <w:r>
        <w:instrText xml:space="preserve"> PAGEREF _Toc80794396 \h </w:instrText>
      </w:r>
      <w:r>
        <w:fldChar w:fldCharType="separate"/>
      </w:r>
      <w:r>
        <w:t>77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Australian States’ proclamations and acts of State, proof of</w:t>
      </w:r>
      <w:r>
        <w:tab/>
      </w:r>
      <w:r>
        <w:fldChar w:fldCharType="begin"/>
      </w:r>
      <w:r>
        <w:instrText xml:space="preserve"> PAGEREF _Toc80794397 \h </w:instrText>
      </w:r>
      <w:r>
        <w:fldChar w:fldCharType="separate"/>
      </w:r>
      <w:r>
        <w:t>77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WA proclamations, regulations etc., proof of</w:t>
      </w:r>
      <w:r>
        <w:tab/>
      </w:r>
      <w:r>
        <w:fldChar w:fldCharType="begin"/>
      </w:r>
      <w:r>
        <w:instrText xml:space="preserve"> PAGEREF _Toc80794398 \h </w:instrText>
      </w:r>
      <w:r>
        <w:fldChar w:fldCharType="separate"/>
      </w:r>
      <w:r>
        <w:t>77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Documents admissible in United Kingdom etc. to be admissible in WA</w:t>
      </w:r>
      <w:r>
        <w:tab/>
      </w:r>
      <w:r>
        <w:fldChar w:fldCharType="begin"/>
      </w:r>
      <w:r>
        <w:instrText xml:space="preserve"> PAGEREF _Toc80794399 \h </w:instrText>
      </w:r>
      <w:r>
        <w:fldChar w:fldCharType="separate"/>
      </w:r>
      <w:r>
        <w:t>78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Foreign States’ proclamations, acts of State etc., proof of</w:t>
      </w:r>
      <w:r>
        <w:tab/>
      </w:r>
      <w:r>
        <w:fldChar w:fldCharType="begin"/>
      </w:r>
      <w:r>
        <w:instrText xml:space="preserve"> PAGEREF _Toc80794400 \h </w:instrText>
      </w:r>
      <w:r>
        <w:fldChar w:fldCharType="separate"/>
      </w:r>
      <w:r>
        <w:t>78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Foreign States’ proclamations etc. admissible even if not sealed</w:t>
      </w:r>
      <w:r>
        <w:tab/>
      </w:r>
      <w:r>
        <w:fldChar w:fldCharType="begin"/>
      </w:r>
      <w:r>
        <w:instrText xml:space="preserve"> PAGEREF _Toc80794401 \h </w:instrText>
      </w:r>
      <w:r>
        <w:fldChar w:fldCharType="separate"/>
      </w:r>
      <w:r>
        <w:t>78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Copies of public documents admissible in some cases</w:t>
      </w:r>
      <w:r>
        <w:tab/>
      </w:r>
      <w:r>
        <w:fldChar w:fldCharType="begin"/>
      </w:r>
      <w:r>
        <w:instrText xml:space="preserve"> PAGEREF _Toc80794402 \h </w:instrText>
      </w:r>
      <w:r>
        <w:fldChar w:fldCharType="separate"/>
      </w:r>
      <w:r>
        <w:t>79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Certified photographs from library admissible</w:t>
      </w:r>
      <w:r>
        <w:tab/>
      </w:r>
      <w:r>
        <w:fldChar w:fldCharType="begin"/>
      </w:r>
      <w:r>
        <w:instrText xml:space="preserve"> PAGEREF _Toc80794403 \h </w:instrText>
      </w:r>
      <w:r>
        <w:fldChar w:fldCharType="separate"/>
      </w:r>
      <w:r>
        <w:t>79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Parliamentary proceedings in Australasia, proof of</w:t>
      </w:r>
      <w:r>
        <w:tab/>
      </w:r>
      <w:r>
        <w:fldChar w:fldCharType="begin"/>
      </w:r>
      <w:r>
        <w:instrText xml:space="preserve"> PAGEREF _Toc80794404 \h </w:instrText>
      </w:r>
      <w:r>
        <w:fldChar w:fldCharType="separate"/>
      </w:r>
      <w:r>
        <w:t>80</w:t>
      </w:r>
      <w:r>
        <w:fldChar w:fldCharType="end"/>
      </w:r>
    </w:p>
    <w:p>
      <w:pPr>
        <w:pStyle w:val="TOC8"/>
        <w:rPr>
          <w:rFonts w:asciiTheme="minorHAnsi" w:eastAsiaTheme="minorEastAsia" w:hAnsiTheme="minorHAnsi" w:cstheme="minorBidi"/>
          <w:szCs w:val="22"/>
        </w:rPr>
      </w:pPr>
      <w:r>
        <w:lastRenderedPageBreak/>
        <w:t>67</w:t>
      </w:r>
      <w:r>
        <w:rPr>
          <w:snapToGrid w:val="0"/>
        </w:rPr>
        <w:t>.</w:t>
      </w:r>
      <w:r>
        <w:rPr>
          <w:snapToGrid w:val="0"/>
        </w:rPr>
        <w:tab/>
        <w:t>Certain documents admissible without proof of signature, seal etc.</w:t>
      </w:r>
      <w:r>
        <w:tab/>
      </w:r>
      <w:r>
        <w:fldChar w:fldCharType="begin"/>
      </w:r>
      <w:r>
        <w:instrText xml:space="preserve"> PAGEREF _Toc80794405 \h </w:instrText>
      </w:r>
      <w:r>
        <w:fldChar w:fldCharType="separate"/>
      </w:r>
      <w:r>
        <w:t>80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Register of British vessels etc., proof of</w:t>
      </w:r>
      <w:r>
        <w:tab/>
      </w:r>
      <w:r>
        <w:fldChar w:fldCharType="begin"/>
      </w:r>
      <w:r>
        <w:instrText xml:space="preserve"> PAGEREF _Toc80794406 \h </w:instrText>
      </w:r>
      <w:r>
        <w:fldChar w:fldCharType="separate"/>
      </w:r>
      <w:r>
        <w:t>81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Newspaper proprietors, proof of register of</w:t>
      </w:r>
      <w:r>
        <w:tab/>
      </w:r>
      <w:r>
        <w:fldChar w:fldCharType="begin"/>
      </w:r>
      <w:r>
        <w:instrText xml:space="preserve"> PAGEREF _Toc80794407 \h </w:instrText>
      </w:r>
      <w:r>
        <w:fldChar w:fldCharType="separate"/>
      </w:r>
      <w:r>
        <w:t>81</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WA registers, proof of</w:t>
      </w:r>
      <w:r>
        <w:tab/>
      </w:r>
      <w:r>
        <w:fldChar w:fldCharType="begin"/>
      </w:r>
      <w:r>
        <w:instrText xml:space="preserve"> PAGEREF _Toc80794408 \h </w:instrText>
      </w:r>
      <w:r>
        <w:fldChar w:fldCharType="separate"/>
      </w:r>
      <w:r>
        <w:t>82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Statutes etc. of any country, proof of</w:t>
      </w:r>
      <w:r>
        <w:tab/>
      </w:r>
      <w:r>
        <w:fldChar w:fldCharType="begin"/>
      </w:r>
      <w:r>
        <w:instrText xml:space="preserve"> PAGEREF _Toc80794409 \h </w:instrText>
      </w:r>
      <w:r>
        <w:fldChar w:fldCharType="separate"/>
      </w:r>
      <w:r>
        <w:t>83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Certain law reports and texts may be referred to as evidence of laws</w:t>
      </w:r>
      <w:r>
        <w:tab/>
      </w:r>
      <w:r>
        <w:fldChar w:fldCharType="begin"/>
      </w:r>
      <w:r>
        <w:instrText xml:space="preserve"> PAGEREF _Toc80794410 \h </w:instrText>
      </w:r>
      <w:r>
        <w:fldChar w:fldCharType="separate"/>
      </w:r>
      <w:r>
        <w:t>83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Authoritative texts on history, science etc., reference to</w:t>
      </w:r>
      <w:r>
        <w:tab/>
      </w:r>
      <w:r>
        <w:fldChar w:fldCharType="begin"/>
      </w:r>
      <w:r>
        <w:instrText xml:space="preserve"> PAGEREF _Toc80794411 \h </w:instrText>
      </w:r>
      <w:r>
        <w:fldChar w:fldCharType="separate"/>
      </w:r>
      <w:r>
        <w:t>83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Documents admitted into evidence may be impounded</w:t>
      </w:r>
      <w:r>
        <w:tab/>
      </w:r>
      <w:r>
        <w:fldChar w:fldCharType="begin"/>
      </w:r>
      <w:r>
        <w:instrText xml:space="preserve"> PAGEREF _Toc80794412 \h </w:instrText>
      </w:r>
      <w:r>
        <w:fldChar w:fldCharType="separate"/>
      </w:r>
      <w:r>
        <w:t>83</w:t>
      </w:r>
      <w:r>
        <w:fldChar w:fldCharType="end"/>
      </w:r>
    </w:p>
    <w:p>
      <w:pPr>
        <w:pStyle w:val="TOC8"/>
        <w:rPr>
          <w:rFonts w:asciiTheme="minorHAnsi" w:eastAsiaTheme="minorEastAsia" w:hAnsiTheme="minorHAnsi" w:cstheme="minorBidi"/>
          <w:szCs w:val="22"/>
        </w:rPr>
      </w:pPr>
      <w:r>
        <w:t>73A.</w:t>
      </w:r>
      <w:r>
        <w:tab/>
        <w:t>Reproductions admissible (best evidence rule modified)</w:t>
      </w:r>
      <w:r>
        <w:tab/>
      </w:r>
      <w:r>
        <w:fldChar w:fldCharType="begin"/>
      </w:r>
      <w:r>
        <w:instrText xml:space="preserve"> PAGEREF _Toc80794413 \h </w:instrText>
      </w:r>
      <w:r>
        <w:fldChar w:fldCharType="separate"/>
      </w:r>
      <w:r>
        <w:t>84</w:t>
      </w:r>
      <w:r>
        <w:fldChar w:fldCharType="end"/>
      </w:r>
    </w:p>
    <w:p>
      <w:pPr>
        <w:pStyle w:val="TOC8"/>
        <w:rPr>
          <w:rFonts w:asciiTheme="minorHAnsi" w:eastAsiaTheme="minorEastAsia" w:hAnsiTheme="minorHAnsi" w:cstheme="minorBidi"/>
          <w:szCs w:val="22"/>
        </w:rPr>
      </w:pPr>
      <w:r>
        <w:t>73B</w:t>
      </w:r>
      <w:r>
        <w:rPr>
          <w:snapToGrid w:val="0"/>
        </w:rPr>
        <w:t>.</w:t>
      </w:r>
      <w:r>
        <w:rPr>
          <w:snapToGrid w:val="0"/>
        </w:rPr>
        <w:tab/>
        <w:t>Certified reproductions of certain public documents etc., admissible without further proof</w:t>
      </w:r>
      <w:r>
        <w:tab/>
      </w:r>
      <w:r>
        <w:fldChar w:fldCharType="begin"/>
      </w:r>
      <w:r>
        <w:instrText xml:space="preserve"> PAGEREF _Toc80794414 \h </w:instrText>
      </w:r>
      <w:r>
        <w:fldChar w:fldCharType="separate"/>
      </w:r>
      <w:r>
        <w:t>85</w:t>
      </w:r>
      <w:r>
        <w:fldChar w:fldCharType="end"/>
      </w:r>
    </w:p>
    <w:p>
      <w:pPr>
        <w:pStyle w:val="TOC8"/>
        <w:rPr>
          <w:rFonts w:asciiTheme="minorHAnsi" w:eastAsiaTheme="minorEastAsia" w:hAnsiTheme="minorHAnsi" w:cstheme="minorBidi"/>
          <w:szCs w:val="22"/>
        </w:rPr>
      </w:pPr>
      <w:r>
        <w:t>73BA.</w:t>
      </w:r>
      <w:r>
        <w:tab/>
        <w:t>Authenticated copies of certain public documents etc. admissible without further proof</w:t>
      </w:r>
      <w:r>
        <w:tab/>
      </w:r>
      <w:r>
        <w:fldChar w:fldCharType="begin"/>
      </w:r>
      <w:r>
        <w:instrText xml:space="preserve"> PAGEREF _Toc80794415 \h </w:instrText>
      </w:r>
      <w:r>
        <w:fldChar w:fldCharType="separate"/>
      </w:r>
      <w:r>
        <w:t>86</w:t>
      </w:r>
      <w:r>
        <w:fldChar w:fldCharType="end"/>
      </w:r>
    </w:p>
    <w:p>
      <w:pPr>
        <w:pStyle w:val="TOC8"/>
        <w:rPr>
          <w:rFonts w:asciiTheme="minorHAnsi" w:eastAsiaTheme="minorEastAsia" w:hAnsiTheme="minorHAnsi" w:cstheme="minorBidi"/>
          <w:szCs w:val="22"/>
        </w:rPr>
      </w:pPr>
      <w:r>
        <w:t>73N</w:t>
      </w:r>
      <w:r>
        <w:rPr>
          <w:snapToGrid w:val="0"/>
        </w:rPr>
        <w:t>.</w:t>
      </w:r>
      <w:r>
        <w:rPr>
          <w:snapToGrid w:val="0"/>
        </w:rPr>
        <w:tab/>
        <w:t>Reproductions of documents over 30 years old, presumptions as to</w:t>
      </w:r>
      <w:r>
        <w:tab/>
      </w:r>
      <w:r>
        <w:fldChar w:fldCharType="begin"/>
      </w:r>
      <w:r>
        <w:instrText xml:space="preserve"> PAGEREF _Toc80794416 \h </w:instrText>
      </w:r>
      <w:r>
        <w:fldChar w:fldCharType="separate"/>
      </w:r>
      <w:r>
        <w:t>87</w:t>
      </w:r>
      <w:r>
        <w:fldChar w:fldCharType="end"/>
      </w:r>
    </w:p>
    <w:p>
      <w:pPr>
        <w:pStyle w:val="TOC8"/>
        <w:rPr>
          <w:rFonts w:asciiTheme="minorHAnsi" w:eastAsiaTheme="minorEastAsia" w:hAnsiTheme="minorHAnsi" w:cstheme="minorBidi"/>
          <w:szCs w:val="22"/>
        </w:rPr>
      </w:pPr>
      <w:r>
        <w:t>73Q</w:t>
      </w:r>
      <w:r>
        <w:rPr>
          <w:snapToGrid w:val="0"/>
        </w:rPr>
        <w:t>.</w:t>
      </w:r>
      <w:r>
        <w:rPr>
          <w:snapToGrid w:val="0"/>
        </w:rPr>
        <w:tab/>
        <w:t>Reproduced official seals and signatures to be judicially noticed</w:t>
      </w:r>
      <w:r>
        <w:tab/>
      </w:r>
      <w:r>
        <w:fldChar w:fldCharType="begin"/>
      </w:r>
      <w:r>
        <w:instrText xml:space="preserve"> PAGEREF _Toc80794417 \h </w:instrText>
      </w:r>
      <w:r>
        <w:fldChar w:fldCharType="separate"/>
      </w:r>
      <w:r>
        <w:t>87</w:t>
      </w:r>
      <w:r>
        <w:fldChar w:fldCharType="end"/>
      </w:r>
    </w:p>
    <w:p>
      <w:pPr>
        <w:pStyle w:val="TOC8"/>
        <w:rPr>
          <w:rFonts w:asciiTheme="minorHAnsi" w:eastAsiaTheme="minorEastAsia" w:hAnsiTheme="minorHAnsi" w:cstheme="minorBidi"/>
          <w:szCs w:val="22"/>
        </w:rPr>
      </w:pPr>
      <w: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r>
        <w:tab/>
      </w:r>
      <w:r>
        <w:fldChar w:fldCharType="begin"/>
      </w:r>
      <w:r>
        <w:instrText xml:space="preserve"> PAGEREF _Toc80794418 \h </w:instrText>
      </w:r>
      <w:r>
        <w:fldChar w:fldCharType="separate"/>
      </w:r>
      <w:r>
        <w:t>88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Gazettes of certain places, proof of</w:t>
      </w:r>
      <w:r>
        <w:tab/>
      </w:r>
      <w:r>
        <w:fldChar w:fldCharType="begin"/>
      </w:r>
      <w:r>
        <w:instrText xml:space="preserve"> PAGEREF _Toc80794419 \h </w:instrText>
      </w:r>
      <w:r>
        <w:fldChar w:fldCharType="separate"/>
      </w:r>
      <w:r>
        <w:t>89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Government Printers’ publications, proof of</w:t>
      </w:r>
      <w:r>
        <w:tab/>
      </w:r>
      <w:r>
        <w:fldChar w:fldCharType="begin"/>
      </w:r>
      <w:r>
        <w:instrText xml:space="preserve"> PAGEREF _Toc80794420 \h </w:instrText>
      </w:r>
      <w:r>
        <w:fldChar w:fldCharType="separate"/>
      </w:r>
      <w:r>
        <w:t>89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Her Majesty’s Stationery Office publications, status of</w:t>
      </w:r>
      <w:r>
        <w:tab/>
      </w:r>
      <w:r>
        <w:fldChar w:fldCharType="begin"/>
      </w:r>
      <w:r>
        <w:instrText xml:space="preserve"> PAGEREF _Toc80794421 \h </w:instrText>
      </w:r>
      <w:r>
        <w:fldChar w:fldCharType="separate"/>
      </w:r>
      <w:r>
        <w:t>89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Acts of governors and ministers of States, proof of</w:t>
      </w:r>
      <w:r>
        <w:tab/>
      </w:r>
      <w:r>
        <w:fldChar w:fldCharType="begin"/>
      </w:r>
      <w:r>
        <w:instrText xml:space="preserve"> PAGEREF _Toc80794422 \h </w:instrText>
      </w:r>
      <w:r>
        <w:fldChar w:fldCharType="separate"/>
      </w:r>
      <w:r>
        <w:t>90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Local laws, by</w:t>
      </w:r>
      <w:r>
        <w:rPr>
          <w:snapToGrid w:val="0"/>
        </w:rPr>
        <w:noBreakHyphen/>
        <w:t>laws and regulations, proof of</w:t>
      </w:r>
      <w:r>
        <w:tab/>
      </w:r>
      <w:r>
        <w:fldChar w:fldCharType="begin"/>
      </w:r>
      <w:r>
        <w:instrText xml:space="preserve"> PAGEREF _Toc80794423 \h </w:instrText>
      </w:r>
      <w:r>
        <w:fldChar w:fldCharType="separate"/>
      </w:r>
      <w:r>
        <w:t>90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Incorporation of a company, proof of</w:t>
      </w:r>
      <w:r>
        <w:tab/>
      </w:r>
      <w:r>
        <w:fldChar w:fldCharType="begin"/>
      </w:r>
      <w:r>
        <w:instrText xml:space="preserve"> PAGEREF _Toc80794424 \h </w:instrText>
      </w:r>
      <w:r>
        <w:fldChar w:fldCharType="separate"/>
      </w:r>
      <w:r>
        <w:t>90</w:t>
      </w:r>
      <w:r>
        <w:fldChar w:fldCharType="end"/>
      </w:r>
    </w:p>
    <w:p>
      <w:pPr>
        <w:pStyle w:val="TOC8"/>
        <w:rPr>
          <w:rFonts w:asciiTheme="minorHAnsi" w:eastAsiaTheme="minorEastAsia" w:hAnsiTheme="minorHAnsi" w:cstheme="minorBidi"/>
          <w:szCs w:val="22"/>
        </w:rPr>
      </w:pPr>
      <w:r>
        <w:t>79A</w:t>
      </w:r>
      <w:r>
        <w:rPr>
          <w:snapToGrid w:val="0"/>
        </w:rPr>
        <w:t>.</w:t>
      </w:r>
      <w:r>
        <w:rPr>
          <w:snapToGrid w:val="0"/>
        </w:rPr>
        <w:tab/>
        <w:t>Document requiring attestation, proof of</w:t>
      </w:r>
      <w:r>
        <w:tab/>
      </w:r>
      <w:r>
        <w:fldChar w:fldCharType="begin"/>
      </w:r>
      <w:r>
        <w:instrText xml:space="preserve"> PAGEREF _Toc80794425 \h </w:instrText>
      </w:r>
      <w:r>
        <w:fldChar w:fldCharType="separate"/>
      </w:r>
      <w:r>
        <w:t>92</w:t>
      </w:r>
      <w:r>
        <w:fldChar w:fldCharType="end"/>
      </w:r>
    </w:p>
    <w:p>
      <w:pPr>
        <w:pStyle w:val="TOC8"/>
        <w:rPr>
          <w:rFonts w:asciiTheme="minorHAnsi" w:eastAsiaTheme="minorEastAsia" w:hAnsiTheme="minorHAnsi" w:cstheme="minorBidi"/>
          <w:szCs w:val="22"/>
        </w:rPr>
      </w:pPr>
      <w:r>
        <w:t>79B</w:t>
      </w:r>
      <w:r>
        <w:rPr>
          <w:snapToGrid w:val="0"/>
        </w:rPr>
        <w:t>.</w:t>
      </w:r>
      <w:r>
        <w:rPr>
          <w:snapToGrid w:val="0"/>
        </w:rPr>
        <w:tab/>
        <w:t>Terms used</w:t>
      </w:r>
      <w:r>
        <w:tab/>
      </w:r>
      <w:r>
        <w:fldChar w:fldCharType="begin"/>
      </w:r>
      <w:r>
        <w:instrText xml:space="preserve"> PAGEREF _Toc80794426 \h </w:instrText>
      </w:r>
      <w:r>
        <w:fldChar w:fldCharType="separate"/>
      </w:r>
      <w:r>
        <w:t>92</w:t>
      </w:r>
      <w:r>
        <w:fldChar w:fldCharType="end"/>
      </w:r>
    </w:p>
    <w:p>
      <w:pPr>
        <w:pStyle w:val="TOC8"/>
        <w:rPr>
          <w:rFonts w:asciiTheme="minorHAnsi" w:eastAsiaTheme="minorEastAsia" w:hAnsiTheme="minorHAnsi" w:cstheme="minorBidi"/>
          <w:szCs w:val="22"/>
        </w:rPr>
      </w:pPr>
      <w:r>
        <w:t>79C</w:t>
      </w:r>
      <w:r>
        <w:rPr>
          <w:snapToGrid w:val="0"/>
        </w:rPr>
        <w:t>.</w:t>
      </w:r>
      <w:r>
        <w:rPr>
          <w:snapToGrid w:val="0"/>
        </w:rPr>
        <w:tab/>
        <w:t>Documentary evidence, admissibility of</w:t>
      </w:r>
      <w:r>
        <w:tab/>
      </w:r>
      <w:r>
        <w:fldChar w:fldCharType="begin"/>
      </w:r>
      <w:r>
        <w:instrText xml:space="preserve"> PAGEREF _Toc80794427 \h </w:instrText>
      </w:r>
      <w:r>
        <w:fldChar w:fldCharType="separate"/>
      </w:r>
      <w:r>
        <w:t>93</w:t>
      </w:r>
      <w:r>
        <w:fldChar w:fldCharType="end"/>
      </w:r>
    </w:p>
    <w:p>
      <w:pPr>
        <w:pStyle w:val="TOC8"/>
        <w:rPr>
          <w:rFonts w:asciiTheme="minorHAnsi" w:eastAsiaTheme="minorEastAsia" w:hAnsiTheme="minorHAnsi" w:cstheme="minorBidi"/>
          <w:szCs w:val="22"/>
        </w:rPr>
      </w:pPr>
      <w:r>
        <w:t>79D</w:t>
      </w:r>
      <w:r>
        <w:rPr>
          <w:snapToGrid w:val="0"/>
        </w:rPr>
        <w:t>.</w:t>
      </w:r>
      <w:r>
        <w:rPr>
          <w:snapToGrid w:val="0"/>
        </w:rPr>
        <w:tab/>
        <w:t>Evidence admitted under s. 79C, weight and effect of</w:t>
      </w:r>
      <w:r>
        <w:tab/>
      </w:r>
      <w:r>
        <w:fldChar w:fldCharType="begin"/>
      </w:r>
      <w:r>
        <w:instrText xml:space="preserve"> PAGEREF _Toc80794428 \h </w:instrText>
      </w:r>
      <w:r>
        <w:fldChar w:fldCharType="separate"/>
      </w:r>
      <w:r>
        <w:t>96</w:t>
      </w:r>
      <w:r>
        <w:fldChar w:fldCharType="end"/>
      </w:r>
    </w:p>
    <w:p>
      <w:pPr>
        <w:pStyle w:val="TOC8"/>
        <w:rPr>
          <w:rFonts w:asciiTheme="minorHAnsi" w:eastAsiaTheme="minorEastAsia" w:hAnsiTheme="minorHAnsi" w:cstheme="minorBidi"/>
          <w:szCs w:val="22"/>
        </w:rPr>
      </w:pPr>
      <w:r>
        <w:t>79E</w:t>
      </w:r>
      <w:r>
        <w:rPr>
          <w:snapToGrid w:val="0"/>
        </w:rPr>
        <w:t>.</w:t>
      </w:r>
      <w:r>
        <w:rPr>
          <w:snapToGrid w:val="0"/>
        </w:rPr>
        <w:tab/>
        <w:t>Qualified person, evidence as to credibility of</w:t>
      </w:r>
      <w:r>
        <w:tab/>
      </w:r>
      <w:r>
        <w:fldChar w:fldCharType="begin"/>
      </w:r>
      <w:r>
        <w:instrText xml:space="preserve"> PAGEREF _Toc80794429 \h </w:instrText>
      </w:r>
      <w:r>
        <w:fldChar w:fldCharType="separate"/>
      </w:r>
      <w:r>
        <w:t>97</w:t>
      </w:r>
      <w:r>
        <w:fldChar w:fldCharType="end"/>
      </w:r>
    </w:p>
    <w:p>
      <w:pPr>
        <w:pStyle w:val="TOC8"/>
        <w:rPr>
          <w:rFonts w:asciiTheme="minorHAnsi" w:eastAsiaTheme="minorEastAsia" w:hAnsiTheme="minorHAnsi" w:cstheme="minorBidi"/>
          <w:szCs w:val="22"/>
        </w:rPr>
      </w:pPr>
      <w:r>
        <w:t>79F</w:t>
      </w:r>
      <w:r>
        <w:rPr>
          <w:snapToGrid w:val="0"/>
        </w:rPr>
        <w:t>.</w:t>
      </w:r>
      <w:r>
        <w:rPr>
          <w:snapToGrid w:val="0"/>
        </w:rPr>
        <w:tab/>
        <w:t>Dispute as to happening of event</w:t>
      </w:r>
      <w:r>
        <w:tab/>
      </w:r>
      <w:r>
        <w:fldChar w:fldCharType="begin"/>
      </w:r>
      <w:r>
        <w:instrText xml:space="preserve"> PAGEREF _Toc80794430 \h </w:instrText>
      </w:r>
      <w:r>
        <w:fldChar w:fldCharType="separate"/>
      </w:r>
      <w:r>
        <w:t>98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Judgments, orders etc., proof of</w:t>
      </w:r>
      <w:r>
        <w:tab/>
      </w:r>
      <w:r>
        <w:fldChar w:fldCharType="begin"/>
      </w:r>
      <w:r>
        <w:instrText xml:space="preserve"> PAGEREF _Toc80794431 \h </w:instrText>
      </w:r>
      <w:r>
        <w:fldChar w:fldCharType="separate"/>
      </w:r>
      <w:r>
        <w:t>99</w:t>
      </w:r>
      <w:r>
        <w:fldChar w:fldCharType="end"/>
      </w:r>
    </w:p>
    <w:p>
      <w:pPr>
        <w:pStyle w:val="TOC8"/>
        <w:rPr>
          <w:rFonts w:asciiTheme="minorHAnsi" w:eastAsiaTheme="minorEastAsia" w:hAnsiTheme="minorHAnsi" w:cstheme="minorBidi"/>
          <w:szCs w:val="22"/>
        </w:rPr>
      </w:pPr>
      <w:r>
        <w:lastRenderedPageBreak/>
        <w:t>81</w:t>
      </w:r>
      <w:r>
        <w:rPr>
          <w:snapToGrid w:val="0"/>
        </w:rPr>
        <w:t>.</w:t>
      </w:r>
      <w:r>
        <w:rPr>
          <w:snapToGrid w:val="0"/>
        </w:rPr>
        <w:tab/>
        <w:t>Documents properly authenticated to be given faith and credit</w:t>
      </w:r>
      <w:r>
        <w:tab/>
      </w:r>
      <w:r>
        <w:fldChar w:fldCharType="begin"/>
      </w:r>
      <w:r>
        <w:instrText xml:space="preserve"> PAGEREF _Toc80794432 \h </w:instrText>
      </w:r>
      <w:r>
        <w:fldChar w:fldCharType="separate"/>
      </w:r>
      <w:r>
        <w:t>99</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Banker’s book entries are evidence of transactions etc.</w:t>
      </w:r>
      <w:r>
        <w:tab/>
      </w:r>
      <w:r>
        <w:fldChar w:fldCharType="begin"/>
      </w:r>
      <w:r>
        <w:instrText xml:space="preserve"> PAGEREF _Toc80794433 \h </w:instrText>
      </w:r>
      <w:r>
        <w:fldChar w:fldCharType="separate"/>
      </w:r>
      <w:r>
        <w:t>100</w:t>
      </w:r>
      <w:r>
        <w:fldChar w:fldCharType="end"/>
      </w:r>
    </w:p>
    <w:p>
      <w:pPr>
        <w:pStyle w:val="TOC8"/>
        <w:rPr>
          <w:rFonts w:asciiTheme="minorHAnsi" w:eastAsiaTheme="minorEastAsia" w:hAnsiTheme="minorHAnsi" w:cstheme="minorBidi"/>
          <w:szCs w:val="22"/>
        </w:rPr>
      </w:pPr>
      <w:r>
        <w:rPr>
          <w:snapToGrid w:val="0"/>
        </w:rPr>
        <w:t>90.</w:t>
      </w:r>
      <w:r>
        <w:rPr>
          <w:snapToGrid w:val="0"/>
        </w:rPr>
        <w:tab/>
        <w:t>Banker’s books, proof of</w:t>
      </w:r>
      <w:r>
        <w:tab/>
      </w:r>
      <w:r>
        <w:fldChar w:fldCharType="begin"/>
      </w:r>
      <w:r>
        <w:instrText xml:space="preserve"> PAGEREF _Toc80794434 \h </w:instrText>
      </w:r>
      <w:r>
        <w:fldChar w:fldCharType="separate"/>
      </w:r>
      <w:r>
        <w:t>100</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Banker’s books, copies to be certified</w:t>
      </w:r>
      <w:r>
        <w:tab/>
      </w:r>
      <w:r>
        <w:fldChar w:fldCharType="begin"/>
      </w:r>
      <w:r>
        <w:instrText xml:space="preserve"> PAGEREF _Toc80794435 \h </w:instrText>
      </w:r>
      <w:r>
        <w:fldChar w:fldCharType="separate"/>
      </w:r>
      <w:r>
        <w:t>100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Bank accounts, bank officer may give evidence about</w:t>
      </w:r>
      <w:r>
        <w:tab/>
      </w:r>
      <w:r>
        <w:fldChar w:fldCharType="begin"/>
      </w:r>
      <w:r>
        <w:instrText xml:space="preserve"> PAGEREF _Toc80794436 \h </w:instrText>
      </w:r>
      <w:r>
        <w:fldChar w:fldCharType="separate"/>
      </w:r>
      <w:r>
        <w:t>100</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Australian and foreign banks, application to of s. 89 to 92</w:t>
      </w:r>
      <w:r>
        <w:tab/>
      </w:r>
      <w:r>
        <w:fldChar w:fldCharType="begin"/>
      </w:r>
      <w:r>
        <w:instrText xml:space="preserve"> PAGEREF _Toc80794437 \h </w:instrText>
      </w:r>
      <w:r>
        <w:fldChar w:fldCharType="separate"/>
      </w:r>
      <w:r>
        <w:t>101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Bank officers not compellable in some cases</w:t>
      </w:r>
      <w:r>
        <w:tab/>
      </w:r>
      <w:r>
        <w:fldChar w:fldCharType="begin"/>
      </w:r>
      <w:r>
        <w:instrText xml:space="preserve"> PAGEREF _Toc80794438 \h </w:instrText>
      </w:r>
      <w:r>
        <w:fldChar w:fldCharType="separate"/>
      </w:r>
      <w:r>
        <w:t>101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Banker’s books, Supreme Court may order inspection of</w:t>
      </w:r>
      <w:r>
        <w:tab/>
      </w:r>
      <w:r>
        <w:fldChar w:fldCharType="begin"/>
      </w:r>
      <w:r>
        <w:instrText xml:space="preserve"> PAGEREF _Toc80794439 \h </w:instrText>
      </w:r>
      <w:r>
        <w:fldChar w:fldCharType="separate"/>
      </w:r>
      <w:r>
        <w:t>101</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Costs under s. 93 and 94</w:t>
      </w:r>
      <w:r>
        <w:tab/>
      </w:r>
      <w:r>
        <w:fldChar w:fldCharType="begin"/>
      </w:r>
      <w:r>
        <w:instrText xml:space="preserve"> PAGEREF _Toc80794440 \h </w:instrText>
      </w:r>
      <w:r>
        <w:fldChar w:fldCharType="separate"/>
      </w:r>
      <w:r>
        <w:t>102</w:t>
      </w:r>
      <w:r>
        <w:fldChar w:fldCharType="end"/>
      </w:r>
    </w:p>
    <w:p>
      <w:pPr>
        <w:pStyle w:val="TOC8"/>
        <w:rPr>
          <w:rFonts w:asciiTheme="minorHAnsi" w:eastAsiaTheme="minorEastAsia" w:hAnsiTheme="minorHAnsi" w:cstheme="minorBidi"/>
          <w:szCs w:val="22"/>
        </w:rPr>
      </w:pPr>
      <w:r>
        <w:t>96.</w:t>
      </w:r>
      <w:r>
        <w:tab/>
        <w:t>Supreme Court judge’s powers may be exercised by other judicial officers</w:t>
      </w:r>
      <w:r>
        <w:tab/>
      </w:r>
      <w:r>
        <w:fldChar w:fldCharType="begin"/>
      </w:r>
      <w:r>
        <w:instrText xml:space="preserve"> PAGEREF _Toc80794441 \h </w:instrText>
      </w:r>
      <w:r>
        <w:fldChar w:fldCharType="separate"/>
      </w:r>
      <w:r>
        <w:t>102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Evidence to be on oath except in some cases</w:t>
      </w:r>
      <w:r>
        <w:tab/>
      </w:r>
      <w:r>
        <w:fldChar w:fldCharType="begin"/>
      </w:r>
      <w:r>
        <w:instrText xml:space="preserve"> PAGEREF _Toc80794442 \h </w:instrText>
      </w:r>
      <w:r>
        <w:fldChar w:fldCharType="separate"/>
      </w:r>
      <w:r>
        <w:t>103</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Oath may be dispensed with in some cases</w:t>
      </w:r>
      <w:r>
        <w:tab/>
      </w:r>
      <w:r>
        <w:fldChar w:fldCharType="begin"/>
      </w:r>
      <w:r>
        <w:instrText xml:space="preserve"> PAGEREF _Toc80794443 \h </w:instrText>
      </w:r>
      <w:r>
        <w:fldChar w:fldCharType="separate"/>
      </w:r>
      <w:r>
        <w:t>104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Interpreters, oaths etc. for</w:t>
      </w:r>
      <w:r>
        <w:tab/>
      </w:r>
      <w:r>
        <w:fldChar w:fldCharType="begin"/>
      </w:r>
      <w:r>
        <w:instrText xml:space="preserve"> PAGEREF _Toc80794444 \h </w:instrText>
      </w:r>
      <w:r>
        <w:fldChar w:fldCharType="separate"/>
      </w:r>
      <w:r>
        <w:t>105</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Interpreters, oath etc. may be dispensed with</w:t>
      </w:r>
      <w:r>
        <w:tab/>
      </w:r>
      <w:r>
        <w:fldChar w:fldCharType="begin"/>
      </w:r>
      <w:r>
        <w:instrText xml:space="preserve"> PAGEREF _Toc80794445 \h </w:instrText>
      </w:r>
      <w:r>
        <w:fldChar w:fldCharType="separate"/>
      </w:r>
      <w:r>
        <w:t>106</w:t>
      </w:r>
      <w:r>
        <w:fldChar w:fldCharType="end"/>
      </w:r>
    </w:p>
    <w:p>
      <w:pPr>
        <w:pStyle w:val="TOC8"/>
        <w:rPr>
          <w:rFonts w:asciiTheme="minorHAnsi" w:eastAsiaTheme="minorEastAsia" w:hAnsiTheme="minorHAnsi" w:cstheme="minorBidi"/>
          <w:szCs w:val="22"/>
        </w:rPr>
      </w:pPr>
      <w:r>
        <w:t>104A</w:t>
      </w:r>
      <w:r>
        <w:rPr>
          <w:snapToGrid w:val="0"/>
        </w:rPr>
        <w:t>.</w:t>
      </w:r>
      <w:r>
        <w:rPr>
          <w:snapToGrid w:val="0"/>
        </w:rPr>
        <w:tab/>
        <w:t>Person appointed by foreign court etc. may take or receive evidence and administer oath</w:t>
      </w:r>
      <w:r>
        <w:tab/>
      </w:r>
      <w:r>
        <w:fldChar w:fldCharType="begin"/>
      </w:r>
      <w:r>
        <w:instrText xml:space="preserve"> PAGEREF _Toc80794446 \h </w:instrText>
      </w:r>
      <w:r>
        <w:fldChar w:fldCharType="separate"/>
      </w:r>
      <w:r>
        <w:t>106</w:t>
      </w:r>
      <w:r>
        <w:fldChar w:fldCharType="end"/>
      </w:r>
    </w:p>
    <w:p>
      <w:pPr>
        <w:pStyle w:val="TOC8"/>
        <w:rPr>
          <w:rFonts w:asciiTheme="minorHAnsi" w:eastAsiaTheme="minorEastAsia" w:hAnsiTheme="minorHAnsi" w:cstheme="minorBidi"/>
          <w:szCs w:val="22"/>
        </w:rPr>
      </w:pPr>
      <w:r>
        <w:t>105.</w:t>
      </w:r>
      <w:r>
        <w:tab/>
      </w:r>
      <w:r>
        <w:rPr>
          <w:i/>
        </w:rPr>
        <w:t>Oaths, Affidavits and Statutory Declarations Act 2005</w:t>
      </w:r>
      <w:r>
        <w:t>, application of</w:t>
      </w:r>
      <w:r>
        <w:tab/>
      </w:r>
      <w:r>
        <w:fldChar w:fldCharType="begin"/>
      </w:r>
      <w:r>
        <w:instrText xml:space="preserve"> PAGEREF _Toc80794447 \h </w:instrText>
      </w:r>
      <w:r>
        <w:fldChar w:fldCharType="separate"/>
      </w:r>
      <w:r>
        <w:t>107</w:t>
      </w:r>
      <w:r>
        <w:fldChar w:fldCharType="end"/>
      </w:r>
    </w:p>
    <w:p>
      <w:pPr>
        <w:pStyle w:val="TOC8"/>
        <w:rPr>
          <w:rFonts w:asciiTheme="minorHAnsi" w:eastAsiaTheme="minorEastAsia" w:hAnsiTheme="minorHAnsi" w:cstheme="minorBidi"/>
          <w:szCs w:val="22"/>
        </w:rPr>
      </w:pPr>
      <w:r>
        <w:t>106A</w:t>
      </w:r>
      <w:r>
        <w:rPr>
          <w:snapToGrid w:val="0"/>
        </w:rPr>
        <w:t>.</w:t>
      </w:r>
      <w:r>
        <w:rPr>
          <w:snapToGrid w:val="0"/>
        </w:rPr>
        <w:tab/>
        <w:t>Terms used</w:t>
      </w:r>
      <w:r>
        <w:tab/>
      </w:r>
      <w:r>
        <w:fldChar w:fldCharType="begin"/>
      </w:r>
      <w:r>
        <w:instrText xml:space="preserve"> PAGEREF _Toc80794448 \h </w:instrText>
      </w:r>
      <w:r>
        <w:fldChar w:fldCharType="separate"/>
      </w:r>
      <w:r>
        <w:t>107</w:t>
      </w:r>
      <w:r>
        <w:fldChar w:fldCharType="end"/>
      </w:r>
    </w:p>
    <w:p>
      <w:pPr>
        <w:pStyle w:val="TOC8"/>
        <w:rPr>
          <w:rFonts w:asciiTheme="minorHAnsi" w:eastAsiaTheme="minorEastAsia" w:hAnsiTheme="minorHAnsi" w:cstheme="minorBidi"/>
          <w:szCs w:val="22"/>
        </w:rPr>
      </w:pPr>
      <w:r>
        <w:t>106B</w:t>
      </w:r>
      <w:r>
        <w:rPr>
          <w:snapToGrid w:val="0"/>
        </w:rPr>
        <w:t>.</w:t>
      </w:r>
      <w:r>
        <w:rPr>
          <w:snapToGrid w:val="0"/>
        </w:rPr>
        <w:tab/>
        <w:t>Children under 12 may give sworn evidence</w:t>
      </w:r>
      <w:r>
        <w:tab/>
      </w:r>
      <w:r>
        <w:fldChar w:fldCharType="begin"/>
      </w:r>
      <w:r>
        <w:instrText xml:space="preserve"> PAGEREF _Toc80794449 \h </w:instrText>
      </w:r>
      <w:r>
        <w:fldChar w:fldCharType="separate"/>
      </w:r>
      <w:r>
        <w:t>110</w:t>
      </w:r>
      <w:r>
        <w:fldChar w:fldCharType="end"/>
      </w:r>
    </w:p>
    <w:p>
      <w:pPr>
        <w:pStyle w:val="TOC8"/>
        <w:rPr>
          <w:rFonts w:asciiTheme="minorHAnsi" w:eastAsiaTheme="minorEastAsia" w:hAnsiTheme="minorHAnsi" w:cstheme="minorBidi"/>
          <w:szCs w:val="22"/>
        </w:rPr>
      </w:pPr>
      <w:r>
        <w:t>106C.</w:t>
      </w:r>
      <w:r>
        <w:tab/>
        <w:t>Child under 12 and mentally impaired witness may give unsworn evidence</w:t>
      </w:r>
      <w:r>
        <w:tab/>
      </w:r>
      <w:r>
        <w:fldChar w:fldCharType="begin"/>
      </w:r>
      <w:r>
        <w:instrText xml:space="preserve"> PAGEREF _Toc80794450 \h </w:instrText>
      </w:r>
      <w:r>
        <w:fldChar w:fldCharType="separate"/>
      </w:r>
      <w:r>
        <w:t>111</w:t>
      </w:r>
      <w:r>
        <w:fldChar w:fldCharType="end"/>
      </w:r>
    </w:p>
    <w:p>
      <w:pPr>
        <w:pStyle w:val="TOC8"/>
        <w:rPr>
          <w:rFonts w:asciiTheme="minorHAnsi" w:eastAsiaTheme="minorEastAsia" w:hAnsiTheme="minorHAnsi" w:cstheme="minorBidi"/>
          <w:szCs w:val="22"/>
        </w:rPr>
      </w:pPr>
      <w:r>
        <w:t>106D</w:t>
      </w:r>
      <w:r>
        <w:rPr>
          <w:snapToGrid w:val="0"/>
        </w:rPr>
        <w:t>.</w:t>
      </w:r>
      <w:r>
        <w:rPr>
          <w:snapToGrid w:val="0"/>
        </w:rPr>
        <w:tab/>
        <w:t>Corroboration warning on evidence of child not to be given</w:t>
      </w:r>
      <w:r>
        <w:tab/>
      </w:r>
      <w:r>
        <w:fldChar w:fldCharType="begin"/>
      </w:r>
      <w:r>
        <w:instrText xml:space="preserve"> PAGEREF _Toc80794451 \h </w:instrText>
      </w:r>
      <w:r>
        <w:fldChar w:fldCharType="separate"/>
      </w:r>
      <w:r>
        <w:t>111</w:t>
      </w:r>
      <w:r>
        <w:fldChar w:fldCharType="end"/>
      </w:r>
    </w:p>
    <w:p>
      <w:pPr>
        <w:pStyle w:val="TOC8"/>
        <w:rPr>
          <w:rFonts w:asciiTheme="minorHAnsi" w:eastAsiaTheme="minorEastAsia" w:hAnsiTheme="minorHAnsi" w:cstheme="minorBidi"/>
          <w:szCs w:val="22"/>
        </w:rPr>
      </w:pPr>
      <w:r>
        <w:t>106E</w:t>
      </w:r>
      <w:r>
        <w:rPr>
          <w:snapToGrid w:val="0"/>
        </w:rPr>
        <w:t>.</w:t>
      </w:r>
      <w:r>
        <w:rPr>
          <w:snapToGrid w:val="0"/>
        </w:rPr>
        <w:tab/>
        <w:t>Child witness entitled to support</w:t>
      </w:r>
      <w:r>
        <w:tab/>
      </w:r>
      <w:r>
        <w:fldChar w:fldCharType="begin"/>
      </w:r>
      <w:r>
        <w:instrText xml:space="preserve"> PAGEREF _Toc80794452 \h </w:instrText>
      </w:r>
      <w:r>
        <w:fldChar w:fldCharType="separate"/>
      </w:r>
      <w:r>
        <w:t>111</w:t>
      </w:r>
      <w:r>
        <w:fldChar w:fldCharType="end"/>
      </w:r>
    </w:p>
    <w:p>
      <w:pPr>
        <w:pStyle w:val="TOC8"/>
        <w:rPr>
          <w:rFonts w:asciiTheme="minorHAnsi" w:eastAsiaTheme="minorEastAsia" w:hAnsiTheme="minorHAnsi" w:cstheme="minorBidi"/>
          <w:szCs w:val="22"/>
        </w:rPr>
      </w:pPr>
      <w:r>
        <w:t>106F</w:t>
      </w:r>
      <w:r>
        <w:rPr>
          <w:snapToGrid w:val="0"/>
        </w:rPr>
        <w:t>.</w:t>
      </w:r>
      <w:r>
        <w:rPr>
          <w:snapToGrid w:val="0"/>
        </w:rPr>
        <w:tab/>
        <w:t>Child witness may be given assistance</w:t>
      </w:r>
      <w:r>
        <w:tab/>
      </w:r>
      <w:r>
        <w:fldChar w:fldCharType="begin"/>
      </w:r>
      <w:r>
        <w:instrText xml:space="preserve"> PAGEREF _Toc80794453 \h </w:instrText>
      </w:r>
      <w:r>
        <w:fldChar w:fldCharType="separate"/>
      </w:r>
      <w:r>
        <w:t>111</w:t>
      </w:r>
      <w:r>
        <w:fldChar w:fldCharType="end"/>
      </w:r>
    </w:p>
    <w:p>
      <w:pPr>
        <w:pStyle w:val="TOC8"/>
        <w:rPr>
          <w:rFonts w:asciiTheme="minorHAnsi" w:eastAsiaTheme="minorEastAsia" w:hAnsiTheme="minorHAnsi" w:cstheme="minorBidi"/>
          <w:szCs w:val="22"/>
        </w:rPr>
      </w:pPr>
      <w:r>
        <w:t>106G</w:t>
      </w:r>
      <w:r>
        <w:rPr>
          <w:snapToGrid w:val="0"/>
        </w:rPr>
        <w:t>.</w:t>
      </w:r>
      <w:r>
        <w:rPr>
          <w:snapToGrid w:val="0"/>
        </w:rPr>
        <w:tab/>
        <w:t>Cross</w:t>
      </w:r>
      <w:r>
        <w:rPr>
          <w:snapToGrid w:val="0"/>
        </w:rPr>
        <w:noBreakHyphen/>
        <w:t>examination of protected witness by unrepresented accused</w:t>
      </w:r>
      <w:r>
        <w:tab/>
      </w:r>
      <w:r>
        <w:fldChar w:fldCharType="begin"/>
      </w:r>
      <w:r>
        <w:instrText xml:space="preserve"> PAGEREF _Toc80794454 \h </w:instrText>
      </w:r>
      <w:r>
        <w:fldChar w:fldCharType="separate"/>
      </w:r>
      <w:r>
        <w:t>112</w:t>
      </w:r>
      <w:r>
        <w:fldChar w:fldCharType="end"/>
      </w:r>
    </w:p>
    <w:p>
      <w:pPr>
        <w:pStyle w:val="TOC8"/>
        <w:rPr>
          <w:rFonts w:asciiTheme="minorHAnsi" w:eastAsiaTheme="minorEastAsia" w:hAnsiTheme="minorHAnsi" w:cstheme="minorBidi"/>
          <w:szCs w:val="22"/>
        </w:rPr>
      </w:pPr>
      <w:r>
        <w:t>106H</w:t>
      </w:r>
      <w:r>
        <w:rPr>
          <w:snapToGrid w:val="0"/>
        </w:rPr>
        <w:t>.</w:t>
      </w:r>
      <w:r>
        <w:rPr>
          <w:snapToGrid w:val="0"/>
        </w:rPr>
        <w:tab/>
        <w:t>Child’s statement to another admissible in Sch. 7 proceedings</w:t>
      </w:r>
      <w:r>
        <w:tab/>
      </w:r>
      <w:r>
        <w:fldChar w:fldCharType="begin"/>
      </w:r>
      <w:r>
        <w:instrText xml:space="preserve"> PAGEREF _Toc80794455 \h </w:instrText>
      </w:r>
      <w:r>
        <w:fldChar w:fldCharType="separate"/>
      </w:r>
      <w:r>
        <w:t>113</w:t>
      </w:r>
      <w:r>
        <w:fldChar w:fldCharType="end"/>
      </w:r>
    </w:p>
    <w:p>
      <w:pPr>
        <w:pStyle w:val="TOC8"/>
        <w:rPr>
          <w:rFonts w:asciiTheme="minorHAnsi" w:eastAsiaTheme="minorEastAsia" w:hAnsiTheme="minorHAnsi" w:cstheme="minorBidi"/>
          <w:szCs w:val="22"/>
        </w:rPr>
      </w:pPr>
      <w:r>
        <w:t>106HA.</w:t>
      </w:r>
      <w:r>
        <w:tab/>
        <w:t>Visual recording of interviews with children and persons with mental impairment</w:t>
      </w:r>
      <w:r>
        <w:tab/>
      </w:r>
      <w:r>
        <w:fldChar w:fldCharType="begin"/>
      </w:r>
      <w:r>
        <w:instrText xml:space="preserve"> PAGEREF _Toc80794456 \h </w:instrText>
      </w:r>
      <w:r>
        <w:fldChar w:fldCharType="separate"/>
      </w:r>
      <w:r>
        <w:t>114</w:t>
      </w:r>
      <w:r>
        <w:fldChar w:fldCharType="end"/>
      </w:r>
    </w:p>
    <w:p>
      <w:pPr>
        <w:pStyle w:val="TOC8"/>
        <w:rPr>
          <w:rFonts w:asciiTheme="minorHAnsi" w:eastAsiaTheme="minorEastAsia" w:hAnsiTheme="minorHAnsi" w:cstheme="minorBidi"/>
          <w:szCs w:val="22"/>
        </w:rPr>
      </w:pPr>
      <w:r>
        <w:lastRenderedPageBreak/>
        <w:t>106HB.</w:t>
      </w:r>
      <w:r>
        <w:tab/>
        <w:t>Admissibility in criminal proceedings of visual recording of interview with child or person with mental impairment</w:t>
      </w:r>
      <w:r>
        <w:tab/>
      </w:r>
      <w:r>
        <w:fldChar w:fldCharType="begin"/>
      </w:r>
      <w:r>
        <w:instrText xml:space="preserve"> PAGEREF _Toc80794457 \h </w:instrText>
      </w:r>
      <w:r>
        <w:fldChar w:fldCharType="separate"/>
      </w:r>
      <w:r>
        <w:t>115</w:t>
      </w:r>
      <w:r>
        <w:fldChar w:fldCharType="end"/>
      </w:r>
    </w:p>
    <w:p>
      <w:pPr>
        <w:pStyle w:val="TOC8"/>
        <w:rPr>
          <w:rFonts w:asciiTheme="minorHAnsi" w:eastAsiaTheme="minorEastAsia" w:hAnsiTheme="minorHAnsi" w:cstheme="minorBidi"/>
          <w:szCs w:val="22"/>
        </w:rPr>
      </w:pPr>
      <w:r>
        <w:t>106HC.</w:t>
      </w:r>
      <w:r>
        <w:tab/>
        <w:t>Regulations about visual recording of interviews with children and persons with mental impairment</w:t>
      </w:r>
      <w:r>
        <w:tab/>
      </w:r>
      <w:r>
        <w:fldChar w:fldCharType="begin"/>
      </w:r>
      <w:r>
        <w:instrText xml:space="preserve"> PAGEREF _Toc80794458 \h </w:instrText>
      </w:r>
      <w:r>
        <w:fldChar w:fldCharType="separate"/>
      </w:r>
      <w:r>
        <w:t>117</w:t>
      </w:r>
      <w:r>
        <w:fldChar w:fldCharType="end"/>
      </w:r>
    </w:p>
    <w:p>
      <w:pPr>
        <w:pStyle w:val="TOC8"/>
        <w:rPr>
          <w:rFonts w:asciiTheme="minorHAnsi" w:eastAsiaTheme="minorEastAsia" w:hAnsiTheme="minorHAnsi" w:cstheme="minorBidi"/>
          <w:szCs w:val="22"/>
        </w:rPr>
      </w:pPr>
      <w:r>
        <w:t>106HD.</w:t>
      </w:r>
      <w:r>
        <w:tab/>
        <w:t>Admissibility of visually recorded interviews generally</w:t>
      </w:r>
      <w:r>
        <w:tab/>
      </w:r>
      <w:r>
        <w:fldChar w:fldCharType="begin"/>
      </w:r>
      <w:r>
        <w:instrText xml:space="preserve"> PAGEREF _Toc80794459 \h </w:instrText>
      </w:r>
      <w:r>
        <w:fldChar w:fldCharType="separate"/>
      </w:r>
      <w:r>
        <w:t>119</w:t>
      </w:r>
      <w:r>
        <w:fldChar w:fldCharType="end"/>
      </w:r>
    </w:p>
    <w:p>
      <w:pPr>
        <w:pStyle w:val="TOC8"/>
        <w:rPr>
          <w:rFonts w:asciiTheme="minorHAnsi" w:eastAsiaTheme="minorEastAsia" w:hAnsiTheme="minorHAnsi" w:cstheme="minorBidi"/>
          <w:szCs w:val="22"/>
        </w:rPr>
      </w:pPr>
      <w:r>
        <w:t>106I</w:t>
      </w:r>
      <w:r>
        <w:rPr>
          <w:snapToGrid w:val="0"/>
        </w:rPr>
        <w:t>.</w:t>
      </w:r>
      <w:r>
        <w:rPr>
          <w:snapToGrid w:val="0"/>
        </w:rPr>
        <w:tab/>
      </w:r>
      <w:r>
        <w:t xml:space="preserve">Visual recording </w:t>
      </w:r>
      <w:r>
        <w:rPr>
          <w:snapToGrid w:val="0"/>
        </w:rPr>
        <w:t>of child’s evidence, application for directions</w:t>
      </w:r>
      <w:r>
        <w:tab/>
      </w:r>
      <w:r>
        <w:fldChar w:fldCharType="begin"/>
      </w:r>
      <w:r>
        <w:instrText xml:space="preserve"> PAGEREF _Toc80794460 \h </w:instrText>
      </w:r>
      <w:r>
        <w:fldChar w:fldCharType="separate"/>
      </w:r>
      <w:r>
        <w:t>119</w:t>
      </w:r>
      <w:r>
        <w:fldChar w:fldCharType="end"/>
      </w:r>
    </w:p>
    <w:p>
      <w:pPr>
        <w:pStyle w:val="TOC8"/>
        <w:rPr>
          <w:rFonts w:asciiTheme="minorHAnsi" w:eastAsiaTheme="minorEastAsia" w:hAnsiTheme="minorHAnsi" w:cstheme="minorBidi"/>
          <w:szCs w:val="22"/>
        </w:rPr>
      </w:pPr>
      <w:r>
        <w:t>106K</w:t>
      </w:r>
      <w:r>
        <w:rPr>
          <w:snapToGrid w:val="0"/>
        </w:rPr>
        <w:t>.</w:t>
      </w:r>
      <w:r>
        <w:rPr>
          <w:snapToGrid w:val="0"/>
        </w:rPr>
        <w:tab/>
        <w:t>Child’s evidence in full, special hearing to take and record</w:t>
      </w:r>
      <w:r>
        <w:tab/>
      </w:r>
      <w:r>
        <w:fldChar w:fldCharType="begin"/>
      </w:r>
      <w:r>
        <w:instrText xml:space="preserve"> PAGEREF _Toc80794461 \h </w:instrText>
      </w:r>
      <w:r>
        <w:fldChar w:fldCharType="separate"/>
      </w:r>
      <w:r>
        <w:t>120</w:t>
      </w:r>
      <w:r>
        <w:fldChar w:fldCharType="end"/>
      </w:r>
    </w:p>
    <w:p>
      <w:pPr>
        <w:pStyle w:val="TOC8"/>
        <w:rPr>
          <w:rFonts w:asciiTheme="minorHAnsi" w:eastAsiaTheme="minorEastAsia" w:hAnsiTheme="minorHAnsi" w:cstheme="minorBidi"/>
          <w:szCs w:val="22"/>
        </w:rPr>
      </w:pPr>
      <w:r>
        <w:t>106M</w:t>
      </w:r>
      <w:r>
        <w:rPr>
          <w:snapToGrid w:val="0"/>
        </w:rPr>
        <w:t>.</w:t>
      </w:r>
      <w:r>
        <w:rPr>
          <w:snapToGrid w:val="0"/>
        </w:rPr>
        <w:tab/>
        <w:t>Recording not to be altered without approval</w:t>
      </w:r>
      <w:r>
        <w:tab/>
      </w:r>
      <w:r>
        <w:fldChar w:fldCharType="begin"/>
      </w:r>
      <w:r>
        <w:instrText xml:space="preserve"> PAGEREF _Toc80794462 \h </w:instrText>
      </w:r>
      <w:r>
        <w:fldChar w:fldCharType="separate"/>
      </w:r>
      <w:r>
        <w:t>122</w:t>
      </w:r>
      <w:r>
        <w:fldChar w:fldCharType="end"/>
      </w:r>
    </w:p>
    <w:p>
      <w:pPr>
        <w:pStyle w:val="TOC8"/>
        <w:rPr>
          <w:rFonts w:asciiTheme="minorHAnsi" w:eastAsiaTheme="minorEastAsia" w:hAnsiTheme="minorHAnsi" w:cstheme="minorBidi"/>
          <w:szCs w:val="22"/>
        </w:rPr>
      </w:pPr>
      <w:r>
        <w:t>106MA</w:t>
      </w:r>
      <w:r>
        <w:rPr>
          <w:snapToGrid w:val="0"/>
        </w:rPr>
        <w:t>.</w:t>
      </w:r>
      <w:r>
        <w:rPr>
          <w:snapToGrid w:val="0"/>
        </w:rPr>
        <w:tab/>
        <w:t>Unauthorised possession or dealing in video</w:t>
      </w:r>
      <w:r>
        <w:rPr>
          <w:snapToGrid w:val="0"/>
        </w:rPr>
        <w:noBreakHyphen/>
        <w:t>taped evidence</w:t>
      </w:r>
      <w:r>
        <w:tab/>
      </w:r>
      <w:r>
        <w:fldChar w:fldCharType="begin"/>
      </w:r>
      <w:r>
        <w:instrText xml:space="preserve"> PAGEREF _Toc80794463 \h </w:instrText>
      </w:r>
      <w:r>
        <w:fldChar w:fldCharType="separate"/>
      </w:r>
      <w:r>
        <w:t>123</w:t>
      </w:r>
      <w:r>
        <w:fldChar w:fldCharType="end"/>
      </w:r>
    </w:p>
    <w:p>
      <w:pPr>
        <w:pStyle w:val="TOC8"/>
        <w:rPr>
          <w:rFonts w:asciiTheme="minorHAnsi" w:eastAsiaTheme="minorEastAsia" w:hAnsiTheme="minorHAnsi" w:cstheme="minorBidi"/>
          <w:szCs w:val="22"/>
        </w:rPr>
      </w:pPr>
      <w:r>
        <w:t>106MB</w:t>
      </w:r>
      <w:r>
        <w:rPr>
          <w:snapToGrid w:val="0"/>
        </w:rPr>
        <w:t>.</w:t>
      </w:r>
      <w:r>
        <w:rPr>
          <w:snapToGrid w:val="0"/>
        </w:rPr>
        <w:tab/>
        <w:t>Broadcast of video</w:t>
      </w:r>
      <w:r>
        <w:rPr>
          <w:snapToGrid w:val="0"/>
        </w:rPr>
        <w:noBreakHyphen/>
        <w:t>taped evidence prohibited</w:t>
      </w:r>
      <w:r>
        <w:tab/>
      </w:r>
      <w:r>
        <w:fldChar w:fldCharType="begin"/>
      </w:r>
      <w:r>
        <w:instrText xml:space="preserve"> PAGEREF _Toc80794464 \h </w:instrText>
      </w:r>
      <w:r>
        <w:fldChar w:fldCharType="separate"/>
      </w:r>
      <w:r>
        <w:t>123</w:t>
      </w:r>
      <w:r>
        <w:fldChar w:fldCharType="end"/>
      </w:r>
    </w:p>
    <w:p>
      <w:pPr>
        <w:pStyle w:val="TOC8"/>
        <w:rPr>
          <w:rFonts w:asciiTheme="minorHAnsi" w:eastAsiaTheme="minorEastAsia" w:hAnsiTheme="minorHAnsi" w:cstheme="minorBidi"/>
          <w:szCs w:val="22"/>
        </w:rPr>
      </w:pPr>
      <w:r>
        <w:t>106N</w:t>
      </w:r>
      <w:r>
        <w:rPr>
          <w:snapToGrid w:val="0"/>
        </w:rPr>
        <w:t>.</w:t>
      </w:r>
      <w:r>
        <w:rPr>
          <w:snapToGrid w:val="0"/>
        </w:rPr>
        <w:tab/>
        <w:t>Video links or screening arrangements may be used</w:t>
      </w:r>
      <w:r>
        <w:tab/>
      </w:r>
      <w:r>
        <w:fldChar w:fldCharType="begin"/>
      </w:r>
      <w:r>
        <w:instrText xml:space="preserve"> PAGEREF _Toc80794465 \h </w:instrText>
      </w:r>
      <w:r>
        <w:fldChar w:fldCharType="separate"/>
      </w:r>
      <w:r>
        <w:t>124</w:t>
      </w:r>
      <w:r>
        <w:fldChar w:fldCharType="end"/>
      </w:r>
    </w:p>
    <w:p>
      <w:pPr>
        <w:pStyle w:val="TOC8"/>
        <w:rPr>
          <w:rFonts w:asciiTheme="minorHAnsi" w:eastAsiaTheme="minorEastAsia" w:hAnsiTheme="minorHAnsi" w:cstheme="minorBidi"/>
          <w:szCs w:val="22"/>
        </w:rPr>
      </w:pPr>
      <w:r>
        <w:t>106O</w:t>
      </w:r>
      <w:r>
        <w:rPr>
          <w:snapToGrid w:val="0"/>
        </w:rPr>
        <w:t>.</w:t>
      </w:r>
      <w:r>
        <w:rPr>
          <w:snapToGrid w:val="0"/>
        </w:rPr>
        <w:tab/>
        <w:t>Court may order that s. 106N does not apply</w:t>
      </w:r>
      <w:r>
        <w:tab/>
      </w:r>
      <w:r>
        <w:fldChar w:fldCharType="begin"/>
      </w:r>
      <w:r>
        <w:instrText xml:space="preserve"> PAGEREF _Toc80794466 \h </w:instrText>
      </w:r>
      <w:r>
        <w:fldChar w:fldCharType="separate"/>
      </w:r>
      <w:r>
        <w:t>125</w:t>
      </w:r>
      <w:r>
        <w:fldChar w:fldCharType="end"/>
      </w:r>
    </w:p>
    <w:p>
      <w:pPr>
        <w:pStyle w:val="TOC8"/>
        <w:rPr>
          <w:rFonts w:asciiTheme="minorHAnsi" w:eastAsiaTheme="minorEastAsia" w:hAnsiTheme="minorHAnsi" w:cstheme="minorBidi"/>
          <w:szCs w:val="22"/>
        </w:rPr>
      </w:pPr>
      <w:r>
        <w:t>106P</w:t>
      </w:r>
      <w:r>
        <w:rPr>
          <w:snapToGrid w:val="0"/>
        </w:rPr>
        <w:t>.</w:t>
      </w:r>
      <w:r>
        <w:rPr>
          <w:snapToGrid w:val="0"/>
        </w:rPr>
        <w:tab/>
        <w:t>Instructions to be given to jury</w:t>
      </w:r>
      <w:r>
        <w:tab/>
      </w:r>
      <w:r>
        <w:fldChar w:fldCharType="begin"/>
      </w:r>
      <w:r>
        <w:instrText xml:space="preserve"> PAGEREF _Toc80794467 \h </w:instrText>
      </w:r>
      <w:r>
        <w:fldChar w:fldCharType="separate"/>
      </w:r>
      <w:r>
        <w:t>125</w:t>
      </w:r>
      <w:r>
        <w:fldChar w:fldCharType="end"/>
      </w:r>
    </w:p>
    <w:p>
      <w:pPr>
        <w:pStyle w:val="TOC8"/>
        <w:rPr>
          <w:rFonts w:asciiTheme="minorHAnsi" w:eastAsiaTheme="minorEastAsia" w:hAnsiTheme="minorHAnsi" w:cstheme="minorBidi"/>
          <w:szCs w:val="22"/>
        </w:rPr>
      </w:pPr>
      <w:r>
        <w:t>106Q</w:t>
      </w:r>
      <w:r>
        <w:rPr>
          <w:snapToGrid w:val="0"/>
        </w:rPr>
        <w:t>.</w:t>
      </w:r>
      <w:r>
        <w:rPr>
          <w:snapToGrid w:val="0"/>
        </w:rPr>
        <w:tab/>
        <w:t xml:space="preserve">Identification of accused by child </w:t>
      </w:r>
      <w:r>
        <w:t>or special witness</w:t>
      </w:r>
      <w:r>
        <w:tab/>
      </w:r>
      <w:r>
        <w:fldChar w:fldCharType="begin"/>
      </w:r>
      <w:r>
        <w:instrText xml:space="preserve"> PAGEREF _Toc80794468 \h </w:instrText>
      </w:r>
      <w:r>
        <w:fldChar w:fldCharType="separate"/>
      </w:r>
      <w:r>
        <w:t>126</w:t>
      </w:r>
      <w:r>
        <w:fldChar w:fldCharType="end"/>
      </w:r>
    </w:p>
    <w:p>
      <w:pPr>
        <w:pStyle w:val="TOC8"/>
        <w:rPr>
          <w:rFonts w:asciiTheme="minorHAnsi" w:eastAsiaTheme="minorEastAsia" w:hAnsiTheme="minorHAnsi" w:cstheme="minorBidi"/>
          <w:szCs w:val="22"/>
        </w:rPr>
      </w:pPr>
      <w:r>
        <w:t>106R</w:t>
      </w:r>
      <w:r>
        <w:rPr>
          <w:snapToGrid w:val="0"/>
        </w:rPr>
        <w:t>.</w:t>
      </w:r>
      <w:r>
        <w:rPr>
          <w:snapToGrid w:val="0"/>
        </w:rPr>
        <w:tab/>
        <w:t>Special witnesses, measures to assist</w:t>
      </w:r>
      <w:r>
        <w:tab/>
      </w:r>
      <w:r>
        <w:fldChar w:fldCharType="begin"/>
      </w:r>
      <w:r>
        <w:instrText xml:space="preserve"> PAGEREF _Toc80794469 \h </w:instrText>
      </w:r>
      <w:r>
        <w:fldChar w:fldCharType="separate"/>
      </w:r>
      <w:r>
        <w:t>126</w:t>
      </w:r>
      <w:r>
        <w:fldChar w:fldCharType="end"/>
      </w:r>
    </w:p>
    <w:p>
      <w:pPr>
        <w:pStyle w:val="TOC8"/>
        <w:rPr>
          <w:rFonts w:asciiTheme="minorHAnsi" w:eastAsiaTheme="minorEastAsia" w:hAnsiTheme="minorHAnsi" w:cstheme="minorBidi"/>
          <w:szCs w:val="22"/>
        </w:rPr>
      </w:pPr>
      <w:r>
        <w:t>106RA.</w:t>
      </w:r>
      <w:r>
        <w:tab/>
        <w:t>Visually recording evidence of witnesses in criminal matters</w:t>
      </w:r>
      <w:r>
        <w:tab/>
      </w:r>
      <w:r>
        <w:fldChar w:fldCharType="begin"/>
      </w:r>
      <w:r>
        <w:instrText xml:space="preserve"> PAGEREF _Toc80794470 \h </w:instrText>
      </w:r>
      <w:r>
        <w:fldChar w:fldCharType="separate"/>
      </w:r>
      <w:r>
        <w:t>129</w:t>
      </w:r>
      <w:r>
        <w:fldChar w:fldCharType="end"/>
      </w:r>
    </w:p>
    <w:p>
      <w:pPr>
        <w:pStyle w:val="TOC8"/>
        <w:rPr>
          <w:rFonts w:asciiTheme="minorHAnsi" w:eastAsiaTheme="minorEastAsia" w:hAnsiTheme="minorHAnsi" w:cstheme="minorBidi"/>
          <w:szCs w:val="22"/>
        </w:rPr>
      </w:pPr>
      <w:r>
        <w:t>106S</w:t>
      </w:r>
      <w:r>
        <w:rPr>
          <w:snapToGrid w:val="0"/>
        </w:rPr>
        <w:t>.</w:t>
      </w:r>
      <w:r>
        <w:rPr>
          <w:snapToGrid w:val="0"/>
        </w:rPr>
        <w:tab/>
        <w:t>Special hearings to consider what orders should be made</w:t>
      </w:r>
      <w:r>
        <w:tab/>
      </w:r>
      <w:r>
        <w:fldChar w:fldCharType="begin"/>
      </w:r>
      <w:r>
        <w:instrText xml:space="preserve"> PAGEREF _Toc80794471 \h </w:instrText>
      </w:r>
      <w:r>
        <w:fldChar w:fldCharType="separate"/>
      </w:r>
      <w:r>
        <w:t>130</w:t>
      </w:r>
      <w:r>
        <w:fldChar w:fldCharType="end"/>
      </w:r>
    </w:p>
    <w:p>
      <w:pPr>
        <w:pStyle w:val="TOC8"/>
        <w:rPr>
          <w:rFonts w:asciiTheme="minorHAnsi" w:eastAsiaTheme="minorEastAsia" w:hAnsiTheme="minorHAnsi" w:cstheme="minorBidi"/>
          <w:szCs w:val="22"/>
        </w:rPr>
      </w:pPr>
      <w:r>
        <w:t>106T</w:t>
      </w:r>
      <w:r>
        <w:rPr>
          <w:snapToGrid w:val="0"/>
        </w:rPr>
        <w:t>.</w:t>
      </w:r>
      <w:r>
        <w:rPr>
          <w:snapToGrid w:val="0"/>
        </w:rPr>
        <w:tab/>
        <w:t>Use of recordings made under s. 106K or 106N</w:t>
      </w:r>
      <w:r>
        <w:tab/>
      </w:r>
      <w:r>
        <w:fldChar w:fldCharType="begin"/>
      </w:r>
      <w:r>
        <w:instrText xml:space="preserve"> PAGEREF _Toc80794472 \h </w:instrText>
      </w:r>
      <w:r>
        <w:fldChar w:fldCharType="separate"/>
      </w:r>
      <w:r>
        <w:t>130</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Terms used</w:t>
      </w:r>
      <w:r>
        <w:tab/>
      </w:r>
      <w:r>
        <w:fldChar w:fldCharType="begin"/>
      </w:r>
      <w:r>
        <w:instrText xml:space="preserve"> PAGEREF _Toc80794473 \h </w:instrText>
      </w:r>
      <w:r>
        <w:fldChar w:fldCharType="separate"/>
      </w:r>
      <w:r>
        <w:t>133</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Superior courts may make orders for obtaining evidence</w:t>
      </w:r>
      <w:r>
        <w:tab/>
      </w:r>
      <w:r>
        <w:fldChar w:fldCharType="begin"/>
      </w:r>
      <w:r>
        <w:instrText xml:space="preserve"> PAGEREF _Toc80794474 \h </w:instrText>
      </w:r>
      <w:r>
        <w:fldChar w:fldCharType="separate"/>
      </w:r>
      <w:r>
        <w:t>133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Supreme Court may make orders for obtaining evidence for inferior courts</w:t>
      </w:r>
      <w:r>
        <w:tab/>
      </w:r>
      <w:r>
        <w:fldChar w:fldCharType="begin"/>
      </w:r>
      <w:r>
        <w:instrText xml:space="preserve"> PAGEREF _Toc80794475 \h </w:instrText>
      </w:r>
      <w:r>
        <w:fldChar w:fldCharType="separate"/>
      </w:r>
      <w:r>
        <w:t>136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Exclusion of evidence in criminal proceeding</w:t>
      </w:r>
      <w:r>
        <w:tab/>
      </w:r>
      <w:r>
        <w:fldChar w:fldCharType="begin"/>
      </w:r>
      <w:r>
        <w:instrText xml:space="preserve"> PAGEREF _Toc80794476 \h </w:instrText>
      </w:r>
      <w:r>
        <w:fldChar w:fldCharType="separate"/>
      </w:r>
      <w:r>
        <w:t>136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Operation of other laws</w:t>
      </w:r>
      <w:r>
        <w:tab/>
      </w:r>
      <w:r>
        <w:fldChar w:fldCharType="begin"/>
      </w:r>
      <w:r>
        <w:instrText xml:space="preserve"> PAGEREF _Toc80794477 \h </w:instrText>
      </w:r>
      <w:r>
        <w:fldChar w:fldCharType="separate"/>
      </w:r>
      <w:r>
        <w:t>136</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Regulations and rules of court for s. 109 to 113</w:t>
      </w:r>
      <w:r>
        <w:tab/>
      </w:r>
      <w:r>
        <w:fldChar w:fldCharType="begin"/>
      </w:r>
      <w:r>
        <w:instrText xml:space="preserve"> PAGEREF _Toc80794478 \h </w:instrText>
      </w:r>
      <w:r>
        <w:fldChar w:fldCharType="separate"/>
      </w:r>
      <w:r>
        <w:t>137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Terms used</w:t>
      </w:r>
      <w:r>
        <w:tab/>
      </w:r>
      <w:r>
        <w:fldChar w:fldCharType="begin"/>
      </w:r>
      <w:r>
        <w:instrText xml:space="preserve"> PAGEREF _Toc80794479 \h </w:instrText>
      </w:r>
      <w:r>
        <w:fldChar w:fldCharType="separate"/>
      </w:r>
      <w:r>
        <w:t>137</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Application to Supreme Court for assistance in obtaining evidence for proceedings in other court</w:t>
      </w:r>
      <w:r>
        <w:tab/>
      </w:r>
      <w:r>
        <w:fldChar w:fldCharType="begin"/>
      </w:r>
      <w:r>
        <w:instrText xml:space="preserve"> PAGEREF _Toc80794480 \h </w:instrText>
      </w:r>
      <w:r>
        <w:fldChar w:fldCharType="separate"/>
      </w:r>
      <w:r>
        <w:t>138</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Supreme Court may make orders to assist in obtaining evidence</w:t>
      </w:r>
      <w:r>
        <w:tab/>
      </w:r>
      <w:r>
        <w:fldChar w:fldCharType="begin"/>
      </w:r>
      <w:r>
        <w:instrText xml:space="preserve"> PAGEREF _Toc80794481 \h </w:instrText>
      </w:r>
      <w:r>
        <w:fldChar w:fldCharType="separate"/>
      </w:r>
      <w:r>
        <w:t>139</w:t>
      </w:r>
      <w:r>
        <w:fldChar w:fldCharType="end"/>
      </w:r>
    </w:p>
    <w:p>
      <w:pPr>
        <w:pStyle w:val="TOC8"/>
        <w:rPr>
          <w:rFonts w:asciiTheme="minorHAnsi" w:eastAsiaTheme="minorEastAsia" w:hAnsiTheme="minorHAnsi" w:cstheme="minorBidi"/>
          <w:szCs w:val="22"/>
        </w:rPr>
      </w:pPr>
      <w:r>
        <w:lastRenderedPageBreak/>
        <w:t>118</w:t>
      </w:r>
      <w:r>
        <w:rPr>
          <w:snapToGrid w:val="0"/>
        </w:rPr>
        <w:t>.</w:t>
      </w:r>
      <w:r>
        <w:rPr>
          <w:snapToGrid w:val="0"/>
        </w:rPr>
        <w:tab/>
        <w:t>Privilege of witnesses</w:t>
      </w:r>
      <w:r>
        <w:tab/>
      </w:r>
      <w:r>
        <w:fldChar w:fldCharType="begin"/>
      </w:r>
      <w:r>
        <w:instrText xml:space="preserve"> PAGEREF _Toc80794482 \h </w:instrText>
      </w:r>
      <w:r>
        <w:fldChar w:fldCharType="separate"/>
      </w:r>
      <w:r>
        <w:t>140</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Rules of court for s. 116 to 118</w:t>
      </w:r>
      <w:r>
        <w:tab/>
      </w:r>
      <w:r>
        <w:fldChar w:fldCharType="begin"/>
      </w:r>
      <w:r>
        <w:instrText xml:space="preserve"> PAGEREF _Toc80794483 \h </w:instrText>
      </w:r>
      <w:r>
        <w:fldChar w:fldCharType="separate"/>
      </w:r>
      <w:r>
        <w:t>141</w:t>
      </w:r>
      <w:r>
        <w:fldChar w:fldCharType="end"/>
      </w:r>
    </w:p>
    <w:p>
      <w:pPr>
        <w:pStyle w:val="TOC8"/>
        <w:rPr>
          <w:rFonts w:asciiTheme="minorHAnsi" w:eastAsiaTheme="minorEastAsia" w:hAnsiTheme="minorHAnsi" w:cstheme="minorBidi"/>
          <w:szCs w:val="22"/>
        </w:rPr>
      </w:pPr>
      <w:r>
        <w:t>118B</w:t>
      </w:r>
      <w:r>
        <w:rPr>
          <w:snapToGrid w:val="0"/>
        </w:rPr>
        <w:t>.</w:t>
      </w:r>
      <w:r>
        <w:rPr>
          <w:snapToGrid w:val="0"/>
        </w:rPr>
        <w:tab/>
        <w:t>Offence</w:t>
      </w:r>
      <w:r>
        <w:tab/>
      </w:r>
      <w:r>
        <w:fldChar w:fldCharType="begin"/>
      </w:r>
      <w:r>
        <w:instrText xml:space="preserve"> PAGEREF _Toc80794484 \h </w:instrText>
      </w:r>
      <w:r>
        <w:fldChar w:fldCharType="separate"/>
      </w:r>
      <w:r>
        <w:t>141</w:t>
      </w:r>
      <w:r>
        <w:fldChar w:fldCharType="end"/>
      </w:r>
    </w:p>
    <w:p>
      <w:pPr>
        <w:pStyle w:val="TOC8"/>
        <w:rPr>
          <w:rFonts w:asciiTheme="minorHAnsi" w:eastAsiaTheme="minorEastAsia" w:hAnsiTheme="minorHAnsi" w:cstheme="minorBidi"/>
          <w:szCs w:val="22"/>
        </w:rPr>
      </w:pPr>
      <w:r>
        <w:t>118C</w:t>
      </w:r>
      <w:r>
        <w:rPr>
          <w:snapToGrid w:val="0"/>
        </w:rPr>
        <w:t>.</w:t>
      </w:r>
      <w:r>
        <w:rPr>
          <w:snapToGrid w:val="0"/>
        </w:rPr>
        <w:tab/>
        <w:t>Operation of other laws</w:t>
      </w:r>
      <w:r>
        <w:tab/>
      </w:r>
      <w:r>
        <w:fldChar w:fldCharType="begin"/>
      </w:r>
      <w:r>
        <w:instrText xml:space="preserve"> PAGEREF _Toc80794485 \h </w:instrText>
      </w:r>
      <w:r>
        <w:fldChar w:fldCharType="separate"/>
      </w:r>
      <w:r>
        <w:t>142</w:t>
      </w:r>
      <w:r>
        <w:fldChar w:fldCharType="end"/>
      </w:r>
    </w:p>
    <w:p>
      <w:pPr>
        <w:pStyle w:val="TOC8"/>
        <w:rPr>
          <w:rFonts w:asciiTheme="minorHAnsi" w:eastAsiaTheme="minorEastAsia" w:hAnsiTheme="minorHAnsi" w:cstheme="minorBidi"/>
          <w:szCs w:val="22"/>
        </w:rPr>
      </w:pPr>
      <w:r>
        <w:t>119.</w:t>
      </w:r>
      <w:r>
        <w:tab/>
        <w:t>Service as witness etc., payments for</w:t>
      </w:r>
      <w:r>
        <w:tab/>
      </w:r>
      <w:r>
        <w:fldChar w:fldCharType="begin"/>
      </w:r>
      <w:r>
        <w:instrText xml:space="preserve"> PAGEREF _Toc80794486 \h </w:instrText>
      </w:r>
      <w:r>
        <w:fldChar w:fldCharType="separate"/>
      </w:r>
      <w:r>
        <w:t>142</w:t>
      </w:r>
      <w:r>
        <w:fldChar w:fldCharType="end"/>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_Toc80794487 \h </w:instrText>
      </w:r>
      <w:r>
        <w:fldChar w:fldCharType="separate"/>
      </w:r>
      <w:r>
        <w:t>145</w:t>
      </w:r>
      <w:r>
        <w:fldChar w:fldCharType="end"/>
      </w:r>
    </w:p>
    <w:p>
      <w:pPr>
        <w:pStyle w:val="TOC8"/>
        <w:rPr>
          <w:rFonts w:asciiTheme="minorHAnsi" w:eastAsiaTheme="minorEastAsia" w:hAnsiTheme="minorHAnsi" w:cstheme="minorBidi"/>
          <w:szCs w:val="22"/>
        </w:rPr>
      </w:pPr>
      <w:r>
        <w:t>121.</w:t>
      </w:r>
      <w:r>
        <w:tab/>
        <w:t>WA court may take evidence or receive submission by video link or audio link</w:t>
      </w:r>
      <w:r>
        <w:tab/>
      </w:r>
      <w:r>
        <w:fldChar w:fldCharType="begin"/>
      </w:r>
      <w:r>
        <w:instrText xml:space="preserve"> PAGEREF _Toc80794488 \h </w:instrText>
      </w:r>
      <w:r>
        <w:fldChar w:fldCharType="separate"/>
      </w:r>
      <w:r>
        <w:t>146</w:t>
      </w:r>
      <w:r>
        <w:fldChar w:fldCharType="end"/>
      </w:r>
    </w:p>
    <w:p>
      <w:pPr>
        <w:pStyle w:val="TOC8"/>
        <w:rPr>
          <w:rFonts w:asciiTheme="minorHAnsi" w:eastAsiaTheme="minorEastAsia" w:hAnsiTheme="minorHAnsi" w:cstheme="minorBidi"/>
          <w:szCs w:val="22"/>
        </w:rPr>
      </w:pPr>
      <w:r>
        <w:t>122.</w:t>
      </w:r>
      <w:r>
        <w:tab/>
        <w:t>Counsel entitled to practise</w:t>
      </w:r>
      <w:r>
        <w:tab/>
      </w:r>
      <w:r>
        <w:fldChar w:fldCharType="begin"/>
      </w:r>
      <w:r>
        <w:instrText xml:space="preserve"> PAGEREF _Toc80794489 \h </w:instrText>
      </w:r>
      <w:r>
        <w:fldChar w:fldCharType="separate"/>
      </w:r>
      <w:r>
        <w:t>147</w:t>
      </w:r>
      <w:r>
        <w:fldChar w:fldCharType="end"/>
      </w:r>
    </w:p>
    <w:p>
      <w:pPr>
        <w:pStyle w:val="TOC8"/>
        <w:rPr>
          <w:rFonts w:asciiTheme="minorHAnsi" w:eastAsiaTheme="minorEastAsia" w:hAnsiTheme="minorHAnsi" w:cstheme="minorBidi"/>
          <w:szCs w:val="22"/>
        </w:rPr>
      </w:pPr>
      <w:r>
        <w:t>123.</w:t>
      </w:r>
      <w:r>
        <w:tab/>
        <w:t>Recognized court may take evidence or receive submission from person in this State</w:t>
      </w:r>
      <w:r>
        <w:tab/>
      </w:r>
      <w:r>
        <w:fldChar w:fldCharType="begin"/>
      </w:r>
      <w:r>
        <w:instrText xml:space="preserve"> PAGEREF _Toc80794490 \h </w:instrText>
      </w:r>
      <w:r>
        <w:fldChar w:fldCharType="separate"/>
      </w:r>
      <w:r>
        <w:t>147</w:t>
      </w:r>
      <w:r>
        <w:fldChar w:fldCharType="end"/>
      </w:r>
    </w:p>
    <w:p>
      <w:pPr>
        <w:pStyle w:val="TOC8"/>
        <w:rPr>
          <w:rFonts w:asciiTheme="minorHAnsi" w:eastAsiaTheme="minorEastAsia" w:hAnsiTheme="minorHAnsi" w:cstheme="minorBidi"/>
          <w:szCs w:val="22"/>
        </w:rPr>
      </w:pPr>
      <w:r>
        <w:t>124.</w:t>
      </w:r>
      <w:r>
        <w:tab/>
        <w:t>Recognized court’s powers</w:t>
      </w:r>
      <w:r>
        <w:tab/>
      </w:r>
      <w:r>
        <w:fldChar w:fldCharType="begin"/>
      </w:r>
      <w:r>
        <w:instrText xml:space="preserve"> PAGEREF _Toc80794491 \h </w:instrText>
      </w:r>
      <w:r>
        <w:fldChar w:fldCharType="separate"/>
      </w:r>
      <w:r>
        <w:t>148</w:t>
      </w:r>
      <w:r>
        <w:fldChar w:fldCharType="end"/>
      </w:r>
    </w:p>
    <w:p>
      <w:pPr>
        <w:pStyle w:val="TOC8"/>
        <w:rPr>
          <w:rFonts w:asciiTheme="minorHAnsi" w:eastAsiaTheme="minorEastAsia" w:hAnsiTheme="minorHAnsi" w:cstheme="minorBidi"/>
          <w:szCs w:val="22"/>
        </w:rPr>
      </w:pPr>
      <w:r>
        <w:t>125.</w:t>
      </w:r>
      <w:r>
        <w:tab/>
        <w:t>Recognized court may make orders</w:t>
      </w:r>
      <w:r>
        <w:tab/>
      </w:r>
      <w:r>
        <w:fldChar w:fldCharType="begin"/>
      </w:r>
      <w:r>
        <w:instrText xml:space="preserve"> PAGEREF _Toc80794492 \h </w:instrText>
      </w:r>
      <w:r>
        <w:fldChar w:fldCharType="separate"/>
      </w:r>
      <w:r>
        <w:t>148</w:t>
      </w:r>
      <w:r>
        <w:fldChar w:fldCharType="end"/>
      </w:r>
    </w:p>
    <w:p>
      <w:pPr>
        <w:pStyle w:val="TOC8"/>
        <w:rPr>
          <w:rFonts w:asciiTheme="minorHAnsi" w:eastAsiaTheme="minorEastAsia" w:hAnsiTheme="minorHAnsi" w:cstheme="minorBidi"/>
          <w:szCs w:val="22"/>
        </w:rPr>
      </w:pPr>
      <w:r>
        <w:t>126.</w:t>
      </w:r>
      <w:r>
        <w:tab/>
        <w:t>Enforcement of order under s. 125</w:t>
      </w:r>
      <w:r>
        <w:tab/>
      </w:r>
      <w:r>
        <w:fldChar w:fldCharType="begin"/>
      </w:r>
      <w:r>
        <w:instrText xml:space="preserve"> PAGEREF _Toc80794493 \h </w:instrText>
      </w:r>
      <w:r>
        <w:fldChar w:fldCharType="separate"/>
      </w:r>
      <w:r>
        <w:t>149</w:t>
      </w:r>
      <w:r>
        <w:fldChar w:fldCharType="end"/>
      </w:r>
    </w:p>
    <w:p>
      <w:pPr>
        <w:pStyle w:val="TOC8"/>
        <w:rPr>
          <w:rFonts w:asciiTheme="minorHAnsi" w:eastAsiaTheme="minorEastAsia" w:hAnsiTheme="minorHAnsi" w:cstheme="minorBidi"/>
          <w:szCs w:val="22"/>
        </w:rPr>
      </w:pPr>
      <w:r>
        <w:t>127.</w:t>
      </w:r>
      <w:r>
        <w:tab/>
        <w:t xml:space="preserve">Privileges, protection and immunity of participants in proceedings in </w:t>
      </w:r>
      <w:r>
        <w:rPr>
          <w:spacing w:val="-2"/>
        </w:rPr>
        <w:t>recognized</w:t>
      </w:r>
      <w:r>
        <w:t xml:space="preserve"> court</w:t>
      </w:r>
      <w:r>
        <w:tab/>
      </w:r>
      <w:r>
        <w:fldChar w:fldCharType="begin"/>
      </w:r>
      <w:r>
        <w:instrText xml:space="preserve"> PAGEREF _Toc80794494 \h </w:instrText>
      </w:r>
      <w:r>
        <w:fldChar w:fldCharType="separate"/>
      </w:r>
      <w:r>
        <w:t>149</w:t>
      </w:r>
      <w:r>
        <w:fldChar w:fldCharType="end"/>
      </w:r>
    </w:p>
    <w:p>
      <w:pPr>
        <w:pStyle w:val="TOC8"/>
        <w:rPr>
          <w:rFonts w:asciiTheme="minorHAnsi" w:eastAsiaTheme="minorEastAsia" w:hAnsiTheme="minorHAnsi" w:cstheme="minorBidi"/>
          <w:szCs w:val="22"/>
        </w:rPr>
      </w:pPr>
      <w:r>
        <w:t>128.</w:t>
      </w:r>
      <w:r>
        <w:tab/>
        <w:t>Recognized court may administer an oath in the State</w:t>
      </w:r>
      <w:r>
        <w:tab/>
      </w:r>
      <w:r>
        <w:fldChar w:fldCharType="begin"/>
      </w:r>
      <w:r>
        <w:instrText xml:space="preserve"> PAGEREF _Toc80794495 \h </w:instrText>
      </w:r>
      <w:r>
        <w:fldChar w:fldCharType="separate"/>
      </w:r>
      <w:r>
        <w:t>150</w:t>
      </w:r>
      <w:r>
        <w:fldChar w:fldCharType="end"/>
      </w:r>
    </w:p>
    <w:p>
      <w:pPr>
        <w:pStyle w:val="TOC8"/>
        <w:rPr>
          <w:rFonts w:asciiTheme="minorHAnsi" w:eastAsiaTheme="minorEastAsia" w:hAnsiTheme="minorHAnsi" w:cstheme="minorBidi"/>
          <w:szCs w:val="22"/>
        </w:rPr>
      </w:pPr>
      <w:r>
        <w:t>129.</w:t>
      </w:r>
      <w:r>
        <w:tab/>
        <w:t>Assistance to recognized court</w:t>
      </w:r>
      <w:r>
        <w:tab/>
      </w:r>
      <w:r>
        <w:fldChar w:fldCharType="begin"/>
      </w:r>
      <w:r>
        <w:instrText xml:space="preserve"> PAGEREF _Toc80794496 \h </w:instrText>
      </w:r>
      <w:r>
        <w:fldChar w:fldCharType="separate"/>
      </w:r>
      <w:r>
        <w:t>150</w:t>
      </w:r>
      <w:r>
        <w:fldChar w:fldCharType="end"/>
      </w:r>
    </w:p>
    <w:p>
      <w:pPr>
        <w:pStyle w:val="TOC8"/>
        <w:rPr>
          <w:rFonts w:asciiTheme="minorHAnsi" w:eastAsiaTheme="minorEastAsia" w:hAnsiTheme="minorHAnsi" w:cstheme="minorBidi"/>
          <w:szCs w:val="22"/>
        </w:rPr>
      </w:pPr>
      <w:r>
        <w:t>130.</w:t>
      </w:r>
      <w:r>
        <w:tab/>
        <w:t>Contempt of recognized court</w:t>
      </w:r>
      <w:r>
        <w:tab/>
      </w:r>
      <w:r>
        <w:fldChar w:fldCharType="begin"/>
      </w:r>
      <w:r>
        <w:instrText xml:space="preserve"> PAGEREF _Toc80794497 \h </w:instrText>
      </w:r>
      <w:r>
        <w:fldChar w:fldCharType="separate"/>
      </w:r>
      <w:r>
        <w:t>150</w:t>
      </w:r>
      <w:r>
        <w:fldChar w:fldCharType="end"/>
      </w:r>
    </w:p>
    <w:p>
      <w:pPr>
        <w:pStyle w:val="TOC8"/>
        <w:rPr>
          <w:rFonts w:asciiTheme="minorHAnsi" w:eastAsiaTheme="minorEastAsia" w:hAnsiTheme="minorHAnsi" w:cstheme="minorBidi"/>
          <w:szCs w:val="22"/>
        </w:rPr>
      </w:pPr>
      <w:r>
        <w:t>131.</w:t>
      </w:r>
      <w:r>
        <w:tab/>
        <w:t>Regulations for fees and expenses relating to use of video link or audio link</w:t>
      </w:r>
      <w:r>
        <w:tab/>
      </w:r>
      <w:r>
        <w:fldChar w:fldCharType="begin"/>
      </w:r>
      <w:r>
        <w:instrText xml:space="preserve"> PAGEREF _Toc80794498 \h </w:instrText>
      </w:r>
      <w:r>
        <w:fldChar w:fldCharType="separate"/>
      </w:r>
      <w:r>
        <w:t>151</w:t>
      </w:r>
      <w:r>
        <w:fldChar w:fldCharType="end"/>
      </w:r>
    </w:p>
    <w:p>
      <w:pPr>
        <w:pStyle w:val="TOC8"/>
        <w:rPr>
          <w:rFonts w:asciiTheme="minorHAnsi" w:eastAsiaTheme="minorEastAsia" w:hAnsiTheme="minorHAnsi" w:cstheme="minorBidi"/>
          <w:szCs w:val="22"/>
        </w:rPr>
      </w:pPr>
      <w:r>
        <w:t>132.</w:t>
      </w:r>
      <w:r>
        <w:tab/>
        <w:t>Operation of other laws</w:t>
      </w:r>
      <w:r>
        <w:tab/>
      </w:r>
      <w:r>
        <w:fldChar w:fldCharType="begin"/>
      </w:r>
      <w:r>
        <w:instrText xml:space="preserve"> PAGEREF _Toc80794499 \h </w:instrText>
      </w:r>
      <w:r>
        <w:fldChar w:fldCharType="separate"/>
      </w:r>
      <w:r>
        <w:t>151</w:t>
      </w:r>
      <w:r>
        <w:fldChar w:fldCharType="end"/>
      </w:r>
    </w:p>
    <w:p>
      <w:pPr>
        <w:pStyle w:val="TOC8"/>
        <w:rPr>
          <w:rFonts w:asciiTheme="minorHAnsi" w:eastAsiaTheme="minorEastAsia" w:hAnsiTheme="minorHAnsi" w:cstheme="minorBidi"/>
          <w:szCs w:val="22"/>
        </w:rPr>
      </w:pPr>
      <w:r>
        <w:t>133.</w:t>
      </w:r>
      <w:r>
        <w:tab/>
        <w:t xml:space="preserve">Regulations and rules of court for purposes of </w:t>
      </w:r>
      <w:r>
        <w:rPr>
          <w:i/>
        </w:rPr>
        <w:t>Courts and Tribunals (Electronic Processes Facilitation) Act 2013</w:t>
      </w:r>
      <w:r>
        <w:t xml:space="preserve"> Part 2</w:t>
      </w:r>
      <w:r>
        <w:tab/>
      </w:r>
      <w:r>
        <w:fldChar w:fldCharType="begin"/>
      </w:r>
      <w:r>
        <w:instrText xml:space="preserve"> PAGEREF _Toc80794500 \h </w:instrText>
      </w:r>
      <w:r>
        <w:fldChar w:fldCharType="separate"/>
      </w:r>
      <w:r>
        <w:t>152</w:t>
      </w:r>
      <w:r>
        <w:fldChar w:fldCharType="end"/>
      </w:r>
    </w:p>
    <w:p>
      <w:pPr>
        <w:pStyle w:val="TOC8"/>
        <w:rPr>
          <w:rFonts w:asciiTheme="minorHAnsi" w:eastAsiaTheme="minorEastAsia" w:hAnsiTheme="minorHAnsi" w:cstheme="minorBidi"/>
          <w:szCs w:val="22"/>
        </w:rPr>
      </w:pPr>
      <w:r>
        <w:t>134.</w:t>
      </w:r>
      <w:r>
        <w:tab/>
        <w:t xml:space="preserve">Review of amendment made by </w:t>
      </w:r>
      <w:r>
        <w:rPr>
          <w:i/>
          <w:iCs/>
        </w:rPr>
        <w:t>Family Violence Legislation Reform Act 2020</w:t>
      </w:r>
      <w:r>
        <w:tab/>
      </w:r>
      <w:r>
        <w:fldChar w:fldCharType="begin"/>
      </w:r>
      <w:r>
        <w:instrText xml:space="preserve"> PAGEREF _Toc80794501 \h </w:instrText>
      </w:r>
      <w:r>
        <w:fldChar w:fldCharType="separate"/>
      </w:r>
      <w:r>
        <w:t>152</w:t>
      </w:r>
      <w:r>
        <w:fldChar w:fldCharType="end"/>
      </w:r>
    </w:p>
    <w:p>
      <w:pPr>
        <w:pStyle w:val="TOC2"/>
        <w:keepNext w:val="0"/>
        <w:tabs>
          <w:tab w:val="right" w:leader="dot" w:pos="7077"/>
        </w:tabs>
        <w:rPr>
          <w:rFonts w:asciiTheme="minorHAnsi" w:eastAsiaTheme="minorEastAsia" w:hAnsiTheme="minorHAnsi" w:cstheme="minorBidi"/>
          <w:b w:val="0"/>
          <w:sz w:val="22"/>
          <w:szCs w:val="22"/>
        </w:rPr>
      </w:pPr>
      <w:r>
        <w:t>The Second Schedule</w:t>
      </w:r>
    </w:p>
    <w:p>
      <w:pPr>
        <w:pStyle w:val="TOC2"/>
        <w:keepNext w:val="0"/>
        <w:tabs>
          <w:tab w:val="right" w:leader="dot" w:pos="7077"/>
        </w:tabs>
        <w:rPr>
          <w:rFonts w:asciiTheme="minorHAnsi" w:eastAsiaTheme="minorEastAsia" w:hAnsiTheme="minorHAnsi" w:cstheme="minorBidi"/>
          <w:b w:val="0"/>
          <w:sz w:val="22"/>
          <w:szCs w:val="22"/>
        </w:rPr>
      </w:pPr>
      <w:r>
        <w:t xml:space="preserve">Part 1 — Offences under </w:t>
      </w:r>
      <w:r>
        <w:rPr>
          <w:i/>
          <w:iCs/>
        </w:rPr>
        <w:t>The Criminal Code</w:t>
      </w:r>
    </w:p>
    <w:p>
      <w:pPr>
        <w:pStyle w:val="TOC2"/>
        <w:keepNext w:val="0"/>
        <w:tabs>
          <w:tab w:val="right" w:leader="dot" w:pos="7077"/>
        </w:tabs>
        <w:rPr>
          <w:rFonts w:asciiTheme="minorHAnsi" w:eastAsiaTheme="minorEastAsia" w:hAnsiTheme="minorHAnsi" w:cstheme="minorBidi"/>
          <w:b w:val="0"/>
          <w:sz w:val="22"/>
          <w:szCs w:val="22"/>
        </w:rPr>
      </w:pPr>
      <w:r>
        <w:t xml:space="preserve">Part 2 — Offences under the </w:t>
      </w:r>
      <w:r>
        <w:rPr>
          <w:i/>
        </w:rPr>
        <w:t>Road Traffic Act 1974</w:t>
      </w:r>
    </w:p>
    <w:p>
      <w:pPr>
        <w:pStyle w:val="TOC2"/>
        <w:keepNext w:val="0"/>
        <w:tabs>
          <w:tab w:val="right" w:leader="dot" w:pos="7077"/>
        </w:tabs>
        <w:rPr>
          <w:rFonts w:asciiTheme="minorHAnsi" w:eastAsiaTheme="minorEastAsia" w:hAnsiTheme="minorHAnsi" w:cstheme="minorBidi"/>
          <w:b w:val="0"/>
          <w:sz w:val="22"/>
          <w:szCs w:val="22"/>
        </w:rPr>
      </w:pPr>
      <w:r>
        <w:t>Part 4</w:t>
      </w:r>
      <w:r>
        <w:rPr>
          <w:b w:val="0"/>
        </w:rPr>
        <w:t> — </w:t>
      </w:r>
      <w:r>
        <w:t xml:space="preserve">Offences under the </w:t>
      </w:r>
      <w:r>
        <w:rPr>
          <w:i/>
          <w:iCs/>
        </w:rPr>
        <w:t>Children and Community Services Act 2004</w:t>
      </w:r>
    </w:p>
    <w:p>
      <w:pPr>
        <w:pStyle w:val="TOC2"/>
        <w:tabs>
          <w:tab w:val="right" w:leader="dot" w:pos="7077"/>
        </w:tabs>
        <w:rPr>
          <w:rFonts w:asciiTheme="minorHAnsi" w:eastAsiaTheme="minorEastAsia" w:hAnsiTheme="minorHAnsi" w:cstheme="minorBidi"/>
          <w:b w:val="0"/>
          <w:sz w:val="22"/>
          <w:szCs w:val="22"/>
        </w:rPr>
      </w:pPr>
      <w:r>
        <w:lastRenderedPageBreak/>
        <w:t xml:space="preserve">Part 5 — Offences under the </w:t>
      </w:r>
      <w:r>
        <w:rPr>
          <w:i/>
        </w:rPr>
        <w:t>Misuse of Drugs Act 1981</w:t>
      </w:r>
    </w:p>
    <w:p>
      <w:pPr>
        <w:pStyle w:val="TOC2"/>
        <w:tabs>
          <w:tab w:val="right" w:leader="dot" w:pos="7077"/>
        </w:tabs>
        <w:rPr>
          <w:rFonts w:asciiTheme="minorHAnsi" w:eastAsiaTheme="minorEastAsia" w:hAnsiTheme="minorHAnsi" w:cstheme="minorBidi"/>
          <w:b w:val="0"/>
          <w:sz w:val="22"/>
          <w:szCs w:val="22"/>
        </w:rPr>
      </w:pPr>
      <w:r>
        <w:t>The Fourth Schedule</w:t>
      </w:r>
    </w:p>
    <w:p>
      <w:pPr>
        <w:pStyle w:val="TOC2"/>
        <w:tabs>
          <w:tab w:val="right" w:leader="dot" w:pos="7077"/>
        </w:tabs>
        <w:rPr>
          <w:rFonts w:asciiTheme="minorHAnsi" w:eastAsiaTheme="minorEastAsia" w:hAnsiTheme="minorHAnsi" w:cstheme="minorBidi"/>
          <w:b w:val="0"/>
          <w:sz w:val="22"/>
          <w:szCs w:val="22"/>
        </w:rPr>
      </w:pPr>
      <w:r>
        <w:t>The Fifth Schedule</w:t>
      </w:r>
    </w:p>
    <w:p>
      <w:pPr>
        <w:pStyle w:val="TOC2"/>
        <w:tabs>
          <w:tab w:val="right" w:leader="dot" w:pos="7077"/>
        </w:tabs>
        <w:rPr>
          <w:rFonts w:asciiTheme="minorHAnsi" w:eastAsiaTheme="minorEastAsia" w:hAnsiTheme="minorHAnsi" w:cstheme="minorBidi"/>
          <w:b w:val="0"/>
          <w:sz w:val="22"/>
          <w:szCs w:val="22"/>
        </w:rPr>
      </w:pPr>
      <w:r>
        <w:t>The Sixth Schedule</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Part A</w:t>
      </w:r>
    </w:p>
    <w:p>
      <w:pPr>
        <w:pStyle w:val="TOC2"/>
        <w:tabs>
          <w:tab w:val="right" w:leader="dot" w:pos="7077"/>
        </w:tabs>
        <w:rPr>
          <w:rFonts w:asciiTheme="minorHAnsi" w:eastAsiaTheme="minorEastAsia" w:hAnsiTheme="minorHAnsi" w:cstheme="minorBidi"/>
          <w:b w:val="0"/>
          <w:sz w:val="22"/>
          <w:szCs w:val="22"/>
        </w:rPr>
      </w:pPr>
      <w:r>
        <w:t>Part B</w:t>
      </w:r>
    </w:p>
    <w:p>
      <w:pPr>
        <w:pStyle w:val="TOC2"/>
        <w:tabs>
          <w:tab w:val="right" w:leader="dot" w:pos="7077"/>
        </w:tabs>
        <w:rPr>
          <w:rFonts w:asciiTheme="minorHAnsi" w:eastAsiaTheme="minorEastAsia" w:hAnsiTheme="minorHAnsi" w:cstheme="minorBidi"/>
          <w:b w:val="0"/>
          <w:sz w:val="22"/>
          <w:szCs w:val="22"/>
        </w:rPr>
      </w:pPr>
      <w:r>
        <w:t>Part C</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_Toc80794515 \h </w:instrText>
      </w:r>
      <w:r>
        <w:fldChar w:fldCharType="separate"/>
      </w:r>
      <w:r>
        <w:t>166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_Toc80794516 \h </w:instrText>
      </w:r>
      <w:r>
        <w:fldChar w:fldCharType="separate"/>
      </w:r>
      <w:r>
        <w:t>174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_Toc80794517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40" w:after="1200"/>
      </w:pPr>
      <w:r>
        <w:t>Evidence Act 1906</w:t>
      </w:r>
    </w:p>
    <w:p>
      <w:pPr>
        <w:pStyle w:val="LongTitle"/>
        <w:spacing w:after="480"/>
        <w:rPr>
          <w:snapToGrid w:val="0"/>
        </w:rPr>
      </w:pPr>
      <w:r>
        <w:rPr>
          <w:snapToGrid w:val="0"/>
        </w:rPr>
        <w:t>An Act to consolidate and amend the statute law of evidence.</w:t>
      </w:r>
    </w:p>
    <w:p>
      <w:pPr>
        <w:pStyle w:val="Heading5"/>
        <w:spacing w:before="180"/>
        <w:rPr>
          <w:snapToGrid w:val="0"/>
        </w:rPr>
      </w:pPr>
      <w:bookmarkStart w:id="3" w:name="_Toc80794294"/>
      <w:r>
        <w:rPr>
          <w:rStyle w:val="CharSectno"/>
        </w:rPr>
        <w:t>1</w:t>
      </w:r>
      <w:r>
        <w:rPr>
          <w:snapToGrid w:val="0"/>
        </w:rPr>
        <w:t>.</w:t>
      </w:r>
      <w:r>
        <w:rPr>
          <w:snapToGrid w:val="0"/>
        </w:rPr>
        <w:tab/>
        <w:t>Short title</w:t>
      </w:r>
      <w:bookmarkEnd w:id="3"/>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4" w:name="_Toc80794295"/>
      <w:r>
        <w:rPr>
          <w:rStyle w:val="CharSectno"/>
        </w:rPr>
        <w:t>3</w:t>
      </w:r>
      <w:r>
        <w:rPr>
          <w:snapToGrid w:val="0"/>
        </w:rPr>
        <w:t>.</w:t>
      </w:r>
      <w:r>
        <w:rPr>
          <w:snapToGrid w:val="0"/>
        </w:rPr>
        <w:tab/>
        <w:t>Terms used</w:t>
      </w:r>
      <w:bookmarkEnd w:id="4"/>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lastRenderedPageBreak/>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lastRenderedPageBreak/>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Western Australia or the colony of Western Australia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No. 11 of 1964 s. 2; No. 111 of 1978 s. 2; No. 66 of 1987 s. 4; No. 70 of 1988 s. 35; No. 15 of 1991 s. 23; No. 73 of 1994 s. 4; No. 26 of 1999 s. 78(2); No. 71 of 2000 s. 3; No. 15 of 2003 s. 15; No. 59 of 2004 s. 89.]</w:t>
      </w:r>
    </w:p>
    <w:p>
      <w:pPr>
        <w:pStyle w:val="Heading5"/>
        <w:pageBreakBefore/>
        <w:spacing w:before="0"/>
        <w:rPr>
          <w:snapToGrid w:val="0"/>
        </w:rPr>
      </w:pPr>
      <w:bookmarkStart w:id="5" w:name="_Toc80794296"/>
      <w:r>
        <w:rPr>
          <w:rStyle w:val="CharSectno"/>
        </w:rPr>
        <w:lastRenderedPageBreak/>
        <w:t>4</w:t>
      </w:r>
      <w:r>
        <w:rPr>
          <w:snapToGrid w:val="0"/>
        </w:rPr>
        <w:t>.</w:t>
      </w:r>
      <w:r>
        <w:rPr>
          <w:snapToGrid w:val="0"/>
        </w:rPr>
        <w:tab/>
        <w:t>Application of Act</w:t>
      </w:r>
      <w:bookmarkEnd w:id="5"/>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pPr>
      <w:bookmarkStart w:id="6" w:name="_Toc80794297"/>
      <w:r>
        <w:rPr>
          <w:rStyle w:val="CharSectno"/>
        </w:rPr>
        <w:t>5A</w:t>
      </w:r>
      <w:r>
        <w:t>.</w:t>
      </w:r>
      <w:r>
        <w:tab/>
      </w:r>
      <w:r>
        <w:rPr>
          <w:i/>
        </w:rPr>
        <w:t>Courts and Tribunals (Electronic Processes Facilitation) Act 2013</w:t>
      </w:r>
      <w:r>
        <w:t xml:space="preserve"> Part 2 applies</w:t>
      </w:r>
      <w:bookmarkEnd w:id="6"/>
    </w:p>
    <w:p>
      <w:pPr>
        <w:pStyle w:val="Subsection"/>
      </w:pPr>
      <w:r>
        <w:tab/>
      </w:r>
      <w:r>
        <w:tab/>
        <w:t xml:space="preserve">The </w:t>
      </w:r>
      <w:r>
        <w:rPr>
          <w:i/>
        </w:rPr>
        <w:t>Courts and Tribunals (Electronic Processes Facilitation) Act 2013</w:t>
      </w:r>
      <w:r>
        <w:t xml:space="preserve"> Part 2 applies to this Act (other than section 19B).</w:t>
      </w:r>
    </w:p>
    <w:p>
      <w:pPr>
        <w:pStyle w:val="Footnotesection"/>
      </w:pPr>
      <w:r>
        <w:tab/>
        <w:t>[Section 5A inserted: No. 20 of 2013 s. 60.]</w:t>
      </w:r>
    </w:p>
    <w:p>
      <w:pPr>
        <w:pStyle w:val="Heading5"/>
        <w:spacing w:before="180"/>
        <w:rPr>
          <w:snapToGrid w:val="0"/>
        </w:rPr>
      </w:pPr>
      <w:bookmarkStart w:id="7" w:name="_Toc80794298"/>
      <w:r>
        <w:rPr>
          <w:rStyle w:val="CharSectno"/>
        </w:rPr>
        <w:t>5</w:t>
      </w:r>
      <w:r>
        <w:rPr>
          <w:snapToGrid w:val="0"/>
        </w:rPr>
        <w:t>.</w:t>
      </w:r>
      <w:r>
        <w:rPr>
          <w:snapToGrid w:val="0"/>
        </w:rPr>
        <w:tab/>
        <w:t>This Act not to derogate from existing powers</w:t>
      </w:r>
      <w:bookmarkEnd w:id="7"/>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8" w:name="_Toc80794299"/>
      <w:r>
        <w:rPr>
          <w:rStyle w:val="CharSectno"/>
        </w:rPr>
        <w:t>6</w:t>
      </w:r>
      <w:r>
        <w:rPr>
          <w:snapToGrid w:val="0"/>
        </w:rPr>
        <w:t>.</w:t>
      </w:r>
      <w:r>
        <w:rPr>
          <w:snapToGrid w:val="0"/>
        </w:rPr>
        <w:tab/>
        <w:t>Witnesses interested or convicted of offence</w:t>
      </w:r>
      <w:bookmarkEnd w:id="8"/>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9" w:name="_Toc80794300"/>
      <w:r>
        <w:rPr>
          <w:rStyle w:val="CharSectno"/>
        </w:rPr>
        <w:t>7</w:t>
      </w:r>
      <w:r>
        <w:rPr>
          <w:snapToGrid w:val="0"/>
        </w:rPr>
        <w:t>.</w:t>
      </w:r>
      <w:r>
        <w:rPr>
          <w:snapToGrid w:val="0"/>
        </w:rPr>
        <w:tab/>
        <w:t>Parties to civil proceedings and spouses and ex</w:t>
      </w:r>
      <w:r>
        <w:rPr>
          <w:snapToGrid w:val="0"/>
        </w:rPr>
        <w:noBreakHyphen/>
        <w:t>spouses of parties</w:t>
      </w:r>
      <w:bookmarkEnd w:id="9"/>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No. 48 of 1991 s. 5.]</w:t>
      </w:r>
    </w:p>
    <w:p>
      <w:pPr>
        <w:pStyle w:val="Heading5"/>
        <w:spacing w:before="180"/>
        <w:rPr>
          <w:snapToGrid w:val="0"/>
        </w:rPr>
      </w:pPr>
      <w:bookmarkStart w:id="10" w:name="_Toc80794301"/>
      <w:r>
        <w:rPr>
          <w:rStyle w:val="CharSectno"/>
        </w:rPr>
        <w:lastRenderedPageBreak/>
        <w:t>8</w:t>
      </w:r>
      <w:r>
        <w:rPr>
          <w:snapToGrid w:val="0"/>
        </w:rPr>
        <w:t>.</w:t>
      </w:r>
      <w:r>
        <w:rPr>
          <w:snapToGrid w:val="0"/>
        </w:rPr>
        <w:tab/>
        <w:t>Accused persons in criminal cases</w:t>
      </w:r>
      <w:bookmarkEnd w:id="10"/>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lastRenderedPageBreak/>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No. 16 of 1913 s. 2; No. 48 of 1991 s. 6; No. 71 of 2000 s. 4; No. 27 of 2002 s. 30; No. 84 of 2004 s. 41.]</w:t>
      </w:r>
    </w:p>
    <w:p>
      <w:pPr>
        <w:pStyle w:val="Heading5"/>
        <w:rPr>
          <w:snapToGrid w:val="0"/>
        </w:rPr>
      </w:pPr>
      <w:bookmarkStart w:id="11" w:name="_Toc80794302"/>
      <w:r>
        <w:rPr>
          <w:rStyle w:val="CharSectno"/>
        </w:rPr>
        <w:t>9</w:t>
      </w:r>
      <w:r>
        <w:rPr>
          <w:snapToGrid w:val="0"/>
        </w:rPr>
        <w:t>.</w:t>
      </w:r>
      <w:r>
        <w:rPr>
          <w:snapToGrid w:val="0"/>
        </w:rPr>
        <w:tab/>
        <w:t>Spouses and ex</w:t>
      </w:r>
      <w:r>
        <w:rPr>
          <w:snapToGrid w:val="0"/>
        </w:rPr>
        <w:noBreakHyphen/>
        <w:t>spouses of accused persons in criminal cases</w:t>
      </w:r>
      <w:bookmarkEnd w:id="11"/>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lastRenderedPageBreak/>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keepNext/>
        <w:keepLines/>
      </w:pPr>
      <w:r>
        <w:lastRenderedPageBreak/>
        <w:tab/>
        <w:t>(6)</w:t>
      </w:r>
      <w:r>
        <w:tab/>
        <w:t>In subsection (1) —</w:t>
      </w:r>
    </w:p>
    <w:p>
      <w:pPr>
        <w:pStyle w:val="Defstart"/>
        <w:keepNext/>
        <w:keepLines/>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No. 48 of 1991 s. 7; amended: No. 71 of 2000 s. 5; No. 27 of 2002 s. 31; No. 84 of 2004 s. 82.]</w:t>
      </w:r>
    </w:p>
    <w:p>
      <w:pPr>
        <w:pStyle w:val="Ednotesection"/>
        <w:spacing w:before="160"/>
        <w:ind w:left="890" w:hanging="890"/>
      </w:pPr>
      <w:r>
        <w:t>[</w:t>
      </w:r>
      <w:r>
        <w:rPr>
          <w:b/>
        </w:rPr>
        <w:t>10.</w:t>
      </w:r>
      <w:r>
        <w:tab/>
        <w:t>Deleted: No. 48 of 1991 s. 8.]</w:t>
      </w:r>
    </w:p>
    <w:p>
      <w:pPr>
        <w:pStyle w:val="Heading5"/>
        <w:keepNext w:val="0"/>
        <w:keepLines w:val="0"/>
        <w:spacing w:before="180"/>
        <w:rPr>
          <w:snapToGrid w:val="0"/>
        </w:rPr>
      </w:pPr>
      <w:bookmarkStart w:id="12" w:name="_Toc80794303"/>
      <w:r>
        <w:rPr>
          <w:rStyle w:val="CharSectno"/>
        </w:rPr>
        <w:t>11</w:t>
      </w:r>
      <w:r>
        <w:rPr>
          <w:snapToGrid w:val="0"/>
        </w:rPr>
        <w:t>.</w:t>
      </w:r>
      <w:r>
        <w:rPr>
          <w:snapToGrid w:val="0"/>
        </w:rPr>
        <w:tab/>
        <w:t>Court may compel answer to incriminating question</w:t>
      </w:r>
      <w:bookmarkEnd w:id="12"/>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 xml:space="preserve">Where in a proceeding a person is given a certificate under subsection (2) in respect of any evidence, a statement made by him, as part of that evidence, in answer to a question or interrogatory is not admissible in evidence in criminal </w:t>
      </w:r>
      <w:r>
        <w:rPr>
          <w:snapToGrid w:val="0"/>
        </w:rPr>
        <w:lastRenderedPageBreak/>
        <w:t>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No. 47 of 1990 s. 4</w:t>
      </w:r>
      <w:r>
        <w:rPr>
          <w:i w:val="0"/>
          <w:vertAlign w:val="superscript"/>
        </w:rPr>
        <w:t> 1</w:t>
      </w:r>
      <w:r>
        <w:t>; No. 15 of 1991 s. 23; No. 59 of 2004 s. 89.]</w:t>
      </w:r>
    </w:p>
    <w:p>
      <w:pPr>
        <w:pStyle w:val="Heading5"/>
        <w:rPr>
          <w:snapToGrid w:val="0"/>
        </w:rPr>
      </w:pPr>
      <w:bookmarkStart w:id="13" w:name="_Toc80794304"/>
      <w:r>
        <w:rPr>
          <w:rStyle w:val="CharSectno"/>
        </w:rPr>
        <w:t>11A</w:t>
      </w:r>
      <w:r>
        <w:rPr>
          <w:snapToGrid w:val="0"/>
        </w:rPr>
        <w:t>.</w:t>
      </w:r>
      <w:r>
        <w:rPr>
          <w:snapToGrid w:val="0"/>
        </w:rPr>
        <w:tab/>
        <w:t>Judge may restrict publication of evidence where s. 11 certificate given</w:t>
      </w:r>
      <w:bookmarkEnd w:id="13"/>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No. 47 of 1990 s. 5.]</w:t>
      </w:r>
    </w:p>
    <w:p>
      <w:pPr>
        <w:pStyle w:val="Heading5"/>
        <w:rPr>
          <w:snapToGrid w:val="0"/>
        </w:rPr>
      </w:pPr>
      <w:bookmarkStart w:id="14" w:name="_Toc80794305"/>
      <w:r>
        <w:rPr>
          <w:rStyle w:val="CharSectno"/>
        </w:rPr>
        <w:lastRenderedPageBreak/>
        <w:t>12</w:t>
      </w:r>
      <w:r>
        <w:rPr>
          <w:snapToGrid w:val="0"/>
        </w:rPr>
        <w:t>.</w:t>
      </w:r>
      <w:r>
        <w:rPr>
          <w:snapToGrid w:val="0"/>
        </w:rPr>
        <w:tab/>
        <w:t>Witnesses in revenue cases may be compelled to give evidence</w:t>
      </w:r>
      <w:bookmarkEnd w:id="14"/>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keepNext/>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No. 15 of 1991 s. 23; No. 59 of 2004 s. 89; No. 12 of 2008 Sch. 1 cl. 8(1); No. 20 of 2013 s. 61.]</w:t>
      </w:r>
    </w:p>
    <w:p>
      <w:pPr>
        <w:pStyle w:val="Heading5"/>
        <w:spacing w:before="200"/>
        <w:rPr>
          <w:snapToGrid w:val="0"/>
        </w:rPr>
      </w:pPr>
      <w:bookmarkStart w:id="15" w:name="_Toc80794306"/>
      <w:r>
        <w:rPr>
          <w:rStyle w:val="CharSectno"/>
        </w:rPr>
        <w:lastRenderedPageBreak/>
        <w:t>13</w:t>
      </w:r>
      <w:r>
        <w:rPr>
          <w:snapToGrid w:val="0"/>
        </w:rPr>
        <w:t>.</w:t>
      </w:r>
      <w:r>
        <w:rPr>
          <w:snapToGrid w:val="0"/>
        </w:rPr>
        <w:tab/>
        <w:t>Certificate under s. 12 may be pleaded in bar to prosecution</w:t>
      </w:r>
      <w:bookmarkEnd w:id="15"/>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No. 47 of 1990 s. 6.]</w:t>
      </w:r>
    </w:p>
    <w:p>
      <w:pPr>
        <w:pStyle w:val="Heading5"/>
        <w:rPr>
          <w:snapToGrid w:val="0"/>
        </w:rPr>
      </w:pPr>
      <w:bookmarkStart w:id="16" w:name="_Toc80794307"/>
      <w:r>
        <w:rPr>
          <w:rStyle w:val="CharSectno"/>
        </w:rPr>
        <w:t>14</w:t>
      </w:r>
      <w:r>
        <w:rPr>
          <w:snapToGrid w:val="0"/>
        </w:rPr>
        <w:t>.</w:t>
      </w:r>
      <w:r>
        <w:rPr>
          <w:snapToGrid w:val="0"/>
        </w:rPr>
        <w:tab/>
        <w:t>Customs prosecutions, accused compellable</w:t>
      </w:r>
      <w:bookmarkEnd w:id="16"/>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No. 84 of 2004 s. 82.]</w:t>
      </w:r>
    </w:p>
    <w:p>
      <w:pPr>
        <w:pStyle w:val="Heading5"/>
        <w:rPr>
          <w:snapToGrid w:val="0"/>
        </w:rPr>
      </w:pPr>
      <w:bookmarkStart w:id="17" w:name="_Toc80794308"/>
      <w:r>
        <w:rPr>
          <w:rStyle w:val="CharSectno"/>
        </w:rPr>
        <w:t>15</w:t>
      </w:r>
      <w:r>
        <w:rPr>
          <w:snapToGrid w:val="0"/>
        </w:rPr>
        <w:t>.</w:t>
      </w:r>
      <w:r>
        <w:rPr>
          <w:snapToGrid w:val="0"/>
        </w:rPr>
        <w:tab/>
        <w:t>Persons may be examined without subpoena</w:t>
      </w:r>
      <w:bookmarkEnd w:id="17"/>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8" w:name="_Toc80794309"/>
      <w:r>
        <w:rPr>
          <w:rStyle w:val="CharSectno"/>
        </w:rPr>
        <w:t>16</w:t>
      </w:r>
      <w:r>
        <w:rPr>
          <w:snapToGrid w:val="0"/>
        </w:rPr>
        <w:t>.</w:t>
      </w:r>
      <w:r>
        <w:rPr>
          <w:snapToGrid w:val="0"/>
        </w:rPr>
        <w:tab/>
        <w:t>Witnesses failing to attend trial</w:t>
      </w:r>
      <w:bookmarkEnd w:id="18"/>
    </w:p>
    <w:p>
      <w:pPr>
        <w:pStyle w:val="Subsection"/>
        <w:rPr>
          <w:snapToGrid w:val="0"/>
        </w:rPr>
      </w:pPr>
      <w:r>
        <w:rPr>
          <w:snapToGrid w:val="0"/>
        </w:rPr>
        <w:tab/>
        <w:t>(1)</w:t>
      </w:r>
      <w:r>
        <w:rPr>
          <w:snapToGrid w:val="0"/>
        </w:rPr>
        <w:tab/>
        <w:t xml:space="preserve">Where any person duly bound by recognizance or served with a subpoena, summons, or order to attend in any court as a witness at the trial of any case, civil or criminal, fails to appear when </w:t>
      </w:r>
      <w:r>
        <w:rPr>
          <w:snapToGrid w:val="0"/>
        </w:rPr>
        <w:lastRenderedPageBreak/>
        <w:t>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19" w:name="_Toc80794310"/>
      <w:r>
        <w:rPr>
          <w:rStyle w:val="CharSectno"/>
        </w:rPr>
        <w:t>17</w:t>
      </w:r>
      <w:r>
        <w:rPr>
          <w:snapToGrid w:val="0"/>
        </w:rPr>
        <w:t>.</w:t>
      </w:r>
      <w:r>
        <w:rPr>
          <w:snapToGrid w:val="0"/>
        </w:rPr>
        <w:tab/>
        <w:t>Procedure on non</w:t>
      </w:r>
      <w:r>
        <w:rPr>
          <w:snapToGrid w:val="0"/>
        </w:rPr>
        <w:noBreakHyphen/>
        <w:t>appearance of witness</w:t>
      </w:r>
      <w:bookmarkEnd w:id="19"/>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20" w:name="_Toc80794311"/>
      <w:r>
        <w:rPr>
          <w:snapToGrid w:val="0"/>
        </w:rPr>
        <w:t>18.</w:t>
      </w:r>
      <w:r>
        <w:rPr>
          <w:snapToGrid w:val="0"/>
        </w:rPr>
        <w:tab/>
        <w:t>Communications during marriage</w:t>
      </w:r>
      <w:bookmarkEnd w:id="20"/>
    </w:p>
    <w:p>
      <w:pPr>
        <w:pStyle w:val="Subsection"/>
        <w:rPr>
          <w:snapToGrid w:val="0"/>
        </w:rPr>
      </w:pPr>
      <w:r>
        <w:rPr>
          <w:snapToGrid w:val="0"/>
        </w:rPr>
        <w:tab/>
      </w:r>
      <w:r>
        <w:rPr>
          <w:snapToGrid w:val="0"/>
        </w:rPr>
        <w:tab/>
        <w:t xml:space="preserve">Subject to the provisions of section 9, a husband shall not be compellable in any proceeding to disclose any communication made to him by his wife, or by him to his wife, during the marriage, and a wife shall not be compellable in any proceeding </w:t>
      </w:r>
      <w:r>
        <w:rPr>
          <w:snapToGrid w:val="0"/>
        </w:rPr>
        <w:lastRenderedPageBreak/>
        <w:t>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No. 16 of 1956 s. 2.]</w:t>
      </w:r>
    </w:p>
    <w:p>
      <w:pPr>
        <w:pStyle w:val="Heading5"/>
        <w:keepNext w:val="0"/>
        <w:keepLines w:val="0"/>
        <w:spacing w:before="180"/>
        <w:rPr>
          <w:snapToGrid w:val="0"/>
        </w:rPr>
      </w:pPr>
      <w:bookmarkStart w:id="21" w:name="_Toc80794312"/>
      <w:r>
        <w:rPr>
          <w:rStyle w:val="CharSectno"/>
        </w:rPr>
        <w:t>19</w:t>
      </w:r>
      <w:r>
        <w:rPr>
          <w:snapToGrid w:val="0"/>
        </w:rPr>
        <w:t>.</w:t>
      </w:r>
      <w:r>
        <w:rPr>
          <w:snapToGrid w:val="0"/>
        </w:rPr>
        <w:tab/>
        <w:t>Evidence of non</w:t>
      </w:r>
      <w:r>
        <w:rPr>
          <w:snapToGrid w:val="0"/>
        </w:rPr>
        <w:noBreakHyphen/>
        <w:t>access</w:t>
      </w:r>
      <w:bookmarkEnd w:id="21"/>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No. 16 of 1956 s. 2.]</w:t>
      </w:r>
    </w:p>
    <w:p>
      <w:pPr>
        <w:pStyle w:val="MiscellaneousHeading"/>
      </w:pPr>
      <w:r>
        <w:rPr>
          <w:i/>
        </w:rPr>
        <w:t>Protection of confidential communications given in counselling concerning sexual assault</w:t>
      </w:r>
    </w:p>
    <w:p>
      <w:pPr>
        <w:pStyle w:val="Footnoteheading"/>
      </w:pPr>
      <w:r>
        <w:tab/>
        <w:t>[Heading inserted: No. 31 of 2012 s. 4.]</w:t>
      </w:r>
    </w:p>
    <w:p>
      <w:pPr>
        <w:pStyle w:val="Heading5"/>
      </w:pPr>
      <w:bookmarkStart w:id="22" w:name="_Toc80794313"/>
      <w:r>
        <w:rPr>
          <w:rStyle w:val="CharSectno"/>
        </w:rPr>
        <w:t>19A</w:t>
      </w:r>
      <w:r>
        <w:t>.</w:t>
      </w:r>
      <w:r>
        <w:tab/>
        <w:t>Terms used</w:t>
      </w:r>
      <w:bookmarkEnd w:id="22"/>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keepNext/>
      </w:pPr>
      <w:r>
        <w:rPr>
          <w:b/>
        </w:rPr>
        <w:lastRenderedPageBreak/>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lastRenderedPageBreak/>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lastRenderedPageBreak/>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No. 46 of 2004 s. 10.]</w:t>
      </w:r>
    </w:p>
    <w:p>
      <w:pPr>
        <w:pStyle w:val="Heading5"/>
      </w:pPr>
      <w:bookmarkStart w:id="23" w:name="_Toc80794314"/>
      <w:r>
        <w:rPr>
          <w:rStyle w:val="CharSectno"/>
        </w:rPr>
        <w:t>19B</w:t>
      </w:r>
      <w:r>
        <w:t>.</w:t>
      </w:r>
      <w:r>
        <w:tab/>
        <w:t>Protected communications recorded electronically</w:t>
      </w:r>
      <w:bookmarkEnd w:id="23"/>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No. 46 of 2004 s. 10.]</w:t>
      </w:r>
    </w:p>
    <w:p>
      <w:pPr>
        <w:pStyle w:val="Heading5"/>
      </w:pPr>
      <w:bookmarkStart w:id="24" w:name="_Toc80794315"/>
      <w:r>
        <w:rPr>
          <w:rStyle w:val="CharSectno"/>
        </w:rPr>
        <w:lastRenderedPageBreak/>
        <w:t>19C</w:t>
      </w:r>
      <w:r>
        <w:t>.</w:t>
      </w:r>
      <w:r>
        <w:tab/>
        <w:t>Protected communications not to be disclosed in criminal proceedings except with leave of court</w:t>
      </w:r>
      <w:bookmarkEnd w:id="24"/>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 xml:space="preserve">If the court does not consider that the supporting affidavit establishes a prima facie case that the applicant has a legitimate forensic purpose for having the leave, the court is to notify the </w:t>
      </w:r>
      <w:r>
        <w:lastRenderedPageBreak/>
        <w:t>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No. 46 of 2004 s. 10.]</w:t>
      </w:r>
    </w:p>
    <w:p>
      <w:pPr>
        <w:pStyle w:val="Heading5"/>
      </w:pPr>
      <w:bookmarkStart w:id="25" w:name="_Toc80794316"/>
      <w:r>
        <w:rPr>
          <w:rStyle w:val="CharSectno"/>
        </w:rPr>
        <w:t>19D</w:t>
      </w:r>
      <w:r>
        <w:t>.</w:t>
      </w:r>
      <w:r>
        <w:tab/>
        <w:t>Procedure on hearing of application for leave</w:t>
      </w:r>
      <w:bookmarkEnd w:id="25"/>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No. 46 of 2004 s. 10.]</w:t>
      </w:r>
    </w:p>
    <w:p>
      <w:pPr>
        <w:pStyle w:val="Heading5"/>
      </w:pPr>
      <w:bookmarkStart w:id="26" w:name="_Toc80794317"/>
      <w:r>
        <w:rPr>
          <w:rStyle w:val="CharSectno"/>
        </w:rPr>
        <w:t>19E</w:t>
      </w:r>
      <w:r>
        <w:t>.</w:t>
      </w:r>
      <w:r>
        <w:tab/>
        <w:t>Application for leave to be dismissed if there is no legitimate forensic purpose for it</w:t>
      </w:r>
      <w:bookmarkEnd w:id="26"/>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lastRenderedPageBreak/>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lastRenderedPageBreak/>
        <w:tab/>
        <w:t>(b)</w:t>
      </w:r>
      <w:r>
        <w:tab/>
        <w:t>the grounds on which the court can decide that the applicant does not have a legitimate forensic purpose under subsection (1)(a).</w:t>
      </w:r>
    </w:p>
    <w:p>
      <w:pPr>
        <w:pStyle w:val="Footnotesection"/>
      </w:pPr>
      <w:r>
        <w:tab/>
        <w:t>[Section 19E inserted: No. 46 of 2004 s. 10.]</w:t>
      </w:r>
    </w:p>
    <w:p>
      <w:pPr>
        <w:pStyle w:val="Heading5"/>
      </w:pPr>
      <w:bookmarkStart w:id="27" w:name="_Toc80794318"/>
      <w:r>
        <w:rPr>
          <w:rStyle w:val="CharSectno"/>
        </w:rPr>
        <w:t>19F</w:t>
      </w:r>
      <w:r>
        <w:t>.</w:t>
      </w:r>
      <w:r>
        <w:tab/>
        <w:t>Determination of application</w:t>
      </w:r>
      <w:bookmarkEnd w:id="27"/>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No. 46 of 2004 s. 10.]</w:t>
      </w:r>
    </w:p>
    <w:p>
      <w:pPr>
        <w:pStyle w:val="Heading5"/>
      </w:pPr>
      <w:bookmarkStart w:id="28" w:name="_Toc80794319"/>
      <w:r>
        <w:rPr>
          <w:rStyle w:val="CharSectno"/>
        </w:rPr>
        <w:t>19G</w:t>
      </w:r>
      <w:r>
        <w:t>.</w:t>
      </w:r>
      <w:r>
        <w:tab/>
        <w:t>Public interest test</w:t>
      </w:r>
      <w:bookmarkEnd w:id="28"/>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lastRenderedPageBreak/>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No. 46 of 2004 s. 10.]</w:t>
      </w:r>
    </w:p>
    <w:p>
      <w:pPr>
        <w:pStyle w:val="Heading5"/>
      </w:pPr>
      <w:bookmarkStart w:id="29" w:name="_Toc80794320"/>
      <w:r>
        <w:rPr>
          <w:rStyle w:val="CharSectno"/>
        </w:rPr>
        <w:t>19H</w:t>
      </w:r>
      <w:r>
        <w:t>.</w:t>
      </w:r>
      <w:r>
        <w:tab/>
        <w:t>Effect of consent</w:t>
      </w:r>
      <w:bookmarkEnd w:id="29"/>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No. 46 of 2004 s. 10.]</w:t>
      </w:r>
    </w:p>
    <w:p>
      <w:pPr>
        <w:pStyle w:val="Heading5"/>
      </w:pPr>
      <w:bookmarkStart w:id="30" w:name="_Toc80794321"/>
      <w:r>
        <w:rPr>
          <w:rStyle w:val="CharSectno"/>
        </w:rPr>
        <w:lastRenderedPageBreak/>
        <w:t>19I</w:t>
      </w:r>
      <w:r>
        <w:t>.</w:t>
      </w:r>
      <w:r>
        <w:tab/>
        <w:t>Loss of sexual assault communications privilege: misconduct</w:t>
      </w:r>
      <w:bookmarkEnd w:id="30"/>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No. 46 of 2004 s. 10.]</w:t>
      </w:r>
    </w:p>
    <w:p>
      <w:pPr>
        <w:pStyle w:val="Heading5"/>
      </w:pPr>
      <w:bookmarkStart w:id="31" w:name="_Toc80794322"/>
      <w:r>
        <w:rPr>
          <w:rStyle w:val="CharSectno"/>
        </w:rPr>
        <w:t>19J</w:t>
      </w:r>
      <w:r>
        <w:t>.</w:t>
      </w:r>
      <w:r>
        <w:tab/>
        <w:t>Ancillary orders</w:t>
      </w:r>
      <w:bookmarkEnd w:id="31"/>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lastRenderedPageBreak/>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No. 46 of 2004 s. 10.]</w:t>
      </w:r>
    </w:p>
    <w:p>
      <w:pPr>
        <w:pStyle w:val="Heading5"/>
      </w:pPr>
      <w:bookmarkStart w:id="32" w:name="_Toc80794323"/>
      <w:r>
        <w:rPr>
          <w:rStyle w:val="CharSectno"/>
        </w:rPr>
        <w:t>19K</w:t>
      </w:r>
      <w:r>
        <w:t>.</w:t>
      </w:r>
      <w:r>
        <w:tab/>
        <w:t>Inadmissibility of evidence that must not be adduced or given</w:t>
      </w:r>
      <w:bookmarkEnd w:id="32"/>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No. 46 of 2004 s. 10.]</w:t>
      </w:r>
    </w:p>
    <w:p>
      <w:pPr>
        <w:pStyle w:val="Heading5"/>
      </w:pPr>
      <w:bookmarkStart w:id="33" w:name="_Toc80794324"/>
      <w:r>
        <w:rPr>
          <w:rStyle w:val="CharSectno"/>
        </w:rPr>
        <w:t>19L</w:t>
      </w:r>
      <w:r>
        <w:t>.</w:t>
      </w:r>
      <w:r>
        <w:tab/>
        <w:t>Application of other laws</w:t>
      </w:r>
      <w:bookmarkEnd w:id="33"/>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(5A),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lastRenderedPageBreak/>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(Western Australia)</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No. 46 of 2004 s. 10; amended: No. 19 of 2007 s. 69; No. 26 of 2008 s. 12; No. 11 of 2012 s. 33; No. 6 of 2017 s. 9(2).]</w:t>
      </w:r>
    </w:p>
    <w:p>
      <w:pPr>
        <w:pStyle w:val="Heading5"/>
      </w:pPr>
      <w:bookmarkStart w:id="34" w:name="_Toc80794325"/>
      <w:r>
        <w:rPr>
          <w:rStyle w:val="CharSectno"/>
        </w:rPr>
        <w:t>19M</w:t>
      </w:r>
      <w:r>
        <w:t>.</w:t>
      </w:r>
      <w:r>
        <w:tab/>
        <w:t>Regulations as to disclosure of protected communications</w:t>
      </w:r>
      <w:bookmarkEnd w:id="34"/>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lastRenderedPageBreak/>
        <w:tab/>
        <w:t>(e)</w:t>
      </w:r>
      <w:r>
        <w:rPr>
          <w:snapToGrid w:val="0"/>
        </w:rPr>
        <w:tab/>
        <w:t>any other matter that is necessary or convenient to be prescribed for the purposes of the protection provisions.</w:t>
      </w:r>
    </w:p>
    <w:p>
      <w:pPr>
        <w:pStyle w:val="Footnotesection"/>
      </w:pPr>
      <w:r>
        <w:tab/>
        <w:t>[Section 19M inserted: No. 46 of 2004 s. 10.]</w:t>
      </w:r>
    </w:p>
    <w:p>
      <w:pPr>
        <w:pStyle w:val="MiscellaneousHeading"/>
        <w:spacing w:before="240"/>
      </w:pPr>
      <w:r>
        <w:rPr>
          <w:i/>
        </w:rPr>
        <w:t>Protection of confidential communications given in professional confidential relationships</w:t>
      </w:r>
    </w:p>
    <w:p>
      <w:pPr>
        <w:pStyle w:val="Footnoteheading"/>
      </w:pPr>
      <w:r>
        <w:tab/>
        <w:t>[Heading inserted: No. 31 of 2012 s. 5.]</w:t>
      </w:r>
    </w:p>
    <w:p>
      <w:pPr>
        <w:pStyle w:val="Heading5"/>
      </w:pPr>
      <w:bookmarkStart w:id="35" w:name="_Toc80794326"/>
      <w:r>
        <w:rPr>
          <w:rStyle w:val="CharSectno"/>
        </w:rPr>
        <w:t>20A</w:t>
      </w:r>
      <w:r>
        <w:t>.</w:t>
      </w:r>
      <w:r>
        <w:tab/>
        <w:t>Terms used</w:t>
      </w:r>
      <w:bookmarkEnd w:id="35"/>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 xml:space="preserve">For the purposes of the protection provisions (PCR), a communication may be made in confidence even if it is made in </w:t>
      </w:r>
      <w:r>
        <w:lastRenderedPageBreak/>
        <w:t>the presence of a third party if the third party’s presence is necessary to facilitate communication.</w:t>
      </w:r>
    </w:p>
    <w:p>
      <w:pPr>
        <w:pStyle w:val="Footnotesection"/>
      </w:pPr>
      <w:r>
        <w:tab/>
        <w:t>[Section 20A inserted: No. 31 of 2012 s. 5.]</w:t>
      </w:r>
    </w:p>
    <w:p>
      <w:pPr>
        <w:pStyle w:val="Heading5"/>
      </w:pPr>
      <w:bookmarkStart w:id="36" w:name="_Toc80794327"/>
      <w:r>
        <w:rPr>
          <w:rStyle w:val="CharSectno"/>
        </w:rPr>
        <w:t>20B</w:t>
      </w:r>
      <w:r>
        <w:t>.</w:t>
      </w:r>
      <w:r>
        <w:tab/>
        <w:t>Application of protection provisions (PCR)</w:t>
      </w:r>
      <w:bookmarkEnd w:id="36"/>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 No. 31 of 2012 s. 5.]</w:t>
      </w:r>
    </w:p>
    <w:p>
      <w:pPr>
        <w:pStyle w:val="Heading5"/>
      </w:pPr>
      <w:bookmarkStart w:id="37" w:name="_Toc80794328"/>
      <w:r>
        <w:rPr>
          <w:rStyle w:val="CharSectno"/>
        </w:rPr>
        <w:lastRenderedPageBreak/>
        <w:t>20C</w:t>
      </w:r>
      <w:r>
        <w:t>.</w:t>
      </w:r>
      <w:r>
        <w:tab/>
        <w:t>Exclusion of evidence of protected confidences</w:t>
      </w:r>
      <w:bookmarkEnd w:id="37"/>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 xml:space="preserve">the likely effect of adducing evidence of the protected confidence or protected identity information, including </w:t>
      </w:r>
      <w:r>
        <w:lastRenderedPageBreak/>
        <w:t>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 No. 31 of 2012 s. 5.]</w:t>
      </w:r>
    </w:p>
    <w:p>
      <w:pPr>
        <w:pStyle w:val="Heading5"/>
        <w:pageBreakBefore/>
        <w:spacing w:before="0"/>
      </w:pPr>
      <w:bookmarkStart w:id="38" w:name="_Toc80794329"/>
      <w:r>
        <w:rPr>
          <w:rStyle w:val="CharSectno"/>
        </w:rPr>
        <w:lastRenderedPageBreak/>
        <w:t>20D</w:t>
      </w:r>
      <w:r>
        <w:t>.</w:t>
      </w:r>
      <w:r>
        <w:tab/>
        <w:t>Loss of professional confidential relationship protection: consent</w:t>
      </w:r>
      <w:bookmarkEnd w:id="38"/>
    </w:p>
    <w:p>
      <w:pPr>
        <w:pStyle w:val="Subsection"/>
        <w:spacing w:before="100"/>
      </w:pPr>
      <w:r>
        <w:tab/>
      </w:r>
      <w:r>
        <w:tab/>
        <w:t>The protection provisions (PCR) do not prevent the giving or adducing of evidence with the consent of the protected confider concerned.</w:t>
      </w:r>
    </w:p>
    <w:p>
      <w:pPr>
        <w:pStyle w:val="Footnotesection"/>
      </w:pPr>
      <w:r>
        <w:tab/>
        <w:t>[Section 20D inserted: No. 31 of 2012 s. 5.]</w:t>
      </w:r>
    </w:p>
    <w:p>
      <w:pPr>
        <w:pStyle w:val="Heading5"/>
      </w:pPr>
      <w:bookmarkStart w:id="39" w:name="_Toc80794330"/>
      <w:r>
        <w:rPr>
          <w:rStyle w:val="CharSectno"/>
        </w:rPr>
        <w:t>20E</w:t>
      </w:r>
      <w:r>
        <w:t>.</w:t>
      </w:r>
      <w:r>
        <w:tab/>
        <w:t>Loss of professional confidential relationship protection: misconduct</w:t>
      </w:r>
      <w:bookmarkEnd w:id="39"/>
    </w:p>
    <w:p>
      <w:pPr>
        <w:pStyle w:val="Subsection"/>
        <w:spacing w:before="100"/>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lastRenderedPageBreak/>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 No. 31 of 2012 s. 5.]</w:t>
      </w:r>
    </w:p>
    <w:p>
      <w:pPr>
        <w:pStyle w:val="Heading5"/>
      </w:pPr>
      <w:bookmarkStart w:id="40" w:name="_Toc80794331"/>
      <w:r>
        <w:rPr>
          <w:rStyle w:val="CharSectno"/>
        </w:rPr>
        <w:t>20F</w:t>
      </w:r>
      <w:r>
        <w:t>.</w:t>
      </w:r>
      <w:r>
        <w:tab/>
        <w:t>Ancillary orders</w:t>
      </w:r>
      <w:bookmarkEnd w:id="40"/>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No. 31 of 2012 s. 5.]</w:t>
      </w:r>
    </w:p>
    <w:p>
      <w:pPr>
        <w:pStyle w:val="MiscellaneousHeading"/>
        <w:spacing w:before="240"/>
      </w:pPr>
      <w:r>
        <w:rPr>
          <w:i/>
        </w:rPr>
        <w:lastRenderedPageBreak/>
        <w:t>Protection of identity of journalists’ informants</w:t>
      </w:r>
    </w:p>
    <w:p>
      <w:pPr>
        <w:pStyle w:val="Footnoteheading"/>
      </w:pPr>
      <w:r>
        <w:tab/>
        <w:t>[Heading inserted: No. 31 of 2012 s. 5.]</w:t>
      </w:r>
    </w:p>
    <w:p>
      <w:pPr>
        <w:pStyle w:val="Heading5"/>
      </w:pPr>
      <w:bookmarkStart w:id="41" w:name="_Toc80794332"/>
      <w:r>
        <w:rPr>
          <w:rStyle w:val="CharSectno"/>
        </w:rPr>
        <w:t>20G</w:t>
      </w:r>
      <w:r>
        <w:t>.</w:t>
      </w:r>
      <w:r>
        <w:tab/>
        <w:t>Terms used</w:t>
      </w:r>
      <w:bookmarkEnd w:id="41"/>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r>
        <w:tab/>
        <w:t>[Section 20G inserted: No. 31 of 2012 s. 5.]</w:t>
      </w:r>
    </w:p>
    <w:p>
      <w:pPr>
        <w:pStyle w:val="Heading5"/>
      </w:pPr>
      <w:bookmarkStart w:id="42" w:name="_Toc80794333"/>
      <w:r>
        <w:rPr>
          <w:rStyle w:val="CharSectno"/>
        </w:rPr>
        <w:lastRenderedPageBreak/>
        <w:t>20H</w:t>
      </w:r>
      <w:r>
        <w:t>.</w:t>
      </w:r>
      <w:r>
        <w:tab/>
        <w:t>Application of protection provisions (journalists)</w:t>
      </w:r>
      <w:bookmarkEnd w:id="42"/>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 No. 31 of 2012 s. 5.]</w:t>
      </w:r>
    </w:p>
    <w:p>
      <w:pPr>
        <w:pStyle w:val="Heading5"/>
      </w:pPr>
      <w:bookmarkStart w:id="43" w:name="_Toc80794334"/>
      <w:r>
        <w:rPr>
          <w:rStyle w:val="CharSectno"/>
        </w:rPr>
        <w:t>20I</w:t>
      </w:r>
      <w:r>
        <w:t>.</w:t>
      </w:r>
      <w:r>
        <w:tab/>
        <w:t>Protection of identity of informants</w:t>
      </w:r>
      <w:bookmarkEnd w:id="43"/>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 No. 31 of 2012 s. 5.]</w:t>
      </w:r>
    </w:p>
    <w:p>
      <w:pPr>
        <w:pStyle w:val="Heading5"/>
        <w:spacing w:before="180"/>
      </w:pPr>
      <w:bookmarkStart w:id="44" w:name="_Toc80794335"/>
      <w:r>
        <w:rPr>
          <w:rStyle w:val="CharSectno"/>
        </w:rPr>
        <w:t>20J</w:t>
      </w:r>
      <w:r>
        <w:t>.</w:t>
      </w:r>
      <w:r>
        <w:tab/>
        <w:t>Direction to give identifying evidence</w:t>
      </w:r>
      <w:bookmarkEnd w:id="44"/>
    </w:p>
    <w:p>
      <w:pPr>
        <w:pStyle w:val="Subsection"/>
        <w:spacing w:before="120"/>
      </w:pPr>
      <w:r>
        <w:tab/>
        <w:t>(1)</w:t>
      </w:r>
      <w:r>
        <w:tab/>
        <w:t>Despite section 20I, a person acting judicially may direct a person referred to in that section to give identifying evidence.</w:t>
      </w:r>
    </w:p>
    <w:p>
      <w:pPr>
        <w:pStyle w:val="Subsection"/>
        <w:keepNext/>
        <w:spacing w:before="120"/>
      </w:pPr>
      <w:r>
        <w:tab/>
        <w:t>(2)</w:t>
      </w:r>
      <w:r>
        <w:tab/>
        <w:t xml:space="preserve">A person acting judicially may give a direction only if satisfied that, having regard to the issues to be determined in the </w:t>
      </w:r>
      <w:r>
        <w:lastRenderedPageBreak/>
        <w:t xml:space="preserve">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lastRenderedPageBreak/>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 No. 31 of 2012 s. 5.]</w:t>
      </w:r>
    </w:p>
    <w:p>
      <w:pPr>
        <w:pStyle w:val="Heading5"/>
        <w:keepNext w:val="0"/>
        <w:keepLines w:val="0"/>
        <w:spacing w:before="180"/>
      </w:pPr>
      <w:bookmarkStart w:id="45" w:name="_Toc80794336"/>
      <w:r>
        <w:rPr>
          <w:rStyle w:val="CharSectno"/>
        </w:rPr>
        <w:t>20K</w:t>
      </w:r>
      <w:r>
        <w:t>.</w:t>
      </w:r>
      <w:r>
        <w:tab/>
        <w:t>Effect of misconduct as to directions</w:t>
      </w:r>
      <w:bookmarkEnd w:id="45"/>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lastRenderedPageBreak/>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lastRenderedPageBreak/>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spacing w:before="120"/>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 xml:space="preserve">For the purposes of this section, if the misconduct is a fact in issue and there are reasonable grounds for believing that there was misconduct on the part of the informant or the journalist in </w:t>
      </w:r>
      <w:r>
        <w:lastRenderedPageBreak/>
        <w:t>relation to obtaining, using, giving or receiving information, the person acting judicially in the proceeding may so find.</w:t>
      </w:r>
    </w:p>
    <w:p>
      <w:pPr>
        <w:pStyle w:val="Footnotesection"/>
      </w:pPr>
      <w:r>
        <w:tab/>
        <w:t>[Section 20K inserted: No. 31 of 2012 s. 5.]</w:t>
      </w:r>
    </w:p>
    <w:p>
      <w:pPr>
        <w:pStyle w:val="Heading5"/>
      </w:pPr>
      <w:bookmarkStart w:id="46" w:name="_Toc80794337"/>
      <w:r>
        <w:rPr>
          <w:rStyle w:val="CharSectno"/>
        </w:rPr>
        <w:t>20L</w:t>
      </w:r>
      <w:r>
        <w:t>.</w:t>
      </w:r>
      <w:r>
        <w:tab/>
        <w:t>Identifying informant with consent</w:t>
      </w:r>
      <w:bookmarkEnd w:id="46"/>
    </w:p>
    <w:p>
      <w:pPr>
        <w:pStyle w:val="Subsection"/>
      </w:pPr>
      <w:r>
        <w:tab/>
      </w:r>
      <w:r>
        <w:tab/>
        <w:t>The protection provisions (journalists) do not prevent the giving or adducing of identifying evidence with the informant’s consent.</w:t>
      </w:r>
    </w:p>
    <w:p>
      <w:pPr>
        <w:pStyle w:val="Footnotesection"/>
      </w:pPr>
      <w:r>
        <w:tab/>
        <w:t>[Section 20L inserted: No. 31 of 2012 s. 5.]</w:t>
      </w:r>
    </w:p>
    <w:p>
      <w:pPr>
        <w:pStyle w:val="Heading5"/>
      </w:pPr>
      <w:bookmarkStart w:id="47" w:name="_Toc80794338"/>
      <w:r>
        <w:rPr>
          <w:rStyle w:val="CharSectno"/>
        </w:rPr>
        <w:t>20M</w:t>
      </w:r>
      <w:r>
        <w:t>.</w:t>
      </w:r>
      <w:r>
        <w:tab/>
        <w:t>Ancillary orders</w:t>
      </w:r>
      <w:bookmarkEnd w:id="47"/>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No. 31 of 2012 s. 5.]</w:t>
      </w:r>
    </w:p>
    <w:p>
      <w:pPr>
        <w:pStyle w:val="MiscellaneousHeading"/>
        <w:spacing w:before="240"/>
        <w:rPr>
          <w:i/>
        </w:rPr>
      </w:pPr>
      <w:r>
        <w:rPr>
          <w:i/>
        </w:rPr>
        <w:t>Impeaching credit of witnesses</w:t>
      </w:r>
    </w:p>
    <w:p>
      <w:pPr>
        <w:pStyle w:val="Heading5"/>
        <w:spacing w:before="180"/>
        <w:rPr>
          <w:snapToGrid w:val="0"/>
        </w:rPr>
      </w:pPr>
      <w:bookmarkStart w:id="48" w:name="_Toc80794339"/>
      <w:r>
        <w:rPr>
          <w:rStyle w:val="CharSectno"/>
        </w:rPr>
        <w:t>20</w:t>
      </w:r>
      <w:r>
        <w:rPr>
          <w:snapToGrid w:val="0"/>
        </w:rPr>
        <w:t>.</w:t>
      </w:r>
      <w:r>
        <w:rPr>
          <w:snapToGrid w:val="0"/>
        </w:rPr>
        <w:tab/>
        <w:t>How far a party may discredit his own witness</w:t>
      </w:r>
      <w:bookmarkEnd w:id="48"/>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49" w:name="_Toc80794340"/>
      <w:r>
        <w:rPr>
          <w:rStyle w:val="CharSectno"/>
        </w:rPr>
        <w:lastRenderedPageBreak/>
        <w:t>21</w:t>
      </w:r>
      <w:r>
        <w:rPr>
          <w:snapToGrid w:val="0"/>
        </w:rPr>
        <w:t>.</w:t>
      </w:r>
      <w:r>
        <w:rPr>
          <w:snapToGrid w:val="0"/>
        </w:rPr>
        <w:tab/>
        <w:t>Cross</w:t>
      </w:r>
      <w:r>
        <w:rPr>
          <w:snapToGrid w:val="0"/>
        </w:rPr>
        <w:noBreakHyphen/>
        <w:t>examination as to and proof of prior inconsistent statement</w:t>
      </w:r>
      <w:bookmarkEnd w:id="49"/>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No. 16 of 1913 s. 3.]</w:t>
      </w:r>
    </w:p>
    <w:p>
      <w:pPr>
        <w:pStyle w:val="Heading5"/>
        <w:spacing w:before="180"/>
        <w:rPr>
          <w:snapToGrid w:val="0"/>
        </w:rPr>
      </w:pPr>
      <w:bookmarkStart w:id="50" w:name="_Toc80794341"/>
      <w:r>
        <w:rPr>
          <w:rStyle w:val="CharSectno"/>
        </w:rPr>
        <w:t>22</w:t>
      </w:r>
      <w:r>
        <w:rPr>
          <w:snapToGrid w:val="0"/>
        </w:rPr>
        <w:t>.</w:t>
      </w:r>
      <w:r>
        <w:rPr>
          <w:snapToGrid w:val="0"/>
        </w:rPr>
        <w:tab/>
        <w:t>Procedure for purposes of s. 21</w:t>
      </w:r>
      <w:bookmarkEnd w:id="50"/>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lastRenderedPageBreak/>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51" w:name="_Toc80794342"/>
      <w:r>
        <w:rPr>
          <w:rStyle w:val="CharSectno"/>
        </w:rPr>
        <w:t>23</w:t>
      </w:r>
      <w:r>
        <w:rPr>
          <w:snapToGrid w:val="0"/>
        </w:rPr>
        <w:t>.</w:t>
      </w:r>
      <w:r>
        <w:rPr>
          <w:snapToGrid w:val="0"/>
        </w:rPr>
        <w:tab/>
        <w:t>Cross</w:t>
      </w:r>
      <w:r>
        <w:rPr>
          <w:snapToGrid w:val="0"/>
        </w:rPr>
        <w:noBreakHyphen/>
        <w:t>examination as to and proof of previous conviction</w:t>
      </w:r>
      <w:bookmarkEnd w:id="51"/>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No. 47 of 1990 s. 7.]</w:t>
      </w:r>
    </w:p>
    <w:p>
      <w:pPr>
        <w:pStyle w:val="Heading5"/>
        <w:rPr>
          <w:snapToGrid w:val="0"/>
        </w:rPr>
      </w:pPr>
      <w:bookmarkStart w:id="52" w:name="_Toc80794343"/>
      <w:r>
        <w:rPr>
          <w:rStyle w:val="CharSectno"/>
        </w:rPr>
        <w:t>24</w:t>
      </w:r>
      <w:r>
        <w:rPr>
          <w:snapToGrid w:val="0"/>
        </w:rPr>
        <w:t>.</w:t>
      </w:r>
      <w:r>
        <w:rPr>
          <w:snapToGrid w:val="0"/>
        </w:rPr>
        <w:tab/>
        <w:t>Questions tending to criminate</w:t>
      </w:r>
      <w:bookmarkEnd w:id="52"/>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pageBreakBefore/>
        <w:spacing w:before="0"/>
        <w:rPr>
          <w:snapToGrid w:val="0"/>
        </w:rPr>
      </w:pPr>
      <w:bookmarkStart w:id="53" w:name="_Toc80794344"/>
      <w:r>
        <w:rPr>
          <w:rStyle w:val="CharSectno"/>
        </w:rPr>
        <w:lastRenderedPageBreak/>
        <w:t>25</w:t>
      </w:r>
      <w:r>
        <w:rPr>
          <w:snapToGrid w:val="0"/>
        </w:rPr>
        <w:t>.</w:t>
      </w:r>
      <w:r>
        <w:rPr>
          <w:snapToGrid w:val="0"/>
        </w:rPr>
        <w:tab/>
        <w:t>Cross</w:t>
      </w:r>
      <w:r>
        <w:rPr>
          <w:snapToGrid w:val="0"/>
        </w:rPr>
        <w:noBreakHyphen/>
        <w:t>examination as to credit</w:t>
      </w:r>
      <w:bookmarkEnd w:id="53"/>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ageBreakBefore/>
        <w:spacing w:before="0"/>
      </w:pPr>
      <w:bookmarkStart w:id="54" w:name="_Toc80794345"/>
      <w:r>
        <w:rPr>
          <w:rStyle w:val="CharSectno"/>
        </w:rPr>
        <w:lastRenderedPageBreak/>
        <w:t>25A</w:t>
      </w:r>
      <w:r>
        <w:t>.</w:t>
      </w:r>
      <w:r>
        <w:tab/>
        <w:t>Cross</w:t>
      </w:r>
      <w:r>
        <w:noBreakHyphen/>
        <w:t>examination by accused in person</w:t>
      </w:r>
      <w:bookmarkEnd w:id="54"/>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lastRenderedPageBreak/>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No. 59 of 2004 s. 87; amended: No. 84 of 2004 s. 41.]</w:t>
      </w:r>
    </w:p>
    <w:p>
      <w:pPr>
        <w:pStyle w:val="Heading5"/>
      </w:pPr>
      <w:bookmarkStart w:id="55" w:name="_Toc80794346"/>
      <w:r>
        <w:rPr>
          <w:rStyle w:val="CharSectno"/>
        </w:rPr>
        <w:t>26</w:t>
      </w:r>
      <w:r>
        <w:t>.</w:t>
      </w:r>
      <w:r>
        <w:tab/>
        <w:t>Improper questions</w:t>
      </w:r>
      <w:bookmarkEnd w:id="55"/>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No. 46 of 2004 s. 11.]</w:t>
      </w:r>
    </w:p>
    <w:p>
      <w:pPr>
        <w:pStyle w:val="Heading5"/>
        <w:spacing w:before="180"/>
        <w:rPr>
          <w:snapToGrid w:val="0"/>
        </w:rPr>
      </w:pPr>
      <w:bookmarkStart w:id="56" w:name="_Toc80794347"/>
      <w:r>
        <w:rPr>
          <w:rStyle w:val="CharSectno"/>
        </w:rPr>
        <w:lastRenderedPageBreak/>
        <w:t>27</w:t>
      </w:r>
      <w:r>
        <w:rPr>
          <w:snapToGrid w:val="0"/>
        </w:rPr>
        <w:t>.</w:t>
      </w:r>
      <w:r>
        <w:rPr>
          <w:snapToGrid w:val="0"/>
        </w:rPr>
        <w:tab/>
        <w:t>Prohibited questions not to be published</w:t>
      </w:r>
      <w:bookmarkEnd w:id="56"/>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No. 46 of 2004 s. 12.]</w:t>
      </w:r>
    </w:p>
    <w:p>
      <w:pPr>
        <w:pStyle w:val="MiscellaneousHeading"/>
        <w:spacing w:before="240"/>
        <w:rPr>
          <w:i/>
        </w:rPr>
      </w:pPr>
      <w:r>
        <w:rPr>
          <w:i/>
        </w:rPr>
        <w:t>Manner of giving evidence</w:t>
      </w:r>
    </w:p>
    <w:p>
      <w:pPr>
        <w:pStyle w:val="Footnoteheading"/>
        <w:spacing w:before="80"/>
      </w:pPr>
      <w:r>
        <w:tab/>
        <w:t>[Heading inserted: No. 71 of 2000 s. 6.]</w:t>
      </w:r>
    </w:p>
    <w:p>
      <w:pPr>
        <w:pStyle w:val="Heading5"/>
      </w:pPr>
      <w:bookmarkStart w:id="57" w:name="_Toc80794348"/>
      <w:r>
        <w:rPr>
          <w:rStyle w:val="CharSectno"/>
        </w:rPr>
        <w:t>27A</w:t>
      </w:r>
      <w:r>
        <w:t>.</w:t>
      </w:r>
      <w:r>
        <w:tab/>
        <w:t>Form of evidence</w:t>
      </w:r>
      <w:bookmarkEnd w:id="57"/>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No. 71 of 2000 s. 6.]</w:t>
      </w:r>
    </w:p>
    <w:p>
      <w:pPr>
        <w:pStyle w:val="Heading5"/>
      </w:pPr>
      <w:bookmarkStart w:id="58" w:name="_Toc80794349"/>
      <w:r>
        <w:rPr>
          <w:rStyle w:val="CharSectno"/>
        </w:rPr>
        <w:t>27B</w:t>
      </w:r>
      <w:r>
        <w:t>.</w:t>
      </w:r>
      <w:r>
        <w:tab/>
        <w:t>Manner of giving voluminous or complex evidence</w:t>
      </w:r>
      <w:bookmarkEnd w:id="58"/>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lastRenderedPageBreak/>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No. 71 of 2000 s. 6.]</w:t>
      </w:r>
    </w:p>
    <w:p>
      <w:pPr>
        <w:pStyle w:val="MiscellaneousHeading"/>
        <w:spacing w:before="220"/>
        <w:rPr>
          <w:i/>
        </w:rPr>
      </w:pPr>
      <w:r>
        <w:rPr>
          <w:i/>
        </w:rPr>
        <w:t>General rules of evidence</w:t>
      </w:r>
    </w:p>
    <w:p>
      <w:pPr>
        <w:pStyle w:val="Ednotesection"/>
        <w:spacing w:before="180"/>
      </w:pPr>
      <w:r>
        <w:t>[</w:t>
      </w:r>
      <w:r>
        <w:rPr>
          <w:b/>
        </w:rPr>
        <w:t>28.</w:t>
      </w:r>
      <w:r>
        <w:tab/>
        <w:t>Deleted: No. 84 of 2004 s. 41.]</w:t>
      </w:r>
    </w:p>
    <w:p>
      <w:pPr>
        <w:pStyle w:val="Heading5"/>
        <w:spacing w:before="180"/>
        <w:rPr>
          <w:snapToGrid w:val="0"/>
        </w:rPr>
      </w:pPr>
      <w:bookmarkStart w:id="59" w:name="_Toc80794350"/>
      <w:r>
        <w:rPr>
          <w:rStyle w:val="CharSectno"/>
        </w:rPr>
        <w:t>29</w:t>
      </w:r>
      <w:r>
        <w:rPr>
          <w:snapToGrid w:val="0"/>
        </w:rPr>
        <w:t>.</w:t>
      </w:r>
      <w:r>
        <w:rPr>
          <w:snapToGrid w:val="0"/>
        </w:rPr>
        <w:tab/>
        <w:t>Intention to defraud, proof of</w:t>
      </w:r>
      <w:bookmarkEnd w:id="59"/>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60" w:name="_Toc80794351"/>
      <w:r>
        <w:rPr>
          <w:rStyle w:val="CharSectno"/>
        </w:rPr>
        <w:t>30</w:t>
      </w:r>
      <w:r>
        <w:rPr>
          <w:snapToGrid w:val="0"/>
        </w:rPr>
        <w:t>.</w:t>
      </w:r>
      <w:r>
        <w:rPr>
          <w:snapToGrid w:val="0"/>
        </w:rPr>
        <w:tab/>
        <w:t>Proof by attesting witness unnecessary in certain cases</w:t>
      </w:r>
      <w:bookmarkEnd w:id="60"/>
    </w:p>
    <w:p>
      <w:pPr>
        <w:pStyle w:val="Subsection"/>
        <w:rPr>
          <w:snapToGrid w:val="0"/>
        </w:rPr>
      </w:pPr>
      <w:r>
        <w:rPr>
          <w:snapToGrid w:val="0"/>
        </w:rPr>
        <w:tab/>
      </w:r>
      <w:r>
        <w:rPr>
          <w:snapToGrid w:val="0"/>
        </w:rPr>
        <w:tab/>
        <w:t xml:space="preserve">It shall not be necessary to prove, by the attesting witness, any instrument to the validity of which attestation is not requisite, </w:t>
      </w:r>
      <w:r>
        <w:rPr>
          <w:snapToGrid w:val="0"/>
        </w:rPr>
        <w:lastRenderedPageBreak/>
        <w:t>and such instrument may be proved as if there had been no attesting witness thereto.</w:t>
      </w:r>
    </w:p>
    <w:p>
      <w:pPr>
        <w:pStyle w:val="Heading5"/>
        <w:spacing w:before="180"/>
        <w:rPr>
          <w:snapToGrid w:val="0"/>
        </w:rPr>
      </w:pPr>
      <w:bookmarkStart w:id="61" w:name="_Toc80794352"/>
      <w:r>
        <w:rPr>
          <w:rStyle w:val="CharSectno"/>
        </w:rPr>
        <w:t>31</w:t>
      </w:r>
      <w:r>
        <w:rPr>
          <w:snapToGrid w:val="0"/>
        </w:rPr>
        <w:t>.</w:t>
      </w:r>
      <w:r>
        <w:rPr>
          <w:snapToGrid w:val="0"/>
        </w:rPr>
        <w:tab/>
        <w:t>Comparison of disputed hand</w:t>
      </w:r>
      <w:r>
        <w:rPr>
          <w:snapToGrid w:val="0"/>
        </w:rPr>
        <w:noBreakHyphen/>
        <w:t>writing</w:t>
      </w:r>
      <w:bookmarkEnd w:id="61"/>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62" w:name="_Toc80794353"/>
      <w:r>
        <w:rPr>
          <w:rStyle w:val="CharSectno"/>
        </w:rPr>
        <w:t>31A</w:t>
      </w:r>
      <w:r>
        <w:t>.</w:t>
      </w:r>
      <w:r>
        <w:tab/>
        <w:t>Propensity and relationship evidence</w:t>
      </w:r>
      <w:bookmarkEnd w:id="62"/>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 xml:space="preserve">In considering the probative value of evidence for the purposes of subsection (2) it is not open to the court to have regard to the </w:t>
      </w:r>
      <w:r>
        <w:lastRenderedPageBreak/>
        <w:t>possibility that the evidence may be the result of collusion, concoction or suggestion.</w:t>
      </w:r>
    </w:p>
    <w:p>
      <w:pPr>
        <w:pStyle w:val="Footnotesection"/>
      </w:pPr>
      <w:r>
        <w:tab/>
        <w:t>[Section 31A inserted: No. 46 of 2004 s. 13.]</w:t>
      </w:r>
    </w:p>
    <w:p>
      <w:pPr>
        <w:pStyle w:val="Heading5"/>
        <w:rPr>
          <w:snapToGrid w:val="0"/>
        </w:rPr>
      </w:pPr>
      <w:bookmarkStart w:id="63" w:name="_Toc80794354"/>
      <w:r>
        <w:rPr>
          <w:rStyle w:val="CharSectno"/>
        </w:rPr>
        <w:t>32</w:t>
      </w:r>
      <w:r>
        <w:rPr>
          <w:snapToGrid w:val="0"/>
        </w:rPr>
        <w:t>.</w:t>
      </w:r>
      <w:r>
        <w:rPr>
          <w:snapToGrid w:val="0"/>
        </w:rPr>
        <w:tab/>
        <w:t>Admissions by accused persons in criminal cases</w:t>
      </w:r>
      <w:bookmarkEnd w:id="63"/>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64" w:name="_Toc80794355"/>
      <w:r>
        <w:rPr>
          <w:rStyle w:val="CharSectno"/>
        </w:rPr>
        <w:t>32A</w:t>
      </w:r>
      <w:r>
        <w:rPr>
          <w:snapToGrid w:val="0"/>
        </w:rPr>
        <w:t>.</w:t>
      </w:r>
      <w:r>
        <w:rPr>
          <w:snapToGrid w:val="0"/>
        </w:rPr>
        <w:tab/>
        <w:t>Derogation of privilege in civil proceedings</w:t>
      </w:r>
      <w:bookmarkEnd w:id="64"/>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2</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 xml:space="preserve">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w:t>
      </w:r>
      <w:r>
        <w:rPr>
          <w:snapToGrid w:val="0"/>
        </w:rPr>
        <w:lastRenderedPageBreak/>
        <w:t>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spacing w:before="120"/>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spacing w:before="120"/>
        <w:rPr>
          <w:snapToGrid w:val="0"/>
        </w:rPr>
      </w:pPr>
      <w:r>
        <w:rPr>
          <w:snapToGrid w:val="0"/>
        </w:rPr>
        <w:tab/>
        <w:t>(b)</w:t>
      </w:r>
      <w:r>
        <w:rPr>
          <w:snapToGrid w:val="0"/>
        </w:rPr>
        <w:tab/>
        <w:t>for the conferring of a discretionary authority.</w:t>
      </w:r>
    </w:p>
    <w:p>
      <w:pPr>
        <w:pStyle w:val="Footnotesection"/>
      </w:pPr>
      <w:r>
        <w:tab/>
        <w:t>[Section 32A inserted: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No. 70 of 1988 s. 36.]</w:t>
      </w:r>
    </w:p>
    <w:p>
      <w:pPr>
        <w:pStyle w:val="Heading5"/>
        <w:spacing w:before="160"/>
        <w:rPr>
          <w:snapToGrid w:val="0"/>
        </w:rPr>
      </w:pPr>
      <w:bookmarkStart w:id="65" w:name="_Toc80794356"/>
      <w:r>
        <w:rPr>
          <w:rStyle w:val="CharSectno"/>
        </w:rPr>
        <w:t>35</w:t>
      </w:r>
      <w:r>
        <w:rPr>
          <w:snapToGrid w:val="0"/>
        </w:rPr>
        <w:t>.</w:t>
      </w:r>
      <w:r>
        <w:rPr>
          <w:snapToGrid w:val="0"/>
        </w:rPr>
        <w:tab/>
        <w:t>Perjury charge, corroboration not required</w:t>
      </w:r>
      <w:bookmarkEnd w:id="65"/>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No. 70 of 1988 s. 37; amended: No. 36 of 1992 s. 4.]</w:t>
      </w:r>
    </w:p>
    <w:p>
      <w:pPr>
        <w:pStyle w:val="Heading5"/>
        <w:spacing w:before="160"/>
        <w:rPr>
          <w:snapToGrid w:val="0"/>
        </w:rPr>
      </w:pPr>
      <w:bookmarkStart w:id="66" w:name="_Toc80794357"/>
      <w:r>
        <w:rPr>
          <w:rStyle w:val="CharSectno"/>
        </w:rPr>
        <w:t>36</w:t>
      </w:r>
      <w:r>
        <w:rPr>
          <w:snapToGrid w:val="0"/>
        </w:rPr>
        <w:t>.</w:t>
      </w:r>
      <w:r>
        <w:rPr>
          <w:snapToGrid w:val="0"/>
        </w:rPr>
        <w:tab/>
        <w:t>Perjury charge, proof of trial etc.</w:t>
      </w:r>
      <w:bookmarkEnd w:id="66"/>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w:t>
      </w:r>
      <w:r>
        <w:rPr>
          <w:snapToGrid w:val="0"/>
        </w:rPr>
        <w:lastRenderedPageBreak/>
        <w:t>character of the person who appears to have signed the certificate.</w:t>
      </w:r>
    </w:p>
    <w:p>
      <w:pPr>
        <w:pStyle w:val="Footnotesection"/>
        <w:ind w:left="890" w:hanging="890"/>
      </w:pPr>
      <w:r>
        <w:tab/>
        <w:t>[Section 36 amended: No. 84 of 2004 s. 80.]</w:t>
      </w:r>
    </w:p>
    <w:p>
      <w:pPr>
        <w:pStyle w:val="Heading5"/>
        <w:rPr>
          <w:snapToGrid w:val="0"/>
        </w:rPr>
      </w:pPr>
      <w:bookmarkStart w:id="67" w:name="_Toc80794358"/>
      <w:r>
        <w:rPr>
          <w:rStyle w:val="CharSectno"/>
        </w:rPr>
        <w:t>36A</w:t>
      </w:r>
      <w:r>
        <w:rPr>
          <w:snapToGrid w:val="0"/>
        </w:rPr>
        <w:t>.</w:t>
      </w:r>
      <w:r>
        <w:rPr>
          <w:snapToGrid w:val="0"/>
        </w:rPr>
        <w:tab/>
        <w:t>Terms used</w:t>
      </w:r>
      <w:bookmarkEnd w:id="67"/>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w:t>
      </w:r>
      <w:r>
        <w:rPr>
          <w:snapToGrid w:val="0"/>
        </w:rPr>
        <w:lastRenderedPageBreak/>
        <w:t>other offence (as an additional or alternative count) and whether or not the person is liable on the charge to be found guilty of any other offence.</w:t>
      </w:r>
    </w:p>
    <w:p>
      <w:pPr>
        <w:pStyle w:val="Footnotesection"/>
      </w:pPr>
      <w:r>
        <w:tab/>
        <w:t>[Section 36A inserted: No. 74 of 1985 s. 15; amended: No. 70 of 1988 s. 38; No. 14 of 1992 s. 13; No. 17 of 2000 s. 64; No. 71 of 2000 s. 7; No. 70 of 2004 s. 19(3); No. 84 of 2004 s. 85(2); No. 2 of 2008 s. 42(2) and (3).]</w:t>
      </w:r>
    </w:p>
    <w:p>
      <w:pPr>
        <w:pStyle w:val="Heading5"/>
        <w:rPr>
          <w:snapToGrid w:val="0"/>
        </w:rPr>
      </w:pPr>
      <w:bookmarkStart w:id="68" w:name="_Toc80794359"/>
      <w:r>
        <w:rPr>
          <w:rStyle w:val="CharSectno"/>
        </w:rPr>
        <w:t>36B</w:t>
      </w:r>
      <w:r>
        <w:rPr>
          <w:snapToGrid w:val="0"/>
        </w:rPr>
        <w:t>.</w:t>
      </w:r>
      <w:r>
        <w:rPr>
          <w:snapToGrid w:val="0"/>
        </w:rPr>
        <w:tab/>
        <w:t>Sexual reputation of complainant, evidence of</w:t>
      </w:r>
      <w:bookmarkEnd w:id="68"/>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No. 74 of 1985 s. 15; amended: No. 14 of 1992 s. 13; No. 84 of 2004 s. 82.]</w:t>
      </w:r>
    </w:p>
    <w:p>
      <w:pPr>
        <w:pStyle w:val="Heading5"/>
        <w:rPr>
          <w:snapToGrid w:val="0"/>
        </w:rPr>
      </w:pPr>
      <w:bookmarkStart w:id="69" w:name="_Toc80794360"/>
      <w:r>
        <w:rPr>
          <w:rStyle w:val="CharSectno"/>
        </w:rPr>
        <w:t>36BA</w:t>
      </w:r>
      <w:r>
        <w:rPr>
          <w:snapToGrid w:val="0"/>
        </w:rPr>
        <w:t>.</w:t>
      </w:r>
      <w:r>
        <w:rPr>
          <w:snapToGrid w:val="0"/>
        </w:rPr>
        <w:tab/>
        <w:t>Sexual disposition of complainant, evidence of</w:t>
      </w:r>
      <w:bookmarkEnd w:id="69"/>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No. 74 of 1985 s. 15; amended: No. 14 of 1992 s. 13; No. 84 of 2004 s. 82.]</w:t>
      </w:r>
    </w:p>
    <w:p>
      <w:pPr>
        <w:pStyle w:val="Heading5"/>
        <w:rPr>
          <w:snapToGrid w:val="0"/>
        </w:rPr>
      </w:pPr>
      <w:bookmarkStart w:id="70" w:name="_Toc80794361"/>
      <w:r>
        <w:rPr>
          <w:rStyle w:val="CharSectno"/>
        </w:rPr>
        <w:t>36BC</w:t>
      </w:r>
      <w:r>
        <w:rPr>
          <w:snapToGrid w:val="0"/>
        </w:rPr>
        <w:t>.</w:t>
      </w:r>
      <w:r>
        <w:rPr>
          <w:snapToGrid w:val="0"/>
        </w:rPr>
        <w:tab/>
        <w:t>Sexual experience of complainant, evidence of</w:t>
      </w:r>
      <w:bookmarkEnd w:id="70"/>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lastRenderedPageBreak/>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No. 74 of 1985 s. 15; amended: No. 14 of 1992 s. 13; No. 84 of 2004 s. 82.]</w:t>
      </w:r>
    </w:p>
    <w:p>
      <w:pPr>
        <w:pStyle w:val="Heading5"/>
        <w:rPr>
          <w:snapToGrid w:val="0"/>
        </w:rPr>
      </w:pPr>
      <w:bookmarkStart w:id="71" w:name="_Toc80794362"/>
      <w:r>
        <w:rPr>
          <w:rStyle w:val="CharSectno"/>
        </w:rPr>
        <w:t>36BD</w:t>
      </w:r>
      <w:r>
        <w:rPr>
          <w:snapToGrid w:val="0"/>
        </w:rPr>
        <w:t>.</w:t>
      </w:r>
      <w:r>
        <w:rPr>
          <w:snapToGrid w:val="0"/>
        </w:rPr>
        <w:tab/>
        <w:t>Lack of complaint, jury warning about</w:t>
      </w:r>
      <w:bookmarkEnd w:id="71"/>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No. 74 of 1985 s. 15; amended: No. 14 of 1992 s. 13; No. 71 of 2000 s. 8.]</w:t>
      </w:r>
    </w:p>
    <w:p>
      <w:pPr>
        <w:pStyle w:val="Heading5"/>
      </w:pPr>
      <w:bookmarkStart w:id="72" w:name="_Toc80794363"/>
      <w:r>
        <w:rPr>
          <w:rStyle w:val="CharSectno"/>
        </w:rPr>
        <w:t>36BE</w:t>
      </w:r>
      <w:r>
        <w:t>.</w:t>
      </w:r>
      <w:r>
        <w:tab/>
        <w:t>Expert evidence of child behaviour</w:t>
      </w:r>
      <w:bookmarkEnd w:id="72"/>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lastRenderedPageBreak/>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No. 2 of 2008 s. 42(1).]</w:t>
      </w:r>
    </w:p>
    <w:p>
      <w:pPr>
        <w:pStyle w:val="Heading5"/>
        <w:rPr>
          <w:snapToGrid w:val="0"/>
        </w:rPr>
      </w:pPr>
      <w:bookmarkStart w:id="73" w:name="_Toc80794364"/>
      <w:r>
        <w:rPr>
          <w:rStyle w:val="CharSectno"/>
        </w:rPr>
        <w:t>36C</w:t>
      </w:r>
      <w:r>
        <w:rPr>
          <w:snapToGrid w:val="0"/>
        </w:rPr>
        <w:t>.</w:t>
      </w:r>
      <w:r>
        <w:rPr>
          <w:snapToGrid w:val="0"/>
        </w:rPr>
        <w:tab/>
        <w:t>Names of complainants not to be published</w:t>
      </w:r>
      <w:bookmarkEnd w:id="73"/>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lastRenderedPageBreak/>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spacing w:before="120"/>
        <w:rPr>
          <w:snapToGrid w:val="0"/>
        </w:rPr>
      </w:pPr>
      <w:r>
        <w:rPr>
          <w:snapToGrid w:val="0"/>
        </w:rPr>
        <w:tab/>
        <w:t>(a)</w:t>
      </w:r>
      <w:r>
        <w:rPr>
          <w:snapToGrid w:val="0"/>
        </w:rPr>
        <w:tab/>
        <w:t>the person is charged in a prosecution notice or an indictment with committing a sexual offence; or</w:t>
      </w:r>
    </w:p>
    <w:p>
      <w:pPr>
        <w:pStyle w:val="Indenta"/>
        <w:spacing w:before="120"/>
        <w:rPr>
          <w:snapToGrid w:val="0"/>
        </w:rPr>
      </w:pPr>
      <w:r>
        <w:rPr>
          <w:snapToGrid w:val="0"/>
        </w:rPr>
        <w:tab/>
        <w:t>(b)</w:t>
      </w:r>
      <w:r>
        <w:rPr>
          <w:snapToGrid w:val="0"/>
        </w:rPr>
        <w:tab/>
        <w:t>the person appears before a court charged with a sexual offence; or</w:t>
      </w:r>
    </w:p>
    <w:p>
      <w:pPr>
        <w:pStyle w:val="Indenta"/>
        <w:spacing w:before="120"/>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10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10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10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pPr>
      <w:r>
        <w:tab/>
        <w:t>(5)</w:t>
      </w:r>
      <w:r>
        <w:tab/>
        <w:t xml:space="preserve">Nothing in this section prohibits the publication or broadcasting, in consequence of an accusation alleging a sexual offence, of </w:t>
      </w:r>
      <w:r>
        <w:lastRenderedPageBreak/>
        <w:t xml:space="preserve">matter consisting only of a report of legal proceedings other than — </w:t>
      </w:r>
    </w:p>
    <w:p>
      <w:pPr>
        <w:pStyle w:val="Indenta"/>
      </w:pPr>
      <w:r>
        <w:tab/>
        <w:t>(a)</w:t>
      </w:r>
      <w:r>
        <w:tab/>
        <w:t>proceedings at, or intended to lead to, or on an appeal arising out of, a trial at which the accused is charged with that offence; or</w:t>
      </w:r>
    </w:p>
    <w:p>
      <w:pPr>
        <w:pStyle w:val="Indenta"/>
      </w:pPr>
      <w:r>
        <w:tab/>
        <w:t>(b)</w:t>
      </w:r>
      <w:r>
        <w:tab/>
        <w:t xml:space="preserve">proceedings under the </w:t>
      </w:r>
      <w:r>
        <w:rPr>
          <w:i/>
          <w:szCs w:val="24"/>
        </w:rPr>
        <w:t xml:space="preserve">High Risk Serious Offenders Act 2020 </w:t>
      </w:r>
      <w:r>
        <w:t>relating to the accused.</w:t>
      </w:r>
    </w:p>
    <w:p>
      <w:pPr>
        <w:pStyle w:val="Subsection"/>
      </w:pPr>
      <w:r>
        <w:tab/>
        <w:t>(6A)</w:t>
      </w:r>
      <w:r>
        <w:tab/>
        <w:t>The giving of leave under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No. 145 of 1976 s. 6; amended: No 74 of 1985 s. 16; No. 14 of 1992 s. 13; No. 71 of 2000 s. 9; No. 59 of 2004 s. 89; No. 84 of 2004 s. 41 and 80; No. 17 of 2016 s. 48; No. 29 of 2020 s. 121.]</w:t>
      </w:r>
    </w:p>
    <w:p>
      <w:pPr>
        <w:pStyle w:val="Heading5"/>
      </w:pPr>
      <w:bookmarkStart w:id="74" w:name="_Toc80794365"/>
      <w:r>
        <w:rPr>
          <w:rStyle w:val="CharSectno"/>
        </w:rPr>
        <w:t>37</w:t>
      </w:r>
      <w:r>
        <w:t>.</w:t>
      </w:r>
      <w:r>
        <w:tab/>
        <w:t>Terms used</w:t>
      </w:r>
      <w:bookmarkEnd w:id="74"/>
    </w:p>
    <w:p>
      <w:pPr>
        <w:pStyle w:val="Subsection"/>
      </w:pPr>
      <w:r>
        <w:tab/>
      </w:r>
      <w:r>
        <w:tab/>
        <w:t>In sections 38 to 39G —</w:t>
      </w:r>
    </w:p>
    <w:p>
      <w:pPr>
        <w:pStyle w:val="Defstart"/>
      </w:pPr>
      <w:r>
        <w:tab/>
      </w:r>
      <w:r>
        <w:rPr>
          <w:rStyle w:val="CharDefText"/>
        </w:rPr>
        <w:t>family member</w:t>
      </w:r>
      <w:r>
        <w:t xml:space="preserve"> has the meaning given in the </w:t>
      </w:r>
      <w:r>
        <w:rPr>
          <w:i/>
        </w:rPr>
        <w:t xml:space="preserve">Restraining Orders Act 1997 </w:t>
      </w:r>
      <w:r>
        <w:t>section 4(3);</w:t>
      </w:r>
    </w:p>
    <w:p>
      <w:pPr>
        <w:pStyle w:val="Defstart"/>
      </w:pPr>
      <w:r>
        <w:tab/>
      </w:r>
      <w:r>
        <w:rPr>
          <w:rStyle w:val="CharDefText"/>
        </w:rPr>
        <w:t>family violence</w:t>
      </w:r>
      <w:r>
        <w:t xml:space="preserve"> has the meaning given in the </w:t>
      </w:r>
      <w:r>
        <w:rPr>
          <w:i/>
        </w:rPr>
        <w:t xml:space="preserve">Restraining Orders Act 1997 </w:t>
      </w:r>
      <w:r>
        <w:t>section 5A;</w:t>
      </w:r>
    </w:p>
    <w:p>
      <w:pPr>
        <w:pStyle w:val="Defstart"/>
      </w:pPr>
      <w:r>
        <w:lastRenderedPageBreak/>
        <w:tab/>
      </w:r>
      <w:r>
        <w:rPr>
          <w:rStyle w:val="CharDefText"/>
        </w:rPr>
        <w:t>help</w:t>
      </w:r>
      <w:r>
        <w:rPr>
          <w:rStyle w:val="CharDefText"/>
        </w:rPr>
        <w:noBreakHyphen/>
        <w:t>seeking behaviour</w:t>
      </w:r>
      <w:r>
        <w:t xml:space="preserve"> means any action undertaken by a victim of family violence to address, or attempt to address, any aspect of the family violence including (but not limited to) reporting the family violence to the police, obtaining a restraining order, finding accommodation in a refuge, separating from an abusive person, or seeking counselling or external support;</w:t>
      </w:r>
    </w:p>
    <w:p>
      <w:pPr>
        <w:pStyle w:val="Defstart"/>
      </w:pPr>
      <w:r>
        <w:tab/>
      </w:r>
      <w:r>
        <w:rPr>
          <w:rStyle w:val="CharDefText"/>
        </w:rPr>
        <w:t>safety option</w:t>
      </w:r>
      <w:r>
        <w:t>, in relation to an accused person who is (or may be) a victim of family violence, means an act that may have stopped the violence, other than an act which constitutes (or allegedly constitutes) an offence with which the person is charged.</w:t>
      </w:r>
    </w:p>
    <w:p>
      <w:pPr>
        <w:pStyle w:val="Footnotesection"/>
      </w:pPr>
      <w:r>
        <w:tab/>
        <w:t>[Section 37 inserted: No. 30 of 2020 s. 94.]</w:t>
      </w:r>
    </w:p>
    <w:p>
      <w:pPr>
        <w:pStyle w:val="Heading5"/>
      </w:pPr>
      <w:bookmarkStart w:id="75" w:name="_Toc80794366"/>
      <w:r>
        <w:rPr>
          <w:rStyle w:val="CharSectno"/>
        </w:rPr>
        <w:t>38</w:t>
      </w:r>
      <w:r>
        <w:t>.</w:t>
      </w:r>
      <w:r>
        <w:tab/>
        <w:t>What may constitute evidence of family violence</w:t>
      </w:r>
      <w:bookmarkEnd w:id="75"/>
    </w:p>
    <w:p>
      <w:pPr>
        <w:pStyle w:val="Subsection"/>
      </w:pPr>
      <w:r>
        <w:tab/>
        <w:t>(1)</w:t>
      </w:r>
      <w:r>
        <w:tab/>
        <w:t xml:space="preserve">For the purposes of sections 39 to 39G, evidence of family violence, in relation to a person, includes (but is not limited to) evidence of any of the following — </w:t>
      </w:r>
    </w:p>
    <w:p>
      <w:pPr>
        <w:pStyle w:val="Indenta"/>
      </w:pPr>
      <w:r>
        <w:tab/>
        <w:t>(a)</w:t>
      </w:r>
      <w:r>
        <w:tab/>
        <w:t xml:space="preserve">the history of the relationship between the person and a family member, including violence by the family member towards the person, or by the person towards the family member, or by the family member of the person in relation to any other family member; </w:t>
      </w:r>
    </w:p>
    <w:p>
      <w:pPr>
        <w:pStyle w:val="Indenta"/>
      </w:pPr>
      <w:r>
        <w:tab/>
        <w:t>(b)</w:t>
      </w:r>
      <w:r>
        <w:tab/>
        <w:t>the cumulative effect of family violence, including the psychological effect, on the person or a family member affected by that violence;</w:t>
      </w:r>
    </w:p>
    <w:p>
      <w:pPr>
        <w:pStyle w:val="Indenta"/>
      </w:pPr>
      <w:r>
        <w:tab/>
        <w:t>(c)</w:t>
      </w:r>
      <w:r>
        <w:tab/>
        <w:t xml:space="preserve">social, cultural or economic factors that impact on the person or a family member who has been affected by family violence; </w:t>
      </w:r>
    </w:p>
    <w:p>
      <w:pPr>
        <w:pStyle w:val="Indenta"/>
      </w:pPr>
      <w:r>
        <w:tab/>
        <w:t>(d)</w:t>
      </w:r>
      <w:r>
        <w:tab/>
        <w:t>responses by family, community or agencies to family violence, including further violence that may be used by a family member to prevent, or in retaliation to, any help</w:t>
      </w:r>
      <w:r>
        <w:noBreakHyphen/>
        <w:t>seeking behaviour or use of safety options by the person;</w:t>
      </w:r>
    </w:p>
    <w:p>
      <w:pPr>
        <w:pStyle w:val="Indenta"/>
      </w:pPr>
      <w:r>
        <w:lastRenderedPageBreak/>
        <w:tab/>
        <w:t>(e)</w:t>
      </w:r>
      <w:r>
        <w:tab/>
        <w:t>ways in which social, cultural, economic or personal factors have affected any help</w:t>
      </w:r>
      <w:r>
        <w:noBreakHyphen/>
        <w:t xml:space="preserve">seeking behaviour undertaken by the person, or the safety options realistically available to the person, in response to family violence; </w:t>
      </w:r>
    </w:p>
    <w:p>
      <w:pPr>
        <w:pStyle w:val="Indenta"/>
      </w:pPr>
      <w:r>
        <w:tab/>
        <w:t>(f)</w:t>
      </w:r>
      <w:r>
        <w:tab/>
        <w:t>ways in which violence by the family member towards the person, or the lack of safety options, were exacerbated by inequities experienced by the person, including inequities associated with (but not limited to) race, poverty, gender, disability or age;</w:t>
      </w:r>
    </w:p>
    <w:p>
      <w:pPr>
        <w:pStyle w:val="Indenta"/>
      </w:pPr>
      <w:r>
        <w:tab/>
        <w:t>(g)</w:t>
      </w:r>
      <w:r>
        <w:tab/>
        <w:t>the general nature and dynamics of relationships affected by family violence, including the possible consequences of separation from a person who commits family violence;</w:t>
      </w:r>
    </w:p>
    <w:p>
      <w:pPr>
        <w:pStyle w:val="Indenta"/>
      </w:pPr>
      <w:r>
        <w:tab/>
        <w:t>(h)</w:t>
      </w:r>
      <w:r>
        <w:tab/>
        <w:t xml:space="preserve">the psychological effect of family violence on people who are or have been in a relationship affected by family violence; </w:t>
      </w:r>
    </w:p>
    <w:p>
      <w:pPr>
        <w:pStyle w:val="Indenta"/>
      </w:pPr>
      <w:r>
        <w:tab/>
        <w:t>(i)</w:t>
      </w:r>
      <w:r>
        <w:tab/>
        <w:t>social or economic factors that impact on people who are or have been in a relationship affected by family violence.</w:t>
      </w:r>
    </w:p>
    <w:p>
      <w:pPr>
        <w:pStyle w:val="Subsection"/>
      </w:pPr>
      <w:r>
        <w:tab/>
        <w:t>(2)</w:t>
      </w:r>
      <w:r>
        <w:tab/>
        <w:t xml:space="preserve">Subsection (1) does not limit the operation of the </w:t>
      </w:r>
      <w:r>
        <w:rPr>
          <w:i/>
        </w:rPr>
        <w:t xml:space="preserve">Restraining Orders Act 1997 </w:t>
      </w:r>
      <w:r>
        <w:t>section 5A(2).</w:t>
      </w:r>
    </w:p>
    <w:p>
      <w:pPr>
        <w:pStyle w:val="Footnotesection"/>
      </w:pPr>
      <w:r>
        <w:tab/>
        <w:t>[Section 38 inserted: No. 30 of 2020 s. 94.]</w:t>
      </w:r>
    </w:p>
    <w:p>
      <w:pPr>
        <w:pStyle w:val="Heading5"/>
      </w:pPr>
      <w:bookmarkStart w:id="76" w:name="_Toc80794367"/>
      <w:r>
        <w:rPr>
          <w:rStyle w:val="CharSectno"/>
        </w:rPr>
        <w:t>39</w:t>
      </w:r>
      <w:r>
        <w:t>.</w:t>
      </w:r>
      <w:r>
        <w:tab/>
        <w:t>Expert evidence of family violence</w:t>
      </w:r>
      <w:bookmarkEnd w:id="76"/>
    </w:p>
    <w:p>
      <w:pPr>
        <w:pStyle w:val="Subsection"/>
      </w:pPr>
      <w:r>
        <w:tab/>
        <w:t>(1)</w:t>
      </w:r>
      <w:r>
        <w:tab/>
        <w:t>This section applies to any criminal proceedings where evidence of family violence is relevant to a fact in issue.</w:t>
      </w:r>
    </w:p>
    <w:p>
      <w:pPr>
        <w:pStyle w:val="Subsection"/>
      </w:pPr>
      <w:r>
        <w:tab/>
        <w:t>(2)</w:t>
      </w:r>
      <w:r>
        <w:tab/>
        <w:t>The evidence of an expert on the subject of family violence is admissible in relation to any matter that may constitute evidence of family violence.</w:t>
      </w:r>
    </w:p>
    <w:p>
      <w:pPr>
        <w:pStyle w:val="Subsection"/>
      </w:pPr>
      <w:r>
        <w:tab/>
        <w:t>(3)</w:t>
      </w:r>
      <w:r>
        <w:tab/>
        <w:t xml:space="preserve">Evidence given by the expert may include — </w:t>
      </w:r>
    </w:p>
    <w:p>
      <w:pPr>
        <w:pStyle w:val="Indenta"/>
      </w:pPr>
      <w:r>
        <w:tab/>
        <w:t>(a)</w:t>
      </w:r>
      <w:r>
        <w:tab/>
        <w:t>evidence about the nature and effects of family violence on any person; and</w:t>
      </w:r>
    </w:p>
    <w:p>
      <w:pPr>
        <w:pStyle w:val="Indenta"/>
      </w:pPr>
      <w:r>
        <w:lastRenderedPageBreak/>
        <w:tab/>
        <w:t>(b)</w:t>
      </w:r>
      <w:r>
        <w:tab/>
        <w:t>evidence about the effect of family violence on a particular person who has been the subject of family violence.</w:t>
      </w:r>
    </w:p>
    <w:p>
      <w:pPr>
        <w:pStyle w:val="Subsection"/>
      </w:pPr>
      <w:r>
        <w:tab/>
        <w:t>(4)</w:t>
      </w:r>
      <w:r>
        <w:tab/>
        <w:t>For the purposes of this section, an expert on the subject of family violence includes a person who can demonstrate specialised knowledge, gained by training, study or experience, of any matter that may constitute evidence of family violence.</w:t>
      </w:r>
    </w:p>
    <w:p>
      <w:pPr>
        <w:pStyle w:val="Footnotesection"/>
      </w:pPr>
      <w:r>
        <w:tab/>
        <w:t>[Section 39 inserted: No. 30 of 2020 s. 94.]</w:t>
      </w:r>
    </w:p>
    <w:p>
      <w:pPr>
        <w:pStyle w:val="Heading5"/>
      </w:pPr>
      <w:bookmarkStart w:id="77" w:name="_Toc80794368"/>
      <w:r>
        <w:rPr>
          <w:rStyle w:val="CharSectno"/>
        </w:rPr>
        <w:t>39A</w:t>
      </w:r>
      <w:r>
        <w:t>.</w:t>
      </w:r>
      <w:r>
        <w:tab/>
        <w:t>Evidence of family violence — general provision</w:t>
      </w:r>
      <w:bookmarkEnd w:id="77"/>
    </w:p>
    <w:p>
      <w:pPr>
        <w:pStyle w:val="Subsection"/>
      </w:pPr>
      <w:r>
        <w:tab/>
      </w:r>
      <w:r>
        <w:tab/>
        <w:t>In proceedings for an offence, evidence of family violence is admissible if family violence is relevant to a fact in issue.</w:t>
      </w:r>
    </w:p>
    <w:p>
      <w:pPr>
        <w:pStyle w:val="Footnotesection"/>
      </w:pPr>
      <w:r>
        <w:tab/>
        <w:t>[Section 39A inserted: No. 30 of 2020 s. 94.]</w:t>
      </w:r>
    </w:p>
    <w:p>
      <w:pPr>
        <w:pStyle w:val="Heading5"/>
      </w:pPr>
      <w:bookmarkStart w:id="78" w:name="_Toc80794369"/>
      <w:r>
        <w:rPr>
          <w:rStyle w:val="CharSectno"/>
        </w:rPr>
        <w:t>39B</w:t>
      </w:r>
      <w:r>
        <w:t>.</w:t>
      </w:r>
      <w:r>
        <w:tab/>
        <w:t>Evidence of family violence — self</w:t>
      </w:r>
      <w:r>
        <w:noBreakHyphen/>
        <w:t>defence</w:t>
      </w:r>
      <w:bookmarkEnd w:id="78"/>
    </w:p>
    <w:p>
      <w:pPr>
        <w:pStyle w:val="Subsection"/>
      </w:pPr>
      <w:r>
        <w:tab/>
      </w:r>
      <w:r>
        <w:tab/>
        <w:t>Without limiting any other evidence that may be adduced, in criminal proceedings in which self</w:t>
      </w:r>
      <w:r>
        <w:noBreakHyphen/>
        <w:t xml:space="preserve">defence in response to family violence is an issue, evidence of family violence may be relevant to determining whether — </w:t>
      </w:r>
    </w:p>
    <w:p>
      <w:pPr>
        <w:pStyle w:val="Indenta"/>
      </w:pPr>
      <w:r>
        <w:tab/>
        <w:t>(a)</w:t>
      </w:r>
      <w:r>
        <w:tab/>
        <w:t>a person has a belief that an act was necessary to defend the person or another person from a harmful act, including a harmful act that was not imminent; or</w:t>
      </w:r>
    </w:p>
    <w:p>
      <w:pPr>
        <w:pStyle w:val="Indenta"/>
      </w:pPr>
      <w:r>
        <w:tab/>
        <w:t>(b)</w:t>
      </w:r>
      <w:r>
        <w:tab/>
        <w:t>a person’s act was a reasonable response by the person in the circumstances as the person believed them to be; or</w:t>
      </w:r>
    </w:p>
    <w:p>
      <w:pPr>
        <w:pStyle w:val="Indenta"/>
      </w:pPr>
      <w:r>
        <w:tab/>
        <w:t>(c)</w:t>
      </w:r>
      <w:r>
        <w:tab/>
        <w:t>there are reasonable grounds for a particular belief by a person.</w:t>
      </w:r>
    </w:p>
    <w:p>
      <w:pPr>
        <w:pStyle w:val="Footnotesection"/>
      </w:pPr>
      <w:r>
        <w:tab/>
        <w:t>[Section 39B inserted: No. 30 of 2020 s. 94.]</w:t>
      </w:r>
    </w:p>
    <w:p>
      <w:pPr>
        <w:pStyle w:val="Heading5"/>
      </w:pPr>
      <w:bookmarkStart w:id="79" w:name="_Toc80794370"/>
      <w:r>
        <w:rPr>
          <w:rStyle w:val="CharSectno"/>
        </w:rPr>
        <w:lastRenderedPageBreak/>
        <w:t>39C</w:t>
      </w:r>
      <w:r>
        <w:t>.</w:t>
      </w:r>
      <w:r>
        <w:tab/>
        <w:t>Request for direction on family violence — self</w:t>
      </w:r>
      <w:r>
        <w:noBreakHyphen/>
        <w:t>defence</w:t>
      </w:r>
      <w:bookmarkEnd w:id="79"/>
    </w:p>
    <w:p>
      <w:pPr>
        <w:pStyle w:val="Subsection"/>
        <w:keepLines/>
      </w:pPr>
      <w:r>
        <w:tab/>
        <w:t>(1)</w:t>
      </w:r>
      <w:r>
        <w:tab/>
        <w:t>In criminal proceedings in which self</w:t>
      </w:r>
      <w:r>
        <w:noBreakHyphen/>
        <w:t>defence in response to family violence is an issue, defence counsel (or, if the accused is unrepresented, the accused) may request at any time that the trial judge direct the jury on family violence in accordance with section 39E and all or specified parts of section 39F.</w:t>
      </w:r>
    </w:p>
    <w:p>
      <w:pPr>
        <w:pStyle w:val="Subsection"/>
      </w:pPr>
      <w:r>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pPr>
      <w:r>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sections 39E and 39F, do not limit what the trial judge may include in any other direction to the jury, including in relation to evidence given by an expert witness.</w:t>
      </w:r>
    </w:p>
    <w:p>
      <w:pPr>
        <w:pStyle w:val="Footnotesection"/>
      </w:pPr>
      <w:r>
        <w:tab/>
        <w:t>[Section 39C inserted: No. 30 of 2020 s. 94.]</w:t>
      </w:r>
    </w:p>
    <w:p>
      <w:pPr>
        <w:pStyle w:val="Heading5"/>
      </w:pPr>
      <w:bookmarkStart w:id="80" w:name="_Toc80794371"/>
      <w:r>
        <w:rPr>
          <w:rStyle w:val="CharSectno"/>
        </w:rPr>
        <w:t>39D</w:t>
      </w:r>
      <w:r>
        <w:t>.</w:t>
      </w:r>
      <w:r>
        <w:tab/>
        <w:t>Request for direction on family violence — general provision</w:t>
      </w:r>
      <w:bookmarkEnd w:id="80"/>
    </w:p>
    <w:p>
      <w:pPr>
        <w:pStyle w:val="Subsection"/>
      </w:pPr>
      <w:r>
        <w:tab/>
        <w:t>(1)</w:t>
      </w:r>
      <w:r>
        <w:tab/>
        <w:t>In criminal proceedings in which family violence is an issue, prosecution or defence counsel (or, if the accused is unrepresented, the accused) may request at any time that the trial judge direct the jury on family violence in accordance with all or specified parts of section 39F.</w:t>
      </w:r>
    </w:p>
    <w:p>
      <w:pPr>
        <w:pStyle w:val="Subsection"/>
      </w:pPr>
      <w:r>
        <w:lastRenderedPageBreak/>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pPr>
      <w:r>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 39F, do not limit what the trial judge may include in any other direction to the jury, including in relation to evidence given by an expert witness.</w:t>
      </w:r>
    </w:p>
    <w:p>
      <w:pPr>
        <w:pStyle w:val="Footnotesection"/>
      </w:pPr>
      <w:r>
        <w:tab/>
        <w:t>[Section 39D inserted: No. 30 of 2020 s. 94.]</w:t>
      </w:r>
    </w:p>
    <w:p>
      <w:pPr>
        <w:pStyle w:val="Heading5"/>
      </w:pPr>
      <w:bookmarkStart w:id="81" w:name="_Toc80794372"/>
      <w:r>
        <w:rPr>
          <w:rStyle w:val="CharSectno"/>
        </w:rPr>
        <w:t>39E</w:t>
      </w:r>
      <w:r>
        <w:t>.</w:t>
      </w:r>
      <w:r>
        <w:tab/>
        <w:t>Content of direction on family violence</w:t>
      </w:r>
      <w:bookmarkEnd w:id="81"/>
    </w:p>
    <w:p>
      <w:pPr>
        <w:pStyle w:val="Subsection"/>
      </w:pPr>
      <w:r>
        <w:tab/>
      </w:r>
      <w:r>
        <w:tab/>
        <w:t>In giving a direction under section 39C, the trial judge must inform the jury that —</w:t>
      </w:r>
    </w:p>
    <w:p>
      <w:pPr>
        <w:pStyle w:val="Indenta"/>
      </w:pPr>
      <w:r>
        <w:tab/>
        <w:t>(a)</w:t>
      </w:r>
      <w:r>
        <w:tab/>
        <w:t>self</w:t>
      </w:r>
      <w:r>
        <w:noBreakHyphen/>
        <w:t>defence is, or is likely to be, an issue in the trial; and</w:t>
      </w:r>
    </w:p>
    <w:p>
      <w:pPr>
        <w:pStyle w:val="Indenta"/>
      </w:pPr>
      <w:r>
        <w:tab/>
        <w:t>(b)</w:t>
      </w:r>
      <w:r>
        <w:tab/>
        <w:t>as a matter of law, evidence of family violence may be relevant to determining whether the accused acted in self</w:t>
      </w:r>
      <w:r>
        <w:noBreakHyphen/>
        <w:t>defence; and</w:t>
      </w:r>
    </w:p>
    <w:p>
      <w:pPr>
        <w:pStyle w:val="Indenta"/>
      </w:pPr>
      <w:r>
        <w:tab/>
        <w:t>(c)</w:t>
      </w:r>
      <w:r>
        <w:tab/>
        <w:t>evidence in the trial is likely to include evidence of family violence committed by the victim against the accused or another person whom the accused was defending.</w:t>
      </w:r>
    </w:p>
    <w:p>
      <w:pPr>
        <w:pStyle w:val="Footnotesection"/>
      </w:pPr>
      <w:r>
        <w:tab/>
        <w:t>[Section 39E inserted: No. 30 of 2020 s. 94.]</w:t>
      </w:r>
    </w:p>
    <w:p>
      <w:pPr>
        <w:pStyle w:val="Heading5"/>
      </w:pPr>
      <w:bookmarkStart w:id="82" w:name="_Toc80794373"/>
      <w:r>
        <w:rPr>
          <w:rStyle w:val="CharSectno"/>
        </w:rPr>
        <w:lastRenderedPageBreak/>
        <w:t>39F</w:t>
      </w:r>
      <w:r>
        <w:t>.</w:t>
      </w:r>
      <w:r>
        <w:tab/>
        <w:t>Additional matters for direction on family violence</w:t>
      </w:r>
      <w:bookmarkEnd w:id="82"/>
    </w:p>
    <w:p>
      <w:pPr>
        <w:pStyle w:val="Subsection"/>
      </w:pPr>
      <w:r>
        <w:tab/>
        <w:t>(1)</w:t>
      </w:r>
      <w:r>
        <w:tab/>
        <w:t>In giving a direction requested under section 39C or 39D, the trial judge may include any of the following matters in the direction —</w:t>
      </w:r>
    </w:p>
    <w:p>
      <w:pPr>
        <w:pStyle w:val="Indenta"/>
      </w:pPr>
      <w:r>
        <w:tab/>
        <w:t>(a)</w:t>
      </w:r>
      <w:r>
        <w:tab/>
        <w:t>that family violence —</w:t>
      </w:r>
    </w:p>
    <w:p>
      <w:pPr>
        <w:pStyle w:val="Indenti"/>
      </w:pPr>
      <w:r>
        <w:tab/>
        <w:t>(i)</w:t>
      </w:r>
      <w:r>
        <w:tab/>
        <w:t>is not limited to physical abuse and may, for example, include sexual abuse, psychological abuse or financial abuse;</w:t>
      </w:r>
    </w:p>
    <w:p>
      <w:pPr>
        <w:pStyle w:val="Indenti"/>
      </w:pPr>
      <w:r>
        <w:tab/>
        <w:t>(ii)</w:t>
      </w:r>
      <w:r>
        <w:tab/>
        <w:t>may amount to violence against a person even though it is immediately directed at another person;</w:t>
      </w:r>
    </w:p>
    <w:p>
      <w:pPr>
        <w:pStyle w:val="Indenti"/>
      </w:pPr>
      <w:r>
        <w:tab/>
        <w:t>(iii)</w:t>
      </w:r>
      <w:r>
        <w:tab/>
        <w:t>may consist of a single act;</w:t>
      </w:r>
    </w:p>
    <w:p>
      <w:pPr>
        <w:pStyle w:val="Indenti"/>
      </w:pPr>
      <w:r>
        <w:tab/>
        <w:t>(iv)</w:t>
      </w:r>
      <w:r>
        <w:tab/>
        <w:t>may consist of separate acts that form part of a pattern of behaviour which can amount to abuse even though some or all of those acts may, when viewed in isolation, appear to be minor or trivial;</w:t>
      </w:r>
    </w:p>
    <w:p>
      <w:pPr>
        <w:pStyle w:val="Indenta"/>
      </w:pPr>
      <w:r>
        <w:tab/>
        <w:t>(b)</w:t>
      </w:r>
      <w:r>
        <w:tab/>
        <w:t>if relevant, that experience shows that —</w:t>
      </w:r>
    </w:p>
    <w:p>
      <w:pPr>
        <w:pStyle w:val="Indenti"/>
      </w:pPr>
      <w:r>
        <w:tab/>
        <w:t>(i)</w:t>
      </w:r>
      <w:r>
        <w:tab/>
        <w:t>people may react differently to family violence and there is no typical, proper or normal response to family violence;</w:t>
      </w:r>
    </w:p>
    <w:p>
      <w:pPr>
        <w:pStyle w:val="Indenti"/>
      </w:pPr>
      <w:r>
        <w:tab/>
        <w:t>(ii)</w:t>
      </w:r>
      <w:r>
        <w:tab/>
        <w:t>it is not uncommon for a person who has been subjected to family violence to stay with an abusive partner after the onset of family violence, or to leave and then return to the partner;</w:t>
      </w:r>
    </w:p>
    <w:p>
      <w:pPr>
        <w:pStyle w:val="Indenti"/>
      </w:pPr>
      <w:r>
        <w:tab/>
        <w:t>(iii)</w:t>
      </w:r>
      <w:r>
        <w:tab/>
        <w:t>it is not uncommon for a person who has been subjected to family violence not to report family violence to police or seek assistance to stop family violence;</w:t>
      </w:r>
    </w:p>
    <w:p>
      <w:pPr>
        <w:pStyle w:val="Indenti"/>
      </w:pPr>
      <w:r>
        <w:tab/>
        <w:t>(iv)</w:t>
      </w:r>
      <w:r>
        <w:tab/>
        <w:t>decisions made by a person subjected to family violence about how to address, respond to or avoid family violence may be influenced by a variety of factors;</w:t>
      </w:r>
    </w:p>
    <w:p>
      <w:pPr>
        <w:pStyle w:val="Indenti"/>
      </w:pPr>
      <w:r>
        <w:lastRenderedPageBreak/>
        <w:tab/>
        <w:t>(v)</w:t>
      </w:r>
      <w:r>
        <w:tab/>
        <w:t>it is not uncommon for a decision to leave an abusive partner, or to seek assistance, to increase apprehension about, or the actual risk of, harm;</w:t>
      </w:r>
    </w:p>
    <w:p>
      <w:pPr>
        <w:pStyle w:val="Indenta"/>
      </w:pPr>
      <w:r>
        <w:tab/>
        <w:t>(c)</w:t>
      </w:r>
      <w:r>
        <w:tab/>
        <w:t>in the case of self</w:t>
      </w:r>
      <w:r>
        <w:noBreakHyphen/>
        <w:t>defence, that, as a matter of law, evidence that the accused assaulted the victim on a previous occasion does not mean that the accused could not have been acting in self</w:t>
      </w:r>
      <w:r>
        <w:noBreakHyphen/>
        <w:t>defence in relation to the offence charged.</w:t>
      </w:r>
    </w:p>
    <w:p>
      <w:pPr>
        <w:pStyle w:val="Subsection"/>
      </w:pPr>
      <w:r>
        <w:tab/>
        <w:t>(2)</w:t>
      </w:r>
      <w:r>
        <w:tab/>
        <w:t>In making a direction under subsection (1), the trial judge may also indicate that behaviour, or patterns of behaviour, that may constitute family violence may include (but are not limited to) —</w:t>
      </w:r>
    </w:p>
    <w:p>
      <w:pPr>
        <w:pStyle w:val="Indenta"/>
      </w:pPr>
      <w:r>
        <w:tab/>
        <w:t>(a)</w:t>
      </w:r>
      <w:r>
        <w:tab/>
        <w:t>placing or keeping a person in a dependent or subordinate relationship;</w:t>
      </w:r>
    </w:p>
    <w:p>
      <w:pPr>
        <w:pStyle w:val="Indenta"/>
      </w:pPr>
      <w:r>
        <w:tab/>
        <w:t>(b)</w:t>
      </w:r>
      <w:r>
        <w:tab/>
        <w:t>isolating a person from family, friends or other sources of support;</w:t>
      </w:r>
    </w:p>
    <w:p>
      <w:pPr>
        <w:pStyle w:val="Indenta"/>
      </w:pPr>
      <w:r>
        <w:tab/>
        <w:t>(c)</w:t>
      </w:r>
      <w:r>
        <w:tab/>
        <w:t>controlling, regulating or monitoring a person’s day</w:t>
      </w:r>
      <w:r>
        <w:noBreakHyphen/>
        <w:t>to</w:t>
      </w:r>
      <w:r>
        <w:noBreakHyphen/>
        <w:t>day activities;</w:t>
      </w:r>
    </w:p>
    <w:p>
      <w:pPr>
        <w:pStyle w:val="Indenta"/>
      </w:pPr>
      <w:r>
        <w:tab/>
        <w:t>(d)</w:t>
      </w:r>
      <w:r>
        <w:tab/>
        <w:t>depriving or restricting a person’s freedom of movement or action;</w:t>
      </w:r>
    </w:p>
    <w:p>
      <w:pPr>
        <w:pStyle w:val="Indenta"/>
      </w:pPr>
      <w:r>
        <w:tab/>
        <w:t>(e)</w:t>
      </w:r>
      <w:r>
        <w:tab/>
        <w:t>restricting a person’s ability to resist violence;</w:t>
      </w:r>
    </w:p>
    <w:p>
      <w:pPr>
        <w:pStyle w:val="Indenta"/>
      </w:pPr>
      <w:r>
        <w:tab/>
        <w:t>(f)</w:t>
      </w:r>
      <w:r>
        <w:tab/>
        <w:t>frightening, humiliating, degrading or punishing a person, including punishing a person for resisting violence;</w:t>
      </w:r>
    </w:p>
    <w:p>
      <w:pPr>
        <w:pStyle w:val="Indenta"/>
      </w:pPr>
      <w:r>
        <w:tab/>
        <w:t>(g)</w:t>
      </w:r>
      <w:r>
        <w:tab/>
        <w:t>compelling a person to engage in unlawful or harmful conduct.</w:t>
      </w:r>
    </w:p>
    <w:p>
      <w:pPr>
        <w:pStyle w:val="Subsection"/>
      </w:pPr>
      <w:r>
        <w:tab/>
        <w:t>(3)</w:t>
      </w:r>
      <w:r>
        <w:tab/>
        <w:t>If the trial judge makes a direction that relates to subsection (1)(b)(iv), the trial judge may also indicate that decisions made by a person subjected to family violence about how to address, respond to or avoid family violence may be influenced by such things as the following —</w:t>
      </w:r>
    </w:p>
    <w:p>
      <w:pPr>
        <w:pStyle w:val="Indenta"/>
      </w:pPr>
      <w:r>
        <w:tab/>
        <w:t>(a)</w:t>
      </w:r>
      <w:r>
        <w:tab/>
        <w:t>the family violence itself;</w:t>
      </w:r>
    </w:p>
    <w:p>
      <w:pPr>
        <w:pStyle w:val="Indenta"/>
      </w:pPr>
      <w:r>
        <w:lastRenderedPageBreak/>
        <w:tab/>
        <w:t>(b)</w:t>
      </w:r>
      <w:r>
        <w:tab/>
        <w:t xml:space="preserve">social, cultural, economic or personal factors, or inequities experienced by the person, including inequities associated with (but not limited to) race, poverty, gender, disability or age; </w:t>
      </w:r>
    </w:p>
    <w:p>
      <w:pPr>
        <w:pStyle w:val="Indenta"/>
      </w:pPr>
      <w:r>
        <w:tab/>
        <w:t>(c)</w:t>
      </w:r>
      <w:r>
        <w:tab/>
        <w:t>responses by family, community or agencies to the family violence or to any help</w:t>
      </w:r>
      <w:r>
        <w:noBreakHyphen/>
        <w:t>seeking behaviour or use of safety options by the person;</w:t>
      </w:r>
    </w:p>
    <w:p>
      <w:pPr>
        <w:pStyle w:val="Indenta"/>
      </w:pPr>
      <w:r>
        <w:tab/>
        <w:t>(d)</w:t>
      </w:r>
      <w:r>
        <w:tab/>
        <w:t xml:space="preserve">the provision of, or failure in the provision of, safety options that might realistically have provided ongoing safety to the person, and the person’s perceptions of how effective those safety options might have been to prevent further harm; </w:t>
      </w:r>
    </w:p>
    <w:p>
      <w:pPr>
        <w:pStyle w:val="Indenta"/>
      </w:pPr>
      <w:r>
        <w:tab/>
        <w:t>(e)</w:t>
      </w:r>
      <w:r>
        <w:tab/>
        <w:t>further violence, or the threat of further violence, used by a family member to prevent, or in retaliation to, any help</w:t>
      </w:r>
      <w:r>
        <w:noBreakHyphen/>
        <w:t>seeking behaviour or use of safety options by the person.</w:t>
      </w:r>
    </w:p>
    <w:p>
      <w:pPr>
        <w:pStyle w:val="Footnotesection"/>
      </w:pPr>
      <w:r>
        <w:tab/>
        <w:t>[Section 39F inserted: No. 30 of 2020 s. 94.]</w:t>
      </w:r>
    </w:p>
    <w:p>
      <w:pPr>
        <w:pStyle w:val="Heading5"/>
      </w:pPr>
      <w:bookmarkStart w:id="83" w:name="_Toc80794374"/>
      <w:r>
        <w:rPr>
          <w:rStyle w:val="CharSectno"/>
        </w:rPr>
        <w:t>39G</w:t>
      </w:r>
      <w:r>
        <w:t>.</w:t>
      </w:r>
      <w:r>
        <w:tab/>
        <w:t>Application of s. 39E and 39F to criminal proceedings without juries</w:t>
      </w:r>
      <w:bookmarkEnd w:id="83"/>
    </w:p>
    <w:p>
      <w:pPr>
        <w:pStyle w:val="Subsection"/>
      </w:pPr>
      <w:r>
        <w:tab/>
      </w:r>
      <w:r>
        <w:tab/>
        <w:t>If a court is sitting without a jury, the court’s reasoning with respect to any matter in relation to which sections 39E and 39F make provision must, to such extent as the court thinks fit, be consistent with how a jury would be directed in accordance with those sections in the particular case.</w:t>
      </w:r>
    </w:p>
    <w:p>
      <w:pPr>
        <w:pStyle w:val="Footnotesection"/>
      </w:pPr>
      <w:r>
        <w:tab/>
        <w:t>[Section 39G inserted: No. 30 of 2020 s. 94.]</w:t>
      </w:r>
    </w:p>
    <w:p>
      <w:pPr>
        <w:pStyle w:val="Heading5"/>
        <w:keepNext w:val="0"/>
        <w:keepLines w:val="0"/>
        <w:spacing w:before="180"/>
        <w:rPr>
          <w:snapToGrid w:val="0"/>
        </w:rPr>
      </w:pPr>
      <w:bookmarkStart w:id="84" w:name="_Toc80794375"/>
      <w:r>
        <w:rPr>
          <w:rStyle w:val="CharSectno"/>
        </w:rPr>
        <w:t>40</w:t>
      </w:r>
      <w:r>
        <w:rPr>
          <w:snapToGrid w:val="0"/>
        </w:rPr>
        <w:t>.</w:t>
      </w:r>
      <w:r>
        <w:rPr>
          <w:snapToGrid w:val="0"/>
        </w:rPr>
        <w:tab/>
        <w:t>Customs prosecutions, effect of averments in</w:t>
      </w:r>
      <w:bookmarkEnd w:id="84"/>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lastRenderedPageBreak/>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No. 84 of 2004 s. 82.]</w:t>
      </w:r>
    </w:p>
    <w:p>
      <w:pPr>
        <w:pStyle w:val="Heading5"/>
        <w:spacing w:before="200"/>
        <w:rPr>
          <w:snapToGrid w:val="0"/>
        </w:rPr>
      </w:pPr>
      <w:bookmarkStart w:id="85" w:name="_Toc80794376"/>
      <w:r>
        <w:rPr>
          <w:rStyle w:val="CharSectno"/>
        </w:rPr>
        <w:t>41</w:t>
      </w:r>
      <w:r>
        <w:rPr>
          <w:snapToGrid w:val="0"/>
        </w:rPr>
        <w:t>.</w:t>
      </w:r>
      <w:r>
        <w:rPr>
          <w:snapToGrid w:val="0"/>
        </w:rPr>
        <w:tab/>
        <w:t>Customs prosecutions, proof of appointment of officers</w:t>
      </w:r>
      <w:bookmarkEnd w:id="85"/>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No. 84 of 2004 s. 80.]</w:t>
      </w:r>
    </w:p>
    <w:p>
      <w:pPr>
        <w:pStyle w:val="Heading5"/>
        <w:rPr>
          <w:snapToGrid w:val="0"/>
        </w:rPr>
      </w:pPr>
      <w:bookmarkStart w:id="86" w:name="_Toc80794377"/>
      <w:r>
        <w:rPr>
          <w:rStyle w:val="CharSectno"/>
        </w:rPr>
        <w:t>41A</w:t>
      </w:r>
      <w:r>
        <w:rPr>
          <w:snapToGrid w:val="0"/>
        </w:rPr>
        <w:t>.</w:t>
      </w:r>
      <w:r>
        <w:rPr>
          <w:snapToGrid w:val="0"/>
        </w:rPr>
        <w:tab/>
        <w:t>Stealing and receiving charges, evidence of ownership of property stolen from ships, wharves etc.</w:t>
      </w:r>
      <w:bookmarkEnd w:id="86"/>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 xml:space="preserve">any apparently genuine document purporting to be the bill of lading, manifest, shipping receipt, delivery order, specification, schedule, packing list, or invoice relating to the said property, or to property which from the description thereof in the document or from the writing, </w:t>
      </w:r>
      <w:r>
        <w:rPr>
          <w:snapToGrid w:val="0"/>
        </w:rPr>
        <w:lastRenderedPageBreak/>
        <w:t>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No. 19 of 1921 s. 2.]</w:t>
      </w:r>
    </w:p>
    <w:p>
      <w:pPr>
        <w:pStyle w:val="Heading5"/>
        <w:rPr>
          <w:snapToGrid w:val="0"/>
        </w:rPr>
      </w:pPr>
      <w:bookmarkStart w:id="87" w:name="_Toc80794378"/>
      <w:r>
        <w:rPr>
          <w:rStyle w:val="CharSectno"/>
        </w:rPr>
        <w:t>42</w:t>
      </w:r>
      <w:r>
        <w:rPr>
          <w:snapToGrid w:val="0"/>
        </w:rPr>
        <w:t>.</w:t>
      </w:r>
      <w:r>
        <w:rPr>
          <w:snapToGrid w:val="0"/>
        </w:rPr>
        <w:tab/>
        <w:t>Evidence on trial for defamation</w:t>
      </w:r>
      <w:bookmarkEnd w:id="87"/>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lastRenderedPageBreak/>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No. 10 of 1960 s. 2.]</w:t>
      </w:r>
    </w:p>
    <w:p>
      <w:pPr>
        <w:pStyle w:val="Heading5"/>
        <w:spacing w:before="200"/>
        <w:rPr>
          <w:snapToGrid w:val="0"/>
        </w:rPr>
      </w:pPr>
      <w:bookmarkStart w:id="88" w:name="_Toc80794379"/>
      <w:r>
        <w:rPr>
          <w:rStyle w:val="CharSectno"/>
        </w:rPr>
        <w:t>44</w:t>
      </w:r>
      <w:r>
        <w:rPr>
          <w:snapToGrid w:val="0"/>
        </w:rPr>
        <w:t>.</w:t>
      </w:r>
      <w:r>
        <w:rPr>
          <w:snapToGrid w:val="0"/>
        </w:rPr>
        <w:tab/>
        <w:t>Stealing charges, proof of receipt of money by accused, proof of general deficiency</w:t>
      </w:r>
      <w:bookmarkEnd w:id="88"/>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89" w:name="_Toc80794380"/>
      <w:r>
        <w:rPr>
          <w:rStyle w:val="CharSectno"/>
        </w:rPr>
        <w:t>45</w:t>
      </w:r>
      <w:r>
        <w:rPr>
          <w:snapToGrid w:val="0"/>
        </w:rPr>
        <w:t>.</w:t>
      </w:r>
      <w:r>
        <w:rPr>
          <w:snapToGrid w:val="0"/>
        </w:rPr>
        <w:tab/>
        <w:t>Seals and stamps for the revenue or post office, proof of</w:t>
      </w:r>
      <w:bookmarkEnd w:id="89"/>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90" w:name="_Toc80794381"/>
      <w:r>
        <w:rPr>
          <w:rStyle w:val="CharSectno"/>
        </w:rPr>
        <w:lastRenderedPageBreak/>
        <w:t>46</w:t>
      </w:r>
      <w:r>
        <w:rPr>
          <w:snapToGrid w:val="0"/>
        </w:rPr>
        <w:t>.</w:t>
      </w:r>
      <w:r>
        <w:rPr>
          <w:snapToGrid w:val="0"/>
        </w:rPr>
        <w:tab/>
        <w:t>Receiving charges, proof of knowledge that goods were stolen</w:t>
      </w:r>
      <w:bookmarkEnd w:id="90"/>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91" w:name="_Toc80794382"/>
      <w:r>
        <w:rPr>
          <w:rStyle w:val="CharSectno"/>
        </w:rPr>
        <w:t>46A</w:t>
      </w:r>
      <w:r>
        <w:rPr>
          <w:snapToGrid w:val="0"/>
        </w:rPr>
        <w:t>.</w:t>
      </w:r>
      <w:r>
        <w:rPr>
          <w:snapToGrid w:val="0"/>
        </w:rPr>
        <w:tab/>
        <w:t>Sunrise and sunset, proof of</w:t>
      </w:r>
      <w:bookmarkEnd w:id="91"/>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No. 33 of 1978 s. 2.]</w:t>
      </w:r>
    </w:p>
    <w:p>
      <w:pPr>
        <w:pStyle w:val="Heading5"/>
        <w:rPr>
          <w:snapToGrid w:val="0"/>
        </w:rPr>
      </w:pPr>
      <w:bookmarkStart w:id="92" w:name="_Toc80794383"/>
      <w:r>
        <w:rPr>
          <w:rStyle w:val="CharSectno"/>
        </w:rPr>
        <w:t>47</w:t>
      </w:r>
      <w:r>
        <w:rPr>
          <w:snapToGrid w:val="0"/>
        </w:rPr>
        <w:t>.</w:t>
      </w:r>
      <w:r>
        <w:rPr>
          <w:snapToGrid w:val="0"/>
        </w:rPr>
        <w:tab/>
        <w:t>Conviction, acquittal and identity, proof of</w:t>
      </w:r>
      <w:bookmarkEnd w:id="92"/>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lastRenderedPageBreak/>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 xml:space="preserve">A conviction or an acquittal in any part of Her Majesty’s dominions may be proved under this section in respect of any </w:t>
      </w:r>
      <w:r>
        <w:rPr>
          <w:snapToGrid w:val="0"/>
        </w:rPr>
        <w:lastRenderedPageBreak/>
        <w:t>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No. 16 of 1956 s. 3.]</w:t>
      </w:r>
    </w:p>
    <w:p>
      <w:pPr>
        <w:pStyle w:val="Ednotesection"/>
      </w:pPr>
      <w:r>
        <w:t>[</w:t>
      </w:r>
      <w:r>
        <w:rPr>
          <w:b/>
        </w:rPr>
        <w:t>48.</w:t>
      </w:r>
      <w:r>
        <w:tab/>
        <w:t>Deleted: No. 70 of 1988 s. 41.]</w:t>
      </w:r>
    </w:p>
    <w:p>
      <w:pPr>
        <w:pStyle w:val="Heading5"/>
        <w:rPr>
          <w:snapToGrid w:val="0"/>
        </w:rPr>
      </w:pPr>
      <w:bookmarkStart w:id="93" w:name="_Toc80794384"/>
      <w:r>
        <w:rPr>
          <w:rStyle w:val="CharSectno"/>
        </w:rPr>
        <w:t>49</w:t>
      </w:r>
      <w:r>
        <w:rPr>
          <w:snapToGrid w:val="0"/>
        </w:rPr>
        <w:t>.</w:t>
      </w:r>
      <w:r>
        <w:rPr>
          <w:snapToGrid w:val="0"/>
        </w:rPr>
        <w:tab/>
        <w:t>Actions for seduction</w:t>
      </w:r>
      <w:bookmarkEnd w:id="93"/>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94" w:name="_Toc80794385"/>
      <w:r>
        <w:rPr>
          <w:rStyle w:val="CharSectno"/>
        </w:rPr>
        <w:t>50</w:t>
      </w:r>
      <w:r>
        <w:rPr>
          <w:snapToGrid w:val="0"/>
        </w:rPr>
        <w:t>.</w:t>
      </w:r>
      <w:r>
        <w:rPr>
          <w:snapToGrid w:val="0"/>
        </w:rPr>
        <w:tab/>
        <w:t>Corroboration warnings not generally required</w:t>
      </w:r>
      <w:bookmarkEnd w:id="94"/>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lastRenderedPageBreak/>
        <w:tab/>
        <w:t>(b)</w:t>
      </w:r>
      <w:r>
        <w:rPr>
          <w:snapToGrid w:val="0"/>
        </w:rPr>
        <w:tab/>
        <w:t>the judge shall not give a corroboration warning to the jury unless the judge is satisfied that such a warning is justified in the circumstances.</w:t>
      </w:r>
    </w:p>
    <w:p>
      <w:pPr>
        <w:pStyle w:val="Footnotesection"/>
      </w:pPr>
      <w:r>
        <w:tab/>
        <w:t>[Section 50 inserted: No. 70 of 1988 s. 42; amended: No. 36 of 1992 s. 5.]</w:t>
      </w:r>
    </w:p>
    <w:p>
      <w:pPr>
        <w:pStyle w:val="Heading5"/>
      </w:pPr>
      <w:bookmarkStart w:id="95" w:name="_Toc80794386"/>
      <w:r>
        <w:rPr>
          <w:rStyle w:val="CharSectno"/>
        </w:rPr>
        <w:t>50A</w:t>
      </w:r>
      <w:r>
        <w:t>.</w:t>
      </w:r>
      <w:r>
        <w:tab/>
        <w:t>Transcripts, proof of</w:t>
      </w:r>
      <w:bookmarkEnd w:id="95"/>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No. 56 of 1998 s. 46.]</w:t>
      </w:r>
    </w:p>
    <w:p>
      <w:pPr>
        <w:pStyle w:val="Heading5"/>
      </w:pPr>
      <w:bookmarkStart w:id="96" w:name="_Toc80794387"/>
      <w:r>
        <w:rPr>
          <w:rStyle w:val="CharSectno"/>
        </w:rPr>
        <w:lastRenderedPageBreak/>
        <w:t>50B</w:t>
      </w:r>
      <w:r>
        <w:t>.</w:t>
      </w:r>
      <w:r>
        <w:tab/>
        <w:t>DNA evidentiary certificate</w:t>
      </w:r>
      <w:bookmarkEnd w:id="96"/>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lastRenderedPageBreak/>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lastRenderedPageBreak/>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No. 24 of 2004 s. 4.]</w:t>
      </w:r>
    </w:p>
    <w:p>
      <w:pPr>
        <w:pStyle w:val="MiscellaneousHeading"/>
        <w:spacing w:before="240"/>
        <w:rPr>
          <w:i/>
        </w:rPr>
      </w:pPr>
      <w:r>
        <w:rPr>
          <w:i/>
        </w:rPr>
        <w:t>Evidence of witnesses in prison</w:t>
      </w:r>
    </w:p>
    <w:p>
      <w:pPr>
        <w:pStyle w:val="Heading5"/>
        <w:spacing w:before="200"/>
        <w:rPr>
          <w:snapToGrid w:val="0"/>
        </w:rPr>
      </w:pPr>
      <w:bookmarkStart w:id="97" w:name="_Toc80794388"/>
      <w:r>
        <w:rPr>
          <w:rStyle w:val="CharSectno"/>
        </w:rPr>
        <w:t>51</w:t>
      </w:r>
      <w:r>
        <w:rPr>
          <w:snapToGrid w:val="0"/>
        </w:rPr>
        <w:t>.</w:t>
      </w:r>
      <w:r>
        <w:rPr>
          <w:snapToGrid w:val="0"/>
        </w:rPr>
        <w:tab/>
        <w:t>Prisoner required to give evidence may be brought up on order</w:t>
      </w:r>
      <w:bookmarkEnd w:id="97"/>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 No. 31 of 1993 s. 41; No. 20 of 2013 s. 62.]</w:t>
      </w:r>
    </w:p>
    <w:p>
      <w:pPr>
        <w:pStyle w:val="Heading5"/>
        <w:spacing w:before="260"/>
        <w:rPr>
          <w:snapToGrid w:val="0"/>
        </w:rPr>
      </w:pPr>
      <w:bookmarkStart w:id="98" w:name="_Toc80794389"/>
      <w:r>
        <w:rPr>
          <w:rStyle w:val="CharSectno"/>
        </w:rPr>
        <w:t>52</w:t>
      </w:r>
      <w:r>
        <w:rPr>
          <w:snapToGrid w:val="0"/>
        </w:rPr>
        <w:t>.</w:t>
      </w:r>
      <w:r>
        <w:rPr>
          <w:snapToGrid w:val="0"/>
        </w:rPr>
        <w:tab/>
        <w:t>Expense of bringing up prisoner</w:t>
      </w:r>
      <w:bookmarkEnd w:id="98"/>
    </w:p>
    <w:p>
      <w:pPr>
        <w:pStyle w:val="Subsection"/>
        <w:spacing w:before="180"/>
        <w:rPr>
          <w:snapToGrid w:val="0"/>
        </w:rPr>
      </w:pPr>
      <w:r>
        <w:rPr>
          <w:snapToGrid w:val="0"/>
        </w:rPr>
        <w:tab/>
      </w:r>
      <w:r>
        <w:rPr>
          <w:snapToGrid w:val="0"/>
        </w:rPr>
        <w:tab/>
        <w:t xml:space="preserve">In every civil proceeding the judge shall, and in every other proceeding he may, before making such order, require the applicant to deposit a sum sufficient to pay the expense of bringing up the prisoner, maintaining him while out of prison, </w:t>
      </w:r>
      <w:r>
        <w:rPr>
          <w:snapToGrid w:val="0"/>
        </w:rPr>
        <w:lastRenderedPageBreak/>
        <w:t>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99" w:name="_Toc80794390"/>
      <w:r>
        <w:rPr>
          <w:rStyle w:val="CharSectno"/>
        </w:rPr>
        <w:t>53</w:t>
      </w:r>
      <w:r>
        <w:rPr>
          <w:snapToGrid w:val="0"/>
        </w:rPr>
        <w:t>.</w:t>
      </w:r>
      <w:r>
        <w:rPr>
          <w:snapToGrid w:val="0"/>
        </w:rPr>
        <w:tab/>
        <w:t>Commonwealth and States etc., and their Acts to be judicially noticed</w:t>
      </w:r>
      <w:bookmarkEnd w:id="99"/>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paper </w:t>
      </w:r>
      <w:r>
        <w:t>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100" w:name="_Toc80794391"/>
      <w:r>
        <w:rPr>
          <w:rStyle w:val="CharSectno"/>
        </w:rPr>
        <w:t>54</w:t>
      </w:r>
      <w:r>
        <w:rPr>
          <w:snapToGrid w:val="0"/>
        </w:rPr>
        <w:t>.</w:t>
      </w:r>
      <w:r>
        <w:rPr>
          <w:snapToGrid w:val="0"/>
        </w:rPr>
        <w:tab/>
        <w:t>Seals of the Commonwealth and States to be judicially noticed</w:t>
      </w:r>
      <w:bookmarkEnd w:id="100"/>
    </w:p>
    <w:p>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w:t>
      </w:r>
      <w:r>
        <w:rPr>
          <w:snapToGrid w:val="0"/>
        </w:rPr>
        <w:lastRenderedPageBreak/>
        <w:t xml:space="preserve">been impressed </w:t>
      </w:r>
      <w:r>
        <w:t>or applied</w:t>
      </w:r>
      <w:r>
        <w:rPr>
          <w:snapToGrid w:val="0"/>
        </w:rPr>
        <w:t xml:space="preserve"> or any other evidence relating thereto.</w:t>
      </w:r>
    </w:p>
    <w:p>
      <w:pPr>
        <w:pStyle w:val="Footnotesection"/>
      </w:pPr>
      <w:r>
        <w:tab/>
        <w:t>[Section 54 amended: No. 20 of 2013 s. 63.]</w:t>
      </w:r>
    </w:p>
    <w:p>
      <w:pPr>
        <w:pStyle w:val="Heading5"/>
        <w:rPr>
          <w:snapToGrid w:val="0"/>
        </w:rPr>
      </w:pPr>
      <w:bookmarkStart w:id="101" w:name="_Toc80794392"/>
      <w:r>
        <w:rPr>
          <w:rStyle w:val="CharSectno"/>
        </w:rPr>
        <w:t>55</w:t>
      </w:r>
      <w:r>
        <w:rPr>
          <w:snapToGrid w:val="0"/>
        </w:rPr>
        <w:t>.</w:t>
      </w:r>
      <w:r>
        <w:rPr>
          <w:snapToGrid w:val="0"/>
        </w:rPr>
        <w:tab/>
        <w:t>Official seals to be judicially noticed</w:t>
      </w:r>
      <w:bookmarkEnd w:id="101"/>
    </w:p>
    <w:p>
      <w:pPr>
        <w:pStyle w:val="Subsection"/>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pPr>
        <w:pStyle w:val="Footnotesection"/>
      </w:pPr>
      <w:r>
        <w:tab/>
        <w:t>[Section 55 amended: No. 20 of 2013 s. 64.]</w:t>
      </w:r>
    </w:p>
    <w:p>
      <w:pPr>
        <w:pStyle w:val="Heading5"/>
        <w:rPr>
          <w:snapToGrid w:val="0"/>
        </w:rPr>
      </w:pPr>
      <w:bookmarkStart w:id="102" w:name="_Toc80794393"/>
      <w:r>
        <w:rPr>
          <w:rStyle w:val="CharSectno"/>
        </w:rPr>
        <w:t>56</w:t>
      </w:r>
      <w:r>
        <w:rPr>
          <w:snapToGrid w:val="0"/>
        </w:rPr>
        <w:t>.</w:t>
      </w:r>
      <w:r>
        <w:rPr>
          <w:snapToGrid w:val="0"/>
        </w:rPr>
        <w:tab/>
        <w:t>Certain signatures to be judicially noticed</w:t>
      </w:r>
      <w:bookmarkEnd w:id="102"/>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 xml:space="preserve">Deputy Commissioner of Titles or Assistant </w:t>
      </w:r>
      <w:r>
        <w:lastRenderedPageBreak/>
        <w:t>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pPr>
        <w:pStyle w:val="Footnotesection"/>
      </w:pPr>
      <w:r>
        <w:tab/>
        <w:t>[Section 56 amended: No. 16 of 1956 s. 4; No. 111 of 1978 s. 4; No. 67 of 1979 s. 50; No. 40 of 1998 s. 12(a); No. 6 of 2003 s. 85(1); No. 59 of 2004 s. 89; No. 20 of 2013 s. 65.]</w:t>
      </w:r>
    </w:p>
    <w:p>
      <w:pPr>
        <w:pStyle w:val="MiscellaneousHeading"/>
        <w:spacing w:before="240"/>
        <w:rPr>
          <w:i/>
        </w:rPr>
      </w:pPr>
      <w:r>
        <w:rPr>
          <w:i/>
        </w:rPr>
        <w:t>Proof of certain documents</w:t>
      </w:r>
    </w:p>
    <w:p>
      <w:pPr>
        <w:pStyle w:val="Heading5"/>
        <w:rPr>
          <w:snapToGrid w:val="0"/>
        </w:rPr>
      </w:pPr>
      <w:bookmarkStart w:id="103" w:name="_Toc80794394"/>
      <w:r>
        <w:rPr>
          <w:rStyle w:val="CharSectno"/>
        </w:rPr>
        <w:t>57</w:t>
      </w:r>
      <w:r>
        <w:rPr>
          <w:snapToGrid w:val="0"/>
        </w:rPr>
        <w:t>.</w:t>
      </w:r>
      <w:r>
        <w:rPr>
          <w:snapToGrid w:val="0"/>
        </w:rPr>
        <w:tab/>
        <w:t>United Kingdom proclamations, regulations etc., proof of</w:t>
      </w:r>
      <w:bookmarkEnd w:id="103"/>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w:t>
      </w:r>
      <w:r>
        <w:rPr>
          <w:snapToGrid w:val="0"/>
        </w:rPr>
        <w:lastRenderedPageBreak/>
        <w:t>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No. 16 of 1956 s. 5.]</w:t>
      </w:r>
    </w:p>
    <w:p>
      <w:pPr>
        <w:pStyle w:val="Heading5"/>
        <w:rPr>
          <w:snapToGrid w:val="0"/>
        </w:rPr>
      </w:pPr>
      <w:bookmarkStart w:id="104" w:name="_Toc80794395"/>
      <w:r>
        <w:rPr>
          <w:rStyle w:val="CharSectno"/>
        </w:rPr>
        <w:lastRenderedPageBreak/>
        <w:t>58</w:t>
      </w:r>
      <w:r>
        <w:rPr>
          <w:snapToGrid w:val="0"/>
        </w:rPr>
        <w:t>.</w:t>
      </w:r>
      <w:r>
        <w:rPr>
          <w:snapToGrid w:val="0"/>
        </w:rPr>
        <w:tab/>
        <w:t>Australasian proclamations, regulations etc., proof of</w:t>
      </w:r>
      <w:bookmarkEnd w:id="104"/>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lastRenderedPageBreak/>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rPr>
          <w:snapToGrid w:val="0"/>
        </w:rPr>
      </w:pPr>
      <w:bookmarkStart w:id="105" w:name="_Toc80794396"/>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05"/>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106" w:name="_Toc80794397"/>
      <w:r>
        <w:rPr>
          <w:rStyle w:val="CharSectno"/>
        </w:rPr>
        <w:t>60</w:t>
      </w:r>
      <w:r>
        <w:rPr>
          <w:snapToGrid w:val="0"/>
        </w:rPr>
        <w:t>.</w:t>
      </w:r>
      <w:r>
        <w:rPr>
          <w:snapToGrid w:val="0"/>
        </w:rPr>
        <w:tab/>
        <w:t>Australian States’ proclamations and acts of State, proof of</w:t>
      </w:r>
      <w:bookmarkEnd w:id="106"/>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107" w:name="_Toc80794398"/>
      <w:r>
        <w:rPr>
          <w:rStyle w:val="CharSectno"/>
        </w:rPr>
        <w:t>61</w:t>
      </w:r>
      <w:r>
        <w:rPr>
          <w:snapToGrid w:val="0"/>
        </w:rPr>
        <w:t>.</w:t>
      </w:r>
      <w:r>
        <w:rPr>
          <w:snapToGrid w:val="0"/>
        </w:rPr>
        <w:tab/>
        <w:t>WA proclamations, regulations etc., proof of</w:t>
      </w:r>
      <w:bookmarkEnd w:id="107"/>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w:t>
      </w:r>
      <w:r>
        <w:rPr>
          <w:snapToGrid w:val="0"/>
        </w:rPr>
        <w:lastRenderedPageBreak/>
        <w:t xml:space="preserve">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No. 28 of 2006 s. 35.]</w:t>
      </w:r>
    </w:p>
    <w:p>
      <w:pPr>
        <w:pStyle w:val="Heading5"/>
        <w:rPr>
          <w:snapToGrid w:val="0"/>
        </w:rPr>
      </w:pPr>
      <w:bookmarkStart w:id="108" w:name="_Toc80794399"/>
      <w:r>
        <w:rPr>
          <w:rStyle w:val="CharSectno"/>
        </w:rPr>
        <w:t>62</w:t>
      </w:r>
      <w:r>
        <w:rPr>
          <w:snapToGrid w:val="0"/>
        </w:rPr>
        <w:t>.</w:t>
      </w:r>
      <w:r>
        <w:rPr>
          <w:snapToGrid w:val="0"/>
        </w:rPr>
        <w:tab/>
        <w:t>Documents admissible in United Kingdom etc. to be admissible in WA</w:t>
      </w:r>
      <w:bookmarkEnd w:id="108"/>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109" w:name="_Toc80794400"/>
      <w:r>
        <w:rPr>
          <w:rStyle w:val="CharSectno"/>
        </w:rPr>
        <w:t>63</w:t>
      </w:r>
      <w:r>
        <w:rPr>
          <w:snapToGrid w:val="0"/>
        </w:rPr>
        <w:t>.</w:t>
      </w:r>
      <w:r>
        <w:rPr>
          <w:snapToGrid w:val="0"/>
        </w:rPr>
        <w:tab/>
        <w:t>Foreign States’ proclamations, acts of State etc., proof of</w:t>
      </w:r>
      <w:bookmarkEnd w:id="109"/>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keepNext w:val="0"/>
        <w:rPr>
          <w:snapToGrid w:val="0"/>
        </w:rPr>
      </w:pPr>
      <w:bookmarkStart w:id="110" w:name="_Toc80794401"/>
      <w:r>
        <w:rPr>
          <w:rStyle w:val="CharSectno"/>
        </w:rPr>
        <w:t>64</w:t>
      </w:r>
      <w:r>
        <w:rPr>
          <w:snapToGrid w:val="0"/>
        </w:rPr>
        <w:t>.</w:t>
      </w:r>
      <w:r>
        <w:rPr>
          <w:snapToGrid w:val="0"/>
        </w:rPr>
        <w:tab/>
        <w:t>Foreign States’ proclamations etc. admissible even if not sealed</w:t>
      </w:r>
      <w:bookmarkEnd w:id="110"/>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111" w:name="_Toc80794402"/>
      <w:r>
        <w:rPr>
          <w:rStyle w:val="CharSectno"/>
        </w:rPr>
        <w:lastRenderedPageBreak/>
        <w:t>65</w:t>
      </w:r>
      <w:r>
        <w:rPr>
          <w:snapToGrid w:val="0"/>
        </w:rPr>
        <w:t>.</w:t>
      </w:r>
      <w:r>
        <w:rPr>
          <w:snapToGrid w:val="0"/>
        </w:rPr>
        <w:tab/>
        <w:t>Copies of public documents admissible in some cases</w:t>
      </w:r>
      <w:bookmarkEnd w:id="111"/>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No. 113 of 1965 s. 4(1).]</w:t>
      </w:r>
    </w:p>
    <w:p>
      <w:pPr>
        <w:pStyle w:val="Heading5"/>
        <w:rPr>
          <w:snapToGrid w:val="0"/>
        </w:rPr>
      </w:pPr>
      <w:bookmarkStart w:id="112" w:name="_Toc80794403"/>
      <w:r>
        <w:rPr>
          <w:rStyle w:val="CharSectno"/>
        </w:rPr>
        <w:t>65A</w:t>
      </w:r>
      <w:r>
        <w:rPr>
          <w:snapToGrid w:val="0"/>
        </w:rPr>
        <w:t>.</w:t>
      </w:r>
      <w:r>
        <w:rPr>
          <w:snapToGrid w:val="0"/>
        </w:rPr>
        <w:tab/>
        <w:t>Certified photographs from library admissible</w:t>
      </w:r>
      <w:bookmarkEnd w:id="112"/>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No. 11 of 1964 s. 3.]</w:t>
      </w:r>
    </w:p>
    <w:p>
      <w:pPr>
        <w:pStyle w:val="Heading5"/>
        <w:spacing w:before="120"/>
        <w:rPr>
          <w:snapToGrid w:val="0"/>
        </w:rPr>
      </w:pPr>
      <w:bookmarkStart w:id="113" w:name="_Toc80794404"/>
      <w:r>
        <w:rPr>
          <w:rStyle w:val="CharSectno"/>
        </w:rPr>
        <w:lastRenderedPageBreak/>
        <w:t>66</w:t>
      </w:r>
      <w:r>
        <w:rPr>
          <w:snapToGrid w:val="0"/>
        </w:rPr>
        <w:t>.</w:t>
      </w:r>
      <w:r>
        <w:rPr>
          <w:snapToGrid w:val="0"/>
        </w:rPr>
        <w:tab/>
        <w:t>Parliamentary proceedings in Australasia, proof of</w:t>
      </w:r>
      <w:bookmarkEnd w:id="113"/>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114" w:name="_Toc80794405"/>
      <w:r>
        <w:rPr>
          <w:rStyle w:val="CharSectno"/>
        </w:rPr>
        <w:t>67</w:t>
      </w:r>
      <w:r>
        <w:rPr>
          <w:snapToGrid w:val="0"/>
        </w:rPr>
        <w:t>.</w:t>
      </w:r>
      <w:r>
        <w:rPr>
          <w:snapToGrid w:val="0"/>
        </w:rPr>
        <w:tab/>
        <w:t>Certain documents admissible without proof of signature, seal etc.</w:t>
      </w:r>
      <w:bookmarkEnd w:id="114"/>
    </w:p>
    <w:p>
      <w:pPr>
        <w:pStyle w:val="Subsection"/>
      </w:pPr>
      <w:r>
        <w:tab/>
        <w:t>(1)</w:t>
      </w:r>
      <w:r>
        <w:tab/>
        <w:t>In this section, a reference to a seal, stamp or signature includes an image of a seal, stamp or signature.</w:t>
      </w:r>
    </w:p>
    <w:p>
      <w:pPr>
        <w:pStyle w:val="Subsection"/>
        <w:rPr>
          <w:snapToGrid w:val="0"/>
        </w:rPr>
      </w:pPr>
      <w:r>
        <w:rPr>
          <w:snapToGrid w:val="0"/>
        </w:rPr>
        <w:tab/>
      </w:r>
      <w:r>
        <w:t>(2)</w:t>
      </w:r>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lastRenderedPageBreak/>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pPr>
      <w:r>
        <w:tab/>
        <w:t>[Section 67 amended: No. 20 of 2013 s. 66.]</w:t>
      </w:r>
    </w:p>
    <w:p>
      <w:pPr>
        <w:pStyle w:val="Heading5"/>
        <w:rPr>
          <w:snapToGrid w:val="0"/>
        </w:rPr>
      </w:pPr>
      <w:bookmarkStart w:id="115" w:name="_Toc80794406"/>
      <w:r>
        <w:rPr>
          <w:rStyle w:val="CharSectno"/>
        </w:rPr>
        <w:t>68</w:t>
      </w:r>
      <w:r>
        <w:rPr>
          <w:snapToGrid w:val="0"/>
        </w:rPr>
        <w:t>.</w:t>
      </w:r>
      <w:r>
        <w:rPr>
          <w:snapToGrid w:val="0"/>
        </w:rPr>
        <w:tab/>
        <w:t>Register of British vessels etc., proof of</w:t>
      </w:r>
      <w:bookmarkEnd w:id="115"/>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No. 113 of 1965 s. 4; No. 20 of 2013 s. 67.]</w:t>
      </w:r>
    </w:p>
    <w:p>
      <w:pPr>
        <w:pStyle w:val="Heading5"/>
        <w:rPr>
          <w:snapToGrid w:val="0"/>
        </w:rPr>
      </w:pPr>
      <w:bookmarkStart w:id="116" w:name="_Toc80794407"/>
      <w:r>
        <w:rPr>
          <w:rStyle w:val="CharSectno"/>
        </w:rPr>
        <w:t>69</w:t>
      </w:r>
      <w:r>
        <w:rPr>
          <w:snapToGrid w:val="0"/>
        </w:rPr>
        <w:t>.</w:t>
      </w:r>
      <w:r>
        <w:rPr>
          <w:snapToGrid w:val="0"/>
        </w:rPr>
        <w:tab/>
        <w:t>Newspaper proprietors, proof of register of</w:t>
      </w:r>
      <w:bookmarkEnd w:id="116"/>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vertAlign w:val="superscript"/>
        </w:rPr>
        <w:t xml:space="preserve"> 3</w:t>
      </w:r>
      <w:r>
        <w:rPr>
          <w:snapToGrid w:val="0"/>
        </w:rPr>
        <w:t xml:space="preserve">, purporting to be certified by the Registrar of the Supreme Court or his deputy for the time being, </w:t>
      </w:r>
      <w:r>
        <w:rPr>
          <w:snapToGrid w:val="0"/>
        </w:rPr>
        <w:lastRenderedPageBreak/>
        <w:t>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No. 74 of 2003 s. 142(2).]</w:t>
      </w:r>
    </w:p>
    <w:p>
      <w:pPr>
        <w:pStyle w:val="Heading5"/>
        <w:rPr>
          <w:snapToGrid w:val="0"/>
        </w:rPr>
      </w:pPr>
      <w:bookmarkStart w:id="117" w:name="_Toc80794408"/>
      <w:r>
        <w:rPr>
          <w:rStyle w:val="CharSectno"/>
        </w:rPr>
        <w:t>69A</w:t>
      </w:r>
      <w:r>
        <w:rPr>
          <w:snapToGrid w:val="0"/>
        </w:rPr>
        <w:t>.</w:t>
      </w:r>
      <w:r>
        <w:rPr>
          <w:snapToGrid w:val="0"/>
        </w:rPr>
        <w:tab/>
        <w:t>WA registers, proof of</w:t>
      </w:r>
      <w:bookmarkEnd w:id="117"/>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No. 16 of 1913 s. 4.]</w:t>
      </w:r>
    </w:p>
    <w:p>
      <w:pPr>
        <w:pStyle w:val="Heading5"/>
        <w:rPr>
          <w:snapToGrid w:val="0"/>
        </w:rPr>
      </w:pPr>
      <w:bookmarkStart w:id="118" w:name="_Toc80794409"/>
      <w:r>
        <w:rPr>
          <w:rStyle w:val="CharSectno"/>
        </w:rPr>
        <w:lastRenderedPageBreak/>
        <w:t>70</w:t>
      </w:r>
      <w:r>
        <w:rPr>
          <w:snapToGrid w:val="0"/>
        </w:rPr>
        <w:t>.</w:t>
      </w:r>
      <w:r>
        <w:rPr>
          <w:snapToGrid w:val="0"/>
        </w:rPr>
        <w:tab/>
        <w:t>Statutes etc. of any country, proof of</w:t>
      </w:r>
      <w:bookmarkEnd w:id="118"/>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119" w:name="_Toc80794410"/>
      <w:r>
        <w:rPr>
          <w:rStyle w:val="CharSectno"/>
        </w:rPr>
        <w:t>71</w:t>
      </w:r>
      <w:r>
        <w:rPr>
          <w:snapToGrid w:val="0"/>
        </w:rPr>
        <w:t>.</w:t>
      </w:r>
      <w:r>
        <w:rPr>
          <w:snapToGrid w:val="0"/>
        </w:rPr>
        <w:tab/>
        <w:t>Certain law reports and texts may be referred to as evidence of laws</w:t>
      </w:r>
      <w:bookmarkEnd w:id="119"/>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120" w:name="_Toc80794411"/>
      <w:r>
        <w:rPr>
          <w:rStyle w:val="CharSectno"/>
        </w:rPr>
        <w:t>72</w:t>
      </w:r>
      <w:r>
        <w:rPr>
          <w:snapToGrid w:val="0"/>
        </w:rPr>
        <w:t>.</w:t>
      </w:r>
      <w:r>
        <w:rPr>
          <w:snapToGrid w:val="0"/>
        </w:rPr>
        <w:tab/>
        <w:t>Authoritative texts on history, science etc., reference to</w:t>
      </w:r>
      <w:bookmarkEnd w:id="120"/>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121" w:name="_Toc80794412"/>
      <w:r>
        <w:rPr>
          <w:rStyle w:val="CharSectno"/>
        </w:rPr>
        <w:t>73</w:t>
      </w:r>
      <w:r>
        <w:rPr>
          <w:snapToGrid w:val="0"/>
        </w:rPr>
        <w:t>.</w:t>
      </w:r>
      <w:r>
        <w:rPr>
          <w:snapToGrid w:val="0"/>
        </w:rPr>
        <w:tab/>
        <w:t>Documents admitted into evidence may be impounded</w:t>
      </w:r>
      <w:bookmarkEnd w:id="121"/>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lastRenderedPageBreak/>
        <w:t>Reproduction of documents</w:t>
      </w:r>
    </w:p>
    <w:p>
      <w:pPr>
        <w:pStyle w:val="Footnoteheading"/>
        <w:keepNext/>
        <w:rPr>
          <w:snapToGrid w:val="0"/>
        </w:rPr>
      </w:pPr>
      <w:r>
        <w:rPr>
          <w:snapToGrid w:val="0"/>
        </w:rPr>
        <w:tab/>
        <w:t>[Heading inserted: No. 20 of 1966 s. 3.]</w:t>
      </w:r>
    </w:p>
    <w:p>
      <w:pPr>
        <w:pStyle w:val="Heading5"/>
        <w:spacing w:before="200"/>
      </w:pPr>
      <w:bookmarkStart w:id="122" w:name="_Toc80794413"/>
      <w:r>
        <w:rPr>
          <w:rStyle w:val="CharSectno"/>
        </w:rPr>
        <w:t>73A</w:t>
      </w:r>
      <w:r>
        <w:t>.</w:t>
      </w:r>
      <w:r>
        <w:tab/>
        <w:t>Reproductions admissible (best evidence rule modified)</w:t>
      </w:r>
      <w:bookmarkEnd w:id="122"/>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lastRenderedPageBreak/>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No. 71 of 2000 s. 10.]</w:t>
      </w:r>
    </w:p>
    <w:p>
      <w:pPr>
        <w:pStyle w:val="Heading5"/>
        <w:rPr>
          <w:snapToGrid w:val="0"/>
        </w:rPr>
      </w:pPr>
      <w:bookmarkStart w:id="123" w:name="_Toc80794414"/>
      <w:r>
        <w:rPr>
          <w:rStyle w:val="CharSectno"/>
        </w:rPr>
        <w:t>73B</w:t>
      </w:r>
      <w:r>
        <w:rPr>
          <w:snapToGrid w:val="0"/>
        </w:rPr>
        <w:t>.</w:t>
      </w:r>
      <w:r>
        <w:rPr>
          <w:snapToGrid w:val="0"/>
        </w:rPr>
        <w:tab/>
        <w:t>Certified reproductions of certain public documents etc., admissible without further proof</w:t>
      </w:r>
      <w:bookmarkEnd w:id="123"/>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 xml:space="preserve">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w:t>
      </w:r>
      <w:r>
        <w:rPr>
          <w:snapToGrid w:val="0"/>
        </w:rPr>
        <w:lastRenderedPageBreak/>
        <w:t>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No. 20 of 1966 s. 4; amended: No. 90 of 1975 s. 3; No. 67 of 1979 s. 51; No. 40 of 1998 s. 12(b); No. 20 of 2013 s. 68.]</w:t>
      </w:r>
    </w:p>
    <w:p>
      <w:pPr>
        <w:pStyle w:val="Heading5"/>
      </w:pPr>
      <w:bookmarkStart w:id="124" w:name="_Toc80794415"/>
      <w:r>
        <w:rPr>
          <w:rStyle w:val="CharSectno"/>
        </w:rPr>
        <w:t>73BA</w:t>
      </w:r>
      <w:r>
        <w:t>.</w:t>
      </w:r>
      <w:r>
        <w:tab/>
        <w:t>Authenticated copies of certain public documents etc. admissible without further proof</w:t>
      </w:r>
      <w:bookmarkEnd w:id="124"/>
    </w:p>
    <w:p>
      <w:pPr>
        <w:pStyle w:val="Subsection"/>
      </w:pPr>
      <w:r>
        <w:tab/>
        <w:t>(1)</w:t>
      </w:r>
      <w:r>
        <w:tab/>
        <w:t xml:space="preserve">In this section — </w:t>
      </w:r>
    </w:p>
    <w:p>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Subsection"/>
      </w:pPr>
      <w:r>
        <w:tab/>
        <w:t>(2)</w:t>
      </w:r>
      <w:r>
        <w:tab/>
        <w:t xml:space="preserve">This section applies to — </w:t>
      </w:r>
    </w:p>
    <w:p>
      <w:pPr>
        <w:pStyle w:val="Indenta"/>
      </w:pPr>
      <w:r>
        <w:tab/>
        <w:t>(a)</w:t>
      </w:r>
      <w:r>
        <w:tab/>
        <w:t>a document that is at any time filed in a court and is recorded in electronic form; and</w:t>
      </w:r>
    </w:p>
    <w:p>
      <w:pPr>
        <w:pStyle w:val="Indenta"/>
      </w:pPr>
      <w:r>
        <w:tab/>
        <w:t>(b)</w:t>
      </w:r>
      <w:r>
        <w:tab/>
        <w:t>the official record of any proceedings in a court, if the official record is kept in electronic form.</w:t>
      </w:r>
    </w:p>
    <w:p>
      <w:pPr>
        <w:pStyle w:val="Subsection"/>
      </w:pPr>
      <w:r>
        <w:tab/>
        <w:t>(3)</w:t>
      </w:r>
      <w:r>
        <w:tab/>
        <w:t xml:space="preserve">An authenticated copy of a document or official record to which this section applies is admissible in evidence without further </w:t>
      </w:r>
      <w:r>
        <w:lastRenderedPageBreak/>
        <w:t>proof as if it were the document or official record of which it is an authenticated copy.</w:t>
      </w:r>
    </w:p>
    <w:p>
      <w:pPr>
        <w:pStyle w:val="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Footnotesection"/>
      </w:pPr>
      <w:r>
        <w:tab/>
        <w:t>[Section 73BA inserted: No. 20 of 2013 s. 69.]</w:t>
      </w:r>
    </w:p>
    <w:p>
      <w:pPr>
        <w:pStyle w:val="Ednotesection"/>
        <w:spacing w:before="240"/>
      </w:pPr>
      <w:r>
        <w:t>[</w:t>
      </w:r>
      <w:r>
        <w:rPr>
          <w:b/>
        </w:rPr>
        <w:t>73C</w:t>
      </w:r>
      <w:r>
        <w:rPr>
          <w:b/>
        </w:rPr>
        <w:noBreakHyphen/>
        <w:t>73M.</w:t>
      </w:r>
      <w:r>
        <w:rPr>
          <w:b/>
        </w:rPr>
        <w:tab/>
      </w:r>
      <w:r>
        <w:t>Deleted: No. 71 of 2000 s. 11(a).]</w:t>
      </w:r>
    </w:p>
    <w:p>
      <w:pPr>
        <w:pStyle w:val="Heading5"/>
        <w:spacing w:before="240"/>
        <w:rPr>
          <w:snapToGrid w:val="0"/>
        </w:rPr>
      </w:pPr>
      <w:bookmarkStart w:id="125" w:name="_Toc80794416"/>
      <w:r>
        <w:rPr>
          <w:rStyle w:val="CharSectno"/>
        </w:rPr>
        <w:t>73N</w:t>
      </w:r>
      <w:r>
        <w:rPr>
          <w:snapToGrid w:val="0"/>
        </w:rPr>
        <w:t>.</w:t>
      </w:r>
      <w:r>
        <w:rPr>
          <w:snapToGrid w:val="0"/>
        </w:rPr>
        <w:tab/>
        <w:t>Reproductions of documents over 30 years old, presumptions as to</w:t>
      </w:r>
      <w:bookmarkEnd w:id="125"/>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No. 20 of 1966 s. 15; amended: No. 71 of 2000 s. 12.]</w:t>
      </w:r>
    </w:p>
    <w:p>
      <w:pPr>
        <w:pStyle w:val="Ednotesection"/>
        <w:spacing w:before="240"/>
      </w:pPr>
      <w:r>
        <w:t>[</w:t>
      </w:r>
      <w:r>
        <w:rPr>
          <w:b/>
        </w:rPr>
        <w:t>73P.</w:t>
      </w:r>
      <w:r>
        <w:rPr>
          <w:b/>
        </w:rPr>
        <w:tab/>
      </w:r>
      <w:r>
        <w:t>Deleted: No. 71 of 2000 s. 11(b).]</w:t>
      </w:r>
    </w:p>
    <w:p>
      <w:pPr>
        <w:pStyle w:val="Heading5"/>
        <w:spacing w:before="240"/>
        <w:rPr>
          <w:snapToGrid w:val="0"/>
        </w:rPr>
      </w:pPr>
      <w:bookmarkStart w:id="126" w:name="_Toc80794417"/>
      <w:r>
        <w:rPr>
          <w:rStyle w:val="CharSectno"/>
        </w:rPr>
        <w:t>73Q</w:t>
      </w:r>
      <w:r>
        <w:rPr>
          <w:snapToGrid w:val="0"/>
        </w:rPr>
        <w:t>.</w:t>
      </w:r>
      <w:r>
        <w:rPr>
          <w:snapToGrid w:val="0"/>
        </w:rPr>
        <w:tab/>
        <w:t>Reproduced official seals and signatures to be judicially noticed</w:t>
      </w:r>
      <w:bookmarkEnd w:id="126"/>
    </w:p>
    <w:p>
      <w:pPr>
        <w:pStyle w:val="Subsection"/>
        <w:rPr>
          <w:snapToGrid w:val="0"/>
        </w:rPr>
      </w:pPr>
      <w:r>
        <w:rPr>
          <w:snapToGrid w:val="0"/>
        </w:rPr>
        <w:tab/>
      </w:r>
      <w:r>
        <w:rPr>
          <w:snapToGrid w:val="0"/>
        </w:rPr>
        <w:tab/>
        <w:t xml:space="preserve">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w:t>
      </w:r>
      <w:r>
        <w:rPr>
          <w:snapToGrid w:val="0"/>
        </w:rPr>
        <w:lastRenderedPageBreak/>
        <w:t>extent as it or he would be required to take judicial notice of the seal or signature on the document.</w:t>
      </w:r>
    </w:p>
    <w:p>
      <w:pPr>
        <w:pStyle w:val="Footnotesection"/>
      </w:pPr>
      <w:r>
        <w:tab/>
        <w:t>[Section 73Q inserted: No. 20 of 1966 s. 17; amended: No. 71 of 2000 s. 13.]</w:t>
      </w:r>
    </w:p>
    <w:p>
      <w:pPr>
        <w:pStyle w:val="Ednotesection"/>
        <w:spacing w:before="240"/>
      </w:pPr>
      <w:r>
        <w:t>[</w:t>
      </w:r>
      <w:r>
        <w:rPr>
          <w:b/>
        </w:rPr>
        <w:t>73R</w:t>
      </w:r>
      <w:r>
        <w:rPr>
          <w:b/>
        </w:rPr>
        <w:noBreakHyphen/>
        <w:t xml:space="preserve">73T.  </w:t>
      </w:r>
      <w:r>
        <w:t>Deleted: No. 71 of 2000 s. 11(c).]</w:t>
      </w:r>
    </w:p>
    <w:p>
      <w:pPr>
        <w:pStyle w:val="Heading5"/>
        <w:spacing w:before="240"/>
        <w:rPr>
          <w:iCs/>
          <w:snapToGrid w:val="0"/>
        </w:rPr>
      </w:pPr>
      <w:bookmarkStart w:id="127" w:name="_Toc80794418"/>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127"/>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lastRenderedPageBreak/>
        <w:tab/>
      </w:r>
      <w:r>
        <w:rPr>
          <w:rStyle w:val="CharDefText"/>
        </w:rPr>
        <w:t>stamped</w:t>
      </w:r>
      <w:r>
        <w:t xml:space="preserve"> means stamped or endorsed to indicate duty under a duties Act.</w:t>
      </w:r>
    </w:p>
    <w:p>
      <w:pPr>
        <w:pStyle w:val="Footnotesection"/>
        <w:spacing w:before="100"/>
        <w:ind w:left="890" w:hanging="890"/>
      </w:pPr>
      <w:r>
        <w:tab/>
        <w:t>[Section 73U inserted: No. 20 of 1966 s. 21; amended: No. 41 of 1995 s. 9; No. 45 of 2002 s. 11; No. 12 of 2008 Sch. 1 cl. 8(2)-(4); No. 47 of 2011 s. 27.]</w:t>
      </w:r>
    </w:p>
    <w:p>
      <w:pPr>
        <w:pStyle w:val="Ednotesection"/>
        <w:spacing w:before="200"/>
        <w:ind w:left="890" w:hanging="890"/>
      </w:pPr>
      <w:r>
        <w:t>[</w:t>
      </w:r>
      <w:r>
        <w:rPr>
          <w:b/>
        </w:rPr>
        <w:t>73V.</w:t>
      </w:r>
      <w:r>
        <w:rPr>
          <w:b/>
        </w:rPr>
        <w:tab/>
      </w:r>
      <w:r>
        <w:t>Deleted: No. 71 of 2000 s. 11(d).]</w:t>
      </w:r>
    </w:p>
    <w:p>
      <w:pPr>
        <w:pStyle w:val="MiscellaneousHeading"/>
        <w:rPr>
          <w:i/>
        </w:rPr>
      </w:pPr>
      <w:r>
        <w:rPr>
          <w:i/>
        </w:rPr>
        <w:t>Proof of certain matters</w:t>
      </w:r>
    </w:p>
    <w:p>
      <w:pPr>
        <w:pStyle w:val="Heading5"/>
        <w:rPr>
          <w:snapToGrid w:val="0"/>
        </w:rPr>
      </w:pPr>
      <w:bookmarkStart w:id="128" w:name="_Toc80794419"/>
      <w:r>
        <w:rPr>
          <w:rStyle w:val="CharSectno"/>
        </w:rPr>
        <w:t>74</w:t>
      </w:r>
      <w:r>
        <w:rPr>
          <w:snapToGrid w:val="0"/>
        </w:rPr>
        <w:t>.</w:t>
      </w:r>
      <w:r>
        <w:rPr>
          <w:snapToGrid w:val="0"/>
        </w:rPr>
        <w:tab/>
        <w:t>Gazettes of certain places, proof of</w:t>
      </w:r>
      <w:bookmarkEnd w:id="128"/>
    </w:p>
    <w:p>
      <w:pPr>
        <w:pStyle w:val="Subsection"/>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129" w:name="_Toc80794420"/>
      <w:r>
        <w:rPr>
          <w:rStyle w:val="CharSectno"/>
        </w:rPr>
        <w:t>75</w:t>
      </w:r>
      <w:r>
        <w:rPr>
          <w:snapToGrid w:val="0"/>
        </w:rPr>
        <w:t>.</w:t>
      </w:r>
      <w:r>
        <w:rPr>
          <w:snapToGrid w:val="0"/>
        </w:rPr>
        <w:tab/>
        <w:t>Government Printers’ publications, proof of</w:t>
      </w:r>
      <w:bookmarkEnd w:id="129"/>
    </w:p>
    <w:p>
      <w:pPr>
        <w:pStyle w:val="Subsection"/>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130" w:name="_Toc80794421"/>
      <w:r>
        <w:rPr>
          <w:rStyle w:val="CharSectno"/>
        </w:rPr>
        <w:t>76</w:t>
      </w:r>
      <w:r>
        <w:rPr>
          <w:snapToGrid w:val="0"/>
        </w:rPr>
        <w:t>.</w:t>
      </w:r>
      <w:r>
        <w:rPr>
          <w:snapToGrid w:val="0"/>
        </w:rPr>
        <w:tab/>
        <w:t>Her Majesty’s Stationery Office publications, status of</w:t>
      </w:r>
      <w:bookmarkEnd w:id="130"/>
    </w:p>
    <w:p>
      <w:pPr>
        <w:pStyle w:val="Subsection"/>
        <w:rPr>
          <w:snapToGrid w:val="0"/>
        </w:rPr>
      </w:pPr>
      <w:r>
        <w:rPr>
          <w:snapToGrid w:val="0"/>
        </w:rPr>
        <w:tab/>
      </w:r>
      <w:r>
        <w:rPr>
          <w:snapToGrid w:val="0"/>
        </w:rPr>
        <w:tab/>
        <w:t xml:space="preserve">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w:t>
      </w:r>
      <w:r>
        <w:rPr>
          <w:snapToGrid w:val="0"/>
        </w:rPr>
        <w:lastRenderedPageBreak/>
        <w:t>to be printed under the superintendence or authority of Her Majesty’s Stationery Office.</w:t>
      </w:r>
    </w:p>
    <w:p>
      <w:pPr>
        <w:pStyle w:val="Heading5"/>
        <w:rPr>
          <w:snapToGrid w:val="0"/>
        </w:rPr>
      </w:pPr>
      <w:bookmarkStart w:id="131" w:name="_Toc80794422"/>
      <w:r>
        <w:rPr>
          <w:rStyle w:val="CharSectno"/>
        </w:rPr>
        <w:t>77</w:t>
      </w:r>
      <w:r>
        <w:rPr>
          <w:snapToGrid w:val="0"/>
        </w:rPr>
        <w:t>.</w:t>
      </w:r>
      <w:r>
        <w:rPr>
          <w:snapToGrid w:val="0"/>
        </w:rPr>
        <w:tab/>
        <w:t>Acts of governors and ministers of States, proof of</w:t>
      </w:r>
      <w:bookmarkEnd w:id="131"/>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32" w:name="_Toc80794423"/>
      <w:r>
        <w:rPr>
          <w:rStyle w:val="CharSectno"/>
        </w:rPr>
        <w:t>78</w:t>
      </w:r>
      <w:r>
        <w:rPr>
          <w:snapToGrid w:val="0"/>
        </w:rPr>
        <w:t>.</w:t>
      </w:r>
      <w:r>
        <w:rPr>
          <w:snapToGrid w:val="0"/>
        </w:rPr>
        <w:tab/>
        <w:t>Local laws, by</w:t>
      </w:r>
      <w:r>
        <w:rPr>
          <w:snapToGrid w:val="0"/>
        </w:rPr>
        <w:noBreakHyphen/>
        <w:t>laws and regulations, proof of</w:t>
      </w:r>
      <w:bookmarkEnd w:id="132"/>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spacing w:before="120"/>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spacing w:before="120"/>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No. 14 of 1996 s. 4.]</w:t>
      </w:r>
    </w:p>
    <w:p>
      <w:pPr>
        <w:pStyle w:val="Heading5"/>
        <w:rPr>
          <w:snapToGrid w:val="0"/>
        </w:rPr>
      </w:pPr>
      <w:bookmarkStart w:id="133" w:name="_Toc80794424"/>
      <w:r>
        <w:rPr>
          <w:rStyle w:val="CharSectno"/>
        </w:rPr>
        <w:t>79</w:t>
      </w:r>
      <w:r>
        <w:rPr>
          <w:snapToGrid w:val="0"/>
        </w:rPr>
        <w:t>.</w:t>
      </w:r>
      <w:r>
        <w:rPr>
          <w:snapToGrid w:val="0"/>
        </w:rPr>
        <w:tab/>
        <w:t>Incorporation of a company, proof of</w:t>
      </w:r>
      <w:bookmarkEnd w:id="133"/>
    </w:p>
    <w:p>
      <w:pPr>
        <w:pStyle w:val="Subsection"/>
        <w:keepNext/>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United </w:t>
      </w:r>
      <w:r>
        <w:t xml:space="preserve">Kingdom, </w:t>
      </w:r>
      <w:r>
        <w:rPr>
          <w:snapToGrid w:val="0"/>
        </w:rPr>
        <w:t xml:space="preserve">either before or after the </w:t>
      </w:r>
      <w:r>
        <w:rPr>
          <w:snapToGrid w:val="0"/>
        </w:rPr>
        <w:lastRenderedPageBreak/>
        <w:t>commencement of this Act, a certificate of the incorporation or registration thereof which purports to have been signed —</w:t>
      </w:r>
    </w:p>
    <w:p>
      <w:pPr>
        <w:pStyle w:val="Indenta"/>
        <w:spacing w:before="120"/>
        <w:rPr>
          <w:snapToGrid w:val="0"/>
        </w:rPr>
      </w:pPr>
      <w:r>
        <w:rPr>
          <w:snapToGrid w:val="0"/>
        </w:rPr>
        <w:tab/>
        <w:t>(a)</w:t>
      </w:r>
      <w:r>
        <w:rPr>
          <w:snapToGrid w:val="0"/>
        </w:rPr>
        <w:tab/>
        <w:t xml:space="preserve">by the registrar or an assistant or deputy registrar of companies in England, Scotland, or </w:t>
      </w:r>
      <w:r>
        <w:t>Ireland; or</w:t>
      </w:r>
    </w:p>
    <w:p>
      <w:pPr>
        <w:pStyle w:val="Indenta"/>
        <w:spacing w:before="120"/>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ind w:left="1610" w:hanging="1610"/>
        <w:rPr>
          <w:snapToGrid w:val="0"/>
        </w:rPr>
      </w:pPr>
      <w:r>
        <w:rPr>
          <w:snapToGrid w:val="0"/>
        </w:rPr>
        <w:tab/>
        <w:t>[(a)</w:t>
      </w:r>
      <w:r>
        <w:rPr>
          <w:snapToGrid w:val="0"/>
        </w:rPr>
        <w:tab/>
        <w:t>deleted]</w:t>
      </w:r>
    </w:p>
    <w:p>
      <w:pPr>
        <w:pStyle w:val="Indenta"/>
        <w:spacing w:before="120"/>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No. 10 of 1982 s. 28; No. 8 of 2009 s. 7.]</w:t>
      </w:r>
    </w:p>
    <w:p>
      <w:pPr>
        <w:pStyle w:val="Heading5"/>
        <w:rPr>
          <w:snapToGrid w:val="0"/>
        </w:rPr>
      </w:pPr>
      <w:bookmarkStart w:id="134" w:name="_Toc80794425"/>
      <w:r>
        <w:rPr>
          <w:rStyle w:val="CharSectno"/>
        </w:rPr>
        <w:lastRenderedPageBreak/>
        <w:t>79A</w:t>
      </w:r>
      <w:r>
        <w:rPr>
          <w:snapToGrid w:val="0"/>
        </w:rPr>
        <w:t>.</w:t>
      </w:r>
      <w:r>
        <w:rPr>
          <w:snapToGrid w:val="0"/>
        </w:rPr>
        <w:tab/>
        <w:t>Document requiring attestation, proof of</w:t>
      </w:r>
      <w:bookmarkEnd w:id="134"/>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No. 12 of 1962 s. 2.]</w:t>
      </w:r>
    </w:p>
    <w:p>
      <w:pPr>
        <w:pStyle w:val="Heading5"/>
        <w:rPr>
          <w:snapToGrid w:val="0"/>
        </w:rPr>
      </w:pPr>
      <w:bookmarkStart w:id="135" w:name="_Toc80794426"/>
      <w:r>
        <w:rPr>
          <w:rStyle w:val="CharSectno"/>
        </w:rPr>
        <w:t>79B</w:t>
      </w:r>
      <w:r>
        <w:rPr>
          <w:snapToGrid w:val="0"/>
        </w:rPr>
        <w:t>.</w:t>
      </w:r>
      <w:r>
        <w:rPr>
          <w:snapToGrid w:val="0"/>
        </w:rPr>
        <w:tab/>
        <w:t>Terms used</w:t>
      </w:r>
      <w:bookmarkEnd w:id="135"/>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lastRenderedPageBreak/>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No. 66 of 1987 s. 5; amended: No. 71 of 2000 s. 14.]</w:t>
      </w:r>
    </w:p>
    <w:p>
      <w:pPr>
        <w:pStyle w:val="Heading5"/>
        <w:rPr>
          <w:snapToGrid w:val="0"/>
        </w:rPr>
      </w:pPr>
      <w:bookmarkStart w:id="136" w:name="_Toc80794427"/>
      <w:r>
        <w:rPr>
          <w:rStyle w:val="CharSectno"/>
        </w:rPr>
        <w:t>79C</w:t>
      </w:r>
      <w:r>
        <w:rPr>
          <w:snapToGrid w:val="0"/>
        </w:rPr>
        <w:t>.</w:t>
      </w:r>
      <w:r>
        <w:rPr>
          <w:snapToGrid w:val="0"/>
        </w:rPr>
        <w:tab/>
        <w:t>Documentary evidence, admissibility of</w:t>
      </w:r>
      <w:bookmarkEnd w:id="136"/>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keepNext/>
        <w:rPr>
          <w:snapToGrid w:val="0"/>
        </w:rPr>
      </w:pPr>
      <w:r>
        <w:rPr>
          <w:snapToGrid w:val="0"/>
        </w:rPr>
        <w:tab/>
        <w:t>(2)</w:t>
      </w:r>
      <w:r>
        <w:rPr>
          <w:snapToGrid w:val="0"/>
        </w:rPr>
        <w:tab/>
        <w:t xml:space="preserve">Where a statement referred to in subsection (1) is made by a qualified person or reproduces or is derived from information in </w:t>
      </w:r>
      <w:r>
        <w:rPr>
          <w:snapToGrid w:val="0"/>
        </w:rPr>
        <w:lastRenderedPageBreak/>
        <w:t>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lastRenderedPageBreak/>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lastRenderedPageBreak/>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No. 66 of 1987 s. 5; amended: No. 71 of 2000 s. 15.]</w:t>
      </w:r>
    </w:p>
    <w:p>
      <w:pPr>
        <w:pStyle w:val="Heading5"/>
        <w:rPr>
          <w:snapToGrid w:val="0"/>
        </w:rPr>
      </w:pPr>
      <w:bookmarkStart w:id="137" w:name="_Toc80794428"/>
      <w:r>
        <w:rPr>
          <w:rStyle w:val="CharSectno"/>
        </w:rPr>
        <w:t>79D</w:t>
      </w:r>
      <w:r>
        <w:rPr>
          <w:snapToGrid w:val="0"/>
        </w:rPr>
        <w:t>.</w:t>
      </w:r>
      <w:r>
        <w:rPr>
          <w:snapToGrid w:val="0"/>
        </w:rPr>
        <w:tab/>
        <w:t>Evidence admitted under s. 79C, weight and effect of</w:t>
      </w:r>
      <w:bookmarkEnd w:id="137"/>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lastRenderedPageBreak/>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spacing w:before="100"/>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No. 66 of 1987 s. 5.]</w:t>
      </w:r>
    </w:p>
    <w:p>
      <w:pPr>
        <w:pStyle w:val="Heading5"/>
        <w:rPr>
          <w:snapToGrid w:val="0"/>
        </w:rPr>
      </w:pPr>
      <w:bookmarkStart w:id="138" w:name="_Toc80794429"/>
      <w:r>
        <w:rPr>
          <w:rStyle w:val="CharSectno"/>
        </w:rPr>
        <w:t>79E</w:t>
      </w:r>
      <w:r>
        <w:rPr>
          <w:snapToGrid w:val="0"/>
        </w:rPr>
        <w:t>.</w:t>
      </w:r>
      <w:r>
        <w:rPr>
          <w:snapToGrid w:val="0"/>
        </w:rPr>
        <w:tab/>
        <w:t>Qualified person, evidence as to credibility of</w:t>
      </w:r>
      <w:bookmarkEnd w:id="138"/>
    </w:p>
    <w:p>
      <w:pPr>
        <w:pStyle w:val="Subsection"/>
        <w:spacing w:before="100"/>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 xml:space="preserve">examination, evidence could </w:t>
      </w:r>
      <w:r>
        <w:rPr>
          <w:snapToGrid w:val="0"/>
        </w:rPr>
        <w:lastRenderedPageBreak/>
        <w:t>not have been adduced by the cross</w:t>
      </w:r>
      <w:r>
        <w:rPr>
          <w:snapToGrid w:val="0"/>
        </w:rPr>
        <w:noBreakHyphen/>
        <w:t>examining party; and</w:t>
      </w:r>
    </w:p>
    <w:p>
      <w:pPr>
        <w:pStyle w:val="Indenta"/>
        <w:keepNext/>
        <w:keepLines/>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No. 66 of 1987 s. 5.]</w:t>
      </w:r>
    </w:p>
    <w:p>
      <w:pPr>
        <w:pStyle w:val="Heading5"/>
        <w:rPr>
          <w:snapToGrid w:val="0"/>
        </w:rPr>
      </w:pPr>
      <w:bookmarkStart w:id="139" w:name="_Toc80794430"/>
      <w:r>
        <w:rPr>
          <w:rStyle w:val="CharSectno"/>
        </w:rPr>
        <w:t>79F</w:t>
      </w:r>
      <w:r>
        <w:rPr>
          <w:snapToGrid w:val="0"/>
        </w:rPr>
        <w:t>.</w:t>
      </w:r>
      <w:r>
        <w:rPr>
          <w:snapToGrid w:val="0"/>
        </w:rPr>
        <w:tab/>
        <w:t>Dispute as to happening of event</w:t>
      </w:r>
      <w:bookmarkEnd w:id="139"/>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No. 66 of 1987 s. 5.]</w:t>
      </w:r>
    </w:p>
    <w:p>
      <w:pPr>
        <w:pStyle w:val="Ednotesection"/>
        <w:rPr>
          <w:b/>
        </w:rPr>
      </w:pPr>
      <w:r>
        <w:t>[</w:t>
      </w:r>
      <w:r>
        <w:rPr>
          <w:b/>
        </w:rPr>
        <w:t>79G.</w:t>
      </w:r>
      <w:r>
        <w:rPr>
          <w:b/>
        </w:rPr>
        <w:tab/>
      </w:r>
      <w:r>
        <w:t>Deleted: No. 71 of 2000 s. 16.]</w:t>
      </w:r>
    </w:p>
    <w:p>
      <w:pPr>
        <w:pStyle w:val="MiscellaneousHeading"/>
        <w:spacing w:before="240"/>
        <w:rPr>
          <w:i/>
        </w:rPr>
      </w:pPr>
      <w:r>
        <w:rPr>
          <w:i/>
        </w:rPr>
        <w:lastRenderedPageBreak/>
        <w:t>Proof of judicial proceedings</w:t>
      </w:r>
    </w:p>
    <w:p>
      <w:pPr>
        <w:pStyle w:val="Heading5"/>
        <w:rPr>
          <w:snapToGrid w:val="0"/>
        </w:rPr>
      </w:pPr>
      <w:bookmarkStart w:id="140" w:name="_Toc80794431"/>
      <w:r>
        <w:rPr>
          <w:rStyle w:val="CharSectno"/>
        </w:rPr>
        <w:t>80</w:t>
      </w:r>
      <w:r>
        <w:rPr>
          <w:snapToGrid w:val="0"/>
        </w:rPr>
        <w:t>.</w:t>
      </w:r>
      <w:r>
        <w:rPr>
          <w:snapToGrid w:val="0"/>
        </w:rPr>
        <w:tab/>
        <w:t>Judgments, orders etc., proof of</w:t>
      </w:r>
      <w:bookmarkEnd w:id="140"/>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141" w:name="_Toc80794432"/>
      <w:r>
        <w:rPr>
          <w:rStyle w:val="CharSectno"/>
        </w:rPr>
        <w:t>81</w:t>
      </w:r>
      <w:r>
        <w:rPr>
          <w:snapToGrid w:val="0"/>
        </w:rPr>
        <w:t>.</w:t>
      </w:r>
      <w:r>
        <w:rPr>
          <w:snapToGrid w:val="0"/>
        </w:rPr>
        <w:tab/>
        <w:t>Documents properly authenticated to be given faith and credit</w:t>
      </w:r>
      <w:bookmarkEnd w:id="141"/>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Footnoteheading"/>
      </w:pPr>
      <w:r>
        <w:tab/>
        <w:t>[Heading deleted: No. 20 of 2013 s. 70(1).]</w:t>
      </w:r>
    </w:p>
    <w:p>
      <w:pPr>
        <w:pStyle w:val="Ednotesection"/>
      </w:pPr>
      <w:r>
        <w:t>[</w:t>
      </w:r>
      <w:r>
        <w:rPr>
          <w:b/>
        </w:rPr>
        <w:t>82</w:t>
      </w:r>
      <w:r>
        <w:rPr>
          <w:b/>
        </w:rPr>
        <w:noBreakHyphen/>
        <w:t>88.</w:t>
      </w:r>
      <w:r>
        <w:tab/>
        <w:t>Deleted: No. 20 of 2013 s. 70(2).]</w:t>
      </w:r>
    </w:p>
    <w:p>
      <w:pPr>
        <w:pStyle w:val="MiscellaneousHeading"/>
        <w:rPr>
          <w:i/>
        </w:rPr>
      </w:pPr>
      <w:r>
        <w:rPr>
          <w:i/>
        </w:rPr>
        <w:lastRenderedPageBreak/>
        <w:t>Bankers’ books</w:t>
      </w:r>
    </w:p>
    <w:p>
      <w:pPr>
        <w:pStyle w:val="Heading5"/>
        <w:rPr>
          <w:snapToGrid w:val="0"/>
        </w:rPr>
      </w:pPr>
      <w:bookmarkStart w:id="142" w:name="_Toc80794433"/>
      <w:r>
        <w:rPr>
          <w:rStyle w:val="CharSectno"/>
        </w:rPr>
        <w:t>89</w:t>
      </w:r>
      <w:r>
        <w:rPr>
          <w:snapToGrid w:val="0"/>
        </w:rPr>
        <w:t>.</w:t>
      </w:r>
      <w:r>
        <w:rPr>
          <w:snapToGrid w:val="0"/>
        </w:rPr>
        <w:tab/>
        <w:t>Banker’s book entries are evidence of transactions etc.</w:t>
      </w:r>
      <w:bookmarkEnd w:id="142"/>
    </w:p>
    <w:p>
      <w:pPr>
        <w:pStyle w:val="Subsection"/>
        <w:keepNext/>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No. 66 of 1987 s. 6.]</w:t>
      </w:r>
    </w:p>
    <w:p>
      <w:pPr>
        <w:pStyle w:val="Heading5"/>
        <w:rPr>
          <w:snapToGrid w:val="0"/>
        </w:rPr>
      </w:pPr>
      <w:bookmarkStart w:id="143" w:name="_Toc80794434"/>
      <w:r>
        <w:rPr>
          <w:snapToGrid w:val="0"/>
        </w:rPr>
        <w:t>90.</w:t>
      </w:r>
      <w:r>
        <w:rPr>
          <w:snapToGrid w:val="0"/>
        </w:rPr>
        <w:tab/>
        <w:t>Banker’s books, proof of</w:t>
      </w:r>
      <w:bookmarkEnd w:id="143"/>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No. 66 of 1987 s. 7.]</w:t>
      </w:r>
    </w:p>
    <w:p>
      <w:pPr>
        <w:pStyle w:val="Heading5"/>
        <w:rPr>
          <w:snapToGrid w:val="0"/>
        </w:rPr>
      </w:pPr>
      <w:bookmarkStart w:id="144" w:name="_Toc80794435"/>
      <w:r>
        <w:rPr>
          <w:rStyle w:val="CharSectno"/>
        </w:rPr>
        <w:t>91</w:t>
      </w:r>
      <w:r>
        <w:rPr>
          <w:snapToGrid w:val="0"/>
        </w:rPr>
        <w:t>.</w:t>
      </w:r>
      <w:r>
        <w:rPr>
          <w:snapToGrid w:val="0"/>
        </w:rPr>
        <w:tab/>
        <w:t>Banker’s books, copies to be certified</w:t>
      </w:r>
      <w:bookmarkEnd w:id="144"/>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No. 66 of 1987 s. 8.]</w:t>
      </w:r>
    </w:p>
    <w:p>
      <w:pPr>
        <w:pStyle w:val="Heading5"/>
        <w:keepNext w:val="0"/>
        <w:keepLines w:val="0"/>
        <w:rPr>
          <w:snapToGrid w:val="0"/>
        </w:rPr>
      </w:pPr>
      <w:bookmarkStart w:id="145" w:name="_Toc80794436"/>
      <w:r>
        <w:rPr>
          <w:rStyle w:val="CharSectno"/>
        </w:rPr>
        <w:t>92</w:t>
      </w:r>
      <w:r>
        <w:rPr>
          <w:snapToGrid w:val="0"/>
        </w:rPr>
        <w:t>.</w:t>
      </w:r>
      <w:r>
        <w:rPr>
          <w:snapToGrid w:val="0"/>
        </w:rPr>
        <w:tab/>
        <w:t>Bank accounts, bank officer may give evidence about</w:t>
      </w:r>
      <w:bookmarkEnd w:id="145"/>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lastRenderedPageBreak/>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No. 10 of 1960 s. 3.]</w:t>
      </w:r>
    </w:p>
    <w:p>
      <w:pPr>
        <w:pStyle w:val="Heading5"/>
      </w:pPr>
      <w:bookmarkStart w:id="146" w:name="_Toc80794437"/>
      <w:r>
        <w:rPr>
          <w:rStyle w:val="CharSectno"/>
        </w:rPr>
        <w:t>92A</w:t>
      </w:r>
      <w:r>
        <w:rPr>
          <w:snapToGrid w:val="0"/>
        </w:rPr>
        <w:t>.</w:t>
      </w:r>
      <w:r>
        <w:rPr>
          <w:snapToGrid w:val="0"/>
        </w:rPr>
        <w:tab/>
        <w:t>Australian and foreign banks, application to of s. 89 to 92</w:t>
      </w:r>
      <w:bookmarkEnd w:id="146"/>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No. 71 of 2000 s. 17.]</w:t>
      </w:r>
    </w:p>
    <w:p>
      <w:pPr>
        <w:pStyle w:val="Heading5"/>
        <w:rPr>
          <w:snapToGrid w:val="0"/>
        </w:rPr>
      </w:pPr>
      <w:bookmarkStart w:id="147" w:name="_Toc80794438"/>
      <w:r>
        <w:rPr>
          <w:rStyle w:val="CharSectno"/>
        </w:rPr>
        <w:t>93</w:t>
      </w:r>
      <w:r>
        <w:rPr>
          <w:snapToGrid w:val="0"/>
        </w:rPr>
        <w:t>.</w:t>
      </w:r>
      <w:r>
        <w:rPr>
          <w:snapToGrid w:val="0"/>
        </w:rPr>
        <w:tab/>
        <w:t>Bank officers not compellable in some cases</w:t>
      </w:r>
      <w:bookmarkEnd w:id="147"/>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No. 26 of 1999 s. 78(3).]</w:t>
      </w:r>
    </w:p>
    <w:p>
      <w:pPr>
        <w:pStyle w:val="Heading5"/>
        <w:rPr>
          <w:snapToGrid w:val="0"/>
        </w:rPr>
      </w:pPr>
      <w:bookmarkStart w:id="148" w:name="_Toc80794439"/>
      <w:r>
        <w:rPr>
          <w:rStyle w:val="CharSectno"/>
        </w:rPr>
        <w:t>94</w:t>
      </w:r>
      <w:r>
        <w:rPr>
          <w:snapToGrid w:val="0"/>
        </w:rPr>
        <w:t>.</w:t>
      </w:r>
      <w:r>
        <w:rPr>
          <w:snapToGrid w:val="0"/>
        </w:rPr>
        <w:tab/>
        <w:t>Banker’s books, Supreme Court may order inspection of</w:t>
      </w:r>
      <w:bookmarkEnd w:id="148"/>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 xml:space="preserve">An order under this section may be made either with or without summoning the bank or any other party, and shall be served on the bank by delivering a copy of the order to an officer of such </w:t>
      </w:r>
      <w:r>
        <w:rPr>
          <w:snapToGrid w:val="0"/>
        </w:rPr>
        <w:lastRenderedPageBreak/>
        <w:t>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49" w:name="_Toc80794440"/>
      <w:r>
        <w:rPr>
          <w:rStyle w:val="CharSectno"/>
        </w:rPr>
        <w:t>95</w:t>
      </w:r>
      <w:r>
        <w:rPr>
          <w:snapToGrid w:val="0"/>
        </w:rPr>
        <w:t>.</w:t>
      </w:r>
      <w:r>
        <w:rPr>
          <w:snapToGrid w:val="0"/>
        </w:rPr>
        <w:tab/>
        <w:t>Costs under s. 93 and 94</w:t>
      </w:r>
      <w:bookmarkEnd w:id="149"/>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150" w:name="_Toc80794441"/>
      <w:r>
        <w:rPr>
          <w:rStyle w:val="CharSectno"/>
        </w:rPr>
        <w:t>96</w:t>
      </w:r>
      <w:r>
        <w:t>.</w:t>
      </w:r>
      <w:r>
        <w:tab/>
        <w:t>Supreme Court judge’s powers may be exercised by other judicial officers</w:t>
      </w:r>
      <w:bookmarkEnd w:id="150"/>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spacing w:before="80"/>
        <w:ind w:left="890" w:hanging="890"/>
      </w:pPr>
      <w:r>
        <w:tab/>
        <w:t>[Section 96 inserted: No. 59 of 2004 s. 88.]</w:t>
      </w:r>
    </w:p>
    <w:p>
      <w:pPr>
        <w:pStyle w:val="MiscellaneousHeading"/>
        <w:spacing w:before="240"/>
        <w:rPr>
          <w:i/>
        </w:rPr>
      </w:pPr>
      <w:r>
        <w:rPr>
          <w:i/>
        </w:rPr>
        <w:lastRenderedPageBreak/>
        <w:t>Mode of taking evidence</w:t>
      </w:r>
    </w:p>
    <w:p>
      <w:pPr>
        <w:pStyle w:val="Heading5"/>
        <w:rPr>
          <w:snapToGrid w:val="0"/>
        </w:rPr>
      </w:pPr>
      <w:bookmarkStart w:id="151" w:name="_Toc80794442"/>
      <w:r>
        <w:rPr>
          <w:rStyle w:val="CharSectno"/>
        </w:rPr>
        <w:t>97</w:t>
      </w:r>
      <w:r>
        <w:rPr>
          <w:snapToGrid w:val="0"/>
        </w:rPr>
        <w:t>.</w:t>
      </w:r>
      <w:r>
        <w:rPr>
          <w:snapToGrid w:val="0"/>
        </w:rPr>
        <w:tab/>
        <w:t>Evidence to be on oath except in some cases</w:t>
      </w:r>
      <w:bookmarkEnd w:id="151"/>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No. 142 of 1976 s. 2; amended: No. 24 of 2005 s. 44.]</w:t>
      </w:r>
    </w:p>
    <w:p>
      <w:pPr>
        <w:pStyle w:val="Ednotesection"/>
      </w:pPr>
      <w:r>
        <w:t>[</w:t>
      </w:r>
      <w:r>
        <w:rPr>
          <w:b/>
          <w:bCs/>
        </w:rPr>
        <w:t>98-100.</w:t>
      </w:r>
      <w:r>
        <w:tab/>
        <w:t>Deleted: No. 24 of 2005 s. 45.]</w:t>
      </w:r>
    </w:p>
    <w:p>
      <w:pPr>
        <w:pStyle w:val="Heading5"/>
        <w:rPr>
          <w:snapToGrid w:val="0"/>
        </w:rPr>
      </w:pPr>
      <w:bookmarkStart w:id="152" w:name="_Toc80794443"/>
      <w:r>
        <w:rPr>
          <w:rStyle w:val="CharSectno"/>
        </w:rPr>
        <w:lastRenderedPageBreak/>
        <w:t>100A</w:t>
      </w:r>
      <w:r>
        <w:rPr>
          <w:snapToGrid w:val="0"/>
        </w:rPr>
        <w:t>.</w:t>
      </w:r>
      <w:r>
        <w:rPr>
          <w:snapToGrid w:val="0"/>
        </w:rPr>
        <w:tab/>
        <w:t>Oath may be dispensed with in some cases</w:t>
      </w:r>
      <w:bookmarkEnd w:id="152"/>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lastRenderedPageBreak/>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No. 142 of 1976 s. 4; amended: No. 36 of 1992 s. 6; No. 70 of 2004 s. 82; No. 84 of 2004 s. 80; No. 24 of 2005 s. 46; No. 2 of 2008 s. 43.]</w:t>
      </w:r>
    </w:p>
    <w:p>
      <w:pPr>
        <w:pStyle w:val="Ednotesection"/>
        <w:spacing w:before="180"/>
        <w:ind w:left="890" w:hanging="890"/>
      </w:pPr>
      <w:r>
        <w:t>[</w:t>
      </w:r>
      <w:r>
        <w:rPr>
          <w:b/>
        </w:rPr>
        <w:t>101.</w:t>
      </w:r>
      <w:r>
        <w:tab/>
        <w:t>Deleted: No. 36 of 1992 s. 7.]</w:t>
      </w:r>
    </w:p>
    <w:p>
      <w:pPr>
        <w:pStyle w:val="Heading5"/>
        <w:spacing w:before="180"/>
        <w:rPr>
          <w:snapToGrid w:val="0"/>
        </w:rPr>
      </w:pPr>
      <w:bookmarkStart w:id="153" w:name="_Toc80794444"/>
      <w:r>
        <w:rPr>
          <w:rStyle w:val="CharSectno"/>
        </w:rPr>
        <w:t>102</w:t>
      </w:r>
      <w:r>
        <w:rPr>
          <w:snapToGrid w:val="0"/>
        </w:rPr>
        <w:t>.</w:t>
      </w:r>
      <w:r>
        <w:rPr>
          <w:snapToGrid w:val="0"/>
        </w:rPr>
        <w:tab/>
        <w:t>Interpreters, oaths etc. for</w:t>
      </w:r>
      <w:bookmarkEnd w:id="153"/>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No. 142 of 1976 s. 6; amended: No. 24 of 2005 s. 47.]</w:t>
      </w:r>
    </w:p>
    <w:p>
      <w:pPr>
        <w:pStyle w:val="Heading5"/>
        <w:rPr>
          <w:snapToGrid w:val="0"/>
        </w:rPr>
      </w:pPr>
      <w:bookmarkStart w:id="154" w:name="_Toc80794445"/>
      <w:r>
        <w:rPr>
          <w:rStyle w:val="CharSectno"/>
        </w:rPr>
        <w:lastRenderedPageBreak/>
        <w:t>103</w:t>
      </w:r>
      <w:r>
        <w:rPr>
          <w:snapToGrid w:val="0"/>
        </w:rPr>
        <w:t>.</w:t>
      </w:r>
      <w:r>
        <w:rPr>
          <w:snapToGrid w:val="0"/>
        </w:rPr>
        <w:tab/>
        <w:t>Interpreters, oath etc. may be dispensed with</w:t>
      </w:r>
      <w:bookmarkEnd w:id="154"/>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No. 142 of 1976 s. 7; amended: No. 70 of 2004 s. 82; No. 24 of 2005 s. 48.]</w:t>
      </w:r>
    </w:p>
    <w:p>
      <w:pPr>
        <w:pStyle w:val="Ednotesection"/>
        <w:spacing w:before="180"/>
      </w:pPr>
      <w:r>
        <w:t>[</w:t>
      </w:r>
      <w:r>
        <w:rPr>
          <w:b/>
          <w:bCs/>
        </w:rPr>
        <w:t>104.</w:t>
      </w:r>
      <w:r>
        <w:tab/>
        <w:t>Deleted: No. 24 of 2005 s. 49.]</w:t>
      </w:r>
    </w:p>
    <w:p>
      <w:pPr>
        <w:pStyle w:val="Heading5"/>
        <w:spacing w:before="180"/>
        <w:rPr>
          <w:snapToGrid w:val="0"/>
        </w:rPr>
      </w:pPr>
      <w:bookmarkStart w:id="155" w:name="_Toc80794446"/>
      <w:r>
        <w:rPr>
          <w:rStyle w:val="CharSectno"/>
        </w:rPr>
        <w:t>104A</w:t>
      </w:r>
      <w:r>
        <w:rPr>
          <w:snapToGrid w:val="0"/>
        </w:rPr>
        <w:t>.</w:t>
      </w:r>
      <w:r>
        <w:rPr>
          <w:snapToGrid w:val="0"/>
        </w:rPr>
        <w:tab/>
        <w:t>Person appointed by foreign court etc. may take or receive evidence and administer oath</w:t>
      </w:r>
      <w:bookmarkEnd w:id="155"/>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lastRenderedPageBreak/>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No. 23 of 1967 s. 2.]</w:t>
      </w:r>
    </w:p>
    <w:p>
      <w:pPr>
        <w:pStyle w:val="Heading5"/>
      </w:pPr>
      <w:bookmarkStart w:id="156" w:name="_Toc80794447"/>
      <w:r>
        <w:rPr>
          <w:rStyle w:val="CharSectno"/>
        </w:rPr>
        <w:t>105</w:t>
      </w:r>
      <w:r>
        <w:t>.</w:t>
      </w:r>
      <w:r>
        <w:tab/>
      </w:r>
      <w:r>
        <w:rPr>
          <w:i/>
        </w:rPr>
        <w:t>Oaths, Affidavits and Statutory Declarations Act 2005</w:t>
      </w:r>
      <w:r>
        <w:t>, application of</w:t>
      </w:r>
      <w:bookmarkEnd w:id="156"/>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No. 36 of 1992 s. 8.]</w:t>
      </w:r>
    </w:p>
    <w:p>
      <w:pPr>
        <w:pStyle w:val="Ednotesection"/>
      </w:pPr>
      <w:r>
        <w:t>[</w:t>
      </w:r>
      <w:r>
        <w:rPr>
          <w:b/>
          <w:bCs/>
        </w:rPr>
        <w:t>106.</w:t>
      </w:r>
      <w:r>
        <w:tab/>
        <w:t>Deleted: No. 24 of 2005 s. 51.]</w:t>
      </w:r>
    </w:p>
    <w:p>
      <w:pPr>
        <w:pStyle w:val="Heading5"/>
        <w:keepNext w:val="0"/>
        <w:keepLines w:val="0"/>
        <w:rPr>
          <w:snapToGrid w:val="0"/>
        </w:rPr>
      </w:pPr>
      <w:bookmarkStart w:id="157" w:name="_Toc80794448"/>
      <w:r>
        <w:rPr>
          <w:rStyle w:val="CharSectno"/>
        </w:rPr>
        <w:t>106A</w:t>
      </w:r>
      <w:r>
        <w:rPr>
          <w:snapToGrid w:val="0"/>
        </w:rPr>
        <w:t>.</w:t>
      </w:r>
      <w:r>
        <w:rPr>
          <w:snapToGrid w:val="0"/>
        </w:rPr>
        <w:tab/>
        <w:t>Terms used</w:t>
      </w:r>
      <w:bookmarkEnd w:id="157"/>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lastRenderedPageBreak/>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 person dealt with under the </w:t>
      </w:r>
      <w:r>
        <w:rPr>
          <w:i/>
        </w:rPr>
        <w:t>Children’s Court of Western Australia Act 1988</w:t>
      </w:r>
      <w:r>
        <w:t xml:space="preserve"> section 19(2), (2AA) or (2AB);</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lastRenderedPageBreak/>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lastRenderedPageBreak/>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No. 36 of 1992 s. 8; amended: No. 53 of 1992 s. 37; No. 57 of 1997 s. 57; No. 71 of 2000 s. 18 and 29; No. 27 of 2002 s. 32; No. 34 of 2004 s. 251 (as amended: No. 84 of 2004 s. 85(4)); No. 46 of 2004 s. 14(1), (2) and 22(2); No. 84 of 2004 s. 41 and 85(4); No. 2 of 2008 s. 44; No. 49 of 2012 s. 177(2); No. 47 of 2020 s. 9.]</w:t>
      </w:r>
    </w:p>
    <w:p>
      <w:pPr>
        <w:pStyle w:val="Heading5"/>
        <w:rPr>
          <w:snapToGrid w:val="0"/>
        </w:rPr>
      </w:pPr>
      <w:bookmarkStart w:id="158" w:name="_Toc80794449"/>
      <w:r>
        <w:rPr>
          <w:rStyle w:val="CharSectno"/>
        </w:rPr>
        <w:t>106B</w:t>
      </w:r>
      <w:r>
        <w:rPr>
          <w:snapToGrid w:val="0"/>
        </w:rPr>
        <w:t>.</w:t>
      </w:r>
      <w:r>
        <w:rPr>
          <w:snapToGrid w:val="0"/>
        </w:rPr>
        <w:tab/>
        <w:t>Children under 12 may give sworn evidence</w:t>
      </w:r>
      <w:bookmarkEnd w:id="158"/>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No. 36 of 1992 s. 8; amended: No. 46 of 2004 s. 15; No. 24 of 2005 s. 52; No. 2 of 2008 s. 45.]</w:t>
      </w:r>
    </w:p>
    <w:p>
      <w:pPr>
        <w:pStyle w:val="Heading5"/>
        <w:spacing w:before="240"/>
      </w:pPr>
      <w:bookmarkStart w:id="159" w:name="_Toc80794450"/>
      <w:r>
        <w:rPr>
          <w:rStyle w:val="CharSectno"/>
        </w:rPr>
        <w:lastRenderedPageBreak/>
        <w:t>106C</w:t>
      </w:r>
      <w:r>
        <w:t>.</w:t>
      </w:r>
      <w:r>
        <w:tab/>
        <w:t>Child under 12 and mentally impaired witness may give unsworn evidence</w:t>
      </w:r>
      <w:bookmarkEnd w:id="159"/>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No. 2 of 2008 s. 46.]</w:t>
      </w:r>
    </w:p>
    <w:p>
      <w:pPr>
        <w:pStyle w:val="Heading5"/>
        <w:spacing w:before="240"/>
        <w:rPr>
          <w:snapToGrid w:val="0"/>
        </w:rPr>
      </w:pPr>
      <w:bookmarkStart w:id="160" w:name="_Toc80794451"/>
      <w:r>
        <w:rPr>
          <w:rStyle w:val="CharSectno"/>
        </w:rPr>
        <w:t>106D</w:t>
      </w:r>
      <w:r>
        <w:rPr>
          <w:snapToGrid w:val="0"/>
        </w:rPr>
        <w:t>.</w:t>
      </w:r>
      <w:r>
        <w:rPr>
          <w:snapToGrid w:val="0"/>
        </w:rPr>
        <w:tab/>
        <w:t>Corroboration warning on evidence of child not to be given</w:t>
      </w:r>
      <w:bookmarkEnd w:id="160"/>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No. 36 of 1992 s. 8.]</w:t>
      </w:r>
    </w:p>
    <w:p>
      <w:pPr>
        <w:pStyle w:val="Heading5"/>
        <w:rPr>
          <w:snapToGrid w:val="0"/>
        </w:rPr>
      </w:pPr>
      <w:bookmarkStart w:id="161" w:name="_Toc80794452"/>
      <w:r>
        <w:rPr>
          <w:rStyle w:val="CharSectno"/>
        </w:rPr>
        <w:t>106E</w:t>
      </w:r>
      <w:r>
        <w:rPr>
          <w:snapToGrid w:val="0"/>
        </w:rPr>
        <w:t>.</w:t>
      </w:r>
      <w:r>
        <w:rPr>
          <w:snapToGrid w:val="0"/>
        </w:rPr>
        <w:tab/>
        <w:t>Child witness entitled to support</w:t>
      </w:r>
      <w:bookmarkEnd w:id="161"/>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No. 36 of 1992 s. 8; amended: No. 46 of 2004 s. 16.]</w:t>
      </w:r>
    </w:p>
    <w:p>
      <w:pPr>
        <w:pStyle w:val="Heading5"/>
        <w:rPr>
          <w:snapToGrid w:val="0"/>
        </w:rPr>
      </w:pPr>
      <w:bookmarkStart w:id="162" w:name="_Toc80794453"/>
      <w:r>
        <w:rPr>
          <w:rStyle w:val="CharSectno"/>
        </w:rPr>
        <w:t>106F</w:t>
      </w:r>
      <w:r>
        <w:rPr>
          <w:snapToGrid w:val="0"/>
        </w:rPr>
        <w:t>.</w:t>
      </w:r>
      <w:r>
        <w:rPr>
          <w:snapToGrid w:val="0"/>
        </w:rPr>
        <w:tab/>
        <w:t>Child witness may be given assistance</w:t>
      </w:r>
      <w:bookmarkEnd w:id="162"/>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lastRenderedPageBreak/>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No. 36 of 1992 s. 8; amended: No. 4 of 2004 s. 58; No. 46 of 2004 s. 17; No. 2 of 2008 s. 47.]</w:t>
      </w:r>
    </w:p>
    <w:p>
      <w:pPr>
        <w:pStyle w:val="Heading5"/>
        <w:spacing w:before="240"/>
        <w:rPr>
          <w:snapToGrid w:val="0"/>
        </w:rPr>
      </w:pPr>
      <w:bookmarkStart w:id="163" w:name="_Toc80794454"/>
      <w:r>
        <w:rPr>
          <w:rStyle w:val="CharSectno"/>
        </w:rPr>
        <w:t>106G</w:t>
      </w:r>
      <w:r>
        <w:rPr>
          <w:snapToGrid w:val="0"/>
        </w:rPr>
        <w:t>.</w:t>
      </w:r>
      <w:r>
        <w:rPr>
          <w:snapToGrid w:val="0"/>
        </w:rPr>
        <w:tab/>
        <w:t>Cross</w:t>
      </w:r>
      <w:r>
        <w:rPr>
          <w:snapToGrid w:val="0"/>
        </w:rPr>
        <w:noBreakHyphen/>
        <w:t>examination of protected witness by unrepresented accused</w:t>
      </w:r>
      <w:bookmarkEnd w:id="163"/>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lastRenderedPageBreak/>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Footnotesection"/>
      </w:pPr>
      <w:r>
        <w:tab/>
        <w:t>[Section 106G inserted: No. 36 of 1992 s. 8; amended: No. 46 of 2004 s. 18; No. 84 of 2004 s. 82; No. 49 of 2012 s. 177(3).]</w:t>
      </w:r>
    </w:p>
    <w:p>
      <w:pPr>
        <w:pStyle w:val="Heading5"/>
        <w:rPr>
          <w:snapToGrid w:val="0"/>
        </w:rPr>
      </w:pPr>
      <w:bookmarkStart w:id="164" w:name="_Toc80794455"/>
      <w:r>
        <w:rPr>
          <w:rStyle w:val="CharSectno"/>
        </w:rPr>
        <w:t>106H</w:t>
      </w:r>
      <w:r>
        <w:rPr>
          <w:snapToGrid w:val="0"/>
        </w:rPr>
        <w:t>.</w:t>
      </w:r>
      <w:r>
        <w:rPr>
          <w:snapToGrid w:val="0"/>
        </w:rPr>
        <w:tab/>
        <w:t>Child’s statement to another admissible in Sch. 7 proceedings</w:t>
      </w:r>
      <w:bookmarkEnd w:id="164"/>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w:t>
      </w:r>
      <w:r>
        <w:lastRenderedPageBreak/>
        <w:t xml:space="preserve">clause 4(1) of the </w:t>
      </w:r>
      <w:r>
        <w:rPr>
          <w:i/>
        </w:rPr>
        <w:t>Criminal Procedure Act 2004</w:t>
      </w:r>
      <w:r>
        <w:t>, the written statement is admissible.</w:t>
      </w:r>
    </w:p>
    <w:p>
      <w:pPr>
        <w:pStyle w:val="Subsection"/>
        <w:spacing w:before="14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4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No. 36 of 1992 s. 8; amended: No. 71 of 2000 s. 19; No. 46 of 2004 s. 14(3) and 19; No. 59 of 2004 s. 89; No. 84 of 2004 s. 37 and 82.]</w:t>
      </w:r>
    </w:p>
    <w:p>
      <w:pPr>
        <w:pStyle w:val="Heading5"/>
      </w:pPr>
      <w:bookmarkStart w:id="165" w:name="_Toc80794456"/>
      <w:r>
        <w:rPr>
          <w:rStyle w:val="CharSectno"/>
        </w:rPr>
        <w:t>106HA</w:t>
      </w:r>
      <w:r>
        <w:t>.</w:t>
      </w:r>
      <w:r>
        <w:tab/>
        <w:t>Visual recording of interviews with children and persons with mental impairment</w:t>
      </w:r>
      <w:bookmarkEnd w:id="165"/>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and</w:t>
      </w:r>
    </w:p>
    <w:p>
      <w:pPr>
        <w:pStyle w:val="Indenta"/>
      </w:pPr>
      <w:r>
        <w:lastRenderedPageBreak/>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No. 46 of 2004 s. 20; amended: No. 2 of 2008 s. 48; No. 31 of 2016 s. 4.]</w:t>
      </w:r>
    </w:p>
    <w:p>
      <w:pPr>
        <w:pStyle w:val="Heading5"/>
        <w:keepNext w:val="0"/>
        <w:keepLines w:val="0"/>
      </w:pPr>
      <w:bookmarkStart w:id="166" w:name="_Toc80794457"/>
      <w:r>
        <w:rPr>
          <w:rStyle w:val="CharSectno"/>
        </w:rPr>
        <w:t>106HB</w:t>
      </w:r>
      <w:r>
        <w:t>.</w:t>
      </w:r>
      <w:r>
        <w:tab/>
        <w:t>Admissibility in criminal proceedings of visual recording of interview with child or person with mental impairment</w:t>
      </w:r>
      <w:bookmarkEnd w:id="166"/>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keepNext/>
        <w:spacing w:before="120"/>
      </w:pPr>
      <w:r>
        <w:lastRenderedPageBreak/>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 xml:space="preserve">the judge is to instruct the jury that the procedure is a routine practice of the court and that they </w:t>
      </w:r>
      <w:r>
        <w:rPr>
          <w:snapToGrid w:val="0"/>
        </w:rPr>
        <w:lastRenderedPageBreak/>
        <w:t>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No. 46 of 2004 s. 20; amended: No. 84 of 2004 s. 82; No. 2 of 2008 s. 49.]</w:t>
      </w:r>
    </w:p>
    <w:p>
      <w:pPr>
        <w:pStyle w:val="Heading5"/>
        <w:spacing w:before="180"/>
      </w:pPr>
      <w:bookmarkStart w:id="167" w:name="_Toc80794458"/>
      <w:r>
        <w:rPr>
          <w:rStyle w:val="CharSectno"/>
        </w:rPr>
        <w:t>106HC</w:t>
      </w:r>
      <w:r>
        <w:t>.</w:t>
      </w:r>
      <w:r>
        <w:tab/>
        <w:t>Regulations about visual recording of interviews with children and persons with mental impairment</w:t>
      </w:r>
      <w:bookmarkEnd w:id="167"/>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keepNext/>
        <w:keepLines/>
      </w:pPr>
      <w:r>
        <w:lastRenderedPageBreak/>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 xml:space="preserve">The regulations may create offences and provide, in respect of an offence so created, for the imposition of a penalty not </w:t>
      </w:r>
      <w:r>
        <w:rPr>
          <w:snapToGrid w:val="0"/>
        </w:rPr>
        <w:lastRenderedPageBreak/>
        <w:t>exceeding a fine of $100 000 with or without imprisonment for a term not exceeding 12 months.</w:t>
      </w:r>
    </w:p>
    <w:p>
      <w:pPr>
        <w:pStyle w:val="Footnotesection"/>
      </w:pPr>
      <w:r>
        <w:tab/>
        <w:t>[Section 106HC inserted: No. 46 of 2004 s. 20; amended: No. 2 of 2008 s. 50.]</w:t>
      </w:r>
    </w:p>
    <w:p>
      <w:pPr>
        <w:pStyle w:val="Heading5"/>
      </w:pPr>
      <w:bookmarkStart w:id="168" w:name="_Toc80794459"/>
      <w:r>
        <w:rPr>
          <w:rStyle w:val="CharSectno"/>
        </w:rPr>
        <w:t>106HD</w:t>
      </w:r>
      <w:r>
        <w:t>.</w:t>
      </w:r>
      <w:r>
        <w:tab/>
        <w:t>Admissibility of visually recorded interviews generally</w:t>
      </w:r>
      <w:bookmarkEnd w:id="168"/>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No. 46 of 2004 s. 20.]</w:t>
      </w:r>
    </w:p>
    <w:p>
      <w:pPr>
        <w:pStyle w:val="Heading5"/>
        <w:spacing w:before="180"/>
        <w:rPr>
          <w:snapToGrid w:val="0"/>
        </w:rPr>
      </w:pPr>
      <w:bookmarkStart w:id="169" w:name="_Toc80794460"/>
      <w:r>
        <w:rPr>
          <w:rStyle w:val="CharSectno"/>
        </w:rPr>
        <w:t>106I</w:t>
      </w:r>
      <w:r>
        <w:rPr>
          <w:snapToGrid w:val="0"/>
        </w:rPr>
        <w:t>.</w:t>
      </w:r>
      <w:r>
        <w:rPr>
          <w:snapToGrid w:val="0"/>
        </w:rPr>
        <w:tab/>
      </w:r>
      <w:r>
        <w:t xml:space="preserve">Visual recording </w:t>
      </w:r>
      <w:r>
        <w:rPr>
          <w:snapToGrid w:val="0"/>
        </w:rPr>
        <w:t>of child’s evidence, application for directions</w:t>
      </w:r>
      <w:bookmarkEnd w:id="169"/>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No. 36 of 1992 s. 8; amended: No. 71 of 2000 s. 20; No. 46 of 2004 s. 14(3), (4) and 21; No. 2 of 2008 s. 51.]</w:t>
      </w:r>
    </w:p>
    <w:p>
      <w:pPr>
        <w:pStyle w:val="Ednotesection"/>
        <w:spacing w:before="180"/>
        <w:rPr>
          <w:b/>
        </w:rPr>
      </w:pPr>
      <w:r>
        <w:t>[</w:t>
      </w:r>
      <w:r>
        <w:rPr>
          <w:b/>
        </w:rPr>
        <w:t>106J.</w:t>
      </w:r>
      <w:r>
        <w:rPr>
          <w:b/>
        </w:rPr>
        <w:tab/>
      </w:r>
      <w:r>
        <w:t>Deleted: No. 46 of 2004 s. 22(1).]</w:t>
      </w:r>
    </w:p>
    <w:p>
      <w:pPr>
        <w:pStyle w:val="Heading5"/>
        <w:spacing w:before="180"/>
        <w:rPr>
          <w:snapToGrid w:val="0"/>
        </w:rPr>
      </w:pPr>
      <w:bookmarkStart w:id="170" w:name="_Toc80794461"/>
      <w:r>
        <w:rPr>
          <w:rStyle w:val="CharSectno"/>
        </w:rPr>
        <w:lastRenderedPageBreak/>
        <w:t>106K</w:t>
      </w:r>
      <w:r>
        <w:rPr>
          <w:snapToGrid w:val="0"/>
        </w:rPr>
        <w:t>.</w:t>
      </w:r>
      <w:r>
        <w:rPr>
          <w:snapToGrid w:val="0"/>
        </w:rPr>
        <w:tab/>
        <w:t>Child’s evidence in full, special hearing to take and record</w:t>
      </w:r>
      <w:bookmarkEnd w:id="170"/>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pPr>
      <w:r>
        <w:tab/>
        <w:t>(a)</w:t>
      </w:r>
      <w:r>
        <w:tab/>
        <w:t xml:space="preserve">the accused must not be in the same room as the affected child when the child’s evidence is being taken but must be able to — </w:t>
      </w:r>
    </w:p>
    <w:p>
      <w:pPr>
        <w:pStyle w:val="Indenti"/>
      </w:pPr>
      <w:r>
        <w:tab/>
        <w:t>(i)</w:t>
      </w:r>
      <w:r>
        <w:tab/>
        <w:t>observe the proceedings by means of a closed circuit television system and at all times have the means of communicating with the accused’s counsel; or</w:t>
      </w:r>
    </w:p>
    <w:p>
      <w:pPr>
        <w:pStyle w:val="Indenti"/>
      </w:pPr>
      <w:r>
        <w:tab/>
        <w:t>(ii)</w:t>
      </w:r>
      <w:r>
        <w:tab/>
        <w:t xml:space="preserve">in accordance with subsection (3A), listen to the proceedings by means of an audio link and at all </w:t>
      </w:r>
      <w:r>
        <w:lastRenderedPageBreak/>
        <w:t>times have the means of communicating with the accused’s counsel;</w:t>
      </w:r>
    </w:p>
    <w:p>
      <w:pPr>
        <w:pStyle w:val="Indenta"/>
      </w:pPr>
      <w:r>
        <w:tab/>
      </w:r>
      <w: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pPr>
      <w:r>
        <w:tab/>
        <w:t>(3A)</w:t>
      </w:r>
      <w:r>
        <w:tab/>
        <w:t>Subsection (3)(a)(ii) applies to the accused if, in the opinion of the judge, it is not desirable for the accused to attend court due to the accused’s health or another reason the judge thinks fit.</w:t>
      </w:r>
    </w:p>
    <w:p>
      <w:pPr>
        <w:pStyle w:val="Subsection"/>
      </w:pPr>
      <w:r>
        <w:tab/>
        <w:t>(3B)</w:t>
      </w:r>
      <w:r>
        <w:tab/>
        <w:t>If the accused hears the proceedings by means of an audio link under subsection (3)(a)(ii), the accused must be provided with a reasonable opportunity to view a copy of the visually recorded evidence before the evidence is presented to the court.</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pPr>
      <w:r>
        <w:tab/>
        <w:t>(4A)</w:t>
      </w:r>
      <w:r>
        <w:tab/>
        <w:t>A person must not make a copy of, or otherwise reproduce, the proceedings, or any part of the proceedings, heard by means of an audio link under subsection (3)(a)(ii).</w:t>
      </w:r>
    </w:p>
    <w:p>
      <w:pPr>
        <w:pStyle w:val="Penstart"/>
      </w:pPr>
      <w:r>
        <w:tab/>
        <w:t>Penalty for this subsection: a fine of $5 000.</w:t>
      </w:r>
    </w:p>
    <w:p>
      <w:pPr>
        <w:pStyle w:val="Subsection"/>
      </w:pPr>
      <w:r>
        <w:lastRenderedPageBreak/>
        <w:tab/>
        <w:t>(4B)</w:t>
      </w:r>
      <w:r>
        <w:tab/>
        <w:t>A person must not play, supply or offer to supply any copy of, or reproduction of, the proceedings, or any part of the proceedings, heard by means of an audio link under subsection (3)(a)(ii).</w:t>
      </w:r>
    </w:p>
    <w:p>
      <w:pPr>
        <w:pStyle w:val="Penstart"/>
      </w:pPr>
      <w:r>
        <w:tab/>
        <w:t>Penalty for this subsection: a fine of $5 000.</w:t>
      </w:r>
    </w:p>
    <w:p>
      <w:pPr>
        <w:pStyle w:val="Subsection"/>
      </w:pPr>
      <w:r>
        <w:tab/>
        <w:t>(4C)</w:t>
      </w:r>
      <w:r>
        <w:tab/>
        <w:t>A person must not broadcast the proceedings, or any part of the proceedings, heard by means of an audio link under subsection (3)(a)(ii).</w:t>
      </w:r>
    </w:p>
    <w:p>
      <w:pPr>
        <w:pStyle w:val="Penstart"/>
      </w:pPr>
      <w:r>
        <w:tab/>
        <w:t>Penalty for this subsection: imprisonment for 1 year and a fine of $100 000.</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No. 36 of 1992 s. 8; amended: No. 53 of 1992 s. 39; No. 71 of 2000 s. 22 and 29; No. 46 of 2004 s. 14(4) and 23; No. 84 of 2004 s. 82; No. 34 of 2020 s. 90.]</w:t>
      </w:r>
    </w:p>
    <w:p>
      <w:pPr>
        <w:pStyle w:val="Ednotesection"/>
        <w:spacing w:before="240"/>
        <w:rPr>
          <w:b/>
        </w:rPr>
      </w:pPr>
      <w:r>
        <w:t>[</w:t>
      </w:r>
      <w:r>
        <w:rPr>
          <w:b/>
        </w:rPr>
        <w:t>106L.</w:t>
      </w:r>
      <w:r>
        <w:rPr>
          <w:b/>
        </w:rPr>
        <w:tab/>
      </w:r>
      <w:r>
        <w:t>Deleted: No. 71 of 2000 s. 23.]</w:t>
      </w:r>
    </w:p>
    <w:p>
      <w:pPr>
        <w:pStyle w:val="Heading5"/>
        <w:spacing w:before="240"/>
        <w:rPr>
          <w:snapToGrid w:val="0"/>
        </w:rPr>
      </w:pPr>
      <w:bookmarkStart w:id="171" w:name="_Toc80794462"/>
      <w:r>
        <w:rPr>
          <w:rStyle w:val="CharSectno"/>
        </w:rPr>
        <w:t>106M</w:t>
      </w:r>
      <w:r>
        <w:rPr>
          <w:snapToGrid w:val="0"/>
        </w:rPr>
        <w:t>.</w:t>
      </w:r>
      <w:r>
        <w:rPr>
          <w:snapToGrid w:val="0"/>
        </w:rPr>
        <w:tab/>
        <w:t>Recording not to be altered without approval</w:t>
      </w:r>
      <w:bookmarkEnd w:id="171"/>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lastRenderedPageBreak/>
        <w:tab/>
        <w:t>[Section 106M inserted: No. 36 of 1992 s. 8; amended: No. 71 of 2000 s. 24 and 29; No. 46 of 2004 s. 14(4), (5) and 24.]</w:t>
      </w:r>
    </w:p>
    <w:p>
      <w:pPr>
        <w:pStyle w:val="Heading5"/>
        <w:rPr>
          <w:snapToGrid w:val="0"/>
        </w:rPr>
      </w:pPr>
      <w:bookmarkStart w:id="172" w:name="_Toc80794463"/>
      <w:r>
        <w:rPr>
          <w:rStyle w:val="CharSectno"/>
        </w:rPr>
        <w:t>106MA</w:t>
      </w:r>
      <w:r>
        <w:rPr>
          <w:snapToGrid w:val="0"/>
        </w:rPr>
        <w:t>.</w:t>
      </w:r>
      <w:r>
        <w:rPr>
          <w:snapToGrid w:val="0"/>
        </w:rPr>
        <w:tab/>
        <w:t>Unauthorised possession or dealing in video</w:t>
      </w:r>
      <w:r>
        <w:rPr>
          <w:snapToGrid w:val="0"/>
        </w:rPr>
        <w:noBreakHyphen/>
        <w:t>taped evidence</w:t>
      </w:r>
      <w:bookmarkEnd w:id="172"/>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keepNext/>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No. 53 of 1992 s. 40; amended: No. 46 of 2004 s. 14(4) and 22(3); No. 84 of 2004 s. 41.]</w:t>
      </w:r>
    </w:p>
    <w:p>
      <w:pPr>
        <w:pStyle w:val="Heading5"/>
        <w:spacing w:before="180"/>
        <w:rPr>
          <w:snapToGrid w:val="0"/>
        </w:rPr>
      </w:pPr>
      <w:bookmarkStart w:id="173" w:name="_Toc80794464"/>
      <w:r>
        <w:rPr>
          <w:rStyle w:val="CharSectno"/>
        </w:rPr>
        <w:t>106MB</w:t>
      </w:r>
      <w:r>
        <w:rPr>
          <w:snapToGrid w:val="0"/>
        </w:rPr>
        <w:t>.</w:t>
      </w:r>
      <w:r>
        <w:rPr>
          <w:snapToGrid w:val="0"/>
        </w:rPr>
        <w:tab/>
        <w:t>Broadcast of video</w:t>
      </w:r>
      <w:r>
        <w:rPr>
          <w:snapToGrid w:val="0"/>
        </w:rPr>
        <w:noBreakHyphen/>
        <w:t>taped evidence prohibited</w:t>
      </w:r>
      <w:bookmarkEnd w:id="173"/>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lastRenderedPageBreak/>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No. 53 of 1992 s. 40; amended: No. 46 of 2004 s. 14(4).]</w:t>
      </w:r>
    </w:p>
    <w:p>
      <w:pPr>
        <w:pStyle w:val="Heading5"/>
        <w:rPr>
          <w:snapToGrid w:val="0"/>
        </w:rPr>
      </w:pPr>
      <w:bookmarkStart w:id="174" w:name="_Toc80794465"/>
      <w:r>
        <w:rPr>
          <w:rStyle w:val="CharSectno"/>
        </w:rPr>
        <w:t>106N</w:t>
      </w:r>
      <w:r>
        <w:rPr>
          <w:snapToGrid w:val="0"/>
        </w:rPr>
        <w:t>.</w:t>
      </w:r>
      <w:r>
        <w:rPr>
          <w:snapToGrid w:val="0"/>
        </w:rPr>
        <w:tab/>
        <w:t>Video links or screening arrangements may be used</w:t>
      </w:r>
      <w:bookmarkEnd w:id="174"/>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 xml:space="preserve">he or she is to give evidence </w:t>
      </w:r>
      <w:r>
        <w:t xml:space="preserve">at a place, other than the courtroom, that is approved by the court, </w:t>
      </w:r>
      <w:r>
        <w:rPr>
          <w:snapToGrid w:val="0"/>
        </w:rPr>
        <w:t>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lastRenderedPageBreak/>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No. 36 of 1992 s. 8; amended: No. 48 of 1998 s. 8; No. 71 of 2000 s. 25; No. 46 of 2004 s. 14(3); No. 84 of 2004 s. 41 and 82; No. 34 of 2020 s. 91.]</w:t>
      </w:r>
    </w:p>
    <w:p>
      <w:pPr>
        <w:pStyle w:val="Heading5"/>
        <w:rPr>
          <w:snapToGrid w:val="0"/>
        </w:rPr>
      </w:pPr>
      <w:bookmarkStart w:id="175" w:name="_Toc80794466"/>
      <w:r>
        <w:rPr>
          <w:rStyle w:val="CharSectno"/>
        </w:rPr>
        <w:t>106O</w:t>
      </w:r>
      <w:r>
        <w:rPr>
          <w:snapToGrid w:val="0"/>
        </w:rPr>
        <w:t>.</w:t>
      </w:r>
      <w:r>
        <w:rPr>
          <w:snapToGrid w:val="0"/>
        </w:rPr>
        <w:tab/>
        <w:t>Court may order that s. 106N does not apply</w:t>
      </w:r>
      <w:bookmarkEnd w:id="175"/>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No. 36 of 1992 s. 8; amended: No. 2 of 2008 s. 52.]</w:t>
      </w:r>
    </w:p>
    <w:p>
      <w:pPr>
        <w:pStyle w:val="Heading5"/>
        <w:spacing w:before="260"/>
        <w:rPr>
          <w:snapToGrid w:val="0"/>
        </w:rPr>
      </w:pPr>
      <w:bookmarkStart w:id="176" w:name="_Toc80794467"/>
      <w:r>
        <w:rPr>
          <w:rStyle w:val="CharSectno"/>
        </w:rPr>
        <w:t>106P</w:t>
      </w:r>
      <w:r>
        <w:rPr>
          <w:snapToGrid w:val="0"/>
        </w:rPr>
        <w:t>.</w:t>
      </w:r>
      <w:r>
        <w:rPr>
          <w:snapToGrid w:val="0"/>
        </w:rPr>
        <w:tab/>
        <w:t>Instructions to be given to jury</w:t>
      </w:r>
      <w:bookmarkEnd w:id="176"/>
    </w:p>
    <w:p>
      <w:pPr>
        <w:pStyle w:val="Subsection"/>
        <w:spacing w:before="200"/>
        <w:rPr>
          <w:snapToGrid w:val="0"/>
        </w:rPr>
      </w:pPr>
      <w:r>
        <w:rPr>
          <w:snapToGrid w:val="0"/>
        </w:rPr>
        <w:tab/>
      </w:r>
      <w:r>
        <w:rPr>
          <w:snapToGrid w:val="0"/>
        </w:rPr>
        <w:tab/>
        <w:t xml:space="preserve">Where in any proceeding on indictment evidence of an affected child is given in a manner described in section 106N(2) or (4), the judge is to instruct the jury that the procedure is a routine </w:t>
      </w:r>
      <w:r>
        <w:rPr>
          <w:snapToGrid w:val="0"/>
        </w:rPr>
        <w:lastRenderedPageBreak/>
        <w:t>practice of the court and that they should not draw any inference as to the accused’s guilt from the use of the procedure.</w:t>
      </w:r>
    </w:p>
    <w:p>
      <w:pPr>
        <w:pStyle w:val="Footnotesection"/>
      </w:pPr>
      <w:r>
        <w:tab/>
        <w:t>[Section 106P inserted: No. 36 of 1992 s. 8; amended: No. 84 of 2004 s. 82.]</w:t>
      </w:r>
    </w:p>
    <w:p>
      <w:pPr>
        <w:pStyle w:val="Heading5"/>
        <w:rPr>
          <w:snapToGrid w:val="0"/>
        </w:rPr>
      </w:pPr>
      <w:bookmarkStart w:id="177" w:name="_Toc80794468"/>
      <w:r>
        <w:rPr>
          <w:rStyle w:val="CharSectno"/>
        </w:rPr>
        <w:t>106Q</w:t>
      </w:r>
      <w:r>
        <w:rPr>
          <w:snapToGrid w:val="0"/>
        </w:rPr>
        <w:t>.</w:t>
      </w:r>
      <w:r>
        <w:rPr>
          <w:snapToGrid w:val="0"/>
        </w:rPr>
        <w:tab/>
        <w:t xml:space="preserve">Identification of accused by child </w:t>
      </w:r>
      <w:r>
        <w:t>or special witness</w:t>
      </w:r>
      <w:bookmarkEnd w:id="177"/>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No. 36 of 1992 s. 8; amended: No. 46 of 2004 s. 25; No. 84 of 2004 s. 82.]</w:t>
      </w:r>
    </w:p>
    <w:p>
      <w:pPr>
        <w:pStyle w:val="Heading5"/>
        <w:rPr>
          <w:snapToGrid w:val="0"/>
        </w:rPr>
      </w:pPr>
      <w:bookmarkStart w:id="178" w:name="_Toc80794469"/>
      <w:r>
        <w:rPr>
          <w:rStyle w:val="CharSectno"/>
        </w:rPr>
        <w:t>106R</w:t>
      </w:r>
      <w:r>
        <w:rPr>
          <w:snapToGrid w:val="0"/>
        </w:rPr>
        <w:t>.</w:t>
      </w:r>
      <w:r>
        <w:rPr>
          <w:snapToGrid w:val="0"/>
        </w:rPr>
        <w:tab/>
        <w:t>Special witnesses, measures to assist</w:t>
      </w:r>
      <w:bookmarkEnd w:id="178"/>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lastRenderedPageBreak/>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keepNext/>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lastRenderedPageBreak/>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lastRenderedPageBreak/>
        <w:tab/>
        <w:t>[Section 106R inserted: No. 36 of 1992 s. 8; amended: No. 53 of 1992 s. 41; No. 69 of 1996 s. 30; No. 71 of 2000 s. 26; No. 46 of 2004 s. 14(3), (4) and 26; No. 84 of 2004 s. 41 and 82; No. 2 of 2008 s. 53; No. 49 of 2012 s. 177(4)-(6).]</w:t>
      </w:r>
    </w:p>
    <w:p>
      <w:pPr>
        <w:pStyle w:val="Heading5"/>
      </w:pPr>
      <w:bookmarkStart w:id="179" w:name="_Toc80794470"/>
      <w:r>
        <w:rPr>
          <w:rStyle w:val="CharSectno"/>
        </w:rPr>
        <w:t>106RA</w:t>
      </w:r>
      <w:r>
        <w:t>.</w:t>
      </w:r>
      <w:r>
        <w:tab/>
        <w:t>Visually recording evidence of witnesses in criminal matters</w:t>
      </w:r>
      <w:bookmarkEnd w:id="179"/>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keepNext/>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lastRenderedPageBreak/>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No. 84 of 2004 s. 38; amended: No. 2 of 2008 s. 54.]</w:t>
      </w:r>
    </w:p>
    <w:p>
      <w:pPr>
        <w:pStyle w:val="Heading5"/>
        <w:spacing w:before="180"/>
        <w:rPr>
          <w:snapToGrid w:val="0"/>
        </w:rPr>
      </w:pPr>
      <w:bookmarkStart w:id="180" w:name="_Toc80794471"/>
      <w:r>
        <w:rPr>
          <w:rStyle w:val="CharSectno"/>
        </w:rPr>
        <w:t>106S</w:t>
      </w:r>
      <w:r>
        <w:rPr>
          <w:snapToGrid w:val="0"/>
        </w:rPr>
        <w:t>.</w:t>
      </w:r>
      <w:r>
        <w:rPr>
          <w:snapToGrid w:val="0"/>
        </w:rPr>
        <w:tab/>
        <w:t>Special hearings to consider what orders should be made</w:t>
      </w:r>
      <w:bookmarkEnd w:id="180"/>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No. 36 of 1992 s. 8; amended: No. 71 of 2000 s. 27 and 29; No. 46 of 2004 s. 22(3) and 27; No. 84 of 2004 s. 41.]</w:t>
      </w:r>
    </w:p>
    <w:p>
      <w:pPr>
        <w:pStyle w:val="Heading5"/>
        <w:spacing w:before="180"/>
      </w:pPr>
      <w:bookmarkStart w:id="181" w:name="_Toc80794472"/>
      <w:r>
        <w:rPr>
          <w:rStyle w:val="CharSectno"/>
        </w:rPr>
        <w:t>106T</w:t>
      </w:r>
      <w:r>
        <w:rPr>
          <w:snapToGrid w:val="0"/>
        </w:rPr>
        <w:t>.</w:t>
      </w:r>
      <w:r>
        <w:rPr>
          <w:snapToGrid w:val="0"/>
        </w:rPr>
        <w:tab/>
        <w:t>Use of recordings made under s. 106K or 106N</w:t>
      </w:r>
      <w:bookmarkEnd w:id="181"/>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w:t>
      </w:r>
      <w:r>
        <w:rPr>
          <w:snapToGrid w:val="0"/>
        </w:rPr>
        <w:lastRenderedPageBreak/>
        <w:t>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lastRenderedPageBreak/>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keepNext/>
      </w:pPr>
      <w:r>
        <w:tab/>
        <w:t>(5)</w:t>
      </w:r>
      <w:r>
        <w:tab/>
        <w:t>In this section —</w:t>
      </w:r>
    </w:p>
    <w:p>
      <w:pPr>
        <w:pStyle w:val="Defstart"/>
        <w:keepNex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No. 71 of 2000 s. 28; amended: No. 27 of 2002 s. 33; No. 46 of 2004 s. 14(3), (6) and 22(3); No. 84 of 2004 s. 39.]</w:t>
      </w:r>
    </w:p>
    <w:p>
      <w:pPr>
        <w:pStyle w:val="Ednotesection"/>
      </w:pPr>
      <w:r>
        <w:tab/>
        <w:t>[Heading deleted: No. 84 of 2004 s. 41.]</w:t>
      </w:r>
    </w:p>
    <w:p>
      <w:pPr>
        <w:pStyle w:val="Ednotesection"/>
        <w:ind w:left="890" w:hanging="890"/>
      </w:pPr>
      <w:r>
        <w:t>[</w:t>
      </w:r>
      <w:r>
        <w:rPr>
          <w:b/>
        </w:rPr>
        <w:t>107, 108.</w:t>
      </w:r>
      <w:r>
        <w:rPr>
          <w:b/>
        </w:rPr>
        <w:tab/>
      </w:r>
      <w:r>
        <w:t>Deleted: No. 84 of 2004 s. 41.]</w:t>
      </w:r>
    </w:p>
    <w:p>
      <w:pPr>
        <w:pStyle w:val="MiscellaneousHeading"/>
        <w:spacing w:before="240"/>
        <w:rPr>
          <w:i/>
        </w:rPr>
      </w:pPr>
      <w:r>
        <w:rPr>
          <w:i/>
        </w:rPr>
        <w:lastRenderedPageBreak/>
        <w:t>Examination of witnesses outside the State</w:t>
      </w:r>
    </w:p>
    <w:p>
      <w:pPr>
        <w:pStyle w:val="Footnoteheading"/>
        <w:keepNext/>
        <w:rPr>
          <w:snapToGrid w:val="0"/>
        </w:rPr>
      </w:pPr>
      <w:r>
        <w:rPr>
          <w:snapToGrid w:val="0"/>
        </w:rPr>
        <w:tab/>
        <w:t>[Heading inserted: No. 66 of 1987 s. 9.]</w:t>
      </w:r>
    </w:p>
    <w:p>
      <w:pPr>
        <w:pStyle w:val="Heading5"/>
        <w:rPr>
          <w:snapToGrid w:val="0"/>
        </w:rPr>
      </w:pPr>
      <w:bookmarkStart w:id="182" w:name="_Toc80794473"/>
      <w:r>
        <w:rPr>
          <w:rStyle w:val="CharSectno"/>
        </w:rPr>
        <w:t>109</w:t>
      </w:r>
      <w:r>
        <w:rPr>
          <w:snapToGrid w:val="0"/>
        </w:rPr>
        <w:t>.</w:t>
      </w:r>
      <w:r>
        <w:rPr>
          <w:snapToGrid w:val="0"/>
        </w:rPr>
        <w:tab/>
        <w:t>Terms used</w:t>
      </w:r>
      <w:bookmarkEnd w:id="182"/>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No. 66 of 1987 s. 9; amended: No. 20 of 2013 s. 71.]</w:t>
      </w:r>
    </w:p>
    <w:p>
      <w:pPr>
        <w:pStyle w:val="Heading5"/>
        <w:rPr>
          <w:snapToGrid w:val="0"/>
        </w:rPr>
      </w:pPr>
      <w:bookmarkStart w:id="183" w:name="_Toc80794474"/>
      <w:r>
        <w:rPr>
          <w:rStyle w:val="CharSectno"/>
        </w:rPr>
        <w:t>110</w:t>
      </w:r>
      <w:r>
        <w:rPr>
          <w:snapToGrid w:val="0"/>
        </w:rPr>
        <w:t>.</w:t>
      </w:r>
      <w:r>
        <w:rPr>
          <w:snapToGrid w:val="0"/>
        </w:rPr>
        <w:tab/>
        <w:t>Superior courts may make orders for obtaining evidence</w:t>
      </w:r>
      <w:bookmarkEnd w:id="183"/>
    </w:p>
    <w:p>
      <w:pPr>
        <w:pStyle w:val="Subsection"/>
        <w:keepNext/>
        <w:rPr>
          <w:snapToGrid w:val="0"/>
        </w:rPr>
      </w:pPr>
      <w:r>
        <w:rPr>
          <w:snapToGrid w:val="0"/>
        </w:rPr>
        <w:tab/>
        <w:t>(1)</w:t>
      </w:r>
      <w:r>
        <w:rPr>
          <w:snapToGrid w:val="0"/>
        </w:rPr>
        <w:tab/>
        <w:t xml:space="preserve">In any civil or criminal proceedings before a superior court, the court may, in its discretion and where it appears in the interests of justice to do so, on the application of a party to the </w:t>
      </w:r>
      <w:r>
        <w:rPr>
          <w:snapToGrid w:val="0"/>
        </w:rPr>
        <w:lastRenderedPageBreak/>
        <w:t>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whether the person is willing or able to come to Western Australia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keepNext/>
        <w:rPr>
          <w:snapToGrid w:val="0"/>
        </w:rPr>
      </w:pPr>
      <w:r>
        <w:rPr>
          <w:snapToGrid w:val="0"/>
        </w:rPr>
        <w:tab/>
        <w:t>(4)</w:t>
      </w:r>
      <w:r>
        <w:rPr>
          <w:snapToGrid w:val="0"/>
        </w:rPr>
        <w:tab/>
        <w:t xml:space="preserve">Where a court makes, in relation to a proceeding, an order under subsection (1) of the kind referred to in subsection (1)(c) in relation to the taking of evidence of a person, the court may, in </w:t>
      </w:r>
      <w:r>
        <w:rPr>
          <w:snapToGrid w:val="0"/>
        </w:rPr>
        <w:lastRenderedPageBreak/>
        <w:t>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No. 66 of 1987 s. 9; amended: No. 20 of 2013 s. 72.]</w:t>
      </w:r>
    </w:p>
    <w:p>
      <w:pPr>
        <w:pStyle w:val="Heading5"/>
        <w:spacing w:before="200"/>
        <w:rPr>
          <w:snapToGrid w:val="0"/>
        </w:rPr>
      </w:pPr>
      <w:bookmarkStart w:id="184" w:name="_Toc80794475"/>
      <w:r>
        <w:rPr>
          <w:rStyle w:val="CharSectno"/>
        </w:rPr>
        <w:lastRenderedPageBreak/>
        <w:t>111</w:t>
      </w:r>
      <w:r>
        <w:rPr>
          <w:snapToGrid w:val="0"/>
        </w:rPr>
        <w:t>.</w:t>
      </w:r>
      <w:r>
        <w:rPr>
          <w:snapToGrid w:val="0"/>
        </w:rPr>
        <w:tab/>
        <w:t>Supreme Court may make orders for obtaining evidence for inferior courts</w:t>
      </w:r>
      <w:bookmarkEnd w:id="184"/>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No. 66 of 1987 s. 9.]</w:t>
      </w:r>
    </w:p>
    <w:p>
      <w:pPr>
        <w:pStyle w:val="Heading5"/>
        <w:rPr>
          <w:snapToGrid w:val="0"/>
        </w:rPr>
      </w:pPr>
      <w:bookmarkStart w:id="185" w:name="_Toc80794476"/>
      <w:r>
        <w:rPr>
          <w:rStyle w:val="CharSectno"/>
        </w:rPr>
        <w:t>112</w:t>
      </w:r>
      <w:r>
        <w:rPr>
          <w:snapToGrid w:val="0"/>
        </w:rPr>
        <w:t>.</w:t>
      </w:r>
      <w:r>
        <w:rPr>
          <w:snapToGrid w:val="0"/>
        </w:rPr>
        <w:tab/>
        <w:t>Exclusion of evidence in criminal proceeding</w:t>
      </w:r>
      <w:bookmarkEnd w:id="185"/>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No. 66 of 1987 s. 9; amended: No. 84 of 2004 s. 82.]</w:t>
      </w:r>
    </w:p>
    <w:p>
      <w:pPr>
        <w:pStyle w:val="Heading5"/>
        <w:keepLines w:val="0"/>
        <w:widowControl w:val="0"/>
        <w:rPr>
          <w:snapToGrid w:val="0"/>
        </w:rPr>
      </w:pPr>
      <w:bookmarkStart w:id="186" w:name="_Toc80794477"/>
      <w:r>
        <w:rPr>
          <w:rStyle w:val="CharSectno"/>
        </w:rPr>
        <w:t>113</w:t>
      </w:r>
      <w:r>
        <w:rPr>
          <w:snapToGrid w:val="0"/>
        </w:rPr>
        <w:t>.</w:t>
      </w:r>
      <w:r>
        <w:rPr>
          <w:snapToGrid w:val="0"/>
        </w:rPr>
        <w:tab/>
        <w:t>Operation of other laws</w:t>
      </w:r>
      <w:bookmarkEnd w:id="186"/>
    </w:p>
    <w:p>
      <w:pPr>
        <w:pStyle w:val="Subsection"/>
        <w:keepNext/>
        <w:widowControl w:val="0"/>
        <w:rPr>
          <w:snapToGrid w:val="0"/>
        </w:rPr>
      </w:pPr>
      <w:r>
        <w:rPr>
          <w:snapToGrid w:val="0"/>
        </w:rPr>
        <w:tab/>
      </w:r>
      <w:r>
        <w:rPr>
          <w:snapToGrid w:val="0"/>
        </w:rPr>
        <w:tab/>
        <w:t xml:space="preserve">Sections 109 to 114 are not intended to exclude or limit the operation of any law of the State, or of any rule or regulation </w:t>
      </w:r>
      <w:r>
        <w:rPr>
          <w:snapToGrid w:val="0"/>
        </w:rPr>
        <w:lastRenderedPageBreak/>
        <w:t>made under, or in pursuance of, such a law, that makes provision for the examination of witnesses outside the State for the purpose of a proceeding in the State.</w:t>
      </w:r>
    </w:p>
    <w:p>
      <w:pPr>
        <w:pStyle w:val="Footnotesection"/>
      </w:pPr>
      <w:r>
        <w:tab/>
        <w:t>[Section 113 inserted: No. 66 of 1987 s. 9.]</w:t>
      </w:r>
    </w:p>
    <w:p>
      <w:pPr>
        <w:pStyle w:val="Heading5"/>
        <w:rPr>
          <w:snapToGrid w:val="0"/>
        </w:rPr>
      </w:pPr>
      <w:bookmarkStart w:id="187" w:name="_Toc80794478"/>
      <w:r>
        <w:rPr>
          <w:rStyle w:val="CharSectno"/>
        </w:rPr>
        <w:t>114</w:t>
      </w:r>
      <w:r>
        <w:rPr>
          <w:snapToGrid w:val="0"/>
        </w:rPr>
        <w:t>.</w:t>
      </w:r>
      <w:r>
        <w:rPr>
          <w:snapToGrid w:val="0"/>
        </w:rPr>
        <w:tab/>
        <w:t>Regulations and rules of court for s. 109 to 113</w:t>
      </w:r>
      <w:bookmarkEnd w:id="187"/>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No. 34 of 1989 s. 4.]</w:t>
      </w:r>
    </w:p>
    <w:p>
      <w:pPr>
        <w:pStyle w:val="Heading5"/>
        <w:spacing w:before="180"/>
        <w:rPr>
          <w:snapToGrid w:val="0"/>
        </w:rPr>
      </w:pPr>
      <w:bookmarkStart w:id="188" w:name="_Toc80794479"/>
      <w:r>
        <w:rPr>
          <w:rStyle w:val="CharSectno"/>
        </w:rPr>
        <w:t>115</w:t>
      </w:r>
      <w:r>
        <w:rPr>
          <w:snapToGrid w:val="0"/>
        </w:rPr>
        <w:t>.</w:t>
      </w:r>
      <w:r>
        <w:rPr>
          <w:snapToGrid w:val="0"/>
        </w:rPr>
        <w:tab/>
        <w:t>Terms used</w:t>
      </w:r>
      <w:bookmarkEnd w:id="188"/>
    </w:p>
    <w:p>
      <w:pPr>
        <w:pStyle w:val="Subsection"/>
        <w:rPr>
          <w:snapToGrid w:val="0"/>
        </w:rPr>
      </w:pPr>
      <w:r>
        <w:rPr>
          <w:snapToGrid w:val="0"/>
        </w:rPr>
        <w:tab/>
      </w:r>
      <w:r>
        <w:rPr>
          <w:snapToGrid w:val="0"/>
        </w:rPr>
        <w:tab/>
        <w:t>In this section and in sections 116 to 118C —</w:t>
      </w:r>
    </w:p>
    <w:p>
      <w:pPr>
        <w:pStyle w:val="Defstart"/>
      </w:pPr>
      <w:r>
        <w:rPr>
          <w:b/>
        </w:rPr>
        <w:lastRenderedPageBreak/>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No. 34 of 1989 s. 4.]</w:t>
      </w:r>
    </w:p>
    <w:p>
      <w:pPr>
        <w:pStyle w:val="Heading5"/>
        <w:rPr>
          <w:snapToGrid w:val="0"/>
        </w:rPr>
      </w:pPr>
      <w:bookmarkStart w:id="189" w:name="_Toc80794480"/>
      <w:r>
        <w:rPr>
          <w:rStyle w:val="CharSectno"/>
        </w:rPr>
        <w:t>116</w:t>
      </w:r>
      <w:r>
        <w:rPr>
          <w:snapToGrid w:val="0"/>
        </w:rPr>
        <w:t>.</w:t>
      </w:r>
      <w:r>
        <w:rPr>
          <w:snapToGrid w:val="0"/>
        </w:rPr>
        <w:tab/>
        <w:t>Application to Supreme Court for assistance in obtaining evidence for proceedings in other court</w:t>
      </w:r>
      <w:bookmarkEnd w:id="189"/>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No. 34 of 1989 s. 4.]</w:t>
      </w:r>
    </w:p>
    <w:p>
      <w:pPr>
        <w:pStyle w:val="Heading5"/>
        <w:rPr>
          <w:snapToGrid w:val="0"/>
        </w:rPr>
      </w:pPr>
      <w:bookmarkStart w:id="190" w:name="_Toc80794481"/>
      <w:r>
        <w:rPr>
          <w:rStyle w:val="CharSectno"/>
        </w:rPr>
        <w:lastRenderedPageBreak/>
        <w:t>117</w:t>
      </w:r>
      <w:r>
        <w:rPr>
          <w:snapToGrid w:val="0"/>
        </w:rPr>
        <w:t>.</w:t>
      </w:r>
      <w:r>
        <w:rPr>
          <w:snapToGrid w:val="0"/>
        </w:rPr>
        <w:tab/>
        <w:t>Supreme Court may make orders to assist in obtaining evidence</w:t>
      </w:r>
      <w:bookmarkEnd w:id="190"/>
    </w:p>
    <w:p>
      <w:pPr>
        <w:pStyle w:val="Subsection"/>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lastRenderedPageBreak/>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No. 34 of 1989 s. 4.]</w:t>
      </w:r>
    </w:p>
    <w:p>
      <w:pPr>
        <w:pStyle w:val="Heading5"/>
        <w:rPr>
          <w:snapToGrid w:val="0"/>
        </w:rPr>
      </w:pPr>
      <w:bookmarkStart w:id="191" w:name="_Toc80794482"/>
      <w:r>
        <w:rPr>
          <w:rStyle w:val="CharSectno"/>
        </w:rPr>
        <w:t>118</w:t>
      </w:r>
      <w:r>
        <w:rPr>
          <w:snapToGrid w:val="0"/>
        </w:rPr>
        <w:t>.</w:t>
      </w:r>
      <w:r>
        <w:rPr>
          <w:snapToGrid w:val="0"/>
        </w:rPr>
        <w:tab/>
        <w:t>Privilege of witnesses</w:t>
      </w:r>
      <w:bookmarkEnd w:id="191"/>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lastRenderedPageBreak/>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No. 34 of 1989 s. 4.]</w:t>
      </w:r>
    </w:p>
    <w:p>
      <w:pPr>
        <w:pStyle w:val="Heading5"/>
        <w:rPr>
          <w:snapToGrid w:val="0"/>
        </w:rPr>
      </w:pPr>
      <w:bookmarkStart w:id="192" w:name="_Toc80794483"/>
      <w:r>
        <w:rPr>
          <w:rStyle w:val="CharSectno"/>
        </w:rPr>
        <w:t>118A</w:t>
      </w:r>
      <w:r>
        <w:rPr>
          <w:snapToGrid w:val="0"/>
        </w:rPr>
        <w:t>.</w:t>
      </w:r>
      <w:r>
        <w:rPr>
          <w:snapToGrid w:val="0"/>
        </w:rPr>
        <w:tab/>
        <w:t>Rules of court for s. 116 to 118</w:t>
      </w:r>
      <w:bookmarkEnd w:id="192"/>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No. 34 of 1989 s. 4.]</w:t>
      </w:r>
    </w:p>
    <w:p>
      <w:pPr>
        <w:pStyle w:val="Heading5"/>
        <w:rPr>
          <w:snapToGrid w:val="0"/>
        </w:rPr>
      </w:pPr>
      <w:bookmarkStart w:id="193" w:name="_Toc80794484"/>
      <w:r>
        <w:rPr>
          <w:rStyle w:val="CharSectno"/>
        </w:rPr>
        <w:t>118B</w:t>
      </w:r>
      <w:r>
        <w:rPr>
          <w:snapToGrid w:val="0"/>
        </w:rPr>
        <w:t>.</w:t>
      </w:r>
      <w:r>
        <w:rPr>
          <w:snapToGrid w:val="0"/>
        </w:rPr>
        <w:tab/>
        <w:t>Offence</w:t>
      </w:r>
      <w:bookmarkEnd w:id="193"/>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lastRenderedPageBreak/>
        <w:tab/>
      </w:r>
      <w:r>
        <w:rPr>
          <w:snapToGrid w:val="0"/>
        </w:rPr>
        <w:tab/>
        <w:t>the person is guilty of a crime and is liable to imprisonment for 7 years.</w:t>
      </w:r>
    </w:p>
    <w:p>
      <w:pPr>
        <w:pStyle w:val="Footnotesection"/>
        <w:keepNext/>
      </w:pPr>
      <w:r>
        <w:tab/>
        <w:t>[Section 118B inserted: No. 34 of 1989 s. 4.]</w:t>
      </w:r>
    </w:p>
    <w:p>
      <w:pPr>
        <w:pStyle w:val="Heading5"/>
        <w:rPr>
          <w:snapToGrid w:val="0"/>
        </w:rPr>
      </w:pPr>
      <w:bookmarkStart w:id="194" w:name="_Toc80794485"/>
      <w:r>
        <w:rPr>
          <w:rStyle w:val="CharSectno"/>
        </w:rPr>
        <w:t>118C</w:t>
      </w:r>
      <w:r>
        <w:rPr>
          <w:snapToGrid w:val="0"/>
        </w:rPr>
        <w:t>.</w:t>
      </w:r>
      <w:r>
        <w:rPr>
          <w:snapToGrid w:val="0"/>
        </w:rPr>
        <w:tab/>
        <w:t>Operation of other laws</w:t>
      </w:r>
      <w:bookmarkEnd w:id="194"/>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No. 34 of 1989 s. 4.]</w:t>
      </w:r>
    </w:p>
    <w:p>
      <w:pPr>
        <w:pStyle w:val="MiscellaneousHeading"/>
        <w:spacing w:before="240"/>
        <w:rPr>
          <w:i/>
        </w:rPr>
      </w:pPr>
      <w:r>
        <w:rPr>
          <w:i/>
        </w:rPr>
        <w:t>Allowances to witnesses and interpreters in specified proceedings</w:t>
      </w:r>
    </w:p>
    <w:p>
      <w:pPr>
        <w:pStyle w:val="Heading5"/>
      </w:pPr>
      <w:bookmarkStart w:id="195" w:name="_Toc80794486"/>
      <w:r>
        <w:rPr>
          <w:rStyle w:val="CharSectno"/>
        </w:rPr>
        <w:t>119</w:t>
      </w:r>
      <w:r>
        <w:t>.</w:t>
      </w:r>
      <w:r>
        <w:tab/>
        <w:t>Service as witness etc., payments for</w:t>
      </w:r>
      <w:bookmarkEnd w:id="195"/>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keepNext/>
      </w:pPr>
      <w:r>
        <w:rPr>
          <w:b/>
        </w:rPr>
        <w:tab/>
      </w:r>
      <w:r>
        <w:rPr>
          <w:rStyle w:val="CharDefText"/>
        </w:rPr>
        <w:t>liable person</w:t>
      </w:r>
      <w:r>
        <w:t>, in respect of any payment that has to be made under this section in respect of eligible service, means —</w:t>
      </w:r>
    </w:p>
    <w:p>
      <w:pPr>
        <w:pStyle w:val="Defpara"/>
        <w:keepNext/>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spacing w:before="120"/>
      </w:pPr>
      <w:r>
        <w:tab/>
        <w:t>(2)</w:t>
      </w:r>
      <w:r>
        <w:tab/>
        <w:t>For the purposes of this section a person does eligible service if he or she is, or attends at any place in order to be, any of the following —</w:t>
      </w:r>
    </w:p>
    <w:p>
      <w:pPr>
        <w:pStyle w:val="Indenta"/>
      </w:pPr>
      <w:r>
        <w:lastRenderedPageBreak/>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 xml:space="preserve">If a person does eligible service for a period when he or she is employed by an employer under a contract of service, the </w:t>
      </w:r>
      <w:r>
        <w:lastRenderedPageBreak/>
        <w:t>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lastRenderedPageBreak/>
        <w:tab/>
        <w:t>(12)</w:t>
      </w:r>
      <w:r>
        <w:tab/>
        <w:t>Any amount paid under this section by the State is to be charged to the Consolidated Account.</w:t>
      </w:r>
    </w:p>
    <w:p>
      <w:pPr>
        <w:pStyle w:val="Footnotesection"/>
      </w:pPr>
      <w:r>
        <w:tab/>
        <w:t>[Section 119 inserted: No. 5 of 2008 s. 53.]</w:t>
      </w:r>
    </w:p>
    <w:p>
      <w:pPr>
        <w:pStyle w:val="MiscellaneousHeading"/>
        <w:keepLines/>
        <w:spacing w:before="220"/>
        <w:rPr>
          <w:i/>
        </w:rPr>
      </w:pPr>
      <w:r>
        <w:rPr>
          <w:i/>
        </w:rPr>
        <w:t>Interpretation of sections 120 to 132</w:t>
      </w:r>
    </w:p>
    <w:p>
      <w:pPr>
        <w:pStyle w:val="Footnoteheading"/>
        <w:keepNext/>
        <w:keepLines/>
      </w:pPr>
      <w:r>
        <w:tab/>
        <w:t>[Heading inserted: No. 48 of 1998 s. 9.]</w:t>
      </w:r>
    </w:p>
    <w:p>
      <w:pPr>
        <w:pStyle w:val="Heading5"/>
      </w:pPr>
      <w:bookmarkStart w:id="196" w:name="_Toc80794487"/>
      <w:r>
        <w:rPr>
          <w:rStyle w:val="CharSectno"/>
        </w:rPr>
        <w:t>120</w:t>
      </w:r>
      <w:r>
        <w:t>.</w:t>
      </w:r>
      <w:r>
        <w:tab/>
        <w:t>Terms used</w:t>
      </w:r>
      <w:bookmarkEnd w:id="196"/>
    </w:p>
    <w:p>
      <w:pPr>
        <w:pStyle w:val="Subsection"/>
        <w:keepNext/>
        <w:keepLines/>
      </w:pPr>
      <w:r>
        <w:tab/>
        <w:t>(1)</w:t>
      </w:r>
      <w:r>
        <w:tab/>
        <w:t>In this section and sections 121 to 132, unless the contrary intention appears —</w:t>
      </w:r>
    </w:p>
    <w:p>
      <w:pPr>
        <w:pStyle w:val="Defstart"/>
        <w:keepNext/>
        <w:keepLines/>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lastRenderedPageBreak/>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No. 48 of 1998 s. 9.]</w:t>
      </w:r>
    </w:p>
    <w:p>
      <w:pPr>
        <w:pStyle w:val="MiscellaneousHeading"/>
        <w:spacing w:before="200"/>
        <w:rPr>
          <w:i/>
        </w:rPr>
      </w:pPr>
      <w:r>
        <w:rPr>
          <w:i/>
        </w:rPr>
        <w:t>Use of video links or audio links by WA courts</w:t>
      </w:r>
    </w:p>
    <w:p>
      <w:pPr>
        <w:pStyle w:val="Footnoteheading"/>
        <w:keepNext/>
      </w:pPr>
      <w:r>
        <w:tab/>
        <w:t>[Heading inserted: No. 48 of 1998 s. 9.]</w:t>
      </w:r>
    </w:p>
    <w:p>
      <w:pPr>
        <w:pStyle w:val="Heading5"/>
        <w:spacing w:before="180"/>
      </w:pPr>
      <w:bookmarkStart w:id="197" w:name="_Toc80794488"/>
      <w:r>
        <w:rPr>
          <w:rStyle w:val="CharSectno"/>
        </w:rPr>
        <w:t>121</w:t>
      </w:r>
      <w:r>
        <w:t>.</w:t>
      </w:r>
      <w:r>
        <w:tab/>
        <w:t>WA court may take evidence or receive submission by video link or audio link</w:t>
      </w:r>
      <w:bookmarkEnd w:id="197"/>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lastRenderedPageBreak/>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No. 48 of 1998 s. 9; amended: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198" w:name="_Toc80794489"/>
      <w:r>
        <w:rPr>
          <w:rStyle w:val="CharSectno"/>
        </w:rPr>
        <w:t>122</w:t>
      </w:r>
      <w:r>
        <w:t>.</w:t>
      </w:r>
      <w:r>
        <w:tab/>
        <w:t>Counsel entitled to practise</w:t>
      </w:r>
      <w:bookmarkEnd w:id="198"/>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No. 48 of 1998 s. 9; amended: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No. 48 of 1998 s. 9.]</w:t>
      </w:r>
    </w:p>
    <w:p>
      <w:pPr>
        <w:pStyle w:val="Heading5"/>
        <w:spacing w:before="180"/>
      </w:pPr>
      <w:bookmarkStart w:id="199" w:name="_Toc80794490"/>
      <w:r>
        <w:rPr>
          <w:rStyle w:val="CharSectno"/>
        </w:rPr>
        <w:t>123</w:t>
      </w:r>
      <w:r>
        <w:t>.</w:t>
      </w:r>
      <w:r>
        <w:tab/>
        <w:t>Recognized court may take evidence or receive submission from person in this State</w:t>
      </w:r>
      <w:bookmarkEnd w:id="199"/>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lastRenderedPageBreak/>
        <w:tab/>
        <w:t>[Section 123 inserted: No. 48 of 1998 s. 9.]</w:t>
      </w:r>
    </w:p>
    <w:p>
      <w:pPr>
        <w:pStyle w:val="Heading5"/>
        <w:spacing w:before="180"/>
      </w:pPr>
      <w:bookmarkStart w:id="200" w:name="_Toc80794491"/>
      <w:r>
        <w:rPr>
          <w:rStyle w:val="CharSectno"/>
        </w:rPr>
        <w:t>124</w:t>
      </w:r>
      <w:r>
        <w:t>.</w:t>
      </w:r>
      <w:r>
        <w:tab/>
        <w:t>Recognized court’s powers</w:t>
      </w:r>
      <w:bookmarkEnd w:id="200"/>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No. 48 of 1998 s. 9.]</w:t>
      </w:r>
    </w:p>
    <w:p>
      <w:pPr>
        <w:pStyle w:val="Heading5"/>
        <w:spacing w:before="240"/>
      </w:pPr>
      <w:bookmarkStart w:id="201" w:name="_Toc80794492"/>
      <w:r>
        <w:rPr>
          <w:rStyle w:val="CharSectno"/>
        </w:rPr>
        <w:t>125</w:t>
      </w:r>
      <w:r>
        <w:t>.</w:t>
      </w:r>
      <w:r>
        <w:tab/>
        <w:t>Recognized court may make orders</w:t>
      </w:r>
      <w:bookmarkEnd w:id="201"/>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No. 48 of 1998 s. 9.]</w:t>
      </w:r>
    </w:p>
    <w:p>
      <w:pPr>
        <w:pStyle w:val="Heading5"/>
      </w:pPr>
      <w:bookmarkStart w:id="202" w:name="_Toc80794493"/>
      <w:r>
        <w:rPr>
          <w:rStyle w:val="CharSectno"/>
        </w:rPr>
        <w:lastRenderedPageBreak/>
        <w:t>126</w:t>
      </w:r>
      <w:r>
        <w:t>.</w:t>
      </w:r>
      <w:r>
        <w:tab/>
        <w:t>Enforcement of order under s. 125</w:t>
      </w:r>
      <w:bookmarkEnd w:id="202"/>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No. 48 of 1998 s. 9.]</w:t>
      </w:r>
    </w:p>
    <w:p>
      <w:pPr>
        <w:pStyle w:val="Heading5"/>
      </w:pPr>
      <w:bookmarkStart w:id="203" w:name="_Toc80794494"/>
      <w:r>
        <w:rPr>
          <w:rStyle w:val="CharSectno"/>
        </w:rPr>
        <w:t>127</w:t>
      </w:r>
      <w:r>
        <w:t>.</w:t>
      </w:r>
      <w:r>
        <w:tab/>
        <w:t xml:space="preserve">Privileges, protection and immunity of participants in proceedings in </w:t>
      </w:r>
      <w:r>
        <w:rPr>
          <w:spacing w:val="-2"/>
        </w:rPr>
        <w:t>recognized</w:t>
      </w:r>
      <w:r>
        <w:t xml:space="preserve"> court</w:t>
      </w:r>
      <w:bookmarkEnd w:id="203"/>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No. 48 of 1998 s. 9.]</w:t>
      </w:r>
    </w:p>
    <w:p>
      <w:pPr>
        <w:pStyle w:val="Heading5"/>
      </w:pPr>
      <w:bookmarkStart w:id="204" w:name="_Toc80794495"/>
      <w:r>
        <w:rPr>
          <w:rStyle w:val="CharSectno"/>
        </w:rPr>
        <w:lastRenderedPageBreak/>
        <w:t>128</w:t>
      </w:r>
      <w:r>
        <w:t>.</w:t>
      </w:r>
      <w:r>
        <w:tab/>
        <w:t>Recognized court may administer an oath in the State</w:t>
      </w:r>
      <w:bookmarkEnd w:id="204"/>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No. 48 of 1998 s. 9.]</w:t>
      </w:r>
    </w:p>
    <w:p>
      <w:pPr>
        <w:pStyle w:val="Heading5"/>
      </w:pPr>
      <w:bookmarkStart w:id="205" w:name="_Toc80794496"/>
      <w:r>
        <w:rPr>
          <w:rStyle w:val="CharSectno"/>
        </w:rPr>
        <w:t>129</w:t>
      </w:r>
      <w:r>
        <w:t>.</w:t>
      </w:r>
      <w:r>
        <w:tab/>
        <w:t>Assistance to recognized court</w:t>
      </w:r>
      <w:bookmarkEnd w:id="205"/>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No. 48 of 1998 s. 9.]</w:t>
      </w:r>
    </w:p>
    <w:p>
      <w:pPr>
        <w:pStyle w:val="Heading5"/>
      </w:pPr>
      <w:bookmarkStart w:id="206" w:name="_Toc80794497"/>
      <w:r>
        <w:rPr>
          <w:rStyle w:val="CharSectno"/>
        </w:rPr>
        <w:t>130</w:t>
      </w:r>
      <w:r>
        <w:t>.</w:t>
      </w:r>
      <w:r>
        <w:tab/>
        <w:t>Contempt of recognized court</w:t>
      </w:r>
      <w:bookmarkEnd w:id="206"/>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lastRenderedPageBreak/>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No. 48 of 1998 s. 9.]</w:t>
      </w:r>
    </w:p>
    <w:p>
      <w:pPr>
        <w:pStyle w:val="MiscellaneousHeading"/>
        <w:spacing w:before="240"/>
        <w:rPr>
          <w:i/>
        </w:rPr>
      </w:pPr>
      <w:r>
        <w:rPr>
          <w:i/>
        </w:rPr>
        <w:t>General provisions relating to the use of video links or audio links</w:t>
      </w:r>
    </w:p>
    <w:p>
      <w:pPr>
        <w:pStyle w:val="Footnoteheading"/>
      </w:pPr>
      <w:r>
        <w:tab/>
        <w:t>[Heading inserted: No. 48 of 1998 s. 9.]</w:t>
      </w:r>
    </w:p>
    <w:p>
      <w:pPr>
        <w:pStyle w:val="Heading5"/>
        <w:keepNext w:val="0"/>
        <w:keepLines w:val="0"/>
      </w:pPr>
      <w:bookmarkStart w:id="207" w:name="_Toc80794498"/>
      <w:r>
        <w:rPr>
          <w:rStyle w:val="CharSectno"/>
        </w:rPr>
        <w:t>131</w:t>
      </w:r>
      <w:r>
        <w:t>.</w:t>
      </w:r>
      <w:r>
        <w:tab/>
        <w:t>Regulations for fees and expenses relating to use of video link or audio link</w:t>
      </w:r>
      <w:bookmarkEnd w:id="207"/>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No. 48 of 1998 s. 9.]</w:t>
      </w:r>
    </w:p>
    <w:p>
      <w:pPr>
        <w:pStyle w:val="Heading5"/>
      </w:pPr>
      <w:bookmarkStart w:id="208" w:name="_Toc80794499"/>
      <w:r>
        <w:rPr>
          <w:rStyle w:val="CharSectno"/>
        </w:rPr>
        <w:t>132</w:t>
      </w:r>
      <w:r>
        <w:t>.</w:t>
      </w:r>
      <w:r>
        <w:tab/>
        <w:t>Operation of other laws</w:t>
      </w:r>
      <w:bookmarkEnd w:id="208"/>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lastRenderedPageBreak/>
        <w:tab/>
        <w:t>(c)</w:t>
      </w:r>
      <w:r>
        <w:tab/>
      </w:r>
      <w:r>
        <w:rPr>
          <w:spacing w:val="-2"/>
        </w:rPr>
        <w:t>in the State for the purpose of a proceeding outside the State.</w:t>
      </w:r>
    </w:p>
    <w:p>
      <w:pPr>
        <w:pStyle w:val="Footnotesection"/>
      </w:pPr>
      <w:r>
        <w:tab/>
        <w:t>[Section 132 inserted: No. 48 of 1998 s. 9</w:t>
      </w:r>
      <w:r>
        <w:rPr>
          <w:i w:val="0"/>
          <w:vertAlign w:val="superscript"/>
        </w:rPr>
        <w:t> 4</w:t>
      </w:r>
      <w:r>
        <w:t>.]</w:t>
      </w:r>
    </w:p>
    <w:p>
      <w:pPr>
        <w:pStyle w:val="MiscellaneousHeading"/>
        <w:rPr>
          <w:i/>
        </w:rPr>
      </w:pPr>
      <w:r>
        <w:rPr>
          <w:i/>
        </w:rPr>
        <w:t>Regulations and rules of court for purposes of Courts and Tribunals (Electronic Processes Facilitation) Act 2013 Part 2</w:t>
      </w:r>
    </w:p>
    <w:p>
      <w:pPr>
        <w:pStyle w:val="Footnoteheading"/>
      </w:pPr>
      <w:r>
        <w:tab/>
        <w:t>[Heading inserted: No. 20 of 2013 s. 73.]</w:t>
      </w:r>
    </w:p>
    <w:p>
      <w:pPr>
        <w:pStyle w:val="Heading5"/>
      </w:pPr>
      <w:bookmarkStart w:id="209" w:name="_Toc80794500"/>
      <w:r>
        <w:rPr>
          <w:rStyle w:val="CharSectno"/>
        </w:rPr>
        <w:t>133</w:t>
      </w:r>
      <w:r>
        <w:t>.</w:t>
      </w:r>
      <w:r>
        <w:tab/>
        <w:t xml:space="preserve">Regulations and rules of court for purposes of </w:t>
      </w:r>
      <w:r>
        <w:rPr>
          <w:i/>
        </w:rPr>
        <w:t>Courts and Tribunals (Electronic Processes Facilitation) Act 2013</w:t>
      </w:r>
      <w:r>
        <w:t xml:space="preserve"> Part 2</w:t>
      </w:r>
      <w:bookmarkEnd w:id="209"/>
    </w:p>
    <w:p>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Subsection"/>
      </w:pPr>
      <w:r>
        <w:tab/>
        <w:t>(4)</w:t>
      </w:r>
      <w:r>
        <w:tab/>
        <w:t>This section does not limit or affect any other power in this Act or any other written law to make regulations or rules of court.</w:t>
      </w:r>
    </w:p>
    <w:p>
      <w:pPr>
        <w:pStyle w:val="Footnotesection"/>
      </w:pPr>
      <w:r>
        <w:tab/>
        <w:t>[Section 133 inserted: No. 20 of 2013 s. 73.]</w:t>
      </w:r>
    </w:p>
    <w:p>
      <w:pPr>
        <w:pStyle w:val="Heading5"/>
      </w:pPr>
      <w:bookmarkStart w:id="210" w:name="_Toc80794501"/>
      <w:r>
        <w:rPr>
          <w:rStyle w:val="CharSectno"/>
        </w:rPr>
        <w:t>134</w:t>
      </w:r>
      <w:r>
        <w:t>.</w:t>
      </w:r>
      <w:r>
        <w:tab/>
        <w:t xml:space="preserve">Review of amendment made by </w:t>
      </w:r>
      <w:r>
        <w:rPr>
          <w:i/>
          <w:iCs/>
        </w:rPr>
        <w:t>Family Violence Legislation Reform Act 2020</w:t>
      </w:r>
      <w:bookmarkEnd w:id="210"/>
    </w:p>
    <w:p>
      <w:pPr>
        <w:pStyle w:val="Subsection"/>
      </w:pPr>
      <w:r>
        <w:tab/>
        <w:t>(1)</w:t>
      </w:r>
      <w:r>
        <w:tab/>
        <w:t xml:space="preserve">The Minister must review the operation and effectiveness of the amendment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w:t>
      </w:r>
      <w:r>
        <w:lastRenderedPageBreak/>
        <w:t xml:space="preserve">the </w:t>
      </w:r>
      <w:r>
        <w:rPr>
          <w:i/>
          <w:iCs/>
        </w:rPr>
        <w:t>Family Violence Legislation Reform Act 2020</w:t>
      </w:r>
      <w:r>
        <w:t xml:space="preserve"> section 93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134 inserted: No. 30 of 2020 s. 95.]</w:t>
      </w:r>
    </w:p>
    <w:p>
      <w:pPr>
        <w:pStyle w:val="yEdnoteschedule"/>
      </w:pPr>
      <w:r>
        <w:t>[The First Schedule omitted under the Reprints Act 1984 s. 7(4)(f).]</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211" w:name="_Toc80787971"/>
      <w:bookmarkStart w:id="212" w:name="_Toc80791363"/>
      <w:bookmarkStart w:id="213" w:name="_Toc80794502"/>
      <w:r>
        <w:rPr>
          <w:rStyle w:val="CharSchNo"/>
        </w:rPr>
        <w:lastRenderedPageBreak/>
        <w:t>The Second Schedule</w:t>
      </w:r>
      <w:bookmarkEnd w:id="211"/>
      <w:bookmarkEnd w:id="212"/>
      <w:bookmarkEnd w:id="213"/>
    </w:p>
    <w:p>
      <w:pPr>
        <w:pStyle w:val="yShoulderClause"/>
        <w:spacing w:before="0"/>
        <w:rPr>
          <w:snapToGrid w:val="0"/>
        </w:rPr>
      </w:pPr>
      <w:r>
        <w:rPr>
          <w:snapToGrid w:val="0"/>
        </w:rPr>
        <w:t>[Section 9]</w:t>
      </w:r>
    </w:p>
    <w:p>
      <w:pPr>
        <w:pStyle w:val="yFootnoteheading"/>
        <w:spacing w:before="80"/>
      </w:pPr>
      <w:r>
        <w:tab/>
        <w:t>[Heading inserted: No. 48 of 1991 s. 10.]</w:t>
      </w:r>
    </w:p>
    <w:p>
      <w:pPr>
        <w:pStyle w:val="yHeading2"/>
        <w:rPr>
          <w:i/>
        </w:rPr>
      </w:pPr>
      <w:bookmarkStart w:id="214" w:name="_Toc80787972"/>
      <w:bookmarkStart w:id="215" w:name="_Toc80791364"/>
      <w:bookmarkStart w:id="216" w:name="_Toc80794503"/>
      <w:r>
        <w:rPr>
          <w:rStyle w:val="CharSDivNo"/>
          <w:sz w:val="28"/>
        </w:rPr>
        <w:t>Part 1</w:t>
      </w:r>
      <w:r>
        <w:t> — </w:t>
      </w:r>
      <w:r>
        <w:rPr>
          <w:rStyle w:val="CharSDivText"/>
          <w:sz w:val="28"/>
        </w:rPr>
        <w:t xml:space="preserve">Offences under </w:t>
      </w:r>
      <w:r>
        <w:rPr>
          <w:rStyle w:val="CharSDivText"/>
          <w:i/>
          <w:iCs/>
          <w:sz w:val="28"/>
        </w:rPr>
        <w:t>The Criminal Code</w:t>
      </w:r>
      <w:bookmarkEnd w:id="214"/>
      <w:bookmarkEnd w:id="215"/>
      <w:bookmarkEnd w:id="216"/>
    </w:p>
    <w:p>
      <w:pPr>
        <w:pStyle w:val="yFootnoteheading"/>
        <w:spacing w:before="80" w:after="40"/>
        <w:rPr>
          <w:i w:val="0"/>
        </w:rPr>
      </w:pPr>
      <w:r>
        <w:tab/>
        <w:t>[Heading inserted: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lastRenderedPageBreak/>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lastRenderedPageBreak/>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No. 48 of 1991 s. 10; amended: No. 14 of 1992 s. 15(2);  No. 82 of 1994 s. 13(4)(a); No. 69 of 1996 s. 31; No. 15 of 1998 s. 6(1); No. 23 of 2001 s. 10(3); No. 3 of 2002 s. 41(3); No. 4 of 2004 s. 24, 26 and 61(6); No. 2 of 2008 s. 55; No. 29 of 2008 s. 33.]</w:t>
      </w:r>
    </w:p>
    <w:p>
      <w:pPr>
        <w:pStyle w:val="yHeading2"/>
        <w:spacing w:before="120"/>
      </w:pPr>
      <w:bookmarkStart w:id="217" w:name="_Toc80787973"/>
      <w:bookmarkStart w:id="218" w:name="_Toc80791365"/>
      <w:bookmarkStart w:id="219" w:name="_Toc80794504"/>
      <w:r>
        <w:rPr>
          <w:rStyle w:val="CharSDivNo"/>
          <w:sz w:val="28"/>
        </w:rPr>
        <w:lastRenderedPageBreak/>
        <w:t>Part 2</w:t>
      </w:r>
      <w:r>
        <w:t> — </w:t>
      </w:r>
      <w:r>
        <w:rPr>
          <w:rStyle w:val="CharSDivText"/>
          <w:sz w:val="28"/>
        </w:rPr>
        <w:t xml:space="preserve">Offences under the </w:t>
      </w:r>
      <w:r>
        <w:rPr>
          <w:rStyle w:val="CharSDivText"/>
          <w:i/>
          <w:sz w:val="28"/>
        </w:rPr>
        <w:t>Road Traffic Act 1974</w:t>
      </w:r>
      <w:bookmarkEnd w:id="217"/>
      <w:bookmarkEnd w:id="218"/>
      <w:bookmarkEnd w:id="219"/>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No. 48 of 1991 s. 10.]</w:t>
      </w:r>
    </w:p>
    <w:p>
      <w:pPr>
        <w:pStyle w:val="yEdnotedivision"/>
        <w:spacing w:before="120"/>
        <w:outlineLvl w:val="9"/>
      </w:pPr>
      <w:r>
        <w:t>[Part 3 deleted: No. 70 of 2004 s. 82.]</w:t>
      </w:r>
    </w:p>
    <w:p>
      <w:pPr>
        <w:pStyle w:val="yHeading2"/>
        <w:spacing w:before="260"/>
        <w:rPr>
          <w:rStyle w:val="CharSDivText"/>
          <w:i/>
          <w:iCs/>
          <w:sz w:val="28"/>
        </w:rPr>
      </w:pPr>
      <w:bookmarkStart w:id="220" w:name="_Toc80787974"/>
      <w:bookmarkStart w:id="221" w:name="_Toc80791366"/>
      <w:bookmarkStart w:id="222" w:name="_Toc80794505"/>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220"/>
      <w:bookmarkEnd w:id="221"/>
      <w:bookmarkEnd w:id="222"/>
    </w:p>
    <w:p>
      <w:pPr>
        <w:pStyle w:val="yFootnoteheading"/>
        <w:spacing w:after="40"/>
      </w:pPr>
      <w:r>
        <w:tab/>
        <w:t>[Heading inserted: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No. 34 of 2004 s. 251.]</w:t>
      </w:r>
    </w:p>
    <w:p>
      <w:pPr>
        <w:pStyle w:val="yHeading2"/>
        <w:spacing w:before="260"/>
      </w:pPr>
      <w:bookmarkStart w:id="223" w:name="_Toc80787975"/>
      <w:bookmarkStart w:id="224" w:name="_Toc80791367"/>
      <w:bookmarkStart w:id="225" w:name="_Toc80794506"/>
      <w:r>
        <w:rPr>
          <w:rStyle w:val="CharSDivNo"/>
          <w:sz w:val="28"/>
        </w:rPr>
        <w:t>Part 5</w:t>
      </w:r>
      <w:r>
        <w:t> — </w:t>
      </w:r>
      <w:r>
        <w:rPr>
          <w:rStyle w:val="CharSDivText"/>
          <w:sz w:val="28"/>
        </w:rPr>
        <w:t xml:space="preserve">Offences under the </w:t>
      </w:r>
      <w:r>
        <w:rPr>
          <w:rStyle w:val="CharSDivText"/>
          <w:i/>
          <w:sz w:val="28"/>
        </w:rPr>
        <w:t>Misuse of Drugs Act 1981</w:t>
      </w:r>
      <w:bookmarkEnd w:id="223"/>
      <w:bookmarkEnd w:id="224"/>
      <w:bookmarkEnd w:id="225"/>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lastRenderedPageBreak/>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No. 48 of 1991 s. 10; amended: No. 62 of 2004 s. 9(2).]</w:t>
      </w:r>
    </w:p>
    <w:p>
      <w:pPr>
        <w:pStyle w:val="yEdnoteschedule"/>
        <w:outlineLvl w:val="9"/>
      </w:pPr>
      <w:r>
        <w:t>[The Third Schedule deleted: No. 70 of 1988 s. 44.]</w:t>
      </w:r>
    </w:p>
    <w:p>
      <w:pPr>
        <w:pStyle w:val="yScheduleHeading"/>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pPr>
      <w:bookmarkStart w:id="227" w:name="_Toc80787976"/>
      <w:bookmarkStart w:id="228" w:name="_Toc80791368"/>
      <w:bookmarkStart w:id="229" w:name="_Toc80794507"/>
      <w:r>
        <w:rPr>
          <w:rStyle w:val="CharSchNo"/>
        </w:rPr>
        <w:lastRenderedPageBreak/>
        <w:t>The Fourth Schedule</w:t>
      </w:r>
      <w:bookmarkEnd w:id="227"/>
      <w:bookmarkEnd w:id="228"/>
      <w:bookmarkEnd w:id="229"/>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230" w:name="_Toc80787977"/>
      <w:bookmarkStart w:id="231" w:name="_Toc80791369"/>
      <w:bookmarkStart w:id="232" w:name="_Toc80794508"/>
      <w:r>
        <w:rPr>
          <w:rStyle w:val="CharSchNo"/>
        </w:rPr>
        <w:lastRenderedPageBreak/>
        <w:t>The Fifth Schedule</w:t>
      </w:r>
      <w:bookmarkEnd w:id="230"/>
      <w:bookmarkEnd w:id="231"/>
      <w:bookmarkEnd w:id="232"/>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No. 8 of 1925 s. 2; No. 6 of 2003 s. 85(2); No. 28 of 2006 s. 37.]</w:t>
      </w:r>
    </w:p>
    <w:p>
      <w:pPr>
        <w:pStyle w:val="yScheduleHeading"/>
      </w:pPr>
      <w:bookmarkStart w:id="233" w:name="_Toc80787978"/>
      <w:bookmarkStart w:id="234" w:name="_Toc80791370"/>
      <w:bookmarkStart w:id="235" w:name="_Toc80794509"/>
      <w:r>
        <w:rPr>
          <w:rStyle w:val="CharSchNo"/>
        </w:rPr>
        <w:lastRenderedPageBreak/>
        <w:t>The Sixth Schedule</w:t>
      </w:r>
      <w:bookmarkEnd w:id="233"/>
      <w:bookmarkEnd w:id="234"/>
      <w:bookmarkEnd w:id="235"/>
    </w:p>
    <w:p>
      <w:pPr>
        <w:pStyle w:val="yFootnoteheading"/>
        <w:rPr>
          <w:i w:val="0"/>
        </w:rPr>
      </w:pPr>
      <w:r>
        <w:tab/>
        <w:t>[Heading inserted: No. 16 of 1956.]</w:t>
      </w:r>
    </w:p>
    <w:p>
      <w:pPr>
        <w:pStyle w:val="yShoulderClause"/>
        <w:keepLines/>
        <w:spacing w:before="0"/>
        <w:rPr>
          <w:snapToGrid w:val="0"/>
        </w:rPr>
      </w:pPr>
      <w:r>
        <w:rPr>
          <w:snapToGrid w:val="0"/>
        </w:rPr>
        <w:t>[s.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lastRenderedPageBreak/>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No. 16 of 1956; amended: No. 84 of 2004 s. 80.] </w:t>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236" w:name="_Toc80787979"/>
      <w:bookmarkStart w:id="237" w:name="_Toc80791371"/>
      <w:bookmarkStart w:id="238" w:name="_Toc80794510"/>
      <w:r>
        <w:rPr>
          <w:rStyle w:val="CharSchNo"/>
        </w:rPr>
        <w:lastRenderedPageBreak/>
        <w:t>Schedule 7</w:t>
      </w:r>
      <w:bookmarkEnd w:id="236"/>
      <w:bookmarkEnd w:id="237"/>
      <w:bookmarkEnd w:id="238"/>
    </w:p>
    <w:p>
      <w:pPr>
        <w:pStyle w:val="yShoulderClause"/>
        <w:rPr>
          <w:snapToGrid w:val="0"/>
        </w:rPr>
      </w:pPr>
      <w:r>
        <w:rPr>
          <w:snapToGrid w:val="0"/>
        </w:rPr>
        <w:t xml:space="preserve"> (Section 106A)</w:t>
      </w:r>
    </w:p>
    <w:p>
      <w:pPr>
        <w:pStyle w:val="yFootnoteheading"/>
      </w:pPr>
      <w:r>
        <w:tab/>
        <w:t>[Heading inserted: No. 36 of 1992 s. 10.]</w:t>
      </w:r>
    </w:p>
    <w:p>
      <w:pPr>
        <w:pStyle w:val="yHeading2"/>
      </w:pPr>
      <w:bookmarkStart w:id="239" w:name="_Toc80787980"/>
      <w:bookmarkStart w:id="240" w:name="_Toc80791372"/>
      <w:bookmarkStart w:id="241" w:name="_Toc80794511"/>
      <w:r>
        <w:rPr>
          <w:rStyle w:val="CharSDivNo"/>
          <w:sz w:val="28"/>
        </w:rPr>
        <w:t>Part A</w:t>
      </w:r>
      <w:bookmarkEnd w:id="239"/>
      <w:bookmarkEnd w:id="240"/>
      <w:bookmarkEnd w:id="241"/>
    </w:p>
    <w:p>
      <w:pPr>
        <w:pStyle w:val="yFootnoteheading"/>
        <w:rPr>
          <w:b/>
          <w:sz w:val="28"/>
        </w:rPr>
      </w:pPr>
      <w:r>
        <w:tab/>
        <w:t>[Heading inserted: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lastRenderedPageBreak/>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No. 36 of 1992 s. 10; amended: No. 17 of 2000 s. 64; No. 71 of 2000 s. 30; </w:t>
      </w:r>
      <w:r>
        <w:rPr>
          <w:spacing w:val="-6"/>
        </w:rPr>
        <w:t>No. 34 of 2004 s. </w:t>
      </w:r>
      <w:r>
        <w:t>251; No. 46 of 2004 s. 29.]</w:t>
      </w:r>
    </w:p>
    <w:p>
      <w:pPr>
        <w:pStyle w:val="yHeading2"/>
      </w:pPr>
      <w:bookmarkStart w:id="242" w:name="_Toc80787981"/>
      <w:bookmarkStart w:id="243" w:name="_Toc80791373"/>
      <w:bookmarkStart w:id="244" w:name="_Toc80794512"/>
      <w:r>
        <w:rPr>
          <w:rStyle w:val="CharSDivNo"/>
          <w:sz w:val="28"/>
        </w:rPr>
        <w:t>Part B</w:t>
      </w:r>
      <w:bookmarkEnd w:id="242"/>
      <w:bookmarkEnd w:id="243"/>
      <w:bookmarkEnd w:id="244"/>
    </w:p>
    <w:p>
      <w:pPr>
        <w:pStyle w:val="yFootnoteheading"/>
        <w:spacing w:after="40"/>
        <w:rPr>
          <w:b/>
          <w:sz w:val="28"/>
        </w:rPr>
      </w:pPr>
      <w:r>
        <w:tab/>
        <w:t>[Heading inserted: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lastRenderedPageBreak/>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No. 17 of 2000 s. 64; amended: No. 3 of 2002 s. 35(2).]</w:t>
      </w:r>
    </w:p>
    <w:p>
      <w:pPr>
        <w:pStyle w:val="yHeading2"/>
      </w:pPr>
      <w:bookmarkStart w:id="245" w:name="_Toc80787982"/>
      <w:bookmarkStart w:id="246" w:name="_Toc80791374"/>
      <w:bookmarkStart w:id="247" w:name="_Toc80794513"/>
      <w:r>
        <w:rPr>
          <w:rStyle w:val="CharSDivNo"/>
          <w:sz w:val="28"/>
        </w:rPr>
        <w:t>Part C</w:t>
      </w:r>
      <w:bookmarkEnd w:id="245"/>
      <w:bookmarkEnd w:id="246"/>
      <w:bookmarkEnd w:id="247"/>
    </w:p>
    <w:p>
      <w:pPr>
        <w:pStyle w:val="yFootnoteheading"/>
        <w:spacing w:after="40"/>
        <w:rPr>
          <w:b/>
          <w:sz w:val="28"/>
        </w:rPr>
      </w:pPr>
      <w:r>
        <w:tab/>
        <w:t>[Heading inserted: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No. 36 of 1992 s. 10; amended: No. 82 of 1994 s. 13(4)(b); No. 4 of 2004 s. 24; No. 84 of 2004 s. 41 and 82.]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nHeading2"/>
      </w:pPr>
      <w:bookmarkStart w:id="248" w:name="_Toc80787983"/>
      <w:bookmarkStart w:id="249" w:name="_Toc80791375"/>
      <w:bookmarkStart w:id="250" w:name="_Toc80794514"/>
      <w:r>
        <w:lastRenderedPageBreak/>
        <w:t>Notes</w:t>
      </w:r>
      <w:bookmarkEnd w:id="248"/>
      <w:bookmarkEnd w:id="249"/>
      <w:bookmarkEnd w:id="250"/>
    </w:p>
    <w:p>
      <w:pPr>
        <w:pStyle w:val="nStatement"/>
      </w:pPr>
      <w:r>
        <w:t xml:space="preserve">This is a compilation of the </w:t>
      </w:r>
      <w:r>
        <w:rPr>
          <w:i/>
          <w:noProof/>
        </w:rPr>
        <w:t>Evidence Act 1906</w:t>
      </w:r>
      <w:r>
        <w:t xml:space="preserve"> and includes amendments made by other written laws </w:t>
      </w:r>
      <w:r>
        <w:rPr>
          <w:vertAlign w:val="superscript"/>
        </w:rPr>
        <w:t>1M, 5, 6</w:t>
      </w:r>
      <w:r>
        <w:t>. For provisions that have come into operation, and for information about any reprints, see the compilation table. For provisions that have not yet come into operation see the uncommenced provisions table.</w:t>
      </w:r>
    </w:p>
    <w:p>
      <w:pPr>
        <w:pStyle w:val="nHeading3"/>
      </w:pPr>
      <w:bookmarkStart w:id="251" w:name="_Toc80794515"/>
      <w:r>
        <w:t>Compilation table</w:t>
      </w:r>
      <w:bookmarkEnd w:id="25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38"/>
        <w:gridCol w:w="1134"/>
        <w:gridCol w:w="31"/>
        <w:gridCol w:w="2521"/>
      </w:tblGrid>
      <w:tr>
        <w:trPr>
          <w:tblHeader/>
        </w:trPr>
        <w:tc>
          <w:tcPr>
            <w:tcW w:w="2268" w:type="dxa"/>
            <w:gridSpan w:val="2"/>
          </w:tcPr>
          <w:p>
            <w:pPr>
              <w:pStyle w:val="nTable"/>
              <w:spacing w:after="40"/>
              <w:rPr>
                <w:b/>
              </w:rPr>
            </w:pPr>
            <w:r>
              <w:rPr>
                <w:b/>
              </w:rPr>
              <w:t>Short title</w:t>
            </w:r>
          </w:p>
        </w:tc>
        <w:tc>
          <w:tcPr>
            <w:tcW w:w="113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1906</w:t>
            </w:r>
          </w:p>
        </w:tc>
        <w:tc>
          <w:tcPr>
            <w:tcW w:w="1138" w:type="dxa"/>
          </w:tcPr>
          <w:p>
            <w:pPr>
              <w:pStyle w:val="nTable"/>
              <w:spacing w:after="40"/>
            </w:pPr>
            <w:r>
              <w:t>28 of 1906</w:t>
            </w:r>
            <w:r>
              <w:br/>
              <w:t>(6 Edw. VII No. 28)</w:t>
            </w:r>
          </w:p>
        </w:tc>
        <w:tc>
          <w:tcPr>
            <w:tcW w:w="1134" w:type="dxa"/>
          </w:tcPr>
          <w:p>
            <w:pPr>
              <w:pStyle w:val="nTable"/>
              <w:spacing w:after="40"/>
            </w:pPr>
            <w:r>
              <w:t>14 Dec 1906</w:t>
            </w:r>
          </w:p>
        </w:tc>
        <w:tc>
          <w:tcPr>
            <w:tcW w:w="2552" w:type="dxa"/>
            <w:gridSpan w:val="2"/>
          </w:tcPr>
          <w:p>
            <w:pPr>
              <w:pStyle w:val="nTable"/>
              <w:spacing w:after="40"/>
            </w:pPr>
            <w:r>
              <w:t>14 Dec 1906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1913</w:t>
            </w:r>
          </w:p>
        </w:tc>
        <w:tc>
          <w:tcPr>
            <w:tcW w:w="1138" w:type="dxa"/>
          </w:tcPr>
          <w:p>
            <w:pPr>
              <w:pStyle w:val="nTable"/>
              <w:spacing w:after="40"/>
            </w:pPr>
            <w:r>
              <w:t>16 of 1913</w:t>
            </w:r>
            <w:r>
              <w:br/>
              <w:t>(4 Geo. V No. 16)</w:t>
            </w:r>
          </w:p>
        </w:tc>
        <w:tc>
          <w:tcPr>
            <w:tcW w:w="1134" w:type="dxa"/>
          </w:tcPr>
          <w:p>
            <w:pPr>
              <w:pStyle w:val="nTable"/>
              <w:spacing w:after="40"/>
            </w:pPr>
            <w:r>
              <w:t>30 Dec 1913</w:t>
            </w:r>
          </w:p>
        </w:tc>
        <w:tc>
          <w:tcPr>
            <w:tcW w:w="2552" w:type="dxa"/>
            <w:gridSpan w:val="2"/>
          </w:tcPr>
          <w:p>
            <w:pPr>
              <w:pStyle w:val="nTable"/>
              <w:spacing w:after="40"/>
            </w:pPr>
            <w:r>
              <w:t>30 Dec 1913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1921</w:t>
            </w:r>
          </w:p>
        </w:tc>
        <w:tc>
          <w:tcPr>
            <w:tcW w:w="1138" w:type="dxa"/>
          </w:tcPr>
          <w:p>
            <w:pPr>
              <w:pStyle w:val="nTable"/>
              <w:spacing w:after="40"/>
            </w:pPr>
            <w:r>
              <w:t>19 of 1921</w:t>
            </w:r>
            <w:r>
              <w:br/>
              <w:t>(12 Geo. V No. 19)</w:t>
            </w:r>
          </w:p>
        </w:tc>
        <w:tc>
          <w:tcPr>
            <w:tcW w:w="1134" w:type="dxa"/>
          </w:tcPr>
          <w:p>
            <w:pPr>
              <w:pStyle w:val="nTable"/>
              <w:spacing w:after="40"/>
            </w:pPr>
            <w:r>
              <w:t>29 Nov 1921</w:t>
            </w:r>
          </w:p>
        </w:tc>
        <w:tc>
          <w:tcPr>
            <w:tcW w:w="2552" w:type="dxa"/>
            <w:gridSpan w:val="2"/>
          </w:tcPr>
          <w:p>
            <w:pPr>
              <w:pStyle w:val="nTable"/>
              <w:spacing w:after="40"/>
            </w:pPr>
            <w:r>
              <w:t>29 Nov 1921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Ministers’ Titles Act 1925</w:t>
            </w:r>
            <w:r>
              <w:br/>
              <w:t>s. 2</w:t>
            </w:r>
          </w:p>
        </w:tc>
        <w:tc>
          <w:tcPr>
            <w:tcW w:w="1138" w:type="dxa"/>
          </w:tcPr>
          <w:p>
            <w:pPr>
              <w:pStyle w:val="nTable"/>
              <w:spacing w:after="40"/>
            </w:pPr>
            <w:r>
              <w:t>8 of 1925</w:t>
            </w:r>
            <w:r>
              <w:br/>
              <w:t>(16 Geo. V No. 8)</w:t>
            </w:r>
          </w:p>
        </w:tc>
        <w:tc>
          <w:tcPr>
            <w:tcW w:w="1134" w:type="dxa"/>
          </w:tcPr>
          <w:p>
            <w:pPr>
              <w:pStyle w:val="nTable"/>
              <w:spacing w:after="40"/>
            </w:pPr>
            <w:r>
              <w:t>24 Sep 1925</w:t>
            </w:r>
          </w:p>
        </w:tc>
        <w:tc>
          <w:tcPr>
            <w:tcW w:w="2552" w:type="dxa"/>
            <w:gridSpan w:val="2"/>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1930</w:t>
            </w:r>
          </w:p>
        </w:tc>
        <w:tc>
          <w:tcPr>
            <w:tcW w:w="1138" w:type="dxa"/>
          </w:tcPr>
          <w:p>
            <w:pPr>
              <w:pStyle w:val="nTable"/>
              <w:spacing w:after="40"/>
            </w:pPr>
            <w:r>
              <w:t>34 of 1930</w:t>
            </w:r>
            <w:r>
              <w:br/>
              <w:t>(21 Geo. V No. 34)</w:t>
            </w:r>
          </w:p>
        </w:tc>
        <w:tc>
          <w:tcPr>
            <w:tcW w:w="1134" w:type="dxa"/>
          </w:tcPr>
          <w:p>
            <w:pPr>
              <w:pStyle w:val="nTable"/>
              <w:spacing w:after="40"/>
            </w:pPr>
            <w:r>
              <w:t>22 Dec 1930</w:t>
            </w:r>
          </w:p>
        </w:tc>
        <w:tc>
          <w:tcPr>
            <w:tcW w:w="2552" w:type="dxa"/>
            <w:gridSpan w:val="2"/>
          </w:tcPr>
          <w:p>
            <w:pPr>
              <w:pStyle w:val="nTable"/>
              <w:spacing w:after="40"/>
            </w:pPr>
            <w:r>
              <w:t>22 Dec 1930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Matrimonial Causes and Personal Status Code 1948 </w:t>
            </w:r>
            <w:r>
              <w:t>s. 3(2)</w:t>
            </w:r>
          </w:p>
        </w:tc>
        <w:tc>
          <w:tcPr>
            <w:tcW w:w="1138" w:type="dxa"/>
          </w:tcPr>
          <w:p>
            <w:pPr>
              <w:pStyle w:val="nTable"/>
              <w:spacing w:after="40"/>
            </w:pPr>
            <w:r>
              <w:t>73 of 1948</w:t>
            </w:r>
            <w:r>
              <w:br/>
              <w:t>(12 and 13 Geo. VI No. 73)</w:t>
            </w:r>
          </w:p>
        </w:tc>
        <w:tc>
          <w:tcPr>
            <w:tcW w:w="1134" w:type="dxa"/>
          </w:tcPr>
          <w:p>
            <w:pPr>
              <w:pStyle w:val="nTable"/>
              <w:spacing w:after="40"/>
            </w:pPr>
            <w:r>
              <w:t>4 Mar 1949</w:t>
            </w:r>
          </w:p>
        </w:tc>
        <w:tc>
          <w:tcPr>
            <w:tcW w:w="2552" w:type="dxa"/>
            <w:gridSpan w:val="2"/>
          </w:tcPr>
          <w:p>
            <w:pPr>
              <w:pStyle w:val="nTable"/>
              <w:spacing w:after="40"/>
            </w:pPr>
            <w:r>
              <w:t xml:space="preserve">1 Jan 1950 (see s. 1 and </w:t>
            </w:r>
            <w:r>
              <w:rPr>
                <w:i/>
              </w:rPr>
              <w:t>Gazette</w:t>
            </w:r>
            <w:r>
              <w:t xml:space="preserve"> 19 Oct 1949 p. 2499)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1956</w:t>
            </w:r>
          </w:p>
        </w:tc>
        <w:tc>
          <w:tcPr>
            <w:tcW w:w="1138" w:type="dxa"/>
          </w:tcPr>
          <w:p>
            <w:pPr>
              <w:pStyle w:val="nTable"/>
              <w:spacing w:after="40"/>
            </w:pPr>
            <w:r>
              <w:t>16 of 1956</w:t>
            </w:r>
            <w:r>
              <w:br/>
              <w:t>(5 Eliz. II No. 16)</w:t>
            </w:r>
          </w:p>
        </w:tc>
        <w:tc>
          <w:tcPr>
            <w:tcW w:w="1134" w:type="dxa"/>
          </w:tcPr>
          <w:p>
            <w:pPr>
              <w:pStyle w:val="nTable"/>
              <w:spacing w:after="40"/>
            </w:pPr>
            <w:r>
              <w:t>26 Oct 1956</w:t>
            </w:r>
          </w:p>
        </w:tc>
        <w:tc>
          <w:tcPr>
            <w:tcW w:w="2552" w:type="dxa"/>
            <w:gridSpan w:val="2"/>
          </w:tcPr>
          <w:p>
            <w:pPr>
              <w:pStyle w:val="nTable"/>
              <w:spacing w:after="40"/>
            </w:pPr>
            <w:r>
              <w:t>26 Oct 1956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1960</w:t>
            </w:r>
          </w:p>
        </w:tc>
        <w:tc>
          <w:tcPr>
            <w:tcW w:w="1138" w:type="dxa"/>
          </w:tcPr>
          <w:p>
            <w:pPr>
              <w:pStyle w:val="nTable"/>
              <w:spacing w:after="40"/>
            </w:pPr>
            <w:r>
              <w:t>10 of 1960</w:t>
            </w:r>
            <w:r>
              <w:br/>
              <w:t>(9 Eliz. II No. 10)</w:t>
            </w:r>
          </w:p>
        </w:tc>
        <w:tc>
          <w:tcPr>
            <w:tcW w:w="1134" w:type="dxa"/>
          </w:tcPr>
          <w:p>
            <w:pPr>
              <w:pStyle w:val="nTable"/>
              <w:spacing w:after="40"/>
            </w:pPr>
            <w:r>
              <w:t>6 Oct 1960</w:t>
            </w:r>
          </w:p>
        </w:tc>
        <w:tc>
          <w:tcPr>
            <w:tcW w:w="2552" w:type="dxa"/>
            <w:gridSpan w:val="2"/>
          </w:tcPr>
          <w:p>
            <w:pPr>
              <w:pStyle w:val="nTable"/>
              <w:spacing w:after="40"/>
            </w:pPr>
            <w:r>
              <w:t>6 Oct 1960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Evidence Act Amendment Act 1962</w:t>
            </w:r>
          </w:p>
        </w:tc>
        <w:tc>
          <w:tcPr>
            <w:tcW w:w="1138" w:type="dxa"/>
          </w:tcPr>
          <w:p>
            <w:pPr>
              <w:pStyle w:val="nTable"/>
              <w:spacing w:after="40"/>
            </w:pPr>
            <w:r>
              <w:t>12 of 1962</w:t>
            </w:r>
            <w:r>
              <w:br/>
              <w:t>(11 Eliz. II No. 12)</w:t>
            </w:r>
          </w:p>
        </w:tc>
        <w:tc>
          <w:tcPr>
            <w:tcW w:w="1134" w:type="dxa"/>
          </w:tcPr>
          <w:p>
            <w:pPr>
              <w:pStyle w:val="nTable"/>
              <w:spacing w:after="40"/>
            </w:pPr>
            <w:r>
              <w:t>1 Oct 1962</w:t>
            </w:r>
          </w:p>
        </w:tc>
        <w:tc>
          <w:tcPr>
            <w:tcW w:w="2552" w:type="dxa"/>
            <w:gridSpan w:val="2"/>
          </w:tcPr>
          <w:p>
            <w:pPr>
              <w:pStyle w:val="nTable"/>
              <w:spacing w:after="40"/>
            </w:pPr>
            <w:r>
              <w:t>1 Oct 1962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1963</w:t>
            </w:r>
          </w:p>
        </w:tc>
        <w:tc>
          <w:tcPr>
            <w:tcW w:w="1138" w:type="dxa"/>
          </w:tcPr>
          <w:p>
            <w:pPr>
              <w:pStyle w:val="nTable"/>
              <w:spacing w:after="40"/>
            </w:pPr>
            <w:r>
              <w:t>54 of 1963</w:t>
            </w:r>
            <w:r>
              <w:br/>
              <w:t>(12 Eliz. II No. 54)</w:t>
            </w:r>
          </w:p>
        </w:tc>
        <w:tc>
          <w:tcPr>
            <w:tcW w:w="1134" w:type="dxa"/>
          </w:tcPr>
          <w:p>
            <w:pPr>
              <w:pStyle w:val="nTable"/>
              <w:spacing w:after="40"/>
            </w:pPr>
            <w:r>
              <w:t>17 Dec 1963</w:t>
            </w:r>
          </w:p>
        </w:tc>
        <w:tc>
          <w:tcPr>
            <w:tcW w:w="2552" w:type="dxa"/>
            <w:gridSpan w:val="2"/>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1964</w:t>
            </w:r>
          </w:p>
        </w:tc>
        <w:tc>
          <w:tcPr>
            <w:tcW w:w="1138" w:type="dxa"/>
          </w:tcPr>
          <w:p>
            <w:pPr>
              <w:pStyle w:val="nTable"/>
              <w:spacing w:after="40"/>
            </w:pPr>
            <w:r>
              <w:t>11 of 1964</w:t>
            </w:r>
            <w:r>
              <w:br/>
              <w:t>(13 Eliz. II No. 11)</w:t>
            </w:r>
          </w:p>
        </w:tc>
        <w:tc>
          <w:tcPr>
            <w:tcW w:w="1134" w:type="dxa"/>
          </w:tcPr>
          <w:p>
            <w:pPr>
              <w:pStyle w:val="nTable"/>
              <w:spacing w:after="40"/>
            </w:pPr>
            <w:r>
              <w:t>2 Oct 1964</w:t>
            </w:r>
          </w:p>
        </w:tc>
        <w:tc>
          <w:tcPr>
            <w:tcW w:w="2552" w:type="dxa"/>
            <w:gridSpan w:val="2"/>
          </w:tcPr>
          <w:p>
            <w:pPr>
              <w:pStyle w:val="nTable"/>
              <w:spacing w:after="40"/>
            </w:pPr>
            <w:r>
              <w:t>2 Oct 1964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Decimal Currency Act 1965</w:t>
            </w:r>
          </w:p>
        </w:tc>
        <w:tc>
          <w:tcPr>
            <w:tcW w:w="1138" w:type="dxa"/>
          </w:tcPr>
          <w:p>
            <w:pPr>
              <w:pStyle w:val="nTable"/>
              <w:keepNext/>
              <w:spacing w:after="40"/>
            </w:pPr>
            <w:r>
              <w:t>113 of 1965</w:t>
            </w:r>
          </w:p>
        </w:tc>
        <w:tc>
          <w:tcPr>
            <w:tcW w:w="1134" w:type="dxa"/>
          </w:tcPr>
          <w:p>
            <w:pPr>
              <w:pStyle w:val="nTable"/>
              <w:spacing w:after="40"/>
            </w:pPr>
            <w:r>
              <w:t>21 Dec 1965</w:t>
            </w:r>
          </w:p>
        </w:tc>
        <w:tc>
          <w:tcPr>
            <w:tcW w:w="2552" w:type="dxa"/>
            <w:gridSpan w:val="2"/>
          </w:tcPr>
          <w:p>
            <w:pPr>
              <w:pStyle w:val="nTable"/>
              <w:spacing w:after="40"/>
            </w:pPr>
            <w:r>
              <w:t>Act other than s. 4</w:t>
            </w:r>
            <w:r>
              <w:noBreakHyphen/>
              <w:t>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1966</w:t>
            </w:r>
          </w:p>
        </w:tc>
        <w:tc>
          <w:tcPr>
            <w:tcW w:w="1138" w:type="dxa"/>
          </w:tcPr>
          <w:p>
            <w:pPr>
              <w:pStyle w:val="nTable"/>
              <w:spacing w:after="40"/>
            </w:pPr>
            <w:r>
              <w:t>20 of 1966</w:t>
            </w:r>
          </w:p>
        </w:tc>
        <w:tc>
          <w:tcPr>
            <w:tcW w:w="1134" w:type="dxa"/>
          </w:tcPr>
          <w:p>
            <w:pPr>
              <w:pStyle w:val="nTable"/>
              <w:spacing w:after="40"/>
            </w:pPr>
            <w:r>
              <w:t>17 Oct 1966</w:t>
            </w:r>
          </w:p>
        </w:tc>
        <w:tc>
          <w:tcPr>
            <w:tcW w:w="2552" w:type="dxa"/>
            <w:gridSpan w:val="2"/>
          </w:tcPr>
          <w:p>
            <w:pPr>
              <w:pStyle w:val="nTable"/>
              <w:spacing w:after="40"/>
            </w:pPr>
            <w:r>
              <w:t xml:space="preserve">1 Feb 1967 (see s. 2 and </w:t>
            </w:r>
            <w:r>
              <w:rPr>
                <w:i/>
              </w:rPr>
              <w:t>Gazette</w:t>
            </w:r>
            <w:r>
              <w:t xml:space="preserve"> 20 Jan 1967 p. 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1967</w:t>
            </w:r>
          </w:p>
        </w:tc>
        <w:tc>
          <w:tcPr>
            <w:tcW w:w="1138" w:type="dxa"/>
          </w:tcPr>
          <w:p>
            <w:pPr>
              <w:pStyle w:val="nTable"/>
              <w:spacing w:after="40"/>
            </w:pPr>
            <w:r>
              <w:t>23 of 1967</w:t>
            </w:r>
          </w:p>
        </w:tc>
        <w:tc>
          <w:tcPr>
            <w:tcW w:w="1134" w:type="dxa"/>
          </w:tcPr>
          <w:p>
            <w:pPr>
              <w:pStyle w:val="nTable"/>
              <w:spacing w:after="40"/>
            </w:pPr>
            <w:r>
              <w:t>27 Oct 1967</w:t>
            </w:r>
          </w:p>
        </w:tc>
        <w:tc>
          <w:tcPr>
            <w:tcW w:w="2552" w:type="dxa"/>
            <w:gridSpan w:val="2"/>
          </w:tcPr>
          <w:p>
            <w:pPr>
              <w:pStyle w:val="nTable"/>
              <w:spacing w:after="40"/>
            </w:pPr>
            <w:r>
              <w:t>27 Oct 1967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1967</w:t>
            </w:r>
          </w:p>
        </w:tc>
        <w:tc>
          <w:tcPr>
            <w:tcW w:w="1138" w:type="dxa"/>
          </w:tcPr>
          <w:p>
            <w:pPr>
              <w:pStyle w:val="nTable"/>
              <w:spacing w:after="40"/>
            </w:pPr>
            <w:r>
              <w:t>69 of 1967</w:t>
            </w:r>
          </w:p>
        </w:tc>
        <w:tc>
          <w:tcPr>
            <w:tcW w:w="1134" w:type="dxa"/>
          </w:tcPr>
          <w:p>
            <w:pPr>
              <w:pStyle w:val="nTable"/>
              <w:spacing w:after="40"/>
            </w:pPr>
            <w:r>
              <w:t>5 Dec 1967</w:t>
            </w:r>
          </w:p>
        </w:tc>
        <w:tc>
          <w:tcPr>
            <w:tcW w:w="2552" w:type="dxa"/>
            <w:gridSpan w:val="2"/>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 Jul 1971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1971</w:t>
            </w:r>
          </w:p>
        </w:tc>
        <w:tc>
          <w:tcPr>
            <w:tcW w:w="1138" w:type="dxa"/>
          </w:tcPr>
          <w:p>
            <w:pPr>
              <w:pStyle w:val="nTable"/>
              <w:spacing w:after="40"/>
            </w:pPr>
            <w:r>
              <w:t>41 of 1971</w:t>
            </w:r>
          </w:p>
        </w:tc>
        <w:tc>
          <w:tcPr>
            <w:tcW w:w="1134" w:type="dxa"/>
          </w:tcPr>
          <w:p>
            <w:pPr>
              <w:pStyle w:val="nTable"/>
              <w:spacing w:after="40"/>
            </w:pPr>
            <w:r>
              <w:t>10 Dec 1971</w:t>
            </w:r>
          </w:p>
        </w:tc>
        <w:tc>
          <w:tcPr>
            <w:tcW w:w="2552" w:type="dxa"/>
            <w:gridSpan w:val="2"/>
          </w:tcPr>
          <w:p>
            <w:pPr>
              <w:pStyle w:val="nTable"/>
              <w:spacing w:after="40"/>
            </w:pPr>
            <w:r>
              <w:t>10 Dec 1971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1975</w:t>
            </w:r>
          </w:p>
        </w:tc>
        <w:tc>
          <w:tcPr>
            <w:tcW w:w="1138" w:type="dxa"/>
          </w:tcPr>
          <w:p>
            <w:pPr>
              <w:pStyle w:val="nTable"/>
              <w:spacing w:after="40"/>
            </w:pPr>
            <w:r>
              <w:t>61 of 1975</w:t>
            </w:r>
          </w:p>
        </w:tc>
        <w:tc>
          <w:tcPr>
            <w:tcW w:w="1134" w:type="dxa"/>
          </w:tcPr>
          <w:p>
            <w:pPr>
              <w:pStyle w:val="nTable"/>
              <w:spacing w:after="40"/>
            </w:pPr>
            <w:r>
              <w:t>24 Oct 1975</w:t>
            </w:r>
          </w:p>
        </w:tc>
        <w:tc>
          <w:tcPr>
            <w:tcW w:w="2552" w:type="dxa"/>
            <w:gridSpan w:val="2"/>
          </w:tcPr>
          <w:p>
            <w:pPr>
              <w:pStyle w:val="nTable"/>
              <w:spacing w:after="40"/>
            </w:pPr>
            <w:r>
              <w:t>24 Oct 1975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1975</w:t>
            </w:r>
          </w:p>
        </w:tc>
        <w:tc>
          <w:tcPr>
            <w:tcW w:w="1138" w:type="dxa"/>
          </w:tcPr>
          <w:p>
            <w:pPr>
              <w:pStyle w:val="nTable"/>
              <w:spacing w:after="40"/>
            </w:pPr>
            <w:r>
              <w:t>90 of 1975</w:t>
            </w:r>
          </w:p>
        </w:tc>
        <w:tc>
          <w:tcPr>
            <w:tcW w:w="1134" w:type="dxa"/>
          </w:tcPr>
          <w:p>
            <w:pPr>
              <w:pStyle w:val="nTable"/>
              <w:spacing w:after="40"/>
            </w:pPr>
            <w:r>
              <w:t>20 Nov 1975</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Acts Amendment (Expert Evidence) Act 1976</w:t>
            </w:r>
            <w:r>
              <w:t xml:space="preserve"> Pt. I</w:t>
            </w:r>
          </w:p>
        </w:tc>
        <w:tc>
          <w:tcPr>
            <w:tcW w:w="1138" w:type="dxa"/>
          </w:tcPr>
          <w:p>
            <w:pPr>
              <w:pStyle w:val="nTable"/>
              <w:spacing w:after="40"/>
            </w:pPr>
            <w:r>
              <w:t>111 of 1976</w:t>
            </w:r>
          </w:p>
        </w:tc>
        <w:tc>
          <w:tcPr>
            <w:tcW w:w="1134" w:type="dxa"/>
          </w:tcPr>
          <w:p>
            <w:pPr>
              <w:pStyle w:val="nTable"/>
              <w:spacing w:after="40"/>
            </w:pPr>
            <w:r>
              <w:t>25 Nov 1976</w:t>
            </w:r>
          </w:p>
        </w:tc>
        <w:tc>
          <w:tcPr>
            <w:tcW w:w="2552" w:type="dxa"/>
            <w:gridSpan w:val="2"/>
          </w:tcPr>
          <w:p>
            <w:pPr>
              <w:pStyle w:val="nTable"/>
              <w:spacing w:after="40"/>
            </w:pPr>
            <w:r>
              <w:t>25 Nov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1976</w:t>
            </w:r>
          </w:p>
        </w:tc>
        <w:tc>
          <w:tcPr>
            <w:tcW w:w="1138" w:type="dxa"/>
          </w:tcPr>
          <w:p>
            <w:pPr>
              <w:pStyle w:val="nTable"/>
              <w:spacing w:after="40"/>
            </w:pPr>
            <w:r>
              <w:t>142 of 1976</w:t>
            </w:r>
          </w:p>
        </w:tc>
        <w:tc>
          <w:tcPr>
            <w:tcW w:w="1134" w:type="dxa"/>
          </w:tcPr>
          <w:p>
            <w:pPr>
              <w:pStyle w:val="nTable"/>
              <w:spacing w:after="40"/>
            </w:pPr>
            <w:r>
              <w:t>13 Dec 1976</w:t>
            </w:r>
          </w:p>
        </w:tc>
        <w:tc>
          <w:tcPr>
            <w:tcW w:w="2552" w:type="dxa"/>
            <w:gridSpan w:val="2"/>
          </w:tcPr>
          <w:p>
            <w:pPr>
              <w:pStyle w:val="nTable"/>
              <w:spacing w:after="40"/>
            </w:pPr>
            <w:r>
              <w:t>13 Dec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1976</w:t>
            </w:r>
          </w:p>
        </w:tc>
        <w:tc>
          <w:tcPr>
            <w:tcW w:w="1138" w:type="dxa"/>
          </w:tcPr>
          <w:p>
            <w:pPr>
              <w:pStyle w:val="nTable"/>
              <w:spacing w:after="40"/>
            </w:pPr>
            <w:r>
              <w:t>145 of 1976</w:t>
            </w:r>
          </w:p>
        </w:tc>
        <w:tc>
          <w:tcPr>
            <w:tcW w:w="1134" w:type="dxa"/>
          </w:tcPr>
          <w:p>
            <w:pPr>
              <w:pStyle w:val="nTable"/>
              <w:spacing w:after="40"/>
            </w:pPr>
            <w:r>
              <w:t>13 Dec 1976</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Nov 1977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1978</w:t>
            </w:r>
          </w:p>
        </w:tc>
        <w:tc>
          <w:tcPr>
            <w:tcW w:w="1138" w:type="dxa"/>
          </w:tcPr>
          <w:p>
            <w:pPr>
              <w:pStyle w:val="nTable"/>
              <w:spacing w:after="40"/>
            </w:pPr>
            <w:r>
              <w:t>33 of 1978</w:t>
            </w:r>
          </w:p>
        </w:tc>
        <w:tc>
          <w:tcPr>
            <w:tcW w:w="1134" w:type="dxa"/>
          </w:tcPr>
          <w:p>
            <w:pPr>
              <w:pStyle w:val="nTable"/>
              <w:spacing w:after="40"/>
            </w:pPr>
            <w:r>
              <w:t>21 Aug 1978</w:t>
            </w:r>
          </w:p>
        </w:tc>
        <w:tc>
          <w:tcPr>
            <w:tcW w:w="2552" w:type="dxa"/>
            <w:gridSpan w:val="2"/>
          </w:tcPr>
          <w:p>
            <w:pPr>
              <w:pStyle w:val="nTable"/>
              <w:spacing w:after="40"/>
            </w:pPr>
            <w:r>
              <w:t>21 Aug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Evidence Act Amendment Act (No. 2) 1978</w:t>
            </w:r>
          </w:p>
        </w:tc>
        <w:tc>
          <w:tcPr>
            <w:tcW w:w="1138" w:type="dxa"/>
          </w:tcPr>
          <w:p>
            <w:pPr>
              <w:pStyle w:val="nTable"/>
              <w:keepNext/>
              <w:spacing w:after="40"/>
            </w:pPr>
            <w:r>
              <w:t>111 of 1978</w:t>
            </w:r>
          </w:p>
        </w:tc>
        <w:tc>
          <w:tcPr>
            <w:tcW w:w="1134" w:type="dxa"/>
          </w:tcPr>
          <w:p>
            <w:pPr>
              <w:pStyle w:val="nTable"/>
              <w:spacing w:after="40"/>
            </w:pPr>
            <w:r>
              <w:t>12 Dec 1978</w:t>
            </w:r>
          </w:p>
        </w:tc>
        <w:tc>
          <w:tcPr>
            <w:tcW w:w="2552" w:type="dxa"/>
            <w:gridSpan w:val="2"/>
          </w:tcPr>
          <w:p>
            <w:pPr>
              <w:pStyle w:val="nTable"/>
              <w:spacing w:after="40"/>
            </w:pPr>
            <w:r>
              <w:t>12 Dec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(Master, Supreme Court) Act 1979 </w:t>
            </w:r>
            <w:r>
              <w:t>Pt. X</w:t>
            </w:r>
          </w:p>
        </w:tc>
        <w:tc>
          <w:tcPr>
            <w:tcW w:w="1138" w:type="dxa"/>
          </w:tcPr>
          <w:p>
            <w:pPr>
              <w:pStyle w:val="nTable"/>
              <w:spacing w:after="40"/>
            </w:pPr>
            <w:r>
              <w:t>67 of 1979</w:t>
            </w:r>
          </w:p>
        </w:tc>
        <w:tc>
          <w:tcPr>
            <w:tcW w:w="1134" w:type="dxa"/>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Companies (Consequential Amendments) Act 1982 </w:t>
            </w:r>
            <w:r>
              <w:t>s. 28</w:t>
            </w:r>
          </w:p>
        </w:tc>
        <w:tc>
          <w:tcPr>
            <w:tcW w:w="1138" w:type="dxa"/>
          </w:tcPr>
          <w:p>
            <w:pPr>
              <w:pStyle w:val="nTable"/>
              <w:spacing w:after="40"/>
            </w:pPr>
            <w:r>
              <w:t>10 of 1982</w:t>
            </w:r>
          </w:p>
        </w:tc>
        <w:tc>
          <w:tcPr>
            <w:tcW w:w="1134" w:type="dxa"/>
          </w:tcPr>
          <w:p>
            <w:pPr>
              <w:pStyle w:val="nTable"/>
              <w:spacing w:after="40"/>
            </w:pPr>
            <w:r>
              <w:t>14 May 1982</w:t>
            </w:r>
          </w:p>
        </w:tc>
        <w:tc>
          <w:tcPr>
            <w:tcW w:w="2552" w:type="dxa"/>
            <w:gridSpan w:val="2"/>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(Betting and Gaming) Act 1982 </w:t>
            </w:r>
            <w:r>
              <w:t>Pt. IV</w:t>
            </w:r>
          </w:p>
        </w:tc>
        <w:tc>
          <w:tcPr>
            <w:tcW w:w="1138" w:type="dxa"/>
          </w:tcPr>
          <w:p>
            <w:pPr>
              <w:pStyle w:val="nTable"/>
              <w:spacing w:after="40"/>
            </w:pPr>
            <w:r>
              <w:t>108 of 1982</w:t>
            </w:r>
          </w:p>
        </w:tc>
        <w:tc>
          <w:tcPr>
            <w:tcW w:w="1134" w:type="dxa"/>
          </w:tcPr>
          <w:p>
            <w:pPr>
              <w:pStyle w:val="nTable"/>
              <w:spacing w:after="40"/>
            </w:pPr>
            <w:r>
              <w:t>7 Dec 1982</w:t>
            </w:r>
          </w:p>
        </w:tc>
        <w:tc>
          <w:tcPr>
            <w:tcW w:w="2552" w:type="dxa"/>
            <w:gridSpan w:val="2"/>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Artificial Conception Act 1985 </w:t>
            </w:r>
            <w:r>
              <w:t>s. 8</w:t>
            </w:r>
          </w:p>
        </w:tc>
        <w:tc>
          <w:tcPr>
            <w:tcW w:w="1138" w:type="dxa"/>
          </w:tcPr>
          <w:p>
            <w:pPr>
              <w:pStyle w:val="nTable"/>
              <w:spacing w:after="40"/>
            </w:pPr>
            <w:r>
              <w:t>14 of 1985</w:t>
            </w:r>
          </w:p>
        </w:tc>
        <w:tc>
          <w:tcPr>
            <w:tcW w:w="1134" w:type="dxa"/>
          </w:tcPr>
          <w:p>
            <w:pPr>
              <w:pStyle w:val="nTable"/>
              <w:spacing w:after="40"/>
            </w:pPr>
            <w:r>
              <w:t>12 Apr 1985</w:t>
            </w:r>
          </w:p>
        </w:tc>
        <w:tc>
          <w:tcPr>
            <w:tcW w:w="2552" w:type="dxa"/>
            <w:gridSpan w:val="2"/>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Assaults) Act 1985 </w:t>
            </w:r>
            <w:r>
              <w:t>Pt. III</w:t>
            </w:r>
          </w:p>
        </w:tc>
        <w:tc>
          <w:tcPr>
            <w:tcW w:w="1138" w:type="dxa"/>
          </w:tcPr>
          <w:p>
            <w:pPr>
              <w:pStyle w:val="nTable"/>
              <w:spacing w:after="40"/>
            </w:pPr>
            <w:r>
              <w:t>74 of 1985</w:t>
            </w:r>
          </w:p>
        </w:tc>
        <w:tc>
          <w:tcPr>
            <w:tcW w:w="1134" w:type="dxa"/>
          </w:tcPr>
          <w:p>
            <w:pPr>
              <w:pStyle w:val="nTable"/>
              <w:spacing w:after="40"/>
            </w:pPr>
            <w:r>
              <w:t>20 Nov 1985</w:t>
            </w:r>
          </w:p>
        </w:tc>
        <w:tc>
          <w:tcPr>
            <w:tcW w:w="2552" w:type="dxa"/>
            <w:gridSpan w:val="2"/>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14 Aug 1986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(Recording of Depositions) Act 1986 </w:t>
            </w:r>
            <w:r>
              <w:t>Pt. III</w:t>
            </w:r>
          </w:p>
        </w:tc>
        <w:tc>
          <w:tcPr>
            <w:tcW w:w="1138" w:type="dxa"/>
          </w:tcPr>
          <w:p>
            <w:pPr>
              <w:pStyle w:val="nTable"/>
              <w:spacing w:after="40"/>
            </w:pPr>
            <w:r>
              <w:t>81 of 1986</w:t>
            </w:r>
          </w:p>
        </w:tc>
        <w:tc>
          <w:tcPr>
            <w:tcW w:w="1134" w:type="dxa"/>
          </w:tcPr>
          <w:p>
            <w:pPr>
              <w:pStyle w:val="nTable"/>
              <w:spacing w:after="40"/>
            </w:pPr>
            <w:r>
              <w:t>9 Dec 1986</w:t>
            </w:r>
          </w:p>
        </w:tc>
        <w:tc>
          <w:tcPr>
            <w:tcW w:w="2552" w:type="dxa"/>
            <w:gridSpan w:val="2"/>
          </w:tcPr>
          <w:p>
            <w:pPr>
              <w:pStyle w:val="nTable"/>
              <w:spacing w:after="40"/>
            </w:pPr>
            <w:r>
              <w:t xml:space="preserve">1 Aug 1987 (see s. 2 and </w:t>
            </w:r>
            <w:r>
              <w:rPr>
                <w:i/>
              </w:rPr>
              <w:t>Gazette</w:t>
            </w:r>
            <w:r>
              <w:t xml:space="preserve"> 10 Jul 1987 p. 2607)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1987</w:t>
            </w:r>
          </w:p>
        </w:tc>
        <w:tc>
          <w:tcPr>
            <w:tcW w:w="1138" w:type="dxa"/>
          </w:tcPr>
          <w:p>
            <w:pPr>
              <w:pStyle w:val="nTable"/>
              <w:keepNext/>
              <w:spacing w:after="40"/>
            </w:pPr>
            <w:r>
              <w:t>66 of 1987</w:t>
            </w:r>
          </w:p>
        </w:tc>
        <w:tc>
          <w:tcPr>
            <w:tcW w:w="1134" w:type="dxa"/>
          </w:tcPr>
          <w:p>
            <w:pPr>
              <w:pStyle w:val="nTable"/>
              <w:spacing w:after="40"/>
            </w:pPr>
            <w:r>
              <w:t>1 Dec 1987</w:t>
            </w:r>
          </w:p>
        </w:tc>
        <w:tc>
          <w:tcPr>
            <w:tcW w:w="2552" w:type="dxa"/>
            <w:gridSpan w:val="2"/>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1988 </w:t>
            </w:r>
            <w:r>
              <w:t>Pt. 3</w:t>
            </w:r>
          </w:p>
        </w:tc>
        <w:tc>
          <w:tcPr>
            <w:tcW w:w="1138" w:type="dxa"/>
          </w:tcPr>
          <w:p>
            <w:pPr>
              <w:pStyle w:val="nTable"/>
              <w:spacing w:after="40"/>
            </w:pPr>
            <w:r>
              <w:t>70 of 1988</w:t>
            </w:r>
          </w:p>
        </w:tc>
        <w:tc>
          <w:tcPr>
            <w:tcW w:w="1134" w:type="dxa"/>
          </w:tcPr>
          <w:p>
            <w:pPr>
              <w:pStyle w:val="nTable"/>
              <w:spacing w:after="40"/>
            </w:pPr>
            <w:r>
              <w:t>15 Dec 1988</w:t>
            </w:r>
          </w:p>
        </w:tc>
        <w:tc>
          <w:tcPr>
            <w:tcW w:w="2552" w:type="dxa"/>
            <w:gridSpan w:val="2"/>
          </w:tcPr>
          <w:p>
            <w:pPr>
              <w:pStyle w:val="nTable"/>
              <w:spacing w:after="40"/>
            </w:pPr>
            <w:r>
              <w:t xml:space="preserve">1 Feb 1989 (see s. 2(1) and </w:t>
            </w:r>
            <w:r>
              <w:rPr>
                <w:i/>
              </w:rPr>
              <w:t>Gazette</w:t>
            </w:r>
            <w:r>
              <w:t xml:space="preserve"> 20 Jan 1989 p. 110)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Amendment Act 1989</w:t>
            </w:r>
          </w:p>
        </w:tc>
        <w:tc>
          <w:tcPr>
            <w:tcW w:w="1138" w:type="dxa"/>
          </w:tcPr>
          <w:p>
            <w:pPr>
              <w:pStyle w:val="nTable"/>
              <w:spacing w:after="40"/>
            </w:pPr>
            <w:r>
              <w:t>34 of 1989</w:t>
            </w:r>
          </w:p>
        </w:tc>
        <w:tc>
          <w:tcPr>
            <w:tcW w:w="1134" w:type="dxa"/>
          </w:tcPr>
          <w:p>
            <w:pPr>
              <w:pStyle w:val="nTable"/>
              <w:spacing w:after="40"/>
            </w:pPr>
            <w:r>
              <w:t>22 Dec 1989</w:t>
            </w:r>
          </w:p>
        </w:tc>
        <w:tc>
          <w:tcPr>
            <w:tcW w:w="2552" w:type="dxa"/>
            <w:gridSpan w:val="2"/>
          </w:tcPr>
          <w:p>
            <w:pPr>
              <w:pStyle w:val="nTable"/>
              <w:spacing w:after="40"/>
            </w:pPr>
            <w:r>
              <w:t>s. 1 and 2: 22 Dec 1989;</w:t>
            </w:r>
            <w:r>
              <w:br/>
              <w:t xml:space="preserve">Act other than s. 1 and 2: 8 Mar 1991 (see s. 2 and </w:t>
            </w:r>
            <w:r>
              <w:rPr>
                <w:i/>
              </w:rPr>
              <w:t>Gazette</w:t>
            </w:r>
            <w:r>
              <w:t xml:space="preserve"> 8 Mar 1991 p. 1029)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1990</w:t>
            </w:r>
            <w:r>
              <w:rPr>
                <w:vertAlign w:val="superscript"/>
              </w:rPr>
              <w:t> 1</w:t>
            </w:r>
          </w:p>
        </w:tc>
        <w:tc>
          <w:tcPr>
            <w:tcW w:w="1138" w:type="dxa"/>
          </w:tcPr>
          <w:p>
            <w:pPr>
              <w:pStyle w:val="nTable"/>
              <w:spacing w:after="40"/>
            </w:pPr>
            <w:r>
              <w:t>47 of 1990</w:t>
            </w:r>
          </w:p>
        </w:tc>
        <w:tc>
          <w:tcPr>
            <w:tcW w:w="1134" w:type="dxa"/>
          </w:tcPr>
          <w:p>
            <w:pPr>
              <w:pStyle w:val="nTable"/>
              <w:spacing w:after="40"/>
            </w:pPr>
            <w:r>
              <w:t>4 Dec 1990</w:t>
            </w:r>
          </w:p>
        </w:tc>
        <w:tc>
          <w:tcPr>
            <w:tcW w:w="2552" w:type="dxa"/>
            <w:gridSpan w:val="2"/>
          </w:tcPr>
          <w:p>
            <w:pPr>
              <w:pStyle w:val="nTable"/>
              <w:spacing w:after="40"/>
            </w:pPr>
            <w:r>
              <w:t>4 Dec 1990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 xml:space="preserve">Children’s Court of Western Australia Amendment Act (No. 2) 1991 </w:t>
            </w:r>
            <w:r>
              <w:t>s. 23</w:t>
            </w:r>
          </w:p>
        </w:tc>
        <w:tc>
          <w:tcPr>
            <w:tcW w:w="1138" w:type="dxa"/>
          </w:tcPr>
          <w:p>
            <w:pPr>
              <w:pStyle w:val="nTable"/>
              <w:spacing w:after="40"/>
            </w:pPr>
            <w:r>
              <w:t>15 of 1991</w:t>
            </w:r>
          </w:p>
        </w:tc>
        <w:tc>
          <w:tcPr>
            <w:tcW w:w="1134" w:type="dxa"/>
          </w:tcPr>
          <w:p>
            <w:pPr>
              <w:pStyle w:val="nTable"/>
              <w:spacing w:after="40"/>
            </w:pPr>
            <w:r>
              <w:t>21 Jun 1991</w:t>
            </w:r>
          </w:p>
        </w:tc>
        <w:tc>
          <w:tcPr>
            <w:tcW w:w="2552" w:type="dxa"/>
            <w:gridSpan w:val="2"/>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1991 </w:t>
            </w:r>
            <w:r>
              <w:t>Pt. 2</w:t>
            </w:r>
          </w:p>
        </w:tc>
        <w:tc>
          <w:tcPr>
            <w:tcW w:w="1138" w:type="dxa"/>
          </w:tcPr>
          <w:p>
            <w:pPr>
              <w:pStyle w:val="nTable"/>
              <w:spacing w:after="40"/>
            </w:pPr>
            <w:r>
              <w:t>48 of 1991</w:t>
            </w:r>
          </w:p>
        </w:tc>
        <w:tc>
          <w:tcPr>
            <w:tcW w:w="1134" w:type="dxa"/>
          </w:tcPr>
          <w:p>
            <w:pPr>
              <w:pStyle w:val="nTable"/>
              <w:spacing w:after="40"/>
            </w:pPr>
            <w:r>
              <w:t>17 Dec 1991</w:t>
            </w:r>
          </w:p>
        </w:tc>
        <w:tc>
          <w:tcPr>
            <w:tcW w:w="2552" w:type="dxa"/>
            <w:gridSpan w:val="2"/>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Offences) Act 1992 </w:t>
            </w:r>
            <w:r>
              <w:t>Pt. 4</w:t>
            </w:r>
          </w:p>
        </w:tc>
        <w:tc>
          <w:tcPr>
            <w:tcW w:w="1138" w:type="dxa"/>
          </w:tcPr>
          <w:p>
            <w:pPr>
              <w:pStyle w:val="nTable"/>
              <w:spacing w:after="40"/>
            </w:pPr>
            <w:r>
              <w:t>14 of 1992</w:t>
            </w:r>
          </w:p>
        </w:tc>
        <w:tc>
          <w:tcPr>
            <w:tcW w:w="1134" w:type="dxa"/>
          </w:tcPr>
          <w:p>
            <w:pPr>
              <w:pStyle w:val="nTable"/>
              <w:spacing w:after="40"/>
            </w:pPr>
            <w:r>
              <w:t>17 Jun 1992</w:t>
            </w:r>
          </w:p>
        </w:tc>
        <w:tc>
          <w:tcPr>
            <w:tcW w:w="2552" w:type="dxa"/>
            <w:gridSpan w:val="2"/>
          </w:tcPr>
          <w:p>
            <w:pPr>
              <w:pStyle w:val="nTable"/>
              <w:spacing w:after="40"/>
            </w:pPr>
            <w:r>
              <w:t xml:space="preserve">1 Aug 1992 (see s. 2 and </w:t>
            </w:r>
            <w:r>
              <w:rPr>
                <w:i/>
              </w:rPr>
              <w:t>Gazette</w:t>
            </w:r>
            <w:r>
              <w:t xml:space="preserve"> 28 Jul 1992 p. 3671)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of Children and Others) Act 1992 </w:t>
            </w:r>
            <w:r>
              <w:t>Pt. 2</w:t>
            </w:r>
          </w:p>
        </w:tc>
        <w:tc>
          <w:tcPr>
            <w:tcW w:w="1138" w:type="dxa"/>
          </w:tcPr>
          <w:p>
            <w:pPr>
              <w:pStyle w:val="nTable"/>
              <w:spacing w:after="40"/>
            </w:pPr>
            <w:r>
              <w:t>36 of 1992</w:t>
            </w:r>
          </w:p>
        </w:tc>
        <w:tc>
          <w:tcPr>
            <w:tcW w:w="1134" w:type="dxa"/>
          </w:tcPr>
          <w:p>
            <w:pPr>
              <w:pStyle w:val="nTable"/>
              <w:spacing w:after="40"/>
            </w:pPr>
            <w:r>
              <w:t>22 Sep 1992</w:t>
            </w:r>
          </w:p>
        </w:tc>
        <w:tc>
          <w:tcPr>
            <w:tcW w:w="2552" w:type="dxa"/>
            <w:gridSpan w:val="2"/>
          </w:tcPr>
          <w:p>
            <w:pPr>
              <w:pStyle w:val="nTable"/>
              <w:spacing w:after="40"/>
            </w:pPr>
            <w:r>
              <w:t xml:space="preserve">16 Nov 1992 (see s. 2 and </w:t>
            </w:r>
            <w:r>
              <w:rPr>
                <w:i/>
              </w:rPr>
              <w:t>Gazette</w:t>
            </w:r>
            <w:r>
              <w:t xml:space="preserve"> 6 Nov 1992 p. 5415)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(Jurisdiction and Criminal Procedure) Act 1992 </w:t>
            </w:r>
            <w:r>
              <w:t>Pt. 6</w:t>
            </w:r>
          </w:p>
        </w:tc>
        <w:tc>
          <w:tcPr>
            <w:tcW w:w="1138" w:type="dxa"/>
          </w:tcPr>
          <w:p>
            <w:pPr>
              <w:pStyle w:val="nTable"/>
              <w:spacing w:after="40"/>
            </w:pPr>
            <w:r>
              <w:t>53 of 1992</w:t>
            </w:r>
          </w:p>
        </w:tc>
        <w:tc>
          <w:tcPr>
            <w:tcW w:w="1134" w:type="dxa"/>
          </w:tcPr>
          <w:p>
            <w:pPr>
              <w:pStyle w:val="nTable"/>
              <w:spacing w:after="40"/>
            </w:pPr>
            <w:r>
              <w:t>9 Dec 1992</w:t>
            </w:r>
          </w:p>
        </w:tc>
        <w:tc>
          <w:tcPr>
            <w:tcW w:w="2552" w:type="dxa"/>
            <w:gridSpan w:val="2"/>
          </w:tcPr>
          <w:p>
            <w:pPr>
              <w:pStyle w:val="nTable"/>
              <w:spacing w:after="40"/>
            </w:pPr>
            <w:r>
              <w:t>9 Dec 1992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Administration Legislation Amendment Act 1993 </w:t>
            </w:r>
            <w:r>
              <w:t>s. 13</w:t>
            </w:r>
          </w:p>
        </w:tc>
        <w:tc>
          <w:tcPr>
            <w:tcW w:w="1138" w:type="dxa"/>
          </w:tcPr>
          <w:p>
            <w:pPr>
              <w:pStyle w:val="nTable"/>
              <w:keepNext/>
              <w:keepLines/>
              <w:spacing w:after="40"/>
            </w:pPr>
            <w:r>
              <w:t>6 of 1993</w:t>
            </w:r>
          </w:p>
        </w:tc>
        <w:tc>
          <w:tcPr>
            <w:tcW w:w="1134" w:type="dxa"/>
          </w:tcPr>
          <w:p>
            <w:pPr>
              <w:pStyle w:val="nTable"/>
              <w:spacing w:after="40"/>
            </w:pPr>
            <w:r>
              <w:t>27 Aug 1993</w:t>
            </w:r>
          </w:p>
        </w:tc>
        <w:tc>
          <w:tcPr>
            <w:tcW w:w="2552"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(Ministry of Justice) Act 1993 </w:t>
            </w:r>
            <w:r>
              <w:t>Pt. 9</w:t>
            </w:r>
          </w:p>
        </w:tc>
        <w:tc>
          <w:tcPr>
            <w:tcW w:w="1138" w:type="dxa"/>
          </w:tcPr>
          <w:p>
            <w:pPr>
              <w:pStyle w:val="nTable"/>
              <w:spacing w:after="40"/>
            </w:pPr>
            <w:r>
              <w:t>31 of 1993</w:t>
            </w:r>
          </w:p>
        </w:tc>
        <w:tc>
          <w:tcPr>
            <w:tcW w:w="1134"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1994 </w:t>
            </w:r>
            <w:r>
              <w:t>s. 4</w:t>
            </w:r>
          </w:p>
        </w:tc>
        <w:tc>
          <w:tcPr>
            <w:tcW w:w="1138" w:type="dxa"/>
          </w:tcPr>
          <w:p>
            <w:pPr>
              <w:pStyle w:val="nTable"/>
              <w:spacing w:after="40"/>
            </w:pPr>
            <w:r>
              <w:t>73 of 1994</w:t>
            </w:r>
          </w:p>
        </w:tc>
        <w:tc>
          <w:tcPr>
            <w:tcW w:w="1134" w:type="dxa"/>
          </w:tcPr>
          <w:p>
            <w:pPr>
              <w:pStyle w:val="nTable"/>
              <w:spacing w:after="40"/>
            </w:pPr>
            <w:r>
              <w:t>9 Dec 1994</w:t>
            </w:r>
          </w:p>
        </w:tc>
        <w:tc>
          <w:tcPr>
            <w:tcW w:w="2552"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1994 </w:t>
            </w:r>
            <w:r>
              <w:t>s. 13(4)</w:t>
            </w:r>
          </w:p>
        </w:tc>
        <w:tc>
          <w:tcPr>
            <w:tcW w:w="1138" w:type="dxa"/>
          </w:tcPr>
          <w:p>
            <w:pPr>
              <w:pStyle w:val="nTable"/>
              <w:spacing w:after="40"/>
            </w:pPr>
            <w:r>
              <w:t>82 of 1994</w:t>
            </w:r>
          </w:p>
        </w:tc>
        <w:tc>
          <w:tcPr>
            <w:tcW w:w="1134" w:type="dxa"/>
          </w:tcPr>
          <w:p>
            <w:pPr>
              <w:pStyle w:val="nTable"/>
              <w:spacing w:after="40"/>
            </w:pPr>
            <w:r>
              <w:t>23 Dec 1994</w:t>
            </w:r>
          </w:p>
        </w:tc>
        <w:tc>
          <w:tcPr>
            <w:tcW w:w="2552" w:type="dxa"/>
            <w:gridSpan w:val="2"/>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Stamp Amendment Act 1995 </w:t>
            </w:r>
            <w:r>
              <w:t>s. 9</w:t>
            </w:r>
          </w:p>
        </w:tc>
        <w:tc>
          <w:tcPr>
            <w:tcW w:w="1138" w:type="dxa"/>
          </w:tcPr>
          <w:p>
            <w:pPr>
              <w:pStyle w:val="nTable"/>
              <w:spacing w:after="40"/>
            </w:pPr>
            <w:r>
              <w:t>41 of 1995</w:t>
            </w:r>
          </w:p>
        </w:tc>
        <w:tc>
          <w:tcPr>
            <w:tcW w:w="1134" w:type="dxa"/>
          </w:tcPr>
          <w:p>
            <w:pPr>
              <w:pStyle w:val="nTable"/>
              <w:spacing w:after="40"/>
            </w:pPr>
            <w:r>
              <w:t>24 Oct 1995</w:t>
            </w:r>
          </w:p>
        </w:tc>
        <w:tc>
          <w:tcPr>
            <w:tcW w:w="2552" w:type="dxa"/>
            <w:gridSpan w:val="2"/>
          </w:tcPr>
          <w:p>
            <w:pPr>
              <w:pStyle w:val="nTable"/>
              <w:spacing w:after="40"/>
            </w:pPr>
            <w:r>
              <w:t>24 Oct 1995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Coroners Act 1996 </w:t>
            </w:r>
            <w:r>
              <w:t>s. 61</w:t>
            </w:r>
          </w:p>
        </w:tc>
        <w:tc>
          <w:tcPr>
            <w:tcW w:w="1138" w:type="dxa"/>
          </w:tcPr>
          <w:p>
            <w:pPr>
              <w:pStyle w:val="nTable"/>
              <w:spacing w:after="40"/>
            </w:pPr>
            <w:r>
              <w:t>2 of 1996</w:t>
            </w:r>
          </w:p>
        </w:tc>
        <w:tc>
          <w:tcPr>
            <w:tcW w:w="1134" w:type="dxa"/>
          </w:tcPr>
          <w:p>
            <w:pPr>
              <w:pStyle w:val="nTable"/>
              <w:spacing w:after="40"/>
            </w:pPr>
            <w:r>
              <w:t>24 May 1996</w:t>
            </w:r>
          </w:p>
        </w:tc>
        <w:tc>
          <w:tcPr>
            <w:tcW w:w="2552" w:type="dxa"/>
            <w:gridSpan w:val="2"/>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Local Government (Consequential Amendments) Act 1996 </w:t>
            </w:r>
            <w:r>
              <w:t>s. 4</w:t>
            </w:r>
          </w:p>
        </w:tc>
        <w:tc>
          <w:tcPr>
            <w:tcW w:w="1138" w:type="dxa"/>
          </w:tcPr>
          <w:p>
            <w:pPr>
              <w:pStyle w:val="nTable"/>
              <w:keepNext/>
              <w:spacing w:after="40"/>
            </w:pPr>
            <w:r>
              <w:t>14 of 1996</w:t>
            </w:r>
          </w:p>
        </w:tc>
        <w:tc>
          <w:tcPr>
            <w:tcW w:w="1134" w:type="dxa"/>
          </w:tcPr>
          <w:p>
            <w:pPr>
              <w:pStyle w:val="nTable"/>
              <w:spacing w:after="40"/>
            </w:pPr>
            <w:r>
              <w:t>28 Jun 1996</w:t>
            </w:r>
          </w:p>
        </w:tc>
        <w:tc>
          <w:tcPr>
            <w:tcW w:w="2552" w:type="dxa"/>
            <w:gridSpan w:val="2"/>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Legislation Amendment Act 1996 </w:t>
            </w:r>
            <w:r>
              <w:t>s. 64</w:t>
            </w:r>
          </w:p>
        </w:tc>
        <w:tc>
          <w:tcPr>
            <w:tcW w:w="1138" w:type="dxa"/>
          </w:tcPr>
          <w:p>
            <w:pPr>
              <w:pStyle w:val="nTable"/>
              <w:spacing w:after="40"/>
            </w:pPr>
            <w:r>
              <w:t>49 of 1996</w:t>
            </w:r>
          </w:p>
        </w:tc>
        <w:tc>
          <w:tcPr>
            <w:tcW w:w="1134" w:type="dxa"/>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 xml:space="preserve">Mental Health (Consequential Provisions) Act 1996 </w:t>
            </w:r>
            <w:r>
              <w:t>Pt. 7</w:t>
            </w:r>
          </w:p>
        </w:tc>
        <w:tc>
          <w:tcPr>
            <w:tcW w:w="1138" w:type="dxa"/>
          </w:tcPr>
          <w:p>
            <w:pPr>
              <w:pStyle w:val="nTable"/>
              <w:spacing w:after="40"/>
            </w:pPr>
            <w:r>
              <w:t>69 of 1996</w:t>
            </w:r>
          </w:p>
        </w:tc>
        <w:tc>
          <w:tcPr>
            <w:tcW w:w="1134"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1997 </w:t>
            </w:r>
            <w:r>
              <w:t>s. 57</w:t>
            </w:r>
          </w:p>
        </w:tc>
        <w:tc>
          <w:tcPr>
            <w:tcW w:w="1138" w:type="dxa"/>
          </w:tcPr>
          <w:p>
            <w:pPr>
              <w:pStyle w:val="nTable"/>
              <w:spacing w:after="40"/>
            </w:pPr>
            <w:r>
              <w:t>57 of 1997</w:t>
            </w:r>
          </w:p>
        </w:tc>
        <w:tc>
          <w:tcPr>
            <w:tcW w:w="1134" w:type="dxa"/>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(Abortion) Act 1998 </w:t>
            </w:r>
            <w:r>
              <w:t>s. 6</w:t>
            </w:r>
            <w:r>
              <w:rPr>
                <w:vertAlign w:val="superscript"/>
              </w:rPr>
              <w:t> 7</w:t>
            </w:r>
          </w:p>
        </w:tc>
        <w:tc>
          <w:tcPr>
            <w:tcW w:w="1138" w:type="dxa"/>
          </w:tcPr>
          <w:p>
            <w:pPr>
              <w:pStyle w:val="nTable"/>
              <w:spacing w:after="40"/>
            </w:pPr>
            <w:r>
              <w:t>15 of 1998</w:t>
            </w:r>
          </w:p>
        </w:tc>
        <w:tc>
          <w:tcPr>
            <w:tcW w:w="1134" w:type="dxa"/>
          </w:tcPr>
          <w:p>
            <w:pPr>
              <w:pStyle w:val="nTable"/>
              <w:spacing w:after="40"/>
            </w:pPr>
            <w:r>
              <w:t>26 May 1998</w:t>
            </w:r>
          </w:p>
        </w:tc>
        <w:tc>
          <w:tcPr>
            <w:tcW w:w="2552" w:type="dxa"/>
            <w:gridSpan w:val="2"/>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Repeal and Amendment (Births, Deaths and Marriages Registration) Act 1998 </w:t>
            </w:r>
            <w:r>
              <w:t>s. 12</w:t>
            </w:r>
          </w:p>
        </w:tc>
        <w:tc>
          <w:tcPr>
            <w:tcW w:w="1138" w:type="dxa"/>
          </w:tcPr>
          <w:p>
            <w:pPr>
              <w:pStyle w:val="nTable"/>
              <w:spacing w:after="40"/>
            </w:pPr>
            <w:r>
              <w:t>40 of 1998</w:t>
            </w:r>
          </w:p>
        </w:tc>
        <w:tc>
          <w:tcPr>
            <w:tcW w:w="1134" w:type="dxa"/>
          </w:tcPr>
          <w:p>
            <w:pPr>
              <w:pStyle w:val="nTable"/>
              <w:spacing w:after="40"/>
            </w:pPr>
            <w:r>
              <w:t>30 Oct 1998</w:t>
            </w:r>
          </w:p>
        </w:tc>
        <w:tc>
          <w:tcPr>
            <w:tcW w:w="2552" w:type="dxa"/>
            <w:gridSpan w:val="2"/>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(Video and Audio Links) Act 1998 </w:t>
            </w:r>
            <w:r>
              <w:t>Pt. 3</w:t>
            </w:r>
            <w:r>
              <w:rPr>
                <w:vertAlign w:val="superscript"/>
              </w:rPr>
              <w:t> 4</w:t>
            </w:r>
          </w:p>
        </w:tc>
        <w:tc>
          <w:tcPr>
            <w:tcW w:w="1138" w:type="dxa"/>
          </w:tcPr>
          <w:p>
            <w:pPr>
              <w:pStyle w:val="nTable"/>
              <w:spacing w:after="40"/>
            </w:pPr>
            <w:r>
              <w:t>48 of 1998</w:t>
            </w:r>
          </w:p>
        </w:tc>
        <w:tc>
          <w:tcPr>
            <w:tcW w:w="1134" w:type="dxa"/>
          </w:tcPr>
          <w:p>
            <w:pPr>
              <w:pStyle w:val="nTable"/>
              <w:spacing w:after="40"/>
            </w:pPr>
            <w:r>
              <w:t>19 Nov 1998</w:t>
            </w:r>
          </w:p>
        </w:tc>
        <w:tc>
          <w:tcPr>
            <w:tcW w:w="2552" w:type="dxa"/>
            <w:gridSpan w:val="2"/>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Surveillance Devices Act 1998</w:t>
            </w:r>
            <w:r>
              <w:t xml:space="preserve"> s. 46</w:t>
            </w:r>
          </w:p>
        </w:tc>
        <w:tc>
          <w:tcPr>
            <w:tcW w:w="1138" w:type="dxa"/>
          </w:tcPr>
          <w:p>
            <w:pPr>
              <w:pStyle w:val="nTable"/>
              <w:spacing w:after="40"/>
            </w:pPr>
            <w:r>
              <w:t>56 of 1998</w:t>
            </w:r>
          </w:p>
        </w:tc>
        <w:tc>
          <w:tcPr>
            <w:tcW w:w="1134" w:type="dxa"/>
          </w:tcPr>
          <w:p>
            <w:pPr>
              <w:pStyle w:val="nTable"/>
              <w:spacing w:after="40"/>
            </w:pPr>
            <w:r>
              <w:t>11 Jan 1999</w:t>
            </w:r>
          </w:p>
        </w:tc>
        <w:tc>
          <w:tcPr>
            <w:tcW w:w="2552" w:type="dxa"/>
            <w:gridSpan w:val="2"/>
          </w:tcPr>
          <w:p>
            <w:pPr>
              <w:pStyle w:val="nTable"/>
              <w:spacing w:after="40"/>
            </w:pPr>
            <w:r>
              <w:t xml:space="preserve">22 Nov 1999 (see s. 2 and </w:t>
            </w:r>
            <w:r>
              <w:rPr>
                <w:i/>
              </w:rPr>
              <w:t xml:space="preserve">Gazette </w:t>
            </w:r>
            <w:r>
              <w:t>22 Nov 1999 p. 5843)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and Repeal (Financial Sector Reform) Act 1999 </w:t>
            </w:r>
            <w:r>
              <w:t>s. 78</w:t>
            </w:r>
          </w:p>
        </w:tc>
        <w:tc>
          <w:tcPr>
            <w:tcW w:w="1138"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gridSpan w:val="2"/>
          </w:tcPr>
          <w:p>
            <w:pPr>
              <w:pStyle w:val="nTable"/>
              <w:keepNext/>
              <w:keepLines/>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Prostitution Act 2000 </w:t>
            </w:r>
            <w:r>
              <w:t xml:space="preserve">s. 64 </w:t>
            </w:r>
          </w:p>
        </w:tc>
        <w:tc>
          <w:tcPr>
            <w:tcW w:w="1138" w:type="dxa"/>
          </w:tcPr>
          <w:p>
            <w:pPr>
              <w:pStyle w:val="nTable"/>
              <w:keepNext/>
              <w:keepLines/>
              <w:spacing w:after="40"/>
            </w:pPr>
            <w:r>
              <w:t>17 of 2000</w:t>
            </w:r>
          </w:p>
        </w:tc>
        <w:tc>
          <w:tcPr>
            <w:tcW w:w="1134" w:type="dxa"/>
          </w:tcPr>
          <w:p>
            <w:pPr>
              <w:pStyle w:val="nTable"/>
              <w:keepNext/>
              <w:keepLines/>
              <w:spacing w:after="40"/>
            </w:pPr>
            <w:r>
              <w:t>22 Jun 2000</w:t>
            </w:r>
          </w:p>
        </w:tc>
        <w:tc>
          <w:tcPr>
            <w:tcW w:w="2552" w:type="dxa"/>
            <w:gridSpan w:val="2"/>
          </w:tcPr>
          <w:p>
            <w:pPr>
              <w:pStyle w:val="nTable"/>
              <w:keepNext/>
              <w:keepLines/>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snapToGrid w:val="0"/>
              </w:rPr>
              <w:t xml:space="preserve">Criminal Property Confiscation (Consequential Provisions) Act 2000 </w:t>
            </w:r>
            <w:r>
              <w:rPr>
                <w:snapToGrid w:val="0"/>
              </w:rPr>
              <w:t>s. 14</w:t>
            </w:r>
            <w:r>
              <w:rPr>
                <w:snapToGrid w:val="0"/>
                <w:vertAlign w:val="superscript"/>
              </w:rPr>
              <w:t> 8</w:t>
            </w:r>
          </w:p>
        </w:tc>
        <w:tc>
          <w:tcPr>
            <w:tcW w:w="1138" w:type="dxa"/>
          </w:tcPr>
          <w:p>
            <w:pPr>
              <w:pStyle w:val="nTable"/>
              <w:keepNext/>
              <w:keepLines/>
              <w:spacing w:after="40"/>
            </w:pPr>
            <w:r>
              <w:t>69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2000 </w:t>
            </w:r>
            <w:r>
              <w:t>Pt. 2</w:t>
            </w:r>
          </w:p>
        </w:tc>
        <w:tc>
          <w:tcPr>
            <w:tcW w:w="1138" w:type="dxa"/>
          </w:tcPr>
          <w:p>
            <w:pPr>
              <w:pStyle w:val="nTable"/>
              <w:keepNext/>
              <w:keepLines/>
              <w:spacing w:after="40"/>
            </w:pPr>
            <w:r>
              <w:t>71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3 Jan 2001 </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Act 2001</w:t>
            </w:r>
            <w:r>
              <w:t xml:space="preserve"> s. 10(3)</w:t>
            </w:r>
          </w:p>
        </w:tc>
        <w:tc>
          <w:tcPr>
            <w:tcW w:w="1138" w:type="dxa"/>
          </w:tcPr>
          <w:p>
            <w:pPr>
              <w:pStyle w:val="nTable"/>
              <w:keepNext/>
              <w:keepLines/>
              <w:spacing w:after="40"/>
            </w:pPr>
            <w:r>
              <w:t>23 of 2001</w:t>
            </w:r>
          </w:p>
        </w:tc>
        <w:tc>
          <w:tcPr>
            <w:tcW w:w="1134" w:type="dxa"/>
          </w:tcPr>
          <w:p>
            <w:pPr>
              <w:pStyle w:val="nTable"/>
              <w:keepNext/>
              <w:keepLines/>
              <w:spacing w:after="40"/>
            </w:pPr>
            <w:r>
              <w:t>26 Nov 2001</w:t>
            </w:r>
          </w:p>
        </w:tc>
        <w:tc>
          <w:tcPr>
            <w:tcW w:w="2552" w:type="dxa"/>
            <w:gridSpan w:val="2"/>
          </w:tcPr>
          <w:p>
            <w:pPr>
              <w:pStyle w:val="nTable"/>
              <w:keepNext/>
              <w:keepLines/>
              <w:spacing w:after="40"/>
            </w:pPr>
            <w:r>
              <w:t>24 Dec 2001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Acts Amendment (Lesbian and Gay Law Reform) Act 2002 </w:t>
            </w:r>
            <w:r>
              <w:t>s. 35(2) and 41(3)</w:t>
            </w:r>
          </w:p>
        </w:tc>
        <w:tc>
          <w:tcPr>
            <w:tcW w:w="1138" w:type="dxa"/>
          </w:tcPr>
          <w:p>
            <w:pPr>
              <w:pStyle w:val="nTable"/>
              <w:keepNext/>
              <w:keepLines/>
              <w:spacing w:after="40"/>
            </w:pPr>
            <w:r>
              <w:t>3 of 2002</w:t>
            </w:r>
          </w:p>
        </w:tc>
        <w:tc>
          <w:tcPr>
            <w:tcW w:w="1134" w:type="dxa"/>
          </w:tcPr>
          <w:p>
            <w:pPr>
              <w:pStyle w:val="nTable"/>
              <w:keepNext/>
              <w:keepLines/>
              <w:spacing w:after="40"/>
            </w:pPr>
            <w:r>
              <w:t>17 Apr 2002</w:t>
            </w:r>
          </w:p>
        </w:tc>
        <w:tc>
          <w:tcPr>
            <w:tcW w:w="2552" w:type="dxa"/>
            <w:gridSpan w:val="2"/>
          </w:tcPr>
          <w:p>
            <w:pPr>
              <w:pStyle w:val="nTable"/>
              <w:keepNext/>
              <w:keepLines/>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lastRenderedPageBreak/>
              <w:t xml:space="preserve">Criminal Law (Procedure) Amendment Act 2002 </w:t>
            </w:r>
            <w:r>
              <w:t>Pt. 4 Div. 5</w:t>
            </w:r>
          </w:p>
        </w:tc>
        <w:tc>
          <w:tcPr>
            <w:tcW w:w="1138" w:type="dxa"/>
          </w:tcPr>
          <w:p>
            <w:pPr>
              <w:pStyle w:val="nTable"/>
              <w:keepNext/>
              <w:keepLines/>
              <w:spacing w:after="40"/>
            </w:pPr>
            <w:r>
              <w:t>27 of 2002</w:t>
            </w:r>
          </w:p>
        </w:tc>
        <w:tc>
          <w:tcPr>
            <w:tcW w:w="1134" w:type="dxa"/>
          </w:tcPr>
          <w:p>
            <w:pPr>
              <w:pStyle w:val="nTable"/>
              <w:keepNext/>
              <w:keepLines/>
              <w:spacing w:after="40"/>
            </w:pPr>
            <w:r>
              <w:t>25 Sep 2002</w:t>
            </w:r>
          </w:p>
        </w:tc>
        <w:tc>
          <w:tcPr>
            <w:tcW w:w="2552" w:type="dxa"/>
            <w:gridSpan w:val="2"/>
          </w:tcPr>
          <w:p>
            <w:pPr>
              <w:pStyle w:val="nTable"/>
              <w:keepNext/>
              <w:keepLines/>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Taxation Administration (Consequential Provisions) Act 2002 </w:t>
            </w:r>
            <w:r>
              <w:t>s. 11</w:t>
            </w:r>
            <w:r>
              <w:rPr>
                <w:vertAlign w:val="superscript"/>
              </w:rPr>
              <w:t> 9</w:t>
            </w:r>
          </w:p>
        </w:tc>
        <w:tc>
          <w:tcPr>
            <w:tcW w:w="1138" w:type="dxa"/>
          </w:tcPr>
          <w:p>
            <w:pPr>
              <w:pStyle w:val="nTable"/>
              <w:keepNext/>
              <w:keepLines/>
              <w:spacing w:after="40"/>
            </w:pPr>
            <w:r>
              <w:t>45 of 2002</w:t>
            </w:r>
          </w:p>
        </w:tc>
        <w:tc>
          <w:tcPr>
            <w:tcW w:w="1134" w:type="dxa"/>
          </w:tcPr>
          <w:p>
            <w:pPr>
              <w:pStyle w:val="nTable"/>
              <w:keepNext/>
              <w:keepLines/>
              <w:spacing w:after="40"/>
            </w:pPr>
            <w:r>
              <w:t>20 Mar 2003</w:t>
            </w:r>
          </w:p>
        </w:tc>
        <w:tc>
          <w:tcPr>
            <w:tcW w:w="2552" w:type="dxa"/>
            <w:gridSpan w:val="2"/>
          </w:tcPr>
          <w:p>
            <w:pPr>
              <w:pStyle w:val="nTable"/>
              <w:keepNext/>
              <w:keepLines/>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Transfer of Land Amendment Act 2003</w:t>
            </w:r>
            <w:r>
              <w:t xml:space="preserve"> s. 85</w:t>
            </w:r>
          </w:p>
        </w:tc>
        <w:tc>
          <w:tcPr>
            <w:tcW w:w="1138" w:type="dxa"/>
          </w:tcPr>
          <w:p>
            <w:pPr>
              <w:pStyle w:val="nTable"/>
              <w:keepNext/>
              <w:keepLines/>
              <w:spacing w:after="40"/>
            </w:pPr>
            <w:r>
              <w:t>6 of 2003</w:t>
            </w:r>
          </w:p>
        </w:tc>
        <w:tc>
          <w:tcPr>
            <w:tcW w:w="1134" w:type="dxa"/>
          </w:tcPr>
          <w:p>
            <w:pPr>
              <w:pStyle w:val="nTable"/>
              <w:keepNext/>
              <w:keepLines/>
              <w:spacing w:after="40"/>
            </w:pPr>
            <w:r>
              <w:t>25 Mar 2003</w:t>
            </w:r>
          </w:p>
        </w:tc>
        <w:tc>
          <w:tcPr>
            <w:tcW w:w="2552" w:type="dxa"/>
            <w:gridSpan w:val="2"/>
          </w:tcPr>
          <w:p>
            <w:pPr>
              <w:pStyle w:val="nTable"/>
              <w:keepNext/>
              <w:keepLines/>
              <w:spacing w:after="40"/>
            </w:pPr>
            <w:r>
              <w:t xml:space="preserve">3 May 2003 (see s. 2 and </w:t>
            </w:r>
            <w:r>
              <w:rPr>
                <w:i/>
              </w:rPr>
              <w:t>Gazette</w:t>
            </w:r>
            <w:r>
              <w:t xml:space="preserve"> 2 May 2003 p. 1491)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Coroners Amendment Act 2003</w:t>
            </w:r>
            <w:r>
              <w:t xml:space="preserve"> s. 15</w:t>
            </w:r>
          </w:p>
        </w:tc>
        <w:tc>
          <w:tcPr>
            <w:tcW w:w="1138" w:type="dxa"/>
          </w:tcPr>
          <w:p>
            <w:pPr>
              <w:pStyle w:val="nTable"/>
              <w:spacing w:after="40"/>
            </w:pPr>
            <w:r>
              <w:t>15 of 2003</w:t>
            </w:r>
          </w:p>
        </w:tc>
        <w:tc>
          <w:tcPr>
            <w:tcW w:w="1134" w:type="dxa"/>
          </w:tcPr>
          <w:p>
            <w:pPr>
              <w:pStyle w:val="nTable"/>
              <w:spacing w:after="40"/>
              <w:rPr>
                <w:b/>
              </w:rPr>
            </w:pPr>
            <w:r>
              <w:t>17 Apr 2003</w:t>
            </w:r>
          </w:p>
        </w:tc>
        <w:tc>
          <w:tcPr>
            <w:tcW w:w="2552" w:type="dxa"/>
            <w:gridSpan w:val="2"/>
          </w:tcPr>
          <w:p>
            <w:pPr>
              <w:pStyle w:val="nTable"/>
              <w:spacing w:after="40"/>
            </w:pPr>
            <w:r>
              <w:t xml:space="preserve">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Acts Amendment and Repeal (Courts and Legal Practice) Act 2003</w:t>
            </w:r>
            <w:r>
              <w:t xml:space="preserve"> s. 34</w:t>
            </w:r>
          </w:p>
        </w:tc>
        <w:tc>
          <w:tcPr>
            <w:tcW w:w="1138" w:type="dxa"/>
          </w:tcPr>
          <w:p>
            <w:pPr>
              <w:pStyle w:val="nTable"/>
              <w:spacing w:after="40"/>
            </w:pPr>
            <w:r>
              <w:t>65 of 2003</w:t>
            </w:r>
          </w:p>
        </w:tc>
        <w:tc>
          <w:tcPr>
            <w:tcW w:w="1134" w:type="dxa"/>
          </w:tcPr>
          <w:p>
            <w:pPr>
              <w:pStyle w:val="nTable"/>
              <w:spacing w:after="40"/>
            </w:pPr>
            <w:r>
              <w:t>4 Dec 2003</w:t>
            </w:r>
          </w:p>
        </w:tc>
        <w:tc>
          <w:tcPr>
            <w:tcW w:w="2552"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Statutes (Repeals and Minor Amendments) Act 2003</w:t>
            </w:r>
            <w:r>
              <w:t xml:space="preserve"> s. 142(2)</w:t>
            </w:r>
          </w:p>
        </w:tc>
        <w:tc>
          <w:tcPr>
            <w:tcW w:w="1138" w:type="dxa"/>
          </w:tcPr>
          <w:p>
            <w:pPr>
              <w:pStyle w:val="nTable"/>
              <w:spacing w:after="40"/>
            </w:pPr>
            <w:r>
              <w:t>74 of 2003</w:t>
            </w:r>
          </w:p>
        </w:tc>
        <w:tc>
          <w:tcPr>
            <w:tcW w:w="1134" w:type="dxa"/>
          </w:tcPr>
          <w:p>
            <w:pPr>
              <w:pStyle w:val="nTable"/>
              <w:spacing w:after="40"/>
              <w:rPr>
                <w:b/>
              </w:rPr>
            </w:pPr>
            <w:r>
              <w:t>15 Dec 2003</w:t>
            </w:r>
          </w:p>
        </w:tc>
        <w:tc>
          <w:tcPr>
            <w:tcW w:w="2552"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Criminal Code Amendment Act 2004</w:t>
            </w:r>
            <w:r>
              <w:t xml:space="preserve"> s. 24, 26, 58 and 61(6)</w:t>
            </w:r>
          </w:p>
        </w:tc>
        <w:tc>
          <w:tcPr>
            <w:tcW w:w="1138"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snapToGrid w:val="0"/>
              </w:rPr>
            </w:pPr>
            <w:r>
              <w:rPr>
                <w:i/>
                <w:snapToGrid w:val="0"/>
              </w:rPr>
              <w:t>Evidence Amendment Act 2004</w:t>
            </w:r>
          </w:p>
        </w:tc>
        <w:tc>
          <w:tcPr>
            <w:tcW w:w="1138"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2" w:type="dxa"/>
            <w:gridSpan w:val="2"/>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8"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2" w:type="dxa"/>
            <w:gridSpan w:val="2"/>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(Sexual Assault and Other Matters) Act 2004</w:t>
            </w:r>
            <w:r>
              <w:t xml:space="preserve"> Pt. 3 and 4</w:t>
            </w:r>
            <w:r>
              <w:rPr>
                <w:vertAlign w:val="superscript"/>
              </w:rPr>
              <w:t> 10</w:t>
            </w:r>
          </w:p>
        </w:tc>
        <w:tc>
          <w:tcPr>
            <w:tcW w:w="1138" w:type="dxa"/>
          </w:tcPr>
          <w:p>
            <w:pPr>
              <w:pStyle w:val="nTable"/>
              <w:spacing w:after="40"/>
            </w:pPr>
            <w:r>
              <w:t>46 of 2004</w:t>
            </w:r>
          </w:p>
        </w:tc>
        <w:tc>
          <w:tcPr>
            <w:tcW w:w="1134" w:type="dxa"/>
          </w:tcPr>
          <w:p>
            <w:pPr>
              <w:pStyle w:val="nTable"/>
              <w:spacing w:after="40"/>
            </w:pPr>
            <w:r>
              <w:t>9 Nov 2004</w:t>
            </w:r>
          </w:p>
        </w:tc>
        <w:tc>
          <w:tcPr>
            <w:tcW w:w="2552" w:type="dxa"/>
            <w:gridSpan w:val="2"/>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Courts Legislation Amendment and Repeal Act 2004</w:t>
            </w:r>
            <w:r>
              <w:t xml:space="preserve"> Pt. 11</w:t>
            </w:r>
          </w:p>
        </w:tc>
        <w:tc>
          <w:tcPr>
            <w:tcW w:w="1138" w:type="dxa"/>
          </w:tcPr>
          <w:p>
            <w:pPr>
              <w:pStyle w:val="nTable"/>
              <w:spacing w:after="40"/>
            </w:pPr>
            <w:r>
              <w:t>59 of 2004</w:t>
            </w:r>
          </w:p>
        </w:tc>
        <w:tc>
          <w:tcPr>
            <w:tcW w:w="1134" w:type="dxa"/>
          </w:tcPr>
          <w:p>
            <w:pPr>
              <w:pStyle w:val="nTable"/>
              <w:spacing w:after="40"/>
            </w:pPr>
            <w:r>
              <w:t>23 Nov 2004</w:t>
            </w:r>
          </w:p>
        </w:tc>
        <w:tc>
          <w:tcPr>
            <w:tcW w:w="2552" w:type="dxa"/>
            <w:gridSpan w:val="2"/>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lastRenderedPageBreak/>
              <w:t>Misuse of Drugs Amendment Act 2004</w:t>
            </w:r>
            <w:r>
              <w:rPr>
                <w:snapToGrid w:val="0"/>
              </w:rPr>
              <w:t xml:space="preserve"> s. 9(2)</w:t>
            </w:r>
          </w:p>
        </w:tc>
        <w:tc>
          <w:tcPr>
            <w:tcW w:w="1138"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2" w:type="dxa"/>
            <w:gridSpan w:val="2"/>
          </w:tcPr>
          <w:p>
            <w:pPr>
              <w:pStyle w:val="nTable"/>
              <w:spacing w:after="40"/>
            </w:pPr>
            <w:r>
              <w:rPr>
                <w:snapToGrid w:val="0"/>
              </w:rPr>
              <w:t xml:space="preserve">1 Jan 2005 (see s. 2 and </w:t>
            </w:r>
            <w:r>
              <w:rPr>
                <w:i/>
                <w:snapToGrid w:val="0"/>
              </w:rPr>
              <w:t>Gazette</w:t>
            </w:r>
            <w:r>
              <w:rPr>
                <w:snapToGrid w:val="0"/>
              </w:rPr>
              <w:t xml:space="preserve"> 10 Dec 2004 p. 5965)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8"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2" w:type="dxa"/>
            <w:gridSpan w:val="2"/>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11</w:t>
            </w:r>
          </w:p>
        </w:tc>
        <w:tc>
          <w:tcPr>
            <w:tcW w:w="1138"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12</w:t>
            </w:r>
          </w:p>
        </w:tc>
        <w:tc>
          <w:tcPr>
            <w:tcW w:w="1138" w:type="dxa"/>
          </w:tcPr>
          <w:p>
            <w:pPr>
              <w:pStyle w:val="nTable"/>
              <w:spacing w:after="40"/>
            </w:pPr>
            <w:r>
              <w:t>24 of 2005</w:t>
            </w:r>
          </w:p>
        </w:tc>
        <w:tc>
          <w:tcPr>
            <w:tcW w:w="1134" w:type="dxa"/>
          </w:tcPr>
          <w:p>
            <w:pPr>
              <w:pStyle w:val="nTable"/>
              <w:spacing w:after="40"/>
            </w:pPr>
            <w:r>
              <w:t>2 Dec 2005</w:t>
            </w:r>
          </w:p>
        </w:tc>
        <w:tc>
          <w:tcPr>
            <w:tcW w:w="2552" w:type="dxa"/>
            <w:gridSpan w:val="2"/>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Machinery of Government (Miscellaneous Amendments) Act 2006</w:t>
            </w:r>
            <w:r>
              <w:rPr>
                <w:i/>
                <w:iCs/>
              </w:rPr>
              <w:t xml:space="preserve"> </w:t>
            </w:r>
            <w:r>
              <w:t>Pt. 3 Div. 2</w:t>
            </w:r>
            <w:r>
              <w:rPr>
                <w:vertAlign w:val="superscript"/>
              </w:rPr>
              <w:t> 12</w:t>
            </w:r>
          </w:p>
        </w:tc>
        <w:tc>
          <w:tcPr>
            <w:tcW w:w="1138" w:type="dxa"/>
          </w:tcPr>
          <w:p>
            <w:pPr>
              <w:pStyle w:val="nTable"/>
              <w:spacing w:after="40"/>
            </w:pPr>
            <w:r>
              <w:t>28 of 2006</w:t>
            </w:r>
          </w:p>
        </w:tc>
        <w:tc>
          <w:tcPr>
            <w:tcW w:w="1134" w:type="dxa"/>
          </w:tcPr>
          <w:p>
            <w:pPr>
              <w:pStyle w:val="nTable"/>
              <w:spacing w:after="40"/>
            </w:pPr>
            <w:r>
              <w:t>26 Jun 2006</w:t>
            </w:r>
          </w:p>
        </w:tc>
        <w:tc>
          <w:tcPr>
            <w:tcW w:w="2552" w:type="dxa"/>
            <w:gridSpan w:val="2"/>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w:t>
            </w:r>
          </w:p>
        </w:tc>
        <w:tc>
          <w:tcPr>
            <w:tcW w:w="1138"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Child Care Services Act 2007</w:t>
            </w:r>
            <w:r>
              <w:rPr>
                <w:iCs/>
                <w:snapToGrid w:val="0"/>
              </w:rPr>
              <w:t xml:space="preserve"> Pt. 7 Div. 3</w:t>
            </w:r>
          </w:p>
        </w:tc>
        <w:tc>
          <w:tcPr>
            <w:tcW w:w="1138"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2"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8"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2"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Acts Amendment (Justice) Act 2008</w:t>
            </w:r>
            <w:r>
              <w:rPr>
                <w:iCs/>
                <w:snapToGrid w:val="0"/>
              </w:rPr>
              <w:t xml:space="preserve"> Pt. 11</w:t>
            </w:r>
          </w:p>
        </w:tc>
        <w:tc>
          <w:tcPr>
            <w:tcW w:w="1138"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8" w:type="dxa"/>
          </w:tcPr>
          <w:p>
            <w:pPr>
              <w:pStyle w:val="nTable"/>
              <w:spacing w:after="40"/>
            </w:pPr>
            <w:r>
              <w:t>12 of 2008</w:t>
            </w:r>
          </w:p>
        </w:tc>
        <w:tc>
          <w:tcPr>
            <w:tcW w:w="1134" w:type="dxa"/>
          </w:tcPr>
          <w:p>
            <w:pPr>
              <w:pStyle w:val="nTable"/>
              <w:spacing w:after="40"/>
            </w:pPr>
            <w:r>
              <w:t>14 Apr 2008</w:t>
            </w:r>
          </w:p>
        </w:tc>
        <w:tc>
          <w:tcPr>
            <w:tcW w:w="2552" w:type="dxa"/>
            <w:gridSpan w:val="2"/>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8"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lastRenderedPageBreak/>
              <w:t>Children and Community Services Amendment (Reporting Sexual Abuse of Children) Act 2008</w:t>
            </w:r>
            <w:r>
              <w:rPr>
                <w:iCs/>
                <w:snapToGrid w:val="0"/>
              </w:rPr>
              <w:t xml:space="preserve"> s. 12</w:t>
            </w:r>
          </w:p>
        </w:tc>
        <w:tc>
          <w:tcPr>
            <w:tcW w:w="1138" w:type="dxa"/>
          </w:tcPr>
          <w:p>
            <w:pPr>
              <w:pStyle w:val="nTable"/>
              <w:spacing w:after="40"/>
            </w:pPr>
            <w:r>
              <w:t>26 of 2008</w:t>
            </w:r>
          </w:p>
        </w:tc>
        <w:tc>
          <w:tcPr>
            <w:tcW w:w="1134" w:type="dxa"/>
          </w:tcPr>
          <w:p>
            <w:pPr>
              <w:pStyle w:val="nTable"/>
              <w:spacing w:after="40"/>
            </w:pPr>
            <w:r>
              <w:t>19 Jun 2008</w:t>
            </w:r>
          </w:p>
        </w:tc>
        <w:tc>
          <w:tcPr>
            <w:tcW w:w="2552" w:type="dxa"/>
            <w:gridSpan w:val="2"/>
          </w:tcPr>
          <w:p>
            <w:pPr>
              <w:pStyle w:val="nTable"/>
              <w:spacing w:after="40"/>
            </w:pPr>
            <w:r>
              <w:t xml:space="preserve">1 Jan 2009 (see s. 2(b) and </w:t>
            </w:r>
            <w:r>
              <w:rPr>
                <w:i/>
                <w:iCs/>
              </w:rPr>
              <w:t>Gazette</w:t>
            </w:r>
            <w:r>
              <w:t xml:space="preserve"> 9 Dec 2008 p. 5107)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Criminal Law Amendment (Homicide) Act 2008</w:t>
            </w:r>
            <w:r>
              <w:rPr>
                <w:iCs/>
                <w:snapToGrid w:val="0"/>
              </w:rPr>
              <w:t xml:space="preserve"> s. 33</w:t>
            </w:r>
          </w:p>
        </w:tc>
        <w:tc>
          <w:tcPr>
            <w:tcW w:w="1138"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rPr>
            </w:pPr>
            <w:r>
              <w:rPr>
                <w:i/>
              </w:rPr>
              <w:t>Statutes (Repeals and Miscellaneous Amendments) Act 2009</w:t>
            </w:r>
            <w:r>
              <w:rPr>
                <w:iCs/>
              </w:rPr>
              <w:t xml:space="preserve"> s. 7</w:t>
            </w:r>
          </w:p>
        </w:tc>
        <w:tc>
          <w:tcPr>
            <w:tcW w:w="1138" w:type="dxa"/>
          </w:tcPr>
          <w:p>
            <w:pPr>
              <w:pStyle w:val="nTable"/>
              <w:spacing w:after="40"/>
            </w:pPr>
            <w:r>
              <w:t xml:space="preserve">8 of 2009 </w:t>
            </w:r>
          </w:p>
        </w:tc>
        <w:tc>
          <w:tcPr>
            <w:tcW w:w="1134" w:type="dxa"/>
          </w:tcPr>
          <w:p>
            <w:pPr>
              <w:pStyle w:val="nTable"/>
              <w:spacing w:after="40"/>
            </w:pPr>
            <w:r>
              <w:t>21 May 2009</w:t>
            </w:r>
          </w:p>
        </w:tc>
        <w:tc>
          <w:tcPr>
            <w:tcW w:w="2552"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Statutes (Repeals and Minor Amendments) Act 2011 </w:t>
            </w:r>
            <w:r>
              <w:rPr>
                <w:snapToGrid w:val="0"/>
              </w:rPr>
              <w:t>s. 27</w:t>
            </w:r>
          </w:p>
        </w:tc>
        <w:tc>
          <w:tcPr>
            <w:tcW w:w="1138"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gridSpan w:val="2"/>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8"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2"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8"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2" w:type="dxa"/>
            <w:gridSpan w:val="2"/>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i/>
                <w:snapToGrid w:val="0"/>
              </w:rPr>
            </w:pPr>
            <w:r>
              <w:rPr>
                <w:i/>
              </w:rPr>
              <w:t>Criminal Organisations Control Act 2012</w:t>
            </w:r>
            <w:r>
              <w:t xml:space="preserve"> s. 177</w:t>
            </w:r>
          </w:p>
        </w:tc>
        <w:tc>
          <w:tcPr>
            <w:tcW w:w="1138"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2" w:type="dxa"/>
            <w:gridSpan w:val="2"/>
            <w:shd w:val="clear" w:color="auto" w:fill="auto"/>
          </w:tcPr>
          <w:p>
            <w:pPr>
              <w:pStyle w:val="nTable"/>
              <w:spacing w:after="40"/>
              <w:rPr>
                <w:snapToGrid w:val="0"/>
              </w:rPr>
            </w:pPr>
            <w:r>
              <w:rPr>
                <w:snapToGrid w:val="0"/>
              </w:rPr>
              <w:t>2 Nov 2013 (see s. 2(b) and Gazette 1 Nov 2013 p. 4891)</w:t>
            </w:r>
          </w:p>
        </w:tc>
      </w:tr>
      <w:tr>
        <w:tblPrEx>
          <w:tblBorders>
            <w:top w:val="none" w:sz="0" w:space="0" w:color="auto"/>
            <w:bottom w:val="none" w:sz="0" w:space="0" w:color="auto"/>
            <w:insideH w:val="none" w:sz="0" w:space="0" w:color="auto"/>
          </w:tblBorders>
        </w:tblPrEx>
        <w:trPr>
          <w:cantSplit/>
        </w:trPr>
        <w:tc>
          <w:tcPr>
            <w:tcW w:w="7092" w:type="dxa"/>
            <w:gridSpan w:val="6"/>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8"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gridSpan w:val="2"/>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Dangerous Sexual Offenders Legislation Amendment Act 2016</w:t>
            </w:r>
            <w:r>
              <w:rPr>
                <w:noProof/>
              </w:rPr>
              <w:t xml:space="preserve"> Pt. 4</w:t>
            </w:r>
          </w:p>
        </w:tc>
        <w:tc>
          <w:tcPr>
            <w:tcW w:w="1138"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2" w:type="dxa"/>
            <w:gridSpan w:val="2"/>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Evidence Amendment Act 2016</w:t>
            </w:r>
          </w:p>
        </w:tc>
        <w:tc>
          <w:tcPr>
            <w:tcW w:w="1138" w:type="dxa"/>
            <w:shd w:val="clear" w:color="auto" w:fill="auto"/>
          </w:tcPr>
          <w:p>
            <w:pPr>
              <w:pStyle w:val="nTable"/>
              <w:spacing w:after="40"/>
            </w:pPr>
            <w:r>
              <w:t>31 of 2016</w:t>
            </w:r>
          </w:p>
        </w:tc>
        <w:tc>
          <w:tcPr>
            <w:tcW w:w="1134" w:type="dxa"/>
            <w:shd w:val="clear" w:color="auto" w:fill="auto"/>
          </w:tcPr>
          <w:p>
            <w:pPr>
              <w:pStyle w:val="nTable"/>
              <w:spacing w:after="40"/>
            </w:pPr>
            <w:r>
              <w:t>3 Oct 2016</w:t>
            </w:r>
          </w:p>
        </w:tc>
        <w:tc>
          <w:tcPr>
            <w:tcW w:w="2552" w:type="dxa"/>
            <w:gridSpan w:val="2"/>
            <w:shd w:val="clear" w:color="auto" w:fill="auto"/>
          </w:tcPr>
          <w:p>
            <w:pPr>
              <w:pStyle w:val="nTable"/>
              <w:spacing w:after="40"/>
              <w:rPr>
                <w:snapToGrid w:val="0"/>
              </w:rPr>
            </w:pPr>
            <w:r>
              <w:rPr>
                <w:snapToGrid w:val="0"/>
              </w:rPr>
              <w:t>s. 1 and 2: 3 Oct 2016 (see s. 2(a));</w:t>
            </w:r>
            <w:r>
              <w:rPr>
                <w:snapToGrid w:val="0"/>
              </w:rPr>
              <w:br/>
              <w:t xml:space="preserve">Act other than s. 1 and 2: 19 Nov 2016 (see s. 2(b) and </w:t>
            </w:r>
            <w:r>
              <w:rPr>
                <w:i/>
                <w:snapToGrid w:val="0"/>
              </w:rPr>
              <w:t>Gazette</w:t>
            </w:r>
            <w:r>
              <w:rPr>
                <w:snapToGrid w:val="0"/>
              </w:rPr>
              <w:t xml:space="preserve"> 18 Nov 2016 p. 5219)</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lastRenderedPageBreak/>
              <w:t>Statutes (Minor Amendments) Act 2017</w:t>
            </w:r>
            <w:r>
              <w:rPr>
                <w:snapToGrid w:val="0"/>
              </w:rPr>
              <w:t xml:space="preserve"> s. 9</w:t>
            </w:r>
          </w:p>
        </w:tc>
        <w:tc>
          <w:tcPr>
            <w:tcW w:w="1138" w:type="dxa"/>
            <w:shd w:val="clear" w:color="auto" w:fill="auto"/>
          </w:tcPr>
          <w:p>
            <w:pPr>
              <w:pStyle w:val="nTable"/>
              <w:spacing w:after="40"/>
            </w:pPr>
            <w:r>
              <w:rPr>
                <w:snapToGrid w:val="0"/>
              </w:rPr>
              <w:t>6 of 2017</w:t>
            </w:r>
          </w:p>
        </w:tc>
        <w:tc>
          <w:tcPr>
            <w:tcW w:w="1134" w:type="dxa"/>
            <w:shd w:val="clear" w:color="auto" w:fill="auto"/>
          </w:tcPr>
          <w:p>
            <w:pPr>
              <w:pStyle w:val="nTable"/>
              <w:spacing w:after="40"/>
            </w:pPr>
            <w:r>
              <w:rPr>
                <w:snapToGrid w:val="0"/>
              </w:rPr>
              <w:t>12 Sep 2017</w:t>
            </w:r>
          </w:p>
        </w:tc>
        <w:tc>
          <w:tcPr>
            <w:tcW w:w="2552" w:type="dxa"/>
            <w:gridSpan w:val="2"/>
            <w:shd w:val="clear" w:color="auto" w:fill="auto"/>
          </w:tcPr>
          <w:p>
            <w:pPr>
              <w:pStyle w:val="nTable"/>
              <w:spacing w:after="40"/>
              <w:rPr>
                <w:snapToGrid w:val="0"/>
              </w:rPr>
            </w:pPr>
            <w:r>
              <w:rPr>
                <w:snapToGrid w:val="0"/>
              </w:rPr>
              <w:t>13 Sep 2017 (see s. 2(b))</w:t>
            </w:r>
          </w:p>
        </w:tc>
      </w:tr>
      <w:tr>
        <w:trPr>
          <w:cantSplit/>
        </w:trPr>
        <w:tc>
          <w:tcPr>
            <w:tcW w:w="7092" w:type="dxa"/>
            <w:gridSpan w:val="6"/>
            <w:tcBorders>
              <w:top w:val="nil"/>
              <w:bottom w:val="nil"/>
            </w:tcBorders>
            <w:shd w:val="clear" w:color="auto" w:fill="auto"/>
          </w:tcPr>
          <w:p>
            <w:pPr>
              <w:pStyle w:val="nTable"/>
              <w:spacing w:after="40"/>
              <w:rPr>
                <w:snapToGrid w:val="0"/>
              </w:rPr>
            </w:pPr>
            <w:r>
              <w:rPr>
                <w:b/>
                <w:snapToGrid w:val="0"/>
              </w:rPr>
              <w:t xml:space="preserve">Reprint 17: The </w:t>
            </w:r>
            <w:r>
              <w:rPr>
                <w:b/>
                <w:i/>
                <w:noProof/>
                <w:snapToGrid w:val="0"/>
              </w:rPr>
              <w:t>Evidence Act 1906</w:t>
            </w:r>
            <w:r>
              <w:rPr>
                <w:b/>
                <w:snapToGrid w:val="0"/>
              </w:rPr>
              <w:t xml:space="preserve"> as at 22 Jun 2018</w:t>
            </w:r>
            <w:r>
              <w:rPr>
                <w:snapToGrid w:val="0"/>
              </w:rPr>
              <w:t xml:space="preserve"> (includes amendments listed above)</w:t>
            </w:r>
          </w:p>
        </w:tc>
      </w:tr>
      <w:tr>
        <w:trPr>
          <w:cantSplit/>
        </w:trPr>
        <w:tc>
          <w:tcPr>
            <w:tcW w:w="2254" w:type="dxa"/>
            <w:tcBorders>
              <w:top w:val="nil"/>
              <w:bottom w:val="nil"/>
            </w:tcBorders>
            <w:shd w:val="clear" w:color="auto" w:fill="auto"/>
          </w:tcPr>
          <w:p>
            <w:pPr>
              <w:pStyle w:val="nTable"/>
              <w:spacing w:after="40"/>
              <w:rPr>
                <w:snapToGrid w:val="0"/>
              </w:rPr>
            </w:pPr>
            <w:r>
              <w:rPr>
                <w:i/>
                <w:snapToGrid w:val="0"/>
              </w:rPr>
              <w:t>Family Violence Legislation Reform Act 2020</w:t>
            </w:r>
            <w:r>
              <w:rPr>
                <w:snapToGrid w:val="0"/>
              </w:rPr>
              <w:t xml:space="preserve"> Pt. 10</w:t>
            </w:r>
          </w:p>
        </w:tc>
        <w:tc>
          <w:tcPr>
            <w:tcW w:w="1152" w:type="dxa"/>
            <w:gridSpan w:val="2"/>
            <w:tcBorders>
              <w:top w:val="nil"/>
              <w:bottom w:val="nil"/>
            </w:tcBorders>
            <w:shd w:val="clear" w:color="auto" w:fill="auto"/>
          </w:tcPr>
          <w:p>
            <w:pPr>
              <w:pStyle w:val="nTable"/>
              <w:spacing w:after="40"/>
              <w:rPr>
                <w:snapToGrid w:val="0"/>
              </w:rPr>
            </w:pPr>
            <w:r>
              <w:rPr>
                <w:snapToGrid w:val="0"/>
              </w:rPr>
              <w:t>30 of 2020</w:t>
            </w:r>
          </w:p>
        </w:tc>
        <w:tc>
          <w:tcPr>
            <w:tcW w:w="1165" w:type="dxa"/>
            <w:gridSpan w:val="2"/>
            <w:tcBorders>
              <w:top w:val="nil"/>
              <w:bottom w:val="nil"/>
            </w:tcBorders>
            <w:shd w:val="clear" w:color="auto" w:fill="auto"/>
          </w:tcPr>
          <w:p>
            <w:pPr>
              <w:pStyle w:val="nTable"/>
              <w:spacing w:after="40"/>
              <w:rPr>
                <w:snapToGrid w:val="0"/>
              </w:rPr>
            </w:pPr>
            <w:r>
              <w:rPr>
                <w:snapToGrid w:val="0"/>
              </w:rPr>
              <w:t>9 Jul 2020</w:t>
            </w:r>
          </w:p>
        </w:tc>
        <w:tc>
          <w:tcPr>
            <w:tcW w:w="2521" w:type="dxa"/>
            <w:tcBorders>
              <w:top w:val="nil"/>
              <w:bottom w:val="nil"/>
            </w:tcBorders>
            <w:shd w:val="clear" w:color="auto" w:fill="auto"/>
          </w:tcPr>
          <w:p>
            <w:pPr>
              <w:pStyle w:val="nTable"/>
              <w:spacing w:after="40"/>
              <w:rPr>
                <w:snapToGrid w:val="0"/>
              </w:rPr>
            </w:pPr>
            <w:r>
              <w:rPr>
                <w:snapToGrid w:val="0"/>
              </w:rPr>
              <w:t>s. 95:10 Jul 2020 (see s. 2(1)(b));</w:t>
            </w:r>
            <w:r>
              <w:rPr>
                <w:snapToGrid w:val="0"/>
              </w:rPr>
              <w:br/>
              <w:t xml:space="preserve">Pt. 10 (other than s. 95): </w:t>
            </w:r>
            <w:r>
              <w:t>1 Oct 2020 (see s. 2(1)(c) and SL 2020/125 cl. 2(b)(ii))</w:t>
            </w:r>
          </w:p>
        </w:tc>
      </w:tr>
      <w:tr>
        <w:trPr>
          <w:cantSplit/>
        </w:trPr>
        <w:tc>
          <w:tcPr>
            <w:tcW w:w="2254" w:type="dxa"/>
            <w:tcBorders>
              <w:top w:val="nil"/>
              <w:bottom w:val="nil"/>
            </w:tcBorders>
            <w:shd w:val="clear" w:color="auto" w:fill="auto"/>
          </w:tcPr>
          <w:p>
            <w:pPr>
              <w:pStyle w:val="nTable"/>
              <w:spacing w:after="40"/>
              <w:rPr>
                <w:i/>
                <w:snapToGrid w:val="0"/>
              </w:rPr>
            </w:pPr>
            <w:r>
              <w:rPr>
                <w:i/>
              </w:rPr>
              <w:t>High Risk Serious Offenders Act 2020</w:t>
            </w:r>
            <w:r>
              <w:t xml:space="preserve"> s. 121</w:t>
            </w:r>
          </w:p>
        </w:tc>
        <w:tc>
          <w:tcPr>
            <w:tcW w:w="1152" w:type="dxa"/>
            <w:gridSpan w:val="2"/>
            <w:tcBorders>
              <w:top w:val="nil"/>
              <w:bottom w:val="nil"/>
            </w:tcBorders>
            <w:shd w:val="clear" w:color="auto" w:fill="auto"/>
          </w:tcPr>
          <w:p>
            <w:pPr>
              <w:pStyle w:val="nTable"/>
              <w:spacing w:after="40"/>
              <w:rPr>
                <w:snapToGrid w:val="0"/>
              </w:rPr>
            </w:pPr>
            <w:r>
              <w:t>29 of 2020</w:t>
            </w:r>
          </w:p>
        </w:tc>
        <w:tc>
          <w:tcPr>
            <w:tcW w:w="1165" w:type="dxa"/>
            <w:gridSpan w:val="2"/>
            <w:tcBorders>
              <w:top w:val="nil"/>
              <w:bottom w:val="nil"/>
            </w:tcBorders>
            <w:shd w:val="clear" w:color="auto" w:fill="auto"/>
          </w:tcPr>
          <w:p>
            <w:pPr>
              <w:pStyle w:val="nTable"/>
              <w:spacing w:after="40"/>
              <w:rPr>
                <w:snapToGrid w:val="0"/>
              </w:rPr>
            </w:pPr>
            <w:r>
              <w:t>9 Jul 2020</w:t>
            </w:r>
          </w:p>
        </w:tc>
        <w:tc>
          <w:tcPr>
            <w:tcW w:w="2521" w:type="dxa"/>
            <w:tcBorders>
              <w:top w:val="nil"/>
              <w:bottom w:val="nil"/>
            </w:tcBorders>
            <w:shd w:val="clear" w:color="auto" w:fill="auto"/>
          </w:tcPr>
          <w:p>
            <w:pPr>
              <w:pStyle w:val="nTable"/>
              <w:spacing w:after="40"/>
              <w:rPr>
                <w:snapToGrid w:val="0"/>
              </w:rPr>
            </w:pPr>
            <w:r>
              <w:t>26 Aug 2020 (see s. 2(1)(c) and SL 2020/131 cl. 2)</w:t>
            </w:r>
          </w:p>
        </w:tc>
      </w:tr>
      <w:tr>
        <w:trPr>
          <w:cantSplit/>
        </w:trPr>
        <w:tc>
          <w:tcPr>
            <w:tcW w:w="2254"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Pt. 6 Div. 4</w:t>
            </w:r>
          </w:p>
        </w:tc>
        <w:tc>
          <w:tcPr>
            <w:tcW w:w="1152" w:type="dxa"/>
            <w:gridSpan w:val="2"/>
            <w:tcBorders>
              <w:top w:val="nil"/>
              <w:bottom w:val="nil"/>
            </w:tcBorders>
            <w:shd w:val="clear" w:color="auto" w:fill="auto"/>
          </w:tcPr>
          <w:p>
            <w:pPr>
              <w:pStyle w:val="nTable"/>
              <w:spacing w:after="40"/>
            </w:pPr>
            <w:r>
              <w:t>34 of 2020</w:t>
            </w:r>
          </w:p>
        </w:tc>
        <w:tc>
          <w:tcPr>
            <w:tcW w:w="1165" w:type="dxa"/>
            <w:gridSpan w:val="2"/>
            <w:tcBorders>
              <w:top w:val="nil"/>
              <w:bottom w:val="nil"/>
            </w:tcBorders>
            <w:shd w:val="clear" w:color="auto" w:fill="auto"/>
          </w:tcPr>
          <w:p>
            <w:pPr>
              <w:pStyle w:val="nTable"/>
              <w:spacing w:after="40"/>
            </w:pPr>
            <w:r>
              <w:t>11 Sep 2020</w:t>
            </w:r>
          </w:p>
        </w:tc>
        <w:tc>
          <w:tcPr>
            <w:tcW w:w="2521" w:type="dxa"/>
            <w:tcBorders>
              <w:top w:val="nil"/>
              <w:bottom w:val="nil"/>
            </w:tcBorders>
            <w:shd w:val="clear" w:color="auto" w:fill="auto"/>
          </w:tcPr>
          <w:p>
            <w:pPr>
              <w:pStyle w:val="nTable"/>
              <w:spacing w:after="40"/>
            </w:pPr>
            <w:r>
              <w:t>12 Sep 2020 (see s. 2(b))</w:t>
            </w:r>
          </w:p>
        </w:tc>
      </w:tr>
      <w:tr>
        <w:tblPrEx>
          <w:tblBorders>
            <w:top w:val="none" w:sz="0" w:space="0" w:color="auto"/>
            <w:bottom w:val="none" w:sz="0" w:space="0" w:color="auto"/>
            <w:insideH w:val="none" w:sz="0" w:space="0" w:color="auto"/>
          </w:tblBorders>
        </w:tblPrEx>
        <w:trPr>
          <w:cantSplit/>
        </w:trPr>
        <w:tc>
          <w:tcPr>
            <w:tcW w:w="2254" w:type="dxa"/>
            <w:tcBorders>
              <w:bottom w:val="single" w:sz="8" w:space="0" w:color="auto"/>
            </w:tcBorders>
            <w:shd w:val="clear" w:color="auto" w:fill="auto"/>
          </w:tcPr>
          <w:p>
            <w:pPr>
              <w:pStyle w:val="nTable"/>
              <w:spacing w:after="40"/>
            </w:pPr>
            <w:r>
              <w:rPr>
                <w:i/>
              </w:rPr>
              <w:t>Criminal Law Amendment (Uncertain Dates) Act 2020</w:t>
            </w:r>
            <w:r>
              <w:t xml:space="preserve"> Pt. 4</w:t>
            </w:r>
          </w:p>
        </w:tc>
        <w:tc>
          <w:tcPr>
            <w:tcW w:w="1152" w:type="dxa"/>
            <w:gridSpan w:val="2"/>
            <w:tcBorders>
              <w:bottom w:val="single" w:sz="8" w:space="0" w:color="auto"/>
            </w:tcBorders>
            <w:shd w:val="clear" w:color="auto" w:fill="auto"/>
          </w:tcPr>
          <w:p>
            <w:pPr>
              <w:pStyle w:val="nTable"/>
              <w:spacing w:after="40"/>
            </w:pPr>
            <w:r>
              <w:t>47 of 2020</w:t>
            </w:r>
          </w:p>
        </w:tc>
        <w:tc>
          <w:tcPr>
            <w:tcW w:w="1165" w:type="dxa"/>
            <w:gridSpan w:val="2"/>
            <w:tcBorders>
              <w:bottom w:val="single" w:sz="8" w:space="0" w:color="auto"/>
            </w:tcBorders>
            <w:shd w:val="clear" w:color="auto" w:fill="auto"/>
          </w:tcPr>
          <w:p>
            <w:pPr>
              <w:pStyle w:val="nTable"/>
              <w:spacing w:after="40"/>
            </w:pPr>
            <w:r>
              <w:t>9 Dec 2020</w:t>
            </w:r>
          </w:p>
        </w:tc>
        <w:tc>
          <w:tcPr>
            <w:tcW w:w="2521" w:type="dxa"/>
            <w:tcBorders>
              <w:bottom w:val="single" w:sz="8" w:space="0" w:color="auto"/>
            </w:tcBorders>
            <w:shd w:val="clear" w:color="auto" w:fill="auto"/>
          </w:tcPr>
          <w:p>
            <w:pPr>
              <w:pStyle w:val="nTable"/>
              <w:spacing w:after="40"/>
            </w:pPr>
            <w:r>
              <w:t>10 Dec 2020 (see s. 2(b))</w:t>
            </w:r>
          </w:p>
        </w:tc>
      </w:tr>
    </w:tbl>
    <w:p>
      <w:pPr>
        <w:pStyle w:val="nHeading3"/>
      </w:pPr>
      <w:bookmarkStart w:id="252" w:name="_Toc80794516"/>
      <w:r>
        <w:t>Uncommenced provisions table</w:t>
      </w:r>
      <w:bookmarkEnd w:id="25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
                <w:vertAlign w:val="superscript"/>
              </w:rPr>
            </w:pPr>
            <w:r>
              <w:rPr>
                <w:i/>
              </w:rPr>
              <w:t xml:space="preserve">Prostitution Amendment Act 2008 </w:t>
            </w:r>
            <w:r>
              <w:rPr>
                <w:iCs/>
              </w:rPr>
              <w:t>s. 31</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pPr>
            <w:r>
              <w:t>To be proclaimed (see s. 2(b))</w:t>
            </w:r>
          </w:p>
        </w:tc>
      </w:tr>
      <w:tr>
        <w:tc>
          <w:tcPr>
            <w:tcW w:w="2268" w:type="dxa"/>
            <w:tcBorders>
              <w:top w:val="nil"/>
              <w:bottom w:val="single" w:sz="4" w:space="0" w:color="auto"/>
            </w:tcBorders>
          </w:tcPr>
          <w:p>
            <w:pPr>
              <w:pStyle w:val="nTable"/>
              <w:spacing w:after="40"/>
            </w:pPr>
            <w:r>
              <w:rPr>
                <w:i/>
              </w:rPr>
              <w:t>Legislation Act 2021</w:t>
            </w:r>
            <w:r>
              <w:t xml:space="preserve"> Pt. 6 Div. 2</w:t>
            </w:r>
          </w:p>
        </w:tc>
        <w:tc>
          <w:tcPr>
            <w:tcW w:w="1134" w:type="dxa"/>
            <w:tcBorders>
              <w:top w:val="nil"/>
              <w:bottom w:val="single" w:sz="4" w:space="0" w:color="auto"/>
            </w:tcBorders>
          </w:tcPr>
          <w:p>
            <w:pPr>
              <w:pStyle w:val="nTable"/>
              <w:spacing w:after="40"/>
            </w:pPr>
            <w:r>
              <w:t>13 of 2021</w:t>
            </w:r>
          </w:p>
        </w:tc>
        <w:tc>
          <w:tcPr>
            <w:tcW w:w="1134" w:type="dxa"/>
            <w:tcBorders>
              <w:top w:val="nil"/>
              <w:bottom w:val="single" w:sz="4" w:space="0" w:color="auto"/>
            </w:tcBorders>
          </w:tcPr>
          <w:p>
            <w:pPr>
              <w:pStyle w:val="nTable"/>
              <w:spacing w:after="40"/>
            </w:pPr>
            <w:r>
              <w:t>24 Aug 2021</w:t>
            </w:r>
          </w:p>
        </w:tc>
        <w:tc>
          <w:tcPr>
            <w:tcW w:w="2552" w:type="dxa"/>
            <w:tcBorders>
              <w:top w:val="nil"/>
              <w:bottom w:val="single" w:sz="4" w:space="0" w:color="auto"/>
            </w:tcBorders>
          </w:tcPr>
          <w:p>
            <w:pPr>
              <w:pStyle w:val="nTable"/>
              <w:spacing w:after="40"/>
            </w:pPr>
            <w:r>
              <w:t>To be proclaimed (see s. 2(b))</w:t>
            </w:r>
          </w:p>
        </w:tc>
      </w:tr>
    </w:tbl>
    <w:p>
      <w:pPr>
        <w:pStyle w:val="nHeading3"/>
      </w:pPr>
      <w:bookmarkStart w:id="253" w:name="_Toc80794517"/>
      <w:r>
        <w:t>Other notes</w:t>
      </w:r>
      <w:bookmarkEnd w:id="253"/>
    </w:p>
    <w:p>
      <w:pPr>
        <w:pStyle w:val="nNote"/>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spacing w:before="160"/>
        <w:ind w:left="425" w:hanging="425"/>
        <w:rPr>
          <w:snapToGrid w:val="0"/>
        </w:rPr>
      </w:pPr>
      <w:r>
        <w:rPr>
          <w:snapToGrid w:val="0"/>
          <w:vertAlign w:val="superscript"/>
        </w:rPr>
        <w:lastRenderedPageBreak/>
        <w:t>1</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keepNext/>
        <w:keepLines/>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Note"/>
        <w:rPr>
          <w:snapToGrid w:val="0"/>
        </w:rPr>
      </w:pPr>
      <w:r>
        <w:rPr>
          <w:snapToGrid w:val="0"/>
          <w:vertAlign w:val="superscript"/>
        </w:rPr>
        <w:t>2</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Note"/>
        <w:keepNext/>
      </w:pPr>
      <w:r>
        <w:rPr>
          <w:snapToGrid w:val="0"/>
          <w:vertAlign w:val="superscript"/>
        </w:rPr>
        <w:t>4</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Note"/>
      </w:pPr>
      <w:r>
        <w:rPr>
          <w:snapToGrid w:val="0"/>
          <w:vertAlign w:val="superscript"/>
        </w:rPr>
        <w:t>5</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Note"/>
        <w:rPr>
          <w:i/>
          <w:snapToGrid w:val="0"/>
        </w:rPr>
      </w:pPr>
      <w:r>
        <w:rPr>
          <w:vertAlign w:val="superscript"/>
        </w:rPr>
        <w:t>6</w:t>
      </w:r>
      <w:r>
        <w:tab/>
        <w:t xml:space="preserve">The </w:t>
      </w:r>
      <w:r>
        <w:rPr>
          <w:i/>
        </w:rPr>
        <w:t>Evidence Act Amendment Act 1974</w:t>
      </w:r>
      <w:r>
        <w:rPr>
          <w:iCs/>
        </w:rPr>
        <w:t xml:space="preserve"> is not included as it was repealed before it came into operation by the </w:t>
      </w:r>
      <w:r>
        <w:rPr>
          <w:i/>
        </w:rPr>
        <w:t>Evidence Amendment Act 1987</w:t>
      </w:r>
      <w:r>
        <w:rPr>
          <w:iCs/>
        </w:rPr>
        <w:t xml:space="preserve"> s. 10</w:t>
      </w:r>
      <w:r>
        <w:rPr>
          <w:i/>
        </w:rPr>
        <w:t>.</w:t>
      </w:r>
    </w:p>
    <w:p>
      <w:pPr>
        <w:pStyle w:val="nNote"/>
        <w:ind w:left="425" w:hanging="425"/>
        <w:rPr>
          <w:snapToGrid w:val="0"/>
        </w:rPr>
      </w:pPr>
      <w:r>
        <w:rPr>
          <w:snapToGrid w:val="0"/>
          <w:vertAlign w:val="superscript"/>
        </w:rPr>
        <w:t>7</w:t>
      </w:r>
      <w:r>
        <w:rPr>
          <w:snapToGrid w:val="0"/>
        </w:rPr>
        <w:tab/>
        <w:t xml:space="preserve">The </w:t>
      </w:r>
      <w:r>
        <w:rPr>
          <w:i/>
          <w:snapToGrid w:val="0"/>
        </w:rPr>
        <w:t>Acts Amendment (Abortion) Act 1998</w:t>
      </w:r>
      <w:r>
        <w:rPr>
          <w:snapToGrid w:val="0"/>
        </w:rPr>
        <w:t xml:space="preserve"> s. 6(2) reads as follows:</w:t>
      </w:r>
    </w:p>
    <w:p>
      <w:pPr>
        <w:pStyle w:val="BlankOpen"/>
        <w:keepNext w:val="0"/>
        <w:keepLines w:val="0"/>
        <w:rPr>
          <w:snapToGrid w:val="0"/>
        </w:rPr>
      </w:pP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Note"/>
        <w:keepNext/>
        <w:rPr>
          <w:snapToGrid w:val="0"/>
        </w:rPr>
      </w:pPr>
      <w:r>
        <w:rPr>
          <w:snapToGrid w:val="0"/>
          <w:vertAlign w:val="superscript"/>
        </w:rPr>
        <w:lastRenderedPageBreak/>
        <w:t>8</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Note"/>
      </w:pPr>
      <w:r>
        <w:rPr>
          <w:vertAlign w:val="superscript"/>
        </w:rPr>
        <w:t>9</w:t>
      </w:r>
      <w:r>
        <w:tab/>
        <w:t xml:space="preserve">The </w:t>
      </w:r>
      <w:r>
        <w:rPr>
          <w:i/>
        </w:rPr>
        <w:t>Taxation Administration (Consequential Provisions) Act 2002</w:t>
      </w:r>
      <w:r>
        <w:t xml:space="preserve"> s. 33 and 34 read as follows:</w:t>
      </w:r>
    </w:p>
    <w:p>
      <w:pPr>
        <w:pStyle w:val="BlankOpen"/>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lastRenderedPageBreak/>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xml:space="preserve">, then despite section 111, proceedings in relation to an offence under the old Act (including an offence under a provision of the old Act that is continued in force under this Part) cannot be </w:t>
      </w:r>
      <w:r>
        <w:lastRenderedPageBreak/>
        <w:t>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Note"/>
        <w:keepNext/>
        <w:rPr>
          <w:snapToGrid w:val="0"/>
        </w:rPr>
      </w:pPr>
      <w:r>
        <w:rPr>
          <w:vertAlign w:val="superscript"/>
        </w:rPr>
        <w:t>10</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Open"/>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Note"/>
        <w:keepNext/>
        <w:keepLines/>
        <w:rPr>
          <w:snapToGrid w:val="0"/>
        </w:rPr>
      </w:pPr>
      <w:r>
        <w:rPr>
          <w:snapToGrid w:val="0"/>
          <w:vertAlign w:val="superscript"/>
        </w:rPr>
        <w:t>11</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Note"/>
        <w:rPr>
          <w:snapToGrid w:val="0"/>
        </w:rPr>
      </w:pPr>
      <w:r>
        <w:rPr>
          <w:snapToGrid w:val="0"/>
          <w:vertAlign w:val="superscript"/>
        </w:rPr>
        <w:t>12</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rPr>
          <w:sz w:val="28"/>
        </w:rPr>
      </w:pPr>
      <w:bookmarkStart w:id="255" w:name="_Toc80787987"/>
      <w:bookmarkStart w:id="256" w:name="_Toc80791379"/>
      <w:bookmarkStart w:id="257" w:name="_Toc80794518"/>
      <w:r>
        <w:rPr>
          <w:sz w:val="28"/>
        </w:rPr>
        <w:lastRenderedPageBreak/>
        <w:t>Defined terms</w:t>
      </w:r>
      <w:bookmarkEnd w:id="255"/>
      <w:bookmarkEnd w:id="256"/>
      <w:bookmarkEnd w:id="2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36A(1), 106A</w:t>
      </w:r>
    </w:p>
    <w:p>
      <w:pPr>
        <w:pStyle w:val="DefinedTerms"/>
      </w:pPr>
      <w:r>
        <w:t>Act</w:t>
      </w:r>
      <w:r>
        <w:tab/>
        <w:t>3</w:t>
      </w:r>
    </w:p>
    <w:p>
      <w:pPr>
        <w:pStyle w:val="DefinedTerms"/>
      </w:pPr>
      <w:r>
        <w:t>affected child</w:t>
      </w:r>
      <w:r>
        <w:tab/>
        <w:t>106A</w:t>
      </w:r>
    </w:p>
    <w:p>
      <w:pPr>
        <w:pStyle w:val="DefinedTerms"/>
      </w:pPr>
      <w:r>
        <w:t>application for leave</w:t>
      </w:r>
      <w:r>
        <w:tab/>
        <w:t>19A(1)</w:t>
      </w:r>
    </w:p>
    <w:p>
      <w:pPr>
        <w:pStyle w:val="DefinedTerms"/>
      </w:pPr>
      <w:r>
        <w:t>audio link</w:t>
      </w:r>
      <w:r>
        <w:tab/>
        <w:t>120(1)</w:t>
      </w:r>
    </w:p>
    <w:p>
      <w:pPr>
        <w:pStyle w:val="DefinedTerms"/>
      </w:pPr>
      <w:r>
        <w:t>Australasian colony</w:t>
      </w:r>
      <w:r>
        <w:tab/>
        <w:t>3</w:t>
      </w:r>
    </w:p>
    <w:p>
      <w:pPr>
        <w:pStyle w:val="DefinedTerms"/>
      </w:pPr>
      <w:r>
        <w:t>Australia</w:t>
      </w:r>
      <w:r>
        <w:tab/>
        <w:t>109(1), 115, 120(1)</w:t>
      </w:r>
    </w:p>
    <w:p>
      <w:pPr>
        <w:pStyle w:val="DefinedTerms"/>
      </w:pPr>
      <w:r>
        <w:t>authenticated copy</w:t>
      </w:r>
      <w:r>
        <w:tab/>
        <w:t>73BA(1)</w:t>
      </w:r>
    </w:p>
    <w:p>
      <w:pPr>
        <w:pStyle w:val="DefinedTerms"/>
      </w:pPr>
      <w:r>
        <w:t>authorised officer</w:t>
      </w:r>
      <w:r>
        <w:tab/>
        <w:t>50B(1)</w:t>
      </w:r>
    </w:p>
    <w:p>
      <w:pPr>
        <w:pStyle w:val="DefinedTerms"/>
      </w:pPr>
      <w:r>
        <w:t>authority</w:t>
      </w:r>
      <w:r>
        <w:tab/>
        <w:t>104A(5)</w:t>
      </w:r>
    </w:p>
    <w:p>
      <w:pPr>
        <w:pStyle w:val="DefinedTerms"/>
      </w:pPr>
      <w:r>
        <w:t>bank</w:t>
      </w:r>
      <w:r>
        <w:tab/>
        <w:t>3</w:t>
      </w:r>
    </w:p>
    <w:p>
      <w:pPr>
        <w:pStyle w:val="DefinedTerms"/>
      </w:pPr>
      <w:r>
        <w:t>bankers’ books</w:t>
      </w:r>
      <w:r>
        <w:tab/>
        <w:t>3</w:t>
      </w:r>
    </w:p>
    <w:p>
      <w:pPr>
        <w:pStyle w:val="DefinedTerms"/>
      </w:pPr>
      <w:r>
        <w:t>broadcast</w:t>
      </w:r>
      <w:r>
        <w:tab/>
        <w:t>36C(4), 106MB(3)</w:t>
      </w:r>
    </w:p>
    <w:p>
      <w:pPr>
        <w:pStyle w:val="DefinedTerms"/>
      </w:pPr>
      <w:r>
        <w:t>business</w:t>
      </w:r>
      <w:r>
        <w:tab/>
        <w:t>79B</w:t>
      </w:r>
    </w:p>
    <w:p>
      <w:pPr>
        <w:pStyle w:val="DefinedTerms"/>
      </w:pPr>
      <w:r>
        <w:t>business day</w:t>
      </w:r>
      <w:r>
        <w:tab/>
        <w:t>50B(1)</w:t>
      </w:r>
    </w:p>
    <w:p>
      <w:pPr>
        <w:pStyle w:val="DefinedTerms"/>
      </w:pPr>
      <w:r>
        <w:t>business record</w:t>
      </w:r>
      <w:r>
        <w:tab/>
        <w:t>79B</w:t>
      </w:r>
    </w:p>
    <w:p>
      <w:pPr>
        <w:pStyle w:val="DefinedTerms"/>
      </w:pPr>
      <w:r>
        <w:t>child</w:t>
      </w:r>
      <w:r>
        <w:tab/>
        <w:t>106A</w:t>
      </w:r>
    </w:p>
    <w:p>
      <w:pPr>
        <w:pStyle w:val="DefinedTerms"/>
      </w:pPr>
      <w:r>
        <w:t>colony</w:t>
      </w:r>
      <w:r>
        <w:tab/>
        <w:t>3</w:t>
      </w:r>
    </w:p>
    <w:p>
      <w:pPr>
        <w:pStyle w:val="DefinedTerms"/>
      </w:pPr>
      <w:r>
        <w:t>Commonwealth</w:t>
      </w:r>
      <w:r>
        <w:tab/>
        <w:t>3</w:t>
      </w:r>
    </w:p>
    <w:p>
      <w:pPr>
        <w:pStyle w:val="DefinedTerms"/>
      </w:pPr>
      <w:r>
        <w:t>complainant</w:t>
      </w:r>
      <w:r>
        <w:tab/>
        <w:t>19A(1)(a), 36A(1), 36C(4)</w:t>
      </w:r>
    </w:p>
    <w:p>
      <w:pPr>
        <w:pStyle w:val="DefinedTerms"/>
      </w:pPr>
      <w:r>
        <w:t>confidant</w:t>
      </w:r>
      <w:r>
        <w:tab/>
        <w:t>20A(1)</w:t>
      </w:r>
    </w:p>
    <w:p>
      <w:pPr>
        <w:pStyle w:val="DefinedTerms"/>
      </w:pPr>
      <w:r>
        <w:t>confider</w:t>
      </w:r>
      <w:r>
        <w:tab/>
        <w:t>20E(1)</w:t>
      </w:r>
    </w:p>
    <w:p>
      <w:pPr>
        <w:pStyle w:val="DefinedTerms"/>
      </w:pPr>
      <w:r>
        <w:t>corroboration warning</w:t>
      </w:r>
      <w:r>
        <w:tab/>
        <w:t>50(1)</w:t>
      </w:r>
    </w:p>
    <w:p>
      <w:pPr>
        <w:pStyle w:val="DefinedTerms"/>
      </w:pPr>
      <w:r>
        <w:t>counsel</w:t>
      </w:r>
      <w:r>
        <w:tab/>
        <w:t>106A</w:t>
      </w:r>
    </w:p>
    <w:p>
      <w:pPr>
        <w:pStyle w:val="DefinedTerms"/>
      </w:pPr>
      <w:r>
        <w:t>counselling communication</w:t>
      </w:r>
      <w:r>
        <w:tab/>
        <w:t>19A(1)</w:t>
      </w:r>
    </w:p>
    <w:p>
      <w:pPr>
        <w:pStyle w:val="DefinedTerms"/>
      </w:pPr>
      <w:r>
        <w:t>counsellor</w:t>
      </w:r>
      <w:r>
        <w:tab/>
        <w:t>19A(1)</w:t>
      </w:r>
    </w:p>
    <w:p>
      <w:pPr>
        <w:pStyle w:val="DefinedTerms"/>
      </w:pPr>
      <w:r>
        <w:t>counsels</w:t>
      </w:r>
      <w:r>
        <w:tab/>
        <w:t>19A(1)(a) and (2)</w:t>
      </w:r>
    </w:p>
    <w:p>
      <w:pPr>
        <w:pStyle w:val="DefinedTerms"/>
      </w:pPr>
      <w:r>
        <w:t>court</w:t>
      </w:r>
      <w:r>
        <w:tab/>
        <w:t>3, 79B</w:t>
      </w:r>
    </w:p>
    <w:p>
      <w:pPr>
        <w:pStyle w:val="DefinedTerms"/>
      </w:pPr>
      <w:r>
        <w:t>criminal organisation</w:t>
      </w:r>
      <w:r>
        <w:tab/>
        <w:t>106A</w:t>
      </w:r>
    </w:p>
    <w:p>
      <w:pPr>
        <w:pStyle w:val="DefinedTerms"/>
      </w:pPr>
      <w:r>
        <w:t>criminal organisation offence</w:t>
      </w:r>
      <w:r>
        <w:tab/>
        <w:t>106A</w:t>
      </w:r>
    </w:p>
    <w:p>
      <w:pPr>
        <w:pStyle w:val="DefinedTerms"/>
      </w:pPr>
      <w:r>
        <w:t>criminal proceedings</w:t>
      </w:r>
      <w:r>
        <w:tab/>
        <w:t>119(1)</w:t>
      </w:r>
    </w:p>
    <w:p>
      <w:pPr>
        <w:pStyle w:val="DefinedTerms"/>
      </w:pPr>
      <w:r>
        <w:t>derived</w:t>
      </w:r>
      <w:r>
        <w:tab/>
        <w:t>79B</w:t>
      </w:r>
    </w:p>
    <w:p>
      <w:pPr>
        <w:pStyle w:val="DefinedTerms"/>
      </w:pPr>
      <w:r>
        <w:t>direction</w:t>
      </w:r>
      <w:r>
        <w:tab/>
        <w:t>20G</w:t>
      </w:r>
    </w:p>
    <w:p>
      <w:pPr>
        <w:pStyle w:val="DefinedTerms"/>
      </w:pPr>
      <w:r>
        <w:t>disclose</w:t>
      </w:r>
      <w:r>
        <w:tab/>
        <w:t>19A(1)</w:t>
      </w:r>
    </w:p>
    <w:p>
      <w:pPr>
        <w:pStyle w:val="DefinedTerms"/>
      </w:pPr>
      <w:r>
        <w:t>DNA profile</w:t>
      </w:r>
      <w:r>
        <w:tab/>
        <w:t>50B(1)</w:t>
      </w:r>
    </w:p>
    <w:p>
      <w:pPr>
        <w:pStyle w:val="DefinedTerms"/>
      </w:pPr>
      <w:r>
        <w:t>document</w:t>
      </w:r>
      <w:r>
        <w:tab/>
        <w:t>3, 79B</w:t>
      </w:r>
    </w:p>
    <w:p>
      <w:pPr>
        <w:pStyle w:val="DefinedTerms"/>
      </w:pPr>
      <w:r>
        <w:t>duties Act</w:t>
      </w:r>
      <w:r>
        <w:tab/>
        <w:t>73U(3)</w:t>
      </w:r>
    </w:p>
    <w:p>
      <w:pPr>
        <w:pStyle w:val="DefinedTerms"/>
      </w:pPr>
      <w:r>
        <w:t>eligible service</w:t>
      </w:r>
      <w:r>
        <w:tab/>
        <w:t>119(1)</w:t>
      </w:r>
    </w:p>
    <w:p>
      <w:pPr>
        <w:pStyle w:val="DefinedTerms"/>
      </w:pPr>
      <w:r>
        <w:t>examination</w:t>
      </w:r>
      <w:r>
        <w:tab/>
        <w:t>50B(1), 109(1)</w:t>
      </w:r>
    </w:p>
    <w:p>
      <w:pPr>
        <w:pStyle w:val="DefinedTerms"/>
      </w:pPr>
      <w:r>
        <w:t>examined copy</w:t>
      </w:r>
      <w:r>
        <w:tab/>
        <w:t>3</w:t>
      </w:r>
    </w:p>
    <w:p>
      <w:pPr>
        <w:pStyle w:val="DefinedTerms"/>
      </w:pPr>
      <w:r>
        <w:lastRenderedPageBreak/>
        <w:t>forensic scientist</w:t>
      </w:r>
      <w:r>
        <w:tab/>
        <w:t>50B(1)</w:t>
      </w:r>
    </w:p>
    <w:p>
      <w:pPr>
        <w:pStyle w:val="DefinedTerms"/>
      </w:pPr>
      <w:r>
        <w:t>Gazette</w:t>
      </w:r>
      <w:r>
        <w:tab/>
        <w:t>3</w:t>
      </w:r>
    </w:p>
    <w:p>
      <w:pPr>
        <w:pStyle w:val="DefinedTerms"/>
      </w:pPr>
      <w:r>
        <w:t>Government Printer</w:t>
      </w:r>
      <w:r>
        <w:tab/>
        <w:t>3</w:t>
      </w:r>
    </w:p>
    <w:p>
      <w:pPr>
        <w:pStyle w:val="DefinedTerms"/>
      </w:pPr>
      <w:r>
        <w:t>harm</w:t>
      </w:r>
      <w:r>
        <w:tab/>
        <w:t>19A(1), 20A(1)</w:t>
      </w:r>
    </w:p>
    <w:p>
      <w:pPr>
        <w:pStyle w:val="DefinedTerms"/>
      </w:pPr>
      <w:r>
        <w:t>hearing</w:t>
      </w:r>
      <w:r>
        <w:tab/>
        <w:t>106T(5)</w:t>
      </w:r>
    </w:p>
    <w:p>
      <w:pPr>
        <w:pStyle w:val="DefinedTerms"/>
      </w:pPr>
      <w:r>
        <w:t>hearing day</w:t>
      </w:r>
      <w:r>
        <w:tab/>
        <w:t>50B(1)</w:t>
      </w:r>
    </w:p>
    <w:p>
      <w:pPr>
        <w:pStyle w:val="DefinedTerms"/>
      </w:pPr>
      <w:r>
        <w:t>identifying evidence</w:t>
      </w:r>
      <w:r>
        <w:tab/>
        <w:t>20G, 20I</w:t>
      </w:r>
    </w:p>
    <w:p>
      <w:pPr>
        <w:pStyle w:val="DefinedTerms"/>
      </w:pPr>
      <w:r>
        <w:t>inferior court</w:t>
      </w:r>
      <w:r>
        <w:tab/>
        <w:t>109(1)</w:t>
      </w:r>
    </w:p>
    <w:p>
      <w:pPr>
        <w:pStyle w:val="DefinedTerms"/>
      </w:pPr>
      <w:r>
        <w:t>informant</w:t>
      </w:r>
      <w:r>
        <w:tab/>
        <w:t>20G</w:t>
      </w:r>
    </w:p>
    <w:p>
      <w:pPr>
        <w:pStyle w:val="DefinedTerms"/>
      </w:pPr>
      <w:r>
        <w:t>inquest</w:t>
      </w:r>
      <w:r>
        <w:tab/>
        <w:t>119(1)</w:t>
      </w:r>
    </w:p>
    <w:p>
      <w:pPr>
        <w:pStyle w:val="DefinedTerms"/>
      </w:pPr>
      <w:r>
        <w:t>journalist</w:t>
      </w:r>
      <w:r>
        <w:tab/>
        <w:t>20G</w:t>
      </w:r>
    </w:p>
    <w:p>
      <w:pPr>
        <w:pStyle w:val="DefinedTerms"/>
      </w:pPr>
      <w:r>
        <w:t>judge</w:t>
      </w:r>
      <w:r>
        <w:tab/>
        <w:t>3, 11(3), 12(5), 106M(3)</w:t>
      </w:r>
    </w:p>
    <w:p>
      <w:pPr>
        <w:pStyle w:val="DefinedTerms"/>
      </w:pPr>
      <w:r>
        <w:t>judicial authority</w:t>
      </w:r>
      <w:r>
        <w:tab/>
        <w:t>109(1)</w:t>
      </w:r>
    </w:p>
    <w:p>
      <w:pPr>
        <w:pStyle w:val="DefinedTerms"/>
      </w:pPr>
      <w:r>
        <w:t>legal proceeding</w:t>
      </w:r>
      <w:r>
        <w:tab/>
        <w:t>3</w:t>
      </w:r>
    </w:p>
    <w:p>
      <w:pPr>
        <w:pStyle w:val="DefinedTerms"/>
      </w:pPr>
      <w:r>
        <w:t>liable person</w:t>
      </w:r>
      <w:r>
        <w:tab/>
        <w:t>119(1)</w:t>
      </w:r>
    </w:p>
    <w:p>
      <w:pPr>
        <w:pStyle w:val="DefinedTerms"/>
      </w:pPr>
      <w:r>
        <w:t>mental impairment</w:t>
      </w:r>
      <w:r>
        <w:tab/>
        <w:t>106A</w:t>
      </w:r>
    </w:p>
    <w:p>
      <w:pPr>
        <w:pStyle w:val="DefinedTerms"/>
      </w:pPr>
      <w:r>
        <w:t>misconduct</w:t>
      </w:r>
      <w:r>
        <w:tab/>
        <w:t>20E(1), 20K(1)</w:t>
      </w:r>
    </w:p>
    <w:p>
      <w:pPr>
        <w:pStyle w:val="DefinedTerms"/>
      </w:pPr>
      <w:r>
        <w:t>national security</w:t>
      </w:r>
      <w:r>
        <w:tab/>
        <w:t>20G</w:t>
      </w:r>
    </w:p>
    <w:p>
      <w:pPr>
        <w:pStyle w:val="DefinedTerms"/>
      </w:pPr>
      <w:r>
        <w:t>new offence</w:t>
      </w:r>
      <w:r>
        <w:tab/>
        <w:t>106A</w:t>
      </w:r>
    </w:p>
    <w:p>
      <w:pPr>
        <w:pStyle w:val="DefinedTerms"/>
      </w:pPr>
      <w:r>
        <w:t>news medium</w:t>
      </w:r>
      <w:r>
        <w:tab/>
        <w:t>20G</w:t>
      </w:r>
    </w:p>
    <w:p>
      <w:pPr>
        <w:pStyle w:val="DefinedTerms"/>
      </w:pPr>
      <w:r>
        <w:t>officer of the Library Board of Western Australia</w:t>
      </w:r>
      <w:r>
        <w:tab/>
        <w:t>65A(2)</w:t>
      </w:r>
    </w:p>
    <w:p>
      <w:pPr>
        <w:pStyle w:val="DefinedTerms"/>
      </w:pPr>
      <w:r>
        <w:t>opinion rule</w:t>
      </w:r>
      <w:r>
        <w:tab/>
        <w:t>27B(4)</w:t>
      </w:r>
    </w:p>
    <w:p>
      <w:pPr>
        <w:pStyle w:val="DefinedTerms"/>
      </w:pPr>
      <w:r>
        <w:t>participating jurisdiction</w:t>
      </w:r>
      <w:r>
        <w:tab/>
        <w:t>120(1)</w:t>
      </w:r>
    </w:p>
    <w:p>
      <w:pPr>
        <w:pStyle w:val="DefinedTerms"/>
      </w:pPr>
      <w:r>
        <w:t>party</w:t>
      </w:r>
      <w:r>
        <w:tab/>
        <w:t>19C(7), 50B(1)</w:t>
      </w:r>
    </w:p>
    <w:p>
      <w:pPr>
        <w:pStyle w:val="DefinedTerms"/>
      </w:pPr>
      <w:r>
        <w:t>periodical</w:t>
      </w:r>
      <w:r>
        <w:tab/>
        <w:t>42</w:t>
      </w:r>
    </w:p>
    <w:p>
      <w:pPr>
        <w:pStyle w:val="DefinedTerms"/>
      </w:pPr>
      <w:r>
        <w:t>person acting judicially</w:t>
      </w:r>
      <w:r>
        <w:tab/>
        <w:t>3</w:t>
      </w:r>
    </w:p>
    <w:p>
      <w:pPr>
        <w:pStyle w:val="DefinedTerms"/>
      </w:pPr>
      <w:r>
        <w:t xml:space="preserve">person acting judicially </w:t>
      </w:r>
      <w:r>
        <w:tab/>
        <w:t>20G</w:t>
      </w:r>
    </w:p>
    <w:p>
      <w:pPr>
        <w:pStyle w:val="DefinedTerms"/>
      </w:pPr>
      <w:r>
        <w:t>photograph</w:t>
      </w:r>
      <w:r>
        <w:tab/>
        <w:t>3</w:t>
      </w:r>
    </w:p>
    <w:p>
      <w:pPr>
        <w:pStyle w:val="DefinedTerms"/>
      </w:pPr>
      <w:r>
        <w:t>prisoner</w:t>
      </w:r>
      <w:r>
        <w:tab/>
        <w:t>3</w:t>
      </w:r>
    </w:p>
    <w:p>
      <w:pPr>
        <w:pStyle w:val="DefinedTerms"/>
      </w:pPr>
      <w:r>
        <w:t>privilege</w:t>
      </w:r>
      <w:r>
        <w:tab/>
        <w:t>32A(2)</w:t>
      </w:r>
    </w:p>
    <w:p>
      <w:pPr>
        <w:pStyle w:val="DefinedTerms"/>
      </w:pPr>
      <w:r>
        <w:t>Privy Council</w:t>
      </w:r>
      <w:r>
        <w:tab/>
        <w:t>57(4)</w:t>
      </w:r>
    </w:p>
    <w:p>
      <w:pPr>
        <w:pStyle w:val="DefinedTerms"/>
      </w:pPr>
      <w:r>
        <w:t>proceeding</w:t>
      </w:r>
      <w:r>
        <w:tab/>
        <w:t>3, 20G, 106A, 106HB(1)</w:t>
      </w:r>
    </w:p>
    <w:p>
      <w:pPr>
        <w:pStyle w:val="DefinedTerms"/>
      </w:pPr>
      <w:r>
        <w:t>proceedings</w:t>
      </w:r>
      <w:r>
        <w:tab/>
        <w:t>79B, 115</w:t>
      </w:r>
    </w:p>
    <w:p>
      <w:pPr>
        <w:pStyle w:val="DefinedTerms"/>
      </w:pPr>
      <w:r>
        <w:t>propensity evidence</w:t>
      </w:r>
      <w:r>
        <w:tab/>
        <w:t>31A(1)</w:t>
      </w:r>
    </w:p>
    <w:p>
      <w:pPr>
        <w:pStyle w:val="DefinedTerms"/>
      </w:pPr>
      <w:r>
        <w:t>property</w:t>
      </w:r>
      <w:r>
        <w:tab/>
        <w:t>115</w:t>
      </w:r>
    </w:p>
    <w:p>
      <w:pPr>
        <w:pStyle w:val="DefinedTerms"/>
      </w:pPr>
      <w:r>
        <w:t>prosecutor</w:t>
      </w:r>
      <w:r>
        <w:tab/>
        <w:t>106A</w:t>
      </w:r>
    </w:p>
    <w:p>
      <w:pPr>
        <w:pStyle w:val="DefinedTerms"/>
      </w:pPr>
      <w:r>
        <w:t>protected communication</w:t>
      </w:r>
      <w:r>
        <w:tab/>
        <w:t>19A(1)</w:t>
      </w:r>
    </w:p>
    <w:p>
      <w:pPr>
        <w:pStyle w:val="DefinedTerms"/>
      </w:pPr>
      <w:r>
        <w:t>protected confidence</w:t>
      </w:r>
      <w:r>
        <w:tab/>
        <w:t>20A(1)</w:t>
      </w:r>
    </w:p>
    <w:p>
      <w:pPr>
        <w:pStyle w:val="DefinedTerms"/>
      </w:pPr>
      <w:r>
        <w:t>protected confider</w:t>
      </w:r>
      <w:r>
        <w:tab/>
        <w:t>20A(1)</w:t>
      </w:r>
    </w:p>
    <w:p>
      <w:pPr>
        <w:pStyle w:val="DefinedTerms"/>
      </w:pPr>
      <w:r>
        <w:t>protected identity information</w:t>
      </w:r>
      <w:r>
        <w:tab/>
        <w:t>20A(1)</w:t>
      </w:r>
    </w:p>
    <w:p>
      <w:pPr>
        <w:pStyle w:val="DefinedTerms"/>
      </w:pPr>
      <w:r>
        <w:t>protected person</w:t>
      </w:r>
      <w:r>
        <w:tab/>
        <w:t>19A(1)</w:t>
      </w:r>
    </w:p>
    <w:p>
      <w:pPr>
        <w:pStyle w:val="DefinedTerms"/>
      </w:pPr>
      <w:r>
        <w:t>protected witness</w:t>
      </w:r>
      <w:r>
        <w:tab/>
        <w:t>106G(3)</w:t>
      </w:r>
    </w:p>
    <w:p>
      <w:pPr>
        <w:pStyle w:val="DefinedTerms"/>
      </w:pPr>
      <w:r>
        <w:t>protection provisions</w:t>
      </w:r>
      <w:r>
        <w:tab/>
        <w:t>19A(1)</w:t>
      </w:r>
    </w:p>
    <w:p>
      <w:pPr>
        <w:pStyle w:val="DefinedTerms"/>
      </w:pPr>
      <w:r>
        <w:t>protection provisions (journalists)</w:t>
      </w:r>
      <w:r>
        <w:tab/>
        <w:t>20G</w:t>
      </w:r>
    </w:p>
    <w:p>
      <w:pPr>
        <w:pStyle w:val="DefinedTerms"/>
      </w:pPr>
      <w:r>
        <w:t>protection provisions (PCR)</w:t>
      </w:r>
      <w:r>
        <w:tab/>
        <w:t>20A(1)</w:t>
      </w:r>
    </w:p>
    <w:p>
      <w:pPr>
        <w:pStyle w:val="DefinedTerms"/>
      </w:pPr>
      <w:r>
        <w:lastRenderedPageBreak/>
        <w:t>qualified person</w:t>
      </w:r>
      <w:r>
        <w:tab/>
        <w:t>79B</w:t>
      </w:r>
    </w:p>
    <w:p>
      <w:pPr>
        <w:pStyle w:val="DefinedTerms"/>
      </w:pPr>
      <w:r>
        <w:t>recognized court</w:t>
      </w:r>
      <w:r>
        <w:tab/>
        <w:t>120(1)</w:t>
      </w:r>
    </w:p>
    <w:p>
      <w:pPr>
        <w:pStyle w:val="DefinedTerms"/>
      </w:pPr>
      <w:r>
        <w:t>relationship evidence</w:t>
      </w:r>
      <w:r>
        <w:tab/>
        <w:t>31A(1)</w:t>
      </w:r>
    </w:p>
    <w:p>
      <w:pPr>
        <w:pStyle w:val="DefinedTerms"/>
      </w:pPr>
      <w:r>
        <w:t>relevant statement</w:t>
      </w:r>
      <w:r>
        <w:tab/>
        <w:t>106H(3)</w:t>
      </w:r>
    </w:p>
    <w:p>
      <w:pPr>
        <w:pStyle w:val="DefinedTerms"/>
      </w:pPr>
      <w:r>
        <w:t>repealed Code section</w:t>
      </w:r>
      <w:r>
        <w:tab/>
        <w:t>9(6), 36A(1), Sch. 7(2)</w:t>
      </w:r>
    </w:p>
    <w:p>
      <w:pPr>
        <w:pStyle w:val="DefinedTerms"/>
      </w:pPr>
      <w:r>
        <w:t>request</w:t>
      </w:r>
      <w:r>
        <w:tab/>
        <w:t>115</w:t>
      </w:r>
    </w:p>
    <w:p>
      <w:pPr>
        <w:pStyle w:val="DefinedTerms"/>
      </w:pPr>
      <w:r>
        <w:t>requesting court</w:t>
      </w:r>
      <w:r>
        <w:tab/>
        <w:t>115</w:t>
      </w:r>
    </w:p>
    <w:p>
      <w:pPr>
        <w:pStyle w:val="DefinedTerms"/>
      </w:pPr>
      <w:r>
        <w:t>require disclosure</w:t>
      </w:r>
      <w:r>
        <w:tab/>
        <w:t>19A(1)</w:t>
      </w:r>
    </w:p>
    <w:p>
      <w:pPr>
        <w:pStyle w:val="DefinedTerms"/>
      </w:pPr>
      <w:r>
        <w:t>rules of court</w:t>
      </w:r>
      <w:r>
        <w:tab/>
        <w:t>32A(2)</w:t>
      </w:r>
    </w:p>
    <w:p>
      <w:pPr>
        <w:pStyle w:val="DefinedTerms"/>
      </w:pPr>
      <w:r>
        <w:t>Schedule 7 proceeding</w:t>
      </w:r>
      <w:r>
        <w:tab/>
        <w:t>106A</w:t>
      </w:r>
    </w:p>
    <w:p>
      <w:pPr>
        <w:pStyle w:val="DefinedTerms"/>
      </w:pPr>
      <w:r>
        <w:t>serious sexual offence</w:t>
      </w:r>
      <w:r>
        <w:tab/>
        <w:t>106A</w:t>
      </w:r>
    </w:p>
    <w:p>
      <w:pPr>
        <w:pStyle w:val="DefinedTerms"/>
      </w:pPr>
      <w:r>
        <w:t>sexual offence</w:t>
      </w:r>
      <w:r>
        <w:tab/>
        <w:t>36A(1)</w:t>
      </w:r>
    </w:p>
    <w:p>
      <w:pPr>
        <w:pStyle w:val="DefinedTerms"/>
      </w:pPr>
      <w:r>
        <w:t>special hearing</w:t>
      </w:r>
      <w:r>
        <w:tab/>
        <w:t>106S(2)</w:t>
      </w:r>
    </w:p>
    <w:p>
      <w:pPr>
        <w:pStyle w:val="DefinedTerms"/>
      </w:pPr>
      <w:r>
        <w:t>special witness</w:t>
      </w:r>
      <w:r>
        <w:tab/>
        <w:t>106A</w:t>
      </w:r>
    </w:p>
    <w:p>
      <w:pPr>
        <w:pStyle w:val="DefinedTerms"/>
      </w:pPr>
      <w:r>
        <w:t>stamped</w:t>
      </w:r>
      <w:r>
        <w:tab/>
        <w:t>73U(3)</w:t>
      </w:r>
    </w:p>
    <w:p>
      <w:pPr>
        <w:pStyle w:val="DefinedTerms"/>
      </w:pPr>
      <w:r>
        <w:t>State</w:t>
      </w:r>
      <w:r>
        <w:tab/>
        <w:t>3</w:t>
      </w:r>
    </w:p>
    <w:p>
      <w:pPr>
        <w:pStyle w:val="DefinedTerms"/>
      </w:pPr>
      <w:r>
        <w:t>statement</w:t>
      </w:r>
      <w:r>
        <w:tab/>
        <w:t>79B</w:t>
      </w:r>
    </w:p>
    <w:p>
      <w:pPr>
        <w:pStyle w:val="DefinedTerms"/>
      </w:pPr>
      <w:r>
        <w:t>superior court</w:t>
      </w:r>
      <w:r>
        <w:tab/>
        <w:t>109(1)</w:t>
      </w:r>
    </w:p>
    <w:p>
      <w:pPr>
        <w:pStyle w:val="DefinedTerms"/>
      </w:pPr>
      <w:r>
        <w:t>support person</w:t>
      </w:r>
      <w:r>
        <w:tab/>
        <w:t>19A(1)</w:t>
      </w:r>
    </w:p>
    <w:p>
      <w:pPr>
        <w:pStyle w:val="DefinedTerms"/>
      </w:pPr>
      <w:r>
        <w:t>supporting affidavit</w:t>
      </w:r>
      <w:r>
        <w:tab/>
        <w:t>19A(1)</w:t>
      </w:r>
    </w:p>
    <w:p>
      <w:pPr>
        <w:pStyle w:val="DefinedTerms"/>
      </w:pPr>
      <w:r>
        <w:t>the State</w:t>
      </w:r>
      <w:r>
        <w:tab/>
        <w:t>3</w:t>
      </w:r>
    </w:p>
    <w:p>
      <w:pPr>
        <w:pStyle w:val="DefinedTerms"/>
      </w:pPr>
      <w:r>
        <w:t>thing</w:t>
      </w:r>
      <w:r>
        <w:tab/>
        <w:t>50B(1)</w:t>
      </w:r>
    </w:p>
    <w:p>
      <w:pPr>
        <w:pStyle w:val="DefinedTerms"/>
      </w:pPr>
      <w:r>
        <w:t>tribunal</w:t>
      </w:r>
      <w:r>
        <w:tab/>
        <w:t>120(1)</w:t>
      </w:r>
    </w:p>
    <w:p>
      <w:pPr>
        <w:pStyle w:val="DefinedTerms"/>
      </w:pPr>
      <w:r>
        <w:t>uncorroborated evidence</w:t>
      </w:r>
      <w:r>
        <w:tab/>
        <w:t>3</w:t>
      </w:r>
    </w:p>
    <w:p>
      <w:pPr>
        <w:pStyle w:val="DefinedTerms"/>
      </w:pPr>
      <w:r>
        <w:t>victim</w:t>
      </w:r>
      <w:r>
        <w:tab/>
        <w:t>106A</w:t>
      </w:r>
    </w:p>
    <w:p>
      <w:pPr>
        <w:pStyle w:val="DefinedTerms"/>
      </w:pPr>
      <w:r>
        <w:t>video link</w:t>
      </w:r>
      <w:r>
        <w:tab/>
        <w:t>120(1)</w:t>
      </w:r>
    </w:p>
    <w:p>
      <w:pPr>
        <w:pStyle w:val="DefinedTerms"/>
      </w:pPr>
      <w:r>
        <w:t>visual recording</w:t>
      </w:r>
      <w:r>
        <w:tab/>
        <w:t>106A</w:t>
      </w:r>
    </w:p>
    <w:p>
      <w:pPr>
        <w:pStyle w:val="DefinedTerms"/>
      </w:pPr>
      <w:r>
        <w:t>visual recording of evidence</w:t>
      </w:r>
      <w:r>
        <w:tab/>
        <w:t>106A</w:t>
      </w:r>
    </w:p>
    <w:p>
      <w:pPr>
        <w:pStyle w:val="DefinedTerms"/>
      </w:pPr>
      <w:r>
        <w:t>visually recorded interview</w:t>
      </w:r>
      <w:r>
        <w:tab/>
        <w:t>106A, 106HA(3)</w:t>
      </w:r>
    </w:p>
    <w:p>
      <w:pPr>
        <w:pStyle w:val="DefinedTerms"/>
      </w:pPr>
      <w:r>
        <w:t>votes and proceedings</w:t>
      </w:r>
      <w:r>
        <w:tab/>
        <w:t>3</w:t>
      </w:r>
    </w:p>
    <w:p>
      <w:pPr>
        <w:pStyle w:val="DefinedTerms"/>
      </w:pPr>
      <w:r>
        <w:t>WA court</w:t>
      </w:r>
      <w:r>
        <w:tab/>
        <w:t>120(1)</w:t>
      </w:r>
    </w:p>
    <w:p>
      <w:pPr>
        <w:pStyle w:val="DefinedTerms"/>
      </w:pPr>
      <w:r>
        <w:t>witness</w:t>
      </w:r>
      <w:r>
        <w:tab/>
        <w:t>106RA(1)</w:t>
      </w:r>
    </w:p>
    <w:p>
      <w:pPr>
        <w:pStyle w:val="DefinedTerms"/>
      </w:pPr>
      <w:r>
        <w:t>written publication</w:t>
      </w:r>
      <w:r>
        <w:tab/>
        <w:t>36C(4)</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592"/>
      <w:gridCol w:w="46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rPr>
        <w:jc w:val="center"/>
      </w:trP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rPr>
        <w:jc w:val="center"/>
      </w:trP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4872"/>
      <w:gridCol w:w="228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226" w:name="Schedule"/>
    <w:bookmarkEnd w:id="2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232"/>
      <w:gridCol w:w="50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rPr>
        <w:jc w:val="center"/>
      </w:trPr>
      <w:tc>
        <w:tcPr>
          <w:tcW w:w="2232" w:type="dxa"/>
        </w:tcPr>
        <w:p>
          <w:pPr>
            <w:pStyle w:val="Header"/>
            <w:spacing w:before="40"/>
          </w:pPr>
        </w:p>
      </w:tc>
      <w:tc>
        <w:tcPr>
          <w:tcW w:w="5031" w:type="dxa"/>
        </w:tcPr>
        <w:p>
          <w:pPr>
            <w:pStyle w:val="Header"/>
            <w:spacing w:before="40"/>
          </w:pPr>
        </w:p>
      </w:tc>
    </w:tr>
    <w:tr>
      <w:trPr>
        <w:jc w:val="center"/>
      </w:trP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4872"/>
      <w:gridCol w:w="239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112"/>
      <w:gridCol w:w="515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rPr>
        <w:jc w:val="center"/>
      </w:trP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5</w:t>
          </w:r>
          <w:r>
            <w:rPr>
              <w:b/>
            </w:rPr>
            <w:fldChar w:fldCharType="end"/>
          </w:r>
        </w:p>
      </w:tc>
      <w:tc>
        <w:tcPr>
          <w:tcW w:w="5151" w:type="dxa"/>
        </w:tcPr>
        <w:p>
          <w:pPr>
            <w:pStyle w:val="Header"/>
            <w:spacing w:before="40"/>
          </w:pPr>
        </w:p>
      </w:tc>
    </w:tr>
    <w:tr>
      <w:trPr>
        <w:jc w:val="center"/>
      </w:trP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4992"/>
      <w:gridCol w:w="22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5</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4" w:name="Compilation"/>
    <w:bookmarkEnd w:id="25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8" w:name="DefinedTerms"/>
    <w:bookmarkEnd w:id="258"/>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9" w:name="Coversheet"/>
    <w:bookmarkEnd w:id="2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25124027"/>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 w:name="WAFER_20180228120233" w:val="RemoveTocBookmarks,RemoveUnusedBookmarks,RemoveLanguageTags,UsedStyles,RemoveTrackChanges"/>
    <w:docVar w:name="WAFER_20180228120233_GUID" w:val="0e54ce74-3ae5-403a-91ff-3f4ab9156de8"/>
    <w:docVar w:name="WAFER_20180228120255" w:val="RemoveTocBookmarks,RemoveLanguageTags,RemoveTrackChanges,RunningHeaders"/>
    <w:docVar w:name="WAFER_20180228120255_GUID" w:val="fd05a1b5-a540-4cc1-9e88-1cf917596b28"/>
    <w:docVar w:name="WAFER_202002131315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1543_GUID" w:val="3d8522bd-eae1-493e-a3b5-3c90ad0fee74"/>
    <w:docVar w:name="WAFER_202007100911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114_GUID" w:val="0e985dd9-cad6-4747-8fb5-8da5e2f44777"/>
    <w:docVar w:name="WAFER_202007281632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63257_GUID" w:val="5f7cf508-8fd9-48bc-a9d4-7bca8e40b604"/>
    <w:docVar w:name="WAFER_202008121131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156_GUID" w:val="7e40e42b-78ed-49e4-b7b4-2f05d18559f7"/>
    <w:docVar w:name="WAFER_202008260944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454_GUID" w:val="6e8f44b4-6d45-4835-91b0-fe81a0907aee"/>
    <w:docVar w:name="WAFER_20200911123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40_GUID" w:val="359fa41b-12a7-40b2-b88c-8f8662733912"/>
    <w:docVar w:name="WAFER_20200930092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2118_GUID" w:val="69bb5555-354d-43b9-9445-58370f0f59d3"/>
    <w:docVar w:name="WAFER_20201127154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4103_GUID" w:val="a15f2ba5-5781-45ac-82a0-3b5baeb16792"/>
    <w:docVar w:name="WAFER_20210825124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4027_GUID" w:val="3acad7d6-6f58-4c09-8927-32ea5f89ac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15:docId w15:val="{FFDF37BA-AE24-4FC9-B7A0-67B76D26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wmf"/><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733089-6273-4361-888B-F688A703D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51769</Words>
  <Characters>245388</Characters>
  <Application>Microsoft Office Word</Application>
  <DocSecurity>0</DocSecurity>
  <Lines>6816</Lines>
  <Paragraphs>3668</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293489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1906 - 17-g0-00</dc:title>
  <dc:subject/>
  <dc:creator/>
  <cp:keywords/>
  <dc:description/>
  <cp:lastModifiedBy>Master Repository Process</cp:lastModifiedBy>
  <cp:revision>4</cp:revision>
  <cp:lastPrinted>2020-02-04T02:54:00Z</cp:lastPrinted>
  <dcterms:created xsi:type="dcterms:W3CDTF">2021-08-25T06:41:00Z</dcterms:created>
  <dcterms:modified xsi:type="dcterms:W3CDTF">2021-08-25T06:41:00Z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edAsAt">
    <vt:filetime>2018-06-21T16:00:00Z</vt:filetime>
  </property>
  <property fmtid="{D5CDD505-2E9C-101B-9397-08002B2CF9AE}" pid="6" name="ReprintNo">
    <vt:lpwstr>17</vt:lpwstr>
  </property>
  <property fmtid="{D5CDD505-2E9C-101B-9397-08002B2CF9AE}" pid="7" name="AsAtDate">
    <vt:lpwstr>24 Aug 2021</vt:lpwstr>
  </property>
  <property fmtid="{D5CDD505-2E9C-101B-9397-08002B2CF9AE}" pid="8" name="Suffix">
    <vt:lpwstr>17-g0-00</vt:lpwstr>
  </property>
  <property fmtid="{D5CDD505-2E9C-101B-9397-08002B2CF9AE}" pid="9" name="CommencementDate">
    <vt:lpwstr>20210824</vt:lpwstr>
  </property>
</Properties>
</file>