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(General)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_Toc81919882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_Toc81919883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_Toc81919884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Approved VET courses (Act s. 5(1))</w:t>
      </w:r>
      <w:r>
        <w:tab/>
      </w:r>
      <w:r>
        <w:fldChar w:fldCharType="begin"/>
      </w:r>
      <w:r>
        <w:instrText xml:space="preserve"> PAGEREF _Toc81919886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laws (Act s. 5(1))</w:t>
      </w:r>
      <w:r>
        <w:tab/>
      </w:r>
      <w:r>
        <w:fldChar w:fldCharType="begin"/>
      </w:r>
      <w:r>
        <w:instrText xml:space="preserve"> PAGEREF _Toc81919887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VET qualifications (Act s. 5(1))</w:t>
      </w:r>
      <w:r>
        <w:tab/>
      </w:r>
      <w:r>
        <w:fldChar w:fldCharType="begin"/>
      </w:r>
      <w:r>
        <w:instrText xml:space="preserve"> PAGEREF _Toc81919888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Regulations for Part 7A of the Act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_Toc81919891 \h </w:instrText>
      </w:r>
      <w:r>
        <w:fldChar w:fldCharType="separate"/>
      </w:r>
      <w:r>
        <w:t>5</w:t>
      </w:r>
      <w:r>
        <w:fldChar w:fldCharType="end"/>
      </w:r>
    </w:p>
    <w:p>
      <w:pPr>
        <w:pStyle w:val="TOC8"/>
        <w:rPr>
          <w:rFonts w:asciiTheme="minorHAnsi" w:eastAsiaTheme="minorEastAsia" w:hAnsiTheme="minorHAnsi" w:cstheme="minorBidi"/>
          <w:szCs w:val="22"/>
        </w:rPr>
      </w:pPr>
      <w:r>
        <w:t>8.</w:t>
      </w:r>
      <w:r>
        <w:tab/>
        <w:t>Council to have regard to, and apply, certain standards</w:t>
      </w:r>
      <w:r>
        <w:tab/>
      </w:r>
      <w:r>
        <w:fldChar w:fldCharType="begin"/>
      </w:r>
      <w:r>
        <w:instrText xml:space="preserve"> PAGEREF _Toc81919892 \h </w:instrText>
      </w:r>
      <w:r>
        <w:fldChar w:fldCharType="separate"/>
      </w:r>
      <w:r>
        <w:t>6</w:t>
      </w:r>
      <w:r>
        <w:fldChar w:fldCharType="end"/>
      </w:r>
    </w:p>
    <w:p>
      <w:pPr>
        <w:pStyle w:val="TOC8"/>
        <w:rPr>
          <w:rFonts w:asciiTheme="minorHAnsi" w:eastAsiaTheme="minorEastAsia" w:hAnsiTheme="minorHAnsi" w:cstheme="minorBidi"/>
          <w:szCs w:val="22"/>
        </w:rPr>
      </w:pPr>
      <w:r>
        <w:t>9.</w:t>
      </w:r>
      <w:r>
        <w:tab/>
        <w:t>Register</w:t>
      </w:r>
      <w:r>
        <w:tab/>
      </w:r>
      <w:r>
        <w:fldChar w:fldCharType="begin"/>
      </w:r>
      <w:r>
        <w:instrText xml:space="preserve"> PAGEREF _Toc81919893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training providers</w:t>
      </w:r>
    </w:p>
    <w:p>
      <w:pPr>
        <w:pStyle w:val="TOC8"/>
        <w:rPr>
          <w:rFonts w:asciiTheme="minorHAnsi" w:eastAsiaTheme="minorEastAsia" w:hAnsiTheme="minorHAnsi" w:cstheme="minorBidi"/>
          <w:szCs w:val="22"/>
        </w:rPr>
      </w:pPr>
      <w:r>
        <w:t>10.</w:t>
      </w:r>
      <w:r>
        <w:tab/>
        <w:t>Applying to be registered training provider</w:t>
      </w:r>
      <w:r>
        <w:tab/>
      </w:r>
      <w:r>
        <w:fldChar w:fldCharType="begin"/>
      </w:r>
      <w:r>
        <w:instrText xml:space="preserve"> PAGEREF _Toc81919895 \h </w:instrText>
      </w:r>
      <w:r>
        <w:fldChar w:fldCharType="separate"/>
      </w:r>
      <w:r>
        <w:t>8</w:t>
      </w:r>
      <w:r>
        <w:fldChar w:fldCharType="end"/>
      </w:r>
    </w:p>
    <w:p>
      <w:pPr>
        <w:pStyle w:val="TOC8"/>
        <w:rPr>
          <w:rFonts w:asciiTheme="minorHAnsi" w:eastAsiaTheme="minorEastAsia" w:hAnsiTheme="minorHAnsi" w:cstheme="minorBidi"/>
          <w:szCs w:val="22"/>
        </w:rPr>
      </w:pPr>
      <w:r>
        <w:t>11.</w:t>
      </w:r>
      <w:r>
        <w:tab/>
        <w:t>Dealing with applications</w:t>
      </w:r>
      <w:r>
        <w:tab/>
      </w:r>
      <w:r>
        <w:fldChar w:fldCharType="begin"/>
      </w:r>
      <w:r>
        <w:instrText xml:space="preserve"> PAGEREF _Toc81919896 \h </w:instrText>
      </w:r>
      <w:r>
        <w:fldChar w:fldCharType="separate"/>
      </w:r>
      <w:r>
        <w:t>9</w:t>
      </w:r>
      <w:r>
        <w:fldChar w:fldCharType="end"/>
      </w:r>
    </w:p>
    <w:p>
      <w:pPr>
        <w:pStyle w:val="TOC8"/>
        <w:rPr>
          <w:rFonts w:asciiTheme="minorHAnsi" w:eastAsiaTheme="minorEastAsia" w:hAnsiTheme="minorHAnsi" w:cstheme="minorBidi"/>
          <w:szCs w:val="22"/>
        </w:rPr>
      </w:pPr>
      <w:r>
        <w:t>12.</w:t>
      </w:r>
      <w:r>
        <w:tab/>
        <w:t>Registering training providers</w:t>
      </w:r>
      <w:r>
        <w:tab/>
      </w:r>
      <w:r>
        <w:fldChar w:fldCharType="begin"/>
      </w:r>
      <w:r>
        <w:instrText xml:space="preserve"> PAGEREF _Toc81919897 \h </w:instrText>
      </w:r>
      <w:r>
        <w:fldChar w:fldCharType="separate"/>
      </w:r>
      <w:r>
        <w:t>9</w:t>
      </w:r>
      <w:r>
        <w:fldChar w:fldCharType="end"/>
      </w:r>
    </w:p>
    <w:p>
      <w:pPr>
        <w:pStyle w:val="TOC8"/>
        <w:rPr>
          <w:rFonts w:asciiTheme="minorHAnsi" w:eastAsiaTheme="minorEastAsia" w:hAnsiTheme="minorHAnsi" w:cstheme="minorBidi"/>
          <w:szCs w:val="22"/>
        </w:rPr>
      </w:pPr>
      <w:r>
        <w:t>13.</w:t>
      </w:r>
      <w:r>
        <w:tab/>
        <w:t>Conditions of registration</w:t>
      </w:r>
      <w:r>
        <w:tab/>
      </w:r>
      <w:r>
        <w:fldChar w:fldCharType="begin"/>
      </w:r>
      <w:r>
        <w:instrText xml:space="preserve"> PAGEREF _Toc81919898 \h </w:instrText>
      </w:r>
      <w:r>
        <w:fldChar w:fldCharType="separate"/>
      </w:r>
      <w:r>
        <w:t>11</w:t>
      </w:r>
      <w:r>
        <w:fldChar w:fldCharType="end"/>
      </w:r>
    </w:p>
    <w:p>
      <w:pPr>
        <w:pStyle w:val="TOC8"/>
        <w:rPr>
          <w:rFonts w:asciiTheme="minorHAnsi" w:eastAsiaTheme="minorEastAsia" w:hAnsiTheme="minorHAnsi" w:cstheme="minorBidi"/>
          <w:szCs w:val="22"/>
        </w:rPr>
      </w:pPr>
      <w:r>
        <w:t>14.</w:t>
      </w:r>
      <w:r>
        <w:tab/>
        <w:t>Period of registration</w:t>
      </w:r>
      <w:r>
        <w:tab/>
      </w:r>
      <w:r>
        <w:fldChar w:fldCharType="begin"/>
      </w:r>
      <w:r>
        <w:instrText xml:space="preserve"> PAGEREF _Toc81919899 \h </w:instrText>
      </w:r>
      <w:r>
        <w:fldChar w:fldCharType="separate"/>
      </w:r>
      <w:r>
        <w:t>13</w:t>
      </w:r>
      <w:r>
        <w:fldChar w:fldCharType="end"/>
      </w:r>
    </w:p>
    <w:p>
      <w:pPr>
        <w:pStyle w:val="TOC8"/>
        <w:rPr>
          <w:rFonts w:asciiTheme="minorHAnsi" w:eastAsiaTheme="minorEastAsia" w:hAnsiTheme="minorHAnsi" w:cstheme="minorBidi"/>
          <w:szCs w:val="22"/>
        </w:rPr>
      </w:pPr>
      <w:r>
        <w:t>15.</w:t>
      </w:r>
      <w:r>
        <w:tab/>
        <w:t>Annual fees payable by registered training providers</w:t>
      </w:r>
      <w:r>
        <w:tab/>
      </w:r>
      <w:r>
        <w:fldChar w:fldCharType="begin"/>
      </w:r>
      <w:r>
        <w:instrText xml:space="preserve"> PAGEREF _Toc81919900 \h </w:instrText>
      </w:r>
      <w:r>
        <w:fldChar w:fldCharType="separate"/>
      </w:r>
      <w:r>
        <w:t>13</w:t>
      </w:r>
      <w:r>
        <w:fldChar w:fldCharType="end"/>
      </w:r>
    </w:p>
    <w:p>
      <w:pPr>
        <w:pStyle w:val="TOC8"/>
        <w:rPr>
          <w:rFonts w:asciiTheme="minorHAnsi" w:eastAsiaTheme="minorEastAsia" w:hAnsiTheme="minorHAnsi" w:cstheme="minorBidi"/>
          <w:szCs w:val="22"/>
        </w:rPr>
      </w:pPr>
      <w:r>
        <w:t>16.</w:t>
      </w:r>
      <w:r>
        <w:tab/>
        <w:t>Renewal of registration</w:t>
      </w:r>
      <w:r>
        <w:tab/>
      </w:r>
      <w:r>
        <w:fldChar w:fldCharType="begin"/>
      </w:r>
      <w:r>
        <w:instrText xml:space="preserve"> PAGEREF _Toc81919901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17.</w:t>
      </w:r>
      <w:r>
        <w:tab/>
        <w:t>Varying registration</w:t>
      </w:r>
      <w:r>
        <w:tab/>
      </w:r>
      <w:r>
        <w:fldChar w:fldCharType="begin"/>
      </w:r>
      <w:r>
        <w:instrText xml:space="preserve"> PAGEREF _Toc81919902 \h </w:instrText>
      </w:r>
      <w:r>
        <w:fldChar w:fldCharType="separate"/>
      </w:r>
      <w:r>
        <w:t>15</w:t>
      </w:r>
      <w:r>
        <w:fldChar w:fldCharType="end"/>
      </w:r>
    </w:p>
    <w:p>
      <w:pPr>
        <w:pStyle w:val="TOC8"/>
        <w:rPr>
          <w:rFonts w:asciiTheme="minorHAnsi" w:eastAsiaTheme="minorEastAsia" w:hAnsiTheme="minorHAnsi" w:cstheme="minorBidi"/>
          <w:szCs w:val="22"/>
        </w:rPr>
      </w:pPr>
      <w:r>
        <w:t>18.</w:t>
      </w:r>
      <w:r>
        <w:tab/>
        <w:t>Cancelling registration if provider’s operations change</w:t>
      </w:r>
      <w:r>
        <w:tab/>
      </w:r>
      <w:r>
        <w:fldChar w:fldCharType="begin"/>
      </w:r>
      <w:r>
        <w:instrText xml:space="preserve"> PAGEREF _Toc81919903 \h </w:instrText>
      </w:r>
      <w:r>
        <w:fldChar w:fldCharType="separate"/>
      </w:r>
      <w:r>
        <w:t>16</w:t>
      </w:r>
      <w:r>
        <w:fldChar w:fldCharType="end"/>
      </w:r>
    </w:p>
    <w:p>
      <w:pPr>
        <w:pStyle w:val="TOC8"/>
        <w:rPr>
          <w:rFonts w:asciiTheme="minorHAnsi" w:eastAsiaTheme="minorEastAsia" w:hAnsiTheme="minorHAnsi" w:cstheme="minorBidi"/>
          <w:szCs w:val="22"/>
        </w:rPr>
      </w:pPr>
      <w:r>
        <w:t>19.</w:t>
      </w:r>
      <w:r>
        <w:tab/>
        <w:t>Suspending or cancelling registration</w:t>
      </w:r>
      <w:r>
        <w:tab/>
      </w:r>
      <w:r>
        <w:fldChar w:fldCharType="begin"/>
      </w:r>
      <w:r>
        <w:instrText xml:space="preserve"> PAGEREF _Toc81919904 \h </w:instrText>
      </w:r>
      <w:r>
        <w:fldChar w:fldCharType="separate"/>
      </w:r>
      <w:r>
        <w:t>17</w:t>
      </w:r>
      <w:r>
        <w:fldChar w:fldCharType="end"/>
      </w:r>
    </w:p>
    <w:p>
      <w:pPr>
        <w:pStyle w:val="TOC8"/>
        <w:rPr>
          <w:rFonts w:asciiTheme="minorHAnsi" w:eastAsiaTheme="minorEastAsia" w:hAnsiTheme="minorHAnsi" w:cstheme="minorBidi"/>
          <w:szCs w:val="22"/>
        </w:rPr>
      </w:pPr>
      <w:r>
        <w:t>20.</w:t>
      </w:r>
      <w:r>
        <w:tab/>
        <w:t>Suspension of WA registered provider may be on terms</w:t>
      </w:r>
      <w:r>
        <w:tab/>
      </w:r>
      <w:r>
        <w:fldChar w:fldCharType="begin"/>
      </w:r>
      <w:r>
        <w:instrText xml:space="preserve"> PAGEREF _Toc81919905 \h </w:instrText>
      </w:r>
      <w:r>
        <w:fldChar w:fldCharType="separate"/>
      </w:r>
      <w:r>
        <w:t>18</w:t>
      </w:r>
      <w:r>
        <w:fldChar w:fldCharType="end"/>
      </w:r>
    </w:p>
    <w:p>
      <w:pPr>
        <w:pStyle w:val="TOC8"/>
        <w:rPr>
          <w:rFonts w:asciiTheme="minorHAnsi" w:eastAsiaTheme="minorEastAsia" w:hAnsiTheme="minorHAnsi" w:cstheme="minorBidi"/>
          <w:szCs w:val="22"/>
        </w:rPr>
      </w:pPr>
      <w:r>
        <w:t>21.</w:t>
      </w:r>
      <w:r>
        <w:tab/>
        <w:t>Effect of suspension of WA registered provider</w:t>
      </w:r>
      <w:r>
        <w:tab/>
      </w:r>
      <w:r>
        <w:fldChar w:fldCharType="begin"/>
      </w:r>
      <w:r>
        <w:instrText xml:space="preserve"> PAGEREF _Toc81919906 \h </w:instrText>
      </w:r>
      <w:r>
        <w:fldChar w:fldCharType="separate"/>
      </w:r>
      <w:r>
        <w:t>19</w:t>
      </w:r>
      <w:r>
        <w:fldChar w:fldCharType="end"/>
      </w:r>
    </w:p>
    <w:p>
      <w:pPr>
        <w:pStyle w:val="TOC8"/>
        <w:rPr>
          <w:rFonts w:asciiTheme="minorHAnsi" w:eastAsiaTheme="minorEastAsia" w:hAnsiTheme="minorHAnsi" w:cstheme="minorBidi"/>
          <w:szCs w:val="22"/>
        </w:rPr>
      </w:pPr>
      <w:r>
        <w:t>22.</w:t>
      </w:r>
      <w:r>
        <w:tab/>
        <w:t>Requests for reassessment of decision to suspend WA registered provider</w:t>
      </w:r>
      <w:r>
        <w:tab/>
      </w:r>
      <w:r>
        <w:fldChar w:fldCharType="begin"/>
      </w:r>
      <w:r>
        <w:instrText xml:space="preserve"> PAGEREF _Toc81919907 \h </w:instrText>
      </w:r>
      <w:r>
        <w:fldChar w:fldCharType="separate"/>
      </w:r>
      <w:r>
        <w:t>19</w:t>
      </w:r>
      <w:r>
        <w:fldChar w:fldCharType="end"/>
      </w:r>
    </w:p>
    <w:p>
      <w:pPr>
        <w:pStyle w:val="TOC8"/>
        <w:rPr>
          <w:rFonts w:asciiTheme="minorHAnsi" w:eastAsiaTheme="minorEastAsia" w:hAnsiTheme="minorHAnsi" w:cstheme="minorBidi"/>
          <w:szCs w:val="22"/>
        </w:rPr>
      </w:pPr>
      <w:r>
        <w:t>23.</w:t>
      </w:r>
      <w:r>
        <w:tab/>
        <w:t>Fees</w:t>
      </w:r>
      <w:r>
        <w:tab/>
      </w:r>
      <w:r>
        <w:fldChar w:fldCharType="begin"/>
      </w:r>
      <w:r>
        <w:instrText xml:space="preserve"> PAGEREF _Toc81919908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Audits of, and investigations into, training providers</w:t>
      </w:r>
    </w:p>
    <w:p>
      <w:pPr>
        <w:pStyle w:val="TOC8"/>
        <w:rPr>
          <w:rFonts w:asciiTheme="minorHAnsi" w:eastAsiaTheme="minorEastAsia" w:hAnsiTheme="minorHAnsi" w:cstheme="minorBidi"/>
          <w:szCs w:val="22"/>
        </w:rPr>
      </w:pPr>
      <w:r>
        <w:t>24.</w:t>
      </w:r>
      <w:r>
        <w:tab/>
        <w:t>Terms used</w:t>
      </w:r>
      <w:r>
        <w:tab/>
      </w:r>
      <w:r>
        <w:fldChar w:fldCharType="begin"/>
      </w:r>
      <w:r>
        <w:instrText xml:space="preserve"> PAGEREF _Toc81919910 \h </w:instrText>
      </w:r>
      <w:r>
        <w:fldChar w:fldCharType="separate"/>
      </w:r>
      <w:r>
        <w:t>20</w:t>
      </w:r>
      <w:r>
        <w:fldChar w:fldCharType="end"/>
      </w:r>
    </w:p>
    <w:p>
      <w:pPr>
        <w:pStyle w:val="TOC8"/>
        <w:rPr>
          <w:rFonts w:asciiTheme="minorHAnsi" w:eastAsiaTheme="minorEastAsia" w:hAnsiTheme="minorHAnsi" w:cstheme="minorBidi"/>
          <w:szCs w:val="22"/>
        </w:rPr>
      </w:pPr>
      <w:r>
        <w:t>25.</w:t>
      </w:r>
      <w:r>
        <w:tab/>
        <w:t>Audits</w:t>
      </w:r>
      <w:r>
        <w:tab/>
      </w:r>
      <w:r>
        <w:fldChar w:fldCharType="begin"/>
      </w:r>
      <w:r>
        <w:instrText xml:space="preserve"> PAGEREF _Toc81919911 \h </w:instrText>
      </w:r>
      <w:r>
        <w:fldChar w:fldCharType="separate"/>
      </w:r>
      <w:r>
        <w:t>21</w:t>
      </w:r>
      <w:r>
        <w:fldChar w:fldCharType="end"/>
      </w:r>
    </w:p>
    <w:p>
      <w:pPr>
        <w:pStyle w:val="TOC8"/>
        <w:rPr>
          <w:rFonts w:asciiTheme="minorHAnsi" w:eastAsiaTheme="minorEastAsia" w:hAnsiTheme="minorHAnsi" w:cstheme="minorBidi"/>
          <w:szCs w:val="22"/>
        </w:rPr>
      </w:pPr>
      <w:r>
        <w:t>26A.</w:t>
      </w:r>
      <w:r>
        <w:tab/>
        <w:t>Compliance audits</w:t>
      </w:r>
      <w:r>
        <w:tab/>
      </w:r>
      <w:r>
        <w:fldChar w:fldCharType="begin"/>
      </w:r>
      <w:r>
        <w:instrText xml:space="preserve"> PAGEREF _Toc81919912 \h </w:instrText>
      </w:r>
      <w:r>
        <w:fldChar w:fldCharType="separate"/>
      </w:r>
      <w:r>
        <w:t>22</w:t>
      </w:r>
      <w:r>
        <w:fldChar w:fldCharType="end"/>
      </w:r>
    </w:p>
    <w:p>
      <w:pPr>
        <w:pStyle w:val="TOC8"/>
        <w:rPr>
          <w:rFonts w:asciiTheme="minorHAnsi" w:eastAsiaTheme="minorEastAsia" w:hAnsiTheme="minorHAnsi" w:cstheme="minorBidi"/>
          <w:szCs w:val="22"/>
        </w:rPr>
      </w:pPr>
      <w:r>
        <w:t>26B.</w:t>
      </w:r>
      <w:r>
        <w:tab/>
        <w:t>Investigations of complaints</w:t>
      </w:r>
      <w:r>
        <w:tab/>
      </w:r>
      <w:r>
        <w:fldChar w:fldCharType="begin"/>
      </w:r>
      <w:r>
        <w:instrText xml:space="preserve"> PAGEREF _Toc81919913 \h </w:instrText>
      </w:r>
      <w:r>
        <w:fldChar w:fldCharType="separate"/>
      </w:r>
      <w:r>
        <w:t>23</w:t>
      </w:r>
      <w:r>
        <w:fldChar w:fldCharType="end"/>
      </w:r>
    </w:p>
    <w:p>
      <w:pPr>
        <w:pStyle w:val="TOC8"/>
        <w:rPr>
          <w:rFonts w:asciiTheme="minorHAnsi" w:eastAsiaTheme="minorEastAsia" w:hAnsiTheme="minorHAnsi" w:cstheme="minorBidi"/>
          <w:szCs w:val="22"/>
        </w:rPr>
      </w:pPr>
      <w:r>
        <w:t>26C.</w:t>
      </w:r>
      <w:r>
        <w:tab/>
        <w:t>Circumstances in which a charge may be waived in whole or in part</w:t>
      </w:r>
      <w:r>
        <w:tab/>
      </w:r>
      <w:r>
        <w:fldChar w:fldCharType="begin"/>
      </w:r>
      <w:r>
        <w:instrText xml:space="preserve"> PAGEREF _Toc81919914 \h </w:instrText>
      </w:r>
      <w:r>
        <w:fldChar w:fldCharType="separate"/>
      </w:r>
      <w:r>
        <w:t>25</w:t>
      </w:r>
      <w:r>
        <w:fldChar w:fldCharType="end"/>
      </w:r>
    </w:p>
    <w:p>
      <w:pPr>
        <w:pStyle w:val="TOC8"/>
        <w:rPr>
          <w:rFonts w:asciiTheme="minorHAnsi" w:eastAsiaTheme="minorEastAsia" w:hAnsiTheme="minorHAnsi" w:cstheme="minorBidi"/>
          <w:szCs w:val="22"/>
        </w:rPr>
      </w:pPr>
      <w:r>
        <w:t>26D.</w:t>
      </w:r>
      <w:r>
        <w:tab/>
        <w:t>Rounding</w:t>
      </w:r>
      <w:r>
        <w:tab/>
      </w:r>
      <w:r>
        <w:fldChar w:fldCharType="begin"/>
      </w:r>
      <w:r>
        <w:instrText xml:space="preserve"> PAGEREF _Toc81919915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Obligations of registered training providers and of the Council</w:t>
      </w:r>
    </w:p>
    <w:p>
      <w:pPr>
        <w:pStyle w:val="TOC8"/>
        <w:rPr>
          <w:rFonts w:asciiTheme="minorHAnsi" w:eastAsiaTheme="minorEastAsia" w:hAnsiTheme="minorHAnsi" w:cstheme="minorBidi"/>
          <w:szCs w:val="22"/>
        </w:rPr>
      </w:pPr>
      <w:r>
        <w:t>26.</w:t>
      </w:r>
      <w:r>
        <w:tab/>
        <w:t>Reporting to Council</w:t>
      </w:r>
      <w:r>
        <w:tab/>
      </w:r>
      <w:r>
        <w:fldChar w:fldCharType="begin"/>
      </w:r>
      <w:r>
        <w:instrText xml:space="preserve"> PAGEREF _Toc81919917 \h </w:instrText>
      </w:r>
      <w:r>
        <w:fldChar w:fldCharType="separate"/>
      </w:r>
      <w:r>
        <w:t>26</w:t>
      </w:r>
      <w:r>
        <w:fldChar w:fldCharType="end"/>
      </w:r>
    </w:p>
    <w:p>
      <w:pPr>
        <w:pStyle w:val="TOC8"/>
        <w:rPr>
          <w:rFonts w:asciiTheme="minorHAnsi" w:eastAsiaTheme="minorEastAsia" w:hAnsiTheme="minorHAnsi" w:cstheme="minorBidi"/>
          <w:szCs w:val="22"/>
        </w:rPr>
      </w:pPr>
      <w:r>
        <w:t>27.</w:t>
      </w:r>
      <w:r>
        <w:tab/>
        <w:t>Giving Council information on ceasing operations</w:t>
      </w:r>
      <w:r>
        <w:tab/>
      </w:r>
      <w:r>
        <w:fldChar w:fldCharType="begin"/>
      </w:r>
      <w:r>
        <w:instrText xml:space="preserve"> PAGEREF _Toc81919918 \h </w:instrText>
      </w:r>
      <w:r>
        <w:fldChar w:fldCharType="separate"/>
      </w:r>
      <w:r>
        <w:t>27</w:t>
      </w:r>
      <w:r>
        <w:fldChar w:fldCharType="end"/>
      </w:r>
    </w:p>
    <w:p>
      <w:pPr>
        <w:pStyle w:val="TOC8"/>
        <w:rPr>
          <w:rFonts w:asciiTheme="minorHAnsi" w:eastAsiaTheme="minorEastAsia" w:hAnsiTheme="minorHAnsi" w:cstheme="minorBidi"/>
          <w:szCs w:val="22"/>
        </w:rPr>
      </w:pPr>
      <w:r>
        <w:t>28A.</w:t>
      </w:r>
      <w:r>
        <w:tab/>
        <w:t>Person may obtain from Council certified copies of information</w:t>
      </w:r>
      <w:r>
        <w:tab/>
      </w:r>
      <w:r>
        <w:fldChar w:fldCharType="begin"/>
      </w:r>
      <w:r>
        <w:instrText xml:space="preserve"> PAGEREF _Toc81919919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Accreditation of VET courses</w:t>
      </w:r>
    </w:p>
    <w:p>
      <w:pPr>
        <w:pStyle w:val="TOC8"/>
        <w:rPr>
          <w:rFonts w:asciiTheme="minorHAnsi" w:eastAsiaTheme="minorEastAsia" w:hAnsiTheme="minorHAnsi" w:cstheme="minorBidi"/>
          <w:szCs w:val="22"/>
        </w:rPr>
      </w:pPr>
      <w:r>
        <w:t>28.</w:t>
      </w:r>
      <w:r>
        <w:tab/>
        <w:t>Applying to have VET course accredited</w:t>
      </w:r>
      <w:r>
        <w:tab/>
      </w:r>
      <w:r>
        <w:fldChar w:fldCharType="begin"/>
      </w:r>
      <w:r>
        <w:instrText xml:space="preserve"> PAGEREF _Toc81919921 \h </w:instrText>
      </w:r>
      <w:r>
        <w:fldChar w:fldCharType="separate"/>
      </w:r>
      <w:r>
        <w:t>29</w:t>
      </w:r>
      <w:r>
        <w:fldChar w:fldCharType="end"/>
      </w:r>
    </w:p>
    <w:p>
      <w:pPr>
        <w:pStyle w:val="TOC8"/>
        <w:rPr>
          <w:rFonts w:asciiTheme="minorHAnsi" w:eastAsiaTheme="minorEastAsia" w:hAnsiTheme="minorHAnsi" w:cstheme="minorBidi"/>
          <w:szCs w:val="22"/>
        </w:rPr>
      </w:pPr>
      <w:r>
        <w:t>29.</w:t>
      </w:r>
      <w:r>
        <w:tab/>
        <w:t>Dealing with applications</w:t>
      </w:r>
      <w:r>
        <w:tab/>
      </w:r>
      <w:r>
        <w:fldChar w:fldCharType="begin"/>
      </w:r>
      <w:r>
        <w:instrText xml:space="preserve"> PAGEREF _Toc81919922 \h </w:instrText>
      </w:r>
      <w:r>
        <w:fldChar w:fldCharType="separate"/>
      </w:r>
      <w:r>
        <w:t>29</w:t>
      </w:r>
      <w:r>
        <w:fldChar w:fldCharType="end"/>
      </w:r>
    </w:p>
    <w:p>
      <w:pPr>
        <w:pStyle w:val="TOC8"/>
        <w:rPr>
          <w:rFonts w:asciiTheme="minorHAnsi" w:eastAsiaTheme="minorEastAsia" w:hAnsiTheme="minorHAnsi" w:cstheme="minorBidi"/>
          <w:szCs w:val="22"/>
        </w:rPr>
      </w:pPr>
      <w:r>
        <w:t>30.</w:t>
      </w:r>
      <w:r>
        <w:tab/>
        <w:t>Accrediting VET courses</w:t>
      </w:r>
      <w:r>
        <w:tab/>
      </w:r>
      <w:r>
        <w:fldChar w:fldCharType="begin"/>
      </w:r>
      <w:r>
        <w:instrText xml:space="preserve"> PAGEREF _Toc81919923 \h </w:instrText>
      </w:r>
      <w:r>
        <w:fldChar w:fldCharType="separate"/>
      </w:r>
      <w:r>
        <w:t>30</w:t>
      </w:r>
      <w:r>
        <w:fldChar w:fldCharType="end"/>
      </w:r>
    </w:p>
    <w:p>
      <w:pPr>
        <w:pStyle w:val="TOC8"/>
        <w:rPr>
          <w:rFonts w:asciiTheme="minorHAnsi" w:eastAsiaTheme="minorEastAsia" w:hAnsiTheme="minorHAnsi" w:cstheme="minorBidi"/>
          <w:szCs w:val="22"/>
        </w:rPr>
      </w:pPr>
      <w:r>
        <w:t>31.</w:t>
      </w:r>
      <w:r>
        <w:tab/>
        <w:t>Period of accreditation</w:t>
      </w:r>
      <w:r>
        <w:tab/>
      </w:r>
      <w:r>
        <w:fldChar w:fldCharType="begin"/>
      </w:r>
      <w:r>
        <w:instrText xml:space="preserve"> PAGEREF _Toc81919924 \h </w:instrText>
      </w:r>
      <w:r>
        <w:fldChar w:fldCharType="separate"/>
      </w:r>
      <w:r>
        <w:t>31</w:t>
      </w:r>
      <w:r>
        <w:fldChar w:fldCharType="end"/>
      </w:r>
    </w:p>
    <w:p>
      <w:pPr>
        <w:pStyle w:val="TOC8"/>
        <w:rPr>
          <w:rFonts w:asciiTheme="minorHAnsi" w:eastAsiaTheme="minorEastAsia" w:hAnsiTheme="minorHAnsi" w:cstheme="minorBidi"/>
          <w:szCs w:val="22"/>
        </w:rPr>
      </w:pPr>
      <w:r>
        <w:t>32.</w:t>
      </w:r>
      <w:r>
        <w:tab/>
        <w:t>Renewing accreditation</w:t>
      </w:r>
      <w:r>
        <w:tab/>
      </w:r>
      <w:r>
        <w:fldChar w:fldCharType="begin"/>
      </w:r>
      <w:r>
        <w:instrText xml:space="preserve"> PAGEREF _Toc81919925 \h </w:instrText>
      </w:r>
      <w:r>
        <w:fldChar w:fldCharType="separate"/>
      </w:r>
      <w:r>
        <w:t>31</w:t>
      </w:r>
      <w:r>
        <w:fldChar w:fldCharType="end"/>
      </w:r>
    </w:p>
    <w:p>
      <w:pPr>
        <w:pStyle w:val="TOC8"/>
        <w:rPr>
          <w:rFonts w:asciiTheme="minorHAnsi" w:eastAsiaTheme="minorEastAsia" w:hAnsiTheme="minorHAnsi" w:cstheme="minorBidi"/>
          <w:szCs w:val="22"/>
        </w:rPr>
      </w:pPr>
      <w:r>
        <w:t>33A.</w:t>
      </w:r>
      <w:r>
        <w:tab/>
        <w:t>Varying accreditation</w:t>
      </w:r>
      <w:r>
        <w:tab/>
      </w:r>
      <w:r>
        <w:fldChar w:fldCharType="begin"/>
      </w:r>
      <w:r>
        <w:instrText xml:space="preserve"> PAGEREF _Toc81919926 \h </w:instrText>
      </w:r>
      <w:r>
        <w:fldChar w:fldCharType="separate"/>
      </w:r>
      <w:r>
        <w:t>31</w:t>
      </w:r>
      <w:r>
        <w:fldChar w:fldCharType="end"/>
      </w:r>
    </w:p>
    <w:p>
      <w:pPr>
        <w:pStyle w:val="TOC8"/>
        <w:rPr>
          <w:rFonts w:asciiTheme="minorHAnsi" w:eastAsiaTheme="minorEastAsia" w:hAnsiTheme="minorHAnsi" w:cstheme="minorBidi"/>
          <w:szCs w:val="22"/>
        </w:rPr>
      </w:pPr>
      <w:r>
        <w:t>33.</w:t>
      </w:r>
      <w:r>
        <w:tab/>
        <w:t>Cancelling accreditation</w:t>
      </w:r>
      <w:r>
        <w:tab/>
      </w:r>
      <w:r>
        <w:fldChar w:fldCharType="begin"/>
      </w:r>
      <w:r>
        <w:instrText xml:space="preserve"> PAGEREF _Toc81919927 \h </w:instrText>
      </w:r>
      <w:r>
        <w:fldChar w:fldCharType="separate"/>
      </w:r>
      <w:r>
        <w:t>33</w:t>
      </w:r>
      <w:r>
        <w:fldChar w:fldCharType="end"/>
      </w:r>
    </w:p>
    <w:p>
      <w:pPr>
        <w:pStyle w:val="TOC8"/>
        <w:rPr>
          <w:rFonts w:asciiTheme="minorHAnsi" w:eastAsiaTheme="minorEastAsia" w:hAnsiTheme="minorHAnsi" w:cstheme="minorBidi"/>
          <w:szCs w:val="22"/>
        </w:rPr>
      </w:pPr>
      <w:r>
        <w:t>34A.</w:t>
      </w:r>
      <w:r>
        <w:tab/>
        <w:t>Validity of decisions unaffected</w:t>
      </w:r>
      <w:r>
        <w:tab/>
      </w:r>
      <w:r>
        <w:fldChar w:fldCharType="begin"/>
      </w:r>
      <w:r>
        <w:instrText xml:space="preserve"> PAGEREF _Toc81919928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Regulations for Part 7 of the Act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34.</w:t>
      </w:r>
      <w:r>
        <w:tab/>
        <w:t>Term used: nominated training provider</w:t>
      </w:r>
      <w:r>
        <w:tab/>
      </w:r>
      <w:r>
        <w:fldChar w:fldCharType="begin"/>
      </w:r>
      <w:r>
        <w:instrText xml:space="preserve"> PAGEREF _Toc81919931 \h </w:instrText>
      </w:r>
      <w:r>
        <w:fldChar w:fldCharType="separate"/>
      </w:r>
      <w:r>
        <w:t>34</w:t>
      </w:r>
      <w:r>
        <w:fldChar w:fldCharType="end"/>
      </w:r>
    </w:p>
    <w:p>
      <w:pPr>
        <w:pStyle w:val="TOC8"/>
        <w:rPr>
          <w:rFonts w:asciiTheme="minorHAnsi" w:eastAsiaTheme="minorEastAsia" w:hAnsiTheme="minorHAnsi" w:cstheme="minorBidi"/>
          <w:szCs w:val="22"/>
        </w:rPr>
      </w:pPr>
      <w:r>
        <w:lastRenderedPageBreak/>
        <w:t>35.</w:t>
      </w:r>
      <w:r>
        <w:tab/>
        <w:t>Chief executive may delegate</w:t>
      </w:r>
      <w:r>
        <w:tab/>
      </w:r>
      <w:r>
        <w:fldChar w:fldCharType="begin"/>
      </w:r>
      <w:r>
        <w:instrText xml:space="preserve"> PAGEREF _Toc81919932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Classifying prescribed VET qualifications</w:t>
      </w:r>
    </w:p>
    <w:p>
      <w:pPr>
        <w:pStyle w:val="TOC8"/>
        <w:rPr>
          <w:rFonts w:asciiTheme="minorHAnsi" w:eastAsiaTheme="minorEastAsia" w:hAnsiTheme="minorHAnsi" w:cstheme="minorBidi"/>
          <w:szCs w:val="22"/>
        </w:rPr>
      </w:pPr>
      <w:r>
        <w:t>36.</w:t>
      </w:r>
      <w:r>
        <w:tab/>
        <w:t>Who Board must consult (Act s. 60C)</w:t>
      </w:r>
      <w:r>
        <w:tab/>
      </w:r>
      <w:r>
        <w:fldChar w:fldCharType="begin"/>
      </w:r>
      <w:r>
        <w:instrText xml:space="preserve"> PAGEREF _Toc81919934 \h </w:instrText>
      </w:r>
      <w:r>
        <w:fldChar w:fldCharType="separate"/>
      </w:r>
      <w:r>
        <w:t>35</w:t>
      </w:r>
      <w:r>
        <w:fldChar w:fldCharType="end"/>
      </w:r>
    </w:p>
    <w:p>
      <w:pPr>
        <w:pStyle w:val="TOC8"/>
        <w:rPr>
          <w:rFonts w:asciiTheme="minorHAnsi" w:eastAsiaTheme="minorEastAsia" w:hAnsiTheme="minorHAnsi" w:cstheme="minorBidi"/>
          <w:szCs w:val="22"/>
        </w:rPr>
      </w:pPr>
      <w:r>
        <w:t>37.</w:t>
      </w:r>
      <w:r>
        <w:tab/>
        <w:t>Board’s advice and recommendations to Minister (Act s. 60C)</w:t>
      </w:r>
      <w:r>
        <w:tab/>
      </w:r>
      <w:r>
        <w:fldChar w:fldCharType="begin"/>
      </w:r>
      <w:r>
        <w:instrText xml:space="preserve"> PAGEREF _Toc81919935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Training contracts</w:t>
      </w:r>
    </w:p>
    <w:p>
      <w:pPr>
        <w:pStyle w:val="TOC8"/>
        <w:rPr>
          <w:rFonts w:asciiTheme="minorHAnsi" w:eastAsiaTheme="minorEastAsia" w:hAnsiTheme="minorHAnsi" w:cstheme="minorBidi"/>
          <w:szCs w:val="22"/>
        </w:rPr>
      </w:pPr>
      <w:r>
        <w:t>38.</w:t>
      </w:r>
      <w:r>
        <w:tab/>
        <w:t>Form and content of training contracts</w:t>
      </w:r>
      <w:r>
        <w:tab/>
      </w:r>
      <w:r>
        <w:fldChar w:fldCharType="begin"/>
      </w:r>
      <w:r>
        <w:instrText xml:space="preserve"> PAGEREF _Toc81919937 \h </w:instrText>
      </w:r>
      <w:r>
        <w:fldChar w:fldCharType="separate"/>
      </w:r>
      <w:r>
        <w:t>36</w:t>
      </w:r>
      <w:r>
        <w:fldChar w:fldCharType="end"/>
      </w:r>
    </w:p>
    <w:p>
      <w:pPr>
        <w:pStyle w:val="TOC8"/>
        <w:rPr>
          <w:rFonts w:asciiTheme="minorHAnsi" w:eastAsiaTheme="minorEastAsia" w:hAnsiTheme="minorHAnsi" w:cstheme="minorBidi"/>
          <w:szCs w:val="22"/>
        </w:rPr>
      </w:pPr>
      <w:r>
        <w:t>39.</w:t>
      </w:r>
      <w:r>
        <w:tab/>
        <w:t>Probation periods of training contracts</w:t>
      </w:r>
      <w:r>
        <w:tab/>
      </w:r>
      <w:r>
        <w:fldChar w:fldCharType="begin"/>
      </w:r>
      <w:r>
        <w:instrText xml:space="preserve"> PAGEREF _Toc81919938 \h </w:instrText>
      </w:r>
      <w:r>
        <w:fldChar w:fldCharType="separate"/>
      </w:r>
      <w:r>
        <w:t>37</w:t>
      </w:r>
      <w:r>
        <w:fldChar w:fldCharType="end"/>
      </w:r>
    </w:p>
    <w:p>
      <w:pPr>
        <w:pStyle w:val="TOC8"/>
        <w:rPr>
          <w:rFonts w:asciiTheme="minorHAnsi" w:eastAsiaTheme="minorEastAsia" w:hAnsiTheme="minorHAnsi" w:cstheme="minorBidi"/>
          <w:szCs w:val="22"/>
        </w:rPr>
      </w:pPr>
      <w:r>
        <w:t>40.</w:t>
      </w:r>
      <w:r>
        <w:tab/>
        <w:t>Children’s capacity to enter into training contracts</w:t>
      </w:r>
      <w:r>
        <w:tab/>
      </w:r>
      <w:r>
        <w:fldChar w:fldCharType="begin"/>
      </w:r>
      <w:r>
        <w:instrText xml:space="preserve"> PAGEREF _Toc81919939 \h </w:instrText>
      </w:r>
      <w:r>
        <w:fldChar w:fldCharType="separate"/>
      </w:r>
      <w:r>
        <w:t>38</w:t>
      </w:r>
      <w:r>
        <w:fldChar w:fldCharType="end"/>
      </w:r>
    </w:p>
    <w:p>
      <w:pPr>
        <w:pStyle w:val="TOC8"/>
        <w:rPr>
          <w:rFonts w:asciiTheme="minorHAnsi" w:eastAsiaTheme="minorEastAsia" w:hAnsiTheme="minorHAnsi" w:cstheme="minorBidi"/>
          <w:szCs w:val="22"/>
        </w:rPr>
      </w:pPr>
      <w:r>
        <w:t>41.</w:t>
      </w:r>
      <w:r>
        <w:tab/>
        <w:t>Lodging training contracts for registration (Act s. 60F)</w:t>
      </w:r>
      <w:r>
        <w:tab/>
      </w:r>
      <w:r>
        <w:fldChar w:fldCharType="begin"/>
      </w:r>
      <w:r>
        <w:instrText xml:space="preserve"> PAGEREF _Toc81919940 \h </w:instrText>
      </w:r>
      <w:r>
        <w:fldChar w:fldCharType="separate"/>
      </w:r>
      <w:r>
        <w:t>40</w:t>
      </w:r>
      <w:r>
        <w:fldChar w:fldCharType="end"/>
      </w:r>
    </w:p>
    <w:p>
      <w:pPr>
        <w:pStyle w:val="TOC8"/>
        <w:rPr>
          <w:rFonts w:asciiTheme="minorHAnsi" w:eastAsiaTheme="minorEastAsia" w:hAnsiTheme="minorHAnsi" w:cstheme="minorBidi"/>
          <w:szCs w:val="22"/>
        </w:rPr>
      </w:pPr>
      <w:r>
        <w:t>42.</w:t>
      </w:r>
      <w:r>
        <w:tab/>
        <w:t>Registering training contracts (Act s. 60F)</w:t>
      </w:r>
      <w:r>
        <w:tab/>
      </w:r>
      <w:r>
        <w:fldChar w:fldCharType="begin"/>
      </w:r>
      <w:r>
        <w:instrText xml:space="preserve"> PAGEREF _Toc81919941 \h </w:instrText>
      </w:r>
      <w:r>
        <w:fldChar w:fldCharType="separate"/>
      </w:r>
      <w:r>
        <w:t>40</w:t>
      </w:r>
      <w:r>
        <w:fldChar w:fldCharType="end"/>
      </w:r>
    </w:p>
    <w:p>
      <w:pPr>
        <w:pStyle w:val="TOC8"/>
        <w:rPr>
          <w:rFonts w:asciiTheme="minorHAnsi" w:eastAsiaTheme="minorEastAsia" w:hAnsiTheme="minorHAnsi" w:cstheme="minorBidi"/>
          <w:szCs w:val="22"/>
        </w:rPr>
      </w:pPr>
      <w:r>
        <w:t>43.</w:t>
      </w:r>
      <w:r>
        <w:tab/>
        <w:t>Training plans for training contracts</w:t>
      </w:r>
      <w:r>
        <w:tab/>
      </w:r>
      <w:r>
        <w:fldChar w:fldCharType="begin"/>
      </w:r>
      <w:r>
        <w:instrText xml:space="preserve"> PAGEREF _Toc81919942 \h </w:instrText>
      </w:r>
      <w:r>
        <w:fldChar w:fldCharType="separate"/>
      </w:r>
      <w:r>
        <w:t>41</w:t>
      </w:r>
      <w:r>
        <w:fldChar w:fldCharType="end"/>
      </w:r>
    </w:p>
    <w:p>
      <w:pPr>
        <w:pStyle w:val="TOC8"/>
        <w:rPr>
          <w:rFonts w:asciiTheme="minorHAnsi" w:eastAsiaTheme="minorEastAsia" w:hAnsiTheme="minorHAnsi" w:cstheme="minorBidi"/>
          <w:szCs w:val="22"/>
        </w:rPr>
      </w:pPr>
      <w:r>
        <w:t>44.</w:t>
      </w:r>
      <w:r>
        <w:tab/>
        <w:t>Cancellation of registration by chief executive (Act s. 60F)</w:t>
      </w:r>
      <w:r>
        <w:tab/>
      </w:r>
      <w:r>
        <w:fldChar w:fldCharType="begin"/>
      </w:r>
      <w:r>
        <w:instrText xml:space="preserve"> PAGEREF _Toc81919943 \h </w:instrText>
      </w:r>
      <w:r>
        <w:fldChar w:fldCharType="separate"/>
      </w:r>
      <w:r>
        <w:t>43</w:t>
      </w:r>
      <w:r>
        <w:fldChar w:fldCharType="end"/>
      </w:r>
    </w:p>
    <w:p>
      <w:pPr>
        <w:pStyle w:val="TOC8"/>
        <w:rPr>
          <w:rFonts w:asciiTheme="minorHAnsi" w:eastAsiaTheme="minorEastAsia" w:hAnsiTheme="minorHAnsi" w:cstheme="minorBidi"/>
          <w:szCs w:val="22"/>
        </w:rPr>
      </w:pPr>
      <w:r>
        <w:t>45.</w:t>
      </w:r>
      <w:r>
        <w:tab/>
        <w:t>Chief executive may require persons involved in training contracts to provide information</w:t>
      </w:r>
      <w:r>
        <w:tab/>
      </w:r>
      <w:r>
        <w:fldChar w:fldCharType="begin"/>
      </w:r>
      <w:r>
        <w:instrText xml:space="preserve"> PAGEREF _Toc81919944 \h </w:instrText>
      </w:r>
      <w:r>
        <w:fldChar w:fldCharType="separate"/>
      </w:r>
      <w:r>
        <w:t>44</w:t>
      </w:r>
      <w:r>
        <w:fldChar w:fldCharType="end"/>
      </w:r>
    </w:p>
    <w:p>
      <w:pPr>
        <w:pStyle w:val="TOC8"/>
        <w:rPr>
          <w:rFonts w:asciiTheme="minorHAnsi" w:eastAsiaTheme="minorEastAsia" w:hAnsiTheme="minorHAnsi" w:cstheme="minorBidi"/>
          <w:szCs w:val="22"/>
        </w:rPr>
      </w:pPr>
      <w:r>
        <w:t>46.</w:t>
      </w:r>
      <w:r>
        <w:tab/>
        <w:t>Variation of training contract by parties (Act s. 60E)</w:t>
      </w:r>
      <w:r>
        <w:tab/>
      </w:r>
      <w:r>
        <w:fldChar w:fldCharType="begin"/>
      </w:r>
      <w:r>
        <w:instrText xml:space="preserve"> PAGEREF _Toc81919945 \h </w:instrText>
      </w:r>
      <w:r>
        <w:fldChar w:fldCharType="separate"/>
      </w:r>
      <w:r>
        <w:t>45</w:t>
      </w:r>
      <w:r>
        <w:fldChar w:fldCharType="end"/>
      </w:r>
    </w:p>
    <w:p>
      <w:pPr>
        <w:pStyle w:val="TOC8"/>
        <w:rPr>
          <w:rFonts w:asciiTheme="minorHAnsi" w:eastAsiaTheme="minorEastAsia" w:hAnsiTheme="minorHAnsi" w:cstheme="minorBidi"/>
          <w:szCs w:val="22"/>
        </w:rPr>
      </w:pPr>
      <w:r>
        <w:t>47.</w:t>
      </w:r>
      <w:r>
        <w:tab/>
        <w:t>Assignment of training contract to another employer (Act s. 60E)</w:t>
      </w:r>
      <w:r>
        <w:tab/>
      </w:r>
      <w:r>
        <w:fldChar w:fldCharType="begin"/>
      </w:r>
      <w:r>
        <w:instrText xml:space="preserve"> PAGEREF _Toc81919946 \h </w:instrText>
      </w:r>
      <w:r>
        <w:fldChar w:fldCharType="separate"/>
      </w:r>
      <w:r>
        <w:t>46</w:t>
      </w:r>
      <w:r>
        <w:fldChar w:fldCharType="end"/>
      </w:r>
    </w:p>
    <w:p>
      <w:pPr>
        <w:pStyle w:val="TOC8"/>
        <w:rPr>
          <w:rFonts w:asciiTheme="minorHAnsi" w:eastAsiaTheme="minorEastAsia" w:hAnsiTheme="minorHAnsi" w:cstheme="minorBidi"/>
          <w:szCs w:val="22"/>
        </w:rPr>
      </w:pPr>
      <w:r>
        <w:t>48.</w:t>
      </w:r>
      <w:r>
        <w:tab/>
        <w:t>Suspension of training contract by parties (Act s. 60E)</w:t>
      </w:r>
      <w:r>
        <w:tab/>
      </w:r>
      <w:r>
        <w:fldChar w:fldCharType="begin"/>
      </w:r>
      <w:r>
        <w:instrText xml:space="preserve"> PAGEREF _Toc81919947 \h </w:instrText>
      </w:r>
      <w:r>
        <w:fldChar w:fldCharType="separate"/>
      </w:r>
      <w:r>
        <w:t>47</w:t>
      </w:r>
      <w:r>
        <w:fldChar w:fldCharType="end"/>
      </w:r>
    </w:p>
    <w:p>
      <w:pPr>
        <w:pStyle w:val="TOC8"/>
        <w:rPr>
          <w:rFonts w:asciiTheme="minorHAnsi" w:eastAsiaTheme="minorEastAsia" w:hAnsiTheme="minorHAnsi" w:cstheme="minorBidi"/>
          <w:szCs w:val="22"/>
        </w:rPr>
      </w:pPr>
      <w:r>
        <w:t>49.</w:t>
      </w:r>
      <w:r>
        <w:tab/>
        <w:t>Suspension by employer (Act s. 60E)</w:t>
      </w:r>
      <w:r>
        <w:tab/>
      </w:r>
      <w:r>
        <w:fldChar w:fldCharType="begin"/>
      </w:r>
      <w:r>
        <w:instrText xml:space="preserve"> PAGEREF _Toc81919948 \h </w:instrText>
      </w:r>
      <w:r>
        <w:fldChar w:fldCharType="separate"/>
      </w:r>
      <w:r>
        <w:t>47</w:t>
      </w:r>
      <w:r>
        <w:fldChar w:fldCharType="end"/>
      </w:r>
    </w:p>
    <w:p>
      <w:pPr>
        <w:pStyle w:val="TOC8"/>
        <w:rPr>
          <w:rFonts w:asciiTheme="minorHAnsi" w:eastAsiaTheme="minorEastAsia" w:hAnsiTheme="minorHAnsi" w:cstheme="minorBidi"/>
          <w:szCs w:val="22"/>
        </w:rPr>
      </w:pPr>
      <w:r>
        <w:t>50.</w:t>
      </w:r>
      <w:r>
        <w:tab/>
        <w:t>Termination of training contract by parties (Act s. 60G)</w:t>
      </w:r>
      <w:r>
        <w:tab/>
      </w:r>
      <w:r>
        <w:fldChar w:fldCharType="begin"/>
      </w:r>
      <w:r>
        <w:instrText xml:space="preserve"> PAGEREF _Toc81919949 \h </w:instrText>
      </w:r>
      <w:r>
        <w:fldChar w:fldCharType="separate"/>
      </w:r>
      <w:r>
        <w:t>49</w:t>
      </w:r>
      <w:r>
        <w:fldChar w:fldCharType="end"/>
      </w:r>
    </w:p>
    <w:p>
      <w:pPr>
        <w:pStyle w:val="TOC8"/>
        <w:rPr>
          <w:rFonts w:asciiTheme="minorHAnsi" w:eastAsiaTheme="minorEastAsia" w:hAnsiTheme="minorHAnsi" w:cstheme="minorBidi"/>
          <w:szCs w:val="22"/>
        </w:rPr>
      </w:pPr>
      <w:r>
        <w:t>51.</w:t>
      </w:r>
      <w:r>
        <w:tab/>
        <w:t>Approval of termination of training contract by chief executive (Act s. 60G)</w:t>
      </w:r>
      <w:r>
        <w:tab/>
      </w:r>
      <w:r>
        <w:fldChar w:fldCharType="begin"/>
      </w:r>
      <w:r>
        <w:instrText xml:space="preserve"> PAGEREF _Toc81919950 \h </w:instrText>
      </w:r>
      <w:r>
        <w:fldChar w:fldCharType="separate"/>
      </w:r>
      <w:r>
        <w:t>49</w:t>
      </w:r>
      <w:r>
        <w:fldChar w:fldCharType="end"/>
      </w:r>
    </w:p>
    <w:p>
      <w:pPr>
        <w:pStyle w:val="TOC8"/>
        <w:rPr>
          <w:rFonts w:asciiTheme="minorHAnsi" w:eastAsiaTheme="minorEastAsia" w:hAnsiTheme="minorHAnsi" w:cstheme="minorBidi"/>
          <w:szCs w:val="22"/>
        </w:rPr>
      </w:pPr>
      <w:r>
        <w:t>52.</w:t>
      </w:r>
      <w:r>
        <w:tab/>
        <w:t>Completion of training contract</w:t>
      </w:r>
      <w:r>
        <w:tab/>
      </w:r>
      <w:r>
        <w:fldChar w:fldCharType="begin"/>
      </w:r>
      <w:r>
        <w:instrText xml:space="preserve"> PAGEREF _Toc81919951 \h </w:instrText>
      </w:r>
      <w:r>
        <w:fldChar w:fldCharType="separate"/>
      </w:r>
      <w:r>
        <w:t>50</w:t>
      </w:r>
      <w:r>
        <w:fldChar w:fldCharType="end"/>
      </w:r>
    </w:p>
    <w:p>
      <w:pPr>
        <w:pStyle w:val="TOC8"/>
        <w:rPr>
          <w:rFonts w:asciiTheme="minorHAnsi" w:eastAsiaTheme="minorEastAsia" w:hAnsiTheme="minorHAnsi" w:cstheme="minorBidi"/>
          <w:szCs w:val="22"/>
        </w:rPr>
      </w:pPr>
      <w:r>
        <w:t>52A.</w:t>
      </w:r>
      <w:r>
        <w:tab/>
        <w:t>Resolution of disputes by chief executive</w:t>
      </w:r>
      <w:r>
        <w:tab/>
      </w:r>
      <w:r>
        <w:fldChar w:fldCharType="begin"/>
      </w:r>
      <w:r>
        <w:instrText xml:space="preserve"> PAGEREF _Toc81919952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 — Procedure and appeals</w:t>
      </w:r>
    </w:p>
    <w:p>
      <w:pPr>
        <w:pStyle w:val="TOC8"/>
        <w:rPr>
          <w:rFonts w:asciiTheme="minorHAnsi" w:eastAsiaTheme="minorEastAsia" w:hAnsiTheme="minorHAnsi" w:cstheme="minorBidi"/>
          <w:szCs w:val="22"/>
        </w:rPr>
      </w:pPr>
      <w:r>
        <w:t>53.</w:t>
      </w:r>
      <w:r>
        <w:tab/>
        <w:t>Procedure on applications</w:t>
      </w:r>
      <w:r>
        <w:tab/>
      </w:r>
      <w:r>
        <w:fldChar w:fldCharType="begin"/>
      </w:r>
      <w:r>
        <w:instrText xml:space="preserve"> PAGEREF _Toc81919954 \h </w:instrText>
      </w:r>
      <w:r>
        <w:fldChar w:fldCharType="separate"/>
      </w:r>
      <w:r>
        <w:t>51</w:t>
      </w:r>
      <w:r>
        <w:fldChar w:fldCharType="end"/>
      </w:r>
    </w:p>
    <w:p>
      <w:pPr>
        <w:pStyle w:val="TOC8"/>
        <w:rPr>
          <w:rFonts w:asciiTheme="minorHAnsi" w:eastAsiaTheme="minorEastAsia" w:hAnsiTheme="minorHAnsi" w:cstheme="minorBidi"/>
          <w:szCs w:val="22"/>
        </w:rPr>
      </w:pPr>
      <w:r>
        <w:t>54.</w:t>
      </w:r>
      <w:r>
        <w:tab/>
        <w:t>Appeals</w:t>
      </w:r>
      <w:r>
        <w:tab/>
      </w:r>
      <w:r>
        <w:fldChar w:fldCharType="begin"/>
      </w:r>
      <w:r>
        <w:instrText xml:space="preserve"> PAGEREF _Toc81919955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5 — Repeals and transitional matters</w:t>
      </w:r>
    </w:p>
    <w:p>
      <w:pPr>
        <w:pStyle w:val="TOC8"/>
        <w:rPr>
          <w:rFonts w:asciiTheme="minorHAnsi" w:eastAsiaTheme="minorEastAsia" w:hAnsiTheme="minorHAnsi" w:cstheme="minorBidi"/>
          <w:szCs w:val="22"/>
        </w:rPr>
      </w:pPr>
      <w:r>
        <w:t>55.</w:t>
      </w:r>
      <w:r>
        <w:tab/>
        <w:t>Term used: commencement</w:t>
      </w:r>
      <w:r>
        <w:tab/>
      </w:r>
      <w:r>
        <w:fldChar w:fldCharType="begin"/>
      </w:r>
      <w:r>
        <w:instrText xml:space="preserve"> PAGEREF _Toc81919957 \h </w:instrText>
      </w:r>
      <w:r>
        <w:fldChar w:fldCharType="separate"/>
      </w:r>
      <w:r>
        <w:t>53</w:t>
      </w:r>
      <w:r>
        <w:fldChar w:fldCharType="end"/>
      </w:r>
    </w:p>
    <w:p>
      <w:pPr>
        <w:pStyle w:val="TOC8"/>
        <w:rPr>
          <w:rFonts w:asciiTheme="minorHAnsi" w:eastAsiaTheme="minorEastAsia" w:hAnsiTheme="minorHAnsi" w:cstheme="minorBidi"/>
          <w:szCs w:val="22"/>
        </w:rPr>
      </w:pPr>
      <w:r>
        <w:t>57.</w:t>
      </w:r>
      <w:r>
        <w:tab/>
        <w:t>Registered training providers</w:t>
      </w:r>
      <w:r>
        <w:tab/>
      </w:r>
      <w:r>
        <w:fldChar w:fldCharType="begin"/>
      </w:r>
      <w:r>
        <w:instrText xml:space="preserve"> PAGEREF _Toc81919958 \h </w:instrText>
      </w:r>
      <w:r>
        <w:fldChar w:fldCharType="separate"/>
      </w:r>
      <w:r>
        <w:t>53</w:t>
      </w:r>
      <w:r>
        <w:fldChar w:fldCharType="end"/>
      </w:r>
    </w:p>
    <w:p>
      <w:pPr>
        <w:pStyle w:val="TOC8"/>
        <w:rPr>
          <w:rFonts w:asciiTheme="minorHAnsi" w:eastAsiaTheme="minorEastAsia" w:hAnsiTheme="minorHAnsi" w:cstheme="minorBidi"/>
          <w:szCs w:val="22"/>
        </w:rPr>
      </w:pPr>
      <w:r>
        <w:lastRenderedPageBreak/>
        <w:t>58.</w:t>
      </w:r>
      <w:r>
        <w:tab/>
        <w:t>Accredited courses</w:t>
      </w:r>
      <w:r>
        <w:tab/>
      </w:r>
      <w:r>
        <w:fldChar w:fldCharType="begin"/>
      </w:r>
      <w:r>
        <w:instrText xml:space="preserve"> PAGEREF _Toc81919959 \h </w:instrText>
      </w:r>
      <w:r>
        <w:fldChar w:fldCharType="separate"/>
      </w:r>
      <w:r>
        <w:t>53</w:t>
      </w:r>
      <w:r>
        <w:fldChar w:fldCharType="end"/>
      </w:r>
    </w:p>
    <w:p>
      <w:pPr>
        <w:pStyle w:val="TOC8"/>
        <w:rPr>
          <w:rFonts w:asciiTheme="minorHAnsi" w:eastAsiaTheme="minorEastAsia" w:hAnsiTheme="minorHAnsi" w:cstheme="minorBidi"/>
          <w:szCs w:val="22"/>
        </w:rPr>
      </w:pPr>
      <w:r>
        <w:t>59.</w:t>
      </w:r>
      <w:r>
        <w:tab/>
        <w:t>Traineeship contracts</w:t>
      </w:r>
      <w:r>
        <w:tab/>
      </w:r>
      <w:r>
        <w:fldChar w:fldCharType="begin"/>
      </w:r>
      <w:r>
        <w:instrText xml:space="preserve"> PAGEREF _Toc81919960 \h </w:instrText>
      </w:r>
      <w:r>
        <w:fldChar w:fldCharType="separate"/>
      </w:r>
      <w:r>
        <w:t>53</w:t>
      </w:r>
      <w:r>
        <w:fldChar w:fldCharType="end"/>
      </w:r>
    </w:p>
    <w:p>
      <w:pPr>
        <w:pStyle w:val="TOC8"/>
        <w:rPr>
          <w:rFonts w:asciiTheme="minorHAnsi" w:eastAsiaTheme="minorEastAsia" w:hAnsiTheme="minorHAnsi" w:cstheme="minorBidi"/>
          <w:szCs w:val="22"/>
        </w:rPr>
      </w:pPr>
      <w:r>
        <w:t>60.</w:t>
      </w:r>
      <w:r>
        <w:tab/>
        <w:t>Apprentices learning trades, transitional provisions for</w:t>
      </w:r>
      <w:r>
        <w:tab/>
      </w:r>
      <w:r>
        <w:fldChar w:fldCharType="begin"/>
      </w:r>
      <w:r>
        <w:instrText xml:space="preserve"> PAGEREF _Toc81919961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6 — Transitional provisions for </w:t>
      </w:r>
      <w:r>
        <w:rPr>
          <w:i/>
        </w:rPr>
        <w:t>Vocational Education and Training (General) Amendment Regulations 2015</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_Toc81919963 \h </w:instrText>
      </w:r>
      <w:r>
        <w:fldChar w:fldCharType="separate"/>
      </w:r>
      <w:r>
        <w:t>55</w:t>
      </w:r>
      <w:r>
        <w:fldChar w:fldCharType="end"/>
      </w:r>
    </w:p>
    <w:p>
      <w:pPr>
        <w:pStyle w:val="TOC8"/>
        <w:rPr>
          <w:rFonts w:asciiTheme="minorHAnsi" w:eastAsiaTheme="minorEastAsia" w:hAnsiTheme="minorHAnsi" w:cstheme="minorBidi"/>
          <w:szCs w:val="22"/>
        </w:rPr>
      </w:pPr>
      <w:r>
        <w:t>62.</w:t>
      </w:r>
      <w:r>
        <w:tab/>
        <w:t>Mandatory conditions applicable to WA registered providers during transitional period</w:t>
      </w:r>
      <w:r>
        <w:tab/>
      </w:r>
      <w:r>
        <w:fldChar w:fldCharType="begin"/>
      </w:r>
      <w:r>
        <w:instrText xml:space="preserve"> PAGEREF _Toc81919964 \h </w:instrText>
      </w:r>
      <w:r>
        <w:fldChar w:fldCharType="separate"/>
      </w:r>
      <w:r>
        <w:t>55</w:t>
      </w:r>
      <w:r>
        <w:fldChar w:fldCharType="end"/>
      </w:r>
    </w:p>
    <w:p>
      <w:pPr>
        <w:pStyle w:val="TOC8"/>
        <w:rPr>
          <w:rFonts w:asciiTheme="minorHAnsi" w:eastAsiaTheme="minorEastAsia" w:hAnsiTheme="minorHAnsi" w:cstheme="minorBidi"/>
          <w:szCs w:val="22"/>
        </w:rPr>
      </w:pPr>
      <w:r>
        <w:t>63.</w:t>
      </w:r>
      <w:r>
        <w:tab/>
        <w:t>Applications before commencement day</w:t>
      </w:r>
      <w:r>
        <w:tab/>
      </w:r>
      <w:r>
        <w:fldChar w:fldCharType="begin"/>
      </w:r>
      <w:r>
        <w:instrText xml:space="preserve"> PAGEREF _Toc81919965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1 — Training contract</w:t>
      </w:r>
    </w:p>
    <w:p>
      <w:pPr>
        <w:pStyle w:val="TOC2"/>
        <w:tabs>
          <w:tab w:val="right" w:leader="dot" w:pos="7077"/>
        </w:tabs>
        <w:rPr>
          <w:rFonts w:asciiTheme="minorHAnsi" w:eastAsiaTheme="minorEastAsia" w:hAnsiTheme="minorHAnsi" w:cstheme="minorBidi"/>
          <w:b w:val="0"/>
          <w:sz w:val="22"/>
          <w:szCs w:val="22"/>
        </w:rPr>
      </w:pPr>
      <w:r>
        <w:t>Schedule 2 — Provisions about old agreements and old training contracts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_Toc81919968 \h </w:instrText>
      </w:r>
      <w:r>
        <w:fldChar w:fldCharType="separate"/>
      </w:r>
      <w:r>
        <w:t>79</w:t>
      </w:r>
      <w:r>
        <w:fldChar w:fldCharType="end"/>
      </w:r>
    </w:p>
    <w:p>
      <w:pPr>
        <w:pStyle w:val="TOC8"/>
        <w:rPr>
          <w:rFonts w:asciiTheme="minorHAnsi" w:eastAsiaTheme="minorEastAsia" w:hAnsiTheme="minorHAnsi" w:cstheme="minorBidi"/>
          <w:szCs w:val="22"/>
        </w:rPr>
      </w:pPr>
      <w:r>
        <w:t>2.</w:t>
      </w:r>
      <w:r>
        <w:tab/>
        <w:t>Old agreements to be read with modifications</w:t>
      </w:r>
      <w:r>
        <w:tab/>
      </w:r>
      <w:r>
        <w:fldChar w:fldCharType="begin"/>
      </w:r>
      <w:r>
        <w:instrText xml:space="preserve"> PAGEREF _Toc81919969 \h </w:instrText>
      </w:r>
      <w:r>
        <w:fldChar w:fldCharType="separate"/>
      </w:r>
      <w:r>
        <w:t>79</w:t>
      </w:r>
      <w:r>
        <w:fldChar w:fldCharType="end"/>
      </w:r>
    </w:p>
    <w:p>
      <w:pPr>
        <w:pStyle w:val="TOC8"/>
        <w:rPr>
          <w:rFonts w:asciiTheme="minorHAnsi" w:eastAsiaTheme="minorEastAsia" w:hAnsiTheme="minorHAnsi" w:cstheme="minorBidi"/>
          <w:szCs w:val="22"/>
        </w:rPr>
      </w:pPr>
      <w:r>
        <w:t>3.</w:t>
      </w:r>
      <w:r>
        <w:tab/>
        <w:t>Old agreements and contracts not terminated by sale of business</w:t>
      </w:r>
      <w:r>
        <w:tab/>
      </w:r>
      <w:r>
        <w:fldChar w:fldCharType="begin"/>
      </w:r>
      <w:r>
        <w:instrText xml:space="preserve"> PAGEREF _Toc81919970 \h </w:instrText>
      </w:r>
      <w:r>
        <w:fldChar w:fldCharType="separate"/>
      </w:r>
      <w:r>
        <w:t>81</w:t>
      </w:r>
      <w:r>
        <w:fldChar w:fldCharType="end"/>
      </w:r>
    </w:p>
    <w:p>
      <w:pPr>
        <w:pStyle w:val="TOC8"/>
        <w:rPr>
          <w:rFonts w:asciiTheme="minorHAnsi" w:eastAsiaTheme="minorEastAsia" w:hAnsiTheme="minorHAnsi" w:cstheme="minorBidi"/>
          <w:szCs w:val="22"/>
        </w:rPr>
      </w:pPr>
      <w:r>
        <w:t>4.</w:t>
      </w:r>
      <w:r>
        <w:tab/>
        <w:t>Technical instruction requirements for trade apprentices</w:t>
      </w:r>
      <w:r>
        <w:tab/>
      </w:r>
      <w:r>
        <w:fldChar w:fldCharType="begin"/>
      </w:r>
      <w:r>
        <w:instrText xml:space="preserve"> PAGEREF _Toc81919971 \h </w:instrText>
      </w:r>
      <w:r>
        <w:fldChar w:fldCharType="separate"/>
      </w:r>
      <w:r>
        <w:t>81</w:t>
      </w:r>
      <w:r>
        <w:fldChar w:fldCharType="end"/>
      </w:r>
    </w:p>
    <w:p>
      <w:pPr>
        <w:pStyle w:val="TOC8"/>
        <w:rPr>
          <w:rFonts w:asciiTheme="minorHAnsi" w:eastAsiaTheme="minorEastAsia" w:hAnsiTheme="minorHAnsi" w:cstheme="minorBidi"/>
          <w:szCs w:val="22"/>
        </w:rPr>
      </w:pPr>
      <w:r>
        <w:t>5.</w:t>
      </w:r>
      <w:r>
        <w:tab/>
        <w:t>Final certificates for trade apprentices</w:t>
      </w:r>
      <w:r>
        <w:tab/>
      </w:r>
      <w:r>
        <w:fldChar w:fldCharType="begin"/>
      </w:r>
      <w:r>
        <w:instrText xml:space="preserve"> PAGEREF _Toc81919972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_Toc81919974 \h </w:instrText>
      </w:r>
      <w:r>
        <w:fldChar w:fldCharType="separate"/>
      </w:r>
      <w:r>
        <w:t>82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_Toc81919975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3" w:name="_Toc81912960"/>
      <w:bookmarkStart w:id="4" w:name="_Toc81916773"/>
      <w:bookmarkStart w:id="5" w:name="_Toc81916933"/>
      <w:bookmarkStart w:id="6" w:name="_Toc81919881"/>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p>
    <w:p>
      <w:pPr>
        <w:pStyle w:val="Heading5"/>
      </w:pPr>
      <w:bookmarkStart w:id="7" w:name="_Toc81919882"/>
      <w:r>
        <w:rPr>
          <w:rStyle w:val="CharSectno"/>
        </w:rPr>
        <w:t>1</w:t>
      </w:r>
      <w:r>
        <w:t>.</w:t>
      </w:r>
      <w:r>
        <w:tab/>
        <w:t>Citation</w:t>
      </w:r>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Vocational Education and Training (General) Regulations 2009</w:t>
      </w:r>
      <w:r>
        <w:t>.</w:t>
      </w:r>
    </w:p>
    <w:p>
      <w:pPr>
        <w:pStyle w:val="Heading5"/>
        <w:rPr>
          <w:spacing w:val="-2"/>
        </w:rPr>
      </w:pPr>
      <w:bookmarkStart w:id="9" w:name="_Toc81919883"/>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p>
    <w:p>
      <w:pPr>
        <w:pStyle w:val="Heading5"/>
      </w:pPr>
      <w:bookmarkStart w:id="10" w:name="_Toc81919884"/>
      <w:r>
        <w:rPr>
          <w:rStyle w:val="CharSectno"/>
        </w:rPr>
        <w:t>3</w:t>
      </w:r>
      <w:r>
        <w:t>.</w:t>
      </w:r>
      <w:r>
        <w:tab/>
        <w:t>Terms used</w:t>
      </w:r>
      <w:bookmarkEnd w:id="10"/>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AQF</w:t>
      </w:r>
      <w:r>
        <w:t xml:space="preserve"> means the Australian Qualifications Framework as defined in the Commonwealth Act section 3;</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lastRenderedPageBreak/>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complying training plan</w:t>
      </w:r>
      <w:r>
        <w:t xml:space="preserve"> has the meaning given in regulation 43(1);</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school</w:t>
      </w:r>
      <w:r>
        <w:rPr>
          <w:rStyle w:val="CharDefText"/>
        </w:rPr>
        <w:noBreakHyphen/>
        <w:t>based apprenticeship</w:t>
      </w:r>
      <w:r>
        <w:t xml:space="preserve"> has the meaning given in regulation 43(1);</w:t>
      </w:r>
    </w:p>
    <w:p>
      <w:pPr>
        <w:pStyle w:val="Defstart"/>
      </w:pPr>
      <w:r>
        <w:tab/>
      </w:r>
      <w:r>
        <w:rPr>
          <w:rStyle w:val="CharDefText"/>
        </w:rPr>
        <w:t>WA</w:t>
      </w:r>
      <w:r>
        <w:t xml:space="preserve"> means Western Australia;</w:t>
      </w:r>
    </w:p>
    <w:p>
      <w:pPr>
        <w:pStyle w:val="Defstart"/>
      </w:pPr>
      <w:r>
        <w:tab/>
      </w:r>
      <w:r>
        <w:rPr>
          <w:rStyle w:val="CharDefText"/>
        </w:rPr>
        <w:t>working day</w:t>
      </w:r>
      <w:r>
        <w:t xml:space="preserve"> means a day other than a Saturday, a Sunday or a public holiday in Perth.</w:t>
      </w:r>
    </w:p>
    <w:p>
      <w:pPr>
        <w:pStyle w:val="Footnotesection"/>
      </w:pPr>
      <w:r>
        <w:tab/>
        <w:t>[Regulation 3 amended: Gazette 17 Dec 2013 p.</w:t>
      </w:r>
      <w:r>
        <w:rPr>
          <w:sz w:val="19"/>
        </w:rPr>
        <w:t> </w:t>
      </w:r>
      <w:r>
        <w:t>6219; 10 Mar 2015 p. 827; 29 Dec 2017 p. 6081.]</w:t>
      </w:r>
    </w:p>
    <w:p>
      <w:pPr>
        <w:pStyle w:val="Heading2"/>
      </w:pPr>
      <w:bookmarkStart w:id="11" w:name="_Toc81912964"/>
      <w:bookmarkStart w:id="12" w:name="_Toc81916777"/>
      <w:bookmarkStart w:id="13" w:name="_Toc81916937"/>
      <w:bookmarkStart w:id="14" w:name="_Toc81919885"/>
      <w:r>
        <w:rPr>
          <w:rStyle w:val="CharPartNo"/>
        </w:rPr>
        <w:lastRenderedPageBreak/>
        <w:t>Part 2</w:t>
      </w:r>
      <w:r>
        <w:rPr>
          <w:rStyle w:val="CharDivNo"/>
        </w:rPr>
        <w:t> </w:t>
      </w:r>
      <w:r>
        <w:t>—</w:t>
      </w:r>
      <w:r>
        <w:rPr>
          <w:rStyle w:val="CharDivText"/>
        </w:rPr>
        <w:t> </w:t>
      </w:r>
      <w:r>
        <w:rPr>
          <w:rStyle w:val="CharPartText"/>
        </w:rPr>
        <w:t>General matters</w:t>
      </w:r>
      <w:bookmarkEnd w:id="11"/>
      <w:bookmarkEnd w:id="12"/>
      <w:bookmarkEnd w:id="13"/>
      <w:bookmarkEnd w:id="14"/>
    </w:p>
    <w:p>
      <w:pPr>
        <w:pStyle w:val="Heading5"/>
      </w:pPr>
      <w:bookmarkStart w:id="15" w:name="_Toc81919886"/>
      <w:r>
        <w:rPr>
          <w:rStyle w:val="CharSectno"/>
        </w:rPr>
        <w:t>4</w:t>
      </w:r>
      <w:r>
        <w:t>.</w:t>
      </w:r>
      <w:r>
        <w:tab/>
        <w:t>Approved VET courses (Act s. 5(1))</w:t>
      </w:r>
      <w:bookmarkEnd w:id="15"/>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i/>
        </w:rPr>
        <w:t>approved VET course</w:t>
      </w:r>
      <w:r>
        <w:t xml:space="preserve"> in section 5(1) of the Act, the following are prescribed — </w:t>
      </w:r>
    </w:p>
    <w:p>
      <w:pPr>
        <w:pStyle w:val="Indenta"/>
      </w:pPr>
      <w:r>
        <w:tab/>
        <w:t>(a)</w:t>
      </w:r>
      <w:r>
        <w:tab/>
        <w:t>each listed unit of competency that forms part of a listed training package;</w:t>
      </w:r>
    </w:p>
    <w:p>
      <w:pPr>
        <w:pStyle w:val="Indenta"/>
      </w:pPr>
      <w:r>
        <w:tab/>
        <w:t>(b)</w:t>
      </w:r>
      <w:r>
        <w:tab/>
        <w:t>any VET course accredited by ASQA;</w:t>
      </w:r>
    </w:p>
    <w:p>
      <w:pPr>
        <w:pStyle w:val="Indenta"/>
      </w:pPr>
      <w:r>
        <w:tab/>
        <w:t>(c)</w:t>
      </w:r>
      <w:r>
        <w:tab/>
        <w:t>any VET course accredited by another non</w:t>
      </w:r>
      <w:r>
        <w:noBreakHyphen/>
        <w:t>referring State.</w:t>
      </w:r>
    </w:p>
    <w:p>
      <w:pPr>
        <w:pStyle w:val="Footnotesection"/>
      </w:pPr>
      <w:r>
        <w:tab/>
        <w:t>[Regulation 4 amended: Gazette 17 Dec 2013 p.</w:t>
      </w:r>
      <w:r>
        <w:rPr>
          <w:sz w:val="19"/>
        </w:rPr>
        <w:t> </w:t>
      </w:r>
      <w:r>
        <w:t>6220; 10 Mar 2015 p. 827-8.]</w:t>
      </w:r>
    </w:p>
    <w:p>
      <w:pPr>
        <w:pStyle w:val="Heading5"/>
      </w:pPr>
      <w:bookmarkStart w:id="16" w:name="_Toc81919887"/>
      <w:r>
        <w:rPr>
          <w:rStyle w:val="CharSectno"/>
        </w:rPr>
        <w:t>5</w:t>
      </w:r>
      <w:r>
        <w:t>.</w:t>
      </w:r>
      <w:r>
        <w:tab/>
        <w:t>Corresponding laws (Act s. 5(1))</w:t>
      </w:r>
      <w:bookmarkEnd w:id="16"/>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r>
              <w:t>Australian Capital Territory</w:t>
            </w:r>
          </w:p>
        </w:tc>
        <w:tc>
          <w:tcPr>
            <w:tcW w:w="4162" w:type="dxa"/>
          </w:tcPr>
          <w:p>
            <w:pPr>
              <w:pStyle w:val="TableNAm"/>
              <w:spacing w:before="0"/>
            </w:pPr>
            <w:r>
              <w:rPr>
                <w:i/>
                <w:iCs/>
              </w:rPr>
              <w:t>Training and Tertiary Education Act 2003</w:t>
            </w:r>
          </w:p>
        </w:tc>
      </w:tr>
      <w:tr>
        <w:tc>
          <w:tcPr>
            <w:tcW w:w="1984" w:type="dxa"/>
          </w:tcPr>
          <w:p>
            <w:pPr>
              <w:pStyle w:val="TableNAm"/>
              <w:spacing w:before="0"/>
            </w:pPr>
            <w:r>
              <w:t>New South Wales</w:t>
            </w:r>
          </w:p>
        </w:tc>
        <w:tc>
          <w:tcPr>
            <w:tcW w:w="4162" w:type="dxa"/>
          </w:tcPr>
          <w:p>
            <w:pPr>
              <w:pStyle w:val="TableNAm"/>
              <w:spacing w:before="0"/>
              <w:rPr>
                <w:i/>
                <w:iCs/>
              </w:rPr>
            </w:pPr>
            <w:r>
              <w:rPr>
                <w:i/>
                <w:iCs/>
              </w:rPr>
              <w:t>Vocational Education and Training Act 2005</w:t>
            </w:r>
            <w:r>
              <w:rPr>
                <w:iCs/>
                <w:vertAlign w:val="superscript"/>
              </w:rPr>
              <w:t> 1</w:t>
            </w:r>
          </w:p>
        </w:tc>
      </w:tr>
      <w:tr>
        <w:tc>
          <w:tcPr>
            <w:tcW w:w="1984" w:type="dxa"/>
          </w:tcPr>
          <w:p>
            <w:pPr>
              <w:pStyle w:val="TableNAm"/>
              <w:spacing w:before="0"/>
            </w:pPr>
            <w:r>
              <w:t>Northern Territory</w:t>
            </w:r>
          </w:p>
        </w:tc>
        <w:tc>
          <w:tcPr>
            <w:tcW w:w="4162" w:type="dxa"/>
          </w:tcPr>
          <w:p>
            <w:pPr>
              <w:pStyle w:val="TableNAm"/>
              <w:spacing w:before="0"/>
            </w:pPr>
            <w:r>
              <w:rPr>
                <w:i/>
                <w:iCs/>
              </w:rPr>
              <w:t>Northern Territory Employment and Training Act</w:t>
            </w:r>
            <w:r>
              <w:rPr>
                <w:iCs/>
                <w:vertAlign w:val="superscript"/>
              </w:rPr>
              <w:t> 2</w:t>
            </w:r>
          </w:p>
        </w:tc>
      </w:tr>
      <w:tr>
        <w:tc>
          <w:tcPr>
            <w:tcW w:w="1984" w:type="dxa"/>
          </w:tcPr>
          <w:p>
            <w:pPr>
              <w:pStyle w:val="TableNAm"/>
              <w:spacing w:before="0"/>
            </w:pPr>
            <w:r>
              <w:t>Queensland</w:t>
            </w:r>
          </w:p>
        </w:tc>
        <w:tc>
          <w:tcPr>
            <w:tcW w:w="4162" w:type="dxa"/>
          </w:tcPr>
          <w:p>
            <w:pPr>
              <w:pStyle w:val="TableNAm"/>
              <w:spacing w:before="0"/>
            </w:pPr>
            <w:r>
              <w:rPr>
                <w:i/>
                <w:iCs/>
              </w:rPr>
              <w:t>Vocational Education, Training and Employment Act 2000</w:t>
            </w:r>
            <w:r>
              <w:rPr>
                <w:iCs/>
                <w:vertAlign w:val="superscript"/>
              </w:rPr>
              <w:t> 3</w:t>
            </w:r>
          </w:p>
        </w:tc>
      </w:tr>
      <w:tr>
        <w:tc>
          <w:tcPr>
            <w:tcW w:w="1984" w:type="dxa"/>
          </w:tcPr>
          <w:p>
            <w:pPr>
              <w:pStyle w:val="TableNAm"/>
              <w:spacing w:before="0"/>
            </w:pPr>
            <w:r>
              <w:t>South Australia</w:t>
            </w:r>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r>
              <w:lastRenderedPageBreak/>
              <w:t>Tasmania</w:t>
            </w:r>
          </w:p>
        </w:tc>
        <w:tc>
          <w:tcPr>
            <w:tcW w:w="4162" w:type="dxa"/>
          </w:tcPr>
          <w:p>
            <w:pPr>
              <w:pStyle w:val="TableNAm"/>
              <w:spacing w:before="0"/>
              <w:rPr>
                <w:i/>
                <w:iCs/>
              </w:rPr>
            </w:pPr>
            <w:r>
              <w:rPr>
                <w:i/>
                <w:iCs/>
              </w:rPr>
              <w:t>Vocational Education and Training Act 1994</w:t>
            </w:r>
            <w:r>
              <w:rPr>
                <w:iCs/>
                <w:vertAlign w:val="superscript"/>
              </w:rPr>
              <w:t> 4</w:t>
            </w:r>
          </w:p>
        </w:tc>
      </w:tr>
      <w:tr>
        <w:tc>
          <w:tcPr>
            <w:tcW w:w="1984" w:type="dxa"/>
          </w:tcPr>
          <w:p>
            <w:pPr>
              <w:pStyle w:val="TableNAm"/>
              <w:spacing w:before="0"/>
            </w:pPr>
            <w:r>
              <w:t>Victoria</w:t>
            </w:r>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17" w:name="_Toc81919888"/>
      <w:r>
        <w:rPr>
          <w:rStyle w:val="CharSectno"/>
        </w:rPr>
        <w:t>6</w:t>
      </w:r>
      <w:r>
        <w:t>.</w:t>
      </w:r>
      <w:r>
        <w:tab/>
        <w:t>Prescribed VET qualifications (Act s. 5(1))</w:t>
      </w:r>
      <w:bookmarkEnd w:id="17"/>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18" w:name="_Toc81912968"/>
      <w:bookmarkStart w:id="19" w:name="_Toc81916781"/>
      <w:bookmarkStart w:id="20" w:name="_Toc81916941"/>
      <w:bookmarkStart w:id="21" w:name="_Toc81919889"/>
      <w:r>
        <w:rPr>
          <w:rStyle w:val="CharPartNo"/>
        </w:rPr>
        <w:lastRenderedPageBreak/>
        <w:t>Part 3</w:t>
      </w:r>
      <w:r>
        <w:t> — </w:t>
      </w:r>
      <w:r>
        <w:rPr>
          <w:rStyle w:val="CharPartText"/>
        </w:rPr>
        <w:t>Regulations for Part 7A of the Act</w:t>
      </w:r>
      <w:bookmarkEnd w:id="18"/>
      <w:bookmarkEnd w:id="19"/>
      <w:bookmarkEnd w:id="20"/>
      <w:bookmarkEnd w:id="21"/>
    </w:p>
    <w:p>
      <w:pPr>
        <w:pStyle w:val="Heading3"/>
      </w:pPr>
      <w:bookmarkStart w:id="22" w:name="_Toc81912969"/>
      <w:bookmarkStart w:id="23" w:name="_Toc81916782"/>
      <w:bookmarkStart w:id="24" w:name="_Toc81916942"/>
      <w:bookmarkStart w:id="25" w:name="_Toc81919890"/>
      <w:r>
        <w:rPr>
          <w:rStyle w:val="CharDivNo"/>
        </w:rPr>
        <w:t>Division 1</w:t>
      </w:r>
      <w:r>
        <w:t> — </w:t>
      </w:r>
      <w:r>
        <w:rPr>
          <w:rStyle w:val="CharDivText"/>
        </w:rPr>
        <w:t>General matters</w:t>
      </w:r>
      <w:bookmarkEnd w:id="22"/>
      <w:bookmarkEnd w:id="23"/>
      <w:bookmarkEnd w:id="24"/>
      <w:bookmarkEnd w:id="25"/>
    </w:p>
    <w:p>
      <w:pPr>
        <w:pStyle w:val="Heading5"/>
      </w:pPr>
      <w:bookmarkStart w:id="26" w:name="_Toc81919891"/>
      <w:r>
        <w:rPr>
          <w:rStyle w:val="CharSectno"/>
        </w:rPr>
        <w:t>7</w:t>
      </w:r>
      <w:r>
        <w:t>.</w:t>
      </w:r>
      <w:r>
        <w:tab/>
        <w:t>Terms used</w:t>
      </w:r>
      <w:bookmarkEnd w:id="26"/>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rPr>
        <w:t>AQTF2021 Standards for Accredited Courses</w:t>
      </w:r>
      <w:r>
        <w:t xml:space="preserve"> (published on a website maintained by or on behalf of the department of the Public Service principally assisting in the administration of the Act);</w:t>
      </w:r>
    </w:p>
    <w:p>
      <w:pPr>
        <w:pStyle w:val="Defstart"/>
      </w:pPr>
      <w:r>
        <w:tab/>
      </w:r>
      <w:r>
        <w:rPr>
          <w:rStyle w:val="CharDefText"/>
        </w:rPr>
        <w:t>audit</w:t>
      </w:r>
      <w:r>
        <w:t xml:space="preserve"> means an audit conducted under Division 3;</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registration standards</w:t>
      </w:r>
      <w:r>
        <w:t xml:space="preserve"> means the Standards for NVR Registered Training Organisations made under the Commonwealth Act section 185;</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lastRenderedPageBreak/>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is a reference to the standard as published from time to time.</w:t>
      </w:r>
    </w:p>
    <w:p>
      <w:pPr>
        <w:pStyle w:val="Subsection"/>
      </w:pPr>
      <w:r>
        <w:tab/>
        <w:t>(3)</w:t>
      </w:r>
      <w:r>
        <w:tab/>
        <w:t>A reference in the registration standards to an RTO includes a reference to a WA registered provider.</w:t>
      </w:r>
    </w:p>
    <w:p>
      <w:pPr>
        <w:pStyle w:val="Footnotesection"/>
      </w:pPr>
      <w:r>
        <w:tab/>
        <w:t>[Regulation 7 amended by Gazette 25 Oct 2011 p. 4509; 17 Dec 2013 p. 6220; 10 Mar 2015 p. 828; SL 2021/156 r. 4.]</w:t>
      </w:r>
    </w:p>
    <w:p>
      <w:pPr>
        <w:pStyle w:val="Heading5"/>
      </w:pPr>
      <w:bookmarkStart w:id="27" w:name="_Toc81919892"/>
      <w:r>
        <w:rPr>
          <w:rStyle w:val="CharSectno"/>
        </w:rPr>
        <w:t>8</w:t>
      </w:r>
      <w:r>
        <w:t>.</w:t>
      </w:r>
      <w:r>
        <w:tab/>
        <w:t>Council to have regard to, and apply, certain standards</w:t>
      </w:r>
      <w:bookmarkEnd w:id="27"/>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standards; and</w:t>
      </w:r>
    </w:p>
    <w:p>
      <w:pPr>
        <w:pStyle w:val="Indenta"/>
        <w:keepNext/>
      </w:pPr>
      <w:r>
        <w:lastRenderedPageBreak/>
        <w:tab/>
        <w:t>(b)</w:t>
      </w:r>
      <w:r>
        <w:tab/>
        <w:t>the accreditation standards.</w:t>
      </w:r>
    </w:p>
    <w:p>
      <w:pPr>
        <w:pStyle w:val="Footnotesection"/>
      </w:pPr>
      <w:r>
        <w:tab/>
        <w:t>[Regulation 8 amended: Gazette 25 Oct 2011 p. 4509; 17 Dec 2013 p. 6220; 10 Mar 2015 p. 828.]</w:t>
      </w:r>
    </w:p>
    <w:p>
      <w:pPr>
        <w:pStyle w:val="Heading5"/>
      </w:pPr>
      <w:bookmarkStart w:id="28" w:name="_Toc81919893"/>
      <w:r>
        <w:rPr>
          <w:rStyle w:val="CharSectno"/>
        </w:rPr>
        <w:t>9</w:t>
      </w:r>
      <w:r>
        <w:t>.</w:t>
      </w:r>
      <w:r>
        <w:tab/>
        <w:t>Register</w:t>
      </w:r>
      <w:bookmarkEnd w:id="28"/>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Gazette 17 Dec 2013 p.</w:t>
      </w:r>
      <w:r>
        <w:rPr>
          <w:sz w:val="19"/>
        </w:rPr>
        <w:t> </w:t>
      </w:r>
      <w:r>
        <w:t>6220.]</w:t>
      </w:r>
    </w:p>
    <w:p>
      <w:pPr>
        <w:pStyle w:val="Heading3"/>
        <w:keepLines/>
        <w:pageBreakBefore/>
        <w:spacing w:before="0"/>
      </w:pPr>
      <w:bookmarkStart w:id="29" w:name="_Toc81912973"/>
      <w:bookmarkStart w:id="30" w:name="_Toc81916786"/>
      <w:bookmarkStart w:id="31" w:name="_Toc81916946"/>
      <w:bookmarkStart w:id="32" w:name="_Toc81919894"/>
      <w:r>
        <w:rPr>
          <w:rStyle w:val="CharDivNo"/>
        </w:rPr>
        <w:lastRenderedPageBreak/>
        <w:t>Division 2</w:t>
      </w:r>
      <w:r>
        <w:t> — </w:t>
      </w:r>
      <w:r>
        <w:rPr>
          <w:rStyle w:val="CharDivText"/>
        </w:rPr>
        <w:t>Registration of training providers</w:t>
      </w:r>
      <w:bookmarkEnd w:id="29"/>
      <w:bookmarkEnd w:id="30"/>
      <w:bookmarkEnd w:id="31"/>
      <w:bookmarkEnd w:id="32"/>
    </w:p>
    <w:p>
      <w:pPr>
        <w:pStyle w:val="Heading5"/>
      </w:pPr>
      <w:bookmarkStart w:id="33" w:name="_Toc81919895"/>
      <w:r>
        <w:rPr>
          <w:rStyle w:val="CharSectno"/>
        </w:rPr>
        <w:t>10</w:t>
      </w:r>
      <w:r>
        <w:t>.</w:t>
      </w:r>
      <w:r>
        <w:tab/>
        <w:t>Applying to be registered training provider</w:t>
      </w:r>
      <w:bookmarkEnd w:id="33"/>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Gazette 17 Dec 2013 p.</w:t>
      </w:r>
      <w:r>
        <w:rPr>
          <w:sz w:val="19"/>
        </w:rPr>
        <w:t> </w:t>
      </w:r>
      <w:r>
        <w:t>6221.]</w:t>
      </w:r>
    </w:p>
    <w:p>
      <w:pPr>
        <w:pStyle w:val="Heading5"/>
        <w:pageBreakBefore/>
        <w:spacing w:before="0"/>
      </w:pPr>
      <w:bookmarkStart w:id="34" w:name="_Toc81919896"/>
      <w:r>
        <w:rPr>
          <w:rStyle w:val="CharSectno"/>
        </w:rPr>
        <w:lastRenderedPageBreak/>
        <w:t>11</w:t>
      </w:r>
      <w:r>
        <w:t>.</w:t>
      </w:r>
      <w:r>
        <w:tab/>
        <w:t>Dealing with applications</w:t>
      </w:r>
      <w:bookmarkEnd w:id="34"/>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35" w:name="_Toc81919897"/>
      <w:r>
        <w:rPr>
          <w:rStyle w:val="CharSectno"/>
        </w:rPr>
        <w:t>12</w:t>
      </w:r>
      <w:r>
        <w:t>.</w:t>
      </w:r>
      <w:r>
        <w:tab/>
        <w:t>Registering training providers</w:t>
      </w:r>
      <w:bookmarkEnd w:id="35"/>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lastRenderedPageBreak/>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has sufficient resources to be a training provider and that —</w:t>
      </w:r>
    </w:p>
    <w:p>
      <w:pPr>
        <w:pStyle w:val="Indenta"/>
      </w:pPr>
      <w:r>
        <w:tab/>
        <w:t>(a)</w:t>
      </w:r>
      <w:r>
        <w:tab/>
        <w:t>the provider complies with the conditions of registration, the registration standards and the AQF; or</w:t>
      </w:r>
    </w:p>
    <w:p>
      <w:pPr>
        <w:pStyle w:val="Indenta"/>
      </w:pPr>
      <w:r>
        <w:tab/>
        <w:t>(b)</w:t>
      </w:r>
      <w:r>
        <w:tab/>
        <w:t>an audit has been conducted on the provider within the previous 3 months and the provider has been found to comply with the conditions of registration, the registration standards and the AQF;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lastRenderedPageBreak/>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Gazette 25 Oct 2011 p. 4509; 17 Dec 2013 p. 6221; 10 Mar 2015 p. 828</w:t>
      </w:r>
      <w:r>
        <w:noBreakHyphen/>
        <w:t>9.]</w:t>
      </w:r>
    </w:p>
    <w:p>
      <w:pPr>
        <w:pStyle w:val="Heading5"/>
      </w:pPr>
      <w:bookmarkStart w:id="36" w:name="_Toc81919898"/>
      <w:r>
        <w:rPr>
          <w:rStyle w:val="CharSectno"/>
        </w:rPr>
        <w:t>13</w:t>
      </w:r>
      <w:r>
        <w:t>.</w:t>
      </w:r>
      <w:r>
        <w:tab/>
        <w:t>Conditions of registration</w:t>
      </w:r>
      <w:bookmarkEnd w:id="36"/>
    </w:p>
    <w:p>
      <w:pPr>
        <w:pStyle w:val="Subsection"/>
        <w:keepNext/>
      </w:pPr>
      <w:r>
        <w:tab/>
        <w:t>(1)</w:t>
      </w:r>
      <w:r>
        <w:tab/>
        <w:t>A WA registered provider’s registration is subject to —</w:t>
      </w:r>
    </w:p>
    <w:p>
      <w:pPr>
        <w:pStyle w:val="Indenta"/>
      </w:pPr>
      <w:r>
        <w:tab/>
        <w:t>(a)</w:t>
      </w:r>
      <w:r>
        <w:tab/>
        <w:t>the registration standards and the AQF;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comply with the registration standards and the AQF;</w:t>
      </w:r>
    </w:p>
    <w:p>
      <w:pPr>
        <w:pStyle w:val="Indenta"/>
      </w:pPr>
      <w:r>
        <w:lastRenderedPageBreak/>
        <w:tab/>
        <w:t>(b)</w:t>
      </w:r>
      <w:r>
        <w:tab/>
        <w:t>the provider must, if an audit or a compliance audit shows the provider does not comply with the registration standards or the AQF, take all steps necessary to comply with them;</w:t>
      </w:r>
    </w:p>
    <w:p>
      <w:pPr>
        <w:pStyle w:val="Indenta"/>
      </w:pPr>
      <w:r>
        <w:tab/>
        <w:t>(c)</w:t>
      </w:r>
      <w:r>
        <w:tab/>
        <w:t>the provider must have sufficient resources to be a training provider;</w:t>
      </w:r>
    </w:p>
    <w:p>
      <w:pPr>
        <w:pStyle w:val="Indenta"/>
      </w:pPr>
      <w:r>
        <w:tab/>
        <w:t>(d)</w:t>
      </w:r>
      <w:r>
        <w:tab/>
        <w:t>the provider must, if an audit or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 or any other event that would significantly affect the provider’s ability to comply with the registration standards, the AQF or the conditions of registration;</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Indenta"/>
      </w:pPr>
      <w:r>
        <w:tab/>
        <w:t>(f)</w:t>
      </w:r>
      <w:r>
        <w:tab/>
        <w:t>the provider must cooperate with the Council at least to the extent necessary for the Council to perform its functions or to facilitate the Council’s performance of its functions.</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lastRenderedPageBreak/>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registration standards.</w:t>
      </w:r>
    </w:p>
    <w:p>
      <w:pPr>
        <w:pStyle w:val="Footnotesection"/>
      </w:pPr>
      <w:r>
        <w:tab/>
        <w:t>[Regulation 13 amended: Gazette 25 Oct 2011 p. 4510; 17 Dec 2013 p. 6222; 10 Mar 2015 p. 829</w:t>
      </w:r>
      <w:r>
        <w:noBreakHyphen/>
        <w:t>30.]</w:t>
      </w:r>
    </w:p>
    <w:p>
      <w:pPr>
        <w:pStyle w:val="Heading5"/>
      </w:pPr>
      <w:bookmarkStart w:id="37" w:name="_Toc81919899"/>
      <w:r>
        <w:rPr>
          <w:rStyle w:val="CharSectno"/>
        </w:rPr>
        <w:t>14</w:t>
      </w:r>
      <w:r>
        <w:t>.</w:t>
      </w:r>
      <w:r>
        <w:tab/>
        <w:t>Period of registration</w:t>
      </w:r>
      <w:bookmarkEnd w:id="37"/>
    </w:p>
    <w:p>
      <w:pPr>
        <w:pStyle w:val="Subsection"/>
      </w:pPr>
      <w:r>
        <w:tab/>
      </w:r>
      <w:r>
        <w:tab/>
        <w:t>Unless it is sooner cancelled by the Council, a WA registered provider’s registration, whether granted initially or renewed, has effect for the period (not over 7 years) set by the Council and specified in the registration document given to the provider.</w:t>
      </w:r>
    </w:p>
    <w:p>
      <w:pPr>
        <w:pStyle w:val="Footnotesection"/>
      </w:pPr>
      <w:r>
        <w:tab/>
        <w:t>[Regulation 14 amended: Gazette 10 Mar 2015 p. 830; 28 Aug 2015 p. 3599.]</w:t>
      </w:r>
    </w:p>
    <w:p>
      <w:pPr>
        <w:pStyle w:val="Heading5"/>
      </w:pPr>
      <w:bookmarkStart w:id="38" w:name="_Toc81919900"/>
      <w:r>
        <w:rPr>
          <w:rStyle w:val="CharSectno"/>
        </w:rPr>
        <w:t>15</w:t>
      </w:r>
      <w:r>
        <w:t>.</w:t>
      </w:r>
      <w:r>
        <w:tab/>
        <w:t>Annual fees payable by registered training providers</w:t>
      </w:r>
      <w:bookmarkEnd w:id="38"/>
    </w:p>
    <w:p>
      <w:pPr>
        <w:pStyle w:val="Subsection"/>
      </w:pPr>
      <w:r>
        <w:tab/>
      </w:r>
      <w:r>
        <w:tab/>
        <w:t>A WA registered provider must pay an annual fee set under regulation 23 on or before each anniversary of the provider’s registration or its renewal.</w:t>
      </w:r>
    </w:p>
    <w:p>
      <w:pPr>
        <w:pStyle w:val="Heading5"/>
      </w:pPr>
      <w:bookmarkStart w:id="39" w:name="_Toc81919901"/>
      <w:r>
        <w:rPr>
          <w:rStyle w:val="CharSectno"/>
        </w:rPr>
        <w:t>16</w:t>
      </w:r>
      <w:r>
        <w:t>.</w:t>
      </w:r>
      <w:r>
        <w:tab/>
        <w:t>Renewal of registration</w:t>
      </w:r>
      <w:bookmarkEnd w:id="39"/>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lastRenderedPageBreak/>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complies with the registration standards and the AQF;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registration document.</w:t>
      </w:r>
    </w:p>
    <w:p>
      <w:pPr>
        <w:pStyle w:val="Footnotesection"/>
      </w:pPr>
      <w:r>
        <w:tab/>
        <w:t>[Regulation 16 amended: Gazette 25 Oct 2011 p. 4510; 17 Dec 2013 p. 6222; 10 Mar 2015 p. 830.]</w:t>
      </w:r>
    </w:p>
    <w:p>
      <w:pPr>
        <w:pStyle w:val="Heading5"/>
        <w:pageBreakBefore/>
        <w:spacing w:before="0"/>
      </w:pPr>
      <w:bookmarkStart w:id="40" w:name="_Toc81919902"/>
      <w:r>
        <w:rPr>
          <w:rStyle w:val="CharSectno"/>
        </w:rPr>
        <w:lastRenderedPageBreak/>
        <w:t>17</w:t>
      </w:r>
      <w:r>
        <w:t>.</w:t>
      </w:r>
      <w:r>
        <w:tab/>
        <w:t>Varying registration</w:t>
      </w:r>
      <w:bookmarkEnd w:id="40"/>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the provider complies with the registration standards and the AQF; or</w:t>
      </w:r>
    </w:p>
    <w:p>
      <w:pPr>
        <w:pStyle w:val="Indenta"/>
        <w:keepNext/>
      </w:pPr>
      <w:r>
        <w:lastRenderedPageBreak/>
        <w:tab/>
        <w:t>(b)</w:t>
      </w:r>
      <w:r>
        <w:tab/>
        <w:t>an audit or a compliance audit has been conducted on the provider within the previous 3 months and the provider has been found to comply with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Gazette 25 Oct 2011 p. 4510; 17 Dec 2013 p. 6222; 10 Mar 2015 p. 830.]</w:t>
      </w:r>
    </w:p>
    <w:p>
      <w:pPr>
        <w:pStyle w:val="Heading5"/>
      </w:pPr>
      <w:bookmarkStart w:id="41" w:name="_Toc81919903"/>
      <w:r>
        <w:rPr>
          <w:rStyle w:val="CharSectno"/>
        </w:rPr>
        <w:t>18</w:t>
      </w:r>
      <w:r>
        <w:t>.</w:t>
      </w:r>
      <w:r>
        <w:tab/>
        <w:t>Cancelling registration if provider’s operations change</w:t>
      </w:r>
      <w:bookmarkEnd w:id="41"/>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Gazette 17 Dec 2013 p.</w:t>
      </w:r>
      <w:r>
        <w:rPr>
          <w:sz w:val="19"/>
        </w:rPr>
        <w:t> </w:t>
      </w:r>
      <w:r>
        <w:t>6222.]</w:t>
      </w:r>
    </w:p>
    <w:p>
      <w:pPr>
        <w:pStyle w:val="Heading5"/>
        <w:pageBreakBefore/>
        <w:spacing w:before="0"/>
      </w:pPr>
      <w:bookmarkStart w:id="42" w:name="_Toc81919904"/>
      <w:r>
        <w:rPr>
          <w:rStyle w:val="CharSectno"/>
        </w:rPr>
        <w:lastRenderedPageBreak/>
        <w:t>19</w:t>
      </w:r>
      <w:r>
        <w:t>.</w:t>
      </w:r>
      <w:r>
        <w:tab/>
        <w:t>Suspending or cancelling registration</w:t>
      </w:r>
      <w:bookmarkEnd w:id="42"/>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comply with the registration standards or the AQF;</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lastRenderedPageBreak/>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Footnotesection"/>
      </w:pPr>
      <w:r>
        <w:tab/>
        <w:t>[Regulation 19 amended: Gazette 25 Oct 2011 p. 4510; 17 Dec 2013 p. 6223; 15 Jul 2014 p. 2463; 10 Mar 2015 p. 831.]</w:t>
      </w:r>
    </w:p>
    <w:p>
      <w:pPr>
        <w:pStyle w:val="Heading5"/>
      </w:pPr>
      <w:bookmarkStart w:id="43" w:name="_Toc81919905"/>
      <w:r>
        <w:rPr>
          <w:rStyle w:val="CharSectno"/>
        </w:rPr>
        <w:t>20</w:t>
      </w:r>
      <w:r>
        <w:t>.</w:t>
      </w:r>
      <w:r>
        <w:tab/>
        <w:t>Suspension of WA registered provider may be on terms</w:t>
      </w:r>
      <w:bookmarkEnd w:id="43"/>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lastRenderedPageBreak/>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44" w:name="_Toc81919906"/>
      <w:r>
        <w:rPr>
          <w:rStyle w:val="CharSectno"/>
        </w:rPr>
        <w:t>21</w:t>
      </w:r>
      <w:r>
        <w:t>.</w:t>
      </w:r>
      <w:r>
        <w:tab/>
        <w:t>Effect of suspension of WA registered provider</w:t>
      </w:r>
      <w:bookmarkEnd w:id="44"/>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45" w:name="_Toc81919907"/>
      <w:r>
        <w:rPr>
          <w:rStyle w:val="CharSectno"/>
        </w:rPr>
        <w:t>22</w:t>
      </w:r>
      <w:r>
        <w:t>.</w:t>
      </w:r>
      <w:r>
        <w:tab/>
        <w:t>Requests for reassessment of decision to suspend WA registered provider</w:t>
      </w:r>
      <w:bookmarkEnd w:id="45"/>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lastRenderedPageBreak/>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Gazette 17 Dec 2013 p.</w:t>
      </w:r>
      <w:r>
        <w:rPr>
          <w:sz w:val="19"/>
        </w:rPr>
        <w:t> </w:t>
      </w:r>
      <w:r>
        <w:t>6223</w:t>
      </w:r>
      <w:r>
        <w:noBreakHyphen/>
        <w:t>4.]</w:t>
      </w:r>
    </w:p>
    <w:p>
      <w:pPr>
        <w:pStyle w:val="Heading5"/>
        <w:spacing w:before="180"/>
      </w:pPr>
      <w:bookmarkStart w:id="46" w:name="_Toc81919908"/>
      <w:r>
        <w:rPr>
          <w:rStyle w:val="CharSectno"/>
        </w:rPr>
        <w:t>23</w:t>
      </w:r>
      <w:r>
        <w:t>.</w:t>
      </w:r>
      <w:r>
        <w:tab/>
        <w:t>Fees</w:t>
      </w:r>
      <w:bookmarkEnd w:id="46"/>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rPr>
          <w:rStyle w:val="CharDivText"/>
        </w:rPr>
      </w:pPr>
      <w:bookmarkStart w:id="47" w:name="_Toc81912988"/>
      <w:bookmarkStart w:id="48" w:name="_Toc81916801"/>
      <w:bookmarkStart w:id="49" w:name="_Toc81916961"/>
      <w:bookmarkStart w:id="50" w:name="_Toc81919909"/>
      <w:r>
        <w:rPr>
          <w:rStyle w:val="CharDivNo"/>
        </w:rPr>
        <w:t>Division 3</w:t>
      </w:r>
      <w:r>
        <w:t> — </w:t>
      </w:r>
      <w:r>
        <w:rPr>
          <w:rStyle w:val="CharDivText"/>
        </w:rPr>
        <w:t>Audits of, and investigations into, training providers</w:t>
      </w:r>
      <w:bookmarkEnd w:id="47"/>
      <w:bookmarkEnd w:id="48"/>
      <w:bookmarkEnd w:id="49"/>
      <w:bookmarkEnd w:id="50"/>
    </w:p>
    <w:p>
      <w:pPr>
        <w:pStyle w:val="Footnoteheading"/>
      </w:pPr>
      <w:r>
        <w:tab/>
        <w:t>[Heading amended: Gazette 17 Dec 2013 p. 6224.]</w:t>
      </w:r>
    </w:p>
    <w:p>
      <w:pPr>
        <w:pStyle w:val="Heading5"/>
      </w:pPr>
      <w:bookmarkStart w:id="51" w:name="_Toc81919910"/>
      <w:r>
        <w:rPr>
          <w:rStyle w:val="CharSectno"/>
        </w:rPr>
        <w:t>24</w:t>
      </w:r>
      <w:r>
        <w:t>.</w:t>
      </w:r>
      <w:r>
        <w:tab/>
        <w:t>Terms used</w:t>
      </w:r>
      <w:bookmarkEnd w:id="51"/>
    </w:p>
    <w:p>
      <w:pPr>
        <w:pStyle w:val="Subsection"/>
      </w:pPr>
      <w:r>
        <w:tab/>
      </w:r>
      <w:r>
        <w:tab/>
        <w:t>In this Division —</w:t>
      </w:r>
    </w:p>
    <w:p>
      <w:pPr>
        <w:pStyle w:val="Defstart"/>
      </w:pPr>
      <w:r>
        <w:tab/>
      </w:r>
      <w:r>
        <w:rPr>
          <w:rStyle w:val="CharDefText"/>
        </w:rPr>
        <w:t>audit</w:t>
      </w:r>
      <w:r>
        <w:t xml:space="preserve"> means an audit to establish whether a training provider complies with the registration standards or is complying with the Act;</w:t>
      </w:r>
    </w:p>
    <w:p>
      <w:pPr>
        <w:pStyle w:val="Defstart"/>
      </w:pPr>
      <w:r>
        <w:rPr>
          <w:b/>
          <w:i/>
        </w:rPr>
        <w:lastRenderedPageBreak/>
        <w:tab/>
      </w:r>
      <w:r>
        <w:rPr>
          <w:rStyle w:val="CharDefText"/>
        </w:rPr>
        <w:t>compliance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an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registration standards, the AQF, the conditions of registration or the accreditation standards;</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Gazette 17 Dec 2013 p.</w:t>
      </w:r>
      <w:r>
        <w:rPr>
          <w:sz w:val="19"/>
        </w:rPr>
        <w:t> </w:t>
      </w:r>
      <w:r>
        <w:t>6224; amended: Gazette 10 Mar 2015 p. 831.]</w:t>
      </w:r>
    </w:p>
    <w:p>
      <w:pPr>
        <w:pStyle w:val="Heading5"/>
      </w:pPr>
      <w:bookmarkStart w:id="52" w:name="_Toc81919911"/>
      <w:r>
        <w:rPr>
          <w:rStyle w:val="CharSectno"/>
        </w:rPr>
        <w:t>25</w:t>
      </w:r>
      <w:r>
        <w:t>.</w:t>
      </w:r>
      <w:r>
        <w:tab/>
        <w:t>Audits</w:t>
      </w:r>
      <w:bookmarkEnd w:id="52"/>
    </w:p>
    <w:p>
      <w:pPr>
        <w:pStyle w:val="Subsection"/>
      </w:pPr>
      <w:r>
        <w:tab/>
        <w:t>(1)</w:t>
      </w:r>
      <w:r>
        <w:tab/>
        <w:t>An inquiry conducted under section 58D of the Act may be in the form of an audit.</w:t>
      </w:r>
    </w:p>
    <w:p>
      <w:pPr>
        <w:pStyle w:val="Subsection"/>
      </w:pPr>
      <w:r>
        <w:tab/>
        <w:t>(2A)</w:t>
      </w:r>
      <w:r>
        <w:tab/>
        <w:t>The Council may conduct an audit at any time on a training provider if the Council thinks fit having regard to the Act and the relevant registration requirements.</w:t>
      </w:r>
    </w:p>
    <w:p>
      <w:pPr>
        <w:pStyle w:val="Subsection"/>
      </w:pPr>
      <w:r>
        <w:tab/>
        <w:t>(2B)</w:t>
      </w:r>
      <w:r>
        <w:tab/>
        <w:t>A training provider must cooperate with the Council in its conduct of an audit and provide any relevant information that the Council requests.</w:t>
      </w:r>
    </w:p>
    <w:p>
      <w:pPr>
        <w:pStyle w:val="Subsection"/>
      </w:pPr>
      <w:r>
        <w:tab/>
        <w:t>(2)</w:t>
      </w:r>
      <w:r>
        <w:tab/>
        <w:t>An audit must comply with the Standards for VET Regulators to the extent that they relate to audits.</w:t>
      </w:r>
    </w:p>
    <w:p>
      <w:pPr>
        <w:pStyle w:val="Subsection"/>
      </w:pPr>
      <w:r>
        <w:tab/>
        <w:t>(3)</w:t>
      </w:r>
      <w:r>
        <w:tab/>
        <w:t>A contravention of subregulation (2) does not affect the validity of the audit if the contravention —</w:t>
      </w:r>
    </w:p>
    <w:p>
      <w:pPr>
        <w:pStyle w:val="Indenta"/>
      </w:pPr>
      <w:r>
        <w:tab/>
        <w:t>(a)</w:t>
      </w:r>
      <w:r>
        <w:tab/>
        <w:t>does not substantially affect the outcome of the audit; or</w:t>
      </w:r>
    </w:p>
    <w:p>
      <w:pPr>
        <w:pStyle w:val="Indenta"/>
      </w:pPr>
      <w:r>
        <w:lastRenderedPageBreak/>
        <w:tab/>
        <w:t>(b)</w:t>
      </w:r>
      <w:r>
        <w:tab/>
        <w:t>arises out of an inconsistency between the Standards for VET Regulators and written laws.</w:t>
      </w:r>
    </w:p>
    <w:p>
      <w:pPr>
        <w:pStyle w:val="Footnotesection"/>
      </w:pPr>
      <w:r>
        <w:tab/>
        <w:t>[Regulation 25 amended: Gazette 17 Dec 2013 p.</w:t>
      </w:r>
      <w:r>
        <w:rPr>
          <w:sz w:val="19"/>
        </w:rPr>
        <w:t> </w:t>
      </w:r>
      <w:r>
        <w:t>6225; 10 Mar 2015 p. 831</w:t>
      </w:r>
      <w:r>
        <w:noBreakHyphen/>
        <w:t>2.]</w:t>
      </w:r>
    </w:p>
    <w:p>
      <w:pPr>
        <w:pStyle w:val="Heading5"/>
      </w:pPr>
      <w:bookmarkStart w:id="53" w:name="_Toc81919912"/>
      <w:r>
        <w:rPr>
          <w:rStyle w:val="CharSectno"/>
        </w:rPr>
        <w:t>26A</w:t>
      </w:r>
      <w:r>
        <w:t>.</w:t>
      </w:r>
      <w:r>
        <w:tab/>
        <w:t>Compliance audits</w:t>
      </w:r>
      <w:bookmarkEnd w:id="53"/>
    </w:p>
    <w:p>
      <w:pPr>
        <w:pStyle w:val="Subsection"/>
      </w:pPr>
      <w:r>
        <w:tab/>
        <w:t>(1)</w:t>
      </w:r>
      <w:r>
        <w:tab/>
        <w:t>An inquiry conducted under section 58D of the Act may be in the form of a compliance audit on a WA registered provider.</w:t>
      </w:r>
    </w:p>
    <w:p>
      <w:pPr>
        <w:pStyle w:val="Subsection"/>
      </w:pPr>
      <w:r>
        <w:tab/>
        <w:t>(2)</w:t>
      </w:r>
      <w:r>
        <w:tab/>
        <w:t xml:space="preserve">The Council may conduct a compliance audit on a WA registered provider — </w:t>
      </w:r>
    </w:p>
    <w:p>
      <w:pPr>
        <w:pStyle w:val="Indenta"/>
      </w:pPr>
      <w:r>
        <w:tab/>
        <w:t>(a)</w:t>
      </w:r>
      <w:r>
        <w:tab/>
        <w:t>if the Council thinks fit after assessing the results of an audit; or</w:t>
      </w:r>
    </w:p>
    <w:p>
      <w:pPr>
        <w:pStyle w:val="Indenta"/>
      </w:pPr>
      <w:r>
        <w:tab/>
        <w:t>(b)</w:t>
      </w:r>
      <w:r>
        <w:tab/>
        <w:t>as part of an investigation of a complaint.</w:t>
      </w:r>
    </w:p>
    <w:p>
      <w:pPr>
        <w:pStyle w:val="Subsection"/>
      </w:pPr>
      <w:r>
        <w:tab/>
        <w:t>(3A)</w:t>
      </w:r>
      <w:r>
        <w:tab/>
        <w:t>A WA registered provider must cooperate with the Council in its conduct of a compliance audit and provide any relevant information that the Council requests.</w:t>
      </w:r>
    </w:p>
    <w:p>
      <w:pPr>
        <w:pStyle w:val="Subsection"/>
      </w:pPr>
      <w:r>
        <w:tab/>
        <w:t>(3B)</w:t>
      </w:r>
      <w:r>
        <w:tab/>
        <w:t>A compliance audit must comply with the Standards for VET Regulators to the extent that they relate to compliance audits.</w:t>
      </w:r>
    </w:p>
    <w:p>
      <w:pPr>
        <w:pStyle w:val="Subsection"/>
      </w:pPr>
      <w:r>
        <w:tab/>
        <w:t>(3C)</w:t>
      </w:r>
      <w:r>
        <w:tab/>
        <w:t xml:space="preserve">A contravention of subregulation (3B) does not affect the validity of the compliance audit if the contravention — </w:t>
      </w:r>
    </w:p>
    <w:p>
      <w:pPr>
        <w:pStyle w:val="Indenta"/>
      </w:pPr>
      <w:r>
        <w:tab/>
        <w:t>(a)</w:t>
      </w:r>
      <w:r>
        <w:tab/>
        <w:t>does not substantially affect the outcome of the compliance audit; or</w:t>
      </w:r>
    </w:p>
    <w:p>
      <w:pPr>
        <w:pStyle w:val="Indenta"/>
      </w:pPr>
      <w:r>
        <w:tab/>
        <w:t>(b)</w:t>
      </w:r>
      <w:r>
        <w:tab/>
        <w:t>arises out of an inconsistency between the Standards for VET Regulators and written laws.</w:t>
      </w:r>
    </w:p>
    <w:p>
      <w:pPr>
        <w:pStyle w:val="Subsection"/>
      </w:pPr>
      <w:r>
        <w:tab/>
        <w:t>(3)</w:t>
      </w:r>
      <w:r>
        <w:tab/>
        <w:t xml:space="preserve">If the Council conducts a compliance audit on a WA registered provider, a charge is payable for — </w:t>
      </w:r>
    </w:p>
    <w:p>
      <w:pPr>
        <w:pStyle w:val="Indenta"/>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lastRenderedPageBreak/>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Gazette 17 Dec 2013 p.</w:t>
      </w:r>
      <w:r>
        <w:rPr>
          <w:sz w:val="19"/>
        </w:rPr>
        <w:t> </w:t>
      </w:r>
      <w:r>
        <w:t>6225</w:t>
      </w:r>
      <w:r>
        <w:noBreakHyphen/>
        <w:t>6; amended: Gazette 10 Mar 2015 p. 832.]</w:t>
      </w:r>
    </w:p>
    <w:p>
      <w:pPr>
        <w:pStyle w:val="Heading5"/>
      </w:pPr>
      <w:bookmarkStart w:id="54" w:name="_Toc81919913"/>
      <w:r>
        <w:rPr>
          <w:rStyle w:val="CharSectno"/>
        </w:rPr>
        <w:t>26B</w:t>
      </w:r>
      <w:r>
        <w:t>.</w:t>
      </w:r>
      <w:r>
        <w:tab/>
        <w:t>Investigations of complaints</w:t>
      </w:r>
      <w:bookmarkEnd w:id="54"/>
    </w:p>
    <w:p>
      <w:pPr>
        <w:pStyle w:val="Subsection"/>
      </w:pPr>
      <w:r>
        <w:tab/>
        <w:t>(1)</w:t>
      </w:r>
      <w:r>
        <w:tab/>
        <w:t>An inquiry conducted under section 58D of the Act may be in the form of an investigation of a complaint made about compliance by a WA registered provider with the registration standards, the AQF, the conditions of registration or the accreditation standards.</w:t>
      </w:r>
    </w:p>
    <w:p>
      <w:pPr>
        <w:pStyle w:val="Subsection"/>
      </w:pPr>
      <w:r>
        <w:tab/>
        <w:t>(2A)</w:t>
      </w:r>
      <w:r>
        <w:tab/>
        <w:t>A WA registered provider must cooperate with the Council in its conduct of an investigation and provide any relevant information that the Council requests.</w:t>
      </w:r>
    </w:p>
    <w:p>
      <w:pPr>
        <w:pStyle w:val="Subsection"/>
      </w:pPr>
      <w:r>
        <w:tab/>
        <w:t>(2)</w:t>
      </w:r>
      <w:r>
        <w:tab/>
        <w:t>The investigation of a complaint must comply with the Standards for VET Regulators to the extent that they relate to investigations of complaints.</w:t>
      </w:r>
    </w:p>
    <w:p>
      <w:pPr>
        <w:pStyle w:val="Subsection"/>
      </w:pPr>
      <w:r>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lastRenderedPageBreak/>
        <w:tab/>
        <w:t>(b)</w:t>
      </w:r>
      <w:r>
        <w:tab/>
        <w:t>arises out of an inconsistency between the Standards for VET Regulators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audit is conducted as part of the investigation — the charges prescribed under regulation 26A(3)(a); and</w:t>
      </w:r>
    </w:p>
    <w:p>
      <w:pPr>
        <w:pStyle w:val="Indenta"/>
      </w:pPr>
      <w:r>
        <w:tab/>
        <w:t>(c)</w:t>
      </w:r>
      <w:r>
        <w:tab/>
        <w:t>if any part of the investigation, or compliance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Gazette 17 Dec 2013 p.</w:t>
      </w:r>
      <w:r>
        <w:rPr>
          <w:sz w:val="19"/>
        </w:rPr>
        <w:t> </w:t>
      </w:r>
      <w:r>
        <w:t>6226; amended: Gazette 10 Mar 2015 p. 832</w:t>
      </w:r>
      <w:r>
        <w:noBreakHyphen/>
        <w:t>3.]</w:t>
      </w:r>
    </w:p>
    <w:p>
      <w:pPr>
        <w:pStyle w:val="Heading5"/>
        <w:pageBreakBefore/>
        <w:spacing w:before="0"/>
      </w:pPr>
      <w:bookmarkStart w:id="55" w:name="_Toc81919914"/>
      <w:r>
        <w:rPr>
          <w:rStyle w:val="CharSectno"/>
        </w:rPr>
        <w:lastRenderedPageBreak/>
        <w:t>26C</w:t>
      </w:r>
      <w:r>
        <w:t>.</w:t>
      </w:r>
      <w:r>
        <w:tab/>
        <w:t>Circumstances in which a charge may be waived in whole or in part</w:t>
      </w:r>
      <w:bookmarkEnd w:id="55"/>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audit or investigation that resulted in the imposition of a charge;</w:t>
      </w:r>
    </w:p>
    <w:p>
      <w:pPr>
        <w:pStyle w:val="Indenta"/>
      </w:pPr>
      <w:r>
        <w:tab/>
        <w:t>(b)</w:t>
      </w:r>
      <w:r>
        <w:tab/>
        <w:t>where the WA registered provider required to pay the charge does not agree with the outcome of the compliance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Gazette 17 Dec 2013 p.</w:t>
      </w:r>
      <w:r>
        <w:rPr>
          <w:sz w:val="19"/>
        </w:rPr>
        <w:t> </w:t>
      </w:r>
      <w:r>
        <w:t>6227; amended: Gazette 10 Mar 2015 p. 833.]</w:t>
      </w:r>
    </w:p>
    <w:p>
      <w:pPr>
        <w:pStyle w:val="Heading5"/>
        <w:pageBreakBefore/>
        <w:spacing w:before="0"/>
      </w:pPr>
      <w:bookmarkStart w:id="56" w:name="_Toc81919915"/>
      <w:r>
        <w:rPr>
          <w:rStyle w:val="CharSectno"/>
        </w:rPr>
        <w:lastRenderedPageBreak/>
        <w:t>26D</w:t>
      </w:r>
      <w:r>
        <w:t>.</w:t>
      </w:r>
      <w:r>
        <w:tab/>
        <w:t>Rounding</w:t>
      </w:r>
      <w:bookmarkEnd w:id="56"/>
    </w:p>
    <w:p>
      <w:pPr>
        <w:pStyle w:val="Subsection"/>
      </w:pPr>
      <w:r>
        <w:tab/>
      </w:r>
      <w:r>
        <w:tab/>
        <w:t xml:space="preserve">When determining under regulations 26A(3)(a)(ii) and 26B(4)(a)(i) the amount of the charge payable for a compliance audit or investigation where the hourly rate is $250 per hour, the following amounts will apply in the following circumstances — </w:t>
      </w:r>
    </w:p>
    <w:p>
      <w:pPr>
        <w:pStyle w:val="Indenta"/>
      </w:pPr>
      <w:r>
        <w:tab/>
        <w:t>(a)</w:t>
      </w:r>
      <w:r>
        <w:tab/>
        <w:t>if the time taken to complete the compliance audit or an investigation is less than 30 minutes, the total amount payable will be zero dollars;</w:t>
      </w:r>
    </w:p>
    <w:p>
      <w:pPr>
        <w:pStyle w:val="Indenta"/>
      </w:pPr>
      <w:r>
        <w:tab/>
        <w:t>(b)</w:t>
      </w:r>
      <w:r>
        <w:tab/>
        <w:t>if the time taken to complete the compliance audit or investigation is less than one hour but equal to or greater than 30 minutes, the total amount payable will be $125.</w:t>
      </w:r>
    </w:p>
    <w:p>
      <w:pPr>
        <w:pStyle w:val="Footnotesection"/>
      </w:pPr>
      <w:r>
        <w:tab/>
        <w:t>[Regulation 26D inserted: Gazette 17 Dec 2013 p.</w:t>
      </w:r>
      <w:r>
        <w:rPr>
          <w:sz w:val="19"/>
        </w:rPr>
        <w:t> </w:t>
      </w:r>
      <w:r>
        <w:t>6227; amended: Gazette 10 Mar 2015 p. 833.]</w:t>
      </w:r>
    </w:p>
    <w:p>
      <w:pPr>
        <w:pStyle w:val="Heading3"/>
        <w:keepLines/>
      </w:pPr>
      <w:bookmarkStart w:id="57" w:name="_Toc81912995"/>
      <w:bookmarkStart w:id="58" w:name="_Toc81916808"/>
      <w:bookmarkStart w:id="59" w:name="_Toc81916968"/>
      <w:bookmarkStart w:id="60" w:name="_Toc81919916"/>
      <w:r>
        <w:rPr>
          <w:rStyle w:val="CharDivNo"/>
        </w:rPr>
        <w:t>Division 4</w:t>
      </w:r>
      <w:r>
        <w:t> — </w:t>
      </w:r>
      <w:r>
        <w:rPr>
          <w:rStyle w:val="CharDivText"/>
        </w:rPr>
        <w:t>Obligations of registered training providers and of the Council</w:t>
      </w:r>
      <w:bookmarkEnd w:id="57"/>
      <w:bookmarkEnd w:id="58"/>
      <w:bookmarkEnd w:id="59"/>
      <w:bookmarkEnd w:id="60"/>
    </w:p>
    <w:p>
      <w:pPr>
        <w:pStyle w:val="Footnoteheading"/>
      </w:pPr>
      <w:r>
        <w:tab/>
        <w:t>[Heading amended: Gazette 17 Dec 2013 p. 6228.]</w:t>
      </w:r>
    </w:p>
    <w:p>
      <w:pPr>
        <w:pStyle w:val="Heading5"/>
      </w:pPr>
      <w:bookmarkStart w:id="61" w:name="_Toc81919917"/>
      <w:r>
        <w:rPr>
          <w:rStyle w:val="CharSectno"/>
        </w:rPr>
        <w:t>26</w:t>
      </w:r>
      <w:r>
        <w:t>.</w:t>
      </w:r>
      <w:r>
        <w:tab/>
        <w:t>Reporting to Council</w:t>
      </w:r>
      <w:bookmarkEnd w:id="61"/>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lastRenderedPageBreak/>
        <w:tab/>
        <w:t>(3A)</w:t>
      </w:r>
      <w:r>
        <w:tab/>
        <w:t>Subregulation (2) does not apply if the Council considers that special circumstances exist that warrant the Council giving a WA registered provider a notice under this regulation.</w:t>
      </w:r>
    </w:p>
    <w:p>
      <w:pPr>
        <w:pStyle w:val="Subsection"/>
        <w:spacing w:before="180"/>
      </w:pPr>
      <w:r>
        <w:tab/>
        <w:t>(3)</w:t>
      </w:r>
      <w:r>
        <w:tab/>
        <w:t>A return must be in a form required by the Council and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Indenta"/>
        <w:keepNext/>
      </w:pPr>
      <w:r>
        <w:tab/>
        <w:t>(e)</w:t>
      </w:r>
      <w:r>
        <w:tab/>
        <w:t xml:space="preserve">any other information — </w:t>
      </w:r>
    </w:p>
    <w:p>
      <w:pPr>
        <w:pStyle w:val="Indenti"/>
      </w:pPr>
      <w:r>
        <w:tab/>
        <w:t>(i)</w:t>
      </w:r>
      <w:r>
        <w:tab/>
        <w:t>referred to in the Data Provision Requirements made under the Commonwealth Act section 187; and</w:t>
      </w:r>
    </w:p>
    <w:p>
      <w:pPr>
        <w:pStyle w:val="Indenti"/>
      </w:pPr>
      <w:r>
        <w:tab/>
        <w:t>(ii)</w:t>
      </w:r>
      <w:r>
        <w:tab/>
        <w:t>required by the Council.</w:t>
      </w:r>
    </w:p>
    <w:p>
      <w:pPr>
        <w:pStyle w:val="Subsection"/>
        <w:keepNext/>
      </w:pPr>
      <w:r>
        <w:tab/>
        <w:t>(4)</w:t>
      </w:r>
      <w:r>
        <w:tab/>
        <w:t>A WA registered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Gazette 16 Mar 2012 p. 1248; 10 Mar 2015 p. 833.]</w:t>
      </w:r>
    </w:p>
    <w:p>
      <w:pPr>
        <w:pStyle w:val="Heading5"/>
      </w:pPr>
      <w:bookmarkStart w:id="62" w:name="_Toc81919918"/>
      <w:r>
        <w:rPr>
          <w:rStyle w:val="CharSectno"/>
        </w:rPr>
        <w:t>27</w:t>
      </w:r>
      <w:r>
        <w:t>.</w:t>
      </w:r>
      <w:r>
        <w:tab/>
        <w:t>Giving Council information on ceasing operations</w:t>
      </w:r>
      <w:bookmarkEnd w:id="62"/>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lastRenderedPageBreak/>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registration standards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Gazette 25 Oct 2011 p. 4511; 10 Mar 2015 p. 834.]</w:t>
      </w:r>
    </w:p>
    <w:p>
      <w:pPr>
        <w:pStyle w:val="Heading5"/>
      </w:pPr>
      <w:bookmarkStart w:id="63" w:name="_Toc81919919"/>
      <w:r>
        <w:rPr>
          <w:rStyle w:val="CharSectno"/>
        </w:rPr>
        <w:t>28A</w:t>
      </w:r>
      <w:r>
        <w:t>.</w:t>
      </w:r>
      <w:r>
        <w:tab/>
        <w:t>Person may obtain from Council certified copies of information</w:t>
      </w:r>
      <w:bookmarkEnd w:id="63"/>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lastRenderedPageBreak/>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Gazette 17 Dec 2013 p.</w:t>
      </w:r>
      <w:r>
        <w:rPr>
          <w:sz w:val="19"/>
        </w:rPr>
        <w:t> </w:t>
      </w:r>
      <w:r>
        <w:t>6228.]</w:t>
      </w:r>
    </w:p>
    <w:p>
      <w:pPr>
        <w:pStyle w:val="Heading3"/>
      </w:pPr>
      <w:bookmarkStart w:id="64" w:name="_Toc81912999"/>
      <w:bookmarkStart w:id="65" w:name="_Toc81916812"/>
      <w:bookmarkStart w:id="66" w:name="_Toc81916972"/>
      <w:bookmarkStart w:id="67" w:name="_Toc81919920"/>
      <w:r>
        <w:rPr>
          <w:rStyle w:val="CharDivNo"/>
        </w:rPr>
        <w:t>Division 5</w:t>
      </w:r>
      <w:r>
        <w:t> — </w:t>
      </w:r>
      <w:r>
        <w:rPr>
          <w:rStyle w:val="CharDivText"/>
        </w:rPr>
        <w:t>Accreditation of VET courses</w:t>
      </w:r>
      <w:bookmarkEnd w:id="64"/>
      <w:bookmarkEnd w:id="65"/>
      <w:bookmarkEnd w:id="66"/>
      <w:bookmarkEnd w:id="67"/>
    </w:p>
    <w:p>
      <w:pPr>
        <w:pStyle w:val="Heading5"/>
      </w:pPr>
      <w:bookmarkStart w:id="68" w:name="_Toc81919921"/>
      <w:r>
        <w:rPr>
          <w:rStyle w:val="CharSectno"/>
        </w:rPr>
        <w:t>28</w:t>
      </w:r>
      <w:r>
        <w:t>.</w:t>
      </w:r>
      <w:r>
        <w:tab/>
        <w:t>Applying to have VET course accredited</w:t>
      </w:r>
      <w:bookmarkEnd w:id="68"/>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 Gazette 25 Oct 2011 p. 4512; 21 Aug 2012 p. 3927; 17 Dec 2013 p. 6228; 15 Jul 2014 p. 2464.]</w:t>
      </w:r>
    </w:p>
    <w:p>
      <w:pPr>
        <w:pStyle w:val="Heading5"/>
      </w:pPr>
      <w:bookmarkStart w:id="69" w:name="_Toc81919922"/>
      <w:r>
        <w:rPr>
          <w:rStyle w:val="CharSectno"/>
        </w:rPr>
        <w:t>29</w:t>
      </w:r>
      <w:r>
        <w:t>.</w:t>
      </w:r>
      <w:r>
        <w:tab/>
        <w:t>Dealing with applications</w:t>
      </w:r>
      <w:bookmarkEnd w:id="69"/>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lastRenderedPageBreak/>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70" w:name="_Toc81919923"/>
      <w:r>
        <w:rPr>
          <w:rStyle w:val="CharSectno"/>
        </w:rPr>
        <w:t>30</w:t>
      </w:r>
      <w:r>
        <w:t>.</w:t>
      </w:r>
      <w:r>
        <w:tab/>
        <w:t>Accrediting VET courses</w:t>
      </w:r>
      <w:bookmarkEnd w:id="70"/>
    </w:p>
    <w:p>
      <w:pPr>
        <w:pStyle w:val="Subsection"/>
        <w:keepNext/>
      </w:pPr>
      <w:r>
        <w:tab/>
        <w:t>(1)</w:t>
      </w:r>
      <w:r>
        <w:tab/>
        <w:t xml:space="preserve">The Council must not accredit a VET course unless — </w:t>
      </w:r>
    </w:p>
    <w:p>
      <w:pPr>
        <w:pStyle w:val="Indenta"/>
      </w:pPr>
      <w:r>
        <w:tab/>
        <w:t>(a)</w:t>
      </w:r>
      <w:r>
        <w:tab/>
        <w:t>it has assessed the VET course in accordance with the accreditation standards;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accreditation standards;</w:t>
      </w:r>
    </w:p>
    <w:p>
      <w:pPr>
        <w:pStyle w:val="Indenta"/>
      </w:pPr>
      <w:r>
        <w:tab/>
        <w:t>(c)</w:t>
      </w:r>
      <w:r>
        <w:tab/>
        <w:t>give that person written notice of any condition to which the accreditation is subject.</w:t>
      </w:r>
    </w:p>
    <w:p>
      <w:pPr>
        <w:pStyle w:val="Footnotesection"/>
      </w:pPr>
      <w:r>
        <w:tab/>
        <w:t>[Regulation 30 amended: Gazette 17 Dec 2013 p.</w:t>
      </w:r>
      <w:r>
        <w:rPr>
          <w:sz w:val="19"/>
        </w:rPr>
        <w:t> </w:t>
      </w:r>
      <w:r>
        <w:t>6228</w:t>
      </w:r>
      <w:r>
        <w:noBreakHyphen/>
        <w:t>9; 10 Mar 2015 p. 834.]</w:t>
      </w:r>
    </w:p>
    <w:p>
      <w:pPr>
        <w:pStyle w:val="Heading5"/>
        <w:pageBreakBefore/>
        <w:spacing w:before="0"/>
      </w:pPr>
      <w:bookmarkStart w:id="71" w:name="_Toc81919924"/>
      <w:r>
        <w:rPr>
          <w:rStyle w:val="CharSectno"/>
        </w:rPr>
        <w:lastRenderedPageBreak/>
        <w:t>31</w:t>
      </w:r>
      <w:r>
        <w:t>.</w:t>
      </w:r>
      <w:r>
        <w:tab/>
        <w:t>Period of accreditation</w:t>
      </w:r>
      <w:bookmarkEnd w:id="71"/>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72" w:name="_Toc81919925"/>
      <w:r>
        <w:rPr>
          <w:rStyle w:val="CharSectno"/>
        </w:rPr>
        <w:t>32</w:t>
      </w:r>
      <w:r>
        <w:t>.</w:t>
      </w:r>
      <w:r>
        <w:tab/>
        <w:t>Renewing accreditation</w:t>
      </w:r>
      <w:bookmarkEnd w:id="72"/>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73" w:name="_Toc81919926"/>
      <w:r>
        <w:rPr>
          <w:rStyle w:val="CharSectno"/>
        </w:rPr>
        <w:t>33A</w:t>
      </w:r>
      <w:r>
        <w:t>.</w:t>
      </w:r>
      <w:r>
        <w:tab/>
        <w:t>Varying accreditation</w:t>
      </w:r>
      <w:bookmarkEnd w:id="73"/>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lastRenderedPageBreak/>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WA accredited course, it must give to the owner of the course —</w:t>
      </w:r>
    </w:p>
    <w:p>
      <w:pPr>
        <w:pStyle w:val="Indenta"/>
      </w:pPr>
      <w:r>
        <w:tab/>
        <w:t>(a)</w:t>
      </w:r>
      <w:r>
        <w:tab/>
        <w:t>a course accreditation document in accordance with the accreditation standards; and</w:t>
      </w:r>
    </w:p>
    <w:p>
      <w:pPr>
        <w:pStyle w:val="Indenta"/>
        <w:keepNext/>
      </w:pPr>
      <w:r>
        <w:lastRenderedPageBreak/>
        <w:tab/>
        <w:t>(b)</w:t>
      </w:r>
      <w:r>
        <w:tab/>
        <w:t>written notice of any condition to which the accreditation as varied is subject.</w:t>
      </w:r>
    </w:p>
    <w:p>
      <w:pPr>
        <w:pStyle w:val="Footnotesection"/>
      </w:pPr>
      <w:r>
        <w:tab/>
        <w:t>[Regulation 33A inserted: Gazette 17 Dec 2013 p.</w:t>
      </w:r>
      <w:r>
        <w:rPr>
          <w:sz w:val="19"/>
        </w:rPr>
        <w:t> </w:t>
      </w:r>
      <w:r>
        <w:t>6229</w:t>
      </w:r>
      <w:r>
        <w:noBreakHyphen/>
        <w:t>30; amended: Gazette 15 Jul 2014 p. 2464; 10 Mar 2015 p. 834.]</w:t>
      </w:r>
    </w:p>
    <w:p>
      <w:pPr>
        <w:pStyle w:val="Heading5"/>
      </w:pPr>
      <w:bookmarkStart w:id="74" w:name="_Toc81919927"/>
      <w:r>
        <w:rPr>
          <w:rStyle w:val="CharSectno"/>
        </w:rPr>
        <w:t>33</w:t>
      </w:r>
      <w:r>
        <w:t>.</w:t>
      </w:r>
      <w:r>
        <w:tab/>
        <w:t>Cancelling accreditation</w:t>
      </w:r>
      <w:bookmarkEnd w:id="74"/>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5"/>
      </w:pPr>
      <w:bookmarkStart w:id="75" w:name="_Toc81919928"/>
      <w:r>
        <w:rPr>
          <w:rStyle w:val="CharSectno"/>
        </w:rPr>
        <w:t>34A</w:t>
      </w:r>
      <w:r>
        <w:t>.</w:t>
      </w:r>
      <w:r>
        <w:tab/>
        <w:t>Validity of decisions unaffected</w:t>
      </w:r>
      <w:bookmarkEnd w:id="75"/>
    </w:p>
    <w:p>
      <w:pPr>
        <w:pStyle w:val="Subsection"/>
      </w:pPr>
      <w:r>
        <w:tab/>
      </w:r>
      <w:r>
        <w:tab/>
        <w:t xml:space="preserve">A contravention of the accreditation standards by the Council in making a decision under regulation 29, 30, 32 or 33A does not affect the validity of that decision if the contravention — </w:t>
      </w:r>
    </w:p>
    <w:p>
      <w:pPr>
        <w:pStyle w:val="Indenta"/>
      </w:pPr>
      <w:r>
        <w:tab/>
        <w:t>(a)</w:t>
      </w:r>
      <w:r>
        <w:tab/>
        <w:t>does not substantially affect the decision; or</w:t>
      </w:r>
    </w:p>
    <w:p>
      <w:pPr>
        <w:pStyle w:val="Indenta"/>
      </w:pPr>
      <w:r>
        <w:tab/>
        <w:t>(b)</w:t>
      </w:r>
      <w:r>
        <w:tab/>
        <w:t>arises out of an inconsistency between the accreditation standards and written laws.</w:t>
      </w:r>
    </w:p>
    <w:p>
      <w:pPr>
        <w:pStyle w:val="Footnotesection"/>
      </w:pPr>
      <w:r>
        <w:tab/>
        <w:t>[Regulation 34A inserted: Gazette 10 Mar 2015 p. 834.]</w:t>
      </w:r>
    </w:p>
    <w:p>
      <w:pPr>
        <w:pStyle w:val="Heading2"/>
      </w:pPr>
      <w:bookmarkStart w:id="76" w:name="_Toc81913008"/>
      <w:bookmarkStart w:id="77" w:name="_Toc81916821"/>
      <w:bookmarkStart w:id="78" w:name="_Toc81916981"/>
      <w:bookmarkStart w:id="79" w:name="_Toc81919929"/>
      <w:r>
        <w:rPr>
          <w:rStyle w:val="CharPartNo"/>
        </w:rPr>
        <w:lastRenderedPageBreak/>
        <w:t>Part 4</w:t>
      </w:r>
      <w:r>
        <w:t> — </w:t>
      </w:r>
      <w:r>
        <w:rPr>
          <w:rStyle w:val="CharPartText"/>
        </w:rPr>
        <w:t>Regulations for Part 7 of the Act</w:t>
      </w:r>
      <w:bookmarkEnd w:id="76"/>
      <w:bookmarkEnd w:id="77"/>
      <w:bookmarkEnd w:id="78"/>
      <w:bookmarkEnd w:id="79"/>
    </w:p>
    <w:p>
      <w:pPr>
        <w:pStyle w:val="Heading3"/>
      </w:pPr>
      <w:bookmarkStart w:id="80" w:name="_Toc81913009"/>
      <w:bookmarkStart w:id="81" w:name="_Toc81916822"/>
      <w:bookmarkStart w:id="82" w:name="_Toc81916982"/>
      <w:bookmarkStart w:id="83" w:name="_Toc81919930"/>
      <w:r>
        <w:rPr>
          <w:rStyle w:val="CharDivNo"/>
        </w:rPr>
        <w:t>Division 1</w:t>
      </w:r>
      <w:r>
        <w:t> — </w:t>
      </w:r>
      <w:r>
        <w:rPr>
          <w:rStyle w:val="CharDivText"/>
        </w:rPr>
        <w:t>General matters</w:t>
      </w:r>
      <w:bookmarkEnd w:id="80"/>
      <w:bookmarkEnd w:id="81"/>
      <w:bookmarkEnd w:id="82"/>
      <w:bookmarkEnd w:id="83"/>
    </w:p>
    <w:p>
      <w:pPr>
        <w:pStyle w:val="Heading5"/>
      </w:pPr>
      <w:bookmarkStart w:id="84" w:name="_Toc81919931"/>
      <w:r>
        <w:rPr>
          <w:rStyle w:val="CharSectno"/>
        </w:rPr>
        <w:t>34</w:t>
      </w:r>
      <w:r>
        <w:t>.</w:t>
      </w:r>
      <w:r>
        <w:tab/>
        <w:t>Term used: nominated training provider</w:t>
      </w:r>
      <w:bookmarkEnd w:id="84"/>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85" w:name="_Toc81919932"/>
      <w:r>
        <w:rPr>
          <w:rStyle w:val="CharSectno"/>
        </w:rPr>
        <w:t>35</w:t>
      </w:r>
      <w:r>
        <w:t>.</w:t>
      </w:r>
      <w:r>
        <w:tab/>
        <w:t>Chief executive may delegate</w:t>
      </w:r>
      <w:bookmarkEnd w:id="85"/>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ageBreakBefore/>
        <w:spacing w:before="0"/>
      </w:pPr>
      <w:bookmarkStart w:id="86" w:name="_Toc81913012"/>
      <w:bookmarkStart w:id="87" w:name="_Toc81916825"/>
      <w:bookmarkStart w:id="88" w:name="_Toc81916985"/>
      <w:bookmarkStart w:id="89" w:name="_Toc81919933"/>
      <w:r>
        <w:rPr>
          <w:rStyle w:val="CharDivNo"/>
        </w:rPr>
        <w:lastRenderedPageBreak/>
        <w:t>Division 2</w:t>
      </w:r>
      <w:r>
        <w:t> — </w:t>
      </w:r>
      <w:r>
        <w:rPr>
          <w:rStyle w:val="CharDivText"/>
        </w:rPr>
        <w:t>Classifying prescribed VET qualifications</w:t>
      </w:r>
      <w:bookmarkEnd w:id="86"/>
      <w:bookmarkEnd w:id="87"/>
      <w:bookmarkEnd w:id="88"/>
      <w:bookmarkEnd w:id="89"/>
    </w:p>
    <w:p>
      <w:pPr>
        <w:pStyle w:val="Heading5"/>
      </w:pPr>
      <w:bookmarkStart w:id="90" w:name="_Toc81919934"/>
      <w:r>
        <w:rPr>
          <w:rStyle w:val="CharSectno"/>
        </w:rPr>
        <w:t>36</w:t>
      </w:r>
      <w:r>
        <w:t>.</w:t>
      </w:r>
      <w:r>
        <w:tab/>
        <w:t>Who Board must consult (Act s. 60C)</w:t>
      </w:r>
      <w:bookmarkEnd w:id="90"/>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91" w:name="_Toc81919935"/>
      <w:r>
        <w:rPr>
          <w:rStyle w:val="CharSectno"/>
        </w:rPr>
        <w:t>37</w:t>
      </w:r>
      <w:r>
        <w:t>.</w:t>
      </w:r>
      <w:r>
        <w:tab/>
        <w:t>Board’s advice and recommendations to Minister (Act s. 60C)</w:t>
      </w:r>
      <w:bookmarkEnd w:id="91"/>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 xml:space="preserve">For the purposes of section 60C of the Act, the Board, in relation to a prescribed VET qualification, must give the </w:t>
      </w:r>
      <w:r>
        <w:lastRenderedPageBreak/>
        <w:t>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Gazette 17 Dec 2013 p.</w:t>
      </w:r>
      <w:r>
        <w:rPr>
          <w:sz w:val="19"/>
        </w:rPr>
        <w:t> </w:t>
      </w:r>
      <w:r>
        <w:t>6230.]</w:t>
      </w:r>
    </w:p>
    <w:p>
      <w:pPr>
        <w:pStyle w:val="Heading3"/>
      </w:pPr>
      <w:bookmarkStart w:id="92" w:name="_Toc81913015"/>
      <w:bookmarkStart w:id="93" w:name="_Toc81916828"/>
      <w:bookmarkStart w:id="94" w:name="_Toc81916988"/>
      <w:bookmarkStart w:id="95" w:name="_Toc81919936"/>
      <w:r>
        <w:rPr>
          <w:rStyle w:val="CharDivNo"/>
        </w:rPr>
        <w:t>Division 3</w:t>
      </w:r>
      <w:r>
        <w:t> — </w:t>
      </w:r>
      <w:r>
        <w:rPr>
          <w:rStyle w:val="CharDivText"/>
        </w:rPr>
        <w:t>Training contracts</w:t>
      </w:r>
      <w:bookmarkEnd w:id="92"/>
      <w:bookmarkEnd w:id="93"/>
      <w:bookmarkEnd w:id="94"/>
      <w:bookmarkEnd w:id="95"/>
    </w:p>
    <w:p>
      <w:pPr>
        <w:pStyle w:val="Heading5"/>
      </w:pPr>
      <w:bookmarkStart w:id="96" w:name="_Toc81919937"/>
      <w:r>
        <w:rPr>
          <w:rStyle w:val="CharSectno"/>
        </w:rPr>
        <w:t>38</w:t>
      </w:r>
      <w:r>
        <w:t>.</w:t>
      </w:r>
      <w:r>
        <w:tab/>
        <w:t>Form and content of training contracts</w:t>
      </w:r>
      <w:bookmarkEnd w:id="96"/>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(3A)</w:t>
      </w:r>
      <w:r>
        <w:tab/>
        <w:t xml:space="preserve">A training contract must specify a default maximum time of 9 months employment under that contract, or such lesser time as </w:t>
      </w:r>
      <w:r>
        <w:lastRenderedPageBreak/>
        <w:t>may be mutually agreed by the parties, before any competency based wage progression clause in an award can be invoked using units gained institutionally.</w:t>
      </w:r>
    </w:p>
    <w:p>
      <w:pPr>
        <w:pStyle w:val="Subsection"/>
        <w:keepNext/>
      </w:pPr>
      <w:r>
        <w:tab/>
        <w:t>(3B)</w:t>
      </w:r>
      <w:r>
        <w:tab/>
        <w:t xml:space="preserve">In subregulation (3A) — </w:t>
      </w:r>
    </w:p>
    <w:p>
      <w:pPr>
        <w:pStyle w:val="Defstart"/>
      </w:pPr>
      <w:r>
        <w:tab/>
      </w:r>
      <w:r>
        <w:rPr>
          <w:rStyle w:val="CharDefText"/>
        </w:rPr>
        <w:t>units gained institutionally</w:t>
      </w:r>
      <w:r>
        <w:t xml:space="preserve"> means units gained as part of a prior qualification such as a pre</w:t>
      </w:r>
      <w:r>
        <w:noBreakHyphen/>
        <w:t>apprenticeship, but does not include units attained by fulfilling the obligations of an apprentice under a training contract.</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Footnotesection"/>
      </w:pPr>
      <w:r>
        <w:tab/>
        <w:t>[Regulation 38 amended: Gazette 12 Dec 2014 p.</w:t>
      </w:r>
      <w:r>
        <w:rPr>
          <w:sz w:val="19"/>
        </w:rPr>
        <w:t> </w:t>
      </w:r>
      <w:r>
        <w:t>4743.]</w:t>
      </w:r>
    </w:p>
    <w:p>
      <w:pPr>
        <w:pStyle w:val="Heading5"/>
        <w:spacing w:before="180"/>
      </w:pPr>
      <w:bookmarkStart w:id="97" w:name="_Toc81919938"/>
      <w:r>
        <w:rPr>
          <w:rStyle w:val="CharSectno"/>
        </w:rPr>
        <w:t>39</w:t>
      </w:r>
      <w:r>
        <w:t>.</w:t>
      </w:r>
      <w:r>
        <w:tab/>
        <w:t>Probation periods of training contracts</w:t>
      </w:r>
      <w:bookmarkEnd w:id="97"/>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 xml:space="preserve">If the chief executive grants the application, the approval must state the period, decided by the chief executive, by which the </w:t>
      </w:r>
      <w:r>
        <w:lastRenderedPageBreak/>
        <w:t>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98" w:name="_Toc81919939"/>
      <w:r>
        <w:rPr>
          <w:rStyle w:val="CharSectno"/>
        </w:rPr>
        <w:t>40</w:t>
      </w:r>
      <w:r>
        <w:t>.</w:t>
      </w:r>
      <w:r>
        <w:tab/>
        <w:t>Children’s capacity to enter into training contracts</w:t>
      </w:r>
      <w:bookmarkEnd w:id="98"/>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keepNext/>
      </w:pPr>
      <w:r>
        <w:lastRenderedPageBreak/>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ageBreakBefore/>
        <w:spacing w:before="0"/>
      </w:pPr>
      <w:bookmarkStart w:id="99" w:name="_Toc81919940"/>
      <w:r>
        <w:rPr>
          <w:rStyle w:val="CharSectno"/>
        </w:rPr>
        <w:lastRenderedPageBreak/>
        <w:t>41</w:t>
      </w:r>
      <w:r>
        <w:t>.</w:t>
      </w:r>
      <w:r>
        <w:tab/>
        <w:t>Lodging training contracts for registration (Act s. 60F)</w:t>
      </w:r>
      <w:bookmarkEnd w:id="99"/>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100" w:name="_Toc81919941"/>
      <w:r>
        <w:rPr>
          <w:rStyle w:val="CharSectno"/>
        </w:rPr>
        <w:t>42</w:t>
      </w:r>
      <w:r>
        <w:t>.</w:t>
      </w:r>
      <w:r>
        <w:tab/>
        <w:t>Registering training contracts (Act s. 60F)</w:t>
      </w:r>
      <w:bookmarkEnd w:id="100"/>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(ca)</w:t>
      </w:r>
      <w:r>
        <w:tab/>
        <w:t>the chief executive is not satisfied that the qualification set out in the contract is appropriate for the intended occupation during the contract; or</w:t>
      </w:r>
    </w:p>
    <w:p>
      <w:pPr>
        <w:pStyle w:val="Indenta"/>
      </w:pPr>
      <w:r>
        <w:tab/>
        <w:t>(cb)</w:t>
      </w:r>
      <w:r>
        <w:tab/>
        <w:t>the chief executive is satisfied that registering that contract would result in an effect or outcome that is contrary to the objects of the Act; or</w:t>
      </w:r>
    </w:p>
    <w:p>
      <w:pPr>
        <w:pStyle w:val="Indenta"/>
      </w:pPr>
      <w:r>
        <w:tab/>
        <w:t>(cc)</w:t>
      </w:r>
      <w:r>
        <w:tab/>
        <w:t>the party to be trained is not an Australian citizen, or does not hold an Australian visa that will support the employment and study arrangements specified in the training contract; or</w:t>
      </w:r>
    </w:p>
    <w:p>
      <w:pPr>
        <w:pStyle w:val="Indenta"/>
      </w:pPr>
      <w:r>
        <w:tab/>
        <w:t>(c)</w:t>
      </w:r>
      <w:r>
        <w:tab/>
        <w:t>the chief executive is satisfied the parties have terminated the contract.</w:t>
      </w:r>
    </w:p>
    <w:p>
      <w:pPr>
        <w:pStyle w:val="Ednotesubsection"/>
      </w:pPr>
      <w:r>
        <w:lastRenderedPageBreak/>
        <w:tab/>
        <w:t>[(3A)</w:t>
      </w:r>
      <w:r>
        <w:tab/>
        <w:t>deleted]</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Footnotesection"/>
      </w:pPr>
      <w:r>
        <w:tab/>
        <w:t>[Regulation 42 amended: Gazette 5 Dec 2014 p. 4525</w:t>
      </w:r>
      <w:r>
        <w:noBreakHyphen/>
        <w:t>6; 27 Jan 2016 p. 222.]</w:t>
      </w:r>
    </w:p>
    <w:p>
      <w:pPr>
        <w:pStyle w:val="Heading5"/>
      </w:pPr>
      <w:bookmarkStart w:id="101" w:name="_Toc81919942"/>
      <w:r>
        <w:rPr>
          <w:rStyle w:val="CharSectno"/>
        </w:rPr>
        <w:t>43</w:t>
      </w:r>
      <w:r>
        <w:t>.</w:t>
      </w:r>
      <w:r>
        <w:tab/>
        <w:t>Training plans for training contracts</w:t>
      </w:r>
      <w:bookmarkEnd w:id="101"/>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 and</w:t>
      </w:r>
    </w:p>
    <w:p>
      <w:pPr>
        <w:pStyle w:val="Defpara"/>
      </w:pPr>
      <w:r>
        <w:lastRenderedPageBreak/>
        <w:tab/>
        <w:t>(f)</w:t>
      </w:r>
      <w:r>
        <w:tab/>
        <w:t>if the training contract relates to a school</w:t>
      </w:r>
      <w:r>
        <w:noBreakHyphen/>
        <w:t>based apprenticeship, has been endorsed by the school at which the apprentice is enrolled;</w:t>
      </w:r>
    </w:p>
    <w:p>
      <w:pPr>
        <w:pStyle w:val="Defstart"/>
      </w:pPr>
      <w:r>
        <w:tab/>
      </w:r>
      <w:r>
        <w:rPr>
          <w:rStyle w:val="CharDefText"/>
        </w:rPr>
        <w:t>school</w:t>
      </w:r>
      <w:r>
        <w:rPr>
          <w:rStyle w:val="CharDefText"/>
        </w:rPr>
        <w:noBreakHyphen/>
        <w:t>based apprenticeship</w:t>
      </w:r>
      <w:r>
        <w:t xml:space="preserve"> means an apprenticeship that is undertaken — </w:t>
      </w:r>
    </w:p>
    <w:p>
      <w:pPr>
        <w:pStyle w:val="Defpara"/>
      </w:pPr>
      <w:r>
        <w:tab/>
        <w:t>(a)</w:t>
      </w:r>
      <w:r>
        <w:tab/>
        <w:t>by an apprentice while they are enrolled full</w:t>
      </w:r>
      <w:r>
        <w:noBreakHyphen/>
        <w:t>time at a school; and</w:t>
      </w:r>
    </w:p>
    <w:p>
      <w:pPr>
        <w:pStyle w:val="Defpara"/>
      </w:pPr>
      <w:r>
        <w:tab/>
        <w:t>(b)</w:t>
      </w:r>
      <w:r>
        <w:tab/>
        <w:t>with the intention that the apprenticeship be recognised on the apprentice’s certificate of student achievement upon graduation from the school.</w:t>
      </w:r>
    </w:p>
    <w:p>
      <w:pPr>
        <w:pStyle w:val="Subsection"/>
      </w:pPr>
      <w:r>
        <w:tab/>
        <w:t>(1A)</w:t>
      </w:r>
      <w:r>
        <w:tab/>
        <w:t>Subregulation (2) applies to the employer and apprentice under a training contract, and the nominated training provider for that contract.</w:t>
      </w:r>
    </w:p>
    <w:p>
      <w:pPr>
        <w:pStyle w:val="Subsection"/>
      </w:pPr>
      <w:r>
        <w:tab/>
        <w:t>(2)</w:t>
      </w:r>
      <w:r>
        <w:tab/>
        <w:t>Each person to whom this subregulation applies must sign a complying training plan for the training contract within 6 weeks after the date on which the parties to the contract are given notice of the contract’s registration under regulation 42(3)(b).</w:t>
      </w:r>
    </w:p>
    <w:p>
      <w:pPr>
        <w:pStyle w:val="Penstart"/>
      </w:pPr>
      <w:r>
        <w:tab/>
        <w:t>Penalty for this subregulation: a fine of $5 000.</w:t>
      </w:r>
    </w:p>
    <w:p>
      <w:pPr>
        <w:pStyle w:val="Subsection"/>
      </w:pPr>
      <w:r>
        <w:tab/>
        <w:t>(3)</w:t>
      </w:r>
      <w:r>
        <w:tab/>
        <w:t>Subregulation (4) applies if a training contract is varied, under section 60E(4)(a) of the Act, to change the nominated training provider.</w:t>
      </w:r>
    </w:p>
    <w:p>
      <w:pPr>
        <w:pStyle w:val="Subsection"/>
      </w:pPr>
      <w:r>
        <w:tab/>
        <w:t>(4)</w:t>
      </w:r>
      <w:r>
        <w:tab/>
        <w:t>If this subregulation applies, the employer, apprentice and the nominated training provider under the varied training contract must each sign a new complying training plan for the training contract within 6 weeks after the date on which the parties to the contract are given written notice of the chief executive’s approval of the variation under regulation 46(5)(b).</w:t>
      </w:r>
    </w:p>
    <w:p>
      <w:pPr>
        <w:pStyle w:val="Penstart"/>
      </w:pPr>
      <w:r>
        <w:tab/>
        <w:t>Penalty for this subregulation: a fine of $5 000.</w:t>
      </w:r>
    </w:p>
    <w:p>
      <w:pPr>
        <w:pStyle w:val="Subsection"/>
      </w:pPr>
      <w:r>
        <w:tab/>
        <w:t>(5)</w:t>
      </w:r>
      <w:r>
        <w:tab/>
        <w:t>Subregulation (6) applies if a training contract is assigned, under section 60E(4)(c) of the Act, to another employer who employs the apprentice.</w:t>
      </w:r>
    </w:p>
    <w:p>
      <w:pPr>
        <w:pStyle w:val="Subsection"/>
      </w:pPr>
      <w:r>
        <w:lastRenderedPageBreak/>
        <w:tab/>
        <w:t>(6)</w:t>
      </w:r>
      <w:r>
        <w:tab/>
        <w:t>If this subregulation applies, the employer, apprentice and the nominated training provider under the assigned training contract must each sign a new complying training plan for the training contract within 6 weeks after the date on which the parties to the contract are given written notice of the chief executive’s approval of the assignment under regulation 47(2)(b).</w:t>
      </w:r>
    </w:p>
    <w:p>
      <w:pPr>
        <w:pStyle w:val="Penstart"/>
      </w:pPr>
      <w:r>
        <w:tab/>
        <w:t>Penalty for this subregulation: a fine of $5 000.</w:t>
      </w:r>
    </w:p>
    <w:p>
      <w:pPr>
        <w:pStyle w:val="Subsection"/>
      </w:pPr>
      <w:r>
        <w:tab/>
        <w:t>(7)</w:t>
      </w:r>
      <w:r>
        <w:tab/>
        <w:t>Within 30 days after the date on which a complying training plan is signed under this regulation by the employer, apprentice and the nominated training provider, the training provider must give written notice to the chief executive officer of the date on which the training plan was signed by the last party to sign it.</w:t>
      </w:r>
    </w:p>
    <w:p>
      <w:pPr>
        <w:pStyle w:val="Penstart"/>
      </w:pPr>
      <w:r>
        <w:tab/>
        <w:t>Penalty for this subregulation: a fine of $5 000.</w:t>
      </w:r>
    </w:p>
    <w:p>
      <w:pPr>
        <w:pStyle w:val="Footnotesection"/>
      </w:pPr>
      <w:r>
        <w:tab/>
        <w:t>[Regulation 43 amended: Gazette 29 Dec 2017 p. 6081</w:t>
      </w:r>
      <w:r>
        <w:noBreakHyphen/>
        <w:t>2.]</w:t>
      </w:r>
    </w:p>
    <w:p>
      <w:pPr>
        <w:pStyle w:val="Heading5"/>
      </w:pPr>
      <w:bookmarkStart w:id="102" w:name="_Toc81919943"/>
      <w:r>
        <w:rPr>
          <w:rStyle w:val="CharSectno"/>
        </w:rPr>
        <w:t>44</w:t>
      </w:r>
      <w:r>
        <w:t>.</w:t>
      </w:r>
      <w:r>
        <w:tab/>
        <w:t>Cancellation of registration by chief executive (Act s. 60F)</w:t>
      </w:r>
      <w:bookmarkEnd w:id="102"/>
    </w:p>
    <w:p>
      <w:pPr>
        <w:pStyle w:val="Subsection"/>
      </w:pPr>
      <w:r>
        <w:tab/>
      </w:r>
      <w:r>
        <w:tab/>
        <w:t>Under section 60F(5) of the Act the chief executive may cancel the registration of a training contract for any of these reasons —</w:t>
      </w:r>
    </w:p>
    <w:p>
      <w:pPr>
        <w:pStyle w:val="Indenta"/>
      </w:pPr>
      <w:r>
        <w:tab/>
        <w:t>(a)</w:t>
      </w:r>
      <w:r>
        <w:tab/>
        <w:t>the chief executive is satisfied that a complying training plan for the training contract has not been signed in accordance with regulation 43(2);</w:t>
      </w:r>
    </w:p>
    <w:p>
      <w:pPr>
        <w:pStyle w:val="Indenta"/>
      </w:pPr>
      <w:r>
        <w:tab/>
        <w:t>(aa)</w:t>
      </w:r>
      <w:r>
        <w:tab/>
        <w:t>the chief executive is satisfied that a new complying training plan for the training contract has not been signed in accordance with regulation 43(4) or (6) (as the case may be);</w:t>
      </w:r>
    </w:p>
    <w:p>
      <w:pPr>
        <w:pStyle w:val="Indenta"/>
      </w:pPr>
      <w:r>
        <w:tab/>
        <w:t>(ab)</w:t>
      </w:r>
      <w:r>
        <w:tab/>
        <w:t>the chief executive is satisfied that the training plan for the training contract is not, or has ceased to be, a complying training plan;</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lastRenderedPageBreak/>
        <w:tab/>
        <w:t>(ca)</w:t>
      </w:r>
      <w:r>
        <w:tab/>
        <w:t>the chief executive is satisfied that the qualification set out in the contract is not appropriate for the intended occupation during the contract;</w:t>
      </w:r>
    </w:p>
    <w:p>
      <w:pPr>
        <w:pStyle w:val="Indenta"/>
      </w:pPr>
      <w:r>
        <w:tab/>
        <w:t>(cb)</w:t>
      </w:r>
      <w:r>
        <w:tab/>
        <w:t>the chief executive is satisfied that the continued registration of the contract would result in an effect or outcome that is contrary to the objects of the Act;</w:t>
      </w:r>
    </w:p>
    <w:p>
      <w:pPr>
        <w:pStyle w:val="Indenta"/>
      </w:pPr>
      <w:r>
        <w:tab/>
        <w:t>(cc)</w:t>
      </w:r>
      <w:r>
        <w:tab/>
        <w:t>the apprentice is not an Australian citizen, or does not hold an Australian visa that will support the employment and study arrangements specified in the contract;</w:t>
      </w:r>
    </w:p>
    <w:p>
      <w:pPr>
        <w:pStyle w:val="Indenta"/>
      </w:pPr>
      <w:r>
        <w:tab/>
        <w:t>(cd)</w:t>
      </w:r>
      <w:r>
        <w:tab/>
        <w:t>the chief executive is satisfied that one or both of the parties to the contract has not complied with the terms of that contract;</w:t>
      </w:r>
    </w:p>
    <w:p>
      <w:pPr>
        <w:pStyle w:val="Indenta"/>
      </w:pPr>
      <w:r>
        <w:tab/>
        <w:t>(d)</w:t>
      </w:r>
      <w:r>
        <w:tab/>
        <w:t>the contract has been terminated.</w:t>
      </w:r>
    </w:p>
    <w:p>
      <w:pPr>
        <w:pStyle w:val="Footnotesection"/>
      </w:pPr>
      <w:r>
        <w:tab/>
        <w:t>[Regulation 44 amended: Gazette 27 Jan 2016 p. 222</w:t>
      </w:r>
      <w:r>
        <w:noBreakHyphen/>
        <w:t>3; 29 Dec 2017 p. 6082.]</w:t>
      </w:r>
    </w:p>
    <w:p>
      <w:pPr>
        <w:pStyle w:val="Heading5"/>
      </w:pPr>
      <w:bookmarkStart w:id="103" w:name="_Toc81919944"/>
      <w:r>
        <w:rPr>
          <w:rStyle w:val="CharSectno"/>
        </w:rPr>
        <w:t>45</w:t>
      </w:r>
      <w:r>
        <w:t>.</w:t>
      </w:r>
      <w:r>
        <w:tab/>
        <w:t>Chief executive may require persons involved in training contracts to provide information</w:t>
      </w:r>
      <w:bookmarkEnd w:id="103"/>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lastRenderedPageBreak/>
        <w:tab/>
        <w:t>(3)</w:t>
      </w:r>
      <w:r>
        <w:tab/>
        <w:t>An involved person who is given a notice under this regulation must obey it.</w:t>
      </w:r>
    </w:p>
    <w:p>
      <w:pPr>
        <w:pStyle w:val="Penstart"/>
      </w:pPr>
      <w:r>
        <w:tab/>
        <w:t>Penalty for this subregulation: a fine of $5 000.</w:t>
      </w:r>
    </w:p>
    <w:p>
      <w:pPr>
        <w:pStyle w:val="Footnotesection"/>
      </w:pPr>
      <w:r>
        <w:tab/>
        <w:t>[Regulation 45 amended: Gazette 29 Dec 2017 p. 6083.]</w:t>
      </w:r>
    </w:p>
    <w:p>
      <w:pPr>
        <w:pStyle w:val="Heading5"/>
      </w:pPr>
      <w:bookmarkStart w:id="104" w:name="_Toc81919945"/>
      <w:r>
        <w:rPr>
          <w:rStyle w:val="CharSectno"/>
        </w:rPr>
        <w:t>46</w:t>
      </w:r>
      <w:r>
        <w:t>.</w:t>
      </w:r>
      <w:r>
        <w:tab/>
        <w:t>Variation of training contract by parties (Act s. 60E)</w:t>
      </w:r>
      <w:bookmarkEnd w:id="104"/>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lastRenderedPageBreak/>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105" w:name="_Toc81919946"/>
      <w:r>
        <w:rPr>
          <w:rStyle w:val="CharSectno"/>
        </w:rPr>
        <w:t>47</w:t>
      </w:r>
      <w:r>
        <w:t>.</w:t>
      </w:r>
      <w:r>
        <w:tab/>
        <w:t>Assignment of training contract to another employer (Act s. 60E)</w:t>
      </w:r>
      <w:bookmarkEnd w:id="105"/>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for this subregulation: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 xml:space="preserve">If an employer assigns a training contract to another person who will employ the apprentice, the apprentice is on probation with </w:t>
      </w:r>
      <w:r>
        <w:lastRenderedPageBreak/>
        <w:t>the new employer for one month commencing on the date on which the apprentice starts work with the new employer.</w:t>
      </w:r>
    </w:p>
    <w:p>
      <w:pPr>
        <w:pStyle w:val="Footnotesection"/>
      </w:pPr>
      <w:r>
        <w:tab/>
        <w:t>[Regulation 47 amended: Gazette 29 Dec 2017 p. 6083.]</w:t>
      </w:r>
    </w:p>
    <w:p>
      <w:pPr>
        <w:pStyle w:val="Heading5"/>
      </w:pPr>
      <w:bookmarkStart w:id="106" w:name="_Toc81919947"/>
      <w:r>
        <w:rPr>
          <w:rStyle w:val="CharSectno"/>
        </w:rPr>
        <w:t>48</w:t>
      </w:r>
      <w:r>
        <w:t>.</w:t>
      </w:r>
      <w:r>
        <w:tab/>
        <w:t>Suspension of training contract by parties (Act s. 60E)</w:t>
      </w:r>
      <w:bookmarkEnd w:id="106"/>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for this subregulation: a fine of $1 000.</w:t>
      </w:r>
    </w:p>
    <w:p>
      <w:pPr>
        <w:pStyle w:val="Footnotesection"/>
      </w:pPr>
      <w:r>
        <w:tab/>
        <w:t>[Regulation 48 amended: Gazette 29 Dec 2017 p. 6083.]</w:t>
      </w:r>
    </w:p>
    <w:p>
      <w:pPr>
        <w:pStyle w:val="Heading5"/>
      </w:pPr>
      <w:bookmarkStart w:id="107" w:name="_Toc81919948"/>
      <w:r>
        <w:rPr>
          <w:rStyle w:val="CharSectno"/>
        </w:rPr>
        <w:t>49</w:t>
      </w:r>
      <w:r>
        <w:t>.</w:t>
      </w:r>
      <w:r>
        <w:tab/>
        <w:t>Suspension by employer (Act s. 60E)</w:t>
      </w:r>
      <w:bookmarkEnd w:id="107"/>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keepNext/>
      </w:pPr>
      <w:r>
        <w:lastRenderedPageBreak/>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for this subregulation: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for this subregulation: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keepNext/>
      </w:pPr>
      <w:r>
        <w:lastRenderedPageBreak/>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for this subregulation: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Footnotesection"/>
      </w:pPr>
      <w:r>
        <w:tab/>
        <w:t>[Regulation 49 amended: Gazette 29 Dec 2017 p. 6083.]</w:t>
      </w:r>
    </w:p>
    <w:p>
      <w:pPr>
        <w:pStyle w:val="Heading5"/>
      </w:pPr>
      <w:bookmarkStart w:id="108" w:name="_Toc81919949"/>
      <w:r>
        <w:rPr>
          <w:rStyle w:val="CharSectno"/>
        </w:rPr>
        <w:t>50</w:t>
      </w:r>
      <w:r>
        <w:t>.</w:t>
      </w:r>
      <w:r>
        <w:tab/>
        <w:t>Termination of training contract by parties (Act s. 60G)</w:t>
      </w:r>
      <w:bookmarkEnd w:id="108"/>
    </w:p>
    <w:p>
      <w:pPr>
        <w:pStyle w:val="Subsection"/>
      </w:pPr>
      <w:r>
        <w:tab/>
      </w:r>
      <w:r>
        <w:tab/>
        <w:t>A party to a training contract may terminate the contract during the contract’s probation period without the approval of the chief executive.</w:t>
      </w:r>
    </w:p>
    <w:p>
      <w:pPr>
        <w:pStyle w:val="Heading5"/>
      </w:pPr>
      <w:bookmarkStart w:id="109" w:name="_Toc81919950"/>
      <w:r>
        <w:rPr>
          <w:rStyle w:val="CharSectno"/>
        </w:rPr>
        <w:t>51</w:t>
      </w:r>
      <w:r>
        <w:t>.</w:t>
      </w:r>
      <w:r>
        <w:tab/>
        <w:t>Approval of termination of training contract by chief executive (Act s. 60G)</w:t>
      </w:r>
      <w:bookmarkEnd w:id="109"/>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ageBreakBefore/>
        <w:spacing w:before="0"/>
      </w:pPr>
      <w:bookmarkStart w:id="110" w:name="_Toc81919951"/>
      <w:r>
        <w:rPr>
          <w:rStyle w:val="CharSectno"/>
        </w:rPr>
        <w:lastRenderedPageBreak/>
        <w:t>52</w:t>
      </w:r>
      <w:r>
        <w:t>.</w:t>
      </w:r>
      <w:r>
        <w:tab/>
        <w:t>Completion of training contract</w:t>
      </w:r>
      <w:bookmarkEnd w:id="110"/>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for this subregulation: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for this subregulation: a fine of $5 000.</w:t>
      </w:r>
    </w:p>
    <w:p>
      <w:pPr>
        <w:pStyle w:val="Footnotesection"/>
      </w:pPr>
      <w:r>
        <w:tab/>
        <w:t>[Regulation 52 amended: Gazette 29 Dec 2017 p. 6083.]</w:t>
      </w:r>
    </w:p>
    <w:p>
      <w:pPr>
        <w:pStyle w:val="Heading5"/>
      </w:pPr>
      <w:bookmarkStart w:id="111" w:name="_Toc81919952"/>
      <w:r>
        <w:rPr>
          <w:rStyle w:val="CharSectno"/>
        </w:rPr>
        <w:t>52A</w:t>
      </w:r>
      <w:r>
        <w:t>.</w:t>
      </w:r>
      <w:r>
        <w:tab/>
        <w:t>Resolution of disputes by chief executive</w:t>
      </w:r>
      <w:bookmarkEnd w:id="111"/>
    </w:p>
    <w:p>
      <w:pPr>
        <w:pStyle w:val="Subsection"/>
      </w:pPr>
      <w:r>
        <w:tab/>
        <w:t>(1)</w:t>
      </w:r>
      <w:r>
        <w:tab/>
        <w:t xml:space="preserve">The chief executive may, on an application by a party to a training contract, or on the chief executive’s own initiative, determine a dispute between the parties relating to any of the following — </w:t>
      </w:r>
    </w:p>
    <w:p>
      <w:pPr>
        <w:pStyle w:val="Indenta"/>
      </w:pPr>
      <w:r>
        <w:tab/>
        <w:t>(a)</w:t>
      </w:r>
      <w:r>
        <w:tab/>
        <w:t>the terms of the contract, including any variations or suspensions;</w:t>
      </w:r>
    </w:p>
    <w:p>
      <w:pPr>
        <w:pStyle w:val="Indenta"/>
      </w:pPr>
      <w:r>
        <w:tab/>
        <w:t>(b)</w:t>
      </w:r>
      <w:r>
        <w:tab/>
        <w:t>the conduct of the parties in complying with the terms of the contract;</w:t>
      </w:r>
    </w:p>
    <w:p>
      <w:pPr>
        <w:pStyle w:val="Indenta"/>
      </w:pPr>
      <w:r>
        <w:tab/>
        <w:t>(c)</w:t>
      </w:r>
      <w:r>
        <w:tab/>
        <w:t>the termination of the contract.</w:t>
      </w:r>
    </w:p>
    <w:p>
      <w:pPr>
        <w:pStyle w:val="Subsection"/>
      </w:pPr>
      <w:r>
        <w:tab/>
        <w:t>(2)</w:t>
      </w:r>
      <w:r>
        <w:tab/>
        <w:t>The chief executive may determine the dispute unless the chief executive feels that it should be dealt with by another body, tribunal or court vested with jurisdiction to determine it.</w:t>
      </w:r>
    </w:p>
    <w:p>
      <w:pPr>
        <w:pStyle w:val="Footnotesection"/>
      </w:pPr>
      <w:r>
        <w:tab/>
        <w:t>[Regulation 52A inserted: Gazette 27 Jan 2016 p. 223.]</w:t>
      </w:r>
    </w:p>
    <w:p>
      <w:pPr>
        <w:pStyle w:val="Heading3"/>
        <w:pageBreakBefore/>
        <w:spacing w:before="0"/>
      </w:pPr>
      <w:bookmarkStart w:id="112" w:name="_Toc81913032"/>
      <w:bookmarkStart w:id="113" w:name="_Toc81916845"/>
      <w:bookmarkStart w:id="114" w:name="_Toc81917005"/>
      <w:bookmarkStart w:id="115" w:name="_Toc81919953"/>
      <w:r>
        <w:rPr>
          <w:rStyle w:val="CharDivNo"/>
        </w:rPr>
        <w:lastRenderedPageBreak/>
        <w:t>Division 4</w:t>
      </w:r>
      <w:r>
        <w:t> — </w:t>
      </w:r>
      <w:r>
        <w:rPr>
          <w:rStyle w:val="CharDivText"/>
        </w:rPr>
        <w:t>Procedure and appeals</w:t>
      </w:r>
      <w:bookmarkEnd w:id="112"/>
      <w:bookmarkEnd w:id="113"/>
      <w:bookmarkEnd w:id="114"/>
      <w:bookmarkEnd w:id="115"/>
    </w:p>
    <w:p>
      <w:pPr>
        <w:pStyle w:val="Heading5"/>
      </w:pPr>
      <w:bookmarkStart w:id="116" w:name="_Toc81919954"/>
      <w:r>
        <w:rPr>
          <w:rStyle w:val="CharSectno"/>
        </w:rPr>
        <w:t>53</w:t>
      </w:r>
      <w:r>
        <w:t>.</w:t>
      </w:r>
      <w:r>
        <w:tab/>
        <w:t>Procedure on applications</w:t>
      </w:r>
      <w:bookmarkEnd w:id="116"/>
    </w:p>
    <w:p>
      <w:pPr>
        <w:pStyle w:val="Subsection"/>
      </w:pPr>
      <w:r>
        <w:tab/>
        <w:t>(1)</w:t>
      </w:r>
      <w:r>
        <w:tab/>
        <w:t>This regulation applies to and in relation to any application made to the chief executive under Part 7 Division 2 of the Act or under regulation 39, 40, 46, 47 or 48, or any determination made under regulation 52A.</w:t>
      </w:r>
    </w:p>
    <w:p>
      <w:pPr>
        <w:pStyle w:val="Subsection"/>
        <w:keepNext/>
      </w:pPr>
      <w:r>
        <w:tab/>
        <w:t>(2)</w:t>
      </w:r>
      <w:r>
        <w:tab/>
        <w:t>In relation to an application or determination, the chief executive —</w:t>
      </w:r>
    </w:p>
    <w:p>
      <w:pPr>
        <w:pStyle w:val="Indenta"/>
      </w:pPr>
      <w:r>
        <w:tab/>
        <w:t>(a)</w:t>
      </w:r>
      <w:r>
        <w:tab/>
        <w:t>may inform himself or herself in any way he or she thinks fit; and</w:t>
      </w:r>
    </w:p>
    <w:p>
      <w:pPr>
        <w:pStyle w:val="Indenta"/>
      </w:pPr>
      <w:r>
        <w:tab/>
        <w:t>(b)</w:t>
      </w:r>
      <w:r>
        <w:tab/>
        <w:t xml:space="preserve">must give a reasonable opportunity to provide evidence and make submissions relevant to the application or determination to — </w:t>
      </w:r>
    </w:p>
    <w:p>
      <w:pPr>
        <w:pStyle w:val="Indenti"/>
      </w:pPr>
      <w:r>
        <w:tab/>
        <w:t>(i)</w:t>
      </w:r>
      <w:r>
        <w:tab/>
        <w:t>each party to any training contract to which the application or determination relates; and</w:t>
      </w:r>
    </w:p>
    <w:p>
      <w:pPr>
        <w:pStyle w:val="Indenti"/>
      </w:pPr>
      <w:r>
        <w:tab/>
        <w:t>(ii)</w:t>
      </w:r>
      <w:r>
        <w:tab/>
        <w:t>any other person who may or will be affected by the outcome of the application or determination or who, in the chief executive’s opinion, has a sufficient interest in the application or determination;</w:t>
      </w:r>
    </w:p>
    <w:p>
      <w:pPr>
        <w:pStyle w:val="Indenta"/>
      </w:pPr>
      <w:r>
        <w:tab/>
      </w:r>
      <w:r>
        <w:tab/>
        <w:t>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or determination, the chief executive must give the parties to the application or determination written notice of the decision and the reasons for it.</w:t>
      </w:r>
    </w:p>
    <w:p>
      <w:pPr>
        <w:pStyle w:val="Footnotesection"/>
      </w:pPr>
      <w:r>
        <w:tab/>
        <w:t>[Regulation 53 amended: Gazette 27 Jan 2016 p. 223</w:t>
      </w:r>
      <w:r>
        <w:noBreakHyphen/>
        <w:t>4.]</w:t>
      </w:r>
    </w:p>
    <w:p>
      <w:pPr>
        <w:pStyle w:val="Heading5"/>
        <w:pageBreakBefore/>
        <w:spacing w:before="0"/>
      </w:pPr>
      <w:bookmarkStart w:id="117" w:name="_Toc81919955"/>
      <w:r>
        <w:rPr>
          <w:rStyle w:val="CharSectno"/>
        </w:rPr>
        <w:lastRenderedPageBreak/>
        <w:t>54</w:t>
      </w:r>
      <w:r>
        <w:t>.</w:t>
      </w:r>
      <w:r>
        <w:tab/>
        <w:t>Appeals</w:t>
      </w:r>
      <w:bookmarkEnd w:id="117"/>
    </w:p>
    <w:p>
      <w:pPr>
        <w:pStyle w:val="Subsection"/>
      </w:pPr>
      <w:r>
        <w:tab/>
        <w:t>(1)</w:t>
      </w:r>
      <w:r>
        <w:tab/>
        <w:t>A party to a training contract who is dissatisfied by a decision made in relation to the contract by the chief executive under regulation 39, 46, 47, 48 or 52A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Footnotesection"/>
      </w:pPr>
      <w:r>
        <w:tab/>
        <w:t>[Regulation 54 amended: Gazette 27 Jan 2016 p. 224.]</w:t>
      </w:r>
    </w:p>
    <w:p>
      <w:pPr>
        <w:pStyle w:val="Heading2"/>
      </w:pPr>
      <w:bookmarkStart w:id="118" w:name="_Toc81913035"/>
      <w:bookmarkStart w:id="119" w:name="_Toc81916848"/>
      <w:bookmarkStart w:id="120" w:name="_Toc81917008"/>
      <w:bookmarkStart w:id="121" w:name="_Toc81919956"/>
      <w:r>
        <w:rPr>
          <w:rStyle w:val="CharPartNo"/>
        </w:rPr>
        <w:lastRenderedPageBreak/>
        <w:t>Part 5</w:t>
      </w:r>
      <w:r>
        <w:rPr>
          <w:rStyle w:val="CharDivNo"/>
        </w:rPr>
        <w:t> </w:t>
      </w:r>
      <w:r>
        <w:t>—</w:t>
      </w:r>
      <w:r>
        <w:rPr>
          <w:rStyle w:val="CharDivText"/>
        </w:rPr>
        <w:t> </w:t>
      </w:r>
      <w:r>
        <w:rPr>
          <w:rStyle w:val="CharPartText"/>
        </w:rPr>
        <w:t>Repeals and transitional matters</w:t>
      </w:r>
      <w:bookmarkEnd w:id="118"/>
      <w:bookmarkEnd w:id="119"/>
      <w:bookmarkEnd w:id="120"/>
      <w:bookmarkEnd w:id="121"/>
    </w:p>
    <w:p>
      <w:pPr>
        <w:pStyle w:val="Heading5"/>
      </w:pPr>
      <w:bookmarkStart w:id="122" w:name="_Toc81919957"/>
      <w:r>
        <w:rPr>
          <w:rStyle w:val="CharSectno"/>
        </w:rPr>
        <w:t>55</w:t>
      </w:r>
      <w:r>
        <w:t>.</w:t>
      </w:r>
      <w:r>
        <w:tab/>
        <w:t>Term used: commencement</w:t>
      </w:r>
      <w:bookmarkEnd w:id="122"/>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5</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123" w:name="_Toc81919958"/>
      <w:r>
        <w:rPr>
          <w:rStyle w:val="CharSectno"/>
        </w:rPr>
        <w:t>57</w:t>
      </w:r>
      <w:r>
        <w:t>.</w:t>
      </w:r>
      <w:r>
        <w:tab/>
        <w:t>Registered training providers</w:t>
      </w:r>
      <w:bookmarkEnd w:id="123"/>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124" w:name="_Toc81919959"/>
      <w:r>
        <w:rPr>
          <w:rStyle w:val="CharSectno"/>
        </w:rPr>
        <w:t>58</w:t>
      </w:r>
      <w:r>
        <w:t>.</w:t>
      </w:r>
      <w:r>
        <w:tab/>
        <w:t>Accredited courses</w:t>
      </w:r>
      <w:bookmarkEnd w:id="124"/>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125" w:name="_Toc81919960"/>
      <w:r>
        <w:rPr>
          <w:rStyle w:val="CharSectno"/>
        </w:rPr>
        <w:t>59</w:t>
      </w:r>
      <w:r>
        <w:t>.</w:t>
      </w:r>
      <w:r>
        <w:tab/>
        <w:t>Traineeship contracts</w:t>
      </w:r>
      <w:bookmarkEnd w:id="125"/>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6</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lastRenderedPageBreak/>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126" w:name="_Toc81919961"/>
      <w:r>
        <w:rPr>
          <w:rStyle w:val="CharSectno"/>
        </w:rPr>
        <w:t>60</w:t>
      </w:r>
      <w:r>
        <w:t>.</w:t>
      </w:r>
      <w:r>
        <w:tab/>
        <w:t>Apprentices learning trades, transitional provisions for</w:t>
      </w:r>
      <w:bookmarkEnd w:id="126"/>
    </w:p>
    <w:p>
      <w:pPr>
        <w:pStyle w:val="Subsection"/>
      </w:pPr>
      <w:r>
        <w:tab/>
      </w:r>
      <w:r>
        <w:tab/>
        <w:t>Schedule 2 sets out transitional provisions.</w:t>
      </w:r>
    </w:p>
    <w:p>
      <w:pPr>
        <w:pStyle w:val="Heading2"/>
        <w:rPr>
          <w:i/>
        </w:rPr>
      </w:pPr>
      <w:bookmarkStart w:id="127" w:name="_Toc81913041"/>
      <w:bookmarkStart w:id="128" w:name="_Toc81916854"/>
      <w:bookmarkStart w:id="129" w:name="_Toc81917014"/>
      <w:bookmarkStart w:id="130" w:name="_Toc81919962"/>
      <w:r>
        <w:rPr>
          <w:rStyle w:val="CharPartNo"/>
        </w:rPr>
        <w:lastRenderedPageBreak/>
        <w:t>Part 6</w:t>
      </w:r>
      <w:r>
        <w:t> — </w:t>
      </w:r>
      <w:r>
        <w:rPr>
          <w:rStyle w:val="CharPartText"/>
        </w:rPr>
        <w:t xml:space="preserve">Transitional provisions for </w:t>
      </w:r>
      <w:r>
        <w:rPr>
          <w:rStyle w:val="CharPartText"/>
          <w:i/>
        </w:rPr>
        <w:t>Vocational Education and Training (General) Amendment Regulations 2015</w:t>
      </w:r>
      <w:bookmarkEnd w:id="127"/>
      <w:bookmarkEnd w:id="128"/>
      <w:bookmarkEnd w:id="129"/>
      <w:bookmarkEnd w:id="130"/>
    </w:p>
    <w:p>
      <w:pPr>
        <w:pStyle w:val="Footnoteheading"/>
      </w:pPr>
      <w:r>
        <w:tab/>
        <w:t>[Heading inserted: Gazette 10 Mar 2015 p. 835.]</w:t>
      </w:r>
    </w:p>
    <w:p>
      <w:pPr>
        <w:pStyle w:val="Heading5"/>
      </w:pPr>
      <w:bookmarkStart w:id="131" w:name="_Toc81919963"/>
      <w:r>
        <w:rPr>
          <w:rStyle w:val="CharSectno"/>
        </w:rPr>
        <w:t>61</w:t>
      </w:r>
      <w:r>
        <w:t>.</w:t>
      </w:r>
      <w:r>
        <w:tab/>
        <w:t>Terms used</w:t>
      </w:r>
      <w:bookmarkEnd w:id="131"/>
    </w:p>
    <w:p>
      <w:pPr>
        <w:pStyle w:val="Subsection"/>
      </w:pPr>
      <w:r>
        <w:tab/>
      </w:r>
      <w:r>
        <w:tab/>
        <w:t xml:space="preserve">In this Part — </w:t>
      </w:r>
    </w:p>
    <w:p>
      <w:pPr>
        <w:pStyle w:val="Defstart"/>
      </w:pPr>
      <w:r>
        <w:tab/>
      </w:r>
      <w:r>
        <w:rPr>
          <w:rStyle w:val="CharDefText"/>
        </w:rPr>
        <w:t>amendment regulations</w:t>
      </w:r>
      <w:r>
        <w:t xml:space="preserve"> means the </w:t>
      </w:r>
      <w:r>
        <w:rPr>
          <w:i/>
        </w:rPr>
        <w:t>Vocational Education and Training (General) Amendment Regulations 2015</w:t>
      </w:r>
      <w:r>
        <w:t>;</w:t>
      </w:r>
    </w:p>
    <w:p>
      <w:pPr>
        <w:pStyle w:val="Defstart"/>
      </w:pPr>
      <w:r>
        <w:tab/>
      </w:r>
      <w:r>
        <w:rPr>
          <w:rStyle w:val="CharDefText"/>
        </w:rPr>
        <w:t>AQTF</w:t>
      </w:r>
      <w:r>
        <w:t xml:space="preserve"> means the Australian Quality Training Framework as defined in the </w:t>
      </w:r>
      <w:r>
        <w:rPr>
          <w:i/>
        </w:rPr>
        <w:t>Higher Education Support Act 2003</w:t>
      </w:r>
      <w:r>
        <w:t xml:space="preserve"> (Commonwealth) Schedule 1;</w:t>
      </w:r>
    </w:p>
    <w:p>
      <w:pPr>
        <w:pStyle w:val="Defstart"/>
      </w:pPr>
      <w:r>
        <w:tab/>
      </w:r>
      <w:r>
        <w:rPr>
          <w:rStyle w:val="CharDefText"/>
        </w:rPr>
        <w:t>commencement day</w:t>
      </w:r>
      <w:r>
        <w:t xml:space="preserve"> means the day on which regulation 3 of the amendment regulations came into operation;</w:t>
      </w:r>
    </w:p>
    <w:p>
      <w:pPr>
        <w:pStyle w:val="Defstart"/>
      </w:pPr>
      <w:r>
        <w:tab/>
      </w:r>
      <w:r>
        <w:rPr>
          <w:rStyle w:val="CharDefText"/>
        </w:rPr>
        <w:t>transitional period</w:t>
      </w:r>
      <w:r>
        <w:t xml:space="preserve"> means the period of 3 months beginning on the commencement day.</w:t>
      </w:r>
    </w:p>
    <w:p>
      <w:pPr>
        <w:pStyle w:val="Footnotesection"/>
      </w:pPr>
      <w:r>
        <w:tab/>
        <w:t>[Regulation 61 inserted: Gazette 10 Mar 2015 p. 835.]</w:t>
      </w:r>
    </w:p>
    <w:p>
      <w:pPr>
        <w:pStyle w:val="Heading5"/>
      </w:pPr>
      <w:bookmarkStart w:id="132" w:name="_Toc81919964"/>
      <w:r>
        <w:rPr>
          <w:rStyle w:val="CharSectno"/>
        </w:rPr>
        <w:t>62</w:t>
      </w:r>
      <w:r>
        <w:t>.</w:t>
      </w:r>
      <w:r>
        <w:tab/>
        <w:t>Mandatory conditions applicable to WA registered providers during transitional period</w:t>
      </w:r>
      <w:bookmarkEnd w:id="132"/>
    </w:p>
    <w:p>
      <w:pPr>
        <w:pStyle w:val="Subsection"/>
      </w:pPr>
      <w:r>
        <w:tab/>
      </w:r>
      <w:r>
        <w:tab/>
        <w:t xml:space="preserve">During the transitional period a WA registered provider registered before the commencement day may comply with either — </w:t>
      </w:r>
    </w:p>
    <w:p>
      <w:pPr>
        <w:pStyle w:val="Indenta"/>
      </w:pPr>
      <w:r>
        <w:tab/>
        <w:t>(a)</w:t>
      </w:r>
      <w:r>
        <w:tab/>
        <w:t>the mandatory condition referred to in regulation 13(2)(a); or</w:t>
      </w:r>
    </w:p>
    <w:p>
      <w:pPr>
        <w:pStyle w:val="Indenta"/>
      </w:pPr>
      <w:r>
        <w:tab/>
        <w:t>(b)</w:t>
      </w:r>
      <w:r>
        <w:tab/>
        <w:t>the mandatory condition referred to in regulation 13(2)(a) as it was before the commencement day.</w:t>
      </w:r>
    </w:p>
    <w:p>
      <w:pPr>
        <w:pStyle w:val="Footnotesection"/>
      </w:pPr>
      <w:r>
        <w:tab/>
        <w:t>[Regulation 62 inserted: Gazette 10 Mar 2015 p. 835.]</w:t>
      </w:r>
    </w:p>
    <w:p>
      <w:pPr>
        <w:pStyle w:val="Heading5"/>
        <w:pageBreakBefore/>
        <w:spacing w:before="0"/>
      </w:pPr>
      <w:bookmarkStart w:id="133" w:name="_Toc81919965"/>
      <w:r>
        <w:rPr>
          <w:rStyle w:val="CharSectno"/>
        </w:rPr>
        <w:lastRenderedPageBreak/>
        <w:t>63</w:t>
      </w:r>
      <w:r>
        <w:t>.</w:t>
      </w:r>
      <w:r>
        <w:tab/>
        <w:t>Applications before commencement day</w:t>
      </w:r>
      <w:bookmarkEnd w:id="133"/>
    </w:p>
    <w:p>
      <w:pPr>
        <w:pStyle w:val="Subsection"/>
      </w:pPr>
      <w:r>
        <w:tab/>
        <w:t>(1)</w:t>
      </w:r>
      <w:r>
        <w:tab/>
        <w:t xml:space="preserve">An application for registration, renewal of registration or variation of registration made, but not decided, before the commencement day is, on and after the commencement day, to be decided — </w:t>
      </w:r>
    </w:p>
    <w:p>
      <w:pPr>
        <w:pStyle w:val="Indenta"/>
      </w:pPr>
      <w:r>
        <w:tab/>
        <w:t>(a)</w:t>
      </w:r>
      <w:r>
        <w:tab/>
        <w:t>if the application was prepared addressing the AQTF, in accordance with the AQTF under the regulations as they were before the commencement day; and</w:t>
      </w:r>
    </w:p>
    <w:p>
      <w:pPr>
        <w:pStyle w:val="Indenta"/>
      </w:pPr>
      <w:r>
        <w:tab/>
        <w:t>(b)</w:t>
      </w:r>
      <w:r>
        <w:tab/>
        <w:t>if the application was prepared addressing the registration standards, in accordance with the registration standards.</w:t>
      </w:r>
    </w:p>
    <w:p>
      <w:pPr>
        <w:pStyle w:val="Subsection"/>
      </w:pPr>
      <w:r>
        <w:tab/>
        <w:t>(2)</w:t>
      </w:r>
      <w:r>
        <w:tab/>
        <w:t>An application decided under subregulation (1)(a) cannot be granted except on the condition that the provider is to comply with the registration standards after the transitional period.</w:t>
      </w:r>
    </w:p>
    <w:p>
      <w:pPr>
        <w:pStyle w:val="Footnotesection"/>
      </w:pPr>
      <w:r>
        <w:tab/>
        <w:t>[Regulation 63 inserted: Gazette 10 Mar 2015 p. 835</w:t>
      </w:r>
      <w:r>
        <w:noBreakHyphen/>
        <w:t>6.]</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34" w:name="_Toc81913045"/>
      <w:bookmarkStart w:id="135" w:name="_Toc81916858"/>
      <w:bookmarkStart w:id="136" w:name="_Toc81917018"/>
      <w:bookmarkStart w:id="137" w:name="_Toc81919966"/>
      <w:r>
        <w:rPr>
          <w:rStyle w:val="CharSchNo"/>
        </w:rPr>
        <w:lastRenderedPageBreak/>
        <w:t>Schedule 1</w:t>
      </w:r>
      <w:r>
        <w:t> — </w:t>
      </w:r>
      <w:r>
        <w:rPr>
          <w:rStyle w:val="CharSchText"/>
        </w:rPr>
        <w:t>Training contract</w:t>
      </w:r>
      <w:bookmarkEnd w:id="134"/>
      <w:bookmarkEnd w:id="135"/>
      <w:bookmarkEnd w:id="136"/>
      <w:bookmarkEnd w:id="137"/>
    </w:p>
    <w:p>
      <w:pPr>
        <w:pStyle w:val="yShoulderClause"/>
      </w:pPr>
      <w:r>
        <w:t>[r. 38]</w:t>
      </w:r>
    </w:p>
    <w:p>
      <w:pPr>
        <w:pStyle w:val="yFootnoteheading"/>
      </w:pPr>
      <w:r>
        <w:tab/>
        <w:t>[Heading inserted: Gazette 5 Dec 2014 p. 4526.]</w:t>
      </w:r>
    </w:p>
    <w:p>
      <w:pPr>
        <w:pStyle w:val="yMiscellaneousBody"/>
        <w:keepNext/>
        <w:keepLines/>
        <w:ind w:firstLine="2410"/>
        <w:rPr>
          <w:rFonts w:ascii="Arial" w:hAnsi="Arial" w:cs="Arial"/>
        </w:rPr>
      </w:pPr>
      <w:r>
        <w:rPr>
          <w:rFonts w:ascii="Arial" w:hAnsi="Arial" w:cs="Arial"/>
        </w:rPr>
        <w:t>Apprenticeship/Traineeship</w:t>
      </w:r>
    </w:p>
    <w:p>
      <w:pPr>
        <w:pStyle w:val="yMiscellaneousBody"/>
        <w:keepNext/>
        <w:keepLines/>
        <w:spacing w:before="0"/>
        <w:ind w:firstLine="2410"/>
        <w:rPr>
          <w:rFonts w:ascii="Arial" w:hAnsi="Arial" w:cs="Arial"/>
          <w:b/>
          <w:bCs/>
        </w:rPr>
      </w:pPr>
      <w:r>
        <w:rPr>
          <w:rFonts w:ascii="Arial" w:hAnsi="Arial" w:cs="Arial"/>
          <w:b/>
          <w:bCs/>
          <w:sz w:val="24"/>
        </w:rPr>
        <w:t>Training Contract</w:t>
      </w:r>
    </w:p>
    <w:p>
      <w:pPr>
        <w:pStyle w:val="yMiscellaneousBody"/>
        <w:spacing w:before="0"/>
        <w:ind w:firstLine="2410"/>
        <w:rPr>
          <w:rFonts w:ascii="Arial" w:hAnsi="Arial" w:cs="Arial"/>
        </w:rPr>
      </w:pPr>
      <w:r>
        <w:rPr>
          <w:rFonts w:ascii="Arial" w:hAnsi="Arial" w:cs="Arial"/>
        </w:rPr>
        <w:t>Western Australia</w:t>
      </w:r>
    </w:p>
    <w:p>
      <w:pPr>
        <w:pStyle w:val="yMiscellaneousBody"/>
        <w:spacing w:before="0"/>
        <w:ind w:firstLine="2410"/>
        <w:rPr>
          <w:rFonts w:ascii="Arial" w:hAnsi="Arial" w:cs="Arial"/>
        </w:rPr>
      </w:pPr>
      <w:r>
        <w:rPr>
          <w:rFonts w:ascii="Arial" w:hAnsi="Arial" w:cs="Arial"/>
        </w:rPr>
        <w:t>including</w:t>
      </w:r>
    </w:p>
    <w:p>
      <w:pPr>
        <w:pStyle w:val="yMiscellaneousBody"/>
        <w:keepNext/>
        <w:keepLines/>
        <w:spacing w:before="0"/>
        <w:ind w:firstLine="2410"/>
        <w:rPr>
          <w:rFonts w:ascii="Arial" w:hAnsi="Arial" w:cs="Arial"/>
        </w:rPr>
      </w:pPr>
      <w:r>
        <w:rPr>
          <w:rFonts w:ascii="Arial" w:hAnsi="Arial" w:cs="Arial"/>
        </w:rPr>
        <w:t>Assessment for Australian Government</w:t>
      </w:r>
    </w:p>
    <w:p>
      <w:pPr>
        <w:pStyle w:val="yMiscellaneousBody"/>
        <w:spacing w:before="0"/>
        <w:ind w:firstLine="2410"/>
        <w:rPr>
          <w:rFonts w:ascii="Arial" w:hAnsi="Arial" w:cs="Arial"/>
        </w:rPr>
      </w:pPr>
      <w:r>
        <w:rPr>
          <w:rFonts w:ascii="Arial" w:hAnsi="Arial" w:cs="Arial"/>
        </w:rPr>
        <w:t>Australian Apprenticeships Incentives.</w:t>
      </w:r>
    </w:p>
    <w:p>
      <w:pPr>
        <w:pStyle w:val="yMiscellaneousBody"/>
        <w:tabs>
          <w:tab w:val="left" w:pos="2410"/>
        </w:tabs>
        <w:spacing w:before="0"/>
        <w:ind w:left="2410"/>
        <w:rPr>
          <w:rFonts w:ascii="Arial" w:hAnsi="Arial" w:cs="Arial"/>
        </w:rPr>
      </w:pPr>
      <w:r>
        <w:rPr>
          <w:rFonts w:ascii="Arial" w:hAnsi="Arial" w:cs="Arial"/>
        </w:rPr>
        <w:t>This contract must be completed with the assistance of an Australian Apprenticeships Centre.</w:t>
      </w:r>
    </w:p>
    <w:p>
      <w:pPr>
        <w:pStyle w:val="yMiscellaneousBody"/>
        <w:spacing w:before="0"/>
        <w:ind w:firstLine="2410"/>
        <w:rPr>
          <w:rFonts w:ascii="Arial" w:hAnsi="Arial" w:cs="Arial"/>
        </w:rPr>
      </w:pPr>
      <w:r>
        <w:rPr>
          <w:rFonts w:ascii="Arial" w:hAnsi="Arial" w:cs="Arial"/>
        </w:rPr>
        <w:t>This is a free service.</w:t>
      </w:r>
    </w:p>
    <w:p>
      <w:pPr>
        <w:pStyle w:val="yMiscellaneousBody"/>
        <w:spacing w:before="40"/>
        <w:ind w:left="284"/>
        <w:rPr>
          <w:rFonts w:ascii="Arial" w:hAnsi="Arial" w:cs="Arial"/>
        </w:rPr>
      </w:pPr>
      <w:r>
        <w:rPr>
          <w:rFonts w:ascii="Arial" w:hAnsi="Arial" w:cs="Arial"/>
        </w:rPr>
        <w:t>Please read this before completing the Training Contract.</w:t>
      </w:r>
    </w:p>
    <w:p>
      <w:pPr>
        <w:pStyle w:val="yMiscellaneousBody"/>
        <w:spacing w:before="40"/>
        <w:ind w:left="284"/>
        <w:rPr>
          <w:rFonts w:ascii="Arial" w:hAnsi="Arial" w:cs="Arial"/>
          <w:b/>
        </w:rPr>
      </w:pPr>
      <w:r>
        <w:rPr>
          <w:rFonts w:ascii="Arial" w:hAnsi="Arial" w:cs="Arial"/>
          <w:b/>
        </w:rPr>
        <w:t>This Training Contract must be completed with the assistance of your chosen Australian Apprenticeships Centre.</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rPr>
        <w:t>13 38 73</w:t>
      </w:r>
      <w:r>
        <w:rPr>
          <w:rFonts w:ascii="Arial" w:hAnsi="Arial" w:cs="Arial"/>
        </w:rPr>
        <w:t>; or</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rPr>
        <w:t>www.australianapprenticeships.gov.au</w:t>
      </w:r>
    </w:p>
    <w:p>
      <w:pPr>
        <w:pStyle w:val="yMiscellaneousBody"/>
        <w:spacing w:before="120"/>
        <w:rPr>
          <w:rFonts w:ascii="Arial" w:hAnsi="Arial" w:cs="Arial"/>
        </w:rPr>
      </w:pPr>
      <w:r>
        <w:rPr>
          <w:rFonts w:ascii="Arial" w:hAnsi="Arial" w:cs="Arial"/>
        </w:rPr>
        <w:t>Australian Apprenticeships Centres are contracted by the Australian Government Department of Industry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12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120"/>
        <w:rPr>
          <w:rFonts w:ascii="Arial" w:hAnsi="Arial" w:cs="Arial"/>
          <w:b/>
          <w:bCs/>
          <w:szCs w:val="22"/>
        </w:rPr>
      </w:pPr>
      <w:r>
        <w:rPr>
          <w:rFonts w:ascii="Arial" w:hAnsi="Arial" w:cs="Arial"/>
          <w:b/>
          <w:bCs/>
          <w:szCs w:val="22"/>
        </w:rPr>
        <w:t>Before completing the Training Contract please read the following sections: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Information You Need to Know </w:t>
      </w:r>
      <w:r>
        <w:rPr>
          <w:rFonts w:ascii="Arial" w:hAnsi="Arial" w:cs="Arial"/>
          <w:szCs w:val="22"/>
        </w:rPr>
        <w:t xml:space="preserve">and </w:t>
      </w:r>
      <w:r>
        <w:rPr>
          <w:rFonts w:ascii="Arial" w:hAnsi="Arial" w:cs="Arial"/>
          <w:b/>
          <w:bCs/>
          <w:szCs w:val="22"/>
        </w:rPr>
        <w:t>Information to Help Complete the Training Contract</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Training Contract Declaration </w:t>
      </w:r>
      <w:r>
        <w:rPr>
          <w:rFonts w:ascii="Arial" w:hAnsi="Arial" w:cs="Arial"/>
          <w:szCs w:val="22"/>
        </w:rPr>
        <w:t xml:space="preserve">and </w:t>
      </w:r>
      <w:r>
        <w:rPr>
          <w:rFonts w:ascii="Arial" w:hAnsi="Arial" w:cs="Arial"/>
          <w:b/>
          <w:bCs/>
          <w:szCs w:val="22"/>
        </w:rPr>
        <w:t>Obligations</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lastRenderedPageBreak/>
        <w:t>•</w:t>
      </w:r>
      <w:r>
        <w:rPr>
          <w:rFonts w:ascii="Arial" w:hAnsi="Arial" w:cs="Arial"/>
          <w:szCs w:val="22"/>
        </w:rPr>
        <w:tab/>
      </w:r>
      <w:r>
        <w:rPr>
          <w:rFonts w:ascii="Arial" w:hAnsi="Arial" w:cs="Arial"/>
          <w:b/>
          <w:bCs/>
          <w:szCs w:val="22"/>
        </w:rPr>
        <w:t>Information on Australian Government Australian Apprenticeships Incentives</w:t>
      </w:r>
      <w:r>
        <w:rPr>
          <w:rFonts w:ascii="Arial" w:hAnsi="Arial" w:cs="Arial"/>
          <w:szCs w:val="22"/>
        </w:rPr>
        <w:t>.</w:t>
      </w:r>
    </w:p>
    <w:p>
      <w:pPr>
        <w:pStyle w:val="yMiscellaneousBody"/>
        <w:spacing w:before="120"/>
        <w:rPr>
          <w:rFonts w:ascii="Arial" w:hAnsi="Arial" w:cs="Arial"/>
          <w:szCs w:val="22"/>
        </w:rPr>
      </w:pPr>
      <w:r>
        <w:rPr>
          <w:rFonts w:ascii="Arial" w:hAnsi="Arial" w:cs="Arial"/>
          <w:szCs w:val="22"/>
        </w:rPr>
        <w:t xml:space="preserve">If </w:t>
      </w:r>
      <w:r>
        <w:rPr>
          <w:rFonts w:ascii="Arial" w:hAnsi="Arial" w:cs="Arial"/>
        </w:rPr>
        <w:t>filling</w:t>
      </w:r>
      <w:r>
        <w:rPr>
          <w:rFonts w:ascii="Arial" w:hAnsi="Arial" w:cs="Arial"/>
          <w:szCs w:val="22"/>
        </w:rPr>
        <w:t xml:space="preserve"> this </w:t>
      </w:r>
      <w:r>
        <w:rPr>
          <w:rFonts w:ascii="Arial" w:hAnsi="Arial" w:cs="Arial"/>
        </w:rPr>
        <w:t>Contract</w:t>
      </w:r>
      <w:r>
        <w:rPr>
          <w:rFonts w:ascii="Arial" w:hAnsi="Arial" w:cs="Arial"/>
          <w:szCs w:val="22"/>
        </w:rPr>
        <w:t xml:space="preserve"> out by hand, please write clearly, in BLOCK LETTERS, and push firmly with a ball point pen.  Do not use correction fluid. Cross out the error and write the correct information above it.</w:t>
      </w:r>
    </w:p>
    <w:p>
      <w:pPr>
        <w:pStyle w:val="yMiscellaneousBody"/>
        <w:spacing w:before="120"/>
        <w:rPr>
          <w:rFonts w:ascii="Arial" w:hAnsi="Arial" w:cs="Arial"/>
          <w:b/>
          <w:bCs/>
          <w:szCs w:val="22"/>
        </w:rPr>
      </w:pPr>
      <w:r>
        <w:rPr>
          <w:rFonts w:ascii="Arial" w:hAnsi="Arial" w:cs="Arial"/>
          <w:b/>
          <w:bCs/>
          <w:szCs w:val="22"/>
        </w:rPr>
        <w:t>ALL corrections must be initialled by all parties to the Contract.</w:t>
      </w:r>
    </w:p>
    <w:p>
      <w:pPr>
        <w:pStyle w:val="yMiscellaneousBody"/>
        <w:spacing w:before="120"/>
        <w:rPr>
          <w:rFonts w:ascii="Arial" w:hAnsi="Arial" w:cs="Arial"/>
          <w:b/>
          <w:bCs/>
          <w:szCs w:val="22"/>
        </w:rPr>
      </w:pPr>
      <w:r>
        <w:rPr>
          <w:rFonts w:ascii="Arial" w:hAnsi="Arial" w:cs="Arial"/>
          <w:b/>
          <w:bCs/>
          <w:szCs w:val="22"/>
        </w:rPr>
        <w:t>When the Training Contract is completed your Australian Apprenticeships Centre will lodge it for approval/registration with the relevant State/Territory Training Authority.</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Cs/>
          <w:szCs w:val="22"/>
        </w:rPr>
        <w:t>You</w:t>
      </w:r>
      <w:r>
        <w:rPr>
          <w:rFonts w:ascii="Arial" w:hAnsi="Arial" w:cs="Arial"/>
          <w:szCs w:val="22"/>
        </w:rPr>
        <w:t xml:space="preserve"> should give the original Training Contract with original signatures to your Australian Apprenticeships Centre.</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keep a copy of the Training Contract for your records.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give your apprentice or trainee a copy of the Training Contract.</w:t>
      </w:r>
    </w:p>
    <w:p>
      <w:pPr>
        <w:pStyle w:val="yMiscellaneousBody"/>
        <w:spacing w:before="120"/>
        <w:rPr>
          <w:rFonts w:ascii="Arial" w:hAnsi="Arial" w:cs="Arial"/>
          <w:b/>
          <w:bCs/>
          <w:szCs w:val="22"/>
        </w:rPr>
      </w:pPr>
      <w:r>
        <w:rPr>
          <w:rFonts w:ascii="Arial" w:hAnsi="Arial" w:cs="Arial"/>
          <w:b/>
          <w:bCs/>
          <w:szCs w:val="22"/>
        </w:rPr>
        <w:t>An unsigned or incomplete Training Contract cannot be processed and will be returned for completion. Before you lodge it, make sure you have taken the steps in the following checklist: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Additional information and/or evidence required by questions 21, 22 and 24 is provided if necessary.</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The employer, the apprentice/trainee, and any guardian or parent as required, have all read, signed and dated the Training Contract.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Any alterations to any part of the document are initialled by all those who sign the Training Contract.</w:t>
      </w:r>
    </w:p>
    <w:p>
      <w:pPr>
        <w:pStyle w:val="yMiscellaneousBody"/>
        <w:spacing w:before="120"/>
        <w:rPr>
          <w:rFonts w:ascii="Arial" w:hAnsi="Arial" w:cs="Arial"/>
          <w:b/>
          <w:bCs/>
          <w:szCs w:val="22"/>
        </w:rPr>
      </w:pPr>
      <w:r>
        <w:rPr>
          <w:rFonts w:ascii="Arial" w:hAnsi="Arial" w:cs="Arial"/>
          <w:b/>
          <w:bCs/>
          <w:szCs w:val="22"/>
        </w:rPr>
        <w:t>Contacts for Further Information &amp; Assistance</w:t>
      </w:r>
    </w:p>
    <w:p>
      <w:pPr>
        <w:pStyle w:val="yMiscellaneousBody"/>
        <w:keepNext/>
        <w:spacing w:before="200"/>
        <w:rPr>
          <w:rFonts w:ascii="Arial" w:hAnsi="Arial" w:cs="Arial"/>
          <w:b/>
          <w:bCs/>
          <w:sz w:val="18"/>
          <w:szCs w:val="18"/>
        </w:rPr>
      </w:pPr>
      <w:r>
        <w:rPr>
          <w:rFonts w:ascii="Arial" w:hAnsi="Arial" w:cs="Arial"/>
          <w:b/>
          <w:bCs/>
          <w:sz w:val="18"/>
          <w:szCs w:val="18"/>
        </w:rPr>
        <w:t>Australian Apprenticeships Centres</w:t>
      </w:r>
    </w:p>
    <w:p>
      <w:pPr>
        <w:pStyle w:val="yMiscellaneousBody"/>
        <w:ind w:left="426" w:hanging="426"/>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administer Australian Government incentive payments to employers and allowances for apprentices/trainees;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provide information on Australian Apprenticeships options to employers and other interested people;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market and promote Australian Apprenticeships;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the State/Territory government department or agency to provide an integrated service;</w:t>
      </w:r>
    </w:p>
    <w:p>
      <w:pPr>
        <w:pStyle w:val="yMiscellaneousBody"/>
        <w:ind w:left="426" w:hanging="426"/>
        <w:rPr>
          <w:rFonts w:ascii="Arial" w:hAnsi="Arial" w:cs="Arial"/>
          <w:sz w:val="18"/>
          <w:szCs w:val="22"/>
        </w:rPr>
      </w:pPr>
      <w:r>
        <w:rPr>
          <w:rFonts w:ascii="Arial" w:hAnsi="Arial" w:cs="Arial"/>
          <w:sz w:val="18"/>
          <w:szCs w:val="22"/>
        </w:rPr>
        <w:lastRenderedPageBreak/>
        <w:t>•</w:t>
      </w:r>
      <w:r>
        <w:rPr>
          <w:rFonts w:ascii="Arial" w:hAnsi="Arial" w:cs="Arial"/>
          <w:sz w:val="18"/>
          <w:szCs w:val="22"/>
        </w:rPr>
        <w:tab/>
        <w:t>work with training providers, schools and other organisations to support Australian Apprenticeships; and</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provide support to employers and Australian Apprentices throughout the Australian Apprenticeship to encourage successful completion.</w:t>
      </w:r>
    </w:p>
    <w:p>
      <w:pPr>
        <w:pStyle w:val="yMiscellaneousBody"/>
        <w:ind w:left="426" w:hanging="426"/>
        <w:rPr>
          <w:rFonts w:ascii="Arial" w:hAnsi="Arial" w:cs="Arial"/>
          <w:sz w:val="18"/>
          <w:szCs w:val="22"/>
        </w:rPr>
      </w:pPr>
      <w:r>
        <w:rPr>
          <w:rFonts w:ascii="Arial" w:hAnsi="Arial" w:cs="Arial"/>
          <w:sz w:val="18"/>
          <w:szCs w:val="22"/>
        </w:rPr>
        <w:t>Australian Apprenticeships Centres are located throughout each State and Territory.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Find an Australian Apprenticeships Centre in your region by calling 13 38 73; or</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Visit the Australian Apprenticeships website at www.australianapprenticeships.gov.au</w:t>
      </w:r>
    </w:p>
    <w:p>
      <w:pPr>
        <w:pStyle w:val="yMiscellaneousBody"/>
        <w:ind w:left="426" w:hanging="426"/>
        <w:rPr>
          <w:rFonts w:ascii="Arial" w:hAnsi="Arial" w:cs="Arial"/>
          <w:b/>
          <w:bCs/>
          <w:sz w:val="18"/>
          <w:szCs w:val="18"/>
        </w:rPr>
      </w:pPr>
      <w:r>
        <w:rPr>
          <w:rFonts w:ascii="Arial" w:hAnsi="Arial" w:cs="Arial"/>
          <w:b/>
          <w:sz w:val="18"/>
          <w:szCs w:val="22"/>
        </w:rPr>
        <w:t>Western</w:t>
      </w:r>
      <w:r>
        <w:rPr>
          <w:rFonts w:ascii="Arial" w:hAnsi="Arial" w:cs="Arial"/>
          <w:b/>
          <w:bCs/>
          <w:sz w:val="18"/>
          <w:szCs w:val="22"/>
        </w:rPr>
        <w:t xml:space="preserve"> Australia Government</w:t>
      </w:r>
    </w:p>
    <w:p>
      <w:pPr>
        <w:pStyle w:val="yMiscellaneousBody"/>
        <w:ind w:firstLine="567"/>
        <w:rPr>
          <w:rFonts w:ascii="Arial" w:hAnsi="Arial" w:cs="Arial"/>
          <w:b/>
          <w:bCs/>
          <w:sz w:val="18"/>
          <w:szCs w:val="22"/>
        </w:rPr>
      </w:pPr>
      <w:r>
        <w:rPr>
          <w:rFonts w:ascii="Arial" w:hAnsi="Arial" w:cs="Arial"/>
          <w:b/>
          <w:bCs/>
          <w:sz w:val="18"/>
          <w:szCs w:val="22"/>
        </w:rPr>
        <w:t>Further information can be obtained from:</w:t>
      </w:r>
    </w:p>
    <w:p>
      <w:pPr>
        <w:pStyle w:val="yMiscellaneousBody"/>
        <w:ind w:firstLine="567"/>
        <w:rPr>
          <w:rFonts w:ascii="Arial" w:hAnsi="Arial" w:cs="Arial"/>
          <w:sz w:val="18"/>
          <w:szCs w:val="22"/>
        </w:rPr>
      </w:pPr>
      <w:r>
        <w:rPr>
          <w:rFonts w:ascii="Arial" w:hAnsi="Arial" w:cs="Arial"/>
          <w:sz w:val="18"/>
          <w:szCs w:val="22"/>
        </w:rPr>
        <w:t>Department of Training and Workforce Development</w:t>
      </w:r>
    </w:p>
    <w:p>
      <w:pPr>
        <w:pStyle w:val="yMiscellaneousBody"/>
        <w:ind w:firstLine="567"/>
        <w:rPr>
          <w:rFonts w:ascii="Arial" w:hAnsi="Arial" w:cs="Arial"/>
          <w:sz w:val="18"/>
          <w:szCs w:val="22"/>
        </w:rPr>
      </w:pPr>
      <w:r>
        <w:rPr>
          <w:rFonts w:ascii="Arial" w:hAnsi="Arial" w:cs="Arial"/>
          <w:sz w:val="18"/>
          <w:szCs w:val="22"/>
        </w:rPr>
        <w:t>Locked Bag 16, Osborne Park DC  WA  6916</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13 19 54</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(08) 6551 5499</w:t>
      </w:r>
    </w:p>
    <w:p>
      <w:pPr>
        <w:pStyle w:val="yMiscellaneousBody"/>
        <w:ind w:firstLine="567"/>
        <w:rPr>
          <w:rFonts w:ascii="Arial" w:hAnsi="Arial" w:cs="Arial"/>
          <w:sz w:val="18"/>
          <w:szCs w:val="22"/>
        </w:rPr>
      </w:pPr>
      <w:r>
        <w:rPr>
          <w:rFonts w:ascii="Arial" w:hAnsi="Arial" w:cs="Arial"/>
          <w:b/>
          <w:bCs/>
          <w:sz w:val="18"/>
          <w:szCs w:val="22"/>
        </w:rPr>
        <w:t>Fax:</w:t>
      </w:r>
      <w:r>
        <w:rPr>
          <w:rFonts w:ascii="Arial" w:hAnsi="Arial" w:cs="Arial"/>
          <w:sz w:val="18"/>
          <w:szCs w:val="22"/>
        </w:rPr>
        <w:t xml:space="preserve"> (08) 6551 5307</w:t>
      </w:r>
    </w:p>
    <w:p>
      <w:pPr>
        <w:pStyle w:val="yMiscellaneousBody"/>
        <w:ind w:firstLine="567"/>
        <w:rPr>
          <w:rFonts w:ascii="Arial" w:hAnsi="Arial" w:cs="Arial"/>
          <w:sz w:val="18"/>
          <w:szCs w:val="18"/>
        </w:rPr>
      </w:pPr>
      <w:r>
        <w:rPr>
          <w:rFonts w:ascii="Arial" w:hAnsi="Arial" w:cs="Arial"/>
          <w:b/>
          <w:bCs/>
          <w:sz w:val="18"/>
          <w:szCs w:val="22"/>
        </w:rPr>
        <w:t>Web:</w:t>
      </w:r>
      <w:r>
        <w:rPr>
          <w:rFonts w:ascii="Arial" w:hAnsi="Arial" w:cs="Arial"/>
          <w:sz w:val="18"/>
          <w:szCs w:val="22"/>
        </w:rPr>
        <w:t xml:space="preserve"> www.apprenticentre.wa.gov.au</w:t>
      </w:r>
    </w:p>
    <w:p>
      <w:pPr>
        <w:pStyle w:val="yMiscellaneousBody"/>
        <w:spacing w:before="200"/>
        <w:rPr>
          <w:rFonts w:ascii="Arial" w:hAnsi="Arial" w:cs="Arial"/>
          <w:b/>
          <w:bCs/>
          <w:szCs w:val="22"/>
        </w:rPr>
      </w:pPr>
      <w:r>
        <w:rPr>
          <w:rFonts w:ascii="Arial" w:hAnsi="Arial" w:cs="Arial"/>
          <w:b/>
          <w:bCs/>
          <w:szCs w:val="22"/>
        </w:rPr>
        <w:t>Training Contract</w:t>
      </w:r>
    </w:p>
    <w:p>
      <w:pPr>
        <w:pStyle w:val="yMiscellaneousBody"/>
        <w:spacing w:before="200"/>
        <w:rPr>
          <w:rFonts w:ascii="Arial" w:hAnsi="Arial" w:cs="Arial"/>
          <w:szCs w:val="22"/>
        </w:rPr>
      </w:pPr>
      <w:r>
        <w:rPr>
          <w:rFonts w:ascii="Arial" w:hAnsi="Arial" w:cs="Arial"/>
          <w:szCs w:val="22"/>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00"/>
        <w:rPr>
          <w:rFonts w:ascii="Arial" w:hAnsi="Arial" w:cs="Arial"/>
          <w:b/>
          <w:bCs/>
          <w:szCs w:val="22"/>
        </w:rPr>
      </w:pPr>
      <w:r>
        <w:rPr>
          <w:rFonts w:ascii="Arial" w:hAnsi="Arial" w:cs="Arial"/>
          <w:b/>
          <w:bCs/>
          <w:szCs w:val="22"/>
        </w:rPr>
        <w:t>Training Contract Declaration</w:t>
      </w:r>
    </w:p>
    <w:p>
      <w:pPr>
        <w:pStyle w:val="yMiscellaneousBody"/>
        <w:spacing w:before="200"/>
        <w:rPr>
          <w:rFonts w:ascii="Arial" w:hAnsi="Arial" w:cs="Arial"/>
          <w:szCs w:val="22"/>
        </w:rPr>
      </w:pPr>
      <w:r>
        <w:rPr>
          <w:rFonts w:ascii="Arial" w:hAnsi="Arial" w:cs="Arial"/>
          <w:szCs w:val="22"/>
        </w:rPr>
        <w:t xml:space="preserve">We, the employer, apprentice/trainee and parent or guardian (where applicable) have read and understood the </w:t>
      </w:r>
      <w:r>
        <w:rPr>
          <w:rFonts w:ascii="Arial" w:hAnsi="Arial" w:cs="Arial"/>
          <w:b/>
          <w:szCs w:val="22"/>
        </w:rPr>
        <w:t>Training Contract Obligations</w:t>
      </w:r>
      <w:r>
        <w:rPr>
          <w:rFonts w:ascii="Arial" w:hAnsi="Arial" w:cs="Arial"/>
          <w:szCs w:val="22"/>
        </w:rPr>
        <w:t xml:space="preserve"> outlined below.</w:t>
      </w:r>
    </w:p>
    <w:p>
      <w:pPr>
        <w:pStyle w:val="yMiscellaneousBody"/>
        <w:spacing w:before="200"/>
        <w:rPr>
          <w:rFonts w:ascii="Arial" w:hAnsi="Arial" w:cs="Arial"/>
          <w:szCs w:val="22"/>
        </w:rPr>
      </w:pPr>
      <w:r>
        <w:rPr>
          <w:rFonts w:ascii="Arial" w:hAnsi="Arial" w:cs="Arial"/>
          <w:szCs w:val="22"/>
        </w:rPr>
        <w:t>We declare that to the best of our knowledge the details entered on this Training Contract are true and correct. We understand that the giving of false or misleading information is a serious offence.</w:t>
      </w:r>
    </w:p>
    <w:p>
      <w:pPr>
        <w:pStyle w:val="yMiscellaneousBody"/>
        <w:keepNext/>
        <w:spacing w:before="200"/>
        <w:rPr>
          <w:rFonts w:ascii="Arial" w:hAnsi="Arial" w:cs="Arial"/>
          <w:szCs w:val="22"/>
        </w:rPr>
      </w:pPr>
      <w:r>
        <w:rPr>
          <w:rFonts w:ascii="Arial" w:hAnsi="Arial" w:cs="Arial"/>
          <w:szCs w:val="22"/>
        </w:rPr>
        <w:lastRenderedPageBreak/>
        <w:t>We understand that the information provided in this Training Contract:</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is collected for the purposes of registration, preparing statistics, reporting, program administration, monitoring and evaluation, calculating incentives and allowances paid to employers and apprentices/trainees and preventing dual payments;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be disclosed to and used for these purposes by the Australian Government, including the Department of Industry and Centrelink, State/Territory government departments and agencies, employers, our Australian Apprenticeships Centre, Registered Training Organisation (RTO), non</w:t>
      </w:r>
      <w:r>
        <w:rPr>
          <w:rFonts w:ascii="Arial" w:hAnsi="Arial" w:cs="Arial"/>
          <w:szCs w:val="22"/>
        </w:rPr>
        <w:noBreakHyphen/>
        <w:t>government education authorities and the contractors or agents of any of these organisations, departments and agencies;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also be exchanged between the Department of Industry and Centrelink (for Youth Allowance, Austudy and ABSTUDY administration) to provide confirmation that the apprentice/trainee who signed this declaration is an Australian Apprentice;</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otherwise be disclosed without consent where authorised or required by law.</w:t>
      </w:r>
    </w:p>
    <w:p>
      <w:pPr>
        <w:pStyle w:val="yMiscellaneousBody"/>
        <w:spacing w:before="200"/>
        <w:rPr>
          <w:rFonts w:ascii="Arial" w:hAnsi="Arial" w:cs="Arial"/>
          <w:szCs w:val="22"/>
        </w:rPr>
      </w:pPr>
      <w:r>
        <w:rPr>
          <w:rFonts w:ascii="Arial" w:hAnsi="Arial" w:cs="Arial"/>
          <w:szCs w:val="22"/>
        </w:rPr>
        <w:t xml:space="preserve">We understand that this Apprenticeship/Traineeship Contract is legally binding in accordance with the </w:t>
      </w:r>
      <w:r>
        <w:rPr>
          <w:rFonts w:ascii="Arial" w:hAnsi="Arial" w:cs="Arial"/>
          <w:b/>
          <w:szCs w:val="22"/>
        </w:rPr>
        <w:t>Training Contract Obligations</w:t>
      </w:r>
      <w:r>
        <w:rPr>
          <w:rFonts w:ascii="Arial" w:hAnsi="Arial" w:cs="Arial"/>
          <w:szCs w:val="22"/>
        </w:rPr>
        <w:t xml:space="preserve"> set out below and the legislation of the State or Territory in which this Training Contract is to be registered.</w:t>
      </w:r>
    </w:p>
    <w:p>
      <w:pPr>
        <w:pStyle w:val="yMiscellaneousBody"/>
        <w:spacing w:before="200"/>
        <w:rPr>
          <w:rFonts w:ascii="Arial" w:hAnsi="Arial" w:cs="Arial"/>
          <w:szCs w:val="22"/>
        </w:rPr>
      </w:pPr>
      <w:r>
        <w:rPr>
          <w:rFonts w:ascii="Arial" w:hAnsi="Arial" w:cs="Arial"/>
          <w:szCs w:val="22"/>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200" w:after="240"/>
        <w:rPr>
          <w:rFonts w:ascii="Arial" w:hAnsi="Arial" w:cs="Arial"/>
          <w:szCs w:val="22"/>
        </w:rPr>
      </w:pPr>
      <w:r>
        <w:rPr>
          <w:rFonts w:ascii="Arial" w:hAnsi="Arial" w:cs="Arial"/>
          <w:szCs w:val="22"/>
        </w:rPr>
        <w:t>We undertake to negotiate and sign a Training Plan with the chosen RTO as required by the relevant State/Territory Training Authority.</w:t>
      </w:r>
    </w:p>
    <w:tbl>
      <w:tblPr>
        <w:tblW w:w="70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611"/>
      </w:tblGrid>
      <w:tr>
        <w:trPr>
          <w:cantSplit/>
        </w:trPr>
        <w:tc>
          <w:tcPr>
            <w:tcW w:w="7013" w:type="dxa"/>
            <w:gridSpan w:val="2"/>
            <w:tcBorders>
              <w:bottom w:val="nil"/>
            </w:tcBorders>
          </w:tcPr>
          <w:p>
            <w:pPr>
              <w:pStyle w:val="yTableNAm"/>
              <w:keepNext/>
              <w:rPr>
                <w:rFonts w:ascii="Arial" w:hAnsi="Arial"/>
                <w:b/>
                <w:bCs/>
                <w:sz w:val="20"/>
              </w:rPr>
            </w:pPr>
            <w:r>
              <w:rPr>
                <w:rFonts w:ascii="Arial" w:hAnsi="Arial"/>
                <w:b/>
                <w:bCs/>
                <w:sz w:val="20"/>
              </w:rPr>
              <w:lastRenderedPageBreak/>
              <w:t xml:space="preserve">The employer representative </w:t>
            </w:r>
            <w:r>
              <w:rPr>
                <w:rFonts w:ascii="Arial" w:hAnsi="Arial"/>
                <w:bCs/>
                <w:sz w:val="20"/>
              </w:rPr>
              <w:t>(on behalf of the employer named in Question 28)</w:t>
            </w:r>
          </w:p>
        </w:tc>
      </w:tr>
      <w:tr>
        <w:trPr>
          <w:cantSplit/>
        </w:trPr>
        <w:tc>
          <w:tcPr>
            <w:tcW w:w="3402" w:type="dxa"/>
            <w:tcBorders>
              <w:top w:val="nil"/>
              <w:bottom w:val="nil"/>
              <w:right w:val="nil"/>
            </w:tcBorders>
          </w:tcPr>
          <w:p>
            <w:pPr>
              <w:pStyle w:val="yTableNAm"/>
              <w:keepNext/>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rPr>
                <w:rFonts w:ascii="Arial" w:hAnsi="Arial"/>
                <w:b/>
                <w:bCs/>
                <w:sz w:val="20"/>
              </w:rPr>
            </w:pPr>
          </w:p>
        </w:tc>
        <w:tc>
          <w:tcPr>
            <w:tcW w:w="3611" w:type="dxa"/>
            <w:tcBorders>
              <w:top w:val="nil"/>
              <w:left w:val="nil"/>
              <w:bottom w:val="nil"/>
            </w:tcBorders>
          </w:tcPr>
          <w:p>
            <w:pPr>
              <w:pStyle w:val="yTableNAm"/>
              <w:keepNext/>
              <w:rPr>
                <w:rFonts w:ascii="Arial" w:hAnsi="Arial"/>
                <w:b/>
                <w:bCs/>
                <w:sz w:val="20"/>
              </w:rPr>
            </w:pPr>
            <w:r>
              <w:rPr>
                <w:rFonts w:ascii="Arial" w:hAnsi="Arial"/>
                <w:b/>
                <w:bCs/>
                <w:sz w:val="20"/>
              </w:rPr>
              <w:t xml:space="preserve">Given names </w:t>
            </w:r>
            <w:r>
              <w:rPr>
                <w:rFonts w:ascii="Arial" w:hAnsi="Arial"/>
                <w:bCs/>
                <w:sz w:val="20"/>
              </w:rPr>
              <w:t>(in full)</w:t>
            </w:r>
          </w:p>
          <w:p>
            <w:pPr>
              <w:pStyle w:val="yTableNAm"/>
              <w:keepNext/>
              <w:rPr>
                <w:rFonts w:ascii="Arial" w:hAnsi="Arial"/>
                <w:b/>
                <w:bCs/>
                <w:sz w:val="20"/>
              </w:rPr>
            </w:pP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Signature of employer representative</w:t>
            </w:r>
          </w:p>
        </w:tc>
      </w:tr>
      <w:tr>
        <w:trPr>
          <w:cantSplit/>
        </w:trPr>
        <w:tc>
          <w:tcPr>
            <w:tcW w:w="7013" w:type="dxa"/>
            <w:gridSpan w:val="2"/>
            <w:tcBorders>
              <w:bottom w:val="nil"/>
            </w:tcBorders>
          </w:tcPr>
          <w:p>
            <w:pPr>
              <w:pStyle w:val="yTableNAm"/>
              <w:keepNext/>
              <w:keepLines/>
              <w:rPr>
                <w:rFonts w:ascii="Arial" w:hAnsi="Arial"/>
                <w:b/>
                <w:bCs/>
                <w:sz w:val="20"/>
              </w:rPr>
            </w:pPr>
            <w:r>
              <w:rPr>
                <w:rFonts w:ascii="Arial" w:hAnsi="Arial"/>
                <w:b/>
                <w:bCs/>
                <w:sz w:val="20"/>
              </w:rPr>
              <w:t>The apprentice/trainee</w:t>
            </w: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keepLines/>
              <w:rPr>
                <w:rFonts w:ascii="Arial" w:hAnsi="Arial"/>
                <w:b/>
                <w:bCs/>
                <w:sz w:val="20"/>
              </w:rPr>
            </w:pP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Given names (in full)</w:t>
            </w:r>
          </w:p>
          <w:p>
            <w:pPr>
              <w:pStyle w:val="yTableNAm"/>
              <w:keepNext/>
              <w:keepLines/>
              <w:rPr>
                <w:rFonts w:ascii="Arial" w:hAnsi="Arial"/>
                <w:b/>
                <w:bCs/>
                <w:sz w:val="20"/>
              </w:rPr>
            </w:pP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Signed this day:</w:t>
            </w:r>
          </w:p>
          <w:p>
            <w:pPr>
              <w:pStyle w:val="yTableNAm"/>
              <w:keepNext/>
              <w:keepLines/>
              <w:rPr>
                <w:rFonts w:ascii="Arial" w:hAnsi="Arial"/>
                <w:bCs/>
                <w:sz w:val="20"/>
              </w:rPr>
            </w:pPr>
            <w:r>
              <w:rPr>
                <w:rFonts w:ascii="Arial" w:hAnsi="Arial"/>
                <w:bCs/>
                <w:sz w:val="20"/>
              </w:rPr>
              <w:t>Day    /Month    /Year</w:t>
            </w: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Signature of apprentice/trainee</w:t>
            </w: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 xml:space="preserve">Signature of parent/guardian </w:t>
            </w:r>
            <w:r>
              <w:rPr>
                <w:rFonts w:ascii="Arial" w:hAnsi="Arial"/>
                <w:bCs/>
                <w:sz w:val="20"/>
              </w:rPr>
              <w:t>(for apprentice/trainee under 18 years of age)</w:t>
            </w:r>
          </w:p>
          <w:p>
            <w:pPr>
              <w:pStyle w:val="yTableNAm"/>
              <w:rPr>
                <w:rFonts w:ascii="Arial" w:hAnsi="Arial"/>
                <w:b/>
                <w:bCs/>
                <w:sz w:val="20"/>
              </w:rPr>
            </w:pPr>
          </w:p>
        </w:tc>
      </w:tr>
      <w:tr>
        <w:trPr>
          <w:cantSplit/>
        </w:trPr>
        <w:tc>
          <w:tcPr>
            <w:tcW w:w="7013" w:type="dxa"/>
            <w:gridSpan w:val="2"/>
            <w:tcBorders>
              <w:bottom w:val="single" w:sz="4" w:space="0" w:color="auto"/>
            </w:tcBorders>
          </w:tcPr>
          <w:p>
            <w:pPr>
              <w:pStyle w:val="yTableNAm"/>
              <w:rPr>
                <w:rFonts w:ascii="Arial" w:hAnsi="Arial"/>
                <w:b/>
                <w:bCs/>
                <w:sz w:val="20"/>
              </w:rPr>
            </w:pPr>
            <w:r>
              <w:rPr>
                <w:rFonts w:ascii="Arial" w:hAnsi="Arial"/>
                <w:b/>
                <w:bCs/>
                <w:sz w:val="20"/>
              </w:rPr>
              <w:t xml:space="preserve">Name of Apprenticeship/Traineeship </w:t>
            </w:r>
            <w:r>
              <w:rPr>
                <w:rFonts w:ascii="Arial" w:hAnsi="Arial"/>
                <w:bCs/>
                <w:sz w:val="20"/>
              </w:rPr>
              <w:t>(as designated by legislation/regulation):</w:t>
            </w:r>
          </w:p>
          <w:p>
            <w:pPr>
              <w:pStyle w:val="yTableNAm"/>
              <w:rPr>
                <w:rFonts w:ascii="Arial" w:hAnsi="Arial"/>
                <w:b/>
                <w:bCs/>
                <w:sz w:val="20"/>
                <w:szCs w:val="22"/>
              </w:rPr>
            </w:pPr>
          </w:p>
        </w:tc>
      </w:tr>
    </w:tbl>
    <w:p>
      <w:pPr>
        <w:pStyle w:val="yMiscellaneousBody"/>
        <w:spacing w:before="200"/>
        <w:rPr>
          <w:rFonts w:ascii="Arial" w:hAnsi="Arial" w:cs="Arial"/>
          <w:b/>
          <w:bCs/>
          <w:szCs w:val="22"/>
        </w:rPr>
      </w:pPr>
      <w:r>
        <w:rPr>
          <w:rFonts w:ascii="Arial" w:hAnsi="Arial" w:cs="Arial"/>
          <w:b/>
          <w:bCs/>
          <w:szCs w:val="22"/>
        </w:rPr>
        <w:t>Training Contract Obligations</w:t>
      </w:r>
    </w:p>
    <w:p>
      <w:pPr>
        <w:pStyle w:val="yMiscellaneousBody"/>
        <w:keepNext/>
        <w:spacing w:before="200"/>
        <w:rPr>
          <w:rFonts w:ascii="Arial" w:hAnsi="Arial" w:cs="Arial"/>
          <w:b/>
          <w:bCs/>
          <w:szCs w:val="22"/>
        </w:rPr>
      </w:pPr>
      <w:r>
        <w:rPr>
          <w:rFonts w:ascii="Arial" w:hAnsi="Arial" w:cs="Arial"/>
          <w:b/>
          <w:bCs/>
          <w:sz w:val="20"/>
          <w:szCs w:val="22"/>
        </w:rPr>
        <w:t>For the employer, apprentice or trainee, and parent or guardian (where applicable). We agree that:</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the Contract commences from the date stated in question 3, provided that it has been registered or approved under the provisions of the relevant State/Territory legislation;</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ind w:left="284" w:hanging="284"/>
        <w:rPr>
          <w:rFonts w:ascii="Arial" w:hAnsi="Arial" w:cs="Arial"/>
          <w:sz w:val="20"/>
          <w:szCs w:val="22"/>
        </w:rPr>
      </w:pPr>
      <w:r>
        <w:rPr>
          <w:rFonts w:ascii="Arial" w:hAnsi="Arial" w:cs="Arial"/>
          <w:sz w:val="20"/>
          <w:szCs w:val="22"/>
        </w:rPr>
        <w:lastRenderedPageBreak/>
        <w:t>c)</w:t>
      </w:r>
      <w:r>
        <w:rPr>
          <w:rFonts w:ascii="Arial" w:hAnsi="Arial" w:cs="Arial"/>
          <w:sz w:val="20"/>
          <w:szCs w:val="22"/>
        </w:rPr>
        <w:tab/>
        <w:t>the apprentice/trainee can see, and correct, any information about himself/herself in this Contract or held by the employer in relation to this Contract;</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the apprentice/trainee is not liable for any unintentional damage to material or property in the course of their work and training;</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we will try to resolve any dispute we have between us, and if we can’t, we will contact our State/Territory Training Authority to request assistance or to access the appropriate dispute resolution processes;</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the Contract can be audited by the relevant State/Territory Training Authority or Australian Government Department;</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this Contract expires if it reaches the expected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ind w:left="284" w:hanging="284"/>
        <w:rPr>
          <w:rFonts w:ascii="Arial" w:hAnsi="Arial" w:cs="Arial"/>
          <w:sz w:val="20"/>
        </w:rPr>
      </w:pPr>
      <w:r>
        <w:rPr>
          <w:rFonts w:ascii="Arial" w:hAnsi="Arial" w:cs="Arial"/>
          <w:sz w:val="20"/>
          <w:szCs w:val="22"/>
        </w:rPr>
        <w:t>i)</w:t>
      </w:r>
      <w:r>
        <w:rPr>
          <w:rFonts w:ascii="Arial" w:hAnsi="Arial" w:cs="Arial"/>
          <w:sz w:val="20"/>
          <w:szCs w:val="22"/>
        </w:rPr>
        <w:tab/>
        <w:t>this Contract may be terminated in accordance with State/Territory legislation;</w:t>
      </w:r>
    </w:p>
    <w:p>
      <w:pPr>
        <w:pStyle w:val="yMiscellaneousBody"/>
        <w:ind w:left="284" w:hanging="284"/>
      </w:pPr>
      <w:r>
        <w:rPr>
          <w:rFonts w:ascii="Arial" w:hAnsi="Arial" w:cs="Arial"/>
          <w:sz w:val="20"/>
        </w:rPr>
        <w:t>j)</w:t>
      </w:r>
      <w:r>
        <w:rPr>
          <w:rFonts w:ascii="Arial" w:hAnsi="Arial" w:cs="Arial"/>
          <w:sz w:val="20"/>
        </w:rPr>
        <w:tab/>
        <w:t>any competency based wage progression clause, in an award that this Contract is subject to, cannot be invoked using units gained institutionally**, until —</w:t>
      </w:r>
    </w:p>
    <w:p>
      <w:pPr>
        <w:pStyle w:val="yMiscellaneousBody"/>
        <w:tabs>
          <w:tab w:val="left" w:pos="851"/>
        </w:tabs>
        <w:ind w:left="851" w:hanging="284"/>
        <w:rPr>
          <w:rFonts w:ascii="Arial" w:hAnsi="Arial" w:cs="Arial"/>
          <w:sz w:val="20"/>
        </w:rPr>
      </w:pPr>
      <w:r>
        <w:rPr>
          <w:rFonts w:ascii="Arial" w:hAnsi="Arial" w:cs="Arial"/>
          <w:sz w:val="20"/>
        </w:rPr>
        <w:t>i)</w:t>
      </w:r>
      <w:r>
        <w:rPr>
          <w:rFonts w:ascii="Arial" w:hAnsi="Arial" w:cs="Arial"/>
          <w:sz w:val="20"/>
        </w:rPr>
        <w:tab/>
        <w:t>the apprentice has completed 9 months of employment in this Contract; or</w:t>
      </w:r>
    </w:p>
    <w:p>
      <w:pPr>
        <w:pStyle w:val="yMiscellaneousBody"/>
        <w:tabs>
          <w:tab w:val="left" w:pos="851"/>
        </w:tabs>
        <w:ind w:left="851" w:hanging="284"/>
        <w:rPr>
          <w:rFonts w:ascii="Arial" w:hAnsi="Arial" w:cs="Arial"/>
          <w:sz w:val="20"/>
        </w:rPr>
      </w:pPr>
      <w:r>
        <w:rPr>
          <w:rFonts w:ascii="Arial" w:hAnsi="Arial" w:cs="Arial"/>
          <w:sz w:val="20"/>
        </w:rPr>
        <w:t>ii)</w:t>
      </w:r>
      <w:r>
        <w:rPr>
          <w:rFonts w:ascii="Arial" w:hAnsi="Arial" w:cs="Arial"/>
          <w:sz w:val="20"/>
        </w:rPr>
        <w:tab/>
        <w:t>the apprentice has completed, in this Contract, a period of employment mutually agreed by parties to the Contract. The period may be shorter than the 9 month requirement.</w:t>
      </w:r>
    </w:p>
    <w:p>
      <w:pPr>
        <w:pStyle w:val="yMiscellaneousBody"/>
        <w:tabs>
          <w:tab w:val="left" w:pos="851"/>
        </w:tabs>
        <w:ind w:left="851" w:hanging="284"/>
        <w:rPr>
          <w:rFonts w:ascii="Arial" w:hAnsi="Arial" w:cs="Arial"/>
          <w:sz w:val="16"/>
          <w:szCs w:val="16"/>
        </w:rPr>
      </w:pPr>
      <w:r>
        <w:rPr>
          <w:rFonts w:ascii="Arial" w:hAnsi="Arial" w:cs="Arial"/>
          <w:sz w:val="16"/>
          <w:szCs w:val="16"/>
        </w:rPr>
        <w:t>**</w:t>
      </w:r>
      <w:r>
        <w:rPr>
          <w:rFonts w:ascii="Arial" w:hAnsi="Arial" w:cs="Arial"/>
          <w:sz w:val="16"/>
          <w:szCs w:val="16"/>
        </w:rPr>
        <w:tab/>
      </w:r>
      <w:r>
        <w:rPr>
          <w:rFonts w:ascii="Arial" w:hAnsi="Arial" w:cs="Arial"/>
          <w:b/>
          <w:i/>
          <w:sz w:val="16"/>
          <w:szCs w:val="16"/>
        </w:rPr>
        <w:t>units gained institutionally</w:t>
      </w:r>
      <w:r>
        <w:rPr>
          <w:rFonts w:ascii="Arial" w:hAnsi="Arial" w:cs="Arial"/>
          <w:sz w:val="16"/>
          <w:szCs w:val="16"/>
        </w:rPr>
        <w:t xml:space="preserve"> means units gained as part of a prior qualification such as a pre-apprenticeship, but does not include units attained by fulfilling the obligations of an apprentice under a training contract.</w:t>
      </w:r>
    </w:p>
    <w:p>
      <w:pPr>
        <w:pStyle w:val="yMiscellaneousBody"/>
        <w:keepNext/>
        <w:spacing w:before="200"/>
        <w:rPr>
          <w:rFonts w:ascii="Arial" w:hAnsi="Arial" w:cs="Arial"/>
          <w:b/>
          <w:bCs/>
          <w:szCs w:val="22"/>
        </w:rPr>
      </w:pPr>
      <w:r>
        <w:rPr>
          <w:rFonts w:ascii="Arial" w:hAnsi="Arial" w:cs="Arial"/>
          <w:b/>
          <w:bCs/>
          <w:sz w:val="20"/>
          <w:szCs w:val="22"/>
        </w:rPr>
        <w:t>For the employer. I agree that I will:</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employ and train the apprentice/trainee as agreed in our Training Plan and ensure the apprentice/trainee understands the choices that he/she has regarding the training;</w:t>
      </w:r>
    </w:p>
    <w:p>
      <w:pPr>
        <w:pStyle w:val="yMiscellaneousBody"/>
        <w:ind w:left="284" w:hanging="284"/>
        <w:rPr>
          <w:rFonts w:ascii="Arial" w:hAnsi="Arial" w:cs="Arial"/>
          <w:sz w:val="20"/>
          <w:szCs w:val="22"/>
        </w:rPr>
      </w:pPr>
      <w:r>
        <w:rPr>
          <w:rFonts w:ascii="Arial" w:hAnsi="Arial" w:cs="Arial"/>
          <w:sz w:val="20"/>
          <w:szCs w:val="22"/>
        </w:rPr>
        <w:lastRenderedPageBreak/>
        <w:t>b)</w:t>
      </w:r>
      <w:r>
        <w:rPr>
          <w:rFonts w:ascii="Arial" w:hAnsi="Arial" w:cs="Arial"/>
          <w:sz w:val="20"/>
          <w:szCs w:val="22"/>
        </w:rPr>
        <w:tab/>
        <w:t>provide the appropriate facilities and experienced people to facilitate the training and supervise the apprentice/trainee while at work, in accordance with the Training Plan;</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make sure the apprentice/trainee receives on</w:t>
      </w:r>
      <w:r>
        <w:rPr>
          <w:rFonts w:ascii="Arial" w:hAnsi="Arial" w:cs="Arial"/>
          <w:sz w:val="20"/>
          <w:szCs w:val="22"/>
        </w:rPr>
        <w:noBreakHyphen/>
        <w:t>the</w:t>
      </w:r>
      <w:r>
        <w:rPr>
          <w:rFonts w:ascii="Arial" w:hAnsi="Arial" w:cs="Arial"/>
          <w:sz w:val="20"/>
          <w:szCs w:val="22"/>
        </w:rPr>
        <w:noBreakHyphen/>
        <w:t>job training and assessment in accordance with our Training Plan;</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provide work that is relevant and appropriate to the vocation and also to the achievement of the qualification referred to in this Contract;</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release the apprentice/trainee from work to attend any training and assessment specified in our Training Plan;</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pay the apprentice/trainee the appropriate wages to attend any training and assessment specified in the Training Plan noting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meet all legal requirements regarding the apprentice/trainee, including but not limited to, occupational health and safety requirements and payment of wages and conditions under the relevant employment arrangements;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repay any payment I receive that I am not entitled to;</w:t>
      </w:r>
    </w:p>
    <w:p>
      <w:pPr>
        <w:pStyle w:val="yMiscellaneousBody"/>
        <w:ind w:left="284" w:hanging="284"/>
        <w:rPr>
          <w:rFonts w:ascii="Arial" w:hAnsi="Arial" w:cs="Arial"/>
          <w:sz w:val="20"/>
          <w:szCs w:val="22"/>
        </w:rPr>
      </w:pPr>
      <w:r>
        <w:rPr>
          <w:rFonts w:ascii="Arial" w:hAnsi="Arial" w:cs="Arial"/>
          <w:sz w:val="20"/>
          <w:szCs w:val="22"/>
        </w:rPr>
        <w:t>i)</w:t>
      </w:r>
      <w:r>
        <w:rPr>
          <w:rFonts w:ascii="Arial" w:hAnsi="Arial" w:cs="Arial"/>
          <w:sz w:val="20"/>
          <w:szCs w:val="22"/>
        </w:rPr>
        <w:tab/>
        <w:t>work with our RTO and the apprentice/trainee to make sure we follow our Training Plan, keep training records up</w:t>
      </w:r>
      <w:r>
        <w:rPr>
          <w:rFonts w:ascii="Arial" w:hAnsi="Arial" w:cs="Arial"/>
          <w:sz w:val="20"/>
          <w:szCs w:val="22"/>
        </w:rPr>
        <w:noBreakHyphen/>
        <w:t>to</w:t>
      </w:r>
      <w:r>
        <w:rPr>
          <w:rFonts w:ascii="Arial" w:hAnsi="Arial" w:cs="Arial"/>
          <w:sz w:val="20"/>
          <w:szCs w:val="22"/>
        </w:rPr>
        <w:noBreakHyphen/>
        <w:t>date, and monitor and support the apprentice/trainee’s progress; and</w:t>
      </w:r>
    </w:p>
    <w:p>
      <w:pPr>
        <w:pStyle w:val="yMiscellaneousBody"/>
        <w:ind w:left="284" w:hanging="284"/>
        <w:rPr>
          <w:rFonts w:ascii="Arial" w:hAnsi="Arial" w:cs="Arial"/>
          <w:sz w:val="20"/>
          <w:szCs w:val="22"/>
        </w:rPr>
      </w:pPr>
      <w:r>
        <w:rPr>
          <w:rFonts w:ascii="Arial" w:hAnsi="Arial" w:cs="Arial"/>
          <w:sz w:val="20"/>
          <w:szCs w:val="22"/>
        </w:rPr>
        <w:t>j)</w:t>
      </w:r>
      <w:r>
        <w:rPr>
          <w:rFonts w:ascii="Arial" w:hAnsi="Arial" w:cs="Arial"/>
          <w:sz w:val="20"/>
          <w:szCs w:val="22"/>
        </w:rPr>
        <w:tab/>
        <w:t>let the relevant State/Territory Training Authority and the RTO know within five working days (or when the local State/Territory legislation requires, if this is different) if our Training Contract has become jeopardised.</w:t>
      </w:r>
    </w:p>
    <w:p>
      <w:pPr>
        <w:pStyle w:val="yMiscellaneousBody"/>
        <w:keepNext/>
        <w:spacing w:before="200"/>
        <w:rPr>
          <w:rFonts w:ascii="Arial" w:hAnsi="Arial" w:cs="Arial"/>
          <w:sz w:val="20"/>
        </w:rPr>
      </w:pPr>
      <w:r>
        <w:rPr>
          <w:rFonts w:ascii="Arial" w:hAnsi="Arial" w:cs="Arial"/>
          <w:sz w:val="20"/>
          <w:szCs w:val="22"/>
        </w:rPr>
        <w:t>I acknowledge that it is an offence to use information in the Contract to discriminate against any person, including the apprentice/trainee.</w:t>
      </w:r>
    </w:p>
    <w:p>
      <w:pPr>
        <w:pStyle w:val="yMiscellaneousBody"/>
        <w:keepNext/>
        <w:spacing w:before="200"/>
        <w:rPr>
          <w:rFonts w:ascii="Arial" w:hAnsi="Arial" w:cs="Arial"/>
          <w:b/>
          <w:bCs/>
          <w:szCs w:val="22"/>
        </w:rPr>
      </w:pPr>
      <w:r>
        <w:rPr>
          <w:rFonts w:ascii="Arial" w:hAnsi="Arial" w:cs="Arial"/>
          <w:b/>
          <w:bCs/>
          <w:sz w:val="20"/>
          <w:szCs w:val="22"/>
        </w:rPr>
        <w:t>For the apprentice/trainee. I agree that I will:</w:t>
      </w:r>
    </w:p>
    <w:p>
      <w:pPr>
        <w:pStyle w:val="yMiscellaneousBody"/>
        <w:ind w:left="284" w:hanging="284"/>
        <w:rPr>
          <w:rFonts w:ascii="Arial" w:hAnsi="Arial" w:cs="Arial"/>
          <w:szCs w:val="22"/>
        </w:rPr>
      </w:pPr>
      <w:r>
        <w:rPr>
          <w:rFonts w:ascii="Arial" w:hAnsi="Arial" w:cs="Arial"/>
          <w:szCs w:val="22"/>
        </w:rPr>
        <w:t>a)</w:t>
      </w:r>
      <w:r>
        <w:rPr>
          <w:rFonts w:ascii="Arial" w:hAnsi="Arial" w:cs="Arial"/>
          <w:szCs w:val="22"/>
        </w:rPr>
        <w:tab/>
        <w:t>attend work, do my job, and follow my employer’s instructions, as long as they are lawful;</w:t>
      </w:r>
    </w:p>
    <w:p>
      <w:pPr>
        <w:pStyle w:val="yMiscellaneousBody"/>
        <w:ind w:left="284" w:hanging="284"/>
        <w:rPr>
          <w:rFonts w:ascii="Arial" w:hAnsi="Arial" w:cs="Arial"/>
          <w:szCs w:val="22"/>
        </w:rPr>
      </w:pPr>
      <w:r>
        <w:rPr>
          <w:rFonts w:ascii="Arial" w:hAnsi="Arial" w:cs="Arial"/>
          <w:szCs w:val="22"/>
        </w:rPr>
        <w:t>b)</w:t>
      </w:r>
      <w:r>
        <w:rPr>
          <w:rFonts w:ascii="Arial" w:hAnsi="Arial" w:cs="Arial"/>
          <w:szCs w:val="22"/>
        </w:rPr>
        <w:tab/>
        <w:t>work towards achieving the qualification stated in our Training Contract;</w:t>
      </w:r>
    </w:p>
    <w:p>
      <w:pPr>
        <w:pStyle w:val="yMiscellaneousBody"/>
        <w:ind w:left="284" w:hanging="284"/>
        <w:rPr>
          <w:rFonts w:ascii="Arial" w:hAnsi="Arial" w:cs="Arial"/>
          <w:szCs w:val="22"/>
        </w:rPr>
      </w:pPr>
      <w:r>
        <w:rPr>
          <w:rFonts w:ascii="Arial" w:hAnsi="Arial" w:cs="Arial"/>
          <w:szCs w:val="22"/>
        </w:rPr>
        <w:t>c)</w:t>
      </w:r>
      <w:r>
        <w:rPr>
          <w:rFonts w:ascii="Arial" w:hAnsi="Arial" w:cs="Arial"/>
          <w:szCs w:val="22"/>
        </w:rPr>
        <w:tab/>
        <w:t>undertake any training and assessment in our Training Plan.</w:t>
      </w:r>
    </w:p>
    <w:p>
      <w:pPr>
        <w:pStyle w:val="yMiscellaneousBody"/>
        <w:keepNext/>
        <w:spacing w:before="200"/>
        <w:ind w:left="284"/>
        <w:rPr>
          <w:rFonts w:ascii="Arial" w:hAnsi="Arial" w:cs="Arial"/>
          <w:b/>
          <w:bCs/>
          <w:szCs w:val="22"/>
        </w:rPr>
      </w:pPr>
      <w:r>
        <w:rPr>
          <w:rFonts w:ascii="Arial" w:hAnsi="Arial" w:cs="Arial"/>
          <w:b/>
          <w:bCs/>
          <w:sz w:val="20"/>
          <w:szCs w:val="22"/>
        </w:rPr>
        <w:lastRenderedPageBreak/>
        <w:t>For the parent or guardian.</w:t>
      </w:r>
    </w:p>
    <w:p>
      <w:pPr>
        <w:pStyle w:val="yMiscellaneousBody"/>
        <w:spacing w:before="200"/>
        <w:ind w:left="284"/>
        <w:rPr>
          <w:rFonts w:ascii="Arial" w:hAnsi="Arial" w:cs="Arial"/>
          <w:sz w:val="20"/>
        </w:rPr>
      </w:pPr>
      <w:r>
        <w:rPr>
          <w:rFonts w:ascii="Arial" w:hAnsi="Arial" w:cs="Arial"/>
          <w:sz w:val="20"/>
          <w:szCs w:val="22"/>
        </w:rPr>
        <w:t>I agree that I will uphold the responsibilities listed above for the apprentice/trainee until this person is 18 years of age.</w:t>
      </w:r>
    </w:p>
    <w:p>
      <w:pPr>
        <w:pStyle w:val="yMiscellaneousBody"/>
        <w:keepNext/>
        <w:spacing w:before="200" w:after="200"/>
        <w:rPr>
          <w:rFonts w:ascii="Arial" w:hAnsi="Arial" w:cs="Arial"/>
          <w:b/>
          <w:bCs/>
          <w:szCs w:val="22"/>
        </w:rPr>
      </w:pPr>
      <w:r>
        <w:rPr>
          <w:rFonts w:ascii="Arial" w:hAnsi="Arial" w:cs="Arial"/>
          <w:b/>
          <w:bCs/>
          <w:szCs w:val="22"/>
        </w:rPr>
        <w:t>Apprenticeship/Traineeship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keepNext/>
              <w:rPr>
                <w:rFonts w:ascii="Arial" w:hAnsi="Arial" w:cs="Arial"/>
                <w:sz w:val="20"/>
                <w:szCs w:val="22"/>
              </w:rPr>
            </w:pPr>
            <w:r>
              <w:rPr>
                <w:rFonts w:ascii="Arial" w:hAnsi="Arial" w:cs="Arial"/>
                <w:sz w:val="20"/>
              </w:rPr>
              <w:t>1</w:t>
            </w:r>
          </w:p>
        </w:tc>
        <w:tc>
          <w:tcPr>
            <w:tcW w:w="6521" w:type="dxa"/>
          </w:tcPr>
          <w:p>
            <w:pPr>
              <w:pStyle w:val="yTableNAm"/>
              <w:keepNext/>
              <w:rPr>
                <w:rFonts w:ascii="Arial" w:hAnsi="Arial" w:cs="Arial"/>
                <w:sz w:val="20"/>
                <w:szCs w:val="22"/>
              </w:rPr>
            </w:pPr>
            <w:r>
              <w:rPr>
                <w:rFonts w:ascii="Arial" w:hAnsi="Arial" w:cs="Arial"/>
                <w:sz w:val="20"/>
                <w:szCs w:val="22"/>
              </w:rPr>
              <w:t>Title and level of qualification</w:t>
            </w:r>
          </w:p>
          <w:p>
            <w:pPr>
              <w:pStyle w:val="yTableNAm"/>
              <w:keepNext/>
              <w:rPr>
                <w:rFonts w:ascii="Arial" w:hAnsi="Arial" w:cs="Arial"/>
                <w:sz w:val="20"/>
                <w:szCs w:val="22"/>
              </w:rPr>
            </w:pPr>
          </w:p>
        </w:tc>
      </w:tr>
      <w:tr>
        <w:tc>
          <w:tcPr>
            <w:tcW w:w="567" w:type="dxa"/>
          </w:tcPr>
          <w:p>
            <w:pPr>
              <w:pStyle w:val="yTableNAm"/>
              <w:keepNext/>
              <w:rPr>
                <w:rFonts w:ascii="Arial" w:hAnsi="Arial" w:cs="Arial"/>
                <w:sz w:val="20"/>
                <w:szCs w:val="22"/>
              </w:rPr>
            </w:pPr>
            <w:r>
              <w:rPr>
                <w:rFonts w:ascii="Arial" w:hAnsi="Arial" w:cs="Arial"/>
                <w:sz w:val="20"/>
                <w:szCs w:val="22"/>
              </w:rPr>
              <w:t>2</w:t>
            </w:r>
          </w:p>
        </w:tc>
        <w:tc>
          <w:tcPr>
            <w:tcW w:w="6521" w:type="dxa"/>
          </w:tcPr>
          <w:p>
            <w:pPr>
              <w:pStyle w:val="yTableNAm"/>
              <w:keepNext/>
              <w:rPr>
                <w:rFonts w:ascii="Arial" w:hAnsi="Arial" w:cs="Arial"/>
                <w:sz w:val="20"/>
                <w:szCs w:val="22"/>
              </w:rPr>
            </w:pPr>
            <w:r>
              <w:rPr>
                <w:rFonts w:ascii="Arial" w:hAnsi="Arial" w:cs="Arial"/>
                <w:sz w:val="20"/>
                <w:szCs w:val="22"/>
              </w:rPr>
              <w:t>National Qualification Code</w:t>
            </w:r>
          </w:p>
        </w:tc>
      </w:tr>
      <w:tr>
        <w:tc>
          <w:tcPr>
            <w:tcW w:w="567" w:type="dxa"/>
          </w:tcPr>
          <w:p>
            <w:pPr>
              <w:pStyle w:val="yTableNAm"/>
              <w:keepNext/>
              <w:rPr>
                <w:rFonts w:ascii="Arial" w:hAnsi="Arial" w:cs="Arial"/>
                <w:sz w:val="20"/>
                <w:szCs w:val="22"/>
              </w:rPr>
            </w:pPr>
            <w:r>
              <w:rPr>
                <w:rFonts w:ascii="Arial" w:hAnsi="Arial" w:cs="Arial"/>
                <w:sz w:val="20"/>
                <w:szCs w:val="22"/>
              </w:rPr>
              <w:t>3</w:t>
            </w:r>
          </w:p>
        </w:tc>
        <w:tc>
          <w:tcPr>
            <w:tcW w:w="6521" w:type="dxa"/>
          </w:tcPr>
          <w:p>
            <w:pPr>
              <w:pStyle w:val="yTableNAm"/>
              <w:rPr>
                <w:rFonts w:ascii="Arial" w:hAnsi="Arial"/>
                <w:sz w:val="20"/>
              </w:rPr>
            </w:pPr>
            <w:r>
              <w:rPr>
                <w:rFonts w:ascii="Arial" w:hAnsi="Arial"/>
                <w:sz w:val="20"/>
              </w:rPr>
              <w:t>Intended occupation during training contract</w:t>
            </w:r>
          </w:p>
          <w:p>
            <w:pPr>
              <w:pStyle w:val="yTableNAm"/>
            </w:pPr>
          </w:p>
          <w:p>
            <w:pPr>
              <w:pStyle w:val="yTableNAm"/>
            </w:pPr>
            <w:r>
              <w:t>Commencement date of employment</w:t>
            </w:r>
          </w:p>
          <w:p>
            <w:pPr>
              <w:pStyle w:val="yTableNAm"/>
              <w:keepNext/>
              <w:rPr>
                <w:rFonts w:ascii="Arial" w:hAnsi="Arial" w:cs="Arial"/>
                <w:sz w:val="20"/>
                <w:szCs w:val="22"/>
              </w:rPr>
            </w:pPr>
            <w:r>
              <w:t>for Apprenticeship/Traineeship</w:t>
            </w:r>
            <w:r>
              <w:tab/>
              <w:t>Day    /Month    /Year</w:t>
            </w:r>
          </w:p>
        </w:tc>
      </w:tr>
      <w:tr>
        <w:tc>
          <w:tcPr>
            <w:tcW w:w="567" w:type="dxa"/>
          </w:tcPr>
          <w:p>
            <w:pPr>
              <w:pStyle w:val="yTableNAm"/>
              <w:keepNext/>
              <w:keepLines/>
              <w:rPr>
                <w:rFonts w:ascii="Arial" w:hAnsi="Arial" w:cs="Arial"/>
                <w:sz w:val="20"/>
                <w:szCs w:val="22"/>
              </w:rPr>
            </w:pPr>
          </w:p>
        </w:tc>
        <w:tc>
          <w:tcPr>
            <w:tcW w:w="6521" w:type="dxa"/>
          </w:tcPr>
          <w:p>
            <w:pPr>
              <w:pStyle w:val="yTableNAm"/>
              <w:keepNext/>
              <w:keepLines/>
              <w:rPr>
                <w:rFonts w:ascii="Arial" w:hAnsi="Arial" w:cs="Arial"/>
                <w:sz w:val="20"/>
                <w:szCs w:val="22"/>
              </w:rPr>
            </w:pPr>
          </w:p>
        </w:tc>
      </w:tr>
      <w:tr>
        <w:tc>
          <w:tcPr>
            <w:tcW w:w="567" w:type="dxa"/>
          </w:tcPr>
          <w:p>
            <w:pPr>
              <w:pStyle w:val="yTableNAm"/>
              <w:rPr>
                <w:rFonts w:ascii="Arial" w:hAnsi="Arial" w:cs="Arial"/>
                <w:sz w:val="20"/>
                <w:szCs w:val="22"/>
              </w:rPr>
            </w:pPr>
            <w:r>
              <w:rPr>
                <w:rFonts w:ascii="Arial" w:hAnsi="Arial" w:cs="Arial"/>
                <w:sz w:val="20"/>
                <w:szCs w:val="22"/>
              </w:rPr>
              <w:t>4</w:t>
            </w:r>
          </w:p>
        </w:tc>
        <w:tc>
          <w:tcPr>
            <w:tcW w:w="6521" w:type="dxa"/>
          </w:tcPr>
          <w:p>
            <w:pPr>
              <w:pStyle w:val="yTableNAm"/>
              <w:rPr>
                <w:rFonts w:ascii="Arial" w:hAnsi="Arial" w:cs="Arial"/>
                <w:sz w:val="20"/>
                <w:szCs w:val="22"/>
              </w:rPr>
            </w:pPr>
            <w:r>
              <w:rPr>
                <w:rFonts w:ascii="Arial" w:hAnsi="Arial" w:cs="Arial"/>
                <w:sz w:val="20"/>
                <w:szCs w:val="22"/>
              </w:rPr>
              <w:t>Nominal term of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5</w:t>
            </w:r>
          </w:p>
        </w:tc>
        <w:tc>
          <w:tcPr>
            <w:tcW w:w="6521" w:type="dxa"/>
          </w:tcPr>
          <w:p>
            <w:pPr>
              <w:pStyle w:val="yTableNAm"/>
              <w:rPr>
                <w:rFonts w:ascii="Arial" w:hAnsi="Arial" w:cs="Arial"/>
                <w:sz w:val="20"/>
                <w:szCs w:val="22"/>
              </w:rPr>
            </w:pPr>
            <w:r>
              <w:rPr>
                <w:rFonts w:ascii="Arial" w:hAnsi="Arial" w:cs="Arial"/>
                <w:sz w:val="20"/>
                <w:szCs w:val="22"/>
              </w:rPr>
              <w:t>The period of probation for this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6</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Type of Apprenticeship/Traineeship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Apprenticeship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Traineeship</w:t>
            </w:r>
          </w:p>
        </w:tc>
      </w:tr>
      <w:tr>
        <w:tc>
          <w:tcPr>
            <w:tcW w:w="567" w:type="dxa"/>
          </w:tcPr>
          <w:p>
            <w:pPr>
              <w:pStyle w:val="yTableNAm"/>
              <w:rPr>
                <w:rFonts w:ascii="Arial" w:hAnsi="Arial" w:cs="Arial"/>
                <w:sz w:val="20"/>
                <w:szCs w:val="22"/>
              </w:rPr>
            </w:pPr>
            <w:r>
              <w:rPr>
                <w:rFonts w:ascii="Arial" w:hAnsi="Arial" w:cs="Arial"/>
                <w:sz w:val="20"/>
                <w:szCs w:val="22"/>
              </w:rPr>
              <w:t>7</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Is the apprentice/trainee an existing worker?</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No</w:t>
            </w:r>
          </w:p>
          <w:p>
            <w:pPr>
              <w:pStyle w:val="yTableNAm"/>
              <w:tabs>
                <w:tab w:val="clear" w:pos="567"/>
                <w:tab w:val="left" w:pos="510"/>
              </w:tabs>
              <w:ind w:left="510" w:hanging="510"/>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 xml:space="preserve">Yes (Refer to </w:t>
            </w:r>
            <w:r>
              <w:rPr>
                <w:rFonts w:ascii="Arial" w:hAnsi="Arial" w:cs="Arial"/>
                <w:b/>
                <w:bCs/>
                <w:sz w:val="20"/>
                <w:szCs w:val="22"/>
              </w:rPr>
              <w:t>Information to Help Complete the Training Contract</w:t>
            </w:r>
            <w:r>
              <w:rPr>
                <w:rFonts w:ascii="Arial" w:hAnsi="Arial" w:cs="Arial"/>
                <w:sz w:val="20"/>
                <w:szCs w:val="22"/>
              </w:rPr>
              <w:t>)</w:t>
            </w:r>
          </w:p>
        </w:tc>
      </w:tr>
    </w:tbl>
    <w:p>
      <w:pPr>
        <w:pStyle w:val="yMiscellaneousBody"/>
        <w:keepNext/>
        <w:spacing w:before="200" w:after="200"/>
        <w:rPr>
          <w:rFonts w:ascii="Arial" w:hAnsi="Arial" w:cs="Arial"/>
          <w:b/>
          <w:bCs/>
          <w:szCs w:val="22"/>
        </w:rPr>
      </w:pPr>
      <w:r>
        <w:rPr>
          <w:rFonts w:ascii="Arial" w:hAnsi="Arial" w:cs="Arial"/>
          <w:b/>
          <w:bCs/>
          <w:szCs w:val="22"/>
        </w:rPr>
        <w:t>Apprentice/Trainee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740"/>
        <w:gridCol w:w="2174"/>
        <w:gridCol w:w="48"/>
        <w:gridCol w:w="1559"/>
      </w:tblGrid>
      <w:tr>
        <w:tc>
          <w:tcPr>
            <w:tcW w:w="567" w:type="dxa"/>
            <w:tcBorders>
              <w:left w:val="single" w:sz="4" w:space="0" w:color="auto"/>
            </w:tcBorders>
          </w:tcPr>
          <w:p>
            <w:pPr>
              <w:pStyle w:val="yTableNAm"/>
              <w:rPr>
                <w:rFonts w:ascii="Arial" w:hAnsi="Arial" w:cs="Arial"/>
                <w:sz w:val="20"/>
              </w:rPr>
            </w:pPr>
            <w:r>
              <w:rPr>
                <w:rFonts w:ascii="Arial" w:hAnsi="Arial" w:cs="Arial"/>
                <w:sz w:val="20"/>
              </w:rPr>
              <w:t>8</w:t>
            </w:r>
          </w:p>
        </w:tc>
        <w:tc>
          <w:tcPr>
            <w:tcW w:w="6521" w:type="dxa"/>
            <w:gridSpan w:val="4"/>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lastRenderedPageBreak/>
              <w:t>9</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(residential)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(postal)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10</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11</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345"/>
                <w:tab w:val="left" w:pos="4479"/>
              </w:tabs>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keepNext/>
              <w:keepLines/>
              <w:rPr>
                <w:rFonts w:ascii="Arial" w:hAnsi="Arial" w:cs="Arial"/>
                <w:sz w:val="20"/>
              </w:rPr>
            </w:pPr>
            <w:r>
              <w:rPr>
                <w:rFonts w:ascii="Arial" w:hAnsi="Arial" w:cs="Arial"/>
                <w:sz w:val="20"/>
              </w:rPr>
              <w:t>13</w:t>
            </w:r>
          </w:p>
        </w:tc>
        <w:tc>
          <w:tcPr>
            <w:tcW w:w="6521" w:type="dxa"/>
            <w:gridSpan w:val="4"/>
          </w:tcPr>
          <w:p>
            <w:pPr>
              <w:pStyle w:val="yTableNAm"/>
              <w:keepNext/>
              <w:keepLines/>
              <w:rPr>
                <w:rFonts w:ascii="Arial" w:hAnsi="Arial" w:cs="Arial"/>
                <w:sz w:val="20"/>
              </w:rPr>
            </w:pPr>
            <w:r>
              <w:rPr>
                <w:rFonts w:ascii="Arial" w:hAnsi="Arial" w:cs="Arial"/>
                <w:sz w:val="20"/>
              </w:rPr>
              <w:t>Citizenship (Tick applicable box)</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 New Zealand passport holder who has been resident in Australia for 6 months or more (Refer to Information to Help Complete the Training Contract)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keepNext/>
              <w:keepLines/>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14*</w:t>
            </w:r>
          </w:p>
        </w:tc>
        <w:tc>
          <w:tcPr>
            <w:tcW w:w="6521" w:type="dxa"/>
            <w:gridSpan w:val="4"/>
          </w:tcPr>
          <w:p>
            <w:pPr>
              <w:pStyle w:val="yTableNAm"/>
              <w:tabs>
                <w:tab w:val="left" w:pos="1077"/>
                <w:tab w:val="left" w:pos="3223"/>
              </w:tabs>
              <w:rPr>
                <w:rFonts w:ascii="Arial" w:hAnsi="Arial" w:cs="Arial"/>
                <w:sz w:val="20"/>
              </w:rPr>
            </w:pPr>
            <w:r>
              <w:rPr>
                <w:rFonts w:ascii="Arial" w:hAnsi="Arial" w:cs="Arial"/>
                <w:sz w:val="20"/>
              </w:rPr>
              <w:t>Are you of Aboriginal or Torres Strait Islander origin?</w:t>
            </w:r>
          </w:p>
          <w:p>
            <w:pPr>
              <w:pStyle w:val="yTableNAm"/>
              <w:tabs>
                <w:tab w:val="left" w:pos="1077"/>
                <w:tab w:val="left" w:pos="3223"/>
              </w:tabs>
              <w:rPr>
                <w:rFonts w:ascii="Arial" w:hAnsi="Arial" w:cs="Arial"/>
                <w:sz w:val="20"/>
              </w:rPr>
            </w:pPr>
            <w:r>
              <w:rPr>
                <w:rFonts w:ascii="Arial" w:hAnsi="Arial" w:cs="Arial"/>
                <w:sz w:val="20"/>
              </w:rPr>
              <w:t>For persons of both Aboriginal AND Torres Strait Islander origin mark both ‘Yes’ boxes.</w:t>
            </w:r>
          </w:p>
          <w:p>
            <w:pPr>
              <w:pStyle w:val="yTableNAm"/>
              <w:tabs>
                <w:tab w:val="clear" w:pos="567"/>
                <w:tab w:val="left" w:pos="1077"/>
                <w:tab w:val="left" w:pos="1219"/>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15*</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In which country were you born?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16*</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Do you speak a language other than English at home? (If more than one language, indicate the one that is spoken most often.)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lastRenderedPageBreak/>
              <w:t>17*</w:t>
            </w:r>
          </w:p>
        </w:tc>
        <w:tc>
          <w:tcPr>
            <w:tcW w:w="6521" w:type="dxa"/>
            <w:gridSpan w:val="4"/>
          </w:tcPr>
          <w:p>
            <w:pPr>
              <w:pStyle w:val="yTableNAm"/>
              <w:rPr>
                <w:rFonts w:ascii="Arial" w:hAnsi="Arial" w:cs="Arial"/>
                <w:sz w:val="20"/>
              </w:rPr>
            </w:pPr>
            <w:r>
              <w:rPr>
                <w:rFonts w:ascii="Arial" w:hAnsi="Arial" w:cs="Arial"/>
                <w:sz w:val="20"/>
              </w:rPr>
              <w:t>Do you consider yourself to have a disability, impairment or long</w:t>
            </w:r>
            <w:r>
              <w:rPr>
                <w:rFonts w:ascii="Arial" w:hAnsi="Arial" w:cs="Arial"/>
                <w:sz w:val="20"/>
              </w:rPr>
              <w:noBreakHyphen/>
              <w:t>term condition?</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652" w:hanging="652"/>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18</w:t>
            </w:r>
          </w:p>
        </w:tc>
        <w:tc>
          <w:tcPr>
            <w:tcW w:w="6521" w:type="dxa"/>
            <w:gridSpan w:val="4"/>
          </w:tcPr>
          <w:p>
            <w:pPr>
              <w:pStyle w:val="yTableNAm"/>
              <w:keepNext/>
              <w:rPr>
                <w:rFonts w:ascii="Arial" w:hAnsi="Arial" w:cs="Arial"/>
                <w:sz w:val="20"/>
              </w:rPr>
            </w:pPr>
            <w:r>
              <w:rPr>
                <w:rFonts w:ascii="Arial" w:hAnsi="Arial" w:cs="Arial"/>
                <w:sz w:val="20"/>
              </w:rPr>
              <w:t>Are you still attending secondary school?</w:t>
            </w:r>
          </w:p>
          <w:p>
            <w:pPr>
              <w:pStyle w:val="yTableNAm"/>
              <w:keepNext/>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keepNext/>
              <w:tabs>
                <w:tab w:val="clear" w:pos="567"/>
                <w:tab w:val="left" w:pos="936"/>
              </w:tabs>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20"/>
              </w:rPr>
              <w:br/>
            </w:r>
            <w:r>
              <w:rPr>
                <w:rFonts w:ascii="Arial" w:hAnsi="Arial" w:cs="Arial"/>
                <w:sz w:val="18"/>
              </w:rPr>
              <w:t>(e.g. Year 11)</w:t>
            </w:r>
          </w:p>
          <w:p>
            <w:pPr>
              <w:pStyle w:val="yTableNAm"/>
              <w:keepNext/>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19</w:t>
            </w:r>
          </w:p>
        </w:tc>
        <w:tc>
          <w:tcPr>
            <w:tcW w:w="6521" w:type="dxa"/>
            <w:gridSpan w:val="4"/>
          </w:tcPr>
          <w:p>
            <w:pPr>
              <w:pStyle w:val="yTableNAm"/>
              <w:rPr>
                <w:rFonts w:ascii="Arial" w:hAnsi="Arial" w:cs="Arial"/>
                <w:sz w:val="20"/>
              </w:rPr>
            </w:pPr>
            <w:r>
              <w:rPr>
                <w:rFonts w:ascii="Arial" w:hAnsi="Arial" w:cs="Arial"/>
                <w:sz w:val="20"/>
              </w:rPr>
              <w:t>Is this an approved Australian School</w:t>
            </w:r>
            <w:r>
              <w:rPr>
                <w:rFonts w:ascii="Arial" w:hAnsi="Arial" w:cs="Arial"/>
                <w:sz w:val="20"/>
              </w:rPr>
              <w:noBreakHyphen/>
              <w:t>based Apprenticeship/Traineeship?</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20</w:t>
            </w:r>
          </w:p>
        </w:tc>
        <w:tc>
          <w:tcPr>
            <w:tcW w:w="6521" w:type="dxa"/>
            <w:gridSpan w:val="4"/>
          </w:tcPr>
          <w:p>
            <w:pPr>
              <w:pStyle w:val="yTableNAm"/>
              <w:rPr>
                <w:rFonts w:ascii="Arial" w:hAnsi="Arial" w:cs="Arial"/>
                <w:sz w:val="20"/>
              </w:rPr>
            </w:pPr>
            <w:r>
              <w:rPr>
                <w:rFonts w:ascii="Arial" w:hAnsi="Arial" w:cs="Arial"/>
                <w:sz w:val="20"/>
              </w:rPr>
              <w:t>What is your highest COMPLETED school level?</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12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11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10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9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8 or below</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Did not go to school</w:t>
            </w:r>
          </w:p>
          <w:p>
            <w:pPr>
              <w:pStyle w:val="yTableNAm"/>
              <w:tabs>
                <w:tab w:val="left" w:pos="4196"/>
              </w:tabs>
              <w:rPr>
                <w:rFonts w:ascii="Arial" w:hAnsi="Arial" w:cs="Arial"/>
                <w:sz w:val="20"/>
              </w:rPr>
            </w:pPr>
            <w:r>
              <w:rPr>
                <w:rFonts w:ascii="Arial" w:hAnsi="Arial" w:cs="Arial"/>
                <w:sz w:val="20"/>
              </w:rPr>
              <w:t>When did you complete that school level?</w:t>
            </w:r>
            <w:r>
              <w:rPr>
                <w:rFonts w:ascii="Arial" w:hAnsi="Arial" w:cs="Arial"/>
                <w:sz w:val="20"/>
              </w:rPr>
              <w:tab/>
              <w:t>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Have you successfully COMPLETED any of the following qualifications?</w:t>
            </w:r>
          </w:p>
          <w:p>
            <w:pPr>
              <w:pStyle w:val="yTableNAm"/>
              <w:tabs>
                <w:tab w:val="clear" w:pos="567"/>
                <w:tab w:val="left" w:pos="794"/>
              </w:tabs>
              <w:rPr>
                <w:rFonts w:ascii="Arial" w:hAnsi="Arial" w:cs="Arial"/>
                <w:b/>
                <w:bCs/>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→tick and complete any applicable boxes</w:t>
            </w:r>
          </w:p>
          <w:p>
            <w:pPr>
              <w:pStyle w:val="yTableNAm"/>
              <w:tabs>
                <w:tab w:val="left" w:pos="4621"/>
              </w:tabs>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w:t>
            </w:r>
            <w:r>
              <w:rPr>
                <w:rFonts w:ascii="Arial" w:hAnsi="Arial" w:cs="Arial"/>
                <w:sz w:val="16"/>
              </w:rPr>
              <w:noBreakHyphen/>
              <w:t>Apprenticeship/Pre</w:t>
            </w:r>
            <w:r>
              <w:rPr>
                <w:rFonts w:ascii="Arial" w:hAnsi="Arial" w:cs="Arial"/>
                <w:sz w:val="16"/>
              </w:rPr>
              <w:noBreakHyphen/>
              <w:t>Vocational</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rPr>
                <w:rFonts w:ascii="Arial" w:hAnsi="Arial" w:cs="Arial"/>
                <w:sz w:val="20"/>
              </w:rPr>
            </w:pPr>
            <w:r>
              <w:rPr>
                <w:rFonts w:ascii="Arial" w:hAnsi="Arial" w:cs="Arial"/>
                <w:sz w:val="20"/>
              </w:rPr>
              <w:lastRenderedPageBreak/>
              <w:t>Title and level of qualification/s obtained (Attach list if necessary)</w:t>
            </w:r>
          </w:p>
          <w:p>
            <w:pPr>
              <w:pStyle w:val="yTableNAm"/>
              <w:rPr>
                <w:rFonts w:ascii="Arial" w:hAnsi="Arial" w:cs="Arial"/>
                <w:sz w:val="20"/>
              </w:rPr>
            </w:pPr>
          </w:p>
        </w:tc>
      </w:tr>
      <w:tr>
        <w:trPr>
          <w:cantSplit/>
        </w:trPr>
        <w:tc>
          <w:tcPr>
            <w:tcW w:w="567" w:type="dxa"/>
            <w:vMerge w:val="restart"/>
            <w:tcBorders>
              <w:left w:val="single" w:sz="4" w:space="0" w:color="auto"/>
            </w:tcBorders>
          </w:tcPr>
          <w:p>
            <w:pPr>
              <w:pStyle w:val="yTableNAm"/>
              <w:keepNext/>
              <w:rPr>
                <w:rFonts w:ascii="Arial" w:hAnsi="Arial" w:cs="Arial"/>
                <w:sz w:val="20"/>
              </w:rPr>
            </w:pPr>
            <w:r>
              <w:rPr>
                <w:rFonts w:ascii="Arial" w:hAnsi="Arial" w:cs="Arial"/>
                <w:sz w:val="20"/>
              </w:rPr>
              <w:lastRenderedPageBreak/>
              <w:t>22*</w:t>
            </w:r>
          </w:p>
        </w:tc>
        <w:tc>
          <w:tcPr>
            <w:tcW w:w="6521" w:type="dxa"/>
            <w:gridSpan w:val="4"/>
            <w:tcBorders>
              <w:bottom w:val="nil"/>
            </w:tcBorders>
          </w:tcPr>
          <w:p>
            <w:pPr>
              <w:pStyle w:val="yTableNAm"/>
              <w:keepNext/>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The qualification cannot be used because of an injury or disability</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an Intensive Support Customised Assistance Client</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unemployed and have been registered with Centrelink for 12 months or more</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p>
        </w:tc>
        <w:tc>
          <w:tcPr>
            <w:tcW w:w="1559" w:type="dxa"/>
            <w:tcBorders>
              <w:top w:val="nil"/>
              <w:left w:val="nil"/>
              <w:bottom w:val="nil"/>
            </w:tcBorders>
          </w:tcPr>
          <w:p>
            <w:pPr>
              <w:pStyle w:val="yTableNAm"/>
              <w:rPr>
                <w:rFonts w:ascii="Arial" w:hAnsi="Arial" w:cs="Arial"/>
                <w:sz w:val="20"/>
              </w:rPr>
            </w:pP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Borders>
              <w:top w:val="nil"/>
              <w:bottom w:val="single" w:sz="4" w:space="0" w:color="auto"/>
            </w:tcBorders>
          </w:tcPr>
          <w:p>
            <w:pPr>
              <w:pStyle w:val="yTableNAm"/>
              <w:rPr>
                <w:rFonts w:ascii="Arial" w:hAnsi="Arial" w:cs="Arial"/>
                <w:sz w:val="20"/>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23</w:t>
            </w:r>
          </w:p>
        </w:tc>
        <w:tc>
          <w:tcPr>
            <w:tcW w:w="6521" w:type="dxa"/>
            <w:gridSpan w:val="4"/>
            <w:tcBorders>
              <w:bottom w:val="nil"/>
            </w:tcBorders>
          </w:tcPr>
          <w:p>
            <w:pPr>
              <w:pStyle w:val="yTableNAm"/>
              <w:rPr>
                <w:rFonts w:ascii="Arial" w:hAnsi="Arial" w:cs="Arial"/>
                <w:sz w:val="20"/>
              </w:rPr>
            </w:pPr>
            <w:r>
              <w:rPr>
                <w:rFonts w:ascii="Arial" w:hAnsi="Arial" w:cs="Arial"/>
                <w:sz w:val="20"/>
              </w:rPr>
              <w:t>Have you previously worked as an apprentice or trainee?</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b/>
                <w:bCs/>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 If you are unsure of any of these details, ask your Australian Apprenticeships Centre for assistance.</w:t>
            </w:r>
          </w:p>
          <w:p>
            <w:pPr>
              <w:pStyle w:val="yTableNAm"/>
              <w:rPr>
                <w:rFonts w:ascii="Arial" w:hAnsi="Arial" w:cs="Arial"/>
                <w:sz w:val="20"/>
              </w:rPr>
            </w:pPr>
            <w:r>
              <w:rPr>
                <w:rFonts w:ascii="Arial" w:hAnsi="Arial" w:cs="Arial"/>
                <w:sz w:val="20"/>
              </w:rPr>
              <w:t>Name of company</w:t>
            </w:r>
          </w:p>
          <w:p>
            <w:pPr>
              <w:pStyle w:val="yTableNAm"/>
              <w:rPr>
                <w:rFonts w:ascii="Arial" w:hAnsi="Arial" w:cs="Arial"/>
                <w:sz w:val="20"/>
              </w:rPr>
            </w:pP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r>
        <w:trPr>
          <w:cantSplit/>
        </w:trPr>
        <w:tc>
          <w:tcPr>
            <w:tcW w:w="567" w:type="dxa"/>
            <w:vMerge/>
            <w:tcBorders>
              <w:left w:val="single" w:sz="4" w:space="0" w:color="auto"/>
              <w:bottom w:val="single" w:sz="4" w:space="0" w:color="auto"/>
            </w:tcBorders>
          </w:tcPr>
          <w:p>
            <w:pPr>
              <w:pStyle w:val="yTableNAm"/>
              <w:rPr>
                <w:rFonts w:ascii="Arial" w:hAnsi="Arial" w:cs="Arial"/>
                <w:sz w:val="20"/>
              </w:rPr>
            </w:pPr>
          </w:p>
        </w:tc>
        <w:tc>
          <w:tcPr>
            <w:tcW w:w="2740" w:type="dxa"/>
            <w:tcBorders>
              <w:top w:val="nil"/>
              <w:bottom w:val="single" w:sz="4" w:space="0" w:color="auto"/>
              <w:right w:val="nil"/>
            </w:tcBorders>
          </w:tcPr>
          <w:p>
            <w:pPr>
              <w:pStyle w:val="yTableNAm"/>
              <w:rPr>
                <w:rFonts w:ascii="Arial" w:hAnsi="Arial" w:cs="Arial"/>
                <w:sz w:val="20"/>
              </w:rPr>
            </w:pPr>
            <w:r>
              <w:rPr>
                <w:rFonts w:ascii="Arial" w:hAnsi="Arial" w:cs="Arial"/>
                <w:sz w:val="20"/>
              </w:rPr>
              <w:t>State/Territory/ Overseas</w:t>
            </w:r>
          </w:p>
          <w:p>
            <w:pPr>
              <w:pStyle w:val="yTableNAm"/>
              <w:rPr>
                <w:rFonts w:ascii="Arial" w:hAnsi="Arial" w:cs="Arial"/>
                <w:sz w:val="20"/>
              </w:rPr>
            </w:pPr>
          </w:p>
        </w:tc>
        <w:tc>
          <w:tcPr>
            <w:tcW w:w="2174" w:type="dxa"/>
            <w:tcBorders>
              <w:top w:val="nil"/>
              <w:left w:val="nil"/>
              <w:bottom w:val="single" w:sz="4" w:space="0" w:color="auto"/>
              <w:right w:val="nil"/>
            </w:tcBorders>
          </w:tcPr>
          <w:p>
            <w:pPr>
              <w:pStyle w:val="yTableNAm"/>
              <w:rPr>
                <w:rFonts w:ascii="Arial" w:hAnsi="Arial" w:cs="Arial"/>
                <w:sz w:val="20"/>
              </w:rPr>
            </w:pPr>
            <w:r>
              <w:rPr>
                <w:rFonts w:ascii="Arial" w:hAnsi="Arial" w:cs="Arial"/>
                <w:sz w:val="20"/>
              </w:rPr>
              <w:t>Year of commencement</w:t>
            </w:r>
          </w:p>
        </w:tc>
        <w:tc>
          <w:tcPr>
            <w:tcW w:w="1607" w:type="dxa"/>
            <w:gridSpan w:val="2"/>
            <w:tcBorders>
              <w:top w:val="nil"/>
              <w:left w:val="nil"/>
              <w:bottom w:val="single" w:sz="4" w:space="0" w:color="auto"/>
            </w:tcBorders>
          </w:tcPr>
          <w:p>
            <w:pPr>
              <w:pStyle w:val="yTableNAm"/>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lastRenderedPageBreak/>
              <w:t>24</w:t>
            </w:r>
          </w:p>
        </w:tc>
        <w:tc>
          <w:tcPr>
            <w:tcW w:w="6521" w:type="dxa"/>
            <w:gridSpan w:val="4"/>
          </w:tcPr>
          <w:p>
            <w:pPr>
              <w:pStyle w:val="yTableNAm"/>
              <w:rPr>
                <w:rFonts w:ascii="Arial" w:hAnsi="Arial" w:cs="Arial"/>
                <w:sz w:val="20"/>
              </w:rPr>
            </w:pPr>
            <w:r>
              <w:rPr>
                <w:rFonts w:ascii="Arial" w:hAnsi="Arial" w:cs="Arial"/>
                <w:sz w:val="20"/>
              </w:rPr>
              <w:t>Are you seeking credit to reduce the term of the Training Contract? (Refer to Information to Help Complete the Training Contract) (Evidence is required and must be attached.)</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Are you currently undertaking any other study?</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bl>
    <w:p>
      <w:pPr>
        <w:pStyle w:val="yMiscellaneousBody"/>
        <w:keepNext/>
        <w:spacing w:before="200" w:after="200"/>
        <w:rPr>
          <w:rFonts w:ascii="Arial" w:hAnsi="Arial" w:cs="Arial"/>
          <w:b/>
          <w:bCs/>
          <w:szCs w:val="22"/>
        </w:rPr>
      </w:pPr>
      <w:r>
        <w:rPr>
          <w:rFonts w:ascii="Arial" w:hAnsi="Arial" w:cs="Arial"/>
          <w:b/>
          <w:bCs/>
          <w:szCs w:val="22"/>
        </w:rPr>
        <w:t>Parent or Guardian details</w:t>
      </w:r>
    </w:p>
    <w:p>
      <w:pPr>
        <w:pStyle w:val="yMiscellaneousBody"/>
        <w:keepNext/>
        <w:spacing w:before="200" w:after="120"/>
        <w:rPr>
          <w:rFonts w:ascii="Arial" w:hAnsi="Arial" w:cs="Arial"/>
          <w:szCs w:val="22"/>
        </w:rPr>
      </w:pPr>
      <w:r>
        <w:rPr>
          <w:rFonts w:ascii="Arial" w:hAnsi="Arial" w:cs="Arial"/>
          <w:sz w:val="18"/>
          <w:szCs w:val="22"/>
        </w:rPr>
        <w:t xml:space="preserve">If under 18 years of age, go to </w:t>
      </w:r>
      <w:r>
        <w:rPr>
          <w:rFonts w:ascii="Arial" w:hAnsi="Arial" w:cs="Arial"/>
          <w:b/>
          <w:bCs/>
          <w:sz w:val="18"/>
          <w:szCs w:val="22"/>
        </w:rPr>
        <w:t>Question 26</w:t>
      </w:r>
      <w:r>
        <w:rPr>
          <w:rFonts w:ascii="Arial" w:hAnsi="Arial" w:cs="Arial"/>
          <w:sz w:val="18"/>
          <w:szCs w:val="22"/>
        </w:rPr>
        <w:t xml:space="preserve">. If 18 years or over, go to </w:t>
      </w:r>
      <w:r>
        <w:rPr>
          <w:rFonts w:ascii="Arial" w:hAnsi="Arial" w:cs="Arial"/>
          <w:b/>
          <w:bCs/>
          <w:sz w:val="18"/>
          <w:szCs w:val="22"/>
        </w:rPr>
        <w:t>Question 28</w:t>
      </w:r>
      <w:r>
        <w:rPr>
          <w:rFonts w:ascii="Arial" w:hAnsi="Arial" w:cs="Arial"/>
          <w:sz w:val="18"/>
          <w:szCs w:val="22"/>
        </w:rPr>
        <w:t>.</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26</w:t>
            </w:r>
          </w:p>
        </w:tc>
        <w:tc>
          <w:tcPr>
            <w:tcW w:w="6521" w:type="dxa"/>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27</w:t>
            </w:r>
          </w:p>
        </w:tc>
        <w:tc>
          <w:tcPr>
            <w:tcW w:w="6521" w:type="dxa"/>
          </w:tcPr>
          <w:p>
            <w:pPr>
              <w:pStyle w:val="yTableNAm"/>
              <w:tabs>
                <w:tab w:val="left" w:pos="3487"/>
                <w:tab w:val="left" w:pos="4365"/>
              </w:tabs>
              <w:rPr>
                <w:rFonts w:ascii="Arial" w:hAnsi="Arial" w:cs="Arial"/>
                <w:sz w:val="20"/>
              </w:rPr>
            </w:pPr>
            <w:r>
              <w:rPr>
                <w:rFonts w:ascii="Arial" w:hAnsi="Arial" w:cs="Arial"/>
                <w:sz w:val="20"/>
              </w:rPr>
              <w:t>Address</w:t>
            </w:r>
          </w:p>
          <w:p>
            <w:pPr>
              <w:pStyle w:val="yTableNAm"/>
              <w:tabs>
                <w:tab w:val="left" w:pos="3487"/>
                <w:tab w:val="left" w:pos="4365"/>
              </w:tabs>
              <w:rPr>
                <w:rFonts w:ascii="Arial" w:hAnsi="Arial" w:cs="Arial"/>
                <w:sz w:val="20"/>
              </w:rPr>
            </w:pPr>
          </w:p>
          <w:p>
            <w:pPr>
              <w:pStyle w:val="yTableNAm"/>
              <w:tabs>
                <w:tab w:val="clear" w:pos="567"/>
                <w:tab w:val="left" w:pos="3487"/>
                <w:tab w:val="left" w:pos="4365"/>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tcPr>
          <w:p>
            <w:pPr>
              <w:pStyle w:val="yTableNAm"/>
              <w:tabs>
                <w:tab w:val="left" w:pos="3487"/>
                <w:tab w:val="left" w:pos="4365"/>
              </w:tabs>
              <w:rPr>
                <w:rFonts w:ascii="Arial" w:hAnsi="Arial" w:cs="Arial"/>
                <w:sz w:val="20"/>
              </w:rPr>
            </w:pPr>
            <w:r>
              <w:rPr>
                <w:rFonts w:ascii="Arial" w:hAnsi="Arial" w:cs="Arial"/>
                <w:sz w:val="20"/>
              </w:rPr>
              <w:t>Telephone number</w:t>
            </w:r>
          </w:p>
          <w:p>
            <w:pPr>
              <w:pStyle w:val="yTableNAm"/>
              <w:tabs>
                <w:tab w:val="left" w:pos="2211"/>
                <w:tab w:val="left" w:pos="4365"/>
                <w:tab w:val="left" w:pos="4621"/>
              </w:tabs>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keepNext/>
        <w:spacing w:before="200" w:after="200"/>
        <w:rPr>
          <w:rFonts w:ascii="Arial" w:hAnsi="Arial" w:cs="Arial"/>
          <w:b/>
          <w:bCs/>
          <w:szCs w:val="22"/>
        </w:rPr>
      </w:pPr>
      <w:r>
        <w:rPr>
          <w:rFonts w:ascii="Arial" w:hAnsi="Arial" w:cs="Arial"/>
          <w:b/>
          <w:bCs/>
          <w:szCs w:val="22"/>
        </w:rPr>
        <w:t>Employer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28</w:t>
            </w:r>
          </w:p>
        </w:tc>
        <w:tc>
          <w:tcPr>
            <w:tcW w:w="6521" w:type="dxa"/>
          </w:tcPr>
          <w:p>
            <w:pPr>
              <w:pStyle w:val="yTableNAm"/>
              <w:rPr>
                <w:rFonts w:ascii="Arial" w:hAnsi="Arial" w:cs="Arial"/>
                <w:sz w:val="20"/>
              </w:rPr>
            </w:pPr>
            <w:r>
              <w:rPr>
                <w:rFonts w:ascii="Arial" w:hAnsi="Arial" w:cs="Arial"/>
                <w:sz w:val="20"/>
              </w:rPr>
              <w:t>Legal name of employer (Refer to Information to Help Complete the Training Contract)</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29</w:t>
            </w:r>
          </w:p>
        </w:tc>
        <w:tc>
          <w:tcPr>
            <w:tcW w:w="6521" w:type="dxa"/>
          </w:tcPr>
          <w:p>
            <w:pPr>
              <w:pStyle w:val="yTableNAm"/>
              <w:rPr>
                <w:rFonts w:ascii="Arial" w:hAnsi="Arial" w:cs="Arial"/>
                <w:sz w:val="20"/>
              </w:rPr>
            </w:pPr>
            <w:r>
              <w:rPr>
                <w:rFonts w:ascii="Arial" w:hAnsi="Arial" w:cs="Arial"/>
                <w:sz w:val="20"/>
              </w:rPr>
              <w:t>Australian Business Number (ABN) of your legal entity</w:t>
            </w:r>
          </w:p>
          <w:p>
            <w:pPr>
              <w:pStyle w:val="yTableNAm"/>
              <w:rPr>
                <w:rFonts w:ascii="Arial" w:hAnsi="Arial" w:cs="Arial"/>
                <w:sz w:val="20"/>
              </w:rPr>
            </w:pPr>
          </w:p>
        </w:tc>
      </w:tr>
      <w:tr>
        <w:tc>
          <w:tcPr>
            <w:tcW w:w="567" w:type="dxa"/>
            <w:tcBorders>
              <w:left w:val="single" w:sz="4" w:space="0" w:color="auto"/>
            </w:tcBorders>
          </w:tcPr>
          <w:p>
            <w:pPr>
              <w:pStyle w:val="yTableNAm"/>
              <w:keepNext/>
              <w:rPr>
                <w:rFonts w:ascii="Arial" w:hAnsi="Arial" w:cs="Arial"/>
                <w:sz w:val="20"/>
              </w:rPr>
            </w:pPr>
            <w:r>
              <w:rPr>
                <w:rFonts w:ascii="Arial" w:hAnsi="Arial" w:cs="Arial"/>
                <w:sz w:val="20"/>
              </w:rPr>
              <w:lastRenderedPageBreak/>
              <w:t>30</w:t>
            </w:r>
          </w:p>
        </w:tc>
        <w:tc>
          <w:tcPr>
            <w:tcW w:w="6521" w:type="dxa"/>
          </w:tcPr>
          <w:p>
            <w:pPr>
              <w:pStyle w:val="yTableNAm"/>
              <w:keepNext/>
              <w:rPr>
                <w:rFonts w:ascii="Arial" w:hAnsi="Arial" w:cs="Arial"/>
                <w:sz w:val="20"/>
              </w:rPr>
            </w:pPr>
            <w:r>
              <w:rPr>
                <w:rFonts w:ascii="Arial" w:hAnsi="Arial" w:cs="Arial"/>
                <w:sz w:val="20"/>
              </w:rPr>
              <w:t>Trading name</w:t>
            </w:r>
          </w:p>
          <w:p>
            <w:pPr>
              <w:pStyle w:val="yTableNAm"/>
              <w:keepNext/>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31</w:t>
            </w:r>
          </w:p>
        </w:tc>
        <w:tc>
          <w:tcPr>
            <w:tcW w:w="6521" w:type="dxa"/>
          </w:tcPr>
          <w:p>
            <w:pPr>
              <w:pStyle w:val="yTableNAm"/>
              <w:rPr>
                <w:rFonts w:ascii="Arial" w:hAnsi="Arial" w:cs="Arial"/>
                <w:sz w:val="20"/>
              </w:rPr>
            </w:pPr>
            <w:r>
              <w:rPr>
                <w:rFonts w:ascii="Arial" w:hAnsi="Arial" w:cs="Arial"/>
                <w:sz w:val="20"/>
              </w:rPr>
              <w:t>Postal Address</w:t>
            </w:r>
          </w:p>
          <w:p>
            <w:pPr>
              <w:pStyle w:val="yTableNAm"/>
              <w:rPr>
                <w:rFonts w:ascii="Arial" w:hAnsi="Arial" w:cs="Arial"/>
                <w:sz w:val="20"/>
              </w:rPr>
            </w:pPr>
          </w:p>
          <w:p>
            <w:pPr>
              <w:pStyle w:val="yTableNAm"/>
              <w:tabs>
                <w:tab w:val="clear" w:pos="567"/>
                <w:tab w:val="left" w:pos="3487"/>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32</w:t>
            </w:r>
          </w:p>
        </w:tc>
        <w:tc>
          <w:tcPr>
            <w:tcW w:w="6521" w:type="dxa"/>
          </w:tcPr>
          <w:p>
            <w:pPr>
              <w:pStyle w:val="yTableNAm"/>
              <w:rPr>
                <w:rFonts w:ascii="Arial" w:hAnsi="Arial" w:cs="Arial"/>
                <w:sz w:val="20"/>
              </w:rPr>
            </w:pPr>
            <w:r>
              <w:rPr>
                <w:rFonts w:ascii="Arial" w:hAnsi="Arial" w:cs="Arial"/>
                <w:sz w:val="20"/>
              </w:rPr>
              <w:t>Telephone number</w:t>
            </w:r>
          </w:p>
          <w:p>
            <w:pPr>
              <w:pStyle w:val="yTableNAm"/>
              <w:tabs>
                <w:tab w:val="left" w:pos="2070"/>
                <w:tab w:val="left" w:pos="4054"/>
              </w:tabs>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33</w:t>
            </w:r>
          </w:p>
        </w:tc>
        <w:tc>
          <w:tcPr>
            <w:tcW w:w="6521" w:type="dxa"/>
          </w:tcPr>
          <w:p>
            <w:pPr>
              <w:pStyle w:val="yTableNAm"/>
              <w:rPr>
                <w:rFonts w:ascii="Arial" w:hAnsi="Arial" w:cs="Arial"/>
                <w:sz w:val="20"/>
              </w:rPr>
            </w:pPr>
            <w:r>
              <w:rPr>
                <w:rFonts w:ascii="Arial" w:hAnsi="Arial" w:cs="Arial"/>
                <w:sz w:val="20"/>
              </w:rPr>
              <w:t>What is the industry or principal activity of the business?</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34</w:t>
            </w:r>
          </w:p>
        </w:tc>
        <w:tc>
          <w:tcPr>
            <w:tcW w:w="6521" w:type="dxa"/>
          </w:tcPr>
          <w:p>
            <w:pPr>
              <w:pStyle w:val="yTableNAm"/>
              <w:rPr>
                <w:rFonts w:ascii="Arial" w:hAnsi="Arial" w:cs="Arial"/>
                <w:sz w:val="20"/>
              </w:rPr>
            </w:pPr>
            <w:r>
              <w:rPr>
                <w:rFonts w:ascii="Arial" w:hAnsi="Arial" w:cs="Arial"/>
                <w:sz w:val="20"/>
              </w:rPr>
              <w:t>Type of employer</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left" w:pos="3204"/>
              </w:tabs>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keepNext/>
        <w:spacing w:before="200" w:after="200"/>
        <w:rPr>
          <w:rFonts w:ascii="Arial" w:hAnsi="Arial" w:cs="Arial"/>
          <w:b/>
          <w:bCs/>
          <w:szCs w:val="22"/>
        </w:rPr>
      </w:pPr>
      <w:r>
        <w:rPr>
          <w:rFonts w:ascii="Arial" w:hAnsi="Arial" w:cs="Arial"/>
          <w:b/>
          <w:bCs/>
          <w:szCs w:val="22"/>
        </w:rPr>
        <w:t>Employment and Training details</w:t>
      </w:r>
    </w:p>
    <w:p>
      <w:pPr>
        <w:pStyle w:val="yMiscellaneousBody"/>
        <w:keepNext/>
        <w:spacing w:before="200" w:after="120"/>
        <w:rPr>
          <w:rFonts w:ascii="Arial" w:hAnsi="Arial" w:cs="Arial"/>
          <w:szCs w:val="22"/>
        </w:rPr>
      </w:pPr>
      <w:r>
        <w:rPr>
          <w:rFonts w:ascii="Arial" w:hAnsi="Arial" w:cs="Arial"/>
          <w:sz w:val="18"/>
          <w:szCs w:val="22"/>
        </w:rPr>
        <w:t>(For apprentices/trainees employed through Group Training Organisations provide the name and address of the first host employer.)</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977"/>
        <w:gridCol w:w="1701"/>
        <w:gridCol w:w="284"/>
        <w:gridCol w:w="1134"/>
        <w:gridCol w:w="425"/>
      </w:tblGrid>
      <w:tr>
        <w:tc>
          <w:tcPr>
            <w:tcW w:w="567" w:type="dxa"/>
            <w:tcBorders>
              <w:left w:val="single" w:sz="4" w:space="0" w:color="auto"/>
            </w:tcBorders>
          </w:tcPr>
          <w:p>
            <w:pPr>
              <w:pStyle w:val="yTableNAm"/>
              <w:rPr>
                <w:rFonts w:ascii="Arial" w:hAnsi="Arial"/>
                <w:sz w:val="20"/>
              </w:rPr>
            </w:pPr>
            <w:r>
              <w:rPr>
                <w:rFonts w:ascii="Arial" w:hAnsi="Arial"/>
                <w:sz w:val="20"/>
              </w:rPr>
              <w:t>35</w:t>
            </w:r>
          </w:p>
        </w:tc>
        <w:tc>
          <w:tcPr>
            <w:tcW w:w="6521" w:type="dxa"/>
            <w:gridSpan w:val="5"/>
          </w:tcPr>
          <w:p>
            <w:pPr>
              <w:pStyle w:val="yTableNAm"/>
              <w:rPr>
                <w:rFonts w:ascii="Arial" w:hAnsi="Arial"/>
                <w:sz w:val="20"/>
              </w:rPr>
            </w:pPr>
            <w:r>
              <w:rPr>
                <w:rFonts w:ascii="Arial" w:hAnsi="Arial"/>
                <w:sz w:val="20"/>
              </w:rPr>
              <w:t>Name of workplace where apprentice/trainee will be employed</w:t>
            </w:r>
          </w:p>
          <w:p>
            <w:pPr>
              <w:pStyle w:val="yTableNAm"/>
              <w:rPr>
                <w:rFonts w:ascii="Arial" w:hAnsi="Arial"/>
                <w:sz w:val="20"/>
              </w:rPr>
            </w:pPr>
          </w:p>
          <w:p>
            <w:pPr>
              <w:pStyle w:val="yTableNAm"/>
              <w:rPr>
                <w:rFonts w:ascii="Arial" w:hAnsi="Arial"/>
                <w:sz w:val="20"/>
              </w:rPr>
            </w:pPr>
            <w:r>
              <w:rPr>
                <w:rFonts w:ascii="Arial" w:hAnsi="Arial"/>
                <w:sz w:val="20"/>
              </w:rPr>
              <w:t>Address of workplace where apprentice/trainee will be employed</w:t>
            </w:r>
          </w:p>
          <w:p>
            <w:pPr>
              <w:pStyle w:val="yTableNAm"/>
              <w:rPr>
                <w:rFonts w:ascii="Arial" w:hAnsi="Arial"/>
                <w:sz w:val="20"/>
              </w:rPr>
            </w:pPr>
          </w:p>
          <w:p>
            <w:pPr>
              <w:pStyle w:val="yTableNAm"/>
              <w:tabs>
                <w:tab w:val="clear" w:pos="567"/>
                <w:tab w:val="left" w:pos="3487"/>
              </w:tabs>
              <w:rPr>
                <w:rFonts w:ascii="Arial" w:hAnsi="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36</w:t>
            </w:r>
          </w:p>
        </w:tc>
        <w:tc>
          <w:tcPr>
            <w:tcW w:w="6521" w:type="dxa"/>
            <w:gridSpan w:val="5"/>
          </w:tcPr>
          <w:p>
            <w:pPr>
              <w:pStyle w:val="yTableNAm"/>
              <w:rPr>
                <w:rFonts w:ascii="Arial" w:hAnsi="Arial"/>
                <w:sz w:val="20"/>
              </w:rPr>
            </w:pPr>
            <w:r>
              <w:rPr>
                <w:rFonts w:ascii="Arial" w:hAnsi="Arial"/>
                <w:sz w:val="20"/>
              </w:rPr>
              <w:t>Workplace details</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people employed by the firm</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apprentices/trainees in this workplace</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Number of workers able to demonstrate the relevant competencies available to supervise or train the apprentices/trainees in this workplace</w:t>
            </w:r>
          </w:p>
        </w:tc>
        <w:tc>
          <w:tcPr>
            <w:tcW w:w="425" w:type="dxa"/>
          </w:tcPr>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37</w:t>
            </w:r>
          </w:p>
        </w:tc>
        <w:tc>
          <w:tcPr>
            <w:tcW w:w="6521" w:type="dxa"/>
            <w:gridSpan w:val="5"/>
          </w:tcPr>
          <w:p>
            <w:pPr>
              <w:pStyle w:val="yTableNAm"/>
              <w:rPr>
                <w:rFonts w:ascii="Arial" w:hAnsi="Arial"/>
                <w:sz w:val="20"/>
              </w:rPr>
            </w:pPr>
            <w:r>
              <w:rPr>
                <w:rFonts w:ascii="Arial" w:hAnsi="Arial"/>
                <w:sz w:val="20"/>
              </w:rPr>
              <w:t>Name of contact person for this workplace</w:t>
            </w:r>
          </w:p>
          <w:p>
            <w:pPr>
              <w:pStyle w:val="yTableNAm"/>
              <w:rPr>
                <w:rFonts w:ascii="Arial" w:hAnsi="Arial"/>
                <w:sz w:val="20"/>
              </w:rPr>
            </w:pPr>
          </w:p>
          <w:p>
            <w:pPr>
              <w:pStyle w:val="yTableNAm"/>
              <w:tabs>
                <w:tab w:val="clear" w:pos="567"/>
                <w:tab w:val="left" w:pos="3447"/>
              </w:tabs>
              <w:rPr>
                <w:rFonts w:ascii="Arial" w:hAnsi="Arial"/>
                <w:sz w:val="20"/>
              </w:rPr>
            </w:pPr>
            <w:r>
              <w:rPr>
                <w:rFonts w:ascii="Arial" w:hAnsi="Arial"/>
                <w:sz w:val="20"/>
              </w:rPr>
              <w:t>Telephone number (  )</w:t>
            </w:r>
            <w:r>
              <w:rPr>
                <w:rFonts w:ascii="Arial" w:hAnsi="Arial"/>
                <w:sz w:val="20"/>
              </w:rPr>
              <w:tab/>
              <w:t>Fax (  )</w:t>
            </w:r>
          </w:p>
          <w:p>
            <w:pPr>
              <w:pStyle w:val="yTableNAm"/>
              <w:rPr>
                <w:rFonts w:ascii="Arial" w:hAnsi="Arial"/>
                <w:sz w:val="20"/>
              </w:rPr>
            </w:pPr>
            <w:r>
              <w:rPr>
                <w:rFonts w:ascii="Arial" w:hAnsi="Arial"/>
                <w:sz w:val="20"/>
              </w:rPr>
              <w:t>Email</w:t>
            </w:r>
          </w:p>
        </w:tc>
      </w:tr>
      <w:tr>
        <w:trPr>
          <w:cantSplit/>
        </w:trPr>
        <w:tc>
          <w:tcPr>
            <w:tcW w:w="567" w:type="dxa"/>
            <w:tcBorders>
              <w:left w:val="single" w:sz="4" w:space="0" w:color="auto"/>
            </w:tcBorders>
          </w:tcPr>
          <w:p>
            <w:pPr>
              <w:pStyle w:val="yTableNAm"/>
              <w:rPr>
                <w:rFonts w:ascii="Arial" w:hAnsi="Arial"/>
                <w:sz w:val="20"/>
              </w:rPr>
            </w:pPr>
            <w:r>
              <w:rPr>
                <w:rFonts w:ascii="Arial" w:hAnsi="Arial"/>
                <w:sz w:val="20"/>
              </w:rPr>
              <w:t>38</w:t>
            </w:r>
          </w:p>
        </w:tc>
        <w:tc>
          <w:tcPr>
            <w:tcW w:w="6521" w:type="dxa"/>
            <w:gridSpan w:val="5"/>
          </w:tcPr>
          <w:p>
            <w:pPr>
              <w:pStyle w:val="yTableNAm"/>
              <w:rPr>
                <w:rFonts w:ascii="Arial" w:hAnsi="Arial"/>
                <w:sz w:val="20"/>
              </w:rPr>
            </w:pPr>
            <w:r>
              <w:rPr>
                <w:rFonts w:ascii="Arial" w:hAnsi="Arial"/>
                <w:sz w:val="20"/>
              </w:rPr>
              <w:t>Type of employment arrangement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Federal Award</w:t>
            </w:r>
            <w:r>
              <w:rPr>
                <w:rFonts w:ascii="Arial" w:hAnsi="Arial"/>
                <w:sz w:val="18"/>
              </w:rPr>
              <w:tab/>
            </w:r>
            <w:r>
              <w:rPr>
                <w:rFonts w:ascii="Arial" w:hAnsi="Arial"/>
                <w:sz w:val="18"/>
              </w:rPr>
              <w:sym w:font="Monotype Sorts" w:char="F070"/>
            </w:r>
            <w:r>
              <w:rPr>
                <w:rFonts w:ascii="Arial" w:hAnsi="Arial"/>
                <w:sz w:val="18"/>
              </w:rPr>
              <w:t xml:space="preserve"> Australian Workplace Agreement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Certified Agreement</w:t>
            </w:r>
            <w:r>
              <w:rPr>
                <w:rFonts w:ascii="Arial" w:hAnsi="Arial"/>
                <w:sz w:val="18"/>
              </w:rPr>
              <w:tab/>
            </w:r>
            <w:r>
              <w:rPr>
                <w:rFonts w:ascii="Arial" w:hAnsi="Arial"/>
                <w:sz w:val="18"/>
              </w:rPr>
              <w:sym w:font="Monotype Sorts" w:char="F070"/>
            </w:r>
            <w:r>
              <w:rPr>
                <w:rFonts w:ascii="Arial" w:hAnsi="Arial"/>
                <w:sz w:val="18"/>
              </w:rPr>
              <w:t xml:space="preserve"> State Workplace Agreement</w:t>
            </w:r>
          </w:p>
          <w:p>
            <w:pPr>
              <w:pStyle w:val="yTableNAm"/>
              <w:tabs>
                <w:tab w:val="left" w:pos="2495"/>
              </w:tabs>
              <w:rPr>
                <w:rFonts w:ascii="Arial" w:hAnsi="Arial"/>
                <w:sz w:val="20"/>
              </w:rPr>
            </w:pPr>
            <w:r>
              <w:rPr>
                <w:rFonts w:ascii="Arial" w:hAnsi="Arial"/>
                <w:sz w:val="18"/>
              </w:rPr>
              <w:sym w:font="Monotype Sorts" w:char="F070"/>
            </w:r>
            <w:r>
              <w:rPr>
                <w:rFonts w:ascii="Arial" w:hAnsi="Arial"/>
                <w:sz w:val="18"/>
              </w:rPr>
              <w:t xml:space="preserve"> State Award</w:t>
            </w:r>
            <w:r>
              <w:rPr>
                <w:rFonts w:ascii="Arial" w:hAnsi="Arial"/>
                <w:sz w:val="18"/>
              </w:rPr>
              <w:tab/>
            </w:r>
            <w:r>
              <w:rPr>
                <w:rFonts w:ascii="Arial" w:hAnsi="Arial"/>
                <w:sz w:val="18"/>
              </w:rPr>
              <w:sym w:font="Monotype Sorts" w:char="F070"/>
            </w:r>
            <w:r>
              <w:rPr>
                <w:rFonts w:ascii="Arial" w:hAnsi="Arial"/>
                <w:sz w:val="18"/>
              </w:rPr>
              <w:t xml:space="preserve"> Other</w:t>
            </w:r>
          </w:p>
          <w:p>
            <w:pPr>
              <w:pStyle w:val="yTableNAm"/>
              <w:tabs>
                <w:tab w:val="left" w:pos="2920"/>
              </w:tabs>
              <w:rPr>
                <w:rFonts w:ascii="Arial" w:hAnsi="Arial"/>
                <w:sz w:val="20"/>
              </w:rPr>
            </w:pPr>
            <w:r>
              <w:rPr>
                <w:rFonts w:ascii="Arial" w:hAnsi="Arial"/>
                <w:sz w:val="20"/>
              </w:rPr>
              <w:t>Name of Agreement/Award</w:t>
            </w:r>
          </w:p>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39</w:t>
            </w:r>
          </w:p>
        </w:tc>
        <w:tc>
          <w:tcPr>
            <w:tcW w:w="6521" w:type="dxa"/>
            <w:gridSpan w:val="5"/>
          </w:tcPr>
          <w:p>
            <w:pPr>
              <w:pStyle w:val="yTableNAm"/>
              <w:rPr>
                <w:rFonts w:ascii="Arial" w:hAnsi="Arial"/>
                <w:sz w:val="20"/>
              </w:rPr>
            </w:pPr>
            <w:r>
              <w:rPr>
                <w:rFonts w:ascii="Arial" w:hAnsi="Arial"/>
                <w:sz w:val="20"/>
              </w:rPr>
              <w:t>Please indicate the number of hours of employment and training per week and whether this Apprenticeship/Traineeship is full</w:t>
            </w:r>
            <w:r>
              <w:rPr>
                <w:rFonts w:ascii="Arial" w:hAnsi="Arial"/>
                <w:sz w:val="20"/>
              </w:rPr>
              <w:noBreakHyphen/>
              <w:t>time or part</w:t>
            </w:r>
            <w:r>
              <w:rPr>
                <w:rFonts w:ascii="Arial" w:hAnsi="Arial"/>
                <w:sz w:val="20"/>
              </w:rPr>
              <w:noBreakHyphen/>
              <w:t>time.</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20"/>
              </w:rPr>
            </w:pPr>
            <w:r>
              <w:rPr>
                <w:rFonts w:ascii="Arial" w:hAnsi="Arial"/>
                <w:sz w:val="20"/>
              </w:rPr>
              <w:t>Number of hours work and training per week</w:t>
            </w:r>
          </w:p>
          <w:p>
            <w:pPr>
              <w:pStyle w:val="yTableNAm"/>
              <w:tabs>
                <w:tab w:val="clear" w:pos="567"/>
                <w:tab w:val="left" w:pos="2495"/>
              </w:tabs>
              <w:rPr>
                <w:rFonts w:ascii="Arial" w:hAnsi="Arial"/>
                <w:sz w:val="20"/>
              </w:rPr>
            </w:pPr>
            <w:r>
              <w:rPr>
                <w:rFonts w:ascii="Arial" w:hAnsi="Arial"/>
                <w:sz w:val="20"/>
              </w:rPr>
              <w:sym w:font="Monotype Sorts" w:char="F070"/>
            </w:r>
            <w:r>
              <w:rPr>
                <w:rFonts w:ascii="Arial" w:hAnsi="Arial"/>
                <w:sz w:val="20"/>
              </w:rPr>
              <w:t xml:space="preserve"> Full</w:t>
            </w:r>
            <w:r>
              <w:rPr>
                <w:rFonts w:ascii="Arial" w:hAnsi="Arial"/>
                <w:sz w:val="20"/>
              </w:rPr>
              <w:noBreakHyphen/>
              <w:t>time</w:t>
            </w:r>
            <w:r>
              <w:rPr>
                <w:rFonts w:ascii="Arial" w:hAnsi="Arial"/>
                <w:sz w:val="20"/>
              </w:rPr>
              <w:tab/>
            </w:r>
            <w:r>
              <w:rPr>
                <w:rFonts w:ascii="Arial" w:hAnsi="Arial"/>
                <w:sz w:val="20"/>
              </w:rPr>
              <w:sym w:font="Monotype Sorts" w:char="F070"/>
            </w:r>
            <w:r>
              <w:rPr>
                <w:rFonts w:ascii="Arial" w:hAnsi="Arial"/>
                <w:sz w:val="20"/>
              </w:rPr>
              <w:t xml:space="preserve"> Part</w:t>
            </w:r>
            <w:r>
              <w:rPr>
                <w:rFonts w:ascii="Arial" w:hAnsi="Arial"/>
                <w:sz w:val="20"/>
              </w:rPr>
              <w:noBreakHyphen/>
              <w:t>time</w:t>
            </w:r>
          </w:p>
        </w:tc>
        <w:tc>
          <w:tcPr>
            <w:tcW w:w="425" w:type="dxa"/>
          </w:tcPr>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40</w:t>
            </w:r>
          </w:p>
        </w:tc>
        <w:tc>
          <w:tcPr>
            <w:tcW w:w="6521" w:type="dxa"/>
            <w:gridSpan w:val="5"/>
          </w:tcPr>
          <w:p>
            <w:pPr>
              <w:pStyle w:val="yTableNAm"/>
              <w:rPr>
                <w:rFonts w:ascii="Arial" w:hAnsi="Arial"/>
                <w:sz w:val="20"/>
              </w:rPr>
            </w:pPr>
            <w:r>
              <w:rPr>
                <w:rFonts w:ascii="Arial" w:hAnsi="Arial"/>
                <w:sz w:val="20"/>
              </w:rPr>
              <w:t>Prior to commencing THIS Apprenticeship/Traineeship, has the apprentice/trainee worked for, or been hosted by/to, the employer/host employer?</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tabs>
                <w:tab w:val="clear" w:pos="567"/>
                <w:tab w:val="left" w:pos="936"/>
              </w:tabs>
              <w:ind w:left="936" w:hanging="936"/>
              <w:rPr>
                <w:rFonts w:ascii="Arial" w:hAnsi="Arial"/>
                <w:sz w:val="20"/>
              </w:rPr>
            </w:pPr>
            <w:r>
              <w:rPr>
                <w:rFonts w:ascii="Arial" w:hAnsi="Arial"/>
                <w:sz w:val="20"/>
              </w:rPr>
              <w:sym w:font="Monotype Sorts" w:char="F070"/>
            </w:r>
            <w:r>
              <w:rPr>
                <w:rFonts w:ascii="Arial" w:hAnsi="Arial"/>
                <w:sz w:val="20"/>
              </w:rPr>
              <w:t xml:space="preserve"> Yes →</w:t>
            </w:r>
            <w:r>
              <w:rPr>
                <w:rFonts w:ascii="Arial" w:hAnsi="Arial"/>
                <w:sz w:val="20"/>
              </w:rPr>
              <w:tab/>
            </w:r>
            <w:r>
              <w:rPr>
                <w:rFonts w:ascii="Arial" w:hAnsi="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full</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part</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Part</w:t>
            </w:r>
            <w:r>
              <w:rPr>
                <w:rFonts w:ascii="Arial" w:hAnsi="Arial"/>
                <w:sz w:val="18"/>
              </w:rPr>
              <w:noBreakHyphen/>
              <w:t>time: Number of hours per week</w:t>
            </w:r>
          </w:p>
        </w:tc>
        <w:tc>
          <w:tcPr>
            <w:tcW w:w="1559" w:type="dxa"/>
            <w:gridSpan w:val="2"/>
          </w:tcPr>
          <w:p>
            <w:pPr>
              <w:pStyle w:val="yTableNAm"/>
              <w:rPr>
                <w:rFonts w:ascii="Arial" w:hAnsi="Arial"/>
                <w:sz w:val="18"/>
              </w:rPr>
            </w:pP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casual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Casual: Number of hours per week</w:t>
            </w:r>
          </w:p>
        </w:tc>
        <w:tc>
          <w:tcPr>
            <w:tcW w:w="1559" w:type="dxa"/>
            <w:gridSpan w:val="2"/>
          </w:tcPr>
          <w:p>
            <w:pPr>
              <w:pStyle w:val="yTableNAm"/>
              <w:rPr>
                <w:rFonts w:ascii="Arial" w:hAnsi="Arial"/>
                <w:sz w:val="18"/>
              </w:rPr>
            </w:pPr>
          </w:p>
        </w:tc>
      </w:tr>
      <w:tr>
        <w:tc>
          <w:tcPr>
            <w:tcW w:w="567" w:type="dxa"/>
            <w:tcBorders>
              <w:left w:val="single" w:sz="4" w:space="0" w:color="auto"/>
            </w:tcBorders>
          </w:tcPr>
          <w:p>
            <w:pPr>
              <w:pStyle w:val="yTableNAm"/>
              <w:keepNext/>
              <w:rPr>
                <w:rFonts w:ascii="Arial" w:hAnsi="Arial"/>
                <w:sz w:val="20"/>
              </w:rPr>
            </w:pPr>
            <w:r>
              <w:rPr>
                <w:rFonts w:ascii="Arial" w:hAnsi="Arial"/>
                <w:sz w:val="20"/>
              </w:rPr>
              <w:t>41</w:t>
            </w:r>
          </w:p>
        </w:tc>
        <w:tc>
          <w:tcPr>
            <w:tcW w:w="6521" w:type="dxa"/>
            <w:gridSpan w:val="5"/>
          </w:tcPr>
          <w:p>
            <w:pPr>
              <w:pStyle w:val="yTableNAm"/>
              <w:keepNext/>
              <w:rPr>
                <w:rFonts w:ascii="Arial" w:hAnsi="Arial"/>
                <w:sz w:val="20"/>
              </w:rPr>
            </w:pPr>
            <w:r>
              <w:rPr>
                <w:rFonts w:ascii="Arial" w:hAnsi="Arial"/>
                <w:sz w:val="20"/>
              </w:rPr>
              <w:t>Is the apprentice/trainee in a business relationship with this employer?</w:t>
            </w:r>
          </w:p>
          <w:p>
            <w:pPr>
              <w:pStyle w:val="yTableNAm"/>
              <w:keepNext/>
              <w:rPr>
                <w:rFonts w:ascii="Arial" w:hAnsi="Arial"/>
                <w:sz w:val="20"/>
              </w:rPr>
            </w:pPr>
            <w:r>
              <w:rPr>
                <w:rFonts w:ascii="Arial" w:hAnsi="Arial"/>
                <w:sz w:val="18"/>
              </w:rPr>
              <w:t>(Examples include partnership, director or franchise arrangement – family trusts excluded.) (Refer to Information to Help Complete the Training Contract)</w:t>
            </w:r>
          </w:p>
          <w:p>
            <w:pPr>
              <w:pStyle w:val="yTableNAm"/>
              <w:keepNext/>
              <w:rPr>
                <w:rFonts w:ascii="Arial" w:hAnsi="Arial"/>
                <w:sz w:val="20"/>
              </w:rPr>
            </w:pPr>
            <w:r>
              <w:rPr>
                <w:rFonts w:ascii="Arial" w:hAnsi="Arial"/>
                <w:sz w:val="20"/>
              </w:rPr>
              <w:sym w:font="Monotype Sorts" w:char="F070"/>
            </w:r>
            <w:r>
              <w:rPr>
                <w:rFonts w:ascii="Arial" w:hAnsi="Arial"/>
                <w:sz w:val="20"/>
              </w:rPr>
              <w:t xml:space="preserve"> No</w:t>
            </w:r>
          </w:p>
          <w:p>
            <w:pPr>
              <w:pStyle w:val="yTableNAm"/>
              <w:keepNext/>
              <w:rPr>
                <w:rFonts w:ascii="Arial" w:hAnsi="Arial"/>
                <w:sz w:val="20"/>
              </w:rPr>
            </w:pPr>
            <w:r>
              <w:rPr>
                <w:rFonts w:ascii="Arial" w:hAnsi="Arial"/>
                <w:sz w:val="20"/>
              </w:rPr>
              <w:sym w:font="Monotype Sorts" w:char="F070"/>
            </w:r>
            <w:r>
              <w:rPr>
                <w:rFonts w:ascii="Arial" w:hAnsi="Arial"/>
                <w:sz w:val="20"/>
              </w:rPr>
              <w:t xml:space="preserve"> Yes → Type of business relationship</w:t>
            </w:r>
          </w:p>
          <w:p>
            <w:pPr>
              <w:pStyle w:val="yTableNAm"/>
              <w:keepNext/>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42</w:t>
            </w:r>
          </w:p>
        </w:tc>
        <w:tc>
          <w:tcPr>
            <w:tcW w:w="6521" w:type="dxa"/>
            <w:gridSpan w:val="5"/>
          </w:tcPr>
          <w:p>
            <w:pPr>
              <w:pStyle w:val="yTableNAm"/>
              <w:rPr>
                <w:rFonts w:ascii="Arial" w:hAnsi="Arial"/>
                <w:sz w:val="20"/>
              </w:rPr>
            </w:pPr>
            <w:r>
              <w:rPr>
                <w:rFonts w:ascii="Arial" w:hAnsi="Arial"/>
                <w:sz w:val="20"/>
              </w:rPr>
              <w:t>Has the employer previously received Australian Government Incentives for this apprentice/trainee and/or has the employer received or applied to receive any other government assistance for this apprentice/trainee?</w:t>
            </w:r>
          </w:p>
          <w:p>
            <w:pPr>
              <w:pStyle w:val="yTableNAm"/>
              <w:rPr>
                <w:rFonts w:ascii="Arial" w:hAnsi="Arial"/>
                <w:sz w:val="20"/>
              </w:rPr>
            </w:pP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Please provide details below</w:t>
            </w:r>
          </w:p>
          <w:p>
            <w:pPr>
              <w:pStyle w:val="yTableNAm"/>
              <w:rPr>
                <w:rFonts w:ascii="Arial" w:hAnsi="Arial"/>
                <w:sz w:val="20"/>
              </w:rPr>
            </w:pPr>
          </w:p>
        </w:tc>
      </w:tr>
    </w:tbl>
    <w:p>
      <w:pPr>
        <w:pStyle w:val="yMiscellaneousBody"/>
        <w:keepNext/>
        <w:spacing w:before="200" w:after="200"/>
        <w:rPr>
          <w:rFonts w:ascii="Arial" w:hAnsi="Arial" w:cs="Arial"/>
          <w:b/>
          <w:bCs/>
          <w:szCs w:val="22"/>
        </w:rPr>
      </w:pPr>
      <w:r>
        <w:rPr>
          <w:rFonts w:ascii="Arial" w:hAnsi="Arial" w:cs="Arial"/>
          <w:b/>
          <w:bCs/>
          <w:szCs w:val="22"/>
        </w:rPr>
        <w:t>Registered Training Organisation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Registered Training Organisation (RTO)</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bl>
    <w:p>
      <w:pPr>
        <w:pStyle w:val="yMiscellaneousBody"/>
        <w:keepNext/>
        <w:spacing w:before="200" w:after="200"/>
        <w:rPr>
          <w:rFonts w:ascii="Arial" w:hAnsi="Arial" w:cs="Arial"/>
          <w:b/>
          <w:bCs/>
          <w:szCs w:val="22"/>
        </w:rPr>
      </w:pPr>
      <w:r>
        <w:rPr>
          <w:rFonts w:ascii="Arial" w:hAnsi="Arial" w:cs="Arial"/>
          <w:b/>
          <w:bCs/>
          <w:szCs w:val="22"/>
        </w:rPr>
        <w:lastRenderedPageBreak/>
        <w:t>Australian Apprenticeships Centre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keepNext/>
              <w:rPr>
                <w:rFonts w:ascii="Arial" w:hAnsi="Arial" w:cs="Arial"/>
                <w:sz w:val="20"/>
              </w:rPr>
            </w:pPr>
            <w:r>
              <w:rPr>
                <w:rFonts w:ascii="Arial" w:hAnsi="Arial" w:cs="Arial"/>
                <w:sz w:val="20"/>
              </w:rPr>
              <w:t>Name of Australian Apprenticeships Centre</w:t>
            </w:r>
          </w:p>
          <w:p>
            <w:pPr>
              <w:pStyle w:val="yTableNAm"/>
              <w:keepNext/>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Office Use Only   Project Code</w:t>
            </w:r>
          </w:p>
        </w:tc>
      </w:tr>
    </w:tbl>
    <w:p>
      <w:pPr>
        <w:pStyle w:val="yMiscellaneousBody"/>
        <w:keepNext/>
        <w:widowControl w:val="0"/>
        <w:rPr>
          <w:rFonts w:ascii="Arial" w:hAnsi="Arial" w:cs="Arial"/>
          <w:b/>
          <w:bCs/>
          <w:szCs w:val="22"/>
        </w:rPr>
      </w:pPr>
      <w:r>
        <w:rPr>
          <w:rFonts w:ascii="Arial" w:hAnsi="Arial" w:cs="Arial"/>
          <w:b/>
          <w:bCs/>
          <w:szCs w:val="22"/>
        </w:rPr>
        <w:t>Information on Australian Government Australian Apprenticeships Incentives</w:t>
      </w:r>
    </w:p>
    <w:p>
      <w:pPr>
        <w:pStyle w:val="yMiscellaneousBody"/>
        <w:widowControl w:val="0"/>
        <w:rPr>
          <w:rFonts w:ascii="Arial" w:hAnsi="Arial" w:cs="Arial"/>
          <w:sz w:val="20"/>
          <w:szCs w:val="22"/>
        </w:rPr>
      </w:pPr>
      <w:r>
        <w:rPr>
          <w:rFonts w:ascii="Arial" w:hAnsi="Arial" w:cs="Arial"/>
          <w:sz w:val="20"/>
          <w:szCs w:val="22"/>
        </w:rPr>
        <w:t>Australian Apprenticeships encompass all apprenticeships and traineeships. They combine time at work with training and can be full</w:t>
      </w:r>
      <w:r>
        <w:rPr>
          <w:rFonts w:ascii="Arial" w:hAnsi="Arial" w:cs="Arial"/>
          <w:sz w:val="20"/>
          <w:szCs w:val="22"/>
        </w:rPr>
        <w:noBreakHyphen/>
        <w:t>time, part</w:t>
      </w:r>
      <w:r>
        <w:rPr>
          <w:rFonts w:ascii="Arial" w:hAnsi="Arial" w:cs="Arial"/>
          <w:sz w:val="20"/>
          <w:szCs w:val="22"/>
        </w:rPr>
        <w:noBreakHyphen/>
        <w:t>time or school</w:t>
      </w:r>
      <w:r>
        <w:rPr>
          <w:rFonts w:ascii="Arial" w:hAnsi="Arial" w:cs="Arial"/>
          <w:sz w:val="20"/>
          <w:szCs w:val="22"/>
        </w:rPr>
        <w:noBreakHyphen/>
        <w:t>based. Australian Apprenticeships are a stepping stone to ongoing employment or further education and training, and a great way to get a head start to a career.</w:t>
      </w:r>
    </w:p>
    <w:p>
      <w:pPr>
        <w:pStyle w:val="yMiscellaneousBody"/>
        <w:widowControl w:val="0"/>
        <w:rPr>
          <w:rFonts w:ascii="Arial" w:hAnsi="Arial" w:cs="Arial"/>
          <w:sz w:val="20"/>
          <w:szCs w:val="22"/>
        </w:rPr>
      </w:pPr>
      <w:r>
        <w:rPr>
          <w:rFonts w:ascii="Arial" w:hAnsi="Arial" w:cs="Arial"/>
          <w:sz w:val="20"/>
          <w:szCs w:val="22"/>
        </w:rPr>
        <w:t>The Australian Apprenticeships Incentives Program encourages employers to offer the kinds of employment</w:t>
      </w:r>
      <w:r>
        <w:rPr>
          <w:rFonts w:ascii="Arial" w:hAnsi="Arial" w:cs="Arial"/>
          <w:sz w:val="20"/>
          <w:szCs w:val="22"/>
        </w:rPr>
        <w:noBreakHyphen/>
        <w:t>related training opportunities that will encourage people to acquire and expand their working skills.</w:t>
      </w:r>
    </w:p>
    <w:p>
      <w:pPr>
        <w:pStyle w:val="yMiscellaneousBody"/>
        <w:widowControl w:val="0"/>
        <w:rPr>
          <w:rFonts w:ascii="Arial" w:hAnsi="Arial" w:cs="Arial"/>
          <w:sz w:val="20"/>
          <w:szCs w:val="22"/>
        </w:rPr>
      </w:pPr>
      <w:r>
        <w:rPr>
          <w:rFonts w:ascii="Arial" w:hAnsi="Arial" w:cs="Arial"/>
          <w:sz w:val="20"/>
          <w:szCs w:val="22"/>
        </w:rPr>
        <w:t>The criteria and funding of Australian Government Australian Apprenticeships Incentives payments may change during the term of this Training Contract in line with Government priorities. These changes will be notified by your Australian Apprenticeships Centre.</w:t>
      </w:r>
    </w:p>
    <w:p>
      <w:pPr>
        <w:pStyle w:val="yMiscellaneousBody"/>
        <w:widowControl w:val="0"/>
        <w:rPr>
          <w:rFonts w:ascii="Arial" w:hAnsi="Arial" w:cs="Arial"/>
          <w:sz w:val="20"/>
          <w:szCs w:val="22"/>
        </w:rPr>
      </w:pPr>
      <w:r>
        <w:rPr>
          <w:rFonts w:ascii="Arial" w:hAnsi="Arial" w:cs="Arial"/>
          <w:sz w:val="20"/>
          <w:szCs w:val="22"/>
        </w:rPr>
        <w:t>For further details about the incentives listed here, including application forms and advice about whether you may be eligible, contact your Australian Apprenticeships Centre.</w:t>
      </w:r>
    </w:p>
    <w:p>
      <w:pPr>
        <w:pStyle w:val="yMiscellaneousBody"/>
        <w:widowControl w:val="0"/>
        <w:rPr>
          <w:rFonts w:ascii="Arial" w:hAnsi="Arial" w:cs="Arial"/>
          <w:b/>
          <w:bCs/>
          <w:sz w:val="20"/>
        </w:rPr>
      </w:pPr>
      <w:r>
        <w:rPr>
          <w:rFonts w:ascii="Arial" w:hAnsi="Arial" w:cs="Arial"/>
          <w:b/>
          <w:bCs/>
          <w:sz w:val="20"/>
        </w:rPr>
        <w:t>Eligibility for Australian Government Incentives – Information for Employers</w:t>
      </w:r>
    </w:p>
    <w:p>
      <w:pPr>
        <w:pStyle w:val="yMiscellaneousBody"/>
        <w:widowControl w:val="0"/>
        <w:rPr>
          <w:rFonts w:ascii="Arial" w:hAnsi="Arial" w:cs="Arial"/>
          <w:sz w:val="18"/>
          <w:szCs w:val="22"/>
        </w:rPr>
      </w:pPr>
      <w:r>
        <w:rPr>
          <w:rFonts w:ascii="Arial" w:hAnsi="Arial" w:cs="Arial"/>
          <w:sz w:val="18"/>
          <w:szCs w:val="22"/>
        </w:rPr>
        <w:t>This Training Contract has been designed to assess your eligibility for Australian Government Australian Apprenticeships Incentives.</w:t>
      </w:r>
    </w:p>
    <w:p>
      <w:pPr>
        <w:pStyle w:val="yMiscellaneousBody"/>
        <w:widowControl w:val="0"/>
        <w:rPr>
          <w:rFonts w:ascii="Arial" w:hAnsi="Arial" w:cs="Arial"/>
          <w:sz w:val="18"/>
          <w:szCs w:val="22"/>
        </w:rPr>
      </w:pPr>
      <w:r>
        <w:rPr>
          <w:rFonts w:ascii="Arial" w:hAnsi="Arial" w:cs="Arial"/>
          <w:sz w:val="18"/>
          <w:szCs w:val="22"/>
        </w:rPr>
        <w:t>These Incentives can include Commencement, Recommencement, Completion and other special incentives.</w:t>
      </w:r>
    </w:p>
    <w:p>
      <w:pPr>
        <w:pStyle w:val="yMiscellaneousBody"/>
        <w:widowControl w:val="0"/>
        <w:rPr>
          <w:rFonts w:ascii="Arial" w:hAnsi="Arial" w:cs="Arial"/>
          <w:sz w:val="18"/>
          <w:szCs w:val="22"/>
        </w:rPr>
      </w:pPr>
      <w:r>
        <w:rPr>
          <w:rFonts w:ascii="Arial" w:hAnsi="Arial" w:cs="Arial"/>
          <w:sz w:val="18"/>
          <w:szCs w:val="22"/>
        </w:rPr>
        <w:t>Eligibility is assessed on a number of criteria, including but not limited to:</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date the Australian Apprentice commences or recommences with an employer;</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employment status of the Australian Apprentice at the date the incentive falls due;</w:t>
      </w:r>
    </w:p>
    <w:p>
      <w:pPr>
        <w:pStyle w:val="yMiscellaneousBody"/>
        <w:ind w:left="284" w:hanging="284"/>
        <w:rPr>
          <w:rFonts w:ascii="Arial" w:hAnsi="Arial" w:cs="Arial"/>
          <w:sz w:val="18"/>
          <w:szCs w:val="22"/>
        </w:rPr>
      </w:pPr>
      <w:r>
        <w:rPr>
          <w:rFonts w:ascii="Arial" w:hAnsi="Arial" w:cs="Arial"/>
          <w:sz w:val="18"/>
          <w:szCs w:val="22"/>
        </w:rPr>
        <w:lastRenderedPageBreak/>
        <w:t>•</w:t>
      </w:r>
      <w:r>
        <w:rPr>
          <w:rFonts w:ascii="Arial" w:hAnsi="Arial" w:cs="Arial"/>
          <w:sz w:val="18"/>
          <w:szCs w:val="22"/>
        </w:rPr>
        <w:tab/>
        <w:t>the location of the workplace;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accredited training program is in 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type of employment relationship;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formal approval by the State or Territory Training Authority.</w:t>
      </w:r>
    </w:p>
    <w:p>
      <w:pPr>
        <w:pStyle w:val="yMiscellaneousBody"/>
        <w:widowControl w:val="0"/>
        <w:rPr>
          <w:rFonts w:ascii="Arial" w:hAnsi="Arial" w:cs="Arial"/>
          <w:szCs w:val="22"/>
        </w:rPr>
      </w:pPr>
      <w:r>
        <w:rPr>
          <w:rFonts w:ascii="Arial" w:hAnsi="Arial" w:cs="Arial"/>
          <w:sz w:val="18"/>
          <w:szCs w:val="22"/>
        </w:rPr>
        <w:t>If you are eligible for Australian Government Incentives, you will need to complete a separate Claim Form available from your Australian Apprenticeships Centre in order to be paid. This Claim Form should be lodged following:</w:t>
      </w:r>
    </w:p>
    <w:p>
      <w:pPr>
        <w:pStyle w:val="yMiscellaneousBody"/>
        <w:ind w:left="284" w:hanging="284"/>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approval of the Training Contract;</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apprentice/trainee has commenced training according to the approved Training Plan;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Australian Government waiting period has expired and the apprentice/trainee is still employed by your business and any State/Territory probation period has been completed.</w:t>
      </w:r>
    </w:p>
    <w:p>
      <w:pPr>
        <w:pStyle w:val="yMiscellaneousBody"/>
        <w:widowControl w:val="0"/>
        <w:rPr>
          <w:rFonts w:ascii="Arial" w:hAnsi="Arial" w:cs="Arial"/>
          <w:b/>
          <w:bCs/>
          <w:sz w:val="20"/>
        </w:rPr>
      </w:pPr>
      <w:r>
        <w:rPr>
          <w:rFonts w:ascii="Arial" w:hAnsi="Arial" w:cs="Arial"/>
          <w:b/>
          <w:bCs/>
          <w:sz w:val="20"/>
        </w:rPr>
        <w:t>Taxation</w:t>
      </w:r>
    </w:p>
    <w:p>
      <w:pPr>
        <w:pStyle w:val="yMiscellaneousBody"/>
        <w:widowControl w:val="0"/>
        <w:rPr>
          <w:rFonts w:ascii="Arial" w:hAnsi="Arial" w:cs="Arial"/>
          <w:szCs w:val="22"/>
        </w:rPr>
      </w:pPr>
      <w:r>
        <w:rPr>
          <w:rFonts w:ascii="Arial" w:hAnsi="Arial" w:cs="Arial"/>
          <w:sz w:val="18"/>
          <w:szCs w:val="22"/>
        </w:rPr>
        <w:t>If you are eligible for Australian Government Incentives you should be aware that if you do not provide your ABN when lodging a Claim Form, the Department of Industry will be obliged to withhold 46.5% of the incentive payment and remit it to the Australian Taxation Office.</w:t>
      </w:r>
    </w:p>
    <w:p>
      <w:pPr>
        <w:pStyle w:val="yMiscellaneousBody"/>
        <w:widowControl w:val="0"/>
        <w:rPr>
          <w:rFonts w:ascii="Arial" w:hAnsi="Arial" w:cs="Arial"/>
          <w:szCs w:val="22"/>
        </w:rPr>
      </w:pPr>
      <w:r>
        <w:rPr>
          <w:rFonts w:ascii="Arial" w:hAnsi="Arial" w:cs="Arial"/>
          <w:sz w:val="18"/>
          <w:szCs w:val="22"/>
        </w:rPr>
        <w:t>You should seek independent advice regarding your taxation position.</w:t>
      </w:r>
    </w:p>
    <w:p>
      <w:pPr>
        <w:pStyle w:val="yMiscellaneousBody"/>
        <w:widowControl w:val="0"/>
        <w:rPr>
          <w:rFonts w:ascii="Arial" w:hAnsi="Arial" w:cs="Arial"/>
          <w:b/>
          <w:bCs/>
          <w:szCs w:val="22"/>
        </w:rPr>
      </w:pPr>
      <w:r>
        <w:rPr>
          <w:rFonts w:ascii="Arial" w:hAnsi="Arial" w:cs="Arial"/>
          <w:b/>
          <w:bCs/>
          <w:szCs w:val="22"/>
        </w:rPr>
        <w:t>Other Australian Government Assistance</w:t>
      </w:r>
    </w:p>
    <w:p>
      <w:pPr>
        <w:pStyle w:val="yMiscellaneousBody"/>
        <w:widowControl w:val="0"/>
        <w:rPr>
          <w:rFonts w:ascii="Arial" w:hAnsi="Arial" w:cs="Arial"/>
          <w:b/>
          <w:bCs/>
          <w:szCs w:val="22"/>
        </w:rPr>
      </w:pPr>
      <w:r>
        <w:rPr>
          <w:rFonts w:ascii="Arial" w:hAnsi="Arial" w:cs="Arial"/>
          <w:b/>
          <w:bCs/>
          <w:sz w:val="20"/>
        </w:rPr>
        <w:t>Assistance</w:t>
      </w:r>
      <w:r>
        <w:rPr>
          <w:rFonts w:ascii="Arial" w:hAnsi="Arial" w:cs="Arial"/>
          <w:b/>
          <w:bCs/>
          <w:sz w:val="18"/>
          <w:szCs w:val="22"/>
        </w:rPr>
        <w:t xml:space="preserve"> for Apprentices/Trainees with a Disability</w:t>
      </w:r>
    </w:p>
    <w:p>
      <w:pPr>
        <w:pStyle w:val="yMiscellaneousBody"/>
        <w:widowControl w:val="0"/>
        <w:rPr>
          <w:rFonts w:ascii="Arial" w:hAnsi="Arial" w:cs="Arial"/>
          <w:sz w:val="18"/>
          <w:szCs w:val="22"/>
        </w:rPr>
      </w:pPr>
      <w:r>
        <w:rPr>
          <w:rFonts w:ascii="Arial" w:hAnsi="Arial" w:cs="Arial"/>
          <w:sz w:val="18"/>
          <w:szCs w:val="22"/>
        </w:rPr>
        <w:t>The Australian Government may provide assistance to employers of apprentices/trainees with a disability, including the Disabled Australian Apprenticeships Wage Support program,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widowControl w:val="0"/>
        <w:rPr>
          <w:rFonts w:ascii="Arial" w:hAnsi="Arial" w:cs="Arial"/>
          <w:b/>
          <w:bCs/>
          <w:sz w:val="20"/>
        </w:rPr>
      </w:pPr>
      <w:r>
        <w:rPr>
          <w:rFonts w:ascii="Arial" w:hAnsi="Arial" w:cs="Arial"/>
          <w:b/>
          <w:bCs/>
          <w:sz w:val="20"/>
        </w:rPr>
        <w:t>Living Away from Home Allowance</w:t>
      </w:r>
    </w:p>
    <w:p>
      <w:pPr>
        <w:pStyle w:val="yMiscellaneousBody"/>
        <w:widowControl w:val="0"/>
        <w:rPr>
          <w:rFonts w:ascii="Arial" w:hAnsi="Arial" w:cs="Arial"/>
          <w:sz w:val="18"/>
          <w:szCs w:val="22"/>
        </w:rPr>
      </w:pPr>
      <w:r>
        <w:rPr>
          <w:rFonts w:ascii="Arial" w:hAnsi="Arial" w:cs="Arial"/>
          <w:sz w:val="18"/>
          <w:szCs w:val="22"/>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widowControl w:val="0"/>
        <w:rPr>
          <w:rFonts w:ascii="Arial" w:hAnsi="Arial" w:cs="Arial"/>
          <w:b/>
          <w:bCs/>
          <w:szCs w:val="22"/>
        </w:rPr>
      </w:pPr>
      <w:r>
        <w:rPr>
          <w:rFonts w:ascii="Arial" w:hAnsi="Arial" w:cs="Arial"/>
          <w:b/>
          <w:bCs/>
          <w:szCs w:val="22"/>
        </w:rPr>
        <w:t>Information You Need to Know</w:t>
      </w:r>
    </w:p>
    <w:p>
      <w:pPr>
        <w:pStyle w:val="yMiscellaneousBody"/>
        <w:widowControl w:val="0"/>
        <w:rPr>
          <w:rFonts w:ascii="Arial" w:hAnsi="Arial" w:cs="Arial"/>
          <w:b/>
          <w:bCs/>
          <w:sz w:val="20"/>
        </w:rPr>
      </w:pPr>
      <w:r>
        <w:rPr>
          <w:rFonts w:ascii="Arial" w:hAnsi="Arial" w:cs="Arial"/>
          <w:b/>
          <w:bCs/>
          <w:sz w:val="20"/>
        </w:rPr>
        <w:t>National Code of Good Practice for Australian Apprenticeships</w:t>
      </w:r>
    </w:p>
    <w:p>
      <w:pPr>
        <w:pStyle w:val="yMiscellaneousBody"/>
        <w:widowControl w:val="0"/>
        <w:rPr>
          <w:rFonts w:ascii="Arial" w:hAnsi="Arial" w:cs="Arial"/>
          <w:sz w:val="18"/>
          <w:szCs w:val="22"/>
        </w:rPr>
      </w:pPr>
      <w:r>
        <w:rPr>
          <w:rFonts w:ascii="Arial" w:hAnsi="Arial" w:cs="Arial"/>
          <w:sz w:val="18"/>
          <w:szCs w:val="22"/>
        </w:rPr>
        <w:t>This code explains the rights and responsibilities of the people who sign this contract. Free copies of the code are available from your Australian Apprenticeships Centre.</w:t>
      </w:r>
    </w:p>
    <w:p>
      <w:pPr>
        <w:pStyle w:val="yMiscellaneousBody"/>
        <w:widowControl w:val="0"/>
        <w:rPr>
          <w:rFonts w:ascii="Arial" w:hAnsi="Arial" w:cs="Arial"/>
          <w:b/>
          <w:bCs/>
          <w:sz w:val="20"/>
        </w:rPr>
      </w:pPr>
      <w:r>
        <w:rPr>
          <w:rFonts w:ascii="Arial" w:hAnsi="Arial" w:cs="Arial"/>
          <w:b/>
          <w:bCs/>
          <w:sz w:val="20"/>
        </w:rPr>
        <w:lastRenderedPageBreak/>
        <w:t>Making choices</w:t>
      </w:r>
    </w:p>
    <w:p>
      <w:pPr>
        <w:pStyle w:val="yMiscellaneousBody"/>
        <w:tabs>
          <w:tab w:val="left" w:pos="426"/>
        </w:tabs>
        <w:rPr>
          <w:rFonts w:ascii="Arial" w:hAnsi="Arial" w:cs="Arial"/>
          <w:b/>
          <w:bCs/>
          <w:szCs w:val="22"/>
        </w:rPr>
      </w:pPr>
      <w:r>
        <w:rPr>
          <w:rFonts w:ascii="Arial" w:hAnsi="Arial" w:cs="Arial"/>
          <w:b/>
          <w:bCs/>
          <w:sz w:val="18"/>
          <w:szCs w:val="22"/>
        </w:rPr>
        <w:t>a.</w:t>
      </w:r>
      <w:r>
        <w:rPr>
          <w:rFonts w:ascii="Arial" w:hAnsi="Arial" w:cs="Arial"/>
          <w:b/>
          <w:bCs/>
          <w:sz w:val="18"/>
          <w:szCs w:val="22"/>
        </w:rPr>
        <w:tab/>
        <w:t>Choosing a Registered Training Organisation (RTO)</w:t>
      </w:r>
    </w:p>
    <w:p>
      <w:pPr>
        <w:pStyle w:val="yMiscellaneousBody"/>
        <w:ind w:left="426"/>
        <w:rPr>
          <w:rFonts w:ascii="Arial" w:hAnsi="Arial" w:cs="Arial"/>
          <w:szCs w:val="22"/>
        </w:rPr>
      </w:pPr>
      <w:r>
        <w:rPr>
          <w:rFonts w:ascii="Arial" w:hAnsi="Arial" w:cs="Arial"/>
          <w:sz w:val="18"/>
          <w:szCs w:val="22"/>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szCs w:val="22"/>
        </w:rPr>
        <w:t>Contacts for Further Information and Assistance</w:t>
      </w:r>
      <w:r>
        <w:rPr>
          <w:rFonts w:ascii="Arial" w:hAnsi="Arial" w:cs="Arial"/>
          <w:sz w:val="18"/>
          <w:szCs w:val="22"/>
        </w:rPr>
        <w:t xml:space="preserve"> section of this document for contacts.)</w:t>
      </w:r>
    </w:p>
    <w:p>
      <w:pPr>
        <w:pStyle w:val="yMiscellaneousBody"/>
        <w:keepNext/>
        <w:ind w:left="426"/>
        <w:rPr>
          <w:rFonts w:ascii="Arial" w:hAnsi="Arial" w:cs="Arial"/>
          <w:sz w:val="18"/>
          <w:szCs w:val="22"/>
        </w:rPr>
      </w:pPr>
      <w:r>
        <w:rPr>
          <w:rFonts w:ascii="Arial" w:hAnsi="Arial" w:cs="Arial"/>
          <w:sz w:val="18"/>
          <w:szCs w:val="22"/>
        </w:rPr>
        <w:t>The employer and apprentice/trainee have a right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ask RTOs for accurate and timely information about training options they can offer you;</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identify and select the training outcomes from nationally endorsed Training Packages or accredited courses that are available in your State/Territory;</w:t>
      </w:r>
    </w:p>
    <w:p>
      <w:pPr>
        <w:pStyle w:val="yMiscellaneousBody"/>
        <w:ind w:left="851" w:hanging="426"/>
        <w:rPr>
          <w:rFonts w:ascii="Arial" w:hAnsi="Arial" w:cs="Arial"/>
          <w:szCs w:val="22"/>
        </w:rPr>
      </w:pPr>
      <w:r>
        <w:rPr>
          <w:rFonts w:ascii="Arial" w:hAnsi="Arial" w:cs="Arial"/>
          <w:sz w:val="18"/>
          <w:szCs w:val="22"/>
        </w:rPr>
        <w:t>•</w:t>
      </w:r>
      <w:r>
        <w:rPr>
          <w:rFonts w:ascii="Arial" w:hAnsi="Arial" w:cs="Arial"/>
          <w:sz w:val="18"/>
          <w:szCs w:val="22"/>
        </w:rPr>
        <w:tab/>
        <w:t>negotiate a Training Plan with the RTO according to the relevant State</w:t>
      </w:r>
      <w:r>
        <w:rPr>
          <w:rFonts w:ascii="Arial" w:hAnsi="Arial" w:cs="Arial"/>
          <w:sz w:val="18"/>
          <w:szCs w:val="18"/>
        </w:rPr>
        <w:t>/T</w:t>
      </w:r>
      <w:r>
        <w:rPr>
          <w:rFonts w:ascii="Arial" w:hAnsi="Arial" w:cs="Arial"/>
          <w:sz w:val="18"/>
          <w:szCs w:val="22"/>
        </w:rPr>
        <w:t>erritory Training Authority.</w:t>
      </w:r>
    </w:p>
    <w:p>
      <w:pPr>
        <w:pStyle w:val="yMiscellaneousBody"/>
        <w:tabs>
          <w:tab w:val="left" w:pos="426"/>
        </w:tabs>
        <w:rPr>
          <w:rFonts w:ascii="Arial" w:hAnsi="Arial" w:cs="Arial"/>
          <w:b/>
          <w:bCs/>
          <w:sz w:val="18"/>
          <w:szCs w:val="22"/>
        </w:rPr>
      </w:pPr>
      <w:r>
        <w:rPr>
          <w:rFonts w:ascii="Arial" w:hAnsi="Arial" w:cs="Arial"/>
          <w:b/>
          <w:bCs/>
          <w:sz w:val="18"/>
          <w:szCs w:val="22"/>
        </w:rPr>
        <w:t>b.</w:t>
      </w:r>
      <w:r>
        <w:rPr>
          <w:rFonts w:ascii="Arial" w:hAnsi="Arial" w:cs="Arial"/>
          <w:b/>
          <w:bCs/>
          <w:sz w:val="18"/>
          <w:szCs w:val="22"/>
        </w:rPr>
        <w:tab/>
        <w:t>Training Plans</w:t>
      </w:r>
    </w:p>
    <w:p>
      <w:pPr>
        <w:pStyle w:val="yMiscellaneousBody"/>
        <w:ind w:left="426"/>
        <w:rPr>
          <w:rFonts w:ascii="Arial" w:hAnsi="Arial" w:cs="Arial"/>
          <w:sz w:val="18"/>
          <w:szCs w:val="22"/>
        </w:rPr>
      </w:pPr>
      <w:r>
        <w:rPr>
          <w:rFonts w:ascii="Arial" w:hAnsi="Arial" w:cs="Arial"/>
          <w:sz w:val="18"/>
          <w:szCs w:val="22"/>
        </w:rPr>
        <w:t>A Training Plan sets out the training that an apprentice/trainee will do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 xml:space="preserve">job. It also sets out how the RTO will ensure the apprentice/trainee will receive quality training </w:t>
      </w:r>
      <w:r>
        <w:rPr>
          <w:rFonts w:ascii="Arial" w:hAnsi="Arial" w:cs="Arial"/>
          <w:sz w:val="18"/>
          <w:szCs w:val="22"/>
        </w:rPr>
        <w:noBreakHyphen/>
        <w:t xml:space="preserve">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job.</w:t>
      </w:r>
    </w:p>
    <w:p>
      <w:pPr>
        <w:pStyle w:val="yMiscellaneousBody"/>
        <w:ind w:left="426"/>
        <w:rPr>
          <w:rFonts w:ascii="Arial" w:hAnsi="Arial" w:cs="Arial"/>
          <w:sz w:val="18"/>
          <w:szCs w:val="22"/>
        </w:rPr>
      </w:pPr>
      <w:r>
        <w:rPr>
          <w:rFonts w:ascii="Arial" w:hAnsi="Arial" w:cs="Arial"/>
          <w:sz w:val="18"/>
          <w:szCs w:val="22"/>
        </w:rPr>
        <w:t>It’s important that the employer and the apprentice/trainee know how the Plan will work and are well</w:t>
      </w:r>
      <w:r>
        <w:rPr>
          <w:rFonts w:ascii="Arial" w:hAnsi="Arial" w:cs="Arial"/>
          <w:sz w:val="18"/>
          <w:szCs w:val="22"/>
        </w:rPr>
        <w:noBreakHyphen/>
        <w:t>informed about it.</w:t>
      </w:r>
    </w:p>
    <w:p>
      <w:pPr>
        <w:pStyle w:val="yMiscellaneousBody"/>
        <w:ind w:left="426"/>
        <w:rPr>
          <w:rFonts w:ascii="Arial" w:hAnsi="Arial" w:cs="Arial"/>
          <w:sz w:val="18"/>
          <w:szCs w:val="22"/>
        </w:rPr>
      </w:pPr>
      <w:r>
        <w:rPr>
          <w:rFonts w:ascii="Arial" w:hAnsi="Arial" w:cs="Arial"/>
          <w:sz w:val="18"/>
          <w:szCs w:val="22"/>
        </w:rPr>
        <w:t>Training Plans reflect the choices made in relation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the RTO that will provide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competency standards will be covered and in what order;</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when, where and how training is provided;</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trainer/facilitator provides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who assesses the apprentice/trainee;</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how the training is evaluated.</w:t>
      </w:r>
    </w:p>
    <w:p>
      <w:pPr>
        <w:pStyle w:val="yMiscellaneousBody"/>
        <w:widowControl w:val="0"/>
        <w:rPr>
          <w:rFonts w:ascii="Arial" w:hAnsi="Arial" w:cs="Arial"/>
          <w:b/>
          <w:bCs/>
          <w:sz w:val="20"/>
        </w:rPr>
      </w:pPr>
      <w:r>
        <w:rPr>
          <w:rFonts w:ascii="Arial" w:hAnsi="Arial" w:cs="Arial"/>
          <w:b/>
          <w:bCs/>
          <w:sz w:val="20"/>
        </w:rPr>
        <w:t>Qualifications and records</w:t>
      </w:r>
    </w:p>
    <w:p>
      <w:pPr>
        <w:pStyle w:val="yMiscellaneousBody"/>
        <w:rPr>
          <w:rFonts w:ascii="Arial" w:hAnsi="Arial" w:cs="Arial"/>
          <w:sz w:val="18"/>
          <w:szCs w:val="22"/>
        </w:rPr>
      </w:pPr>
      <w:r>
        <w:rPr>
          <w:rFonts w:ascii="Arial" w:hAnsi="Arial" w:cs="Arial"/>
          <w:sz w:val="18"/>
          <w:szCs w:val="22"/>
        </w:rPr>
        <w:t>Once the apprentice/trainee successfully completes all assessment requirements of the Training Plan, the RTO must issue the qualification specified in the Plan. If the apprentice/trainee only completes some of the competency standards, the RTO must issue a Statement of Attainment. The RTO will keep the relevant records.</w:t>
      </w:r>
    </w:p>
    <w:p>
      <w:pPr>
        <w:pStyle w:val="yMiscellaneousBody"/>
        <w:keepNext/>
        <w:widowControl w:val="0"/>
        <w:rPr>
          <w:rFonts w:ascii="Arial" w:hAnsi="Arial" w:cs="Arial"/>
          <w:b/>
          <w:bCs/>
          <w:sz w:val="20"/>
        </w:rPr>
      </w:pPr>
      <w:r>
        <w:rPr>
          <w:rFonts w:ascii="Arial" w:hAnsi="Arial" w:cs="Arial"/>
          <w:b/>
          <w:bCs/>
          <w:sz w:val="20"/>
        </w:rPr>
        <w:lastRenderedPageBreak/>
        <w:t>Allowances and Incentives</w:t>
      </w:r>
    </w:p>
    <w:p>
      <w:pPr>
        <w:pStyle w:val="yMiscellaneousBody"/>
        <w:rPr>
          <w:rFonts w:ascii="Arial" w:hAnsi="Arial" w:cs="Arial"/>
          <w:sz w:val="18"/>
          <w:szCs w:val="22"/>
        </w:rPr>
      </w:pPr>
      <w:r>
        <w:rPr>
          <w:rFonts w:ascii="Arial" w:hAnsi="Arial" w:cs="Arial"/>
          <w:sz w:val="18"/>
          <w:szCs w:val="22"/>
        </w:rPr>
        <w:t xml:space="preserve">A range of Australian Government and State/Territory incentives and subsidies may be available from time to time. For more information, see the </w:t>
      </w:r>
      <w:r>
        <w:rPr>
          <w:rFonts w:ascii="Arial" w:hAnsi="Arial" w:cs="Arial"/>
          <w:b/>
          <w:bCs/>
          <w:sz w:val="18"/>
          <w:szCs w:val="22"/>
        </w:rPr>
        <w:t xml:space="preserve">Information on Australian Government Australian Apprenticeships Incentives </w:t>
      </w:r>
      <w:r>
        <w:rPr>
          <w:rFonts w:ascii="Arial" w:hAnsi="Arial" w:cs="Arial"/>
          <w:sz w:val="18"/>
          <w:szCs w:val="22"/>
        </w:rPr>
        <w:t>section of this document.</w:t>
      </w:r>
    </w:p>
    <w:p>
      <w:pPr>
        <w:pStyle w:val="yMiscellaneousBody"/>
        <w:rPr>
          <w:rFonts w:ascii="Arial" w:hAnsi="Arial" w:cs="Arial"/>
          <w:sz w:val="18"/>
          <w:szCs w:val="22"/>
        </w:rPr>
      </w:pPr>
      <w:r>
        <w:rPr>
          <w:rFonts w:ascii="Arial" w:hAnsi="Arial" w:cs="Arial"/>
          <w:sz w:val="18"/>
          <w:szCs w:val="22"/>
        </w:rPr>
        <w:t>State/Territory government allowances may also be available where the apprentice/trainee has to travel away from home to attend training.</w:t>
      </w:r>
    </w:p>
    <w:p>
      <w:pPr>
        <w:pStyle w:val="yMiscellaneousBody"/>
        <w:rPr>
          <w:rFonts w:ascii="Arial" w:hAnsi="Arial" w:cs="Arial"/>
          <w:sz w:val="18"/>
          <w:szCs w:val="22"/>
        </w:rPr>
      </w:pPr>
      <w:r>
        <w:rPr>
          <w:rFonts w:ascii="Arial" w:hAnsi="Arial" w:cs="Arial"/>
          <w:sz w:val="18"/>
          <w:szCs w:val="22"/>
        </w:rPr>
        <w:t>Check with an Australian Apprenticeships Centre in your region.</w:t>
      </w:r>
    </w:p>
    <w:p>
      <w:pPr>
        <w:pStyle w:val="yMiscellaneousBody"/>
        <w:rPr>
          <w:rFonts w:ascii="Arial" w:hAnsi="Arial" w:cs="Arial"/>
          <w:sz w:val="18"/>
          <w:szCs w:val="22"/>
        </w:rPr>
      </w:pPr>
      <w:r>
        <w:rPr>
          <w:rFonts w:ascii="Arial" w:hAnsi="Arial" w:cs="Arial"/>
          <w:sz w:val="18"/>
          <w:szCs w:val="22"/>
        </w:rPr>
        <w:t>Existing workers who become apprentices/trainees may not attract Australian Government or State/Territory subsidies and incentives.</w:t>
      </w:r>
    </w:p>
    <w:p>
      <w:pPr>
        <w:pStyle w:val="yMiscellaneousBody"/>
        <w:rPr>
          <w:rFonts w:ascii="Arial" w:hAnsi="Arial" w:cs="Arial"/>
          <w:b/>
          <w:bCs/>
          <w:szCs w:val="22"/>
        </w:rPr>
      </w:pPr>
      <w:r>
        <w:rPr>
          <w:rFonts w:ascii="Arial" w:hAnsi="Arial" w:cs="Arial"/>
          <w:b/>
          <w:bCs/>
          <w:szCs w:val="22"/>
        </w:rPr>
        <w:t>Information to Help Complete the Training Contract</w:t>
      </w:r>
    </w:p>
    <w:p>
      <w:pPr>
        <w:pStyle w:val="yMiscellaneousBody"/>
        <w:rPr>
          <w:rFonts w:ascii="Arial" w:hAnsi="Arial" w:cs="Arial"/>
          <w:szCs w:val="22"/>
        </w:rPr>
      </w:pPr>
      <w:r>
        <w:rPr>
          <w:rFonts w:ascii="Arial" w:hAnsi="Arial" w:cs="Arial"/>
          <w:b/>
          <w:bCs/>
          <w:sz w:val="18"/>
          <w:szCs w:val="22"/>
        </w:rPr>
        <w:t>Questions marked (*) 14, 15, 16, 17 and 22 are optional questions</w:t>
      </w:r>
    </w:p>
    <w:p>
      <w:pPr>
        <w:pStyle w:val="yMiscellaneousBody"/>
        <w:rPr>
          <w:rFonts w:ascii="Arial" w:hAnsi="Arial" w:cs="Arial"/>
          <w:szCs w:val="22"/>
        </w:rPr>
      </w:pPr>
      <w:r>
        <w:rPr>
          <w:rFonts w:ascii="Arial" w:hAnsi="Arial" w:cs="Arial"/>
          <w:szCs w:val="22"/>
        </w:rPr>
        <w:t>You are not required to complete these questions, however, if you answer question 22 it may assist in processing your claim for incentives.</w:t>
      </w:r>
    </w:p>
    <w:p>
      <w:pPr>
        <w:pStyle w:val="yMiscellaneousBody"/>
        <w:rPr>
          <w:rFonts w:ascii="Arial" w:hAnsi="Arial" w:cs="Arial"/>
          <w:szCs w:val="22"/>
        </w:rPr>
      </w:pPr>
      <w:r>
        <w:rPr>
          <w:rFonts w:ascii="Arial" w:hAnsi="Arial" w:cs="Arial"/>
          <w:b/>
          <w:bCs/>
          <w:sz w:val="18"/>
          <w:szCs w:val="22"/>
        </w:rPr>
        <w:t>Questions 1, 2, 21 and 25 – Title, Level and Code of Qualification</w:t>
      </w:r>
    </w:p>
    <w:p>
      <w:pPr>
        <w:pStyle w:val="yMiscellaneousBody"/>
        <w:rPr>
          <w:rFonts w:ascii="Arial" w:hAnsi="Arial" w:cs="Arial"/>
          <w:szCs w:val="22"/>
        </w:rPr>
      </w:pPr>
      <w:r>
        <w:rPr>
          <w:rFonts w:ascii="Arial" w:hAnsi="Arial" w:cs="Arial"/>
          <w:sz w:val="18"/>
          <w:szCs w:val="22"/>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Register, training.gov.au (</w:t>
      </w:r>
      <w:r>
        <w:rPr>
          <w:rFonts w:ascii="Arial" w:hAnsi="Arial" w:cs="Arial"/>
          <w:sz w:val="18"/>
          <w:szCs w:val="22"/>
          <w:u w:val="single"/>
        </w:rPr>
        <w:t>www.training.gov.au</w:t>
      </w:r>
      <w:r>
        <w:rPr>
          <w:rFonts w:ascii="Arial" w:hAnsi="Arial" w:cs="Arial"/>
          <w:sz w:val="18"/>
          <w:szCs w:val="22"/>
        </w:rPr>
        <w:t>).  Your Australian Apprenticeships Centre or RTO can also provide this information.</w:t>
      </w:r>
    </w:p>
    <w:p>
      <w:pPr>
        <w:pStyle w:val="yMiscellaneousBody"/>
        <w:rPr>
          <w:rFonts w:ascii="Arial" w:hAnsi="Arial" w:cs="Arial"/>
          <w:sz w:val="18"/>
          <w:szCs w:val="18"/>
        </w:rPr>
      </w:pPr>
      <w:r>
        <w:rPr>
          <w:rFonts w:ascii="Arial" w:hAnsi="Arial" w:cs="Arial"/>
          <w:b/>
          <w:bCs/>
          <w:sz w:val="18"/>
          <w:szCs w:val="18"/>
        </w:rPr>
        <w:t>Question 7 – Existing Worker</w:t>
      </w:r>
    </w:p>
    <w:p>
      <w:pPr>
        <w:pStyle w:val="yMiscellaneousBody"/>
        <w:rPr>
          <w:rFonts w:ascii="Arial" w:hAnsi="Arial" w:cs="Arial"/>
          <w:sz w:val="18"/>
          <w:szCs w:val="18"/>
        </w:rPr>
      </w:pPr>
      <w:r>
        <w:rPr>
          <w:rFonts w:ascii="Arial" w:hAnsi="Arial" w:cs="Arial"/>
          <w:sz w:val="18"/>
          <w:szCs w:val="18"/>
        </w:rPr>
        <w:t>An existing worker is defined as a person who has been employed by the applicant employer continuously for more than 3 months full</w:t>
      </w:r>
      <w:r>
        <w:rPr>
          <w:rFonts w:ascii="Arial" w:hAnsi="Arial" w:cs="Arial"/>
          <w:sz w:val="18"/>
          <w:szCs w:val="18"/>
        </w:rPr>
        <w:noBreakHyphen/>
        <w:t>time or 12 months casual or part</w:t>
      </w:r>
      <w:r>
        <w:rPr>
          <w:rFonts w:ascii="Arial" w:hAnsi="Arial" w:cs="Arial"/>
          <w:sz w:val="18"/>
          <w:szCs w:val="18"/>
        </w:rPr>
        <w:noBreakHyphen/>
        <w:t>time or a combination of both, immediately prior to the commencement date of the Training Contract as shown in question 3.</w:t>
      </w:r>
    </w:p>
    <w:p>
      <w:pPr>
        <w:pStyle w:val="yMiscellaneousBody"/>
        <w:rPr>
          <w:rFonts w:ascii="Arial" w:hAnsi="Arial" w:cs="Arial"/>
          <w:sz w:val="18"/>
          <w:szCs w:val="18"/>
        </w:rPr>
      </w:pPr>
      <w:r>
        <w:rPr>
          <w:rFonts w:ascii="Arial" w:hAnsi="Arial" w:cs="Arial"/>
          <w:sz w:val="18"/>
          <w:szCs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rPr>
          <w:rFonts w:ascii="Arial" w:hAnsi="Arial" w:cs="Arial"/>
          <w:b/>
          <w:bCs/>
          <w:sz w:val="18"/>
          <w:szCs w:val="18"/>
        </w:rPr>
      </w:pPr>
      <w:r>
        <w:rPr>
          <w:rFonts w:ascii="Arial" w:hAnsi="Arial" w:cs="Arial"/>
          <w:b/>
          <w:bCs/>
          <w:sz w:val="18"/>
          <w:szCs w:val="18"/>
        </w:rPr>
        <w:t>Question 13 – New Zealand Passport Holders</w:t>
      </w:r>
    </w:p>
    <w:p>
      <w:pPr>
        <w:pStyle w:val="yMiscellaneousBody"/>
        <w:rPr>
          <w:rFonts w:ascii="Arial" w:hAnsi="Arial" w:cs="Arial"/>
          <w:sz w:val="18"/>
          <w:szCs w:val="18"/>
        </w:rPr>
      </w:pPr>
      <w:r>
        <w:rPr>
          <w:rFonts w:ascii="Arial" w:hAnsi="Arial" w:cs="Arial"/>
          <w:sz w:val="18"/>
          <w:szCs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keepNext/>
        <w:rPr>
          <w:rFonts w:ascii="Arial" w:hAnsi="Arial" w:cs="Arial"/>
          <w:b/>
          <w:bCs/>
          <w:sz w:val="18"/>
          <w:szCs w:val="18"/>
        </w:rPr>
      </w:pPr>
      <w:r>
        <w:rPr>
          <w:rFonts w:ascii="Arial" w:hAnsi="Arial" w:cs="Arial"/>
          <w:b/>
          <w:bCs/>
          <w:sz w:val="18"/>
          <w:szCs w:val="18"/>
        </w:rPr>
        <w:lastRenderedPageBreak/>
        <w:t>Question 19 – Australian School</w:t>
      </w:r>
      <w:r>
        <w:rPr>
          <w:rFonts w:ascii="Arial" w:hAnsi="Arial" w:cs="Arial"/>
          <w:b/>
          <w:bCs/>
          <w:sz w:val="18"/>
          <w:szCs w:val="18"/>
        </w:rPr>
        <w:noBreakHyphen/>
        <w:t>based Apprenticeship</w:t>
      </w:r>
    </w:p>
    <w:p>
      <w:pPr>
        <w:pStyle w:val="yMiscellaneousBody"/>
        <w:rPr>
          <w:rFonts w:ascii="Arial" w:hAnsi="Arial" w:cs="Arial"/>
          <w:sz w:val="18"/>
          <w:szCs w:val="18"/>
        </w:rPr>
      </w:pPr>
      <w:r>
        <w:rPr>
          <w:rFonts w:ascii="Arial" w:hAnsi="Arial" w:cs="Arial"/>
          <w:sz w:val="18"/>
          <w:szCs w:val="18"/>
        </w:rPr>
        <w:t>Australian Apprenticeship training undertaken by a student will be an Australian School</w:t>
      </w:r>
      <w:r>
        <w:rPr>
          <w:rFonts w:ascii="Arial" w:hAnsi="Arial" w:cs="Arial"/>
          <w:sz w:val="18"/>
          <w:szCs w:val="18"/>
        </w:rPr>
        <w:noBreakHyphen/>
        <w:t>based Apprenticeship when all of the following apply: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student is enrolled in a senior secondary certificate under the relevant Education 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school or education provider at which the student is enrolled acknowledges and endorses the Training Plan required by the Apprenticeship/Traineeship Training Contract;</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the Australian School</w:t>
      </w:r>
      <w:r>
        <w:rPr>
          <w:rFonts w:ascii="Arial" w:hAnsi="Arial" w:cs="Arial"/>
          <w:sz w:val="18"/>
          <w:szCs w:val="22"/>
        </w:rPr>
        <w:noBreakHyphen/>
        <w:t xml:space="preserve">based Apprenticeship is recognised on the senior </w:t>
      </w:r>
      <w:r>
        <w:rPr>
          <w:rFonts w:ascii="Arial" w:hAnsi="Arial" w:cs="Arial"/>
          <w:sz w:val="18"/>
          <w:szCs w:val="18"/>
        </w:rPr>
        <w:t>secondary certificate.</w:t>
      </w:r>
    </w:p>
    <w:p>
      <w:pPr>
        <w:pStyle w:val="yMiscellaneousBody"/>
        <w:rPr>
          <w:rFonts w:ascii="Arial" w:hAnsi="Arial" w:cs="Arial"/>
          <w:sz w:val="18"/>
          <w:szCs w:val="18"/>
        </w:rPr>
      </w:pPr>
      <w:r>
        <w:rPr>
          <w:rFonts w:ascii="Arial" w:hAnsi="Arial" w:cs="Arial"/>
          <w:sz w:val="18"/>
          <w:szCs w:val="18"/>
        </w:rPr>
        <w:t>(Note: The term Australian Apprenticeships relates to apprenticeships and traineeships)</w:t>
      </w:r>
    </w:p>
    <w:p>
      <w:pPr>
        <w:pStyle w:val="yMiscellaneousBody"/>
        <w:rPr>
          <w:rFonts w:ascii="Arial" w:hAnsi="Arial" w:cs="Arial"/>
          <w:b/>
          <w:bCs/>
          <w:sz w:val="18"/>
          <w:szCs w:val="18"/>
        </w:rPr>
      </w:pPr>
      <w:r>
        <w:rPr>
          <w:rFonts w:ascii="Arial" w:hAnsi="Arial" w:cs="Arial"/>
          <w:b/>
          <w:bCs/>
          <w:sz w:val="18"/>
          <w:szCs w:val="18"/>
        </w:rPr>
        <w:t>Question 24 – Credit</w:t>
      </w:r>
    </w:p>
    <w:p>
      <w:pPr>
        <w:pStyle w:val="yMiscellaneousBody"/>
        <w:rPr>
          <w:rFonts w:ascii="Arial" w:hAnsi="Arial" w:cs="Arial"/>
          <w:sz w:val="18"/>
          <w:szCs w:val="18"/>
        </w:rPr>
      </w:pPr>
      <w:r>
        <w:rPr>
          <w:rFonts w:ascii="Arial" w:hAnsi="Arial" w:cs="Arial"/>
          <w:sz w:val="18"/>
          <w:szCs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rPr>
          <w:rFonts w:ascii="Arial" w:hAnsi="Arial" w:cs="Arial"/>
          <w:sz w:val="18"/>
          <w:szCs w:val="18"/>
        </w:rPr>
      </w:pPr>
      <w:r>
        <w:rPr>
          <w:rFonts w:ascii="Arial" w:hAnsi="Arial" w:cs="Arial"/>
          <w:sz w:val="18"/>
          <w:szCs w:val="18"/>
        </w:rPr>
        <w:t>Your RTO should discuss the issue of credit for prior learning with you during the negotiation of the Training Plan associated with this contract of training.</w:t>
      </w:r>
    </w:p>
    <w:p>
      <w:pPr>
        <w:pStyle w:val="yMiscellaneousBody"/>
        <w:rPr>
          <w:rFonts w:ascii="Arial" w:hAnsi="Arial" w:cs="Arial"/>
          <w:b/>
          <w:bCs/>
          <w:sz w:val="18"/>
          <w:szCs w:val="18"/>
        </w:rPr>
      </w:pPr>
      <w:r>
        <w:rPr>
          <w:rFonts w:ascii="Arial" w:hAnsi="Arial" w:cs="Arial"/>
          <w:b/>
          <w:bCs/>
          <w:sz w:val="18"/>
          <w:szCs w:val="18"/>
        </w:rPr>
        <w:t>Question 28 – Legal Name of Employer</w:t>
      </w:r>
    </w:p>
    <w:p>
      <w:pPr>
        <w:pStyle w:val="yMiscellaneousBody"/>
        <w:rPr>
          <w:rFonts w:ascii="Arial" w:hAnsi="Arial" w:cs="Arial"/>
          <w:sz w:val="18"/>
          <w:szCs w:val="18"/>
        </w:rPr>
      </w:pPr>
      <w:r>
        <w:rPr>
          <w:rFonts w:ascii="Arial" w:hAnsi="Arial" w:cs="Arial"/>
          <w:sz w:val="18"/>
          <w:szCs w:val="18"/>
        </w:rPr>
        <w:t>The employer must provide the name of the employer’s legal entity. This will be a person’s name, a company name, or the name of an incorporated association, NOT a trading name, business name, or name of a trust.</w:t>
      </w:r>
    </w:p>
    <w:p>
      <w:pPr>
        <w:pStyle w:val="yMiscellaneousBody"/>
        <w:rPr>
          <w:rFonts w:ascii="Arial" w:hAnsi="Arial" w:cs="Arial"/>
          <w:sz w:val="18"/>
          <w:szCs w:val="18"/>
        </w:rPr>
      </w:pPr>
      <w:r>
        <w:rPr>
          <w:rFonts w:ascii="Arial" w:hAnsi="Arial" w:cs="Arial"/>
          <w:b/>
          <w:bCs/>
          <w:sz w:val="18"/>
          <w:szCs w:val="18"/>
        </w:rPr>
        <w:t>Questions 34 and 35 – Group Training Organisation</w:t>
      </w:r>
    </w:p>
    <w:p>
      <w:pPr>
        <w:pStyle w:val="yMiscellaneousBody"/>
        <w:rPr>
          <w:rFonts w:ascii="Arial" w:hAnsi="Arial" w:cs="Arial"/>
          <w:sz w:val="18"/>
          <w:szCs w:val="18"/>
        </w:rPr>
      </w:pPr>
      <w:r>
        <w:rPr>
          <w:rFonts w:ascii="Arial" w:hAnsi="Arial" w:cs="Arial"/>
          <w:sz w:val="18"/>
          <w:szCs w:val="18"/>
        </w:rPr>
        <w:t>A group training organisation employs apprentices/trainees and places them with host employers. The host employer and the company providing the group training services must be separate legal entities.</w:t>
      </w:r>
    </w:p>
    <w:p>
      <w:pPr>
        <w:pStyle w:val="yMiscellaneousBody"/>
        <w:keepNext/>
        <w:rPr>
          <w:rFonts w:ascii="Arial" w:hAnsi="Arial" w:cs="Arial"/>
          <w:sz w:val="18"/>
          <w:szCs w:val="18"/>
        </w:rPr>
      </w:pPr>
      <w:r>
        <w:rPr>
          <w:rFonts w:ascii="Arial" w:hAnsi="Arial" w:cs="Arial"/>
          <w:b/>
          <w:bCs/>
          <w:sz w:val="18"/>
          <w:szCs w:val="18"/>
        </w:rPr>
        <w:t>Question 39 – Full</w:t>
      </w:r>
      <w:r>
        <w:rPr>
          <w:rFonts w:ascii="Arial" w:hAnsi="Arial" w:cs="Arial"/>
          <w:b/>
          <w:bCs/>
          <w:sz w:val="18"/>
          <w:szCs w:val="18"/>
        </w:rPr>
        <w:noBreakHyphen/>
        <w:t>time/Part</w:t>
      </w:r>
      <w:r>
        <w:rPr>
          <w:rFonts w:ascii="Arial" w:hAnsi="Arial" w:cs="Arial"/>
          <w:b/>
          <w:bCs/>
          <w:sz w:val="18"/>
          <w:szCs w:val="18"/>
        </w:rPr>
        <w:noBreakHyphen/>
        <w:t>time Apprentices and Trainees</w:t>
      </w:r>
    </w:p>
    <w:p>
      <w:pPr>
        <w:pStyle w:val="yMiscellaneousBody"/>
        <w:rPr>
          <w:rFonts w:ascii="Arial" w:hAnsi="Arial" w:cs="Arial"/>
          <w:sz w:val="18"/>
          <w:szCs w:val="18"/>
        </w:rPr>
      </w:pPr>
      <w:r>
        <w:rPr>
          <w:rFonts w:ascii="Arial" w:hAnsi="Arial" w:cs="Arial"/>
          <w:sz w:val="18"/>
          <w:szCs w:val="18"/>
        </w:rPr>
        <w:t>Apprenticeships/traineeships may be undertaken full</w:t>
      </w:r>
      <w:r>
        <w:rPr>
          <w:rFonts w:ascii="Arial" w:hAnsi="Arial" w:cs="Arial"/>
          <w:sz w:val="18"/>
          <w:szCs w:val="18"/>
        </w:rPr>
        <w:noBreakHyphen/>
        <w:t>time or part</w:t>
      </w:r>
      <w:r>
        <w:rPr>
          <w:rFonts w:ascii="Arial" w:hAnsi="Arial" w:cs="Arial"/>
          <w:sz w:val="18"/>
          <w:szCs w:val="18"/>
        </w:rPr>
        <w:noBreakHyphen/>
        <w:t>time. A full</w:t>
      </w:r>
      <w:r>
        <w:rPr>
          <w:rFonts w:ascii="Arial" w:hAnsi="Arial" w:cs="Arial"/>
          <w:sz w:val="18"/>
          <w:szCs w:val="18"/>
        </w:rPr>
        <w:noBreakHyphen/>
        <w:t>time apprentice/trainee is one whose ordinary hours of employment, including the training component, are not less than the usual hours of employment for a full</w:t>
      </w:r>
      <w:r>
        <w:rPr>
          <w:rFonts w:ascii="Arial" w:hAnsi="Arial" w:cs="Arial"/>
          <w:sz w:val="18"/>
          <w:szCs w:val="18"/>
        </w:rPr>
        <w:noBreakHyphen/>
        <w:t>time employee in that occupation.  Part</w:t>
      </w:r>
      <w:r>
        <w:rPr>
          <w:rFonts w:ascii="Arial" w:hAnsi="Arial" w:cs="Arial"/>
          <w:sz w:val="18"/>
          <w:szCs w:val="18"/>
        </w:rPr>
        <w:noBreakHyphen/>
        <w:t xml:space="preserve">time provisions vary across Australia and across occupations. For more information contact an Australian Apprenticeships Centre in your region or State/Territory Training Authority. See the </w:t>
      </w:r>
      <w:r>
        <w:rPr>
          <w:rFonts w:ascii="Arial" w:hAnsi="Arial" w:cs="Arial"/>
          <w:b/>
          <w:bCs/>
          <w:sz w:val="18"/>
          <w:szCs w:val="18"/>
        </w:rPr>
        <w:t xml:space="preserve">Contacts for Further Information and Assistance </w:t>
      </w:r>
      <w:r>
        <w:rPr>
          <w:rFonts w:ascii="Arial" w:hAnsi="Arial" w:cs="Arial"/>
          <w:sz w:val="18"/>
          <w:szCs w:val="18"/>
        </w:rPr>
        <w:t>section for further contact details.</w:t>
      </w:r>
    </w:p>
    <w:p>
      <w:pPr>
        <w:pStyle w:val="yMiscellaneousBody"/>
        <w:keepNext/>
        <w:rPr>
          <w:rFonts w:ascii="Arial" w:hAnsi="Arial" w:cs="Arial"/>
          <w:sz w:val="18"/>
          <w:szCs w:val="18"/>
        </w:rPr>
      </w:pPr>
      <w:r>
        <w:rPr>
          <w:rFonts w:ascii="Arial" w:hAnsi="Arial" w:cs="Arial"/>
          <w:b/>
          <w:bCs/>
          <w:sz w:val="18"/>
          <w:szCs w:val="18"/>
        </w:rPr>
        <w:lastRenderedPageBreak/>
        <w:t>Question</w:t>
      </w:r>
      <w:r>
        <w:rPr>
          <w:rFonts w:ascii="Arial" w:hAnsi="Arial" w:cs="Arial"/>
          <w:b/>
          <w:sz w:val="18"/>
          <w:szCs w:val="18"/>
        </w:rPr>
        <w:t xml:space="preserve"> 41 – Business Relationship</w:t>
      </w:r>
    </w:p>
    <w:p>
      <w:pPr>
        <w:pStyle w:val="yMiscellaneousBody"/>
        <w:rPr>
          <w:rFonts w:ascii="Arial" w:hAnsi="Arial" w:cs="Arial"/>
          <w:sz w:val="18"/>
          <w:szCs w:val="18"/>
        </w:rPr>
      </w:pPr>
      <w:r>
        <w:rPr>
          <w:rFonts w:ascii="Arial" w:hAnsi="Arial" w:cs="Arial"/>
          <w:sz w:val="18"/>
          <w:szCs w:val="18"/>
        </w:rPr>
        <w:t>A business relationship includes a pre</w:t>
      </w:r>
      <w:r>
        <w:rPr>
          <w:rFonts w:ascii="Arial" w:hAnsi="Arial" w:cs="Arial"/>
          <w:sz w:val="18"/>
          <w:szCs w:val="18"/>
        </w:rPr>
        <w:noBreakHyphen/>
        <w:t>existing or current business relationship between the employer and the apprentice/trainee; for example, when the apprentice/ trainee is a partner, a director of the company, a previous director or partner or involved in franchise arrangements.</w:t>
      </w:r>
    </w:p>
    <w:p>
      <w:pPr>
        <w:pStyle w:val="yMiscellaneousBody"/>
        <w:tabs>
          <w:tab w:val="right" w:pos="6946"/>
        </w:tabs>
        <w:ind w:right="-2"/>
        <w:rPr>
          <w:rFonts w:ascii="Arial" w:hAnsi="Arial" w:cs="Arial"/>
          <w:szCs w:val="22"/>
          <w:u w:val="single"/>
        </w:rPr>
      </w:pPr>
      <w:r>
        <w:rPr>
          <w:rFonts w:ascii="Arial" w:hAnsi="Arial" w:cs="Arial"/>
          <w:szCs w:val="22"/>
          <w:u w:val="single"/>
        </w:rPr>
        <w:tab/>
      </w:r>
    </w:p>
    <w:p>
      <w:pPr>
        <w:pStyle w:val="yMiscellaneousBody"/>
        <w:rPr>
          <w:rFonts w:ascii="Arial" w:hAnsi="Arial" w:cs="Arial"/>
          <w:szCs w:val="22"/>
        </w:rPr>
      </w:pPr>
      <w:r>
        <w:rPr>
          <w:rFonts w:ascii="Arial" w:hAnsi="Arial" w:cs="Arial"/>
          <w:b/>
          <w:sz w:val="18"/>
          <w:szCs w:val="22"/>
        </w:rPr>
        <w:t>FOR OFFICE USE ONLY</w:t>
      </w:r>
    </w:p>
    <w:p>
      <w:pPr>
        <w:pStyle w:val="yMiscellaneousBody"/>
        <w:keepNext/>
        <w:rPr>
          <w:rFonts w:ascii="Arial" w:hAnsi="Arial" w:cs="Arial"/>
          <w:b/>
          <w:bCs/>
          <w:sz w:val="18"/>
          <w:szCs w:val="18"/>
        </w:rPr>
      </w:pPr>
      <w:r>
        <w:rPr>
          <w:rFonts w:ascii="Arial" w:hAnsi="Arial" w:cs="Arial"/>
          <w:b/>
          <w:bCs/>
          <w:sz w:val="18"/>
          <w:szCs w:val="18"/>
        </w:rPr>
        <w:t>Australian Apprenticeships Centre Declaration</w:t>
      </w:r>
    </w:p>
    <w:p>
      <w:pPr>
        <w:pStyle w:val="yMiscellaneousBody"/>
        <w:rPr>
          <w:rFonts w:ascii="Arial" w:hAnsi="Arial" w:cs="Arial"/>
          <w:sz w:val="18"/>
          <w:szCs w:val="18"/>
        </w:rPr>
      </w:pPr>
      <w:r>
        <w:rPr>
          <w:rFonts w:ascii="Arial" w:hAnsi="Arial" w:cs="Arial"/>
          <w:sz w:val="18"/>
          <w:szCs w:val="18"/>
        </w:rPr>
        <w:t>This section is completed by the Australian Apprenticeships Centre</w:t>
      </w:r>
    </w:p>
    <w:p>
      <w:pPr>
        <w:pStyle w:val="yMiscellaneousBody"/>
        <w:rPr>
          <w:rFonts w:ascii="Arial" w:hAnsi="Arial" w:cs="Arial"/>
          <w:sz w:val="18"/>
          <w:szCs w:val="18"/>
        </w:rPr>
      </w:pPr>
      <w:r>
        <w:rPr>
          <w:rFonts w:ascii="Arial" w:hAnsi="Arial" w:cs="Arial"/>
          <w:sz w:val="18"/>
          <w:szCs w:val="18"/>
        </w:rPr>
        <w:t>I certify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details entered have been verified.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r>
      <w:r>
        <w:rPr>
          <w:rFonts w:ascii="Arial" w:hAnsi="Arial" w:cs="Arial"/>
          <w:sz w:val="18"/>
          <w:szCs w:val="18"/>
        </w:rPr>
        <w:t>the</w:t>
      </w:r>
      <w:r>
        <w:rPr>
          <w:rFonts w:ascii="Arial" w:hAnsi="Arial" w:cs="Arial"/>
          <w:sz w:val="18"/>
          <w:szCs w:val="22"/>
        </w:rPr>
        <w:t xml:space="preserve"> application meets/does not meet all initial assessment criteria for payment as specified in the </w:t>
      </w:r>
      <w:r>
        <w:rPr>
          <w:rFonts w:ascii="Arial" w:hAnsi="Arial" w:cs="Arial"/>
          <w:b/>
          <w:i/>
          <w:sz w:val="18"/>
          <w:szCs w:val="22"/>
        </w:rPr>
        <w:t>Australian Government Australian Apprenticeships Incentives Program Guidelines</w:t>
      </w:r>
      <w:r>
        <w:rPr>
          <w:rFonts w:ascii="Arial" w:hAnsi="Arial" w:cs="Arial"/>
          <w:sz w:val="18"/>
          <w:szCs w:val="22"/>
        </w:rPr>
        <w: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advised the employer and the apprentice/trainee of their obligations and responsibilities under the Training Contract.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informed the employer and the apprentice/trainee of their options under User Choice provisions.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provided relevant publications to the employer and the apprentice/trainee.</w:t>
      </w:r>
    </w:p>
    <w:p>
      <w:pPr>
        <w:pStyle w:val="yMiscellaneousBody"/>
        <w:rPr>
          <w:rFonts w:ascii="Arial" w:hAnsi="Arial" w:cs="Arial"/>
          <w:sz w:val="18"/>
          <w:szCs w:val="22"/>
        </w:rPr>
      </w:pPr>
      <w:r>
        <w:rPr>
          <w:rFonts w:ascii="Arial" w:hAnsi="Arial" w:cs="Arial"/>
          <w:sz w:val="18"/>
          <w:szCs w:val="22"/>
        </w:rPr>
        <w:t xml:space="preserve">I </w:t>
      </w:r>
      <w:r>
        <w:rPr>
          <w:rFonts w:ascii="Arial" w:hAnsi="Arial" w:cs="Arial"/>
          <w:sz w:val="18"/>
          <w:szCs w:val="18"/>
        </w:rPr>
        <w:t>understand</w:t>
      </w:r>
      <w:r>
        <w:rPr>
          <w:rFonts w:ascii="Arial" w:hAnsi="Arial" w:cs="Arial"/>
          <w:sz w:val="18"/>
          <w:szCs w:val="22"/>
        </w:rPr>
        <w:t xml:space="preserve">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it is a serious offence to make a false or misleading statement in connection </w:t>
      </w:r>
      <w:r>
        <w:rPr>
          <w:rFonts w:ascii="Arial" w:hAnsi="Arial" w:cs="Arial"/>
          <w:sz w:val="18"/>
          <w:szCs w:val="18"/>
        </w:rPr>
        <w:t>with</w:t>
      </w:r>
      <w:r>
        <w:rPr>
          <w:rFonts w:ascii="Arial" w:hAnsi="Arial" w:cs="Arial"/>
          <w:sz w:val="18"/>
          <w:szCs w:val="22"/>
        </w:rPr>
        <w:t xml:space="preserve"> an application for payment; and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fees </w:t>
      </w:r>
      <w:r>
        <w:rPr>
          <w:rFonts w:ascii="Arial" w:hAnsi="Arial" w:cs="Arial"/>
          <w:sz w:val="18"/>
          <w:szCs w:val="18"/>
        </w:rPr>
        <w:t>paid</w:t>
      </w:r>
      <w:r>
        <w:rPr>
          <w:rFonts w:ascii="Arial" w:hAnsi="Arial" w:cs="Arial"/>
          <w:sz w:val="18"/>
          <w:szCs w:val="22"/>
        </w:rPr>
        <w:t xml:space="preserve"> to the Australian Apprenticeships Centre and any incentives paid to any employer in relation to the processing of the Contract may be recovered if this Contract has not been processed in accordance with the </w:t>
      </w:r>
      <w:r>
        <w:rPr>
          <w:rFonts w:ascii="Arial" w:hAnsi="Arial" w:cs="Arial"/>
          <w:b/>
          <w:sz w:val="18"/>
          <w:szCs w:val="22"/>
        </w:rPr>
        <w:t>Australian Government Australian Apprenticeships Support Services Contract</w:t>
      </w:r>
      <w:r>
        <w:rPr>
          <w:rFonts w:ascii="Arial" w:hAnsi="Arial" w:cs="Arial"/>
          <w:sz w:val="18"/>
          <w:szCs w:val="22"/>
        </w:rPr>
        <w:t>.</w:t>
      </w:r>
    </w:p>
    <w:p>
      <w:pPr>
        <w:pStyle w:val="yMiscellaneousBody"/>
        <w:tabs>
          <w:tab w:val="left" w:pos="4253"/>
        </w:tabs>
        <w:rPr>
          <w:rFonts w:ascii="Arial" w:hAnsi="Arial" w:cs="Arial"/>
          <w:sz w:val="18"/>
          <w:szCs w:val="22"/>
        </w:rPr>
      </w:pPr>
      <w:r>
        <w:rPr>
          <w:rFonts w:ascii="Arial" w:hAnsi="Arial" w:cs="Arial"/>
          <w:sz w:val="18"/>
          <w:szCs w:val="22"/>
        </w:rPr>
        <w:t>Name of Australian Apprenticeships Centre</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Printed name of person verifying details</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Signature of person verifying details</w:t>
      </w:r>
      <w:r>
        <w:rPr>
          <w:rFonts w:ascii="Arial" w:hAnsi="Arial" w:cs="Arial"/>
          <w:sz w:val="18"/>
          <w:szCs w:val="22"/>
        </w:rPr>
        <w:tab/>
        <w:t>.............................................</w:t>
      </w:r>
    </w:p>
    <w:p>
      <w:pPr>
        <w:pStyle w:val="yMiscellaneousBody"/>
        <w:tabs>
          <w:tab w:val="left" w:pos="1701"/>
          <w:tab w:val="left" w:pos="4253"/>
        </w:tabs>
        <w:rPr>
          <w:rFonts w:ascii="Arial" w:hAnsi="Arial" w:cs="Arial"/>
          <w:i/>
          <w:sz w:val="18"/>
          <w:szCs w:val="22"/>
        </w:rPr>
      </w:pPr>
      <w:r>
        <w:rPr>
          <w:rFonts w:ascii="Arial" w:hAnsi="Arial" w:cs="Arial"/>
          <w:sz w:val="18"/>
          <w:szCs w:val="22"/>
        </w:rPr>
        <w:t xml:space="preserve">Date  </w:t>
      </w:r>
      <w:r>
        <w:rPr>
          <w:rFonts w:ascii="Arial" w:hAnsi="Arial" w:cs="Arial"/>
          <w:sz w:val="18"/>
          <w:szCs w:val="22"/>
        </w:rPr>
        <w:tab/>
      </w:r>
      <w:r>
        <w:rPr>
          <w:rFonts w:ascii="Arial" w:hAnsi="Arial" w:cs="Arial"/>
          <w:i/>
          <w:sz w:val="18"/>
          <w:szCs w:val="22"/>
        </w:rPr>
        <w:t>day</w:t>
      </w:r>
      <w:r>
        <w:rPr>
          <w:rFonts w:ascii="Arial" w:hAnsi="Arial" w:cs="Arial"/>
          <w:sz w:val="18"/>
          <w:szCs w:val="22"/>
        </w:rPr>
        <w:t>/</w:t>
      </w:r>
      <w:r>
        <w:rPr>
          <w:rFonts w:ascii="Arial" w:hAnsi="Arial" w:cs="Arial"/>
          <w:i/>
          <w:sz w:val="18"/>
          <w:szCs w:val="22"/>
        </w:rPr>
        <w:t>month</w:t>
      </w:r>
      <w:r>
        <w:rPr>
          <w:rFonts w:ascii="Arial" w:hAnsi="Arial" w:cs="Arial"/>
          <w:sz w:val="18"/>
          <w:szCs w:val="22"/>
        </w:rPr>
        <w:t>/</w:t>
      </w:r>
      <w:r>
        <w:rPr>
          <w:rFonts w:ascii="Arial" w:hAnsi="Arial" w:cs="Arial"/>
          <w:i/>
          <w:sz w:val="18"/>
          <w:szCs w:val="22"/>
        </w:rPr>
        <w:t>year</w:t>
      </w:r>
    </w:p>
    <w:p>
      <w:pPr>
        <w:pStyle w:val="yMiscellaneousBody"/>
        <w:tabs>
          <w:tab w:val="left" w:pos="1701"/>
          <w:tab w:val="left" w:pos="3119"/>
        </w:tabs>
        <w:rPr>
          <w:rFonts w:ascii="Arial" w:hAnsi="Arial" w:cs="Arial"/>
          <w:sz w:val="18"/>
          <w:szCs w:val="22"/>
        </w:rPr>
      </w:pPr>
      <w:r>
        <w:rPr>
          <w:rFonts w:ascii="Arial" w:hAnsi="Arial" w:cs="Arial"/>
          <w:sz w:val="18"/>
          <w:szCs w:val="22"/>
        </w:rPr>
        <w:t>TYIMS Registration ID</w:t>
      </w:r>
      <w:r>
        <w:rPr>
          <w:rFonts w:ascii="Arial" w:hAnsi="Arial" w:cs="Arial"/>
          <w:sz w:val="18"/>
          <w:szCs w:val="22"/>
        </w:rPr>
        <w:tab/>
        <w:t>.............................................</w:t>
      </w:r>
    </w:p>
    <w:p>
      <w:pPr>
        <w:pStyle w:val="yMiscellaneousBody"/>
        <w:tabs>
          <w:tab w:val="left" w:pos="1701"/>
          <w:tab w:val="left" w:pos="3119"/>
        </w:tabs>
        <w:rPr>
          <w:rFonts w:ascii="Arial" w:hAnsi="Arial" w:cs="Arial"/>
          <w:sz w:val="18"/>
          <w:szCs w:val="22"/>
        </w:rPr>
      </w:pPr>
      <w:r>
        <w:rPr>
          <w:rFonts w:ascii="Arial" w:hAnsi="Arial" w:cs="Arial"/>
          <w:sz w:val="18"/>
          <w:szCs w:val="22"/>
        </w:rPr>
        <w:t>Training Contract ID No.</w:t>
      </w:r>
      <w:r>
        <w:rPr>
          <w:rFonts w:ascii="Arial" w:hAnsi="Arial" w:cs="Arial"/>
          <w:sz w:val="18"/>
          <w:szCs w:val="22"/>
        </w:rPr>
        <w:tab/>
        <w:t>.............................................</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Eligible for incentives</w:t>
      </w:r>
    </w:p>
    <w:p>
      <w:pPr>
        <w:pStyle w:val="yMiscellaneousBody"/>
        <w:tabs>
          <w:tab w:val="left" w:pos="567"/>
        </w:tabs>
        <w:rPr>
          <w:rFonts w:ascii="Arial" w:hAnsi="Arial" w:cs="Arial"/>
          <w:sz w:val="18"/>
          <w:szCs w:val="22"/>
        </w:rPr>
      </w:pPr>
      <w:r>
        <w:rPr>
          <w:rFonts w:ascii="Arial" w:hAnsi="Arial" w:cs="Arial"/>
          <w:sz w:val="18"/>
          <w:szCs w:val="22"/>
        </w:rPr>
        <w:lastRenderedPageBreak/>
        <w:sym w:font="Monotype Sorts" w:char="F070"/>
      </w:r>
      <w:r>
        <w:rPr>
          <w:rFonts w:ascii="Arial" w:hAnsi="Arial" w:cs="Arial"/>
          <w:sz w:val="18"/>
          <w:szCs w:val="22"/>
        </w:rPr>
        <w:tab/>
        <w:t>Not eligible for incentives</w:t>
      </w:r>
    </w:p>
    <w:p>
      <w:pPr>
        <w:pStyle w:val="yMiscellaneousBody"/>
        <w:ind w:right="8"/>
        <w:rPr>
          <w:rFonts w:ascii="Arial" w:hAnsi="Arial" w:cs="Arial"/>
          <w:sz w:val="18"/>
          <w:szCs w:val="18"/>
        </w:rPr>
      </w:pPr>
      <w:r>
        <w:rPr>
          <w:rFonts w:ascii="Arial" w:hAnsi="Arial" w:cs="Arial"/>
          <w:sz w:val="18"/>
          <w:szCs w:val="18"/>
        </w:rPr>
        <w:t>Notes</w:t>
      </w:r>
      <w:r>
        <w:rPr>
          <w:rFonts w:ascii="Arial" w:hAnsi="Arial" w:cs="Arial"/>
          <w:sz w:val="18"/>
          <w:szCs w:val="18"/>
        </w:rPr>
        <w:br/>
        <w:t>.......................................................................................................................................................................................................................................................................................................................................................................................................................................</w:t>
      </w:r>
    </w:p>
    <w:p>
      <w:pPr>
        <w:pStyle w:val="yFootnotesection"/>
      </w:pPr>
      <w:r>
        <w:tab/>
        <w:t>[Schedule 1 inserted: Gazette 5 Dec 2014 p. 4526</w:t>
      </w:r>
      <w:r>
        <w:noBreakHyphen/>
        <w:t>41; amended: Gazette 12 Dec 2014 p. 4743; 27 Jan 2016 p. 224.]</w:t>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yScheduleHeading"/>
        <w:pageBreakBefore w:val="0"/>
      </w:pPr>
      <w:bookmarkStart w:id="139" w:name="_Toc81913046"/>
      <w:bookmarkStart w:id="140" w:name="_Toc81916859"/>
      <w:bookmarkStart w:id="141" w:name="_Toc81917019"/>
      <w:bookmarkStart w:id="142" w:name="_Toc81919967"/>
      <w:r>
        <w:rPr>
          <w:rStyle w:val="CharSchNo"/>
        </w:rPr>
        <w:lastRenderedPageBreak/>
        <w:t>Schedule 2</w:t>
      </w:r>
      <w:r>
        <w:rPr>
          <w:rStyle w:val="CharSDivNo"/>
        </w:rPr>
        <w:t> </w:t>
      </w:r>
      <w:r>
        <w:t>—</w:t>
      </w:r>
      <w:r>
        <w:rPr>
          <w:rStyle w:val="CharSDivText"/>
        </w:rPr>
        <w:t> </w:t>
      </w:r>
      <w:r>
        <w:rPr>
          <w:rStyle w:val="CharSchText"/>
        </w:rPr>
        <w:t>Provisions about old agreements and old training contracts</w:t>
      </w:r>
      <w:bookmarkEnd w:id="139"/>
      <w:bookmarkEnd w:id="140"/>
      <w:bookmarkEnd w:id="141"/>
      <w:bookmarkEnd w:id="142"/>
    </w:p>
    <w:p>
      <w:pPr>
        <w:pStyle w:val="yShoulderClause"/>
      </w:pPr>
      <w:r>
        <w:t>[r. 60]</w:t>
      </w:r>
    </w:p>
    <w:p>
      <w:pPr>
        <w:pStyle w:val="yHeading5"/>
      </w:pPr>
      <w:bookmarkStart w:id="143" w:name="_Toc81919968"/>
      <w:r>
        <w:rPr>
          <w:rStyle w:val="CharSClsNo"/>
        </w:rPr>
        <w:t>1</w:t>
      </w:r>
      <w:r>
        <w:t>.</w:t>
      </w:r>
      <w:r>
        <w:tab/>
        <w:t>Terms used</w:t>
      </w:r>
      <w:bookmarkEnd w:id="143"/>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5</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7</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6</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6</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6</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6</w:t>
      </w:r>
      <w:r>
        <w:t>, whether or not the contract also specifies the apprentice is being trained for a prescribed VET qualification.</w:t>
      </w:r>
    </w:p>
    <w:p>
      <w:pPr>
        <w:pStyle w:val="yHeading5"/>
      </w:pPr>
      <w:bookmarkStart w:id="144" w:name="_Toc81919969"/>
      <w:r>
        <w:rPr>
          <w:rStyle w:val="CharSClsNo"/>
        </w:rPr>
        <w:t>2</w:t>
      </w:r>
      <w:r>
        <w:t>.</w:t>
      </w:r>
      <w:r>
        <w:tab/>
        <w:t>Old agreements to be read with modifications</w:t>
      </w:r>
      <w:bookmarkEnd w:id="144"/>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6</w:t>
      </w:r>
      <w:r>
        <w:t xml:space="preserve"> must be read as references to the </w:t>
      </w:r>
      <w:r>
        <w:rPr>
          <w:i/>
        </w:rPr>
        <w:t>Vocational Education and Training Act 1996</w:t>
      </w:r>
      <w:r>
        <w:rPr>
          <w:iCs/>
        </w:rPr>
        <w:t>;</w:t>
      </w:r>
    </w:p>
    <w:p>
      <w:pPr>
        <w:pStyle w:val="yIndenta"/>
      </w:pPr>
      <w:r>
        <w:lastRenderedPageBreak/>
        <w:tab/>
        <w:t>(b)</w:t>
      </w:r>
      <w:r>
        <w:tab/>
        <w:t xml:space="preserve">in clause 7 of the agreement, the reference to the technical instruction of the apprentice prescribed by or under the </w:t>
      </w:r>
      <w:r>
        <w:rPr>
          <w:i/>
        </w:rPr>
        <w:t>Industrial Training Act 1975</w:t>
      </w:r>
      <w:r>
        <w:rPr>
          <w:vertAlign w:val="superscript"/>
        </w:rPr>
        <w:t> 6</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6</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6</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6</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145" w:name="_Toc81919970"/>
      <w:r>
        <w:rPr>
          <w:rStyle w:val="CharSClsNo"/>
        </w:rPr>
        <w:lastRenderedPageBreak/>
        <w:t>3</w:t>
      </w:r>
      <w:r>
        <w:t>.</w:t>
      </w:r>
      <w:r>
        <w:tab/>
        <w:t>Old agreements and contracts not terminated by sale of business</w:t>
      </w:r>
      <w:bookmarkEnd w:id="145"/>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146" w:name="_Toc81919971"/>
      <w:r>
        <w:rPr>
          <w:rStyle w:val="CharSClsNo"/>
        </w:rPr>
        <w:t>4</w:t>
      </w:r>
      <w:r>
        <w:t>.</w:t>
      </w:r>
      <w:r>
        <w:tab/>
        <w:t>Technical instruction requirements for trade apprentices</w:t>
      </w:r>
      <w:bookmarkEnd w:id="146"/>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147" w:name="_Toc81919972"/>
      <w:r>
        <w:rPr>
          <w:rStyle w:val="CharSClsNo"/>
        </w:rPr>
        <w:t>5</w:t>
      </w:r>
      <w:r>
        <w:t>.</w:t>
      </w:r>
      <w:r>
        <w:tab/>
        <w:t>Final certificates for trade apprentices</w:t>
      </w:r>
      <w:bookmarkEnd w:id="147"/>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8"/>
          <w:headerReference w:type="defaul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148" w:name="_Toc81916865"/>
      <w:bookmarkStart w:id="149" w:name="_Toc81917025"/>
      <w:bookmarkStart w:id="150" w:name="_Toc81919973"/>
      <w:r>
        <w:lastRenderedPageBreak/>
        <w:t>Notes</w:t>
      </w:r>
      <w:bookmarkEnd w:id="148"/>
      <w:bookmarkEnd w:id="149"/>
      <w:bookmarkEnd w:id="150"/>
    </w:p>
    <w:p>
      <w:pPr>
        <w:pStyle w:val="nStatement"/>
      </w:pPr>
      <w:r>
        <w:t xml:space="preserve">This is a compilation of the </w:t>
      </w:r>
      <w:r>
        <w:rPr>
          <w:i/>
          <w:noProof/>
        </w:rPr>
        <w:t>Vocational Education and Training (General) Regulations 2009</w:t>
      </w:r>
      <w:r>
        <w:t xml:space="preserve"> and includes amendments made by other written laws. For provisions that have come into operation, and for information about any reprints, see the compilation table.</w:t>
      </w:r>
    </w:p>
    <w:p>
      <w:pPr>
        <w:pStyle w:val="nHeading3"/>
      </w:pPr>
      <w:bookmarkStart w:id="151" w:name="_Toc81919974"/>
      <w:r>
        <w:t>Compilation table</w:t>
      </w:r>
      <w:bookmarkEnd w:id="15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Vocational Education and Training (General) Regulations 2009</w:t>
            </w:r>
          </w:p>
        </w:tc>
        <w:tc>
          <w:tcPr>
            <w:tcW w:w="1276" w:type="dxa"/>
            <w:tcBorders>
              <w:top w:val="single" w:sz="8" w:space="0" w:color="auto"/>
              <w:bottom w:val="nil"/>
            </w:tcBorders>
          </w:tcPr>
          <w:p>
            <w:pPr>
              <w:pStyle w:val="nTable"/>
              <w:spacing w:after="40"/>
            </w:pPr>
            <w:r>
              <w:t>22 May 2009 p. 1731</w:t>
            </w:r>
            <w:r>
              <w:noBreakHyphen/>
              <w:t>97</w:t>
            </w:r>
          </w:p>
        </w:tc>
        <w:tc>
          <w:tcPr>
            <w:tcW w:w="2693" w:type="dxa"/>
            <w:tcBorders>
              <w:top w:val="single" w:sz="8" w:space="0" w:color="auto"/>
              <w:bottom w:val="nil"/>
            </w:tcBorders>
          </w:tcPr>
          <w:p>
            <w:pPr>
              <w:pStyle w:val="nTable"/>
              <w:spacing w:after="40"/>
            </w:pPr>
            <w:r>
              <w:t>r. 1 and 2: 22 May 2009 (see r. 2(a));</w:t>
            </w:r>
            <w:r>
              <w:br/>
              <w:t>Regulations other than r. 1 and 2: 10 Jun 2009 (see r. 2(b) and No. 44 of 2008 s. 2(2))</w:t>
            </w:r>
          </w:p>
        </w:tc>
      </w:tr>
      <w:tr>
        <w:tc>
          <w:tcPr>
            <w:tcW w:w="3118" w:type="dxa"/>
            <w:tcBorders>
              <w:top w:val="nil"/>
              <w:bottom w:val="nil"/>
            </w:tcBorders>
          </w:tcPr>
          <w:p>
            <w:pPr>
              <w:pStyle w:val="nTable"/>
              <w:spacing w:after="40"/>
              <w:rPr>
                <w:i/>
                <w:noProof/>
                <w:snapToGrid w:val="0"/>
              </w:rPr>
            </w:pPr>
            <w:r>
              <w:rPr>
                <w:i/>
                <w:noProof/>
                <w:snapToGrid w:val="0"/>
              </w:rPr>
              <w:t>Vocational Education and Training (General) Amendment Regulations 2011</w:t>
            </w:r>
          </w:p>
        </w:tc>
        <w:tc>
          <w:tcPr>
            <w:tcW w:w="1276" w:type="dxa"/>
            <w:tcBorders>
              <w:top w:val="nil"/>
              <w:bottom w:val="nil"/>
            </w:tcBorders>
          </w:tcPr>
          <w:p>
            <w:pPr>
              <w:pStyle w:val="nTable"/>
              <w:spacing w:after="40"/>
            </w:pPr>
            <w:r>
              <w:t>25 Oct 2011 p. 4508-11</w:t>
            </w:r>
          </w:p>
        </w:tc>
        <w:tc>
          <w:tcPr>
            <w:tcW w:w="2693" w:type="dxa"/>
            <w:tcBorders>
              <w:top w:val="nil"/>
              <w:bottom w:val="nil"/>
            </w:tcBorders>
          </w:tcPr>
          <w:p>
            <w:pPr>
              <w:pStyle w:val="nTable"/>
              <w:spacing w:after="40"/>
            </w:pPr>
            <w:r>
              <w:t>r. 1 and 2: 25 Oct 2011 (see r. 2(a));</w:t>
            </w:r>
            <w:r>
              <w:br/>
              <w:t>Regulations other than r. 1 and 2: 26 Oct 2011 (see r. 2(b))</w:t>
            </w:r>
          </w:p>
        </w:tc>
      </w:tr>
      <w:tr>
        <w:tc>
          <w:tcPr>
            <w:tcW w:w="3118" w:type="dxa"/>
            <w:tcBorders>
              <w:top w:val="nil"/>
              <w:bottom w:val="nil"/>
            </w:tcBorders>
          </w:tcPr>
          <w:p>
            <w:pPr>
              <w:pStyle w:val="nTable"/>
              <w:spacing w:after="40"/>
              <w:rPr>
                <w:i/>
                <w:noProof/>
                <w:snapToGrid w:val="0"/>
              </w:rPr>
            </w:pPr>
            <w:r>
              <w:rPr>
                <w:i/>
                <w:noProof/>
                <w:snapToGrid w:val="0"/>
              </w:rPr>
              <w:t>Vocational Education and Training (General) Amendment Regulations (No. 2) 2011</w:t>
            </w:r>
          </w:p>
        </w:tc>
        <w:tc>
          <w:tcPr>
            <w:tcW w:w="1276" w:type="dxa"/>
            <w:tcBorders>
              <w:top w:val="nil"/>
              <w:bottom w:val="nil"/>
            </w:tcBorders>
          </w:tcPr>
          <w:p>
            <w:pPr>
              <w:pStyle w:val="nTable"/>
              <w:spacing w:after="40"/>
            </w:pPr>
            <w:r>
              <w:t>25 Oct 2011 p. 4511-12</w:t>
            </w:r>
          </w:p>
        </w:tc>
        <w:tc>
          <w:tcPr>
            <w:tcW w:w="2693" w:type="dxa"/>
            <w:tcBorders>
              <w:top w:val="nil"/>
              <w:bottom w:val="nil"/>
            </w:tcBorders>
          </w:tcPr>
          <w:p>
            <w:pPr>
              <w:pStyle w:val="nTable"/>
              <w:spacing w:after="40"/>
            </w:pPr>
            <w:r>
              <w:t>r. 1 and 2: 25 Oct 2011 (see r. 2(a));</w:t>
            </w:r>
            <w:r>
              <w:br/>
              <w:t>Regulations other than r. 1 and 2: 1 Jan 2012 (see r. 2(b))</w:t>
            </w:r>
          </w:p>
        </w:tc>
      </w:tr>
      <w:tr>
        <w:tc>
          <w:tcPr>
            <w:tcW w:w="3118" w:type="dxa"/>
            <w:tcBorders>
              <w:top w:val="nil"/>
              <w:bottom w:val="nil"/>
            </w:tcBorders>
          </w:tcPr>
          <w:p>
            <w:pPr>
              <w:pStyle w:val="nTable"/>
              <w:spacing w:after="40"/>
              <w:rPr>
                <w:i/>
                <w:noProof/>
                <w:snapToGrid w:val="0"/>
              </w:rPr>
            </w:pPr>
            <w:r>
              <w:rPr>
                <w:i/>
              </w:rPr>
              <w:t>Vocational Education and Training (General) Amendment Regulations 2012</w:t>
            </w:r>
          </w:p>
        </w:tc>
        <w:tc>
          <w:tcPr>
            <w:tcW w:w="1276" w:type="dxa"/>
            <w:tcBorders>
              <w:top w:val="nil"/>
              <w:bottom w:val="nil"/>
            </w:tcBorders>
          </w:tcPr>
          <w:p>
            <w:pPr>
              <w:pStyle w:val="nTable"/>
              <w:spacing w:after="40"/>
            </w:pPr>
            <w:r>
              <w:t>16 Mar 2012 p. 1247</w:t>
            </w:r>
            <w:r>
              <w:noBreakHyphen/>
              <w:t>8</w:t>
            </w:r>
          </w:p>
        </w:tc>
        <w:tc>
          <w:tcPr>
            <w:tcW w:w="2693" w:type="dxa"/>
            <w:tcBorders>
              <w:top w:val="nil"/>
              <w:bottom w:val="nil"/>
            </w:tcBorders>
          </w:tcPr>
          <w:p>
            <w:pPr>
              <w:pStyle w:val="nTable"/>
              <w:spacing w:after="40"/>
            </w:pPr>
            <w:r>
              <w:rPr>
                <w:snapToGrid w:val="0"/>
              </w:rPr>
              <w:t>r. 1 and 2: 16 Mar 2012 (see r. 2(a));</w:t>
            </w:r>
            <w:r>
              <w:rPr>
                <w:snapToGrid w:val="0"/>
              </w:rPr>
              <w:br/>
              <w:t>Regulations other than r. 1 and 2: 17 Mar 2012 (see r. 2(b))</w:t>
            </w:r>
          </w:p>
        </w:tc>
      </w:tr>
      <w:tr>
        <w:tc>
          <w:tcPr>
            <w:tcW w:w="3118" w:type="dxa"/>
            <w:tcBorders>
              <w:top w:val="nil"/>
              <w:bottom w:val="nil"/>
            </w:tcBorders>
          </w:tcPr>
          <w:p>
            <w:pPr>
              <w:pStyle w:val="nTable"/>
              <w:spacing w:after="40"/>
              <w:rPr>
                <w:i/>
              </w:rPr>
            </w:pPr>
            <w:r>
              <w:rPr>
                <w:i/>
              </w:rPr>
              <w:t>Vocational Education and Training (General) Amendment Regulations (No. 2) 2012</w:t>
            </w:r>
          </w:p>
        </w:tc>
        <w:tc>
          <w:tcPr>
            <w:tcW w:w="1276" w:type="dxa"/>
            <w:tcBorders>
              <w:top w:val="nil"/>
              <w:bottom w:val="nil"/>
            </w:tcBorders>
          </w:tcPr>
          <w:p>
            <w:pPr>
              <w:pStyle w:val="nTable"/>
              <w:spacing w:after="40"/>
            </w:pPr>
            <w:r>
              <w:t>21 Aug 2012 p. 3927</w:t>
            </w:r>
          </w:p>
        </w:tc>
        <w:tc>
          <w:tcPr>
            <w:tcW w:w="2693" w:type="dxa"/>
            <w:tcBorders>
              <w:top w:val="nil"/>
              <w:bottom w:val="nil"/>
            </w:tcBorders>
          </w:tcPr>
          <w:p>
            <w:pPr>
              <w:pStyle w:val="nTable"/>
              <w:spacing w:after="40"/>
              <w:rPr>
                <w:snapToGrid w:val="0"/>
              </w:rPr>
            </w:pPr>
            <w:r>
              <w:rPr>
                <w:snapToGrid w:val="0"/>
              </w:rPr>
              <w:t>r. 1 and 2: 21 Aug 2012 (see r. 2(a));</w:t>
            </w:r>
            <w:r>
              <w:rPr>
                <w:snapToGrid w:val="0"/>
              </w:rPr>
              <w:br/>
              <w:t>Regulations other than r. 1 and 2: 1 Sep 2012 (see r. 2(b))</w:t>
            </w:r>
          </w:p>
        </w:tc>
      </w:tr>
      <w:tr>
        <w:tc>
          <w:tcPr>
            <w:tcW w:w="3118" w:type="dxa"/>
            <w:tcBorders>
              <w:top w:val="nil"/>
              <w:bottom w:val="nil"/>
            </w:tcBorders>
          </w:tcPr>
          <w:p>
            <w:pPr>
              <w:pStyle w:val="nTable"/>
              <w:spacing w:after="40"/>
              <w:rPr>
                <w:i/>
              </w:rPr>
            </w:pPr>
            <w:r>
              <w:rPr>
                <w:i/>
              </w:rPr>
              <w:t>Vocational Education and Training (General) Amendment Regulations 2013</w:t>
            </w:r>
            <w:r>
              <w:t xml:space="preserve"> </w:t>
            </w:r>
          </w:p>
        </w:tc>
        <w:tc>
          <w:tcPr>
            <w:tcW w:w="1276" w:type="dxa"/>
            <w:tcBorders>
              <w:top w:val="nil"/>
              <w:bottom w:val="nil"/>
            </w:tcBorders>
          </w:tcPr>
          <w:p>
            <w:pPr>
              <w:pStyle w:val="nTable"/>
              <w:spacing w:after="40"/>
            </w:pPr>
            <w:r>
              <w:t>17 Dec 2013 p. 6218</w:t>
            </w:r>
            <w:r>
              <w:noBreakHyphen/>
              <w:t>30</w:t>
            </w:r>
          </w:p>
        </w:tc>
        <w:tc>
          <w:tcPr>
            <w:tcW w:w="2693" w:type="dxa"/>
            <w:tcBorders>
              <w:top w:val="nil"/>
              <w:bottom w:val="nil"/>
            </w:tcBorders>
          </w:tcPr>
          <w:p>
            <w:pPr>
              <w:pStyle w:val="nTable"/>
              <w:spacing w:after="40"/>
              <w:rPr>
                <w:snapToGrid w:val="0"/>
              </w:rPr>
            </w:pPr>
            <w:r>
              <w:rPr>
                <w:bCs/>
                <w:snapToGrid w:val="0"/>
              </w:rPr>
              <w:t>r. 1 and 2: 17 Dec 2013 (see r. 2(a));</w:t>
            </w:r>
            <w:r>
              <w:rPr>
                <w:bCs/>
                <w:snapToGrid w:val="0"/>
              </w:rPr>
              <w:br/>
              <w:t xml:space="preserve">Regulations other than r. 1 and 2: </w:t>
            </w:r>
            <w:r>
              <w:t>1 Jan 2014 (see r. 2(b))</w:t>
            </w:r>
          </w:p>
        </w:tc>
      </w:tr>
      <w:t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1:  The </w:t>
            </w:r>
            <w:r>
              <w:rPr>
                <w:b/>
                <w:i/>
                <w:noProof/>
                <w:snapToGrid w:val="0"/>
              </w:rPr>
              <w:t xml:space="preserve">Vocational Education and Training (General) Regulations 2009 </w:t>
            </w:r>
            <w:r>
              <w:rPr>
                <w:b/>
                <w:bCs/>
                <w:snapToGrid w:val="0"/>
              </w:rPr>
              <w:t>as at 7 Mar 2014</w:t>
            </w:r>
            <w:r>
              <w:rPr>
                <w:bCs/>
                <w:snapToGrid w:val="0"/>
              </w:rPr>
              <w:t xml:space="preserve"> (includes amendments listed above) </w:t>
            </w:r>
          </w:p>
        </w:tc>
      </w:tr>
      <w:tr>
        <w:tc>
          <w:tcPr>
            <w:tcW w:w="3118" w:type="dxa"/>
            <w:tcBorders>
              <w:top w:val="nil"/>
              <w:bottom w:val="nil"/>
            </w:tcBorders>
          </w:tcPr>
          <w:p>
            <w:pPr>
              <w:pStyle w:val="nTable"/>
              <w:spacing w:after="40"/>
              <w:rPr>
                <w:i/>
              </w:rPr>
            </w:pPr>
            <w:r>
              <w:rPr>
                <w:i/>
              </w:rPr>
              <w:t>Vocational Education and Training (General) Amendment Regulations (No. 2) 2014</w:t>
            </w:r>
          </w:p>
        </w:tc>
        <w:tc>
          <w:tcPr>
            <w:tcW w:w="1276" w:type="dxa"/>
            <w:tcBorders>
              <w:top w:val="nil"/>
              <w:bottom w:val="nil"/>
            </w:tcBorders>
          </w:tcPr>
          <w:p>
            <w:pPr>
              <w:pStyle w:val="nTable"/>
              <w:spacing w:after="40"/>
            </w:pPr>
            <w:r>
              <w:t>15 Jul 2014 p. 2463</w:t>
            </w:r>
            <w:r>
              <w:noBreakHyphen/>
              <w:t>4</w:t>
            </w:r>
          </w:p>
        </w:tc>
        <w:tc>
          <w:tcPr>
            <w:tcW w:w="2693" w:type="dxa"/>
            <w:tcBorders>
              <w:top w:val="nil"/>
              <w:bottom w:val="nil"/>
            </w:tcBorders>
          </w:tcPr>
          <w:p>
            <w:pPr>
              <w:pStyle w:val="nTable"/>
              <w:spacing w:after="40"/>
              <w:rPr>
                <w:snapToGrid w:val="0"/>
              </w:rPr>
            </w:pPr>
            <w:r>
              <w:rPr>
                <w:bCs/>
                <w:snapToGrid w:val="0"/>
              </w:rPr>
              <w:t>r. 1 and 2: 15 Jul 2014 (see r. 2(a));</w:t>
            </w:r>
            <w:r>
              <w:rPr>
                <w:bCs/>
                <w:snapToGrid w:val="0"/>
              </w:rPr>
              <w:br/>
              <w:t xml:space="preserve">Regulations other than r. 1 and 2: </w:t>
            </w:r>
            <w:r>
              <w:t>1 Aug 2014 (see r. 2(b))</w:t>
            </w:r>
          </w:p>
        </w:tc>
      </w:tr>
      <w:tr>
        <w:tc>
          <w:tcPr>
            <w:tcW w:w="3118" w:type="dxa"/>
            <w:tcBorders>
              <w:top w:val="nil"/>
              <w:bottom w:val="nil"/>
            </w:tcBorders>
            <w:shd w:val="clear" w:color="auto" w:fill="auto"/>
          </w:tcPr>
          <w:p>
            <w:pPr>
              <w:pStyle w:val="nTable"/>
              <w:keepNext/>
              <w:spacing w:after="40"/>
              <w:rPr>
                <w:i/>
              </w:rPr>
            </w:pPr>
            <w:r>
              <w:rPr>
                <w:i/>
              </w:rPr>
              <w:lastRenderedPageBreak/>
              <w:t>Vocational Education and Training (General) Amendment Regulations 2014</w:t>
            </w:r>
          </w:p>
        </w:tc>
        <w:tc>
          <w:tcPr>
            <w:tcW w:w="1276" w:type="dxa"/>
            <w:tcBorders>
              <w:top w:val="nil"/>
              <w:bottom w:val="nil"/>
            </w:tcBorders>
            <w:shd w:val="clear" w:color="auto" w:fill="auto"/>
          </w:tcPr>
          <w:p>
            <w:pPr>
              <w:pStyle w:val="nTable"/>
              <w:keepNext/>
              <w:spacing w:after="40"/>
            </w:pPr>
            <w:r>
              <w:t>5 Dec 2014 p. 4525-41</w:t>
            </w:r>
          </w:p>
        </w:tc>
        <w:tc>
          <w:tcPr>
            <w:tcW w:w="2693" w:type="dxa"/>
            <w:tcBorders>
              <w:top w:val="nil"/>
              <w:bottom w:val="nil"/>
            </w:tcBorders>
            <w:shd w:val="clear" w:color="auto" w:fill="auto"/>
          </w:tcPr>
          <w:p>
            <w:pPr>
              <w:pStyle w:val="nTable"/>
              <w:keepNext/>
              <w:spacing w:after="40"/>
              <w:rPr>
                <w:bCs/>
                <w:snapToGrid w:val="0"/>
              </w:rPr>
            </w:pPr>
            <w:r>
              <w:rPr>
                <w:bCs/>
                <w:snapToGrid w:val="0"/>
                <w:spacing w:val="-2"/>
              </w:rPr>
              <w:t>r. 1 and 2: 5 Dec 2014 (see r. 2(a));</w:t>
            </w:r>
            <w:r>
              <w:rPr>
                <w:bCs/>
                <w:snapToGrid w:val="0"/>
                <w:spacing w:val="-2"/>
              </w:rPr>
              <w:br/>
              <w:t>Regulations other than r. 1 and 2: 6 Dec 2014 (see r. 2(b))</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(No. 3) 2014</w:t>
            </w:r>
          </w:p>
        </w:tc>
        <w:tc>
          <w:tcPr>
            <w:tcW w:w="1276" w:type="dxa"/>
            <w:tcBorders>
              <w:top w:val="nil"/>
              <w:left w:val="nil"/>
              <w:bottom w:val="nil"/>
              <w:right w:val="nil"/>
            </w:tcBorders>
            <w:shd w:val="clear" w:color="auto" w:fill="auto"/>
          </w:tcPr>
          <w:p>
            <w:pPr>
              <w:pStyle w:val="nTable"/>
              <w:spacing w:after="40"/>
            </w:pPr>
            <w:r>
              <w:t>12 Dec 2014 p. 4742</w:t>
            </w:r>
            <w:r>
              <w:noBreakHyphen/>
              <w:t>3</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12 Dec 2014 (see r. 2(a));</w:t>
            </w:r>
            <w:r>
              <w:rPr>
                <w:bCs/>
                <w:snapToGrid w:val="0"/>
                <w:spacing w:val="-2"/>
              </w:rPr>
              <w:br/>
              <w:t>Regulations other than r. 1 and 2: 13 Dec 2014 (see r. 2(b))</w:t>
            </w:r>
          </w:p>
        </w:tc>
      </w:tr>
      <w:tr>
        <w:tc>
          <w:tcPr>
            <w:tcW w:w="3118" w:type="dxa"/>
            <w:tcBorders>
              <w:top w:val="nil"/>
              <w:bottom w:val="nil"/>
              <w:right w:val="nil"/>
            </w:tcBorders>
            <w:shd w:val="clear" w:color="auto" w:fill="auto"/>
          </w:tcPr>
          <w:p>
            <w:pPr>
              <w:pStyle w:val="nTable"/>
              <w:spacing w:after="40"/>
              <w:rPr>
                <w:i/>
              </w:rPr>
            </w:pPr>
            <w:r>
              <w:rPr>
                <w:i/>
                <w:noProof/>
              </w:rPr>
              <w:t>Vocational Education and Training (General) Amendment Regulations 2015</w:t>
            </w:r>
            <w:r>
              <w:rPr>
                <w:noProof/>
              </w:rPr>
              <w:t xml:space="preserve"> </w:t>
            </w:r>
          </w:p>
        </w:tc>
        <w:tc>
          <w:tcPr>
            <w:tcW w:w="1276" w:type="dxa"/>
            <w:tcBorders>
              <w:top w:val="nil"/>
              <w:left w:val="nil"/>
              <w:bottom w:val="nil"/>
              <w:right w:val="nil"/>
            </w:tcBorders>
            <w:shd w:val="clear" w:color="auto" w:fill="auto"/>
          </w:tcPr>
          <w:p>
            <w:pPr>
              <w:pStyle w:val="nTable"/>
              <w:spacing w:after="40"/>
            </w:pPr>
            <w:r>
              <w:t>10 Mar 2015 p. 827</w:t>
            </w:r>
            <w:r>
              <w:noBreakHyphen/>
              <w:t>36</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10 Mar 2015 (see r. 2(a));</w:t>
            </w:r>
            <w:r>
              <w:rPr>
                <w:bCs/>
                <w:snapToGrid w:val="0"/>
                <w:spacing w:val="-2"/>
              </w:rPr>
              <w:br/>
              <w:t xml:space="preserve">Regulations other than r. 1 and 2: </w:t>
            </w:r>
            <w:r>
              <w:t>6 Apr 2015 (see r. 2(b))</w:t>
            </w:r>
          </w:p>
        </w:tc>
      </w:tr>
      <w:tr>
        <w:tc>
          <w:tcPr>
            <w:tcW w:w="3118" w:type="dxa"/>
            <w:tcBorders>
              <w:top w:val="nil"/>
              <w:bottom w:val="nil"/>
              <w:right w:val="nil"/>
            </w:tcBorders>
            <w:shd w:val="clear" w:color="auto" w:fill="auto"/>
          </w:tcPr>
          <w:p>
            <w:pPr>
              <w:pStyle w:val="nTable"/>
              <w:spacing w:after="40"/>
              <w:rPr>
                <w:i/>
                <w:noProof/>
              </w:rPr>
            </w:pPr>
            <w:r>
              <w:rPr>
                <w:i/>
                <w:noProof/>
              </w:rPr>
              <w:t>Vocational Education and Training (General) Amendment Regulations (No. 2) 2015</w:t>
            </w:r>
          </w:p>
        </w:tc>
        <w:tc>
          <w:tcPr>
            <w:tcW w:w="1276" w:type="dxa"/>
            <w:tcBorders>
              <w:top w:val="nil"/>
              <w:left w:val="nil"/>
              <w:bottom w:val="nil"/>
              <w:right w:val="nil"/>
            </w:tcBorders>
            <w:shd w:val="clear" w:color="auto" w:fill="auto"/>
          </w:tcPr>
          <w:p>
            <w:pPr>
              <w:pStyle w:val="nTable"/>
              <w:spacing w:after="40"/>
            </w:pPr>
            <w:r>
              <w:t>28 Aug 2015 p. 3599</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28 Aug 2015 (see r. 2(a));</w:t>
            </w:r>
            <w:r>
              <w:rPr>
                <w:bCs/>
                <w:snapToGrid w:val="0"/>
                <w:spacing w:val="-2"/>
              </w:rPr>
              <w:br/>
              <w:t>Regulations other than r. 1 and 2: 29</w:t>
            </w:r>
            <w:r>
              <w:t> Aug 2015 (see r. 2(b))</w:t>
            </w:r>
          </w:p>
        </w:tc>
      </w:tr>
      <w:tr>
        <w:tc>
          <w:tcPr>
            <w:tcW w:w="3118" w:type="dxa"/>
            <w:tcBorders>
              <w:top w:val="nil"/>
              <w:bottom w:val="nil"/>
              <w:right w:val="nil"/>
            </w:tcBorders>
            <w:shd w:val="clear" w:color="auto" w:fill="auto"/>
          </w:tcPr>
          <w:p>
            <w:pPr>
              <w:pStyle w:val="nTable"/>
              <w:spacing w:after="40"/>
              <w:rPr>
                <w:i/>
                <w:noProof/>
              </w:rPr>
            </w:pPr>
            <w:r>
              <w:rPr>
                <w:i/>
                <w:noProof/>
              </w:rPr>
              <w:t>Vocational Education and Training (General) Amendment Regulations 2016</w:t>
            </w:r>
          </w:p>
        </w:tc>
        <w:tc>
          <w:tcPr>
            <w:tcW w:w="1276" w:type="dxa"/>
            <w:tcBorders>
              <w:top w:val="nil"/>
              <w:left w:val="nil"/>
              <w:bottom w:val="nil"/>
              <w:right w:val="nil"/>
            </w:tcBorders>
            <w:shd w:val="clear" w:color="auto" w:fill="auto"/>
          </w:tcPr>
          <w:p>
            <w:pPr>
              <w:pStyle w:val="nTable"/>
              <w:spacing w:after="40"/>
            </w:pPr>
            <w:r>
              <w:t>27 Jan 2016 p. 222</w:t>
            </w:r>
            <w:r>
              <w:noBreakHyphen/>
              <w:t>4</w:t>
            </w:r>
          </w:p>
        </w:tc>
        <w:tc>
          <w:tcPr>
            <w:tcW w:w="2693" w:type="dxa"/>
            <w:tcBorders>
              <w:top w:val="nil"/>
              <w:left w:val="nil"/>
              <w:bottom w:val="nil"/>
            </w:tcBorders>
            <w:shd w:val="clear" w:color="auto" w:fill="auto"/>
          </w:tcPr>
          <w:p>
            <w:pPr>
              <w:pStyle w:val="nTable"/>
              <w:spacing w:after="40"/>
              <w:rPr>
                <w:bCs/>
                <w:snapToGrid w:val="0"/>
                <w:spacing w:val="-2"/>
              </w:rPr>
            </w:pPr>
            <w:r>
              <w:rPr>
                <w:bCs/>
                <w:noProof/>
                <w:snapToGrid w:val="0"/>
                <w:spacing w:val="-2"/>
              </w:rPr>
              <w:t xml:space="preserve">r. 1 and 2: </w:t>
            </w:r>
            <w:r>
              <w:rPr>
                <w:bCs/>
                <w:snapToGrid w:val="0"/>
                <w:spacing w:val="-2"/>
              </w:rPr>
              <w:t>27 Jan 2016 (see r. 2(a));</w:t>
            </w:r>
            <w:r>
              <w:rPr>
                <w:bCs/>
                <w:snapToGrid w:val="0"/>
                <w:spacing w:val="-2"/>
              </w:rPr>
              <w:br/>
              <w:t>Regulations other than r. 1 and 2: 28 Jan 2016 (see r. 2(b))</w:t>
            </w:r>
          </w:p>
        </w:tc>
      </w:tr>
      <w:tr>
        <w:tc>
          <w:tcPr>
            <w:tcW w:w="3118" w:type="dxa"/>
            <w:tcBorders>
              <w:top w:val="nil"/>
              <w:bottom w:val="nil"/>
              <w:right w:val="nil"/>
            </w:tcBorders>
            <w:shd w:val="clear" w:color="auto" w:fill="auto"/>
          </w:tcPr>
          <w:p>
            <w:pPr>
              <w:pStyle w:val="nTable"/>
              <w:spacing w:after="40"/>
              <w:rPr>
                <w:i/>
                <w:noProof/>
              </w:rPr>
            </w:pPr>
            <w:r>
              <w:rPr>
                <w:i/>
              </w:rPr>
              <w:t>Vocational Education and Training (General) Amendment Regulations 2017</w:t>
            </w:r>
          </w:p>
        </w:tc>
        <w:tc>
          <w:tcPr>
            <w:tcW w:w="1276" w:type="dxa"/>
            <w:tcBorders>
              <w:top w:val="nil"/>
              <w:left w:val="nil"/>
              <w:bottom w:val="nil"/>
              <w:right w:val="nil"/>
            </w:tcBorders>
            <w:shd w:val="clear" w:color="auto" w:fill="auto"/>
          </w:tcPr>
          <w:p>
            <w:pPr>
              <w:pStyle w:val="nTable"/>
              <w:spacing w:after="40"/>
            </w:pPr>
            <w:r>
              <w:t>29 Dec 2017 p. 6080</w:t>
            </w:r>
            <w:r>
              <w:noBreakHyphen/>
              <w:t>3</w:t>
            </w:r>
          </w:p>
        </w:tc>
        <w:tc>
          <w:tcPr>
            <w:tcW w:w="2693" w:type="dxa"/>
            <w:tcBorders>
              <w:top w:val="nil"/>
              <w:left w:val="nil"/>
              <w:bottom w:val="nil"/>
            </w:tcBorders>
            <w:shd w:val="clear" w:color="auto" w:fill="auto"/>
          </w:tcPr>
          <w:p>
            <w:pPr>
              <w:pStyle w:val="nTable"/>
              <w:spacing w:after="40"/>
            </w:pPr>
            <w:r>
              <w:t>r. 1 and 2: 29 Dec 2017 (see r. 2(a));</w:t>
            </w:r>
          </w:p>
          <w:p>
            <w:pPr>
              <w:pStyle w:val="nTable"/>
              <w:spacing w:after="40"/>
              <w:rPr>
                <w:bCs/>
                <w:noProof/>
                <w:snapToGrid w:val="0"/>
                <w:spacing w:val="-2"/>
              </w:rPr>
            </w:pPr>
            <w:r>
              <w:t>Regulations other than r. 1 and 2: 9 Feb 2018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Vocational Education and Training (General) Regulations 2009</w:t>
            </w:r>
            <w:r>
              <w:rPr>
                <w:b/>
              </w:rPr>
              <w:t xml:space="preserve"> as at</w:t>
            </w:r>
            <w:r>
              <w:rPr>
                <w:b/>
              </w:rPr>
              <w:br/>
              <w:t>16 Nov 2018</w:t>
            </w:r>
            <w:r>
              <w:t xml:space="preserve"> (includes amendments listed above)</w:t>
            </w:r>
          </w:p>
        </w:tc>
      </w:tr>
      <w:tr>
        <w:tc>
          <w:tcPr>
            <w:tcW w:w="3118" w:type="dxa"/>
            <w:tcBorders>
              <w:top w:val="nil"/>
              <w:bottom w:val="single" w:sz="4" w:space="0" w:color="auto"/>
              <w:right w:val="nil"/>
            </w:tcBorders>
            <w:shd w:val="clear" w:color="auto" w:fill="auto"/>
          </w:tcPr>
          <w:p>
            <w:pPr>
              <w:pStyle w:val="nTable"/>
              <w:spacing w:after="40"/>
              <w:rPr>
                <w:i/>
              </w:rPr>
            </w:pPr>
            <w:r>
              <w:rPr>
                <w:i/>
              </w:rPr>
              <w:t>Vocational Education and Training (General) Amendment Regulations 2021</w:t>
            </w:r>
          </w:p>
        </w:tc>
        <w:tc>
          <w:tcPr>
            <w:tcW w:w="1276" w:type="dxa"/>
            <w:tcBorders>
              <w:top w:val="nil"/>
              <w:left w:val="nil"/>
              <w:bottom w:val="single" w:sz="4" w:space="0" w:color="auto"/>
              <w:right w:val="nil"/>
            </w:tcBorders>
            <w:shd w:val="clear" w:color="auto" w:fill="auto"/>
          </w:tcPr>
          <w:p>
            <w:pPr>
              <w:pStyle w:val="nTable"/>
              <w:spacing w:after="40"/>
            </w:pPr>
            <w:r>
              <w:t>SL 2021/156 10 Sep 2021</w:t>
            </w:r>
          </w:p>
        </w:tc>
        <w:tc>
          <w:tcPr>
            <w:tcW w:w="2693" w:type="dxa"/>
            <w:tcBorders>
              <w:top w:val="nil"/>
              <w:left w:val="nil"/>
              <w:bottom w:val="single" w:sz="4" w:space="0" w:color="auto"/>
            </w:tcBorders>
            <w:shd w:val="clear" w:color="auto" w:fill="auto"/>
          </w:tcPr>
          <w:p>
            <w:pPr>
              <w:pStyle w:val="nTable"/>
              <w:spacing w:after="40"/>
            </w:pPr>
            <w:r>
              <w:t>r. 1 and 2: 10 Sep 2021 (see r. 2(a));</w:t>
            </w:r>
          </w:p>
          <w:p>
            <w:pPr>
              <w:pStyle w:val="nTable"/>
              <w:spacing w:after="40"/>
            </w:pPr>
            <w:r>
              <w:t>Regulations other than r. 1 and 2: 11 Sep 2021 (see r. 2(b))</w:t>
            </w:r>
          </w:p>
        </w:tc>
      </w:tr>
    </w:tbl>
    <w:p>
      <w:pPr>
        <w:pStyle w:val="nHeading3"/>
      </w:pPr>
      <w:bookmarkStart w:id="152" w:name="_Toc81919975"/>
      <w:r>
        <w:t>Other notes</w:t>
      </w:r>
      <w:bookmarkEnd w:id="152"/>
    </w:p>
    <w:p>
      <w:pPr>
        <w:pStyle w:val="nNote"/>
      </w:pPr>
      <w:r>
        <w:rPr>
          <w:vertAlign w:val="superscript"/>
        </w:rPr>
        <w:t>1</w:t>
      </w:r>
      <w:r>
        <w:tab/>
        <w:t xml:space="preserve">Repealed by </w:t>
      </w:r>
      <w:r>
        <w:rPr>
          <w:color w:val="000000"/>
          <w:shd w:val="clear" w:color="auto" w:fill="FFFFFF"/>
        </w:rPr>
        <w:t xml:space="preserve">the </w:t>
      </w:r>
      <w:r>
        <w:t>Vocational Education and Training (Commonwealth Powers) Act 2010 Sch. 1 (NSW).</w:t>
      </w:r>
    </w:p>
    <w:p>
      <w:pPr>
        <w:pStyle w:val="nNote"/>
      </w:pPr>
      <w:r>
        <w:rPr>
          <w:vertAlign w:val="superscript"/>
        </w:rPr>
        <w:t>2</w:t>
      </w:r>
      <w:r>
        <w:tab/>
        <w:t xml:space="preserve">Repealed by the </w:t>
      </w:r>
      <w:r>
        <w:rPr>
          <w:i/>
        </w:rPr>
        <w:t>Training and Skills Development Act 2016</w:t>
      </w:r>
      <w:r>
        <w:t xml:space="preserve"> (NT).</w:t>
      </w:r>
    </w:p>
    <w:p>
      <w:pPr>
        <w:pStyle w:val="nNote"/>
      </w:pPr>
      <w:r>
        <w:rPr>
          <w:vertAlign w:val="superscript"/>
        </w:rPr>
        <w:t>3</w:t>
      </w:r>
      <w:r>
        <w:tab/>
        <w:t xml:space="preserve">Repealed by the </w:t>
      </w:r>
      <w:r>
        <w:rPr>
          <w:i/>
        </w:rPr>
        <w:t>Further Education and Training Act 2014</w:t>
      </w:r>
      <w:r>
        <w:t xml:space="preserve"> (Qld).</w:t>
      </w:r>
    </w:p>
    <w:p>
      <w:pPr>
        <w:pStyle w:val="nNote"/>
      </w:pPr>
      <w:r>
        <w:rPr>
          <w:vertAlign w:val="superscript"/>
        </w:rPr>
        <w:t>4</w:t>
      </w:r>
      <w:r>
        <w:tab/>
        <w:t xml:space="preserve">Repealed by the </w:t>
      </w:r>
      <w:r>
        <w:rPr>
          <w:i/>
        </w:rPr>
        <w:t>Training and Workforce Development (Repeals and Consequential Amendments Act 2013</w:t>
      </w:r>
      <w:r>
        <w:t xml:space="preserve"> (Tas).</w:t>
      </w:r>
    </w:p>
    <w:p>
      <w:pPr>
        <w:pStyle w:val="nNote"/>
      </w:pPr>
      <w:r>
        <w:rPr>
          <w:vertAlign w:val="superscript"/>
        </w:rPr>
        <w:lastRenderedPageBreak/>
        <w:t>5</w:t>
      </w:r>
      <w:r>
        <w:tab/>
        <w:t xml:space="preserve">The </w:t>
      </w:r>
      <w:r>
        <w:rPr>
          <w:i/>
        </w:rPr>
        <w:t>Training Legislation Amendment and Repeal Act 2008</w:t>
      </w:r>
      <w:r>
        <w:t xml:space="preserve"> (other than Part 1) commenced 10 Jun 2009.</w:t>
      </w:r>
    </w:p>
    <w:p>
      <w:pPr>
        <w:pStyle w:val="nNote"/>
      </w:pPr>
      <w:r>
        <w:rPr>
          <w:vertAlign w:val="superscript"/>
        </w:rPr>
        <w:t>6</w:t>
      </w:r>
      <w:r>
        <w:tab/>
        <w:t xml:space="preserve">The </w:t>
      </w:r>
      <w:r>
        <w:rPr>
          <w:i/>
        </w:rPr>
        <w:t>Industrial Training Act 1975</w:t>
      </w:r>
      <w:r>
        <w:t xml:space="preserve"> was repealed by the </w:t>
      </w:r>
      <w:r>
        <w:rPr>
          <w:i/>
        </w:rPr>
        <w:t>Training Legislation Amendment and Repeal Act 2008</w:t>
      </w:r>
      <w:r>
        <w:t>.</w:t>
      </w:r>
    </w:p>
    <w:p>
      <w:pPr>
        <w:pStyle w:val="nNote"/>
      </w:pPr>
      <w:r>
        <w:rPr>
          <w:vertAlign w:val="superscript"/>
        </w:rPr>
        <w:t>7</w:t>
      </w:r>
      <w:r>
        <w:tab/>
        <w:t xml:space="preserve">Repealed by the </w:t>
      </w:r>
      <w:r>
        <w:rPr>
          <w:i/>
        </w:rPr>
        <w:t>Vocational Education and Training (General) Regulations 2009</w:t>
      </w:r>
      <w:r>
        <w:t xml:space="preserve"> r. 56(2).</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154" w:name="_Toc81917028"/>
      <w:bookmarkStart w:id="155" w:name="_Toc81919976"/>
      <w:r>
        <w:rPr>
          <w:sz w:val="28"/>
        </w:rPr>
        <w:lastRenderedPageBreak/>
        <w:t>Defined terms</w:t>
      </w:r>
      <w:bookmarkEnd w:id="154"/>
      <w:bookmarkEnd w:id="1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accreditation application</w:t>
      </w:r>
      <w:r>
        <w:tab/>
        <w:t>7(1)</w:t>
      </w:r>
    </w:p>
    <w:p>
      <w:pPr>
        <w:pStyle w:val="DefinedTerms"/>
      </w:pPr>
      <w:r>
        <w:t>accreditation standards</w:t>
      </w:r>
      <w:r>
        <w:tab/>
        <w:t>7(1)</w:t>
      </w:r>
    </w:p>
    <w:p>
      <w:pPr>
        <w:pStyle w:val="DefinedTerms"/>
      </w:pPr>
      <w:r>
        <w:t>Act</w:t>
      </w:r>
      <w:r>
        <w:tab/>
        <w:t>3</w:t>
      </w:r>
    </w:p>
    <w:p>
      <w:pPr>
        <w:pStyle w:val="DefinedTerms"/>
      </w:pPr>
      <w:r>
        <w:t>amendment regulations</w:t>
      </w:r>
      <w:r>
        <w:tab/>
        <w:t>61</w:t>
      </w:r>
    </w:p>
    <w:p>
      <w:pPr>
        <w:pStyle w:val="DefinedTerms"/>
      </w:pPr>
      <w:r>
        <w:t>application</w:t>
      </w:r>
      <w:r>
        <w:tab/>
        <w:t>11(1)</w:t>
      </w:r>
    </w:p>
    <w:p>
      <w:pPr>
        <w:pStyle w:val="DefinedTerms"/>
      </w:pPr>
      <w:r>
        <w:t>AQF</w:t>
      </w:r>
      <w:r>
        <w:tab/>
        <w:t>3</w:t>
      </w:r>
    </w:p>
    <w:p>
      <w:pPr>
        <w:pStyle w:val="DefinedTerms"/>
      </w:pPr>
      <w:r>
        <w:t>AQTF</w:t>
      </w:r>
      <w:r>
        <w:tab/>
        <w:t>61</w:t>
      </w:r>
    </w:p>
    <w:p>
      <w:pPr>
        <w:pStyle w:val="DefinedTerms"/>
      </w:pPr>
      <w:r>
        <w:t>ASQA</w:t>
      </w:r>
      <w:r>
        <w:tab/>
        <w:t>3</w:t>
      </w:r>
    </w:p>
    <w:p>
      <w:pPr>
        <w:pStyle w:val="DefinedTerms"/>
      </w:pPr>
      <w:r>
        <w:t>associate</w:t>
      </w:r>
      <w:r>
        <w:tab/>
        <w:t>12(1)</w:t>
      </w:r>
    </w:p>
    <w:p>
      <w:pPr>
        <w:pStyle w:val="DefinedTerms"/>
      </w:pPr>
      <w:r>
        <w:t>audit</w:t>
      </w:r>
      <w:r>
        <w:tab/>
        <w:t>7(1), 24</w:t>
      </w:r>
    </w:p>
    <w:p>
      <w:pPr>
        <w:pStyle w:val="DefinedTerms"/>
      </w:pPr>
      <w:r>
        <w:t>child</w:t>
      </w:r>
      <w:r>
        <w:tab/>
        <w:t>40(1)</w:t>
      </w:r>
    </w:p>
    <w:p>
      <w:pPr>
        <w:pStyle w:val="DefinedTerms"/>
      </w:pPr>
      <w:r>
        <w:t>commencement</w:t>
      </w:r>
      <w:r>
        <w:tab/>
        <w:t>55, Sch. 2 cl. 1</w:t>
      </w:r>
    </w:p>
    <w:p>
      <w:pPr>
        <w:pStyle w:val="DefinedTerms"/>
      </w:pPr>
      <w:r>
        <w:t>commencement day</w:t>
      </w:r>
      <w:r>
        <w:tab/>
        <w:t>61</w:t>
      </w:r>
    </w:p>
    <w:p>
      <w:pPr>
        <w:pStyle w:val="DefinedTerms"/>
      </w:pPr>
      <w:r>
        <w:t>Commonwealth Act</w:t>
      </w:r>
      <w:r>
        <w:tab/>
        <w:t>3</w:t>
      </w:r>
    </w:p>
    <w:p>
      <w:pPr>
        <w:pStyle w:val="DefinedTerms"/>
      </w:pPr>
      <w:r>
        <w:t>compliance audit</w:t>
      </w:r>
      <w:r>
        <w:tab/>
        <w:t>7(1), 24</w:t>
      </w:r>
    </w:p>
    <w:p>
      <w:pPr>
        <w:pStyle w:val="DefinedTerms"/>
      </w:pPr>
      <w:r>
        <w:t>complying training plan</w:t>
      </w:r>
      <w:r>
        <w:tab/>
        <w:t>3, 43(1)</w:t>
      </w:r>
    </w:p>
    <w:p>
      <w:pPr>
        <w:pStyle w:val="DefinedTerms"/>
      </w:pPr>
      <w:r>
        <w:t>compulsory education period</w:t>
      </w:r>
      <w:r>
        <w:tab/>
        <w:t>40(1)</w:t>
      </w:r>
    </w:p>
    <w:p>
      <w:pPr>
        <w:pStyle w:val="DefinedTerms"/>
      </w:pPr>
      <w:r>
        <w:t>investigation</w:t>
      </w:r>
      <w:r>
        <w:tab/>
        <w:t>24</w:t>
      </w:r>
    </w:p>
    <w:p>
      <w:pPr>
        <w:pStyle w:val="DefinedTerms"/>
      </w:pPr>
      <w:r>
        <w:t>involved person</w:t>
      </w:r>
      <w:r>
        <w:tab/>
        <w:t>45(1)</w:t>
      </w:r>
    </w:p>
    <w:p>
      <w:pPr>
        <w:pStyle w:val="DefinedTerms"/>
      </w:pPr>
      <w:r>
        <w:t>jurisdiction</w:t>
      </w:r>
      <w:r>
        <w:tab/>
        <w:t>3</w:t>
      </w:r>
    </w:p>
    <w:p>
      <w:pPr>
        <w:pStyle w:val="DefinedTerms"/>
      </w:pPr>
      <w:r>
        <w:t>listed</w:t>
      </w:r>
      <w:r>
        <w:tab/>
        <w:t>4(1)</w:t>
      </w:r>
    </w:p>
    <w:p>
      <w:pPr>
        <w:pStyle w:val="DefinedTerms"/>
      </w:pPr>
      <w:r>
        <w:t>national register</w:t>
      </w:r>
      <w:r>
        <w:tab/>
        <w:t>3</w:t>
      </w:r>
    </w:p>
    <w:p>
      <w:pPr>
        <w:pStyle w:val="DefinedTerms"/>
      </w:pPr>
      <w:r>
        <w:t>nominated training provider</w:t>
      </w:r>
      <w:r>
        <w:tab/>
        <w:t>34</w:t>
      </w:r>
    </w:p>
    <w:p>
      <w:pPr>
        <w:pStyle w:val="DefinedTerms"/>
      </w:pPr>
      <w:r>
        <w:t>non-referring State</w:t>
      </w:r>
      <w:r>
        <w:tab/>
        <w:t>7(1)</w:t>
      </w:r>
    </w:p>
    <w:p>
      <w:pPr>
        <w:pStyle w:val="DefinedTerms"/>
      </w:pPr>
      <w:r>
        <w:t>official travel costs</w:t>
      </w:r>
      <w:r>
        <w:tab/>
        <w:t>24</w:t>
      </w:r>
    </w:p>
    <w:p>
      <w:pPr>
        <w:pStyle w:val="DefinedTerms"/>
      </w:pPr>
      <w:r>
        <w:t>old agreement</w:t>
      </w:r>
      <w:r>
        <w:tab/>
        <w:t>Sch. 2 cl. 1</w:t>
      </w:r>
    </w:p>
    <w:p>
      <w:pPr>
        <w:pStyle w:val="DefinedTerms"/>
      </w:pPr>
      <w:r>
        <w:t>old training contract</w:t>
      </w:r>
      <w:r>
        <w:tab/>
        <w:t>Sch. 2 cl. 1</w:t>
      </w:r>
    </w:p>
    <w:p>
      <w:pPr>
        <w:pStyle w:val="DefinedTerms"/>
      </w:pPr>
      <w:r>
        <w:t>owner</w:t>
      </w:r>
      <w:r>
        <w:tab/>
        <w:t>7(1)</w:t>
      </w:r>
    </w:p>
    <w:p>
      <w:pPr>
        <w:pStyle w:val="DefinedTerms"/>
      </w:pPr>
      <w:r>
        <w:t>parent</w:t>
      </w:r>
      <w:r>
        <w:tab/>
        <w:t>40(1)</w:t>
      </w:r>
    </w:p>
    <w:p>
      <w:pPr>
        <w:pStyle w:val="DefinedTerms"/>
      </w:pPr>
      <w:r>
        <w:t>personal details</w:t>
      </w:r>
      <w:r>
        <w:tab/>
        <w:t>3</w:t>
      </w:r>
    </w:p>
    <w:p>
      <w:pPr>
        <w:pStyle w:val="DefinedTerms"/>
      </w:pPr>
      <w:r>
        <w:t>register</w:t>
      </w:r>
      <w:r>
        <w:tab/>
        <w:t>7(1)</w:t>
      </w:r>
    </w:p>
    <w:p>
      <w:pPr>
        <w:pStyle w:val="DefinedTerms"/>
      </w:pPr>
      <w:r>
        <w:t>registering body</w:t>
      </w:r>
      <w:r>
        <w:tab/>
        <w:t>3</w:t>
      </w:r>
    </w:p>
    <w:p>
      <w:pPr>
        <w:pStyle w:val="DefinedTerms"/>
      </w:pPr>
      <w:r>
        <w:t>registration application</w:t>
      </w:r>
      <w:r>
        <w:tab/>
        <w:t>7(1)</w:t>
      </w:r>
    </w:p>
    <w:p>
      <w:pPr>
        <w:pStyle w:val="DefinedTerms"/>
      </w:pPr>
      <w:r>
        <w:t>registration document</w:t>
      </w:r>
      <w:r>
        <w:tab/>
        <w:t>7(1)</w:t>
      </w:r>
    </w:p>
    <w:p>
      <w:pPr>
        <w:pStyle w:val="DefinedTerms"/>
      </w:pPr>
      <w:r>
        <w:t>registration standards</w:t>
      </w:r>
      <w:r>
        <w:tab/>
        <w:t>7(1)</w:t>
      </w:r>
    </w:p>
    <w:p>
      <w:pPr>
        <w:pStyle w:val="DefinedTerms"/>
      </w:pPr>
      <w:r>
        <w:t>school-based apprenticeship</w:t>
      </w:r>
      <w:r>
        <w:tab/>
        <w:t>3, 43(1)</w:t>
      </w:r>
    </w:p>
    <w:p>
      <w:pPr>
        <w:pStyle w:val="DefinedTerms"/>
      </w:pPr>
      <w:r>
        <w:t>scope of registration</w:t>
      </w:r>
      <w:r>
        <w:tab/>
        <w:t>7(1)</w:t>
      </w:r>
    </w:p>
    <w:p>
      <w:pPr>
        <w:pStyle w:val="DefinedTerms"/>
      </w:pPr>
      <w:r>
        <w:t>Standards for VET Regulators</w:t>
      </w:r>
      <w:r>
        <w:tab/>
        <w:t>7(1)</w:t>
      </w:r>
    </w:p>
    <w:p>
      <w:pPr>
        <w:pStyle w:val="DefinedTerms"/>
      </w:pPr>
      <w:r>
        <w:t>suspension notice</w:t>
      </w:r>
      <w:r>
        <w:tab/>
        <w:t>49(4)</w:t>
      </w:r>
    </w:p>
    <w:p>
      <w:pPr>
        <w:pStyle w:val="DefinedTerms"/>
      </w:pPr>
      <w:r>
        <w:t>trade apprentice</w:t>
      </w:r>
      <w:r>
        <w:tab/>
        <w:t>Sch. 2 cl. 1</w:t>
      </w:r>
    </w:p>
    <w:p>
      <w:pPr>
        <w:pStyle w:val="DefinedTerms"/>
      </w:pPr>
      <w:r>
        <w:lastRenderedPageBreak/>
        <w:t>transitional period</w:t>
      </w:r>
      <w:r>
        <w:tab/>
        <w:t>61</w:t>
      </w:r>
    </w:p>
    <w:p>
      <w:pPr>
        <w:pStyle w:val="DefinedTerms"/>
      </w:pPr>
      <w:r>
        <w:t>units gained institutionally</w:t>
      </w:r>
      <w:r>
        <w:tab/>
        <w:t>38(3B)</w:t>
      </w:r>
    </w:p>
    <w:p>
      <w:pPr>
        <w:pStyle w:val="DefinedTerms"/>
      </w:pPr>
      <w:r>
        <w:t>VET course for a prescribed VET qualification</w:t>
      </w:r>
      <w:r>
        <w:tab/>
        <w:t>7(1)</w:t>
      </w:r>
    </w:p>
    <w:p>
      <w:pPr>
        <w:pStyle w:val="DefinedTerms"/>
      </w:pPr>
      <w:r>
        <w:t>WA</w:t>
      </w:r>
      <w:r>
        <w:tab/>
        <w:t>3</w:t>
      </w:r>
    </w:p>
    <w:p>
      <w:pPr>
        <w:pStyle w:val="DefinedTerms"/>
      </w:pPr>
      <w:r>
        <w:t>WA accredited course</w:t>
      </w:r>
      <w:r>
        <w:tab/>
        <w:t>7(1)</w:t>
      </w:r>
    </w:p>
    <w:p>
      <w:pPr>
        <w:pStyle w:val="DefinedTerms"/>
      </w:pPr>
      <w:r>
        <w:t>WA registered provider</w:t>
      </w:r>
      <w:r>
        <w:tab/>
        <w:t>7(1)</w:t>
      </w:r>
    </w:p>
    <w:p>
      <w:pPr>
        <w:pStyle w:val="DefinedTerms"/>
      </w:pPr>
      <w:r>
        <w:t>working day</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8" w:name="Schedule"/>
    <w:bookmarkEnd w:id="1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Training contract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Training contract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3" w:name="Compilation"/>
    <w:bookmarkEnd w:id="15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56" w:name="DefinedTerms"/>
    <w:bookmarkEnd w:id="15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7" w:name="Coversheet"/>
    <w:bookmarkEnd w:id="1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07130936"/>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 w:name="WAFER_20150309105459" w:val="ResetPageSize,UpdateArrangement,UpdateNTable"/>
    <w:docVar w:name="WAFER_20150309105459_GUID" w:val="5f4df0af-5f1c-4a07-9b93-2e561a08ce6a"/>
    <w:docVar w:name="WAFER_20151112112147" w:val="UpdateStyles,UsedStyles"/>
    <w:docVar w:name="WAFER_20151112112147_GUID" w:val="da96a597-87ad-46e2-be0f-f68b5a9e4151"/>
    <w:docVar w:name="WAFER_20171229102150" w:val="RemoveTocBookmarks,RemoveUnusedBookmarks,RemoveLanguageTags,UsedStyles,ResetPageSize"/>
    <w:docVar w:name="WAFER_20171229102150_GUID" w:val="39a1d1bc-f02a-47c2-b50b-358a7e1a37c6"/>
    <w:docVar w:name="WAFER_20180419110741" w:val="RemoveTocBookmarks,RemoveUnusedBookmarks,RemoveLanguageTags,UsedStyles,ResetPageSize,RemoveCustomizations"/>
    <w:docVar w:name="WAFER_20180419110741_GUID" w:val="62053f0d-38a6-46b8-a4fe-47a29574fca3"/>
    <w:docVar w:name="WAFER_202109071309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30936_GUID" w:val="cde588fa-2d85-4bf7-9bf4-1e3fba3ca9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CACEB794-B2E1-4796-88E1-3C8060704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6ABAF6-5793-435E-843D-F4B935245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19764</Words>
  <Characters>104357</Characters>
  <Application>Microsoft Office Word</Application>
  <DocSecurity>0</DocSecurity>
  <Lines>2898</Lines>
  <Paragraphs>1748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2009 - 02-b0-00</dc:title>
  <dc:subject/>
  <dc:creator/>
  <cp:keywords/>
  <dc:description/>
  <cp:lastModifiedBy>Master Repository Process</cp:lastModifiedBy>
  <cp:revision>4</cp:revision>
  <cp:lastPrinted>2018-05-28T07:24:00Z</cp:lastPrinted>
  <dcterms:created xsi:type="dcterms:W3CDTF">2021-09-10T01:38:00Z</dcterms:created>
  <dcterms:modified xsi:type="dcterms:W3CDTF">2021-09-10T01:38:00Z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OWLSUId">
    <vt:i4>858</vt:i4>
  </property>
  <property fmtid="{D5CDD505-2E9C-101B-9397-08002B2CF9AE}" pid="4" name="DocumentType">
    <vt:lpwstr>Reg</vt:lpwstr>
  </property>
  <property fmtid="{D5CDD505-2E9C-101B-9397-08002B2CF9AE}" pid="5" name="ReprintedAsAt">
    <vt:filetime>2018-11-15T16:00:00Z</vt:filetime>
  </property>
  <property fmtid="{D5CDD505-2E9C-101B-9397-08002B2CF9AE}" pid="6" name="ReprintNo">
    <vt:lpwstr>2</vt:lpwstr>
  </property>
  <property fmtid="{D5CDD505-2E9C-101B-9397-08002B2CF9AE}" pid="7" name="AsAtDate">
    <vt:lpwstr>11 Sep 2021</vt:lpwstr>
  </property>
  <property fmtid="{D5CDD505-2E9C-101B-9397-08002B2CF9AE}" pid="8" name="Suffix">
    <vt:lpwstr>02-b0-00</vt:lpwstr>
  </property>
  <property fmtid="{D5CDD505-2E9C-101B-9397-08002B2CF9AE}" pid="9" name="CommencementDate">
    <vt:lpwstr>20210911</vt:lpwstr>
  </property>
</Properties>
</file>