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63" w:rsidRDefault="00A31C2A">
      <w:pPr>
        <w:pStyle w:val="WA"/>
      </w:pPr>
      <w:bookmarkStart w:id="0" w:name="_GoBack"/>
      <w:bookmarkEnd w:id="0"/>
      <w:r>
        <w:t>Western Australia</w:t>
      </w:r>
    </w:p>
    <w:p w:rsidR="004D3D63" w:rsidRDefault="00A31C2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74076">
        <w:rPr>
          <w:noProof/>
        </w:rPr>
        <w:t>Street Collections Regulations 1999</w:t>
      </w:r>
      <w:r>
        <w:fldChar w:fldCharType="end"/>
      </w:r>
    </w:p>
    <w:p w:rsidR="004D3D63" w:rsidRDefault="004D3D63">
      <w:pPr>
        <w:jc w:val="center"/>
        <w:rPr>
          <w:b/>
        </w:rPr>
        <w:sectPr w:rsidR="004D3D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D3D63" w:rsidRDefault="00A31C2A">
      <w:pPr>
        <w:pStyle w:val="WA"/>
      </w:pPr>
      <w:r>
        <w:lastRenderedPageBreak/>
        <w:t>Western Australia</w:t>
      </w:r>
    </w:p>
    <w:p w:rsidR="004D3D63" w:rsidRDefault="00A31C2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74076">
        <w:rPr>
          <w:noProof/>
        </w:rPr>
        <w:t>Street Collections Regulations 1999</w:t>
      </w:r>
      <w:r>
        <w:fldChar w:fldCharType="end"/>
      </w:r>
    </w:p>
    <w:p w:rsidR="004D3D63" w:rsidRDefault="00A31C2A">
      <w:pPr>
        <w:pStyle w:val="Arrangement"/>
      </w:pPr>
      <w:r>
        <w:t>CONTENTS</w:t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5,4" \n 2</w:instrText>
      </w:r>
      <w:r>
        <w:noBreakHyphen/>
        <w:instrText>3 \t "yHeading 4,3,yHeading 5,4"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_Toc469126324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1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_Toc469126325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1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Application for permit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_Toc469126326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1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Form of permit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_Toc469126327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1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Identification badges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_Toc469126328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1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Minimum age for collectors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_Toc469126329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2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Collection boxes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_Toc469126330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2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Making a collection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_Toc469126331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2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9.</w:t>
      </w:r>
      <w:r>
        <w:rPr>
          <w:noProof/>
        </w:rPr>
        <w:tab/>
        <w:t>Obstruction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_Toc469126332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3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10.</w:t>
      </w:r>
      <w:r>
        <w:rPr>
          <w:noProof/>
        </w:rPr>
        <w:tab/>
        <w:t>Collection returns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_Toc469126333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3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11.</w:t>
      </w:r>
      <w:r>
        <w:rPr>
          <w:noProof/>
        </w:rPr>
        <w:tab/>
        <w:t>Collectors, promoters etc. not to be paid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_Toc469126334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3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12.</w:t>
      </w:r>
      <w:r>
        <w:rPr>
          <w:noProof/>
        </w:rPr>
        <w:tab/>
        <w:t>Investigation by Commissioner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_Toc469126335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3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13.</w:t>
      </w:r>
      <w:r>
        <w:rPr>
          <w:noProof/>
        </w:rPr>
        <w:tab/>
        <w:t>Offence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_Toc469126336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4</w:t>
      </w:r>
      <w:r>
        <w:rPr>
          <w:noProof/>
        </w:rPr>
        <w:fldChar w:fldCharType="end"/>
      </w:r>
    </w:p>
    <w:p w:rsidR="004D3D63" w:rsidRDefault="00A31C2A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14.</w:t>
      </w:r>
      <w:r>
        <w:rPr>
          <w:noProof/>
        </w:rPr>
        <w:tab/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_Toc469126337 \h </w:instrText>
      </w:r>
      <w:r>
        <w:rPr>
          <w:noProof/>
        </w:rPr>
      </w:r>
      <w:r>
        <w:rPr>
          <w:noProof/>
        </w:rPr>
        <w:fldChar w:fldCharType="separate"/>
      </w:r>
      <w:r w:rsidR="00774076">
        <w:rPr>
          <w:noProof/>
        </w:rPr>
        <w:t>4</w:t>
      </w:r>
      <w:r>
        <w:rPr>
          <w:noProof/>
        </w:rPr>
        <w:fldChar w:fldCharType="end"/>
      </w:r>
    </w:p>
    <w:p w:rsidR="004D3D63" w:rsidRDefault="00A31C2A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 1 — Form of Permit</w:t>
      </w:r>
    </w:p>
    <w:p w:rsidR="004D3D63" w:rsidRDefault="00A31C2A">
      <w:pPr>
        <w:pStyle w:val="TOC2"/>
        <w:tabs>
          <w:tab w:val="right" w:pos="7086"/>
        </w:tabs>
      </w:pPr>
      <w:r>
        <w:rPr>
          <w:noProof/>
        </w:rPr>
        <w:t>Notes</w:t>
      </w:r>
      <w:r>
        <w:fldChar w:fldCharType="end"/>
      </w:r>
    </w:p>
    <w:p w:rsidR="004D3D63" w:rsidRDefault="00A31C2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D3D63" w:rsidRDefault="004D3D63">
      <w:pPr>
        <w:pStyle w:val="NoteHeading"/>
        <w:sectPr w:rsidR="004D3D6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D3D63" w:rsidRDefault="00A31C2A">
      <w:pPr>
        <w:pStyle w:val="PrincipalActReg"/>
      </w:pPr>
      <w:r>
        <w:t>Street Collections (Regulation) Act 1940</w:t>
      </w:r>
    </w:p>
    <w:p w:rsidR="004D3D63" w:rsidRDefault="00A31C2A">
      <w:pPr>
        <w:pStyle w:val="NameofActReg"/>
      </w:pPr>
      <w:r>
        <w:t>Street Collections Regulations 1999</w:t>
      </w:r>
    </w:p>
    <w:p w:rsidR="004D3D63" w:rsidRDefault="00A31C2A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6912632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</w:p>
    <w:p w:rsidR="004D3D63" w:rsidRDefault="00A31C2A"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 w:rsidR="004D3D63" w:rsidRDefault="00A31C2A">
      <w:pPr>
        <w:pStyle w:val="Heading5"/>
      </w:pPr>
      <w:bookmarkStart w:id="8" w:name="_Toc469126325"/>
      <w:r>
        <w:rPr>
          <w:rStyle w:val="CharSectno"/>
        </w:rPr>
        <w:t>2</w:t>
      </w:r>
      <w:r>
        <w:t>.</w:t>
      </w:r>
      <w:r>
        <w:tab/>
        <w:t>Definitions</w:t>
      </w:r>
      <w:bookmarkEnd w:id="8"/>
    </w:p>
    <w:p w:rsidR="004D3D63" w:rsidRDefault="00A31C2A">
      <w:pPr>
        <w:pStyle w:val="Subsection"/>
      </w:pPr>
      <w:r>
        <w:tab/>
      </w:r>
      <w:r>
        <w:tab/>
        <w:t>In these regulations —</w:t>
      </w:r>
    </w:p>
    <w:p w:rsidR="004D3D63" w:rsidRDefault="00A31C2A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authorize</w:t>
      </w:r>
      <w:r>
        <w:rPr>
          <w:b/>
        </w:rPr>
        <w:t>”</w:t>
      </w:r>
      <w:r>
        <w:t xml:space="preserve"> means authorize in writing; </w:t>
      </w:r>
    </w:p>
    <w:p w:rsidR="004D3D63" w:rsidRDefault="00A31C2A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</w:t>
      </w:r>
      <w:r>
        <w:rPr>
          <w:b/>
        </w:rPr>
        <w:t>”</w:t>
      </w:r>
      <w:r>
        <w:t xml:space="preserve"> means a permit under section 4 of the Act;</w:t>
      </w:r>
    </w:p>
    <w:p w:rsidR="004D3D63" w:rsidRDefault="00A31C2A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 holder</w:t>
      </w:r>
      <w:r>
        <w:rPr>
          <w:b/>
        </w:rPr>
        <w:t>”</w:t>
      </w:r>
      <w:r>
        <w:t xml:space="preserve"> means a person to whom a permit has been granted.</w:t>
      </w:r>
    </w:p>
    <w:p w:rsidR="004D3D63" w:rsidRDefault="00A31C2A">
      <w:pPr>
        <w:pStyle w:val="Heading5"/>
      </w:pPr>
      <w:bookmarkStart w:id="9" w:name="_Toc469126326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9"/>
    </w:p>
    <w:p w:rsidR="004D3D63" w:rsidRDefault="00A31C2A">
      <w:pPr>
        <w:pStyle w:val="Subsection"/>
      </w:pPr>
      <w:r>
        <w:tab/>
      </w:r>
      <w:r>
        <w:tab/>
        <w:t>An application for a permit is to be in a form approved by the Minister.</w:t>
      </w:r>
    </w:p>
    <w:p w:rsidR="004D3D63" w:rsidRDefault="00A31C2A">
      <w:pPr>
        <w:pStyle w:val="Heading5"/>
      </w:pPr>
      <w:bookmarkStart w:id="10" w:name="_Toc469126327"/>
      <w:r>
        <w:rPr>
          <w:rStyle w:val="CharSectno"/>
        </w:rPr>
        <w:t>4</w:t>
      </w:r>
      <w:r>
        <w:t>.</w:t>
      </w:r>
      <w:r>
        <w:tab/>
        <w:t>Form of permit</w:t>
      </w:r>
      <w:bookmarkEnd w:id="10"/>
    </w:p>
    <w:p w:rsidR="004D3D63" w:rsidRDefault="00A31C2A">
      <w:pPr>
        <w:pStyle w:val="Subsection"/>
      </w:pPr>
      <w:r>
        <w:tab/>
      </w:r>
      <w:r>
        <w:tab/>
        <w:t>A permit is to be in the form set out in Schedule 1.</w:t>
      </w:r>
    </w:p>
    <w:p w:rsidR="004D3D63" w:rsidRDefault="00A31C2A">
      <w:pPr>
        <w:pStyle w:val="Heading5"/>
      </w:pPr>
      <w:bookmarkStart w:id="11" w:name="_Toc469126328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1"/>
    </w:p>
    <w:p w:rsidR="004D3D63" w:rsidRDefault="00A31C2A"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 w:rsidR="004D3D63" w:rsidRDefault="00A31C2A">
      <w:pPr>
        <w:pStyle w:val="Subsection"/>
      </w:pPr>
      <w:r>
        <w:tab/>
        <w:t>(2)</w:t>
      </w:r>
      <w:r>
        <w:tab/>
        <w:t>A collector must allow a person authorized by the Minister to inspect the collector’s identification badge on request.</w:t>
      </w:r>
    </w:p>
    <w:p w:rsidR="004D3D63" w:rsidRDefault="00A31C2A">
      <w:pPr>
        <w:pStyle w:val="Heading5"/>
      </w:pPr>
      <w:bookmarkStart w:id="12" w:name="_Toc469126329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2"/>
    </w:p>
    <w:p w:rsidR="004D3D63" w:rsidRDefault="00A31C2A">
      <w:pPr>
        <w:pStyle w:val="Subsection"/>
      </w:pPr>
      <w:r>
        <w:tab/>
      </w:r>
      <w:r>
        <w:tab/>
        <w:t>A permit holder must not allow a person who is under 16 to be a collector unless authorized by the Minister to do so.</w:t>
      </w:r>
    </w:p>
    <w:p w:rsidR="004D3D63" w:rsidRDefault="00A31C2A">
      <w:pPr>
        <w:pStyle w:val="Heading5"/>
      </w:pPr>
      <w:bookmarkStart w:id="13" w:name="_Toc469126330"/>
      <w:r>
        <w:rPr>
          <w:rStyle w:val="CharSectno"/>
        </w:rPr>
        <w:t>7</w:t>
      </w:r>
      <w:r>
        <w:t>.</w:t>
      </w:r>
      <w:r>
        <w:tab/>
        <w:t>Collection boxes</w:t>
      </w:r>
      <w:bookmarkEnd w:id="13"/>
    </w:p>
    <w:p w:rsidR="004D3D63" w:rsidRDefault="00A31C2A"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 w:rsidR="004D3D63" w:rsidRDefault="00A31C2A">
      <w:pPr>
        <w:pStyle w:val="Subsection"/>
        <w:keepNext/>
      </w:pPr>
      <w:r>
        <w:tab/>
        <w:t>(2)</w:t>
      </w:r>
      <w:r>
        <w:tab/>
        <w:t>A collection box —</w:t>
      </w:r>
    </w:p>
    <w:p w:rsidR="004D3D63" w:rsidRDefault="00A31C2A"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 w:rsidR="004D3D63" w:rsidRDefault="00A31C2A"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 w:rsidR="004D3D63" w:rsidRDefault="00A31C2A"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 w:rsidR="004D3D63" w:rsidRDefault="00A31C2A">
      <w:pPr>
        <w:pStyle w:val="Indenta"/>
      </w:pPr>
      <w:r>
        <w:tab/>
        <w:t>(d)</w:t>
      </w:r>
      <w:r>
        <w:tab/>
        <w:t>must have prominently displayed on it —</w:t>
      </w:r>
    </w:p>
    <w:p w:rsidR="004D3D63" w:rsidRDefault="00A31C2A"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 w:rsidR="004D3D63" w:rsidRDefault="00A31C2A">
      <w:pPr>
        <w:pStyle w:val="Indenti"/>
      </w:pPr>
      <w:r>
        <w:tab/>
        <w:t>(ii)</w:t>
      </w:r>
      <w:r>
        <w:tab/>
        <w:t>the date of the collection.</w:t>
      </w:r>
    </w:p>
    <w:p w:rsidR="004D3D63" w:rsidRDefault="00A31C2A"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 w:rsidR="004D3D63" w:rsidRDefault="00A31C2A">
      <w:pPr>
        <w:pStyle w:val="Heading5"/>
      </w:pPr>
      <w:bookmarkStart w:id="14" w:name="_Toc469126331"/>
      <w:r>
        <w:rPr>
          <w:rStyle w:val="CharSectno"/>
        </w:rPr>
        <w:t>8</w:t>
      </w:r>
      <w:r>
        <w:t>.</w:t>
      </w:r>
      <w:r>
        <w:tab/>
        <w:t>Making a collection</w:t>
      </w:r>
      <w:bookmarkEnd w:id="14"/>
    </w:p>
    <w:p w:rsidR="004D3D63" w:rsidRDefault="00A31C2A"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 w:rsidR="004D3D63" w:rsidRDefault="00A31C2A"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 w:rsidR="004D3D63" w:rsidRDefault="00A31C2A"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 w:rsidR="004D3D63" w:rsidRDefault="00A31C2A"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authorized by the permit holder to receive collection boxes.</w:t>
      </w:r>
    </w:p>
    <w:p w:rsidR="004D3D63" w:rsidRDefault="00A31C2A">
      <w:pPr>
        <w:pStyle w:val="Heading5"/>
      </w:pPr>
      <w:bookmarkStart w:id="15" w:name="_Toc469126332"/>
      <w:r>
        <w:rPr>
          <w:rStyle w:val="CharSectno"/>
        </w:rPr>
        <w:t>9</w:t>
      </w:r>
      <w:r>
        <w:t>.</w:t>
      </w:r>
      <w:r>
        <w:tab/>
        <w:t>Obstruction</w:t>
      </w:r>
      <w:bookmarkEnd w:id="15"/>
      <w:r>
        <w:t xml:space="preserve"> </w:t>
      </w:r>
    </w:p>
    <w:p w:rsidR="004D3D63" w:rsidRDefault="00A31C2A">
      <w:pPr>
        <w:pStyle w:val="Subsection"/>
      </w:pPr>
      <w:r>
        <w:tab/>
      </w:r>
      <w:r>
        <w:tab/>
        <w:t>While taking part in a collection a collector must not obstruct a public street (as defined in section 3 of the Act) or annoy any person using a public street.</w:t>
      </w:r>
    </w:p>
    <w:p w:rsidR="004D3D63" w:rsidRDefault="00A31C2A">
      <w:pPr>
        <w:pStyle w:val="Heading5"/>
      </w:pPr>
      <w:bookmarkStart w:id="16" w:name="_Toc469126333"/>
      <w:r>
        <w:rPr>
          <w:rStyle w:val="CharSectno"/>
        </w:rPr>
        <w:t>10</w:t>
      </w:r>
      <w:r>
        <w:t>.</w:t>
      </w:r>
      <w:r>
        <w:tab/>
        <w:t>Collection returns</w:t>
      </w:r>
      <w:bookmarkEnd w:id="16"/>
      <w:r>
        <w:t xml:space="preserve"> </w:t>
      </w:r>
    </w:p>
    <w:p w:rsidR="004D3D63" w:rsidRDefault="00A31C2A">
      <w:pPr>
        <w:pStyle w:val="Subsection"/>
        <w:keepNext/>
      </w:pPr>
      <w:r>
        <w:tab/>
      </w:r>
      <w:r>
        <w:tab/>
        <w:t>Within 30 days after the date of a collection a permit holder must give to the Minister a written statement, signed by the permit holder, setting out —</w:t>
      </w:r>
    </w:p>
    <w:p w:rsidR="004D3D63" w:rsidRDefault="00A31C2A">
      <w:pPr>
        <w:pStyle w:val="Indenta"/>
      </w:pPr>
      <w:r>
        <w:tab/>
        <w:t>(a)</w:t>
      </w:r>
      <w:r>
        <w:tab/>
        <w:t xml:space="preserve">the amount collected; </w:t>
      </w:r>
    </w:p>
    <w:p w:rsidR="004D3D63" w:rsidRDefault="00A31C2A">
      <w:pPr>
        <w:pStyle w:val="Indenta"/>
      </w:pPr>
      <w:r>
        <w:tab/>
        <w:t>(b)</w:t>
      </w:r>
      <w:r>
        <w:tab/>
        <w:t>the expenses incurred in carrying out the collection; and</w:t>
      </w:r>
    </w:p>
    <w:p w:rsidR="004D3D63" w:rsidRDefault="00A31C2A"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 w:rsidR="004D3D63" w:rsidRDefault="00A31C2A">
      <w:pPr>
        <w:pStyle w:val="Heading5"/>
      </w:pPr>
      <w:bookmarkStart w:id="17" w:name="_Toc469126334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17"/>
    </w:p>
    <w:p w:rsidR="004D3D63" w:rsidRDefault="00A31C2A">
      <w:pPr>
        <w:pStyle w:val="Subsection"/>
      </w:pPr>
      <w:r>
        <w:tab/>
        <w:t>(1)</w:t>
      </w:r>
      <w:r>
        <w:tab/>
        <w:t>A person must not pay —</w:t>
      </w:r>
    </w:p>
    <w:p w:rsidR="004D3D63" w:rsidRDefault="00A31C2A">
      <w:pPr>
        <w:pStyle w:val="Indenta"/>
      </w:pPr>
      <w:r>
        <w:tab/>
        <w:t>(a)</w:t>
      </w:r>
      <w:r>
        <w:tab/>
        <w:t>a person for being a collector; or</w:t>
      </w:r>
    </w:p>
    <w:p w:rsidR="004D3D63" w:rsidRDefault="00A31C2A"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 w:rsidR="004D3D63" w:rsidRDefault="00A31C2A">
      <w:pPr>
        <w:pStyle w:val="Subsection"/>
      </w:pPr>
      <w:r>
        <w:tab/>
      </w:r>
      <w:r>
        <w:tab/>
        <w:t>unless the permit authorizes that payment.</w:t>
      </w:r>
    </w:p>
    <w:p w:rsidR="004D3D63" w:rsidRDefault="00A31C2A">
      <w:pPr>
        <w:pStyle w:val="Subsection"/>
      </w:pPr>
      <w:r>
        <w:tab/>
        <w:t>(2)</w:t>
      </w:r>
      <w:r>
        <w:tab/>
        <w:t>In subregulation (1) —</w:t>
      </w:r>
    </w:p>
    <w:p w:rsidR="004D3D63" w:rsidRDefault="00A31C2A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pay</w:t>
      </w:r>
      <w:r>
        <w:rPr>
          <w:b/>
        </w:rPr>
        <w:t>”</w:t>
      </w:r>
      <w:r>
        <w:t xml:space="preserve"> includes give, whether directly or indirectly, any benefit or reward. </w:t>
      </w:r>
    </w:p>
    <w:p w:rsidR="004D3D63" w:rsidRDefault="00A31C2A">
      <w:pPr>
        <w:pStyle w:val="Heading5"/>
      </w:pPr>
      <w:bookmarkStart w:id="18" w:name="_Toc469126335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18"/>
    </w:p>
    <w:p w:rsidR="004D3D63" w:rsidRDefault="00A31C2A">
      <w:pPr>
        <w:pStyle w:val="Subsection"/>
      </w:pPr>
      <w:r>
        <w:tab/>
        <w:t>(1)</w:t>
      </w:r>
      <w:r>
        <w:tab/>
        <w:t xml:space="preserve">The Minister may request the Commissioner for Fair Trading under the </w:t>
      </w:r>
      <w:r>
        <w:rPr>
          <w:i/>
        </w:rPr>
        <w:t xml:space="preserve">Consumer Affairs Act 1971 </w:t>
      </w:r>
      <w:r>
        <w:t>to investigate a collection.</w:t>
      </w:r>
    </w:p>
    <w:p w:rsidR="004D3D63" w:rsidRDefault="00A31C2A">
      <w:pPr>
        <w:pStyle w:val="Subsection"/>
      </w:pPr>
      <w:r>
        <w:tab/>
        <w:t>(2)</w:t>
      </w:r>
      <w:r>
        <w:tab/>
        <w:t>On receipt of a request the Commissioner is to —</w:t>
      </w:r>
    </w:p>
    <w:p w:rsidR="004D3D63" w:rsidRDefault="00A31C2A">
      <w:pPr>
        <w:pStyle w:val="Indenta"/>
      </w:pPr>
      <w:r>
        <w:tab/>
        <w:t>(a)</w:t>
      </w:r>
      <w:r>
        <w:tab/>
        <w:t>make all investigations the Commissioner considers appropriate; and</w:t>
      </w:r>
    </w:p>
    <w:p w:rsidR="004D3D63" w:rsidRDefault="00A31C2A">
      <w:pPr>
        <w:pStyle w:val="Indenta"/>
      </w:pPr>
      <w:r>
        <w:tab/>
        <w:t>(b)</w:t>
      </w:r>
      <w:r>
        <w:tab/>
        <w:t>report the result of the investigations to the Minister.</w:t>
      </w:r>
    </w:p>
    <w:p w:rsidR="004D3D63" w:rsidRDefault="00A31C2A">
      <w:pPr>
        <w:pStyle w:val="Subsection"/>
      </w:pPr>
      <w:r>
        <w:tab/>
        <w:t>(3)</w:t>
      </w:r>
      <w:r>
        <w:tab/>
        <w:t xml:space="preserve">For the purpose of subregulation (2) the Commissioner may direct a person to produce any documents specified in the direction and the person must comply with that direction. </w:t>
      </w:r>
    </w:p>
    <w:p w:rsidR="004D3D63" w:rsidRDefault="00A31C2A">
      <w:pPr>
        <w:pStyle w:val="Heading5"/>
      </w:pPr>
      <w:bookmarkStart w:id="19" w:name="_Toc469126336"/>
      <w:r>
        <w:rPr>
          <w:rStyle w:val="CharSectno"/>
        </w:rPr>
        <w:t>13</w:t>
      </w:r>
      <w:r>
        <w:t>.</w:t>
      </w:r>
      <w:r>
        <w:tab/>
        <w:t>Offence</w:t>
      </w:r>
      <w:bookmarkEnd w:id="19"/>
    </w:p>
    <w:p w:rsidR="004D3D63" w:rsidRDefault="00A31C2A"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 w:rsidR="004D3D63" w:rsidRDefault="00A31C2A">
      <w:pPr>
        <w:pStyle w:val="Penstart"/>
      </w:pPr>
      <w:r>
        <w:tab/>
        <w:t>Penalty: $40.</w:t>
      </w:r>
    </w:p>
    <w:p w:rsidR="004D3D63" w:rsidRDefault="00A31C2A">
      <w:pPr>
        <w:pStyle w:val="Heading5"/>
      </w:pPr>
      <w:bookmarkStart w:id="20" w:name="_Toc469126337"/>
      <w:r>
        <w:rPr>
          <w:rStyle w:val="CharSectno"/>
        </w:rPr>
        <w:t>14</w:t>
      </w:r>
      <w:r>
        <w:t>.</w:t>
      </w:r>
      <w:r>
        <w:tab/>
        <w:t>Repeal</w:t>
      </w:r>
      <w:bookmarkEnd w:id="20"/>
      <w:r>
        <w:t xml:space="preserve"> </w:t>
      </w:r>
    </w:p>
    <w:p w:rsidR="004D3D63" w:rsidRDefault="00A31C2A">
      <w:pPr>
        <w:pStyle w:val="Subsection"/>
      </w:pPr>
      <w:r>
        <w:tab/>
      </w:r>
      <w:r>
        <w:tab/>
        <w:t xml:space="preserve">The </w:t>
      </w:r>
      <w:r>
        <w:rPr>
          <w:i/>
        </w:rPr>
        <w:t>Street Collections Regulations 1941</w:t>
      </w:r>
      <w:r>
        <w:t xml:space="preserve"> are repealed.</w:t>
      </w:r>
    </w:p>
    <w:p w:rsidR="004D3D63" w:rsidRDefault="004D3D63">
      <w:pPr>
        <w:sectPr w:rsidR="004D3D6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D3D63" w:rsidRDefault="00A31C2A">
      <w:pPr>
        <w:pStyle w:val="yScheduleHeading"/>
      </w:pPr>
      <w:r>
        <w:rPr>
          <w:rStyle w:val="CharSchNo"/>
        </w:rPr>
        <w:t>Schedule 1</w:t>
      </w:r>
      <w:r>
        <w:t xml:space="preserve"> —</w:t>
      </w:r>
      <w:bookmarkStart w:id="21" w:name="AutoSch"/>
      <w:bookmarkEnd w:id="21"/>
      <w:r>
        <w:t xml:space="preserve"> </w:t>
      </w:r>
      <w:r>
        <w:rPr>
          <w:rStyle w:val="CharSchText"/>
        </w:rPr>
        <w:t>Form of Permit</w:t>
      </w:r>
    </w:p>
    <w:p w:rsidR="004D3D63" w:rsidRDefault="00A31C2A">
      <w:pPr>
        <w:pStyle w:val="yShoulderClause"/>
      </w:pPr>
      <w:r>
        <w:t>[r. 4]</w:t>
      </w:r>
    </w:p>
    <w:p w:rsidR="004D3D63" w:rsidRDefault="00A31C2A"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 (Regulation) Act 1940</w:t>
      </w:r>
    </w:p>
    <w:p w:rsidR="004D3D63" w:rsidRDefault="00A31C2A"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 w:rsidR="004D3D63"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4D3D63">
            <w:pPr>
              <w:pStyle w:val="yTable"/>
            </w:pPr>
          </w:p>
        </w:tc>
      </w:tr>
      <w:tr w:rsidR="004D3D63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3D63" w:rsidRDefault="00A31C2A"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 w:rsidR="004D3D63"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3D63" w:rsidRDefault="00A31C2A"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 1940 </w:t>
            </w:r>
            <w:r>
              <w:t>to conduct a street collection in the Perth metropolitan area.</w:t>
            </w:r>
          </w:p>
        </w:tc>
      </w:tr>
      <w:tr w:rsidR="004D3D63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3D63" w:rsidRDefault="00A31C2A">
            <w:pPr>
              <w:pStyle w:val="yTable"/>
            </w:pPr>
            <w:r>
              <w:t xml:space="preserve">The street collection may be carried out — </w:t>
            </w:r>
          </w:p>
        </w:tc>
      </w:tr>
      <w:tr w:rsidR="004D3D63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D63" w:rsidRDefault="00A31C2A"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</w:rPr>
              <w:t>on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4D3D63">
            <w:pPr>
              <w:pStyle w:val="yTable"/>
              <w:spacing w:before="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  <w:rPr>
                <w:sz w:val="18"/>
              </w:rPr>
            </w:pPr>
          </w:p>
        </w:tc>
      </w:tr>
      <w:tr w:rsidR="004D3D63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</w:pPr>
          </w:p>
        </w:tc>
      </w:tr>
      <w:tr w:rsidR="004D3D63"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D63" w:rsidRDefault="00A31C2A">
            <w:pPr>
              <w:pStyle w:val="yTable"/>
              <w:spacing w:before="0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A31C2A">
            <w:pPr>
              <w:pStyle w:val="yTable"/>
              <w:spacing w:before="0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3D63" w:rsidRDefault="00A31C2A">
            <w:pPr>
              <w:pStyle w:val="yTable"/>
              <w:spacing w:before="0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A31C2A">
            <w:pPr>
              <w:pStyle w:val="yTable"/>
              <w:spacing w:before="0"/>
              <w:jc w:val="right"/>
            </w:pPr>
            <w:r>
              <w:t>a.m. /p.m.</w:t>
            </w:r>
          </w:p>
        </w:tc>
      </w:tr>
      <w:tr w:rsidR="004D3D63"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</w:pPr>
          </w:p>
          <w:p w:rsidR="004D3D63" w:rsidRDefault="004D3D63">
            <w:pPr>
              <w:pStyle w:val="yTable"/>
              <w:spacing w:before="0"/>
            </w:pPr>
          </w:p>
          <w:p w:rsidR="004D3D63" w:rsidRDefault="00A31C2A">
            <w:pPr>
              <w:pStyle w:val="yTable"/>
            </w:pPr>
            <w:r>
              <w:t>Signature of Minister</w:t>
            </w:r>
          </w:p>
        </w:tc>
      </w:tr>
      <w:tr w:rsidR="004D3D63"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4D3D63">
            <w:pPr>
              <w:pStyle w:val="yTable"/>
              <w:spacing w:before="0"/>
            </w:pPr>
          </w:p>
          <w:p w:rsidR="004D3D63" w:rsidRDefault="004D3D63">
            <w:pPr>
              <w:pStyle w:val="yTable"/>
              <w:spacing w:before="0"/>
            </w:pPr>
          </w:p>
          <w:p w:rsidR="004D3D63" w:rsidRDefault="004D3D63">
            <w:pPr>
              <w:pStyle w:val="yTable"/>
              <w:spacing w:before="0"/>
            </w:pPr>
          </w:p>
        </w:tc>
      </w:tr>
      <w:tr w:rsidR="004D3D63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3D63" w:rsidRDefault="004D3D63">
            <w:pPr>
              <w:pStyle w:val="yTable"/>
              <w:spacing w:before="0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D3D63" w:rsidRDefault="00A31C2A">
            <w:pPr>
              <w:pStyle w:val="yTable"/>
              <w:spacing w:before="0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63" w:rsidRDefault="004D3D63">
            <w:pPr>
              <w:pStyle w:val="yTable"/>
              <w:spacing w:before="0"/>
            </w:pPr>
          </w:p>
        </w:tc>
      </w:tr>
    </w:tbl>
    <w:p w:rsidR="004D3D63" w:rsidRDefault="004D3D63">
      <w:pPr>
        <w:sectPr w:rsidR="004D3D63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D3D63" w:rsidRDefault="00A31C2A">
      <w:pPr>
        <w:pStyle w:val="nHeading2"/>
      </w:pPr>
      <w:r>
        <w:t>Notes</w:t>
      </w:r>
    </w:p>
    <w:p w:rsidR="004D3D63" w:rsidRDefault="00A31C2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Street Collections Regulations 1999</w:t>
      </w:r>
      <w:r>
        <w:rPr>
          <w:snapToGrid w:val="0"/>
        </w:rPr>
        <w:t xml:space="preserve"> and includes the amendments referred to in the following Table.</w:t>
      </w:r>
    </w:p>
    <w:p w:rsidR="004D3D63" w:rsidRDefault="00A31C2A">
      <w:pPr>
        <w:pStyle w:val="nHeading3"/>
      </w:pPr>
      <w: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D3D6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D3D63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D3D63" w:rsidRDefault="00A31C2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</w:t>
            </w:r>
          </w:p>
        </w:tc>
      </w:tr>
    </w:tbl>
    <w:p w:rsidR="004D3D63" w:rsidRDefault="004D3D63"/>
    <w:p w:rsidR="004D3D63" w:rsidRDefault="004D3D63">
      <w:pPr>
        <w:sectPr w:rsidR="004D3D63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D3D63" w:rsidRDefault="004D3D63"/>
    <w:sectPr w:rsidR="004D3D63">
      <w:headerReference w:type="even" r:id="rId31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D63" w:rsidRDefault="00A31C2A">
      <w:r>
        <w:separator/>
      </w:r>
    </w:p>
  </w:endnote>
  <w:endnote w:type="continuationSeparator" w:id="0">
    <w:p w:rsidR="004D3D63" w:rsidRDefault="00A3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</w:t>
    </w:r>
    <w:r>
      <w:rPr>
        <w:rStyle w:val="PageNumber"/>
        <w:rFonts w:ascii="Arial" w:hAnsi="Arial" w:cs="Arial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7407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74076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74076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Footer"/>
      <w:tabs>
        <w:tab w:val="clear" w:pos="4153"/>
        <w:tab w:val="right" w:pos="7088"/>
      </w:tabs>
      <w:rPr>
        <w:rStyle w:val="PageNumber"/>
      </w:rPr>
    </w:pPr>
  </w:p>
  <w:p w:rsidR="004D3D63" w:rsidRDefault="00A31C2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07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74076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7407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D3D63" w:rsidRDefault="00A31C2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D63" w:rsidRDefault="00A31C2A">
      <w:r>
        <w:separator/>
      </w:r>
    </w:p>
  </w:footnote>
  <w:footnote w:type="continuationSeparator" w:id="0">
    <w:p w:rsidR="004D3D63" w:rsidRDefault="00A31C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A31C2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74076">
      <w:rPr>
        <w:i/>
        <w:noProof/>
      </w:rPr>
      <w:t>Street Collections Regulations 1999</w:t>
    </w:r>
    <w:r>
      <w:rPr>
        <w:i/>
      </w:rPr>
      <w:fldChar w:fldCharType="end"/>
    </w:r>
  </w:p>
  <w:p w:rsidR="004D3D63" w:rsidRDefault="00A31C2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D3D63" w:rsidRDefault="00A31C2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D3D63" w:rsidRDefault="004D3D63">
    <w:pPr>
      <w:pStyle w:val="headerpart"/>
    </w:pPr>
  </w:p>
  <w:p w:rsidR="004D3D63" w:rsidRDefault="004D3D63">
    <w:pPr>
      <w:pBdr>
        <w:bottom w:val="single" w:sz="6" w:space="1" w:color="auto"/>
      </w:pBdr>
      <w:rPr>
        <w:b/>
      </w:rPr>
    </w:pPr>
  </w:p>
  <w:p w:rsidR="004D3D63" w:rsidRDefault="004D3D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Left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1548" w:type="dxa"/>
        </w:tcPr>
        <w:p w:rsidR="004D3D63" w:rsidRDefault="004D3D63">
          <w:pPr>
            <w:pStyle w:val="HeaderNumberLeft"/>
          </w:pPr>
        </w:p>
      </w:tc>
      <w:tc>
        <w:tcPr>
          <w:tcW w:w="5715" w:type="dxa"/>
        </w:tcPr>
        <w:p w:rsidR="004D3D63" w:rsidRDefault="004D3D63">
          <w:pPr>
            <w:pStyle w:val="HeaderTextLeft"/>
          </w:pPr>
        </w:p>
      </w:tc>
    </w:tr>
    <w:tr w:rsidR="004D3D63">
      <w:tc>
        <w:tcPr>
          <w:tcW w:w="1548" w:type="dxa"/>
        </w:tcPr>
        <w:p w:rsidR="004D3D63" w:rsidRDefault="004D3D63">
          <w:pPr>
            <w:pStyle w:val="HeaderNumberLeft"/>
          </w:pPr>
        </w:p>
      </w:tc>
      <w:tc>
        <w:tcPr>
          <w:tcW w:w="5715" w:type="dxa"/>
        </w:tcPr>
        <w:p w:rsidR="004D3D63" w:rsidRDefault="004D3D63">
          <w:pPr>
            <w:pStyle w:val="HeaderTextLeft"/>
          </w:pP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Right"/>
            <w:ind w:right="17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5715" w:type="dxa"/>
        </w:tcPr>
        <w:p w:rsidR="004D3D63" w:rsidRDefault="004D3D63">
          <w:pPr>
            <w:pStyle w:val="HeaderTextRight"/>
          </w:pPr>
        </w:p>
      </w:tc>
      <w:tc>
        <w:tcPr>
          <w:tcW w:w="1548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c>
        <w:tcPr>
          <w:tcW w:w="5715" w:type="dxa"/>
        </w:tcPr>
        <w:p w:rsidR="004D3D63" w:rsidRDefault="004D3D63">
          <w:pPr>
            <w:pStyle w:val="HeaderTextRight"/>
          </w:pPr>
        </w:p>
      </w:tc>
      <w:tc>
        <w:tcPr>
          <w:tcW w:w="1548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Left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1548" w:type="dxa"/>
        </w:tcPr>
        <w:p w:rsidR="004D3D63" w:rsidRDefault="00A31C2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D3D63" w:rsidRDefault="00A31C2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D3D63">
      <w:tc>
        <w:tcPr>
          <w:tcW w:w="1548" w:type="dxa"/>
        </w:tcPr>
        <w:p w:rsidR="004D3D63" w:rsidRDefault="00A31C2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D3D63" w:rsidRDefault="00A31C2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SectionLeft"/>
          </w:pPr>
          <w:r>
            <w:t xml:space="preserve">r. </w:t>
          </w:r>
          <w:fldSimple w:instr=" styleref CharSectno ">
            <w:r w:rsidR="00774076">
              <w:rPr>
                <w:noProof/>
              </w:rPr>
              <w:t>1</w:t>
            </w:r>
          </w:fldSimple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Right"/>
            <w:ind w:right="17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5715" w:type="dxa"/>
        </w:tcPr>
        <w:p w:rsidR="004D3D63" w:rsidRDefault="00A31C2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D3D63" w:rsidRDefault="00A31C2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D3D63">
      <w:tc>
        <w:tcPr>
          <w:tcW w:w="5715" w:type="dxa"/>
        </w:tcPr>
        <w:p w:rsidR="004D3D63" w:rsidRDefault="00A31C2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D3D63" w:rsidRDefault="00A31C2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774076">
              <w:rPr>
                <w:noProof/>
              </w:rPr>
              <w:t>1</w:t>
            </w:r>
          </w:fldSimple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Left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1490" w:type="dxa"/>
        </w:tcPr>
        <w:p w:rsidR="004D3D63" w:rsidRDefault="004D3D63">
          <w:pPr>
            <w:pStyle w:val="HeaderNumberLeft"/>
          </w:pPr>
        </w:p>
      </w:tc>
      <w:tc>
        <w:tcPr>
          <w:tcW w:w="5773" w:type="dxa"/>
        </w:tcPr>
        <w:p w:rsidR="004D3D63" w:rsidRDefault="004D3D63">
          <w:pPr>
            <w:pStyle w:val="HeaderTextLeft"/>
          </w:pPr>
        </w:p>
      </w:tc>
    </w:tr>
    <w:tr w:rsidR="004D3D63">
      <w:tc>
        <w:tcPr>
          <w:tcW w:w="1490" w:type="dxa"/>
        </w:tcPr>
        <w:p w:rsidR="004D3D63" w:rsidRDefault="004D3D63">
          <w:pPr>
            <w:pStyle w:val="HeaderNumberLeft"/>
          </w:pPr>
        </w:p>
      </w:tc>
      <w:tc>
        <w:tcPr>
          <w:tcW w:w="5773" w:type="dxa"/>
        </w:tcPr>
        <w:p w:rsidR="004D3D63" w:rsidRDefault="004D3D63">
          <w:pPr>
            <w:pStyle w:val="HeaderTextLeft"/>
          </w:pPr>
        </w:p>
      </w:tc>
    </w:tr>
    <w:tr w:rsidR="004D3D63">
      <w:trPr>
        <w:cantSplit/>
      </w:trPr>
      <w:tc>
        <w:tcPr>
          <w:tcW w:w="1490" w:type="dxa"/>
        </w:tcPr>
        <w:p w:rsidR="004D3D63" w:rsidRDefault="00A31C2A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4D3D63" w:rsidRDefault="00A31C2A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Right"/>
            <w:ind w:right="17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5742" w:type="dxa"/>
        </w:tcPr>
        <w:p w:rsidR="004D3D63" w:rsidRDefault="004D3D63">
          <w:pPr>
            <w:pStyle w:val="HeaderTextRight"/>
          </w:pPr>
        </w:p>
      </w:tc>
      <w:tc>
        <w:tcPr>
          <w:tcW w:w="1521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c>
        <w:tcPr>
          <w:tcW w:w="5742" w:type="dxa"/>
        </w:tcPr>
        <w:p w:rsidR="004D3D63" w:rsidRDefault="004D3D63">
          <w:pPr>
            <w:pStyle w:val="HeaderTextRight"/>
          </w:pPr>
        </w:p>
      </w:tc>
      <w:tc>
        <w:tcPr>
          <w:tcW w:w="1521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rPr>
        <w:cantSplit/>
      </w:trPr>
      <w:tc>
        <w:tcPr>
          <w:tcW w:w="5742" w:type="dxa"/>
        </w:tcPr>
        <w:p w:rsidR="004D3D63" w:rsidRDefault="00A31C2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 w:rsidR="004D3D63" w:rsidRDefault="00A31C2A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Left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1548" w:type="dxa"/>
        </w:tcPr>
        <w:p w:rsidR="004D3D63" w:rsidRDefault="004D3D63">
          <w:pPr>
            <w:pStyle w:val="HeaderNumberLeft"/>
          </w:pPr>
        </w:p>
      </w:tc>
      <w:tc>
        <w:tcPr>
          <w:tcW w:w="5715" w:type="dxa"/>
        </w:tcPr>
        <w:p w:rsidR="004D3D63" w:rsidRDefault="004D3D63">
          <w:pPr>
            <w:pStyle w:val="HeaderTextLeft"/>
          </w:pPr>
        </w:p>
      </w:tc>
    </w:tr>
    <w:tr w:rsidR="004D3D63">
      <w:tc>
        <w:tcPr>
          <w:tcW w:w="1548" w:type="dxa"/>
        </w:tcPr>
        <w:p w:rsidR="004D3D63" w:rsidRDefault="004D3D63">
          <w:pPr>
            <w:pStyle w:val="HeaderNumberLeft"/>
          </w:pPr>
        </w:p>
      </w:tc>
      <w:tc>
        <w:tcPr>
          <w:tcW w:w="5715" w:type="dxa"/>
        </w:tcPr>
        <w:p w:rsidR="004D3D63" w:rsidRDefault="004D3D63">
          <w:pPr>
            <w:pStyle w:val="HeaderTextLeft"/>
          </w:pP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4D3D63">
          <w:pPr>
            <w:pStyle w:val="HeaderSectionRight"/>
            <w:ind w:right="17"/>
            <w:jc w:val="left"/>
          </w:pP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D3D63">
      <w:trPr>
        <w:cantSplit/>
      </w:trPr>
      <w:tc>
        <w:tcPr>
          <w:tcW w:w="7258" w:type="dxa"/>
          <w:gridSpan w:val="2"/>
        </w:tcPr>
        <w:p w:rsidR="004D3D63" w:rsidRDefault="00A31C2A">
          <w:pPr>
            <w:pStyle w:val="HeaderActNameRight"/>
            <w:ind w:right="17"/>
          </w:pPr>
          <w:fldSimple w:instr=" Styleref &quot;Name of Act/Reg&quot; ">
            <w:r w:rsidR="00774076">
              <w:rPr>
                <w:noProof/>
              </w:rPr>
              <w:t>Street Collections Regulations 1999</w:t>
            </w:r>
          </w:fldSimple>
        </w:p>
      </w:tc>
    </w:tr>
    <w:tr w:rsidR="004D3D63">
      <w:tc>
        <w:tcPr>
          <w:tcW w:w="5715" w:type="dxa"/>
        </w:tcPr>
        <w:p w:rsidR="004D3D63" w:rsidRDefault="004D3D63">
          <w:pPr>
            <w:pStyle w:val="HeaderTextRight"/>
          </w:pPr>
        </w:p>
      </w:tc>
      <w:tc>
        <w:tcPr>
          <w:tcW w:w="1548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c>
        <w:tcPr>
          <w:tcW w:w="5715" w:type="dxa"/>
        </w:tcPr>
        <w:p w:rsidR="004D3D63" w:rsidRDefault="004D3D63">
          <w:pPr>
            <w:pStyle w:val="HeaderTextRight"/>
          </w:pPr>
        </w:p>
      </w:tc>
      <w:tc>
        <w:tcPr>
          <w:tcW w:w="1548" w:type="dxa"/>
        </w:tcPr>
        <w:p w:rsidR="004D3D63" w:rsidRDefault="004D3D63">
          <w:pPr>
            <w:pStyle w:val="HeaderNumberRight"/>
            <w:ind w:right="17"/>
          </w:pPr>
        </w:p>
      </w:tc>
    </w:tr>
    <w:tr w:rsidR="004D3D63">
      <w:trPr>
        <w:cantSplit/>
      </w:trPr>
      <w:tc>
        <w:tcPr>
          <w:tcW w:w="7258" w:type="dxa"/>
          <w:gridSpan w:val="2"/>
        </w:tcPr>
        <w:p w:rsidR="004D3D63" w:rsidRDefault="004D3D63">
          <w:pPr>
            <w:pStyle w:val="HeaderSectionRight"/>
            <w:ind w:right="17"/>
          </w:pPr>
        </w:p>
      </w:tc>
    </w:tr>
  </w:tbl>
  <w:p w:rsidR="004D3D63" w:rsidRDefault="004D3D6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D63" w:rsidRDefault="004D3D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728E4A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47A229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19CD1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6B26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F8A5E5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ACC8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9E12A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FC505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A634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C67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56DC8D1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7AC8B05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7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2A"/>
    <w:rsid w:val="004D3D63"/>
    <w:rsid w:val="0074452B"/>
    <w:rsid w:val="00774076"/>
    <w:rsid w:val="00907B5E"/>
    <w:rsid w:val="00A3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4682</Characters>
  <Application>Microsoft Office Word</Application>
  <DocSecurity>0</DocSecurity>
  <Lines>180</Lines>
  <Paragraphs>137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Form of Permit</vt:lpstr>
      <vt:lpstr>    Notes</vt:lpstr>
    </vt:vector>
  </TitlesOfParts>
  <Company>Parliamentary Counsel's Office</Company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1999 - 00-a0-04</dc:title>
  <dc:subject>Subsidiary Legislation</dc:subject>
  <dc:creator>svcMRProcess</dc:creator>
  <cp:keywords/>
  <dc:description>v2</dc:description>
  <cp:lastModifiedBy>svcMRProcess</cp:lastModifiedBy>
  <cp:revision>4</cp:revision>
  <cp:lastPrinted>1999-10-26T01:34:00Z</cp:lastPrinted>
  <dcterms:created xsi:type="dcterms:W3CDTF">2013-02-19T00:45:00Z</dcterms:created>
  <dcterms:modified xsi:type="dcterms:W3CDTF">2013-02-19T00:45:00Z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19991207</vt:lpwstr>
  </property>
  <property fmtid="{D5CDD505-2E9C-101B-9397-08002B2CF9AE}" pid="4" name="DocumentType">
    <vt:lpwstr>Reg</vt:lpwstr>
  </property>
  <property fmtid="{D5CDD505-2E9C-101B-9397-08002B2CF9AE}" pid="5" name="AsAtDate">
    <vt:lpwstr>07 Dec 1999</vt:lpwstr>
  </property>
  <property fmtid="{D5CDD505-2E9C-101B-9397-08002B2CF9AE}" pid="6" name="Suffix">
    <vt:lpwstr>00-a0-04</vt:lpwstr>
  </property>
</Properties>
</file>