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_Toc84413600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_Toc84413601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_Toc84413602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_Toc84413603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_Toc84413604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_Toc84413605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_Toc84413606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_Toc84413607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_Toc84413608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_Toc84413609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_Toc84413610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_Toc84413611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_Toc84413612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_Toc84413613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lastRenderedPageBreak/>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_Toc84413632 \h </w:instrText>
      </w:r>
      <w:r>
        <w:fldChar w:fldCharType="separate"/>
      </w:r>
      <w:r>
        <w:t>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_Toc84413633 \h </w:instrText>
      </w:r>
      <w:r>
        <w:fldChar w:fldCharType="separate"/>
      </w:r>
      <w:r>
        <w:t>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_Toc84413634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84413600"/>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84413601"/>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2020.</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w:t>
      </w:r>
    </w:p>
    <w:p>
      <w:pPr>
        <w:pStyle w:val="Heading5"/>
        <w:rPr>
          <w:snapToGrid w:val="0"/>
        </w:rPr>
      </w:pPr>
      <w:bookmarkStart w:id="5" w:name="_Toc84413602"/>
      <w:r>
        <w:rPr>
          <w:rStyle w:val="CharSectno"/>
        </w:rPr>
        <w:lastRenderedPageBreak/>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84413603"/>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84413604"/>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84413605"/>
      <w:r>
        <w:rPr>
          <w:rStyle w:val="CharSectno"/>
        </w:rPr>
        <w:t>6</w:t>
      </w:r>
      <w:r>
        <w:t>.</w:t>
      </w:r>
      <w:r>
        <w:tab/>
        <w:t>Scale of fees — clinical psychologists</w:t>
      </w:r>
      <w:bookmarkEnd w:id="8"/>
    </w:p>
    <w:p>
      <w:pPr>
        <w:pStyle w:val="Subsection"/>
      </w:pPr>
      <w:r>
        <w:tab/>
        <w:t>(1)</w:t>
      </w:r>
      <w:r>
        <w:tab/>
        <w:t>Under section 292(2)(a)(vi) of the Act, the hourly rate of $258.35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w:t>
      </w:r>
    </w:p>
    <w:p>
      <w:pPr>
        <w:pStyle w:val="Heading5"/>
      </w:pPr>
      <w:bookmarkStart w:id="9" w:name="_Toc84413606"/>
      <w:r>
        <w:rPr>
          <w:rStyle w:val="CharSectno"/>
        </w:rPr>
        <w:t>6A</w:t>
      </w:r>
      <w:r>
        <w:t>.</w:t>
      </w:r>
      <w:r>
        <w:tab/>
        <w:t>Scale of fees — counselling psychology</w:t>
      </w:r>
      <w:bookmarkEnd w:id="9"/>
    </w:p>
    <w:p>
      <w:pPr>
        <w:pStyle w:val="Subsection"/>
      </w:pPr>
      <w:r>
        <w:tab/>
      </w:r>
      <w:r>
        <w:tab/>
        <w:t>Under section 292(2)(a)(viii) of the Act, the hourly rate of $258.35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rPr>
          <w:snapToGrid w:val="0"/>
        </w:rPr>
      </w:pPr>
      <w:bookmarkStart w:id="10" w:name="_Toc84413607"/>
      <w:r>
        <w:rPr>
          <w:rStyle w:val="CharSectno"/>
        </w:rPr>
        <w:t>7</w:t>
      </w:r>
      <w:r>
        <w:rPr>
          <w:snapToGrid w:val="0"/>
        </w:rPr>
        <w:t>.</w:t>
      </w:r>
      <w:r>
        <w:rPr>
          <w:snapToGrid w:val="0"/>
        </w:rPr>
        <w:tab/>
        <w:t>Scale of fees — speech pathologists</w:t>
      </w:r>
      <w:bookmarkEnd w:id="10"/>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84413608"/>
      <w:r>
        <w:rPr>
          <w:rStyle w:val="CharSectno"/>
        </w:rPr>
        <w:lastRenderedPageBreak/>
        <w:t>7A</w:t>
      </w:r>
      <w:r>
        <w:t>.</w:t>
      </w:r>
      <w:r>
        <w:tab/>
        <w:t>Scale of fees — osteopaths</w:t>
      </w:r>
      <w:bookmarkEnd w:id="11"/>
    </w:p>
    <w:p>
      <w:pPr>
        <w:pStyle w:val="Subsection"/>
      </w:pPr>
      <w:r>
        <w:tab/>
      </w:r>
      <w:r>
        <w:tab/>
        <w:t xml:space="preserve">Under section 292(2)(a)(viii) of the Act, the amount of $81.70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12" w:name="_Toc84413609"/>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84413610"/>
      <w:r>
        <w:rPr>
          <w:rStyle w:val="CharSectno"/>
        </w:rPr>
        <w:t>7C</w:t>
      </w:r>
      <w:r>
        <w:t>.</w:t>
      </w:r>
      <w:r>
        <w:tab/>
        <w:t>Scale of fees — acupuncturists</w:t>
      </w:r>
      <w:bookmarkEnd w:id="1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$79.75 for each consultation is prescribed as the fee to be paid to an acupuncturist for acupuncture provided to a worker suffering injuries that are compensable under the Act. </w:t>
      </w:r>
    </w:p>
    <w:p>
      <w:pPr>
        <w:pStyle w:val="Footnotesection"/>
        <w:spacing w:before="100"/>
        <w:ind w:left="890" w:hanging="890"/>
      </w:pPr>
      <w:r>
        <w:lastRenderedPageBreak/>
        <w:tab/>
        <w:t>[Regulation 7C inserted: Gazette 20 Mar 2015 p. 912; amended: Gazette 16 Oct 2015 p. 4076; 21 Oct 2016 p. 4822; 6 Oct 2017 p. 5204; 19 Oct 2018 p. 4162; 22 Oct 2019 p. 3734; SL 2020/203 r. 5.]</w:t>
      </w:r>
    </w:p>
    <w:p>
      <w:pPr>
        <w:pStyle w:val="Heading5"/>
        <w:rPr>
          <w:snapToGrid w:val="0"/>
        </w:rPr>
      </w:pPr>
      <w:bookmarkStart w:id="14" w:name="_Toc84413611"/>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$192.75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w:t>
      </w:r>
    </w:p>
    <w:p>
      <w:pPr>
        <w:pStyle w:val="Heading5"/>
      </w:pPr>
      <w:bookmarkStart w:id="15" w:name="_Toc84413612"/>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84413613"/>
      <w:r>
        <w:rPr>
          <w:rStyle w:val="CharSectno"/>
        </w:rPr>
        <w:lastRenderedPageBreak/>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84342596"/>
      <w:bookmarkStart w:id="18" w:name="_Toc84342818"/>
      <w:bookmarkStart w:id="19" w:name="_Toc84413614"/>
      <w:r>
        <w:rPr>
          <w:rStyle w:val="CharSchNo"/>
        </w:rPr>
        <w:lastRenderedPageBreak/>
        <w:t>Schedule 1</w:t>
      </w:r>
      <w:r>
        <w:t> — </w:t>
      </w:r>
      <w:r>
        <w:rPr>
          <w:rStyle w:val="CharSchText"/>
        </w:rPr>
        <w:t>Scale of fees: medical specialists and other medical practitioners</w:t>
      </w:r>
      <w:bookmarkEnd w:id="17"/>
      <w:bookmarkEnd w:id="18"/>
      <w:bookmarkEnd w:id="19"/>
    </w:p>
    <w:p>
      <w:pPr>
        <w:pStyle w:val="yShoulderClause"/>
      </w:pPr>
      <w:r>
        <w:t>[r. 2]</w:t>
      </w:r>
    </w:p>
    <w:p>
      <w:pPr>
        <w:pStyle w:val="yFootnoteheading"/>
      </w:pPr>
      <w:r>
        <w:tab/>
        <w:t>[Heading inserted: Gazette 16 Oct 2015 p. 4077.]</w:t>
      </w:r>
    </w:p>
    <w:p>
      <w:pPr>
        <w:pStyle w:val="yHeading3"/>
      </w:pPr>
      <w:bookmarkStart w:id="20" w:name="_Toc84342597"/>
      <w:bookmarkStart w:id="21" w:name="_Toc84342819"/>
      <w:bookmarkStart w:id="22" w:name="_Toc84413615"/>
      <w:r>
        <w:rPr>
          <w:rStyle w:val="CharSDivNo"/>
        </w:rPr>
        <w:t>Part 1</w:t>
      </w:r>
      <w:r>
        <w:t> — </w:t>
      </w:r>
      <w:r>
        <w:rPr>
          <w:rStyle w:val="CharSDivText"/>
        </w:rPr>
        <w:t>Medical specialists and other medical practitioners</w:t>
      </w:r>
      <w:bookmarkEnd w:id="20"/>
      <w:bookmarkEnd w:id="21"/>
      <w:bookmarkEnd w:id="22"/>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$80.35</w:t>
            </w:r>
          </w:p>
        </w:tc>
      </w:tr>
      <w:tr>
        <w:tc>
          <w:tcPr>
            <w:tcW w:w="5245" w:type="dxa"/>
          </w:tcPr>
          <w:p>
            <w:pPr>
              <w:pStyle w:val="yTableNAm"/>
            </w:pPr>
            <w:r>
              <w:tab/>
              <w:t>Extended Service (Level C)</w:t>
            </w:r>
          </w:p>
        </w:tc>
        <w:tc>
          <w:tcPr>
            <w:tcW w:w="1134" w:type="dxa"/>
          </w:tcPr>
          <w:p>
            <w:pPr>
              <w:pStyle w:val="yTableNAm"/>
              <w:jc w:val="right"/>
              <w:rPr>
                <w:szCs w:val="22"/>
              </w:rPr>
            </w:pPr>
            <w:r>
              <w:rPr>
                <w:szCs w:val="22"/>
              </w:rPr>
              <w:t>$146.75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$225.40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$47.90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$62.40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$120.50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$182.35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$247.05</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$60.30</w:t>
            </w:r>
          </w:p>
        </w:tc>
      </w:tr>
      <w:tr>
        <w:tc>
          <w:tcPr>
            <w:tcW w:w="5245" w:type="dxa"/>
          </w:tcPr>
          <w:p>
            <w:pPr>
              <w:pStyle w:val="yTableNAm"/>
            </w:pPr>
            <w:r>
              <w:tab/>
              <w:t>Specific Service (Level B)</w:t>
            </w:r>
          </w:p>
        </w:tc>
        <w:tc>
          <w:tcPr>
            <w:tcW w:w="1134" w:type="dxa"/>
          </w:tcPr>
          <w:p>
            <w:pPr>
              <w:pStyle w:val="yTableNAm"/>
              <w:jc w:val="right"/>
              <w:rPr>
                <w:szCs w:val="22"/>
              </w:rPr>
            </w:pPr>
            <w:r>
              <w:rPr>
                <w:szCs w:val="22"/>
              </w:rPr>
              <w:t>$120.50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$339.70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$95.45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$103.55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$160.45</w:t>
            </w:r>
          </w:p>
        </w:tc>
      </w:tr>
      <w:tr>
        <w:tc>
          <w:tcPr>
            <w:tcW w:w="5245" w:type="dxa"/>
          </w:tcPr>
          <w:p>
            <w:pPr>
              <w:pStyle w:val="yTableNAm"/>
            </w:pPr>
            <w:r>
              <w:tab/>
              <w:t>more than 30 minutes</w:t>
            </w:r>
          </w:p>
        </w:tc>
        <w:tc>
          <w:tcPr>
            <w:tcW w:w="1134" w:type="dxa"/>
          </w:tcPr>
          <w:p>
            <w:pPr>
              <w:pStyle w:val="yTableNAm"/>
              <w:jc w:val="right"/>
              <w:rPr>
                <w:szCs w:val="22"/>
              </w:rPr>
            </w:pPr>
            <w:r>
              <w:rPr>
                <w:szCs w:val="22"/>
              </w:rPr>
              <w:t>$219.40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$100.50</w:t>
            </w:r>
          </w:p>
        </w:tc>
      </w:tr>
      <w:tr>
        <w:tc>
          <w:tcPr>
            <w:tcW w:w="5245" w:type="dxa"/>
          </w:tcPr>
          <w:p>
            <w:pPr>
              <w:pStyle w:val="yTableNAm"/>
            </w:pPr>
            <w:r>
              <w:tab/>
              <w:t>Specific Service (Level B)</w:t>
            </w:r>
          </w:p>
        </w:tc>
        <w:tc>
          <w:tcPr>
            <w:tcW w:w="1134" w:type="dxa"/>
          </w:tcPr>
          <w:p>
            <w:pPr>
              <w:pStyle w:val="yTableNAm"/>
              <w:jc w:val="right"/>
            </w:pPr>
            <w:r>
              <w:rPr>
                <w:szCs w:val="22"/>
              </w:rPr>
              <w:t>$137.35</w:t>
            </w:r>
          </w:p>
        </w:tc>
      </w:tr>
      <w:tr>
        <w:tc>
          <w:tcPr>
            <w:tcW w:w="5245" w:type="dxa"/>
          </w:tcPr>
          <w:p>
            <w:pPr>
              <w:pStyle w:val="yTableNAm"/>
            </w:pPr>
            <w:r>
              <w:tab/>
              <w:t>Extended Service (Level C)</w:t>
            </w:r>
          </w:p>
        </w:tc>
        <w:tc>
          <w:tcPr>
            <w:tcW w:w="1134" w:type="dxa"/>
          </w:tcPr>
          <w:p>
            <w:pPr>
              <w:pStyle w:val="yTableNAm"/>
              <w:jc w:val="right"/>
            </w:pPr>
            <w:r>
              <w:rPr>
                <w:szCs w:val="22"/>
              </w:rPr>
              <w:t>$203.80</w:t>
            </w:r>
          </w:p>
        </w:tc>
      </w:tr>
      <w:tr>
        <w:tc>
          <w:tcPr>
            <w:tcW w:w="5245" w:type="dxa"/>
          </w:tcPr>
          <w:p>
            <w:pPr>
              <w:pStyle w:val="yTableNAm"/>
            </w:pPr>
            <w:r>
              <w:tab/>
              <w:t>Comprehensive Service (Level D)</w:t>
            </w:r>
          </w:p>
        </w:tc>
        <w:tc>
          <w:tcPr>
            <w:tcW w:w="1134" w:type="dxa"/>
          </w:tcPr>
          <w:p>
            <w:pPr>
              <w:pStyle w:val="yTableNAm"/>
              <w:jc w:val="right"/>
            </w:pPr>
            <w:r>
              <w:rPr>
                <w:szCs w:val="22"/>
              </w:rPr>
              <w:t>$284.05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$120.50</w:t>
            </w:r>
          </w:p>
        </w:tc>
      </w:tr>
      <w:tr>
        <w:tc>
          <w:tcPr>
            <w:tcW w:w="5245" w:type="dxa"/>
          </w:tcPr>
          <w:p>
            <w:pPr>
              <w:pStyle w:val="yTableNAm"/>
            </w:pPr>
            <w:r>
              <w:tab/>
              <w:t>Specific Service (Level B)</w:t>
            </w:r>
          </w:p>
        </w:tc>
        <w:tc>
          <w:tcPr>
            <w:tcW w:w="1134" w:type="dxa"/>
          </w:tcPr>
          <w:p>
            <w:pPr>
              <w:pStyle w:val="yTableNAm"/>
              <w:jc w:val="right"/>
            </w:pPr>
            <w:r>
              <w:rPr>
                <w:szCs w:val="22"/>
              </w:rPr>
              <w:t>$179.20</w:t>
            </w:r>
          </w:p>
        </w:tc>
      </w:tr>
      <w:tr>
        <w:tc>
          <w:tcPr>
            <w:tcW w:w="5245" w:type="dxa"/>
          </w:tcPr>
          <w:p>
            <w:pPr>
              <w:pStyle w:val="yTableNAm"/>
            </w:pPr>
            <w:r>
              <w:tab/>
              <w:t>Extended Service (Level C)</w:t>
            </w:r>
          </w:p>
        </w:tc>
        <w:tc>
          <w:tcPr>
            <w:tcW w:w="1134" w:type="dxa"/>
          </w:tcPr>
          <w:p>
            <w:pPr>
              <w:pStyle w:val="yTableNAm"/>
              <w:jc w:val="right"/>
            </w:pPr>
            <w:r>
              <w:rPr>
                <w:szCs w:val="22"/>
              </w:rPr>
              <w:t>$274.90</w:t>
            </w:r>
          </w:p>
        </w:tc>
      </w:tr>
      <w:tr>
        <w:tc>
          <w:tcPr>
            <w:tcW w:w="5245" w:type="dxa"/>
          </w:tcPr>
          <w:p>
            <w:pPr>
              <w:pStyle w:val="yTableNAm"/>
            </w:pPr>
            <w:r>
              <w:tab/>
              <w:t>Comprehensive Service (Level D)</w:t>
            </w:r>
          </w:p>
        </w:tc>
        <w:tc>
          <w:tcPr>
            <w:tcW w:w="1134" w:type="dxa"/>
          </w:tcPr>
          <w:p>
            <w:pPr>
              <w:pStyle w:val="yTableNAm"/>
              <w:jc w:val="right"/>
            </w:pPr>
            <w:r>
              <w:rPr>
                <w:szCs w:val="22"/>
              </w:rPr>
              <w:t>$401.50</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$26.75</w:t>
            </w:r>
          </w:p>
        </w:tc>
      </w:tr>
      <w:tr>
        <w:tc>
          <w:tcPr>
            <w:tcW w:w="5245" w:type="dxa"/>
          </w:tcPr>
          <w:p>
            <w:pPr>
              <w:pStyle w:val="yTableNAm"/>
            </w:pPr>
            <w:r>
              <w:tab/>
              <w:t>more than 5 minutes to 15 minutes</w:t>
            </w:r>
          </w:p>
        </w:tc>
        <w:tc>
          <w:tcPr>
            <w:tcW w:w="1134" w:type="dxa"/>
          </w:tcPr>
          <w:p>
            <w:pPr>
              <w:pStyle w:val="yTableNAm"/>
              <w:jc w:val="right"/>
            </w:pPr>
            <w:r>
              <w:rPr>
                <w:szCs w:val="22"/>
              </w:rPr>
              <w:t>$33.60</w:t>
            </w:r>
          </w:p>
        </w:tc>
      </w:tr>
      <w:tr>
        <w:tc>
          <w:tcPr>
            <w:tcW w:w="5245" w:type="dxa"/>
          </w:tcPr>
          <w:p>
            <w:pPr>
              <w:pStyle w:val="yTableNAm"/>
            </w:pPr>
            <w:r>
              <w:tab/>
              <w:t>more than 15 minutes to 30 minutes</w:t>
            </w:r>
          </w:p>
        </w:tc>
        <w:tc>
          <w:tcPr>
            <w:tcW w:w="1134" w:type="dxa"/>
          </w:tcPr>
          <w:p>
            <w:pPr>
              <w:pStyle w:val="yTableNAm"/>
              <w:jc w:val="right"/>
            </w:pPr>
            <w:r>
              <w:rPr>
                <w:szCs w:val="22"/>
              </w:rPr>
              <w:t>$70.25</w:t>
            </w:r>
          </w:p>
        </w:tc>
      </w:tr>
      <w:tr>
        <w:tc>
          <w:tcPr>
            <w:tcW w:w="5245" w:type="dxa"/>
          </w:tcPr>
          <w:p>
            <w:pPr>
              <w:pStyle w:val="yTableNAm"/>
            </w:pPr>
            <w:r>
              <w:tab/>
              <w:t>more than 30 minutes</w:t>
            </w:r>
          </w:p>
        </w:tc>
        <w:tc>
          <w:tcPr>
            <w:tcW w:w="1134" w:type="dxa"/>
          </w:tcPr>
          <w:p>
            <w:pPr>
              <w:pStyle w:val="yTableNAm"/>
              <w:jc w:val="right"/>
            </w:pPr>
            <w:r>
              <w:rPr>
                <w:szCs w:val="22"/>
              </w:rPr>
              <w:t>$105.30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$302.10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$5.45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rPr>
          <w:b/>
          <w:i/>
        </w:rPr>
      </w:pPr>
      <w:r>
        <w:rPr>
          <w:b/>
          <w:i/>
        </w:rPr>
        <w:lastRenderedPageBreak/>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$305.00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$309.90</w:t>
            </w:r>
          </w:p>
        </w:tc>
      </w:tr>
      <w:tr>
        <w:tc>
          <w:tcPr>
            <w:tcW w:w="5245" w:type="dxa"/>
          </w:tcPr>
          <w:p>
            <w:pPr>
              <w:pStyle w:val="yTableNAm"/>
            </w:pPr>
            <w:r>
              <w:t>subsequent attendances</w:t>
            </w:r>
          </w:p>
        </w:tc>
        <w:tc>
          <w:tcPr>
            <w:tcW w:w="1134" w:type="dxa"/>
          </w:tcPr>
          <w:p>
            <w:pPr>
              <w:pStyle w:val="yTableNAm"/>
              <w:jc w:val="right"/>
            </w:pPr>
            <w:r>
              <w:rPr>
                <w:szCs w:val="22"/>
              </w:rPr>
              <w:t>$152.50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$365.05</w:t>
            </w:r>
          </w:p>
        </w:tc>
      </w:tr>
      <w:tr>
        <w:tc>
          <w:tcPr>
            <w:tcW w:w="5245" w:type="dxa"/>
          </w:tcPr>
          <w:p>
            <w:pPr>
              <w:pStyle w:val="yTableNAm"/>
            </w:pPr>
            <w:r>
              <w:t>subsequent attendances</w:t>
            </w:r>
          </w:p>
        </w:tc>
        <w:tc>
          <w:tcPr>
            <w:tcW w:w="1134" w:type="dxa"/>
          </w:tcPr>
          <w:p>
            <w:pPr>
              <w:pStyle w:val="yTableNAm"/>
              <w:jc w:val="right"/>
            </w:pPr>
            <w:r>
              <w:rPr>
                <w:szCs w:val="22"/>
              </w:rPr>
              <w:t>$210.60</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$40.05</w:t>
            </w:r>
          </w:p>
        </w:tc>
      </w:tr>
      <w:tr>
        <w:tc>
          <w:tcPr>
            <w:tcW w:w="5245" w:type="dxa"/>
          </w:tcPr>
          <w:p>
            <w:pPr>
              <w:pStyle w:val="yTableNAm"/>
              <w:keepNext/>
            </w:pPr>
            <w:r>
              <w:tab/>
              <w:t>more than 5 minutes to 15 minutes</w:t>
            </w:r>
          </w:p>
        </w:tc>
        <w:tc>
          <w:tcPr>
            <w:tcW w:w="1134" w:type="dxa"/>
          </w:tcPr>
          <w:p>
            <w:pPr>
              <w:pStyle w:val="yTableNAm"/>
              <w:keepNext/>
              <w:jc w:val="right"/>
            </w:pPr>
            <w:r>
              <w:rPr>
                <w:szCs w:val="22"/>
              </w:rPr>
              <w:t>$49.30</w:t>
            </w:r>
          </w:p>
        </w:tc>
      </w:tr>
      <w:tr>
        <w:tc>
          <w:tcPr>
            <w:tcW w:w="5245" w:type="dxa"/>
          </w:tcPr>
          <w:p>
            <w:pPr>
              <w:pStyle w:val="yTableNAm"/>
              <w:keepNext/>
            </w:pPr>
            <w:r>
              <w:tab/>
              <w:t>more than 15 minutes to 30 minutes</w:t>
            </w:r>
          </w:p>
        </w:tc>
        <w:tc>
          <w:tcPr>
            <w:tcW w:w="1134" w:type="dxa"/>
          </w:tcPr>
          <w:p>
            <w:pPr>
              <w:pStyle w:val="yTableNAm"/>
              <w:keepNext/>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$5.45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$89.45</w:t>
            </w:r>
          </w:p>
        </w:tc>
      </w:tr>
      <w:tr>
        <w:tc>
          <w:tcPr>
            <w:tcW w:w="5245" w:type="dxa"/>
          </w:tcPr>
          <w:p>
            <w:pPr>
              <w:pStyle w:val="yTableNAm"/>
            </w:pPr>
            <w:r>
              <w:tab/>
              <w:t>more than 15 minutes to 30 minutes</w:t>
            </w:r>
          </w:p>
        </w:tc>
        <w:tc>
          <w:tcPr>
            <w:tcW w:w="1134" w:type="dxa"/>
          </w:tcPr>
          <w:p>
            <w:pPr>
              <w:pStyle w:val="yTableNAm"/>
              <w:jc w:val="right"/>
            </w:pPr>
            <w:r>
              <w:rPr>
                <w:szCs w:val="22"/>
              </w:rPr>
              <w:t>$178.40</w:t>
            </w:r>
          </w:p>
        </w:tc>
      </w:tr>
      <w:tr>
        <w:tc>
          <w:tcPr>
            <w:tcW w:w="5245" w:type="dxa"/>
          </w:tcPr>
          <w:p>
            <w:pPr>
              <w:pStyle w:val="yTableNAm"/>
            </w:pPr>
            <w:r>
              <w:tab/>
              <w:t>more than 30 minutes to 45 minutes</w:t>
            </w:r>
          </w:p>
        </w:tc>
        <w:tc>
          <w:tcPr>
            <w:tcW w:w="1134" w:type="dxa"/>
          </w:tcPr>
          <w:p>
            <w:pPr>
              <w:pStyle w:val="yTableNAm"/>
              <w:jc w:val="right"/>
            </w:pPr>
            <w:r>
              <w:rPr>
                <w:szCs w:val="22"/>
              </w:rPr>
              <w:t>$267.25</w:t>
            </w:r>
          </w:p>
        </w:tc>
      </w:tr>
      <w:tr>
        <w:tc>
          <w:tcPr>
            <w:tcW w:w="5245" w:type="dxa"/>
          </w:tcPr>
          <w:p>
            <w:pPr>
              <w:pStyle w:val="yTableNAm"/>
            </w:pPr>
            <w:r>
              <w:tab/>
              <w:t>more than 45 minutes to 60 minutes</w:t>
            </w:r>
          </w:p>
        </w:tc>
        <w:tc>
          <w:tcPr>
            <w:tcW w:w="1134" w:type="dxa"/>
          </w:tcPr>
          <w:p>
            <w:pPr>
              <w:pStyle w:val="yTableNAm"/>
              <w:jc w:val="right"/>
            </w:pPr>
            <w:r>
              <w:rPr>
                <w:szCs w:val="22"/>
              </w:rPr>
              <w:t>$357.60</w:t>
            </w:r>
          </w:p>
        </w:tc>
      </w:tr>
      <w:tr>
        <w:tc>
          <w:tcPr>
            <w:tcW w:w="5245" w:type="dxa"/>
          </w:tcPr>
          <w:p>
            <w:pPr>
              <w:pStyle w:val="yTableNAm"/>
            </w:pPr>
            <w:r>
              <w:tab/>
              <w:t>more than 60 minutes to 75 minutes</w:t>
            </w:r>
          </w:p>
        </w:tc>
        <w:tc>
          <w:tcPr>
            <w:tcW w:w="1134" w:type="dxa"/>
          </w:tcPr>
          <w:p>
            <w:pPr>
              <w:pStyle w:val="yTableNAm"/>
              <w:jc w:val="right"/>
            </w:pPr>
            <w:r>
              <w:rPr>
                <w:szCs w:val="22"/>
              </w:rPr>
              <w:t>$404.60</w:t>
            </w:r>
          </w:p>
        </w:tc>
      </w:tr>
      <w:tr>
        <w:tc>
          <w:tcPr>
            <w:tcW w:w="5245" w:type="dxa"/>
          </w:tcPr>
          <w:p>
            <w:pPr>
              <w:pStyle w:val="yTableNAm"/>
            </w:pPr>
            <w:r>
              <w:tab/>
              <w:t>more than 75 minutes</w:t>
            </w:r>
          </w:p>
        </w:tc>
        <w:tc>
          <w:tcPr>
            <w:tcW w:w="1134" w:type="dxa"/>
          </w:tcPr>
          <w:p>
            <w:pPr>
              <w:pStyle w:val="yTableNAm"/>
              <w:jc w:val="right"/>
            </w:pPr>
            <w:r>
              <w:rPr>
                <w:szCs w:val="22"/>
              </w:rPr>
              <w:t>$451.60</w:t>
            </w:r>
          </w:p>
        </w:tc>
      </w:tr>
    </w:tbl>
    <w:p>
      <w:pPr>
        <w:pStyle w:val="yMiscellaneousHeading"/>
        <w:jc w:val="left"/>
      </w:pPr>
      <w:r>
        <w:lastRenderedPageBreak/>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keepNext/>
            </w:pPr>
            <w:r>
              <w:tab/>
              <w:t>up to 15 minutes</w:t>
            </w:r>
          </w:p>
        </w:tc>
        <w:tc>
          <w:tcPr>
            <w:tcW w:w="1134" w:type="dxa"/>
          </w:tcPr>
          <w:p>
            <w:pPr>
              <w:pStyle w:val="yTableNAm"/>
              <w:keepNext/>
              <w:jc w:val="right"/>
            </w:pPr>
            <w:r>
              <w:rPr>
                <w:szCs w:val="22"/>
              </w:rPr>
              <w:t>$146.85</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$237.10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$323.55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$413.95</w:t>
            </w:r>
          </w:p>
        </w:tc>
      </w:tr>
      <w:tr>
        <w:trPr>
          <w:cantSplit/>
        </w:trPr>
        <w:tc>
          <w:tcPr>
            <w:tcW w:w="5245" w:type="dxa"/>
          </w:tcPr>
          <w:p>
            <w:pPr>
              <w:pStyle w:val="yTableNAm"/>
            </w:pPr>
            <w:r>
              <w:tab/>
              <w:t>more than 75 minutes</w:t>
            </w:r>
          </w:p>
        </w:tc>
        <w:tc>
          <w:tcPr>
            <w:tcW w:w="1134" w:type="dxa"/>
          </w:tcPr>
          <w:p>
            <w:pPr>
              <w:pStyle w:val="yTableNAm"/>
              <w:jc w:val="right"/>
            </w:pPr>
            <w:r>
              <w:rPr>
                <w:szCs w:val="22"/>
              </w:rPr>
              <w:t>$498.85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$118.75</w:t>
            </w:r>
          </w:p>
        </w:tc>
      </w:tr>
      <w:tr>
        <w:trPr>
          <w:cantSplit/>
        </w:trPr>
        <w:tc>
          <w:tcPr>
            <w:tcW w:w="5245" w:type="dxa"/>
          </w:tcPr>
          <w:p>
            <w:pPr>
              <w:pStyle w:val="yTableNAm"/>
            </w:pPr>
            <w:r>
              <w:tab/>
              <w:t>more than 45 minutes</w:t>
            </w:r>
          </w:p>
        </w:tc>
        <w:tc>
          <w:tcPr>
            <w:tcW w:w="1134" w:type="dxa"/>
          </w:tcPr>
          <w:p>
            <w:pPr>
              <w:pStyle w:val="yTableNAm"/>
              <w:jc w:val="right"/>
            </w:pPr>
            <w:r>
              <w:rPr>
                <w:szCs w:val="22"/>
              </w:rPr>
              <w:t>$259.00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$5.45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lastRenderedPageBreak/>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$233.55</w:t>
            </w:r>
          </w:p>
        </w:tc>
      </w:tr>
      <w:tr>
        <w:tc>
          <w:tcPr>
            <w:tcW w:w="5245" w:type="dxa"/>
          </w:tcPr>
          <w:p>
            <w:pPr>
              <w:pStyle w:val="yTableNAm"/>
            </w:pPr>
            <w:r>
              <w:t>subsequent attendances</w:t>
            </w:r>
          </w:p>
        </w:tc>
        <w:tc>
          <w:tcPr>
            <w:tcW w:w="1134" w:type="dxa"/>
          </w:tcPr>
          <w:p>
            <w:pPr>
              <w:pStyle w:val="yTableNAm"/>
              <w:jc w:val="right"/>
            </w:pPr>
            <w:r>
              <w:rPr>
                <w:szCs w:val="22"/>
              </w:rPr>
              <w:t>$149.00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$173.35</w:t>
            </w:r>
          </w:p>
        </w:tc>
      </w:tr>
      <w:tr>
        <w:tc>
          <w:tcPr>
            <w:tcW w:w="5245" w:type="dxa"/>
          </w:tcPr>
          <w:p>
            <w:pPr>
              <w:pStyle w:val="yTableNAm"/>
            </w:pPr>
            <w:r>
              <w:t>subsequent attendances</w:t>
            </w:r>
          </w:p>
        </w:tc>
        <w:tc>
          <w:tcPr>
            <w:tcW w:w="1134" w:type="dxa"/>
          </w:tcPr>
          <w:p>
            <w:pPr>
              <w:pStyle w:val="yTableNAm"/>
              <w:jc w:val="right"/>
            </w:pPr>
            <w:r>
              <w:rPr>
                <w:szCs w:val="22"/>
              </w:rPr>
              <w:t>$90.45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$233.25</w:t>
            </w:r>
          </w:p>
        </w:tc>
      </w:tr>
      <w:tr>
        <w:tc>
          <w:tcPr>
            <w:tcW w:w="5245" w:type="dxa"/>
          </w:tcPr>
          <w:p>
            <w:pPr>
              <w:pStyle w:val="yTableNAm"/>
            </w:pPr>
            <w:r>
              <w:t>subsequent attendances</w:t>
            </w:r>
          </w:p>
        </w:tc>
        <w:tc>
          <w:tcPr>
            <w:tcW w:w="1134" w:type="dxa"/>
          </w:tcPr>
          <w:p>
            <w:pPr>
              <w:pStyle w:val="yTableNAm"/>
              <w:jc w:val="right"/>
            </w:pPr>
            <w:r>
              <w:rPr>
                <w:szCs w:val="22"/>
              </w:rPr>
              <w:t>$148.65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$40.05</w:t>
            </w:r>
          </w:p>
        </w:tc>
      </w:tr>
      <w:tr>
        <w:tc>
          <w:tcPr>
            <w:tcW w:w="5245" w:type="dxa"/>
          </w:tcPr>
          <w:p>
            <w:pPr>
              <w:pStyle w:val="yTableNAm"/>
            </w:pPr>
            <w:r>
              <w:tab/>
              <w:t>more than 5 minutes to 15 minutes</w:t>
            </w:r>
          </w:p>
        </w:tc>
        <w:tc>
          <w:tcPr>
            <w:tcW w:w="1134" w:type="dxa"/>
          </w:tcPr>
          <w:p>
            <w:pPr>
              <w:pStyle w:val="yTableNAm"/>
              <w:jc w:val="right"/>
            </w:pPr>
            <w:r>
              <w:rPr>
                <w:szCs w:val="22"/>
              </w:rPr>
              <w:t>$49.30</w:t>
            </w:r>
          </w:p>
        </w:tc>
      </w:tr>
      <w:tr>
        <w:tc>
          <w:tcPr>
            <w:tcW w:w="5245" w:type="dxa"/>
          </w:tcPr>
          <w:p>
            <w:pPr>
              <w:pStyle w:val="yTableNAm"/>
            </w:pPr>
            <w:r>
              <w:tab/>
              <w:t>more than 15 minutes to 30 minutes</w:t>
            </w:r>
          </w:p>
        </w:tc>
        <w:tc>
          <w:tcPr>
            <w:tcW w:w="1134" w:type="dxa"/>
          </w:tcPr>
          <w:p>
            <w:pPr>
              <w:pStyle w:val="yTableNAm"/>
              <w:jc w:val="right"/>
            </w:pPr>
            <w:r>
              <w:rPr>
                <w:szCs w:val="22"/>
              </w:rPr>
              <w:t>$103.10</w:t>
            </w:r>
          </w:p>
        </w:tc>
      </w:tr>
      <w:tr>
        <w:tc>
          <w:tcPr>
            <w:tcW w:w="5245" w:type="dxa"/>
          </w:tcPr>
          <w:p>
            <w:pPr>
              <w:pStyle w:val="yTableNAm"/>
            </w:pPr>
            <w:r>
              <w:tab/>
              <w:t>more than 30 minutes</w:t>
            </w:r>
          </w:p>
        </w:tc>
        <w:tc>
          <w:tcPr>
            <w:tcW w:w="1134" w:type="dxa"/>
          </w:tcPr>
          <w:p>
            <w:pPr>
              <w:pStyle w:val="yTableNAm"/>
              <w:jc w:val="right"/>
            </w:pPr>
            <w:r>
              <w:rPr>
                <w:szCs w:val="22"/>
              </w:rPr>
              <w:t>$155.70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$447.85</w:t>
            </w:r>
          </w:p>
        </w:tc>
      </w:tr>
    </w:tbl>
    <w:p>
      <w:pPr>
        <w:pStyle w:val="yMiscellaneousHeading"/>
        <w:jc w:val="left"/>
      </w:pPr>
      <w:r>
        <w:lastRenderedPageBreak/>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Rate per kilometre</w:t>
            </w:r>
          </w:p>
        </w:tc>
        <w:tc>
          <w:tcPr>
            <w:tcW w:w="1134" w:type="dxa"/>
          </w:tcPr>
          <w:p>
            <w:pPr>
              <w:pStyle w:val="yTableNAm"/>
              <w:keepNext/>
              <w:jc w:val="right"/>
            </w:pPr>
            <w:r>
              <w:rPr>
                <w:szCs w:val="22"/>
              </w:rPr>
              <w:t>$5.45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$90.15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lastRenderedPageBreak/>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w:t>
      </w:r>
      <w:r>
        <w:lastRenderedPageBreak/>
        <w:t xml:space="preserve">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3" w:name="_Toc84342598"/>
      <w:bookmarkStart w:id="24" w:name="_Toc84342820"/>
      <w:bookmarkStart w:id="25" w:name="_Toc84413616"/>
      <w:r>
        <w:lastRenderedPageBreak/>
        <w:t>Division 1 — Procedures</w:t>
      </w:r>
      <w:bookmarkEnd w:id="23"/>
      <w:bookmarkEnd w:id="24"/>
      <w:bookmarkEnd w:id="25"/>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lastRenderedPageBreak/>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keepNext/>
              <w:rPr>
                <w:b/>
              </w:rPr>
            </w:pPr>
            <w:r>
              <w:rPr>
                <w:b/>
              </w:rPr>
              <w:lastRenderedPageBreak/>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keepNext/>
            </w:pPr>
            <w:r>
              <w:lastRenderedPageBreak/>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keepNext/>
            </w:pPr>
            <w:r>
              <w:lastRenderedPageBreak/>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keepNext/>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lastRenderedPageBreak/>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lastRenderedPageBreak/>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lastRenderedPageBreak/>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lastRenderedPageBreak/>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lastRenderedPageBreak/>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lastRenderedPageBreak/>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keepNext/>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lastRenderedPageBreak/>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lastRenderedPageBreak/>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lastRenderedPageBreak/>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keepNext/>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lastRenderedPageBreak/>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keepNext/>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keepNext/>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keepNext/>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lastRenderedPageBreak/>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keepNext/>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6" w:name="_Toc84342599"/>
      <w:bookmarkStart w:id="27" w:name="_Toc84342821"/>
      <w:bookmarkStart w:id="28" w:name="_Toc84413617"/>
      <w:r>
        <w:t>Division 2 — Therapeutic and diagnostic services</w:t>
      </w:r>
      <w:bookmarkEnd w:id="26"/>
      <w:bookmarkEnd w:id="27"/>
      <w:bookmarkEnd w:id="28"/>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lastRenderedPageBreak/>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lastRenderedPageBreak/>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lastRenderedPageBreak/>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lastRenderedPageBreak/>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lastRenderedPageBreak/>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lastRenderedPageBreak/>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lastRenderedPageBreak/>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lastRenderedPageBreak/>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lastRenderedPageBreak/>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 SL 2020/203 r. 6.]</w:t>
      </w:r>
    </w:p>
    <w:p>
      <w:pPr>
        <w:pStyle w:val="yHeading3"/>
      </w:pPr>
      <w:bookmarkStart w:id="29" w:name="_Toc84342600"/>
      <w:bookmarkStart w:id="30" w:name="_Toc84342822"/>
      <w:bookmarkStart w:id="31" w:name="_Toc84413618"/>
      <w:r>
        <w:rPr>
          <w:rStyle w:val="CharSDivNo"/>
        </w:rPr>
        <w:t>Part 2</w:t>
      </w:r>
      <w:r>
        <w:t> — </w:t>
      </w:r>
      <w:r>
        <w:rPr>
          <w:rStyle w:val="CharSDivText"/>
        </w:rPr>
        <w:t>Medical procedures</w:t>
      </w:r>
      <w:bookmarkEnd w:id="29"/>
      <w:bookmarkEnd w:id="30"/>
      <w:bookmarkEnd w:id="31"/>
    </w:p>
    <w:p>
      <w:pPr>
        <w:pStyle w:val="yFootnoteheading"/>
        <w:keepNext/>
        <w:keepLines/>
      </w:pPr>
      <w:r>
        <w:tab/>
        <w:t>[Heading inserted: SL 2020/203 r. 7.]</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keepNext/>
              <w:rPr>
                <w:b/>
                <w:bCs/>
              </w:rPr>
            </w:pPr>
            <w:r>
              <w:rPr>
                <w:b/>
                <w:bCs/>
              </w:rPr>
              <w:t>Type of procedure</w:t>
            </w:r>
          </w:p>
        </w:tc>
        <w:tc>
          <w:tcPr>
            <w:tcW w:w="1134" w:type="dxa"/>
            <w:tcBorders>
              <w:top w:val="single" w:sz="4" w:space="0" w:color="auto"/>
              <w:bottom w:val="single" w:sz="4" w:space="0" w:color="auto"/>
            </w:tcBorders>
            <w:noWrap/>
          </w:tcPr>
          <w:p>
            <w:pPr>
              <w:pStyle w:val="yTableNAm"/>
              <w:keepNext/>
              <w:rPr>
                <w:b/>
                <w:bCs/>
              </w:rPr>
            </w:pPr>
            <w:r>
              <w:rPr>
                <w:b/>
                <w:bCs/>
              </w:rPr>
              <w:t>Fee</w:t>
            </w:r>
          </w:p>
        </w:tc>
      </w:tr>
      <w:tr>
        <w:trPr>
          <w:cantSplit/>
        </w:trPr>
        <w:tc>
          <w:tcPr>
            <w:tcW w:w="5670" w:type="dxa"/>
            <w:tcBorders>
              <w:top w:val="single" w:sz="4" w:space="0" w:color="auto"/>
            </w:tcBorders>
            <w:noWrap/>
          </w:tcPr>
          <w:p>
            <w:pPr>
              <w:pStyle w:val="yTableNAm"/>
              <w:keepNext/>
            </w:pPr>
            <w:r>
              <w:t>GENERAL</w:t>
            </w:r>
          </w:p>
        </w:tc>
        <w:tc>
          <w:tcPr>
            <w:tcW w:w="1134" w:type="dxa"/>
            <w:noWrap/>
            <w:vAlign w:val="center"/>
          </w:tcPr>
          <w:p>
            <w:pPr>
              <w:pStyle w:val="yTableNAm"/>
              <w:keepNext/>
              <w:jc w:val="right"/>
            </w:pPr>
          </w:p>
        </w:tc>
      </w:tr>
      <w:tr>
        <w:trPr>
          <w:cantSplit/>
        </w:trPr>
        <w:tc>
          <w:tcPr>
            <w:tcW w:w="5670" w:type="dxa"/>
            <w:noWrap/>
          </w:tcPr>
          <w:p>
            <w:pPr>
              <w:pStyle w:val="yTableNAm"/>
            </w:pPr>
            <w:r>
              <w:t>Localised burns</w:t>
            </w:r>
          </w:p>
        </w:tc>
        <w:tc>
          <w:tcPr>
            <w:tcW w:w="1134" w:type="dxa"/>
            <w:noWrap/>
            <w:vAlign w:val="center"/>
          </w:tcPr>
          <w:p>
            <w:pPr>
              <w:pStyle w:val="yTableNAm"/>
              <w:jc w:val="right"/>
            </w:pPr>
            <w:r>
              <w:t>$66.95</w:t>
            </w:r>
          </w:p>
        </w:tc>
      </w:tr>
      <w:tr>
        <w:trPr>
          <w:cantSplit/>
        </w:trPr>
        <w:tc>
          <w:tcPr>
            <w:tcW w:w="5670" w:type="dxa"/>
            <w:noWrap/>
          </w:tcPr>
          <w:p>
            <w:pPr>
              <w:pStyle w:val="yTableNAm"/>
            </w:pPr>
            <w:r>
              <w:t>Localised burns, including dressing of, under general anaesthetic</w:t>
            </w:r>
          </w:p>
        </w:tc>
        <w:tc>
          <w:tcPr>
            <w:tcW w:w="1134" w:type="dxa"/>
            <w:noWrap/>
          </w:tcPr>
          <w:p>
            <w:pPr>
              <w:pStyle w:val="yTableNAm"/>
              <w:jc w:val="right"/>
            </w:pPr>
            <w:r>
              <w:br/>
              <w:t>$190.35</w:t>
            </w:r>
          </w:p>
        </w:tc>
      </w:tr>
      <w:tr>
        <w:trPr>
          <w:cantSplit/>
        </w:trPr>
        <w:tc>
          <w:tcPr>
            <w:tcW w:w="5670" w:type="dxa"/>
            <w:noWrap/>
          </w:tcPr>
          <w:p>
            <w:pPr>
              <w:pStyle w:val="yTableNAm"/>
            </w:pPr>
            <w:r>
              <w:t>Extensive burns</w:t>
            </w:r>
          </w:p>
        </w:tc>
        <w:tc>
          <w:tcPr>
            <w:tcW w:w="1134" w:type="dxa"/>
            <w:noWrap/>
          </w:tcPr>
          <w:p>
            <w:pPr>
              <w:pStyle w:val="yTableNAm"/>
              <w:jc w:val="right"/>
            </w:pPr>
            <w:r>
              <w:t>$115.60</w:t>
            </w:r>
          </w:p>
        </w:tc>
      </w:tr>
      <w:tr>
        <w:trPr>
          <w:cantSplit/>
        </w:trPr>
        <w:tc>
          <w:tcPr>
            <w:tcW w:w="5670" w:type="dxa"/>
            <w:noWrap/>
          </w:tcPr>
          <w:p>
            <w:pPr>
              <w:pStyle w:val="yTableNAm"/>
            </w:pPr>
            <w:r>
              <w:t>Extensive burns, including dressing of, under general anaesthetic</w:t>
            </w:r>
          </w:p>
        </w:tc>
        <w:tc>
          <w:tcPr>
            <w:tcW w:w="1134" w:type="dxa"/>
            <w:noWrap/>
          </w:tcPr>
          <w:p>
            <w:pPr>
              <w:pStyle w:val="yTableNAm"/>
              <w:jc w:val="right"/>
            </w:pPr>
            <w:r>
              <w:br/>
              <w:t>$403.05</w:t>
            </w:r>
          </w:p>
        </w:tc>
      </w:tr>
      <w:tr>
        <w:trPr>
          <w:cantSplit/>
        </w:trPr>
        <w:tc>
          <w:tcPr>
            <w:tcW w:w="5670" w:type="dxa"/>
            <w:noWrap/>
          </w:tcPr>
          <w:p>
            <w:pPr>
              <w:pStyle w:val="yTableNAm"/>
            </w:pPr>
            <w:r>
              <w:t>Dressing of wounds, under general anaesthetic</w:t>
            </w:r>
          </w:p>
        </w:tc>
        <w:tc>
          <w:tcPr>
            <w:tcW w:w="1134" w:type="dxa"/>
            <w:noWrap/>
          </w:tcPr>
          <w:p>
            <w:pPr>
              <w:pStyle w:val="yTableNAm"/>
              <w:jc w:val="right"/>
            </w:pPr>
            <w:r>
              <w:t>$190.35</w:t>
            </w:r>
          </w:p>
        </w:tc>
      </w:tr>
      <w:tr>
        <w:trPr>
          <w:cantSplit/>
        </w:trPr>
        <w:tc>
          <w:tcPr>
            <w:tcW w:w="5670" w:type="dxa"/>
            <w:noWrap/>
          </w:tcPr>
          <w:p>
            <w:pPr>
              <w:pStyle w:val="yTableNAm"/>
            </w:pPr>
            <w:r>
              <w:t>Acupuncture, including consultation</w:t>
            </w:r>
          </w:p>
        </w:tc>
        <w:tc>
          <w:tcPr>
            <w:tcW w:w="1134" w:type="dxa"/>
            <w:noWrap/>
          </w:tcPr>
          <w:p>
            <w:pPr>
              <w:pStyle w:val="yTableNAm"/>
              <w:jc w:val="right"/>
            </w:pPr>
            <w:r>
              <w:t>$88.85</w:t>
            </w:r>
          </w:p>
        </w:tc>
      </w:tr>
      <w:tr>
        <w:trPr>
          <w:cantSplit/>
        </w:trPr>
        <w:tc>
          <w:tcPr>
            <w:tcW w:w="5670" w:type="dxa"/>
            <w:noWrap/>
          </w:tcPr>
          <w:p>
            <w:pPr>
              <w:pStyle w:val="yTableNAm"/>
            </w:pPr>
            <w:r>
              <w:t>DISLOCATIONS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pPr>
            <w:r>
              <w:lastRenderedPageBreak/>
              <w:tab/>
            </w:r>
            <w:r>
              <w:rPr>
                <w:rStyle w:val="CharDefText"/>
              </w:rPr>
              <w:t>other</w:t>
            </w:r>
            <w: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Elbow, by closed reduction</w:t>
            </w:r>
          </w:p>
        </w:tc>
        <w:tc>
          <w:tcPr>
            <w:tcW w:w="1134" w:type="dxa"/>
            <w:noWrap/>
          </w:tcPr>
          <w:p>
            <w:pPr>
              <w:pStyle w:val="yTableNAm"/>
              <w:jc w:val="right"/>
            </w:pPr>
            <w:r>
              <w:t>$359.10</w:t>
            </w:r>
          </w:p>
        </w:tc>
      </w:tr>
      <w:tr>
        <w:trPr>
          <w:cantSplit/>
        </w:trPr>
        <w:tc>
          <w:tcPr>
            <w:tcW w:w="5670" w:type="dxa"/>
            <w:noWrap/>
          </w:tcPr>
          <w:p>
            <w:pPr>
              <w:pStyle w:val="yTableNAm"/>
            </w:pPr>
            <w:r>
              <w:t>Elbow, by open reduction</w:t>
            </w:r>
          </w:p>
        </w:tc>
        <w:tc>
          <w:tcPr>
            <w:tcW w:w="1134" w:type="dxa"/>
            <w:noWrap/>
          </w:tcPr>
          <w:p>
            <w:pPr>
              <w:pStyle w:val="yTableNAm"/>
              <w:jc w:val="right"/>
            </w:pPr>
            <w:r>
              <w:t>$476.30</w:t>
            </w:r>
          </w:p>
        </w:tc>
      </w:tr>
      <w:tr>
        <w:trPr>
          <w:cantSplit/>
        </w:trPr>
        <w:tc>
          <w:tcPr>
            <w:tcW w:w="5670" w:type="dxa"/>
            <w:noWrap/>
          </w:tcPr>
          <w:p>
            <w:pPr>
              <w:pStyle w:val="yTableNAm"/>
            </w:pPr>
            <w:r>
              <w:t>Interphalangeal joint, by closed reduction</w:t>
            </w:r>
          </w:p>
        </w:tc>
        <w:tc>
          <w:tcPr>
            <w:tcW w:w="1134" w:type="dxa"/>
            <w:noWrap/>
          </w:tcPr>
          <w:p>
            <w:pPr>
              <w:pStyle w:val="yTableNAm"/>
              <w:jc w:val="right"/>
            </w:pPr>
            <w:r>
              <w:t>$153.95</w:t>
            </w:r>
          </w:p>
        </w:tc>
      </w:tr>
      <w:tr>
        <w:trPr>
          <w:cantSplit/>
        </w:trPr>
        <w:tc>
          <w:tcPr>
            <w:tcW w:w="5670" w:type="dxa"/>
            <w:noWrap/>
          </w:tcPr>
          <w:p>
            <w:pPr>
              <w:pStyle w:val="yTableNAm"/>
            </w:pPr>
            <w:r>
              <w:t>Interphalangeal joint, by open reduction</w:t>
            </w:r>
          </w:p>
        </w:tc>
        <w:tc>
          <w:tcPr>
            <w:tcW w:w="1134" w:type="dxa"/>
            <w:noWrap/>
          </w:tcPr>
          <w:p>
            <w:pPr>
              <w:pStyle w:val="yTableNAm"/>
              <w:jc w:val="right"/>
            </w:pPr>
            <w:r>
              <w:t>$205.20</w:t>
            </w:r>
          </w:p>
        </w:tc>
      </w:tr>
      <w:tr>
        <w:trPr>
          <w:cantSplit/>
        </w:trPr>
        <w:tc>
          <w:tcPr>
            <w:tcW w:w="5670" w:type="dxa"/>
            <w:noWrap/>
          </w:tcPr>
          <w:p>
            <w:pPr>
              <w:pStyle w:val="yTableNAm"/>
            </w:pPr>
            <w:r>
              <w:t>Mandible, by closed reduction</w:t>
            </w:r>
          </w:p>
        </w:tc>
        <w:tc>
          <w:tcPr>
            <w:tcW w:w="1134" w:type="dxa"/>
            <w:noWrap/>
          </w:tcPr>
          <w:p>
            <w:pPr>
              <w:pStyle w:val="yTableNAm"/>
              <w:jc w:val="right"/>
            </w:pPr>
            <w:r>
              <w:t>$128.35</w:t>
            </w:r>
          </w:p>
        </w:tc>
      </w:tr>
      <w:tr>
        <w:trPr>
          <w:cantSplit/>
        </w:trPr>
        <w:tc>
          <w:tcPr>
            <w:tcW w:w="5670" w:type="dxa"/>
            <w:noWrap/>
          </w:tcPr>
          <w:p>
            <w:pPr>
              <w:pStyle w:val="yTableNAm"/>
            </w:pPr>
            <w:r>
              <w:t>Clavicle, by closed reduction</w:t>
            </w:r>
          </w:p>
        </w:tc>
        <w:tc>
          <w:tcPr>
            <w:tcW w:w="1134" w:type="dxa"/>
            <w:noWrap/>
          </w:tcPr>
          <w:p>
            <w:pPr>
              <w:pStyle w:val="yTableNAm"/>
              <w:jc w:val="right"/>
            </w:pPr>
            <w:r>
              <w:t>$152.25</w:t>
            </w:r>
          </w:p>
        </w:tc>
      </w:tr>
      <w:tr>
        <w:trPr>
          <w:cantSplit/>
        </w:trPr>
        <w:tc>
          <w:tcPr>
            <w:tcW w:w="5670" w:type="dxa"/>
            <w:noWrap/>
          </w:tcPr>
          <w:p>
            <w:pPr>
              <w:pStyle w:val="yTableNAm"/>
            </w:pPr>
            <w:r>
              <w:t>Clavicle, by open reduction</w:t>
            </w:r>
          </w:p>
        </w:tc>
        <w:tc>
          <w:tcPr>
            <w:tcW w:w="1134" w:type="dxa"/>
            <w:noWrap/>
          </w:tcPr>
          <w:p>
            <w:pPr>
              <w:pStyle w:val="yTableNAm"/>
              <w:jc w:val="right"/>
            </w:pPr>
            <w:r>
              <w:t>$307.80</w:t>
            </w:r>
          </w:p>
        </w:tc>
      </w:tr>
      <w:tr>
        <w:trPr>
          <w:cantSplit/>
        </w:trPr>
        <w:tc>
          <w:tcPr>
            <w:tcW w:w="5670" w:type="dxa"/>
            <w:noWrap/>
          </w:tcPr>
          <w:p>
            <w:pPr>
              <w:pStyle w:val="yTableNAm"/>
            </w:pPr>
            <w:r>
              <w:t>Shoulder, not requiring general anaesthetic</w:t>
            </w:r>
          </w:p>
        </w:tc>
        <w:tc>
          <w:tcPr>
            <w:tcW w:w="1134" w:type="dxa"/>
            <w:noWrap/>
          </w:tcPr>
          <w:p>
            <w:pPr>
              <w:pStyle w:val="yTableNAm"/>
              <w:jc w:val="right"/>
            </w:pPr>
            <w:r>
              <w:t>$171.25</w:t>
            </w:r>
          </w:p>
        </w:tc>
      </w:tr>
      <w:tr>
        <w:trPr>
          <w:cantSplit/>
        </w:trPr>
        <w:tc>
          <w:tcPr>
            <w:tcW w:w="5670" w:type="dxa"/>
            <w:noWrap/>
          </w:tcPr>
          <w:p>
            <w:pPr>
              <w:pStyle w:val="yTableNAm"/>
            </w:pPr>
            <w:r>
              <w:t>Shoulder, by open reduction, with general anaesthetic</w:t>
            </w:r>
          </w:p>
        </w:tc>
        <w:tc>
          <w:tcPr>
            <w:tcW w:w="1134" w:type="dxa"/>
            <w:noWrap/>
          </w:tcPr>
          <w:p>
            <w:pPr>
              <w:pStyle w:val="yTableNAm"/>
              <w:jc w:val="right"/>
            </w:pPr>
            <w:r>
              <w:t>$613.95</w:t>
            </w:r>
          </w:p>
        </w:tc>
      </w:tr>
      <w:tr>
        <w:trPr>
          <w:cantSplit/>
        </w:trPr>
        <w:tc>
          <w:tcPr>
            <w:tcW w:w="5670" w:type="dxa"/>
            <w:noWrap/>
          </w:tcPr>
          <w:p>
            <w:pPr>
              <w:pStyle w:val="yTableNAm"/>
            </w:pPr>
            <w:r>
              <w:t>Shoulder, other, with general anaesthetic</w:t>
            </w:r>
          </w:p>
        </w:tc>
        <w:tc>
          <w:tcPr>
            <w:tcW w:w="1134" w:type="dxa"/>
            <w:noWrap/>
          </w:tcPr>
          <w:p>
            <w:pPr>
              <w:pStyle w:val="yTableNAm"/>
              <w:jc w:val="right"/>
            </w:pPr>
            <w:r>
              <w:t>$303.95</w:t>
            </w:r>
          </w:p>
        </w:tc>
      </w:tr>
      <w:tr>
        <w:trPr>
          <w:cantSplit/>
        </w:trPr>
        <w:tc>
          <w:tcPr>
            <w:tcW w:w="5670" w:type="dxa"/>
            <w:noWrap/>
          </w:tcPr>
          <w:p>
            <w:pPr>
              <w:pStyle w:val="yTableNAm"/>
            </w:pPr>
            <w:r>
              <w:t>Metacarpophalangeal joint, by closed reduction</w:t>
            </w:r>
          </w:p>
        </w:tc>
        <w:tc>
          <w:tcPr>
            <w:tcW w:w="1134" w:type="dxa"/>
            <w:noWrap/>
          </w:tcPr>
          <w:p>
            <w:pPr>
              <w:pStyle w:val="yTableNAm"/>
              <w:jc w:val="right"/>
            </w:pPr>
            <w:r>
              <w:t>$205.20</w:t>
            </w:r>
          </w:p>
        </w:tc>
      </w:tr>
      <w:tr>
        <w:trPr>
          <w:cantSplit/>
        </w:trPr>
        <w:tc>
          <w:tcPr>
            <w:tcW w:w="5670" w:type="dxa"/>
            <w:noWrap/>
          </w:tcPr>
          <w:p>
            <w:pPr>
              <w:pStyle w:val="yTableNAm"/>
            </w:pPr>
            <w:r>
              <w:t>Metacarpophalangeal joint, by open reduction</w:t>
            </w:r>
          </w:p>
        </w:tc>
        <w:tc>
          <w:tcPr>
            <w:tcW w:w="1134" w:type="dxa"/>
            <w:noWrap/>
          </w:tcPr>
          <w:p>
            <w:pPr>
              <w:pStyle w:val="yTableNAm"/>
              <w:jc w:val="right"/>
            </w:pPr>
            <w:r>
              <w:t>$274.90</w:t>
            </w:r>
          </w:p>
        </w:tc>
      </w:tr>
      <w:tr>
        <w:trPr>
          <w:cantSplit/>
        </w:trPr>
        <w:tc>
          <w:tcPr>
            <w:tcW w:w="5670" w:type="dxa"/>
            <w:noWrap/>
          </w:tcPr>
          <w:p>
            <w:pPr>
              <w:pStyle w:val="yTableNAm"/>
            </w:pPr>
            <w:r>
              <w:t>Patella, by closed reduction</w:t>
            </w:r>
          </w:p>
        </w:tc>
        <w:tc>
          <w:tcPr>
            <w:tcW w:w="1134" w:type="dxa"/>
            <w:noWrap/>
          </w:tcPr>
          <w:p>
            <w:pPr>
              <w:pStyle w:val="yTableNAm"/>
              <w:jc w:val="right"/>
            </w:pPr>
            <w:r>
              <w:t>$230.70</w:t>
            </w:r>
          </w:p>
        </w:tc>
      </w:tr>
      <w:tr>
        <w:trPr>
          <w:cantSplit/>
        </w:trPr>
        <w:tc>
          <w:tcPr>
            <w:tcW w:w="5670" w:type="dxa"/>
            <w:noWrap/>
          </w:tcPr>
          <w:p>
            <w:pPr>
              <w:pStyle w:val="yTableNAm"/>
            </w:pPr>
            <w:r>
              <w:t>Patella, by open reduction</w:t>
            </w:r>
          </w:p>
        </w:tc>
        <w:tc>
          <w:tcPr>
            <w:tcW w:w="1134" w:type="dxa"/>
            <w:noWrap/>
          </w:tcPr>
          <w:p>
            <w:pPr>
              <w:pStyle w:val="yTableNAm"/>
              <w:jc w:val="right"/>
            </w:pPr>
            <w:r>
              <w:t>$307.80</w:t>
            </w:r>
          </w:p>
        </w:tc>
      </w:tr>
      <w:tr>
        <w:trPr>
          <w:cantSplit/>
        </w:trPr>
        <w:tc>
          <w:tcPr>
            <w:tcW w:w="5670" w:type="dxa"/>
            <w:noWrap/>
          </w:tcPr>
          <w:p>
            <w:pPr>
              <w:pStyle w:val="yTableNAm"/>
            </w:pPr>
            <w:r>
              <w:t>Radioulnar joint, by closed reduction</w:t>
            </w:r>
          </w:p>
        </w:tc>
        <w:tc>
          <w:tcPr>
            <w:tcW w:w="1134" w:type="dxa"/>
            <w:noWrap/>
          </w:tcPr>
          <w:p>
            <w:pPr>
              <w:pStyle w:val="yTableNAm"/>
              <w:jc w:val="right"/>
            </w:pPr>
            <w:r>
              <w:t>$359.10</w:t>
            </w:r>
          </w:p>
        </w:tc>
      </w:tr>
      <w:tr>
        <w:trPr>
          <w:cantSplit/>
        </w:trPr>
        <w:tc>
          <w:tcPr>
            <w:tcW w:w="5670" w:type="dxa"/>
            <w:noWrap/>
          </w:tcPr>
          <w:p>
            <w:pPr>
              <w:pStyle w:val="yTableNAm"/>
            </w:pPr>
            <w:r>
              <w:t>Radioulnar joint, by open reduction</w:t>
            </w:r>
          </w:p>
        </w:tc>
        <w:tc>
          <w:tcPr>
            <w:tcW w:w="1134" w:type="dxa"/>
            <w:noWrap/>
          </w:tcPr>
          <w:p>
            <w:pPr>
              <w:pStyle w:val="yTableNAm"/>
              <w:jc w:val="right"/>
            </w:pPr>
            <w:r>
              <w:t>$476.30</w:t>
            </w:r>
          </w:p>
        </w:tc>
      </w:tr>
      <w:tr>
        <w:trPr>
          <w:cantSplit/>
        </w:trPr>
        <w:tc>
          <w:tcPr>
            <w:tcW w:w="5670" w:type="dxa"/>
            <w:noWrap/>
          </w:tcPr>
          <w:p>
            <w:pPr>
              <w:pStyle w:val="yTableNAm"/>
            </w:pPr>
            <w:r>
              <w:t>Toe, by closed reduction</w:t>
            </w:r>
          </w:p>
        </w:tc>
        <w:tc>
          <w:tcPr>
            <w:tcW w:w="1134" w:type="dxa"/>
            <w:noWrap/>
          </w:tcPr>
          <w:p>
            <w:pPr>
              <w:pStyle w:val="yTableNAm"/>
              <w:jc w:val="right"/>
            </w:pPr>
            <w:r>
              <w:t>$128.35</w:t>
            </w:r>
          </w:p>
        </w:tc>
      </w:tr>
      <w:tr>
        <w:trPr>
          <w:cantSplit/>
        </w:trPr>
        <w:tc>
          <w:tcPr>
            <w:tcW w:w="5670" w:type="dxa"/>
            <w:noWrap/>
          </w:tcPr>
          <w:p>
            <w:pPr>
              <w:pStyle w:val="yTableNAm"/>
            </w:pPr>
            <w:r>
              <w:t>Toe, by open reduction</w:t>
            </w:r>
          </w:p>
        </w:tc>
        <w:tc>
          <w:tcPr>
            <w:tcW w:w="1134" w:type="dxa"/>
            <w:noWrap/>
          </w:tcPr>
          <w:p>
            <w:pPr>
              <w:pStyle w:val="yTableNAm"/>
              <w:jc w:val="right"/>
            </w:pPr>
            <w:r>
              <w:t>$170.40</w:t>
            </w:r>
          </w:p>
        </w:tc>
      </w:tr>
      <w:tr>
        <w:trPr>
          <w:cantSplit/>
        </w:trPr>
        <w:tc>
          <w:tcPr>
            <w:tcW w:w="5670" w:type="dxa"/>
            <w:noWrap/>
          </w:tcPr>
          <w:p>
            <w:pPr>
              <w:pStyle w:val="yTableNAm"/>
            </w:pPr>
            <w:r>
              <w:t>REMOVAL OF FOREIGN BODIES</w:t>
            </w:r>
          </w:p>
        </w:tc>
        <w:tc>
          <w:tcPr>
            <w:tcW w:w="1134" w:type="dxa"/>
            <w:noWrap/>
            <w:vAlign w:val="center"/>
          </w:tcPr>
          <w:p>
            <w:pPr>
              <w:pStyle w:val="yTableNAm"/>
              <w:jc w:val="right"/>
            </w:pPr>
          </w:p>
        </w:tc>
      </w:tr>
      <w:tr>
        <w:trPr>
          <w:cantSplit/>
        </w:trPr>
        <w:tc>
          <w:tcPr>
            <w:tcW w:w="5670" w:type="dxa"/>
            <w:noWrap/>
          </w:tcPr>
          <w:p>
            <w:pPr>
              <w:pStyle w:val="yTableNAm"/>
            </w:pPr>
            <w:r>
              <w:tab/>
              <w:t>as independent procedure</w:t>
            </w:r>
          </w:p>
        </w:tc>
        <w:tc>
          <w:tcPr>
            <w:tcW w:w="1134" w:type="dxa"/>
            <w:noWrap/>
          </w:tcPr>
          <w:p>
            <w:pPr>
              <w:pStyle w:val="yTableNAm"/>
              <w:jc w:val="right"/>
            </w:pPr>
            <w:r>
              <w:t>$55.85</w:t>
            </w:r>
          </w:p>
        </w:tc>
      </w:tr>
      <w:tr>
        <w:trPr>
          <w:cantSplit/>
        </w:trPr>
        <w:tc>
          <w:tcPr>
            <w:tcW w:w="5670" w:type="dxa"/>
            <w:noWrap/>
          </w:tcPr>
          <w:p>
            <w:pPr>
              <w:pStyle w:val="yTableNAm"/>
            </w:pPr>
            <w:r>
              <w:tab/>
              <w:t>superficial</w:t>
            </w:r>
          </w:p>
        </w:tc>
        <w:tc>
          <w:tcPr>
            <w:tcW w:w="1134" w:type="dxa"/>
            <w:noWrap/>
          </w:tcPr>
          <w:p>
            <w:pPr>
              <w:pStyle w:val="yTableNAm"/>
              <w:jc w:val="right"/>
            </w:pPr>
            <w:r>
              <w:t>$249.15</w:t>
            </w:r>
          </w:p>
        </w:tc>
      </w:tr>
      <w:tr>
        <w:trPr>
          <w:cantSplit/>
        </w:trPr>
        <w:tc>
          <w:tcPr>
            <w:tcW w:w="5670" w:type="dxa"/>
            <w:noWrap/>
          </w:tcPr>
          <w:p>
            <w:pPr>
              <w:pStyle w:val="yTableNAm"/>
            </w:pPr>
            <w:r>
              <w:tab/>
              <w:t>deep tissue or muscle</w:t>
            </w:r>
          </w:p>
        </w:tc>
        <w:tc>
          <w:tcPr>
            <w:tcW w:w="1134" w:type="dxa"/>
            <w:noWrap/>
          </w:tcPr>
          <w:p>
            <w:pPr>
              <w:pStyle w:val="yTableNAm"/>
              <w:jc w:val="right"/>
            </w:pPr>
            <w:r>
              <w:t>$696.30</w:t>
            </w:r>
          </w:p>
        </w:tc>
      </w:tr>
      <w:tr>
        <w:trPr>
          <w:cantSplit/>
        </w:trPr>
        <w:tc>
          <w:tcPr>
            <w:tcW w:w="5670" w:type="dxa"/>
            <w:noWrap/>
          </w:tcPr>
          <w:p>
            <w:pPr>
              <w:pStyle w:val="yTableNAm"/>
            </w:pPr>
            <w:r>
              <w:tab/>
              <w:t>ear, other than by syringing</w:t>
            </w:r>
          </w:p>
        </w:tc>
        <w:tc>
          <w:tcPr>
            <w:tcW w:w="1134" w:type="dxa"/>
            <w:noWrap/>
          </w:tcPr>
          <w:p>
            <w:pPr>
              <w:pStyle w:val="yTableNAm"/>
              <w:jc w:val="right"/>
            </w:pPr>
            <w:r>
              <w:t>$179.55</w:t>
            </w:r>
          </w:p>
        </w:tc>
      </w:tr>
      <w:tr>
        <w:trPr>
          <w:cantSplit/>
        </w:trPr>
        <w:tc>
          <w:tcPr>
            <w:tcW w:w="5670" w:type="dxa"/>
            <w:noWrap/>
          </w:tcPr>
          <w:p>
            <w:pPr>
              <w:pStyle w:val="yTableNAm"/>
            </w:pPr>
            <w:r>
              <w:lastRenderedPageBreak/>
              <w:tab/>
              <w:t>nose, other than by simple probing</w:t>
            </w:r>
          </w:p>
        </w:tc>
        <w:tc>
          <w:tcPr>
            <w:tcW w:w="1134" w:type="dxa"/>
            <w:noWrap/>
          </w:tcPr>
          <w:p>
            <w:pPr>
              <w:pStyle w:val="yTableNAm"/>
              <w:jc w:val="right"/>
            </w:pPr>
            <w:r>
              <w:t>$179.55</w:t>
            </w:r>
          </w:p>
        </w:tc>
      </w:tr>
      <w:tr>
        <w:trPr>
          <w:cantSplit/>
        </w:trPr>
        <w:tc>
          <w:tcPr>
            <w:tcW w:w="5670" w:type="dxa"/>
            <w:noWrap/>
          </w:tcPr>
          <w:p>
            <w:pPr>
              <w:pStyle w:val="yTableNAm"/>
            </w:pPr>
            <w:r>
              <w:tab/>
              <w:t>cornea or sclera, embedded</w:t>
            </w:r>
          </w:p>
        </w:tc>
        <w:tc>
          <w:tcPr>
            <w:tcW w:w="1134" w:type="dxa"/>
            <w:noWrap/>
          </w:tcPr>
          <w:p>
            <w:pPr>
              <w:pStyle w:val="yTableNAm"/>
              <w:jc w:val="right"/>
            </w:pPr>
            <w:r>
              <w:t>$183.30</w:t>
            </w:r>
          </w:p>
        </w:tc>
      </w:tr>
      <w:tr>
        <w:trPr>
          <w:cantSplit/>
        </w:trPr>
        <w:tc>
          <w:tcPr>
            <w:tcW w:w="5670" w:type="dxa"/>
            <w:noWrap/>
          </w:tcPr>
          <w:p>
            <w:pPr>
              <w:pStyle w:val="yTableNAm"/>
            </w:pPr>
            <w:r>
              <w:t>FRACTURES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rPr>
                <w:szCs w:val="22"/>
              </w:rPr>
              <w:tab/>
            </w:r>
            <w:r>
              <w:rPr>
                <w:rStyle w:val="CharDefText"/>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tab/>
            </w:r>
            <w:r>
              <w:rPr>
                <w:rStyle w:val="CharDefText"/>
                <w:szCs w:val="22"/>
              </w:rPr>
              <w:t>other</w:t>
            </w:r>
            <w:r>
              <w:rPr>
                <w:szCs w:val="22"/>
              </w:rP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Metacarpal</w:t>
            </w:r>
          </w:p>
        </w:tc>
        <w:tc>
          <w:tcPr>
            <w:tcW w:w="1134" w:type="dxa"/>
            <w:noWrap/>
            <w:vAlign w:val="center"/>
          </w:tcPr>
          <w:p>
            <w:pPr>
              <w:pStyle w:val="yTableNAm"/>
              <w:jc w:val="right"/>
            </w:pPr>
          </w:p>
        </w:tc>
      </w:tr>
      <w:tr>
        <w:trPr>
          <w:cantSplit/>
        </w:trPr>
        <w:tc>
          <w:tcPr>
            <w:tcW w:w="5670" w:type="dxa"/>
            <w:noWrap/>
          </w:tcPr>
          <w:p>
            <w:pPr>
              <w:pStyle w:val="yTableNAm"/>
            </w:pPr>
            <w:r>
              <w:t>Carpal Scaphoid, by open reduction</w:t>
            </w:r>
          </w:p>
        </w:tc>
        <w:tc>
          <w:tcPr>
            <w:tcW w:w="1134" w:type="dxa"/>
            <w:noWrap/>
          </w:tcPr>
          <w:p>
            <w:pPr>
              <w:pStyle w:val="yTableNAm"/>
              <w:jc w:val="right"/>
            </w:pPr>
            <w:r>
              <w:t>$1 025.95</w:t>
            </w:r>
          </w:p>
        </w:tc>
      </w:tr>
      <w:tr>
        <w:trPr>
          <w:cantSplit/>
        </w:trPr>
        <w:tc>
          <w:tcPr>
            <w:tcW w:w="5670" w:type="dxa"/>
            <w:noWrap/>
          </w:tcPr>
          <w:p>
            <w:pPr>
              <w:pStyle w:val="yTableNAm"/>
            </w:pPr>
            <w:r>
              <w:t>Carpal Scaphoid, other</w:t>
            </w:r>
          </w:p>
        </w:tc>
        <w:tc>
          <w:tcPr>
            <w:tcW w:w="1134" w:type="dxa"/>
            <w:noWrap/>
          </w:tcPr>
          <w:p>
            <w:pPr>
              <w:pStyle w:val="yTableNAm"/>
              <w:jc w:val="right"/>
            </w:pPr>
            <w:r>
              <w:t>$457.95</w:t>
            </w:r>
          </w:p>
        </w:tc>
      </w:tr>
      <w:tr>
        <w:trPr>
          <w:cantSplit/>
        </w:trPr>
        <w:tc>
          <w:tcPr>
            <w:tcW w:w="5670" w:type="dxa"/>
            <w:noWrap/>
          </w:tcPr>
          <w:p>
            <w:pPr>
              <w:pStyle w:val="yTableNAm"/>
            </w:pPr>
            <w:r>
              <w:t>Carpus (excluding Scaphoid), by open reduction</w:t>
            </w:r>
          </w:p>
        </w:tc>
        <w:tc>
          <w:tcPr>
            <w:tcW w:w="1134" w:type="dxa"/>
            <w:noWrap/>
          </w:tcPr>
          <w:p>
            <w:pPr>
              <w:pStyle w:val="yTableNAm"/>
              <w:jc w:val="right"/>
            </w:pPr>
            <w:r>
              <w:t>$641.15</w:t>
            </w:r>
          </w:p>
        </w:tc>
      </w:tr>
      <w:tr>
        <w:trPr>
          <w:cantSplit/>
        </w:trPr>
        <w:tc>
          <w:tcPr>
            <w:tcW w:w="5670" w:type="dxa"/>
            <w:noWrap/>
          </w:tcPr>
          <w:p>
            <w:pPr>
              <w:pStyle w:val="yTableNAm"/>
            </w:pPr>
            <w:r>
              <w:t>Carpus (excluding Scaphoid), other</w:t>
            </w:r>
          </w:p>
        </w:tc>
        <w:tc>
          <w:tcPr>
            <w:tcW w:w="1134" w:type="dxa"/>
            <w:noWrap/>
          </w:tcPr>
          <w:p>
            <w:pPr>
              <w:pStyle w:val="yTableNAm"/>
              <w:jc w:val="right"/>
            </w:pPr>
            <w:r>
              <w:t>$256.55</w:t>
            </w:r>
          </w:p>
        </w:tc>
      </w:tr>
      <w:tr>
        <w:trPr>
          <w:cantSplit/>
        </w:trPr>
        <w:tc>
          <w:tcPr>
            <w:tcW w:w="5670" w:type="dxa"/>
            <w:noWrap/>
          </w:tcPr>
          <w:p>
            <w:pPr>
              <w:pStyle w:val="yTableNAm"/>
            </w:pPr>
            <w:r>
              <w:t>Radius</w:t>
            </w:r>
          </w:p>
        </w:tc>
        <w:tc>
          <w:tcPr>
            <w:tcW w:w="1134" w:type="dxa"/>
            <w:noWrap/>
            <w:vAlign w:val="center"/>
          </w:tcPr>
          <w:p>
            <w:pPr>
              <w:pStyle w:val="yTableNAm"/>
              <w:jc w:val="right"/>
            </w:pPr>
          </w:p>
        </w:tc>
      </w:tr>
      <w:tr>
        <w:trPr>
          <w:cantSplit/>
        </w:trPr>
        <w:tc>
          <w:tcPr>
            <w:tcW w:w="5670" w:type="dxa"/>
            <w:noWrap/>
          </w:tcPr>
          <w:p>
            <w:pPr>
              <w:pStyle w:val="yTableNAm"/>
            </w:pPr>
            <w:r>
              <w:tab/>
              <w:t>by closed management</w:t>
            </w:r>
          </w:p>
        </w:tc>
        <w:tc>
          <w:tcPr>
            <w:tcW w:w="1134" w:type="dxa"/>
            <w:noWrap/>
          </w:tcPr>
          <w:p>
            <w:pPr>
              <w:pStyle w:val="yTableNAm"/>
              <w:jc w:val="right"/>
            </w:pPr>
            <w:r>
              <w:t>$512.80</w:t>
            </w:r>
          </w:p>
        </w:tc>
      </w:tr>
      <w:tr>
        <w:trPr>
          <w:cantSplit/>
        </w:trPr>
        <w:tc>
          <w:tcPr>
            <w:tcW w:w="5670" w:type="dxa"/>
            <w:noWrap/>
          </w:tcPr>
          <w:p>
            <w:pPr>
              <w:pStyle w:val="yTableNAm"/>
            </w:pPr>
            <w:r>
              <w:tab/>
              <w:t>by open management</w:t>
            </w:r>
          </w:p>
        </w:tc>
        <w:tc>
          <w:tcPr>
            <w:tcW w:w="1134" w:type="dxa"/>
            <w:noWrap/>
          </w:tcPr>
          <w:p>
            <w:pPr>
              <w:pStyle w:val="yTableNAm"/>
              <w:jc w:val="right"/>
            </w:pPr>
            <w:r>
              <w:t>$1 025.95</w:t>
            </w:r>
          </w:p>
        </w:tc>
      </w:tr>
      <w:tr>
        <w:trPr>
          <w:cantSplit/>
        </w:trPr>
        <w:tc>
          <w:tcPr>
            <w:tcW w:w="5670" w:type="dxa"/>
            <w:noWrap/>
          </w:tcPr>
          <w:p>
            <w:pPr>
              <w:pStyle w:val="yTableNAm"/>
            </w:pPr>
            <w:r>
              <w:t xml:space="preserve">Radius or Ulnar, distal end, (Colies’, Smith’s or Barton’s) </w:t>
            </w:r>
          </w:p>
        </w:tc>
        <w:tc>
          <w:tcPr>
            <w:tcW w:w="1134" w:type="dxa"/>
            <w:noWrap/>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$769.50</w:t>
            </w:r>
          </w:p>
        </w:tc>
      </w:tr>
      <w:tr>
        <w:trPr>
          <w:cantSplit/>
        </w:trPr>
        <w:tc>
          <w:tcPr>
            <w:tcW w:w="5670" w:type="dxa"/>
            <w:noWrap/>
          </w:tcPr>
          <w:p>
            <w:pPr>
              <w:pStyle w:val="yTableNAm"/>
            </w:pPr>
            <w:r>
              <w:t>Ribs (1 or more), each attendance</w:t>
            </w:r>
          </w:p>
        </w:tc>
        <w:tc>
          <w:tcPr>
            <w:tcW w:w="1134" w:type="dxa"/>
            <w:noWrap/>
          </w:tcPr>
          <w:p>
            <w:pPr>
              <w:pStyle w:val="yTableNAm"/>
              <w:jc w:val="right"/>
            </w:pPr>
            <w:r>
              <w:t>$117.30</w:t>
            </w:r>
          </w:p>
        </w:tc>
      </w:tr>
      <w:tr>
        <w:trPr>
          <w:cantSplit/>
        </w:trPr>
        <w:tc>
          <w:tcPr>
            <w:tcW w:w="5670" w:type="dxa"/>
            <w:noWrap/>
          </w:tcPr>
          <w:p>
            <w:pPr>
              <w:pStyle w:val="yTableNAm"/>
            </w:pPr>
            <w:r>
              <w:t>Tibia, plateau of, medial or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$925.25</w:t>
            </w:r>
          </w:p>
        </w:tc>
      </w:tr>
      <w:tr>
        <w:trPr>
          <w:cantSplit/>
        </w:trPr>
        <w:tc>
          <w:tcPr>
            <w:tcW w:w="5670" w:type="dxa"/>
            <w:noWrap/>
          </w:tcPr>
          <w:p>
            <w:pPr>
              <w:pStyle w:val="yTableNAm"/>
            </w:pPr>
            <w:r>
              <w:tab/>
              <w:t>by open reduction</w:t>
            </w:r>
          </w:p>
        </w:tc>
        <w:tc>
          <w:tcPr>
            <w:tcW w:w="1134" w:type="dxa"/>
            <w:noWrap/>
          </w:tcPr>
          <w:p>
            <w:pPr>
              <w:pStyle w:val="yTableNAm"/>
              <w:jc w:val="right"/>
            </w:pPr>
            <w:r>
              <w:t>$1 227.45</w:t>
            </w:r>
          </w:p>
        </w:tc>
      </w:tr>
      <w:tr>
        <w:trPr>
          <w:cantSplit/>
        </w:trPr>
        <w:tc>
          <w:tcPr>
            <w:tcW w:w="5670" w:type="dxa"/>
            <w:noWrap/>
          </w:tcPr>
          <w:p>
            <w:pPr>
              <w:pStyle w:val="yTableNAm"/>
            </w:pPr>
            <w:r>
              <w:lastRenderedPageBreak/>
              <w:t>Tibia, plateau of, medial and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$1 538.90</w:t>
            </w:r>
          </w:p>
        </w:tc>
      </w:tr>
      <w:tr>
        <w:trPr>
          <w:cantSplit/>
        </w:trPr>
        <w:tc>
          <w:tcPr>
            <w:tcW w:w="5670" w:type="dxa"/>
            <w:noWrap/>
          </w:tcPr>
          <w:p>
            <w:pPr>
              <w:pStyle w:val="yTableNAm"/>
            </w:pPr>
            <w:r>
              <w:tab/>
              <w:t>by open reduction</w:t>
            </w:r>
          </w:p>
        </w:tc>
        <w:tc>
          <w:tcPr>
            <w:tcW w:w="1134" w:type="dxa"/>
            <w:noWrap/>
          </w:tcPr>
          <w:p>
            <w:pPr>
              <w:pStyle w:val="yTableNAm"/>
              <w:jc w:val="right"/>
            </w:pPr>
            <w:r>
              <w:t>$2 061.10</w:t>
            </w:r>
          </w:p>
        </w:tc>
      </w:tr>
      <w:tr>
        <w:trPr>
          <w:cantSplit/>
        </w:trPr>
        <w:tc>
          <w:tcPr>
            <w:tcW w:w="5670" w:type="dxa"/>
            <w:noWrap/>
          </w:tcPr>
          <w:p>
            <w:pPr>
              <w:pStyle w:val="yTableNAm"/>
            </w:pPr>
            <w:r>
              <w:t>SUTURES</w:t>
            </w:r>
          </w:p>
        </w:tc>
        <w:tc>
          <w:tcPr>
            <w:tcW w:w="1134" w:type="dxa"/>
            <w:noWrap/>
            <w:vAlign w:val="center"/>
          </w:tcPr>
          <w:p>
            <w:pPr>
              <w:pStyle w:val="yTableNAm"/>
              <w:jc w:val="right"/>
            </w:pPr>
          </w:p>
        </w:tc>
      </w:tr>
      <w:tr>
        <w:trPr>
          <w:cantSplit/>
        </w:trPr>
        <w:tc>
          <w:tcPr>
            <w:tcW w:w="5670" w:type="dxa"/>
            <w:noWrap/>
          </w:tcPr>
          <w:p>
            <w:pPr>
              <w:pStyle w:val="yTableNAm"/>
            </w:pPr>
            <w:r>
              <w:tab/>
              <w:t>face or neck, less than 7 cm, superficial</w:t>
            </w:r>
          </w:p>
        </w:tc>
        <w:tc>
          <w:tcPr>
            <w:tcW w:w="1134" w:type="dxa"/>
            <w:noWrap/>
          </w:tcPr>
          <w:p>
            <w:pPr>
              <w:pStyle w:val="yTableNAm"/>
              <w:jc w:val="right"/>
            </w:pPr>
            <w:r>
              <w:t>$183.30</w:t>
            </w:r>
          </w:p>
        </w:tc>
      </w:tr>
      <w:tr>
        <w:trPr>
          <w:cantSplit/>
        </w:trPr>
        <w:tc>
          <w:tcPr>
            <w:tcW w:w="5670" w:type="dxa"/>
            <w:noWrap/>
          </w:tcPr>
          <w:p>
            <w:pPr>
              <w:pStyle w:val="yTableNAm"/>
            </w:pPr>
            <w:r>
              <w:tab/>
              <w:t>face or neck, less than 7 cm, deep</w:t>
            </w:r>
          </w:p>
        </w:tc>
        <w:tc>
          <w:tcPr>
            <w:tcW w:w="1134" w:type="dxa"/>
            <w:noWrap/>
          </w:tcPr>
          <w:p>
            <w:pPr>
              <w:pStyle w:val="yTableNAm"/>
              <w:jc w:val="right"/>
            </w:pPr>
            <w:r>
              <w:t>$278.55</w:t>
            </w:r>
          </w:p>
        </w:tc>
      </w:tr>
      <w:tr>
        <w:trPr>
          <w:cantSplit/>
        </w:trPr>
        <w:tc>
          <w:tcPr>
            <w:tcW w:w="5670" w:type="dxa"/>
            <w:noWrap/>
          </w:tcPr>
          <w:p>
            <w:pPr>
              <w:pStyle w:val="yTableNAm"/>
            </w:pPr>
            <w:r>
              <w:tab/>
              <w:t>face or neck, more than 7 cm, superficial</w:t>
            </w:r>
          </w:p>
        </w:tc>
        <w:tc>
          <w:tcPr>
            <w:tcW w:w="1134" w:type="dxa"/>
            <w:noWrap/>
          </w:tcPr>
          <w:p>
            <w:pPr>
              <w:pStyle w:val="yTableNAm"/>
              <w:jc w:val="right"/>
            </w:pPr>
            <w:r>
              <w:t>$278.55</w:t>
            </w:r>
          </w:p>
        </w:tc>
      </w:tr>
      <w:tr>
        <w:trPr>
          <w:cantSplit/>
        </w:trPr>
        <w:tc>
          <w:tcPr>
            <w:tcW w:w="5670" w:type="dxa"/>
            <w:noWrap/>
          </w:tcPr>
          <w:p>
            <w:pPr>
              <w:pStyle w:val="yTableNAm"/>
            </w:pPr>
            <w:r>
              <w:tab/>
              <w:t>face or neck, more than 7 cm, deep</w:t>
            </w:r>
          </w:p>
        </w:tc>
        <w:tc>
          <w:tcPr>
            <w:tcW w:w="1134" w:type="dxa"/>
            <w:noWrap/>
          </w:tcPr>
          <w:p>
            <w:pPr>
              <w:pStyle w:val="yTableNAm"/>
              <w:jc w:val="right"/>
            </w:pPr>
            <w:r>
              <w:t>$476.30</w:t>
            </w:r>
          </w:p>
        </w:tc>
      </w:tr>
      <w:tr>
        <w:trPr>
          <w:cantSplit/>
        </w:trPr>
        <w:tc>
          <w:tcPr>
            <w:tcW w:w="5670" w:type="dxa"/>
            <w:noWrap/>
          </w:tcPr>
          <w:p>
            <w:pPr>
              <w:pStyle w:val="yTableNAm"/>
            </w:pPr>
            <w:r>
              <w:tab/>
              <w:t>except face or neck, less than 7 cm, superficial</w:t>
            </w:r>
          </w:p>
        </w:tc>
        <w:tc>
          <w:tcPr>
            <w:tcW w:w="1134" w:type="dxa"/>
            <w:noWrap/>
          </w:tcPr>
          <w:p>
            <w:pPr>
              <w:pStyle w:val="yTableNAm"/>
              <w:jc w:val="right"/>
            </w:pPr>
            <w:r>
              <w:t>$139.25</w:t>
            </w:r>
          </w:p>
        </w:tc>
      </w:tr>
      <w:tr>
        <w:trPr>
          <w:cantSplit/>
        </w:trPr>
        <w:tc>
          <w:tcPr>
            <w:tcW w:w="5670" w:type="dxa"/>
            <w:noWrap/>
          </w:tcPr>
          <w:p>
            <w:pPr>
              <w:pStyle w:val="yTableNAm"/>
            </w:pPr>
            <w:r>
              <w:tab/>
              <w:t>except face or neck, less than 7 cm, deep</w:t>
            </w:r>
          </w:p>
        </w:tc>
        <w:tc>
          <w:tcPr>
            <w:tcW w:w="1134" w:type="dxa"/>
            <w:noWrap/>
          </w:tcPr>
          <w:p>
            <w:pPr>
              <w:pStyle w:val="yTableNAm"/>
              <w:jc w:val="right"/>
            </w:pPr>
            <w:r>
              <w:t>$208.90</w:t>
            </w:r>
          </w:p>
        </w:tc>
      </w:tr>
      <w:tr>
        <w:trPr>
          <w:cantSplit/>
        </w:trPr>
        <w:tc>
          <w:tcPr>
            <w:tcW w:w="5670" w:type="dxa"/>
            <w:noWrap/>
          </w:tcPr>
          <w:p>
            <w:pPr>
              <w:pStyle w:val="yTableNAm"/>
            </w:pPr>
            <w:r>
              <w:tab/>
              <w:t>except face or neck, more than 7 cm, superficial</w:t>
            </w:r>
          </w:p>
        </w:tc>
        <w:tc>
          <w:tcPr>
            <w:tcW w:w="1134" w:type="dxa"/>
            <w:noWrap/>
          </w:tcPr>
          <w:p>
            <w:pPr>
              <w:pStyle w:val="yTableNAm"/>
              <w:jc w:val="right"/>
            </w:pPr>
            <w:r>
              <w:t>$208.90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tcPr>
          <w:p>
            <w:pPr>
              <w:pStyle w:val="yTableNAm"/>
              <w:jc w:val="right"/>
            </w:pPr>
            <w:r>
              <w:t>$457.95</w:t>
            </w:r>
          </w:p>
        </w:tc>
      </w:tr>
      <w:tr>
        <w:trPr>
          <w:cantSplit/>
        </w:trPr>
        <w:tc>
          <w:tcPr>
            <w:tcW w:w="5670" w:type="dxa"/>
            <w:noWrap/>
          </w:tcPr>
          <w:p>
            <w:pPr>
              <w:pStyle w:val="yTableNAm"/>
              <w:keepNext/>
              <w:keepLines/>
            </w:pPr>
            <w:r>
              <w:t>AMPUTATIONS</w:t>
            </w:r>
          </w:p>
        </w:tc>
        <w:tc>
          <w:tcPr>
            <w:tcW w:w="1134" w:type="dxa"/>
            <w:noWrap/>
            <w:vAlign w:val="center"/>
          </w:tcPr>
          <w:p>
            <w:pPr>
              <w:pStyle w:val="yTableNAm"/>
              <w:keepNext/>
              <w:keepLines/>
              <w:jc w:val="right"/>
            </w:pPr>
          </w:p>
        </w:tc>
      </w:tr>
      <w:tr>
        <w:trPr>
          <w:cantSplit/>
        </w:trPr>
        <w:tc>
          <w:tcPr>
            <w:tcW w:w="5670" w:type="dxa"/>
            <w:noWrap/>
          </w:tcPr>
          <w:p>
            <w:pPr>
              <w:pStyle w:val="yTableNAm"/>
              <w:keepNext/>
              <w:keepLines/>
            </w:pPr>
            <w:r>
              <w:t>Hand, midcarpal or transmetacarpal</w:t>
            </w:r>
          </w:p>
        </w:tc>
        <w:tc>
          <w:tcPr>
            <w:tcW w:w="1134" w:type="dxa"/>
            <w:noWrap/>
          </w:tcPr>
          <w:p>
            <w:pPr>
              <w:pStyle w:val="yTableNAm"/>
              <w:keepNext/>
              <w:keepLines/>
              <w:jc w:val="right"/>
            </w:pPr>
            <w:r>
              <w:t>$696.30</w:t>
            </w:r>
          </w:p>
        </w:tc>
      </w:tr>
      <w:tr>
        <w:trPr>
          <w:cantSplit/>
        </w:trPr>
        <w:tc>
          <w:tcPr>
            <w:tcW w:w="5670" w:type="dxa"/>
            <w:noWrap/>
          </w:tcPr>
          <w:p>
            <w:pPr>
              <w:pStyle w:val="yTableNAm"/>
            </w:pPr>
            <w:r>
              <w:t>Hand, forearm or through arm</w:t>
            </w:r>
          </w:p>
        </w:tc>
        <w:tc>
          <w:tcPr>
            <w:tcW w:w="1134" w:type="dxa"/>
            <w:noWrap/>
          </w:tcPr>
          <w:p>
            <w:pPr>
              <w:pStyle w:val="yTableNAm"/>
              <w:jc w:val="right"/>
            </w:pPr>
            <w:r>
              <w:t>$806.15</w:t>
            </w:r>
          </w:p>
        </w:tc>
      </w:tr>
      <w:tr>
        <w:trPr>
          <w:cantSplit/>
        </w:trPr>
        <w:tc>
          <w:tcPr>
            <w:tcW w:w="5670" w:type="dxa"/>
            <w:noWrap/>
          </w:tcPr>
          <w:p>
            <w:pPr>
              <w:pStyle w:val="yTableNAm"/>
            </w:pPr>
            <w:r>
              <w:t>At shoulder</w:t>
            </w:r>
          </w:p>
        </w:tc>
        <w:tc>
          <w:tcPr>
            <w:tcW w:w="1134" w:type="dxa"/>
            <w:noWrap/>
          </w:tcPr>
          <w:p>
            <w:pPr>
              <w:pStyle w:val="yTableNAm"/>
              <w:jc w:val="right"/>
            </w:pPr>
            <w:r>
              <w:t>$1 364.75</w:t>
            </w:r>
          </w:p>
        </w:tc>
      </w:tr>
      <w:tr>
        <w:trPr>
          <w:cantSplit/>
        </w:trPr>
        <w:tc>
          <w:tcPr>
            <w:tcW w:w="5670" w:type="dxa"/>
            <w:noWrap/>
          </w:tcPr>
          <w:p>
            <w:pPr>
              <w:pStyle w:val="yTableNAm"/>
            </w:pPr>
            <w:r>
              <w:t>Interscapulothoracic</w:t>
            </w:r>
          </w:p>
        </w:tc>
        <w:tc>
          <w:tcPr>
            <w:tcW w:w="1134" w:type="dxa"/>
            <w:noWrap/>
          </w:tcPr>
          <w:p>
            <w:pPr>
              <w:pStyle w:val="yTableNAm"/>
              <w:jc w:val="right"/>
            </w:pPr>
            <w:r>
              <w:t>$2 711.35</w:t>
            </w:r>
          </w:p>
        </w:tc>
      </w:tr>
      <w:tr>
        <w:trPr>
          <w:cantSplit/>
        </w:trPr>
        <w:tc>
          <w:tcPr>
            <w:tcW w:w="5670" w:type="dxa"/>
            <w:noWrap/>
          </w:tcPr>
          <w:p>
            <w:pPr>
              <w:pStyle w:val="yTableNAm"/>
            </w:pPr>
            <w:r>
              <w:t>One digit of foot</w:t>
            </w:r>
          </w:p>
        </w:tc>
        <w:tc>
          <w:tcPr>
            <w:tcW w:w="1134" w:type="dxa"/>
            <w:noWrap/>
          </w:tcPr>
          <w:p>
            <w:pPr>
              <w:pStyle w:val="yTableNAm"/>
              <w:jc w:val="right"/>
            </w:pPr>
            <w:r>
              <w:t>$366.35</w:t>
            </w:r>
          </w:p>
        </w:tc>
      </w:tr>
      <w:tr>
        <w:trPr>
          <w:cantSplit/>
        </w:trPr>
        <w:tc>
          <w:tcPr>
            <w:tcW w:w="5670" w:type="dxa"/>
            <w:noWrap/>
          </w:tcPr>
          <w:p>
            <w:pPr>
              <w:pStyle w:val="yTableNAm"/>
            </w:pPr>
            <w:r>
              <w:t>Two digits of one foot</w:t>
            </w:r>
          </w:p>
        </w:tc>
        <w:tc>
          <w:tcPr>
            <w:tcW w:w="1134" w:type="dxa"/>
            <w:noWrap/>
          </w:tcPr>
          <w:p>
            <w:pPr>
              <w:pStyle w:val="yTableNAm"/>
              <w:jc w:val="right"/>
            </w:pPr>
            <w:r>
              <w:t>$549.75</w:t>
            </w:r>
          </w:p>
        </w:tc>
      </w:tr>
      <w:tr>
        <w:trPr>
          <w:cantSplit/>
        </w:trPr>
        <w:tc>
          <w:tcPr>
            <w:tcW w:w="5670" w:type="dxa"/>
            <w:noWrap/>
          </w:tcPr>
          <w:p>
            <w:pPr>
              <w:pStyle w:val="yTableNAm"/>
            </w:pPr>
            <w:r>
              <w:t>Three digits of one foot</w:t>
            </w:r>
          </w:p>
        </w:tc>
        <w:tc>
          <w:tcPr>
            <w:tcW w:w="1134" w:type="dxa"/>
            <w:noWrap/>
          </w:tcPr>
          <w:p>
            <w:pPr>
              <w:pStyle w:val="yTableNAm"/>
              <w:jc w:val="right"/>
            </w:pPr>
            <w:r>
              <w:t>$742.00</w:t>
            </w:r>
          </w:p>
        </w:tc>
      </w:tr>
      <w:tr>
        <w:trPr>
          <w:cantSplit/>
        </w:trPr>
        <w:tc>
          <w:tcPr>
            <w:tcW w:w="5670" w:type="dxa"/>
            <w:noWrap/>
          </w:tcPr>
          <w:p>
            <w:pPr>
              <w:pStyle w:val="yTableNAm"/>
            </w:pPr>
            <w:r>
              <w:t>Four digits of one foot</w:t>
            </w:r>
          </w:p>
        </w:tc>
        <w:tc>
          <w:tcPr>
            <w:tcW w:w="1134" w:type="dxa"/>
            <w:noWrap/>
          </w:tcPr>
          <w:p>
            <w:pPr>
              <w:pStyle w:val="yTableNAm"/>
              <w:jc w:val="right"/>
            </w:pPr>
            <w:r>
              <w:t>$925.25</w:t>
            </w:r>
          </w:p>
        </w:tc>
      </w:tr>
      <w:tr>
        <w:trPr>
          <w:cantSplit/>
        </w:trPr>
        <w:tc>
          <w:tcPr>
            <w:tcW w:w="5670" w:type="dxa"/>
            <w:noWrap/>
          </w:tcPr>
          <w:p>
            <w:pPr>
              <w:pStyle w:val="yTableNAm"/>
            </w:pPr>
            <w:r>
              <w:t>Five digits of one foot</w:t>
            </w:r>
          </w:p>
        </w:tc>
        <w:tc>
          <w:tcPr>
            <w:tcW w:w="1134" w:type="dxa"/>
            <w:noWrap/>
          </w:tcPr>
          <w:p>
            <w:pPr>
              <w:pStyle w:val="yTableNAm"/>
              <w:jc w:val="right"/>
            </w:pPr>
            <w:r>
              <w:t>$1 108.40</w:t>
            </w:r>
          </w:p>
        </w:tc>
      </w:tr>
      <w:tr>
        <w:trPr>
          <w:cantSplit/>
        </w:trPr>
        <w:tc>
          <w:tcPr>
            <w:tcW w:w="5670" w:type="dxa"/>
            <w:noWrap/>
          </w:tcPr>
          <w:p>
            <w:pPr>
              <w:pStyle w:val="yTableNAm"/>
            </w:pPr>
            <w:r>
              <w:t>Toe including metatarsal or part of metatarsal — each toe</w:t>
            </w:r>
          </w:p>
        </w:tc>
        <w:tc>
          <w:tcPr>
            <w:tcW w:w="1134" w:type="dxa"/>
            <w:noWrap/>
          </w:tcPr>
          <w:p>
            <w:pPr>
              <w:pStyle w:val="yTableNAm"/>
              <w:jc w:val="right"/>
            </w:pPr>
            <w:r>
              <w:t>$432.55</w:t>
            </w:r>
          </w:p>
        </w:tc>
      </w:tr>
      <w:tr>
        <w:trPr>
          <w:cantSplit/>
        </w:trPr>
        <w:tc>
          <w:tcPr>
            <w:tcW w:w="5670" w:type="dxa"/>
            <w:noWrap/>
          </w:tcPr>
          <w:p>
            <w:pPr>
              <w:pStyle w:val="yTableNAm"/>
            </w:pPr>
            <w:r>
              <w:t>Foot, at ankle</w:t>
            </w:r>
          </w:p>
        </w:tc>
        <w:tc>
          <w:tcPr>
            <w:tcW w:w="1134" w:type="dxa"/>
            <w:noWrap/>
          </w:tcPr>
          <w:p>
            <w:pPr>
              <w:pStyle w:val="yTableNAm"/>
              <w:jc w:val="right"/>
              <w:rPr>
                <w:b/>
              </w:rPr>
            </w:pPr>
            <w:r>
              <w:t>$806.15</w:t>
            </w:r>
          </w:p>
        </w:tc>
      </w:tr>
      <w:tr>
        <w:trPr>
          <w:cantSplit/>
        </w:trPr>
        <w:tc>
          <w:tcPr>
            <w:tcW w:w="5670" w:type="dxa"/>
            <w:noWrap/>
          </w:tcPr>
          <w:p>
            <w:pPr>
              <w:pStyle w:val="yTableNAm"/>
            </w:pPr>
            <w:r>
              <w:t>Foot, midtarsal or transmetatarsal</w:t>
            </w:r>
          </w:p>
        </w:tc>
        <w:tc>
          <w:tcPr>
            <w:tcW w:w="1134" w:type="dxa"/>
            <w:noWrap/>
          </w:tcPr>
          <w:p>
            <w:pPr>
              <w:pStyle w:val="yTableNAm"/>
              <w:jc w:val="right"/>
              <w:rPr>
                <w:b/>
              </w:rPr>
            </w:pPr>
            <w:r>
              <w:t>$696.30</w:t>
            </w:r>
          </w:p>
        </w:tc>
      </w:tr>
      <w:tr>
        <w:trPr>
          <w:cantSplit/>
        </w:trPr>
        <w:tc>
          <w:tcPr>
            <w:tcW w:w="5670" w:type="dxa"/>
            <w:noWrap/>
          </w:tcPr>
          <w:p>
            <w:pPr>
              <w:pStyle w:val="yTableNAm"/>
            </w:pPr>
            <w:r>
              <w:t>Through thigh, at knee or below knee</w:t>
            </w:r>
          </w:p>
        </w:tc>
        <w:tc>
          <w:tcPr>
            <w:tcW w:w="1134" w:type="dxa"/>
            <w:noWrap/>
          </w:tcPr>
          <w:p>
            <w:pPr>
              <w:pStyle w:val="yTableNAm"/>
              <w:jc w:val="right"/>
            </w:pPr>
            <w:r>
              <w:t>$1 190.95</w:t>
            </w:r>
          </w:p>
        </w:tc>
      </w:tr>
      <w:tr>
        <w:trPr>
          <w:cantSplit/>
        </w:trPr>
        <w:tc>
          <w:tcPr>
            <w:tcW w:w="5670" w:type="dxa"/>
            <w:noWrap/>
          </w:tcPr>
          <w:p>
            <w:pPr>
              <w:pStyle w:val="yTableNAm"/>
            </w:pPr>
            <w:r>
              <w:lastRenderedPageBreak/>
              <w:t>At hip</w:t>
            </w:r>
          </w:p>
        </w:tc>
        <w:tc>
          <w:tcPr>
            <w:tcW w:w="1134" w:type="dxa"/>
            <w:noWrap/>
          </w:tcPr>
          <w:p>
            <w:pPr>
              <w:pStyle w:val="yTableNAm"/>
              <w:jc w:val="right"/>
            </w:pPr>
            <w:r>
              <w:t>$1 676.15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center"/>
          </w:tcPr>
          <w:p>
            <w:pPr>
              <w:pStyle w:val="yTableNAm"/>
              <w:jc w:val="right"/>
            </w:pPr>
          </w:p>
        </w:tc>
      </w:tr>
      <w:tr>
        <w:trPr>
          <w:cantSplit/>
        </w:trPr>
        <w:tc>
          <w:tcPr>
            <w:tcW w:w="5670" w:type="dxa"/>
            <w:noWrap/>
          </w:tcPr>
          <w:p>
            <w:pPr>
              <w:pStyle w:val="yTableNAm"/>
              <w:rPr>
                <w:rStyle w:val="DraftersNotes"/>
              </w:rPr>
            </w:pPr>
            <w:r>
              <w:t>The fee is 20% of the total fee or the minimum sum of $230.70, whichever is greater.</w:t>
            </w:r>
          </w:p>
        </w:tc>
        <w:tc>
          <w:tcPr>
            <w:tcW w:w="1134" w:type="dxa"/>
            <w:noWrap/>
            <w:vAlign w:val="center"/>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$139.25 will be paid to practitioners for the use of their private theatre, but this fee may only be charged if the patient would otherwise have been sent to hospital.</w:t>
            </w:r>
          </w:p>
        </w:tc>
        <w:tc>
          <w:tcPr>
            <w:tcW w:w="1134" w:type="dxa"/>
            <w:tcBorders>
              <w:bottom w:val="single" w:sz="4" w:space="0" w:color="auto"/>
            </w:tcBorders>
            <w:noWrap/>
          </w:tcPr>
          <w:p>
            <w:pPr>
              <w:pStyle w:val="yTableNAm"/>
              <w:jc w:val="right"/>
            </w:pPr>
          </w:p>
        </w:tc>
      </w:tr>
    </w:tbl>
    <w:p>
      <w:pPr>
        <w:pStyle w:val="yFootnoteheading"/>
        <w:spacing w:after="60"/>
      </w:pPr>
      <w:r>
        <w:tab/>
        <w:t>[Part 2 inserted: SL 2020/203 r. 7.]</w:t>
      </w:r>
    </w:p>
    <w:p>
      <w:pPr>
        <w:pStyle w:val="yHeading3"/>
      </w:pPr>
      <w:bookmarkStart w:id="32" w:name="_Toc84342601"/>
      <w:bookmarkStart w:id="33" w:name="_Toc84342823"/>
      <w:bookmarkStart w:id="34" w:name="_Toc84413619"/>
      <w:r>
        <w:rPr>
          <w:rStyle w:val="CharSDivNo"/>
        </w:rPr>
        <w:t>Part 3</w:t>
      </w:r>
      <w:r>
        <w:t> — </w:t>
      </w:r>
      <w:r>
        <w:rPr>
          <w:rStyle w:val="CharSDivText"/>
        </w:rPr>
        <w:t>Diagnostic Imaging Services</w:t>
      </w:r>
      <w:bookmarkEnd w:id="32"/>
      <w:bookmarkEnd w:id="33"/>
      <w:bookmarkEnd w:id="34"/>
    </w:p>
    <w:p>
      <w:pPr>
        <w:pStyle w:val="yFootnoteheading"/>
      </w:pPr>
      <w:r>
        <w:tab/>
        <w:t>[Heading inserted: SL 2020/203 r. 7.]</w:t>
      </w:r>
    </w:p>
    <w:p>
      <w:pPr>
        <w:pStyle w:val="yMiscellaneousBody"/>
        <w:keepNext/>
        <w:keepLines/>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rPr>
            </w:pPr>
            <w:r>
              <w:rPr>
                <w:b/>
              </w:rPr>
              <w:t>MBS item number</w:t>
            </w:r>
          </w:p>
        </w:tc>
        <w:tc>
          <w:tcPr>
            <w:tcW w:w="1134" w:type="dxa"/>
            <w:tcBorders>
              <w:top w:val="single" w:sz="4" w:space="0" w:color="auto"/>
              <w:bottom w:val="single" w:sz="4" w:space="0" w:color="auto"/>
            </w:tcBorders>
            <w:noWrap/>
          </w:tcPr>
          <w:p>
            <w:pPr>
              <w:pStyle w:val="yTableNAm"/>
              <w:keepNext/>
              <w:keepLines/>
              <w:jc w:val="center"/>
              <w:rPr>
                <w:b/>
              </w:rPr>
            </w:pPr>
            <w:r>
              <w:rPr>
                <w:b/>
                <w:bCs/>
              </w:rPr>
              <w:t>Fee</w:t>
            </w:r>
            <w:r>
              <w:rPr>
                <w:b/>
                <w:bCs/>
              </w:rPr>
              <w:br/>
              <w:t>$</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224.45</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77.80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228.80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77.80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224.45</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77.80</w:t>
            </w:r>
          </w:p>
        </w:tc>
      </w:tr>
      <w:tr>
        <w:tblPrEx>
          <w:tblCellMar>
            <w:left w:w="108" w:type="dxa"/>
            <w:right w:w="108" w:type="dxa"/>
          </w:tblCellMar>
        </w:tblPrEx>
        <w:trPr>
          <w:trHeight w:val="373"/>
          <w:jc w:val="center"/>
        </w:trPr>
        <w:tc>
          <w:tcPr>
            <w:tcW w:w="4535" w:type="dxa"/>
            <w:noWrap/>
            <w:vAlign w:val="bottom"/>
          </w:tcPr>
          <w:p>
            <w:pPr>
              <w:pStyle w:val="yTableNAm"/>
            </w:pPr>
            <w:r>
              <w:lastRenderedPageBreak/>
              <w:t>55048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202.05</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70.00</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474.30</w:t>
            </w:r>
          </w:p>
        </w:tc>
      </w:tr>
      <w:tr>
        <w:tblPrEx>
          <w:tblCellMar>
            <w:left w:w="108" w:type="dxa"/>
            <w:right w:w="108" w:type="dxa"/>
          </w:tblCellMar>
        </w:tblPrEx>
        <w:trPr>
          <w:trHeight w:val="148"/>
          <w:jc w:val="center"/>
        </w:trPr>
        <w:tc>
          <w:tcPr>
            <w:tcW w:w="4535" w:type="dxa"/>
            <w:noWrap/>
            <w:vAlign w:val="bottom"/>
          </w:tcPr>
          <w:p>
            <w:pPr>
              <w:pStyle w:val="yTableNAm"/>
              <w:keepNext/>
              <w:keepLines/>
            </w:pPr>
            <w:r>
              <w:t>55116</w:t>
            </w:r>
          </w:p>
        </w:tc>
        <w:tc>
          <w:tcPr>
            <w:tcW w:w="1134" w:type="dxa"/>
            <w:noWrap/>
            <w:vAlign w:val="bottom"/>
          </w:tcPr>
          <w:p>
            <w:pPr>
              <w:pStyle w:val="yTableNAm"/>
              <w:keepNext/>
              <w:keepLines/>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527.55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566.55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349.70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727.20</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lastRenderedPageBreak/>
              <w:t>55280</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jc w:val="right"/>
            </w:pPr>
            <w:r>
              <w:t>348.60</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228.45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keepNext/>
              <w:keepLines/>
            </w:pPr>
            <w:r>
              <w:t>55705</w:t>
            </w:r>
          </w:p>
        </w:tc>
        <w:tc>
          <w:tcPr>
            <w:tcW w:w="1134" w:type="dxa"/>
            <w:noWrap/>
            <w:vAlign w:val="bottom"/>
          </w:tcPr>
          <w:p>
            <w:pPr>
              <w:pStyle w:val="yTableNAm"/>
              <w:keepNext/>
              <w:keepLines/>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144.00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72.05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205.65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236.55</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78.15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82.30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261.15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117.15</w:t>
            </w:r>
          </w:p>
        </w:tc>
      </w:tr>
      <w:tr>
        <w:tblPrEx>
          <w:tblCellMar>
            <w:left w:w="108" w:type="dxa"/>
            <w:right w:w="108" w:type="dxa"/>
          </w:tblCellMar>
        </w:tblPrEx>
        <w:trPr>
          <w:trHeight w:val="148"/>
          <w:jc w:val="center"/>
        </w:trPr>
        <w:tc>
          <w:tcPr>
            <w:tcW w:w="4535" w:type="dxa"/>
            <w:noWrap/>
            <w:vAlign w:val="bottom"/>
          </w:tcPr>
          <w:p>
            <w:pPr>
              <w:pStyle w:val="yTableNAm"/>
            </w:pPr>
            <w:r>
              <w:lastRenderedPageBreak/>
              <w:t>55759</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jc w:val="right"/>
            </w:pPr>
            <w:r>
              <w:t>308.55</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123.30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329.05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133.60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keepNext/>
              <w:keepLines/>
            </w:pPr>
            <w:r>
              <w:t>55844</w:t>
            </w:r>
          </w:p>
        </w:tc>
        <w:tc>
          <w:tcPr>
            <w:tcW w:w="1134" w:type="dxa"/>
            <w:noWrap/>
            <w:vAlign w:val="bottom"/>
          </w:tcPr>
          <w:p>
            <w:pPr>
              <w:pStyle w:val="yTableNAm"/>
              <w:keepNext/>
              <w:keepLines/>
              <w:jc w:val="right"/>
            </w:pPr>
            <w:r>
              <w:t>179.65</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77.80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224.45</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314.30</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224.45</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77.80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rPr>
                <w:szCs w:val="22"/>
              </w:rPr>
            </w:pPr>
            <w:r>
              <w:rPr>
                <w:szCs w:val="22"/>
              </w:rPr>
              <w:t>368.35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rPr>
                <w:szCs w:val="22"/>
              </w:rPr>
            </w:pPr>
            <w:r>
              <w:rPr>
                <w:szCs w:val="22"/>
              </w:rPr>
              <w:t>476.10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rPr>
                <w:szCs w:val="22"/>
              </w:rPr>
            </w:pPr>
            <w:r>
              <w:rPr>
                <w:szCs w:val="22"/>
              </w:rPr>
              <w:t>472.20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rPr>
                <w:szCs w:val="22"/>
              </w:rPr>
            </w:pPr>
            <w:r>
              <w:rPr>
                <w:szCs w:val="22"/>
              </w:rPr>
              <w:t>547.75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lastRenderedPageBreak/>
              <w:t>56028</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rPr>
                <w:szCs w:val="22"/>
              </w:rPr>
            </w:pPr>
            <w:r>
              <w:rPr>
                <w:szCs w:val="22"/>
              </w:rPr>
              <w:t>425.00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rPr>
                <w:szCs w:val="22"/>
              </w:rPr>
            </w:pPr>
            <w:r>
              <w:rPr>
                <w:szCs w:val="22"/>
              </w:rPr>
              <w:t>636.25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jc w:val="right"/>
              <w:rPr>
                <w:szCs w:val="22"/>
              </w:rPr>
            </w:pPr>
            <w:r>
              <w:rPr>
                <w:szCs w:val="22"/>
              </w:rPr>
              <w:t>434.55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jc w:val="right"/>
              <w:rPr>
                <w:szCs w:val="22"/>
              </w:rPr>
            </w:pPr>
            <w:r>
              <w:rPr>
                <w:szCs w:val="22"/>
              </w:rPr>
              <w:t>642.35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jc w:val="right"/>
              <w:rPr>
                <w:szCs w:val="22"/>
              </w:rPr>
            </w:pPr>
            <w:r>
              <w:rPr>
                <w:szCs w:val="22"/>
              </w:rPr>
              <w:t>616.20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56223</w:t>
            </w:r>
          </w:p>
        </w:tc>
        <w:tc>
          <w:tcPr>
            <w:tcW w:w="1134" w:type="dxa"/>
            <w:noWrap/>
          </w:tcPr>
          <w:p>
            <w:pPr>
              <w:pStyle w:val="yTableNAm"/>
              <w:keepNext/>
              <w:keepLines/>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jc w:val="right"/>
              <w:rPr>
                <w:szCs w:val="22"/>
              </w:rPr>
            </w:pPr>
            <w:r>
              <w:rPr>
                <w:szCs w:val="22"/>
              </w:rPr>
              <w:t>453.35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jc w:val="right"/>
              <w:rPr>
                <w:szCs w:val="22"/>
              </w:rPr>
            </w:pPr>
            <w:r>
              <w:rPr>
                <w:szCs w:val="22"/>
              </w:rPr>
              <w:t>663.75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jc w:val="right"/>
              <w:rPr>
                <w:szCs w:val="22"/>
              </w:rPr>
            </w:pPr>
            <w:r>
              <w:rPr>
                <w:szCs w:val="22"/>
              </w:rPr>
              <w:t>231.25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jc w:val="right"/>
              <w:rPr>
                <w:szCs w:val="22"/>
              </w:rPr>
            </w:pPr>
            <w:r>
              <w:rPr>
                <w:szCs w:val="22"/>
              </w:rPr>
              <w:t>335.15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jc w:val="right"/>
              <w:rPr>
                <w:szCs w:val="22"/>
              </w:rPr>
            </w:pPr>
            <w:r>
              <w:rPr>
                <w:szCs w:val="22"/>
              </w:rPr>
              <w:t>311.20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jc w:val="right"/>
              <w:rPr>
                <w:szCs w:val="22"/>
              </w:rPr>
            </w:pPr>
            <w:r>
              <w:rPr>
                <w:szCs w:val="22"/>
              </w:rPr>
              <w:t>557.20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jc w:val="right"/>
              <w:rPr>
                <w:szCs w:val="22"/>
              </w:rPr>
            </w:pPr>
            <w:r>
              <w:rPr>
                <w:szCs w:val="22"/>
              </w:rPr>
              <w:t>755.35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jc w:val="right"/>
              <w:rPr>
                <w:szCs w:val="22"/>
              </w:rPr>
            </w:pPr>
            <w:r>
              <w:rPr>
                <w:szCs w:val="22"/>
              </w:rPr>
              <w:t>282.30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jc w:val="right"/>
              <w:rPr>
                <w:szCs w:val="22"/>
              </w:rPr>
            </w:pPr>
            <w:r>
              <w:rPr>
                <w:szCs w:val="22"/>
              </w:rPr>
              <w:t>381.50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56401</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jc w:val="right"/>
              <w:rPr>
                <w:szCs w:val="22"/>
              </w:rPr>
            </w:pPr>
            <w:r>
              <w:rPr>
                <w:szCs w:val="22"/>
              </w:rPr>
              <w:t>472.20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jc w:val="right"/>
              <w:rPr>
                <w:szCs w:val="22"/>
              </w:rPr>
            </w:pPr>
            <w:r>
              <w:rPr>
                <w:szCs w:val="22"/>
              </w:rPr>
              <w:t>679.95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jc w:val="right"/>
              <w:rPr>
                <w:szCs w:val="22"/>
              </w:rPr>
            </w:pPr>
            <w:r>
              <w:rPr>
                <w:szCs w:val="22"/>
              </w:rPr>
              <w:t>239.40</w:t>
            </w:r>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56452</w:t>
            </w:r>
          </w:p>
        </w:tc>
        <w:tc>
          <w:tcPr>
            <w:tcW w:w="1134" w:type="dxa"/>
            <w:noWrap/>
          </w:tcPr>
          <w:p>
            <w:pPr>
              <w:pStyle w:val="yTableNAm"/>
              <w:keepNext/>
              <w:keepLines/>
              <w:jc w:val="right"/>
              <w:rPr>
                <w:szCs w:val="22"/>
              </w:rPr>
            </w:pPr>
            <w:r>
              <w:rPr>
                <w:szCs w:val="22"/>
              </w:rPr>
              <w:t>342.75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jc w:val="right"/>
              <w:rPr>
                <w:szCs w:val="22"/>
              </w:rPr>
            </w:pPr>
            <w:r>
              <w:rPr>
                <w:szCs w:val="22"/>
              </w:rPr>
              <w:t>727.20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jc w:val="right"/>
              <w:rPr>
                <w:szCs w:val="22"/>
              </w:rPr>
            </w:pPr>
            <w:r>
              <w:rPr>
                <w:szCs w:val="22"/>
              </w:rPr>
              <w:t>906.60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jc w:val="right"/>
              <w:rPr>
                <w:szCs w:val="22"/>
              </w:rPr>
            </w:pPr>
            <w:r>
              <w:rPr>
                <w:szCs w:val="22"/>
              </w:rPr>
              <w:t>364.75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jc w:val="right"/>
              <w:rPr>
                <w:szCs w:val="22"/>
              </w:rPr>
            </w:pPr>
            <w:r>
              <w:rPr>
                <w:szCs w:val="22"/>
              </w:rPr>
              <w:t>460.40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jc w:val="right"/>
              <w:rPr>
                <w:szCs w:val="22"/>
              </w:rPr>
            </w:pPr>
            <w:r>
              <w:rPr>
                <w:szCs w:val="22"/>
              </w:rPr>
              <w:t>211.75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jc w:val="right"/>
              <w:rPr>
                <w:szCs w:val="22"/>
              </w:rPr>
            </w:pPr>
            <w:r>
              <w:rPr>
                <w:szCs w:val="22"/>
              </w:rPr>
              <w:t>316.30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jc w:val="right"/>
              <w:rPr>
                <w:szCs w:val="22"/>
              </w:rPr>
            </w:pPr>
            <w:r>
              <w:rPr>
                <w:szCs w:val="22"/>
              </w:rPr>
              <w:t>881.35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jc w:val="right"/>
              <w:rPr>
                <w:szCs w:val="22"/>
              </w:rPr>
            </w:pPr>
            <w:r>
              <w:rPr>
                <w:szCs w:val="22"/>
              </w:rPr>
              <w:t>1 057.85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jc w:val="right"/>
              <w:rPr>
                <w:szCs w:val="22"/>
              </w:rPr>
            </w:pPr>
            <w:r>
              <w:rPr>
                <w:szCs w:val="22"/>
              </w:rPr>
              <w:t>440.65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jc w:val="right"/>
              <w:rPr>
                <w:szCs w:val="22"/>
              </w:rPr>
            </w:pPr>
            <w:r>
              <w:rPr>
                <w:szCs w:val="22"/>
              </w:rPr>
              <w:t>536.20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jc w:val="right"/>
              <w:rPr>
                <w:szCs w:val="22"/>
              </w:rPr>
            </w:pPr>
            <w:r>
              <w:rPr>
                <w:szCs w:val="22"/>
              </w:rPr>
              <w:t>881.50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rPr>
                <w:szCs w:val="22"/>
              </w:rPr>
            </w:pPr>
            <w:r>
              <w:rPr>
                <w:szCs w:val="22"/>
              </w:rPr>
              <w:t>1 072.40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rPr>
                <w:szCs w:val="22"/>
              </w:rPr>
            </w:pPr>
            <w:r>
              <w:rPr>
                <w:szCs w:val="22"/>
              </w:rPr>
              <w:t>440.75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rPr>
                <w:szCs w:val="22"/>
              </w:rPr>
            </w:pPr>
            <w:r>
              <w:rPr>
                <w:szCs w:val="22"/>
              </w:rPr>
              <w:t>536.25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jc w:val="right"/>
              <w:rPr>
                <w:szCs w:val="22"/>
              </w:rPr>
            </w:pPr>
            <w:r>
              <w:rPr>
                <w:szCs w:val="22"/>
              </w:rPr>
              <w:t>293.10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jc w:val="right"/>
              <w:rPr>
                <w:szCs w:val="22"/>
              </w:rPr>
            </w:pPr>
            <w:r>
              <w:rPr>
                <w:szCs w:val="22"/>
              </w:rPr>
              <w:t>887.80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57345</w:t>
            </w:r>
          </w:p>
        </w:tc>
        <w:tc>
          <w:tcPr>
            <w:tcW w:w="1134" w:type="dxa"/>
            <w:noWrap/>
          </w:tcPr>
          <w:p>
            <w:pPr>
              <w:pStyle w:val="yTableNAm"/>
              <w:jc w:val="right"/>
              <w:rPr>
                <w:szCs w:val="22"/>
              </w:rPr>
            </w:pPr>
            <w:r>
              <w:rPr>
                <w:szCs w:val="22"/>
              </w:rPr>
              <w:t>456.40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jc w:val="right"/>
              <w:rPr>
                <w:szCs w:val="22"/>
              </w:rPr>
            </w:pPr>
            <w:r>
              <w:rPr>
                <w:szCs w:val="22"/>
              </w:rPr>
              <w:t>963.30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jc w:val="right"/>
              <w:rPr>
                <w:szCs w:val="22"/>
              </w:rPr>
            </w:pPr>
            <w:r>
              <w:rPr>
                <w:szCs w:val="22"/>
              </w:rPr>
              <w:t>498.95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jc w:val="right"/>
              <w:rPr>
                <w:szCs w:val="22"/>
              </w:rPr>
            </w:pPr>
            <w:r>
              <w:rPr>
                <w:szCs w:val="22"/>
              </w:rPr>
              <w:t>498.95</w:t>
            </w:r>
          </w:p>
        </w:tc>
      </w:tr>
    </w:tbl>
    <w:p>
      <w:pPr>
        <w:pStyle w:val="yMiscellaneousBody"/>
        <w:keepNext/>
        <w:keepLines/>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bCs/>
              </w:rPr>
            </w:pPr>
            <w:r>
              <w:rPr>
                <w:b/>
                <w:bCs/>
              </w:rPr>
              <w:t>MBS item number</w:t>
            </w:r>
          </w:p>
        </w:tc>
        <w:tc>
          <w:tcPr>
            <w:tcW w:w="1134" w:type="dxa"/>
            <w:tcBorders>
              <w:top w:val="single" w:sz="4" w:space="0" w:color="auto"/>
              <w:bottom w:val="single" w:sz="4" w:space="0" w:color="auto"/>
            </w:tcBorders>
            <w:noWrap/>
          </w:tcPr>
          <w:p>
            <w:pPr>
              <w:pStyle w:val="yTableNAm"/>
              <w:keepNext/>
              <w:keepLines/>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jc w:val="right"/>
              <w:rPr>
                <w:szCs w:val="22"/>
              </w:rPr>
            </w:pPr>
            <w:r>
              <w:rPr>
                <w:szCs w:val="22"/>
              </w:rPr>
              <w:t>107.85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jc w:val="right"/>
              <w:rPr>
                <w:szCs w:val="22"/>
              </w:rPr>
            </w:pPr>
            <w:r>
              <w:rPr>
                <w:szCs w:val="22"/>
              </w:rPr>
              <w:t>143.50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jc w:val="right"/>
              <w:rPr>
                <w:szCs w:val="22"/>
              </w:rPr>
            </w:pPr>
            <w:r>
              <w:rPr>
                <w:szCs w:val="22"/>
              </w:rPr>
              <w:t>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jc w:val="right"/>
              <w:rPr>
                <w:szCs w:val="22"/>
              </w:rPr>
            </w:pPr>
            <w:r>
              <w:rPr>
                <w:szCs w:val="22"/>
              </w:rPr>
              <w:t>117.70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jc w:val="right"/>
              <w:rPr>
                <w:szCs w:val="22"/>
              </w:rPr>
            </w:pPr>
            <w:r>
              <w:rPr>
                <w:szCs w:val="22"/>
              </w:rPr>
              <w:t>70.75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jc w:val="right"/>
              <w:rPr>
                <w:szCs w:val="22"/>
              </w:rPr>
            </w:pPr>
            <w:r>
              <w:rPr>
                <w:szCs w:val="22"/>
              </w:rPr>
              <w:t>132.95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jc w:val="right"/>
              <w:rPr>
                <w:szCs w:val="22"/>
              </w:rPr>
            </w:pPr>
            <w:r>
              <w:rPr>
                <w:szCs w:val="22"/>
              </w:rPr>
              <w:t>216.45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57918</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jc w:val="right"/>
              <w:rPr>
                <w:szCs w:val="22"/>
              </w:rPr>
            </w:pPr>
            <w:r>
              <w:rPr>
                <w:szCs w:val="22"/>
              </w:rPr>
              <w:t>71.80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57933</w:t>
            </w:r>
          </w:p>
        </w:tc>
        <w:tc>
          <w:tcPr>
            <w:tcW w:w="1134" w:type="dxa"/>
            <w:noWrap/>
          </w:tcPr>
          <w:p>
            <w:pPr>
              <w:pStyle w:val="yTableNAm"/>
              <w:keepNext/>
              <w:keepLines/>
              <w:jc w:val="right"/>
              <w:rPr>
                <w:szCs w:val="22"/>
              </w:rPr>
            </w:pPr>
            <w:r>
              <w:rPr>
                <w:szCs w:val="22"/>
              </w:rPr>
              <w:t>170.65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jc w:val="right"/>
              <w:rPr>
                <w:szCs w:val="22"/>
              </w:rPr>
            </w:pPr>
            <w:r>
              <w:rPr>
                <w:szCs w:val="22"/>
              </w:rPr>
              <w:t>140.65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jc w:val="right"/>
              <w:rPr>
                <w:szCs w:val="22"/>
              </w:rPr>
            </w:pPr>
            <w:r>
              <w:rPr>
                <w:szCs w:val="22"/>
              </w:rPr>
              <w:t>108.15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jc w:val="right"/>
              <w:rPr>
                <w:szCs w:val="22"/>
              </w:rPr>
            </w:pPr>
            <w:r>
              <w:rPr>
                <w:szCs w:val="22"/>
              </w:rPr>
              <w:t>103.50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jc w:val="right"/>
              <w:rPr>
                <w:szCs w:val="22"/>
              </w:rPr>
            </w:pPr>
            <w:r>
              <w:rPr>
                <w:szCs w:val="22"/>
              </w:rPr>
              <w:t>146.40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jc w:val="right"/>
              <w:rPr>
                <w:szCs w:val="22"/>
              </w:rPr>
            </w:pPr>
            <w:r>
              <w:rPr>
                <w:szCs w:val="22"/>
              </w:rPr>
              <w:t>120.20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jc w:val="right"/>
              <w:rPr>
                <w:szCs w:val="22"/>
              </w:rPr>
            </w:pPr>
            <w:r>
              <w:rPr>
                <w:szCs w:val="22"/>
              </w:rPr>
              <w:t>167.90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jc w:val="right"/>
              <w:rPr>
                <w:szCs w:val="22"/>
              </w:rPr>
            </w:pPr>
            <w:r>
              <w:rPr>
                <w:szCs w:val="22"/>
              </w:rPr>
              <w:t>102.60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jc w:val="right"/>
              <w:rPr>
                <w:szCs w:val="22"/>
              </w:rPr>
            </w:pPr>
            <w:r>
              <w:rPr>
                <w:szCs w:val="22"/>
              </w:rPr>
              <w:t>212.15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jc w:val="right"/>
              <w:rPr>
                <w:szCs w:val="22"/>
              </w:rPr>
            </w:pPr>
            <w:r>
              <w:rPr>
                <w:szCs w:val="22"/>
              </w:rPr>
              <w:t>289.85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jc w:val="right"/>
              <w:rPr>
                <w:szCs w:val="22"/>
              </w:rPr>
            </w:pPr>
            <w:r>
              <w:rPr>
                <w:szCs w:val="22"/>
              </w:rPr>
              <w:t>87.50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jc w:val="right"/>
              <w:rPr>
                <w:szCs w:val="22"/>
              </w:rPr>
            </w:pPr>
            <w:r>
              <w:rPr>
                <w:szCs w:val="22"/>
              </w:rPr>
              <w:t>194.85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jc w:val="right"/>
              <w:rPr>
                <w:szCs w:val="22"/>
              </w:rPr>
            </w:pPr>
            <w:r>
              <w:rPr>
                <w:szCs w:val="22"/>
              </w:rPr>
              <w:t>77.10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jc w:val="right"/>
              <w:rPr>
                <w:szCs w:val="22"/>
              </w:rPr>
            </w:pPr>
            <w:r>
              <w:rPr>
                <w:szCs w:val="22"/>
              </w:rPr>
              <w:t>132.75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58509</w:t>
            </w:r>
          </w:p>
        </w:tc>
        <w:tc>
          <w:tcPr>
            <w:tcW w:w="1134" w:type="dxa"/>
            <w:noWrap/>
          </w:tcPr>
          <w:p>
            <w:pPr>
              <w:pStyle w:val="yTableNAm"/>
              <w:jc w:val="right"/>
              <w:rPr>
                <w:szCs w:val="22"/>
              </w:rPr>
            </w:pPr>
            <w:r>
              <w:rPr>
                <w:szCs w:val="22"/>
              </w:rPr>
              <w:t>86.70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jc w:val="right"/>
              <w:rPr>
                <w:szCs w:val="22"/>
              </w:rPr>
            </w:pPr>
            <w:r>
              <w:rPr>
                <w:szCs w:val="22"/>
              </w:rPr>
              <w:t>123.25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jc w:val="right"/>
              <w:rPr>
                <w:szCs w:val="22"/>
              </w:rPr>
            </w:pPr>
            <w:r>
              <w:rPr>
                <w:szCs w:val="22"/>
              </w:rPr>
              <w:t>151.30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58700</w:t>
            </w:r>
          </w:p>
        </w:tc>
        <w:tc>
          <w:tcPr>
            <w:tcW w:w="1134" w:type="dxa"/>
            <w:noWrap/>
          </w:tcPr>
          <w:p>
            <w:pPr>
              <w:pStyle w:val="yTableNAm"/>
              <w:keepNext/>
              <w:keepLines/>
              <w:jc w:val="right"/>
              <w:rPr>
                <w:szCs w:val="22"/>
              </w:rPr>
            </w:pPr>
            <w:r>
              <w:rPr>
                <w:szCs w:val="22"/>
              </w:rPr>
              <w:t>100.60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jc w:val="right"/>
              <w:rPr>
                <w:szCs w:val="22"/>
              </w:rPr>
            </w:pPr>
            <w:r>
              <w:rPr>
                <w:szCs w:val="22"/>
              </w:rPr>
              <w:t>344.40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jc w:val="right"/>
              <w:rPr>
                <w:szCs w:val="22"/>
              </w:rPr>
            </w:pPr>
            <w:r>
              <w:rPr>
                <w:szCs w:val="22"/>
              </w:rPr>
              <w:t>330.60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jc w:val="right"/>
              <w:rPr>
                <w:szCs w:val="22"/>
              </w:rPr>
            </w:pPr>
            <w:r>
              <w:rPr>
                <w:szCs w:val="22"/>
              </w:rPr>
              <w:t>275.25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jc w:val="right"/>
              <w:rPr>
                <w:szCs w:val="22"/>
              </w:rPr>
            </w:pPr>
            <w:r>
              <w:rPr>
                <w:szCs w:val="22"/>
              </w:rPr>
              <w:t>301.60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jc w:val="right"/>
              <w:rPr>
                <w:szCs w:val="22"/>
              </w:rPr>
            </w:pPr>
            <w:r>
              <w:rPr>
                <w:szCs w:val="22"/>
              </w:rPr>
              <w:t>77.80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jc w:val="right"/>
              <w:rPr>
                <w:szCs w:val="22"/>
              </w:rPr>
            </w:pPr>
            <w:r>
              <w:rPr>
                <w:szCs w:val="22"/>
              </w:rPr>
              <w:t>103.75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jc w:val="right"/>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jc w:val="right"/>
              <w:rPr>
                <w:szCs w:val="22"/>
              </w:rPr>
            </w:pPr>
            <w:r>
              <w:rPr>
                <w:szCs w:val="22"/>
              </w:rPr>
              <w:t>240.50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jc w:val="right"/>
              <w:rPr>
                <w:szCs w:val="22"/>
              </w:rPr>
            </w:pPr>
            <w:r>
              <w:rPr>
                <w:szCs w:val="22"/>
              </w:rPr>
              <w:t>172.15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jc w:val="right"/>
              <w:rPr>
                <w:szCs w:val="22"/>
              </w:rPr>
            </w:pPr>
            <w:r>
              <w:rPr>
                <w:szCs w:val="22"/>
              </w:rPr>
              <w:t>302.10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jc w:val="right"/>
              <w:rPr>
                <w:szCs w:val="22"/>
              </w:rPr>
            </w:pPr>
            <w:r>
              <w:rPr>
                <w:szCs w:val="22"/>
              </w:rPr>
              <w:t>295.05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jc w:val="right"/>
              <w:rPr>
                <w:szCs w:val="22"/>
              </w:rPr>
            </w:pPr>
            <w:r>
              <w:rPr>
                <w:szCs w:val="22"/>
              </w:rPr>
              <w:t>166.75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jc w:val="right"/>
              <w:rPr>
                <w:szCs w:val="22"/>
              </w:rPr>
            </w:pPr>
            <w:r>
              <w:rPr>
                <w:szCs w:val="22"/>
              </w:rPr>
              <w:t>448.55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jc w:val="right"/>
              <w:rPr>
                <w:szCs w:val="22"/>
              </w:rPr>
            </w:pPr>
            <w:r>
              <w:rPr>
                <w:szCs w:val="22"/>
              </w:rPr>
              <w:t>427.50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jc w:val="right"/>
              <w:rPr>
                <w:szCs w:val="22"/>
              </w:rPr>
            </w:pPr>
            <w:r>
              <w:rPr>
                <w:szCs w:val="22"/>
              </w:rPr>
              <w:t>303.80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jc w:val="right"/>
              <w:rPr>
                <w:szCs w:val="22"/>
              </w:rPr>
            </w:pPr>
            <w:r>
              <w:rPr>
                <w:szCs w:val="22"/>
              </w:rPr>
              <w:t>46.55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jc w:val="right"/>
              <w:rPr>
                <w:szCs w:val="22"/>
              </w:rPr>
            </w:pPr>
            <w:r>
              <w:rPr>
                <w:szCs w:val="22"/>
              </w:rPr>
              <w:t>195.30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jc w:val="right"/>
              <w:rPr>
                <w:szCs w:val="22"/>
              </w:rPr>
            </w:pPr>
            <w:r>
              <w:rPr>
                <w:szCs w:val="22"/>
              </w:rPr>
              <w:t>117.60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jc w:val="right"/>
              <w:rPr>
                <w:szCs w:val="22"/>
              </w:rPr>
            </w:pPr>
            <w:r>
              <w:rPr>
                <w:szCs w:val="22"/>
              </w:rPr>
              <w:t>189.80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jc w:val="right"/>
              <w:rPr>
                <w:szCs w:val="22"/>
              </w:rPr>
            </w:pPr>
            <w:r>
              <w:rPr>
                <w:szCs w:val="22"/>
              </w:rPr>
              <w:t>114.45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59318</w:t>
            </w:r>
          </w:p>
        </w:tc>
        <w:tc>
          <w:tcPr>
            <w:tcW w:w="1134" w:type="dxa"/>
            <w:noWrap/>
          </w:tcPr>
          <w:p>
            <w:pPr>
              <w:pStyle w:val="yTableNAm"/>
              <w:jc w:val="right"/>
              <w:rPr>
                <w:szCs w:val="22"/>
              </w:rPr>
            </w:pPr>
            <w:r>
              <w:rPr>
                <w:szCs w:val="22"/>
              </w:rPr>
              <w:t>102.65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jc w:val="right"/>
              <w:rPr>
                <w:szCs w:val="22"/>
              </w:rPr>
            </w:pPr>
            <w:r>
              <w:rPr>
                <w:szCs w:val="22"/>
              </w:rPr>
              <w:t>210.60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jc w:val="right"/>
              <w:rPr>
                <w:szCs w:val="22"/>
              </w:rPr>
            </w:pPr>
            <w:r>
              <w:rPr>
                <w:szCs w:val="22"/>
              </w:rPr>
              <w:t>165.65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59712</w:t>
            </w:r>
          </w:p>
        </w:tc>
        <w:tc>
          <w:tcPr>
            <w:tcW w:w="1134" w:type="dxa"/>
            <w:noWrap/>
          </w:tcPr>
          <w:p>
            <w:pPr>
              <w:pStyle w:val="yTableNAm"/>
              <w:keepNext/>
              <w:keepLines/>
              <w:jc w:val="right"/>
              <w:rPr>
                <w:szCs w:val="22"/>
              </w:rPr>
            </w:pPr>
            <w:r>
              <w:rPr>
                <w:szCs w:val="22"/>
              </w:rPr>
              <w:t>248.05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jc w:val="right"/>
              <w:rPr>
                <w:szCs w:val="22"/>
              </w:rPr>
            </w:pPr>
            <w:r>
              <w:rPr>
                <w:szCs w:val="22"/>
              </w:rPr>
              <w:t>313.20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jc w:val="right"/>
              <w:rPr>
                <w:szCs w:val="22"/>
              </w:rPr>
            </w:pPr>
            <w:r>
              <w:rPr>
                <w:szCs w:val="22"/>
              </w:rPr>
              <w:t>293.75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jc w:val="right"/>
              <w:rPr>
                <w:szCs w:val="22"/>
              </w:rPr>
            </w:pPr>
            <w:r>
              <w:rPr>
                <w:szCs w:val="22"/>
              </w:rPr>
              <w:t>494.05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jc w:val="right"/>
              <w:rPr>
                <w:szCs w:val="22"/>
              </w:rPr>
            </w:pPr>
            <w:r>
              <w:rPr>
                <w:szCs w:val="22"/>
              </w:rPr>
              <w:t>234.95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jc w:val="right"/>
              <w:rPr>
                <w:szCs w:val="22"/>
              </w:rPr>
            </w:pPr>
            <w:r>
              <w:rPr>
                <w:szCs w:val="22"/>
              </w:rPr>
              <w:t>161.05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jc w:val="right"/>
              <w:rPr>
                <w:szCs w:val="22"/>
              </w:rPr>
            </w:pPr>
            <w:r>
              <w:rPr>
                <w:szCs w:val="22"/>
              </w:rPr>
              <w:t>303.55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jc w:val="right"/>
              <w:rPr>
                <w:szCs w:val="22"/>
              </w:rPr>
            </w:pPr>
            <w:r>
              <w:rPr>
                <w:szCs w:val="22"/>
              </w:rPr>
              <w:t>478.45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jc w:val="right"/>
              <w:rPr>
                <w:szCs w:val="22"/>
              </w:rPr>
            </w:pPr>
            <w:r>
              <w:rPr>
                <w:szCs w:val="22"/>
              </w:rPr>
              <w:t>292.15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jc w:val="right"/>
              <w:rPr>
                <w:szCs w:val="22"/>
              </w:rPr>
            </w:pPr>
            <w:r>
              <w:rPr>
                <w:szCs w:val="22"/>
              </w:rPr>
              <w:t>249.90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jc w:val="right"/>
              <w:rPr>
                <w:szCs w:val="22"/>
              </w:rPr>
            </w:pPr>
            <w:r>
              <w:rPr>
                <w:szCs w:val="22"/>
              </w:rPr>
              <w:t>665.75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jc w:val="right"/>
              <w:rPr>
                <w:szCs w:val="22"/>
              </w:rPr>
            </w:pPr>
            <w:r>
              <w:rPr>
                <w:szCs w:val="22"/>
              </w:rPr>
              <w:t>790.55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jc w:val="right"/>
              <w:rPr>
                <w:szCs w:val="22"/>
              </w:rPr>
            </w:pPr>
            <w:r>
              <w:rPr>
                <w:szCs w:val="22"/>
              </w:rPr>
              <w:t>367.20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jc w:val="right"/>
              <w:rPr>
                <w:szCs w:val="22"/>
              </w:rPr>
            </w:pPr>
            <w:r>
              <w:rPr>
                <w:szCs w:val="22"/>
              </w:rPr>
              <w:t>125.05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jc w:val="right"/>
              <w:rPr>
                <w:szCs w:val="22"/>
              </w:rPr>
            </w:pPr>
            <w:r>
              <w:rPr>
                <w:szCs w:val="22"/>
              </w:rPr>
              <w:t>332.75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jc w:val="right"/>
              <w:rPr>
                <w:szCs w:val="22"/>
              </w:rPr>
            </w:pPr>
            <w:r>
              <w:rPr>
                <w:szCs w:val="22"/>
              </w:rPr>
              <w:t>395.30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jc w:val="right"/>
              <w:rPr>
                <w:szCs w:val="22"/>
              </w:rPr>
            </w:pPr>
            <w:r>
              <w:rPr>
                <w:szCs w:val="22"/>
              </w:rPr>
              <w:t>183.60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60015</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60021</w:t>
            </w:r>
          </w:p>
        </w:tc>
        <w:tc>
          <w:tcPr>
            <w:tcW w:w="1134" w:type="dxa"/>
            <w:noWrap/>
          </w:tcPr>
          <w:p>
            <w:pPr>
              <w:pStyle w:val="yTableNAm"/>
              <w:keepNext/>
              <w:keepLines/>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jc w:val="right"/>
              <w:rPr>
                <w:b/>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jc w:val="right"/>
              <w:rPr>
                <w:szCs w:val="22"/>
              </w:rPr>
            </w:pPr>
            <w:r>
              <w:rPr>
                <w:szCs w:val="22"/>
              </w:rPr>
              <w:t>1 230.35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jc w:val="right"/>
              <w:rPr>
                <w:szCs w:val="22"/>
              </w:rPr>
            </w:pPr>
            <w:r>
              <w:rPr>
                <w:szCs w:val="22"/>
              </w:rPr>
              <w:t>1 804.35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jc w:val="right"/>
              <w:rPr>
                <w:szCs w:val="22"/>
              </w:rPr>
            </w:pPr>
            <w:r>
              <w:rPr>
                <w:szCs w:val="22"/>
              </w:rPr>
              <w:t>2 565.50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jc w:val="right"/>
              <w:rPr>
                <w:szCs w:val="22"/>
              </w:rPr>
            </w:pPr>
            <w:r>
              <w:rPr>
                <w:szCs w:val="22"/>
              </w:rPr>
              <w:t>3 002.30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jc w:val="right"/>
              <w:rPr>
                <w:szCs w:val="22"/>
              </w:rPr>
            </w:pPr>
            <w:r>
              <w:rPr>
                <w:szCs w:val="22"/>
              </w:rPr>
              <w:t>105.10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jc w:val="right"/>
              <w:rPr>
                <w:szCs w:val="22"/>
              </w:rPr>
            </w:pPr>
            <w:r>
              <w:rPr>
                <w:szCs w:val="22"/>
              </w:rPr>
              <w:t>209.65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jc w:val="right"/>
              <w:rPr>
                <w:szCs w:val="22"/>
              </w:rPr>
            </w:pPr>
            <w:r>
              <w:rPr>
                <w:szCs w:val="22"/>
              </w:rPr>
              <w:t>314.50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jc w:val="right"/>
              <w:rPr>
                <w:szCs w:val="22"/>
              </w:rPr>
            </w:pPr>
            <w:r>
              <w:rPr>
                <w:szCs w:val="22"/>
              </w:rPr>
              <w:t>94.65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jc w:val="right"/>
              <w:rPr>
                <w:szCs w:val="22"/>
              </w:rPr>
            </w:pPr>
            <w:r>
              <w:rPr>
                <w:szCs w:val="22"/>
              </w:rPr>
              <w:t>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jc w:val="right"/>
              <w:rPr>
                <w:szCs w:val="22"/>
              </w:rPr>
            </w:pPr>
            <w:r>
              <w:rPr>
                <w:szCs w:val="22"/>
              </w:rPr>
              <w:t>139.15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60509</w:t>
            </w:r>
          </w:p>
        </w:tc>
        <w:tc>
          <w:tcPr>
            <w:tcW w:w="1134" w:type="dxa"/>
            <w:noWrap/>
          </w:tcPr>
          <w:p>
            <w:pPr>
              <w:pStyle w:val="yTableNAm"/>
              <w:jc w:val="right"/>
              <w:rPr>
                <w:szCs w:val="22"/>
              </w:rPr>
            </w:pPr>
            <w:r>
              <w:rPr>
                <w:szCs w:val="22"/>
              </w:rPr>
              <w:t>215.70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60918</w:t>
            </w:r>
          </w:p>
        </w:tc>
        <w:tc>
          <w:tcPr>
            <w:tcW w:w="1134" w:type="dxa"/>
            <w:noWrap/>
          </w:tcPr>
          <w:p>
            <w:pPr>
              <w:pStyle w:val="yTableNAm"/>
              <w:keepNext/>
              <w:keepLines/>
              <w:jc w:val="right"/>
              <w:rPr>
                <w:szCs w:val="22"/>
              </w:rPr>
            </w:pPr>
            <w:r>
              <w:rPr>
                <w:szCs w:val="22"/>
              </w:rPr>
              <w:t>102.85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jc w:val="right"/>
              <w:rPr>
                <w:szCs w:val="22"/>
              </w:rPr>
            </w:pPr>
            <w:r>
              <w:rPr>
                <w:szCs w:val="22"/>
              </w:rPr>
              <w:t>83.05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jc w:val="right"/>
              <w:rPr>
                <w:szCs w:val="22"/>
              </w:rPr>
            </w:pPr>
            <w:r>
              <w:rPr>
                <w:szCs w:val="22"/>
              </w:rPr>
              <w:t>564.75</w:t>
            </w:r>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tcPr>
          <w:p>
            <w:pPr>
              <w:pStyle w:val="yTableNAm"/>
              <w:jc w:val="right"/>
              <w:rPr>
                <w:szCs w:val="22"/>
              </w:rPr>
            </w:pPr>
            <w:r>
              <w:rPr>
                <w:szCs w:val="22"/>
              </w:rPr>
              <w:t>754.20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tcPr>
          <w:p>
            <w:pPr>
              <w:pStyle w:val="yTableNAm"/>
              <w:jc w:val="right"/>
              <w:rPr>
                <w:szCs w:val="22"/>
              </w:rPr>
            </w:pPr>
            <w:r>
              <w:rPr>
                <w:szCs w:val="22"/>
              </w:rPr>
              <w:t>949.75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tcPr>
          <w:p>
            <w:pPr>
              <w:pStyle w:val="yTableNAm"/>
              <w:jc w:val="right"/>
              <w:rPr>
                <w:szCs w:val="22"/>
              </w:rPr>
            </w:pPr>
            <w:r>
              <w:rPr>
                <w:szCs w:val="22"/>
              </w:rPr>
              <w:t>1 192.40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tcPr>
          <w:p>
            <w:pPr>
              <w:pStyle w:val="yTableNAm"/>
              <w:jc w:val="right"/>
              <w:rPr>
                <w:szCs w:val="22"/>
              </w:rPr>
            </w:pPr>
            <w:r>
              <w:rPr>
                <w:szCs w:val="22"/>
              </w:rPr>
              <w:t>1 402.85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tcPr>
          <w:p>
            <w:pPr>
              <w:pStyle w:val="yTableNAm"/>
              <w:jc w:val="right"/>
              <w:rPr>
                <w:szCs w:val="22"/>
              </w:rPr>
            </w:pPr>
            <w:r>
              <w:rPr>
                <w:szCs w:val="22"/>
              </w:rPr>
              <w:t>617.10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tcPr>
          <w:p>
            <w:pPr>
              <w:pStyle w:val="yTableNAm"/>
              <w:jc w:val="right"/>
              <w:rPr>
                <w:szCs w:val="22"/>
              </w:rPr>
            </w:pPr>
            <w:r>
              <w:rPr>
                <w:szCs w:val="22"/>
              </w:rPr>
              <w:t>509.75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tcPr>
          <w:p>
            <w:pPr>
              <w:pStyle w:val="yTableNAm"/>
              <w:jc w:val="right"/>
              <w:rPr>
                <w:szCs w:val="22"/>
              </w:rPr>
            </w:pPr>
            <w:r>
              <w:rPr>
                <w:szCs w:val="22"/>
              </w:rPr>
              <w:t>705.65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tcPr>
          <w:p>
            <w:pPr>
              <w:pStyle w:val="yTableNAm"/>
              <w:jc w:val="right"/>
              <w:rPr>
                <w:szCs w:val="22"/>
              </w:rPr>
            </w:pPr>
            <w:r>
              <w:rPr>
                <w:szCs w:val="22"/>
              </w:rPr>
              <w:t>382.50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tcPr>
          <w:p>
            <w:pPr>
              <w:pStyle w:val="yTableNAm"/>
              <w:jc w:val="right"/>
              <w:rPr>
                <w:szCs w:val="22"/>
              </w:rPr>
            </w:pPr>
            <w:r>
              <w:rPr>
                <w:szCs w:val="22"/>
              </w:rPr>
              <w:t>745.00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tcPr>
          <w:p>
            <w:pPr>
              <w:pStyle w:val="yTableNAm"/>
              <w:jc w:val="right"/>
              <w:rPr>
                <w:szCs w:val="22"/>
              </w:rPr>
            </w:pPr>
            <w:r>
              <w:rPr>
                <w:szCs w:val="22"/>
              </w:rPr>
              <w:t>649.45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tcPr>
          <w:p>
            <w:pPr>
              <w:pStyle w:val="yTableNAm"/>
              <w:jc w:val="right"/>
              <w:rPr>
                <w:szCs w:val="22"/>
              </w:rPr>
            </w:pPr>
            <w:r>
              <w:rPr>
                <w:szCs w:val="22"/>
              </w:rPr>
              <w:t>659.95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tcPr>
          <w:p>
            <w:pPr>
              <w:pStyle w:val="yTableNAm"/>
              <w:jc w:val="right"/>
              <w:rPr>
                <w:szCs w:val="22"/>
              </w:rPr>
            </w:pPr>
            <w:r>
              <w:rPr>
                <w:szCs w:val="22"/>
              </w:rPr>
              <w:t>677.75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tcPr>
          <w:p>
            <w:pPr>
              <w:pStyle w:val="yTableNAm"/>
              <w:jc w:val="right"/>
              <w:rPr>
                <w:szCs w:val="22"/>
              </w:rPr>
            </w:pPr>
            <w:r>
              <w:rPr>
                <w:szCs w:val="22"/>
              </w:rPr>
              <w:t>775.30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tcPr>
          <w:p>
            <w:pPr>
              <w:pStyle w:val="yTableNAm"/>
              <w:jc w:val="right"/>
              <w:rPr>
                <w:szCs w:val="22"/>
              </w:rPr>
            </w:pPr>
            <w:r>
              <w:rPr>
                <w:szCs w:val="22"/>
              </w:rPr>
              <w:t>3 386.75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lastRenderedPageBreak/>
              <w:t>61373</w:t>
            </w:r>
          </w:p>
        </w:tc>
        <w:tc>
          <w:tcPr>
            <w:tcW w:w="1154" w:type="dxa"/>
            <w:noWrap/>
          </w:tcPr>
          <w:p>
            <w:pPr>
              <w:pStyle w:val="yTableNAm"/>
              <w:keepNext/>
              <w:keepLines/>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tcPr>
          <w:p>
            <w:pPr>
              <w:pStyle w:val="yTableNAm"/>
              <w:jc w:val="right"/>
              <w:rPr>
                <w:szCs w:val="22"/>
              </w:rPr>
            </w:pPr>
            <w:r>
              <w:rPr>
                <w:szCs w:val="22"/>
              </w:rPr>
              <w:t>240.90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tcPr>
          <w:p>
            <w:pPr>
              <w:pStyle w:val="yTableNAm"/>
              <w:jc w:val="right"/>
              <w:rPr>
                <w:szCs w:val="22"/>
              </w:rPr>
            </w:pPr>
            <w:r>
              <w:rPr>
                <w:szCs w:val="22"/>
              </w:rPr>
              <w:t>964.95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tcPr>
          <w:p>
            <w:pPr>
              <w:pStyle w:val="yTableNAm"/>
              <w:jc w:val="right"/>
              <w:rPr>
                <w:szCs w:val="22"/>
              </w:rPr>
            </w:pPr>
            <w:r>
              <w:rPr>
                <w:szCs w:val="22"/>
              </w:rP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tcPr>
          <w:p>
            <w:pPr>
              <w:pStyle w:val="yTableNAm"/>
              <w:jc w:val="right"/>
              <w:rPr>
                <w:szCs w:val="22"/>
              </w:rPr>
            </w:pPr>
            <w:r>
              <w:rPr>
                <w:szCs w:val="22"/>
              </w:rPr>
              <w:t>1 155.45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tcPr>
          <w:p>
            <w:pPr>
              <w:pStyle w:val="yTableNAm"/>
              <w:jc w:val="right"/>
              <w:rPr>
                <w:szCs w:val="22"/>
              </w:rPr>
            </w:pPr>
            <w:r>
              <w:rPr>
                <w:szCs w:val="22"/>
              </w:rPr>
              <w:t>558.75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tcPr>
          <w:p>
            <w:pPr>
              <w:pStyle w:val="yTableNAm"/>
              <w:jc w:val="right"/>
              <w:rPr>
                <w:szCs w:val="22"/>
              </w:rPr>
            </w:pPr>
            <w:r>
              <w:rPr>
                <w:szCs w:val="22"/>
              </w:rPr>
              <w:t>723.80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tcPr>
          <w:p>
            <w:pPr>
              <w:pStyle w:val="yTableNAm"/>
              <w:jc w:val="right"/>
              <w:rPr>
                <w:szCs w:val="22"/>
              </w:rPr>
            </w:pPr>
            <w:r>
              <w:rPr>
                <w:szCs w:val="22"/>
              </w:rPr>
              <w:t>622.60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tcPr>
          <w:p>
            <w:pPr>
              <w:pStyle w:val="yTableNAm"/>
              <w:jc w:val="right"/>
              <w:rPr>
                <w:szCs w:val="22"/>
              </w:rPr>
            </w:pPr>
            <w:r>
              <w:rPr>
                <w:szCs w:val="22"/>
              </w:rPr>
              <w:t>688.85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tcPr>
          <w:p>
            <w:pPr>
              <w:pStyle w:val="yTableNAm"/>
              <w:jc w:val="right"/>
              <w:rPr>
                <w:szCs w:val="22"/>
              </w:rPr>
            </w:pPr>
            <w:r>
              <w:rPr>
                <w:szCs w:val="22"/>
              </w:rPr>
              <w:t>1 017.35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tcPr>
          <w:p>
            <w:pPr>
              <w:pStyle w:val="yTableNAm"/>
              <w:jc w:val="right"/>
              <w:rPr>
                <w:szCs w:val="22"/>
              </w:rPr>
            </w:pPr>
            <w:r>
              <w:rPr>
                <w:szCs w:val="22"/>
              </w:rPr>
              <w:t>414.70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tcPr>
          <w:p>
            <w:pPr>
              <w:pStyle w:val="yTableNAm"/>
              <w:jc w:val="right"/>
              <w:rPr>
                <w:szCs w:val="22"/>
              </w:rPr>
            </w:pPr>
            <w:r>
              <w:rPr>
                <w:szCs w:val="22"/>
              </w:rPr>
              <w:t>1 016.60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tcPr>
          <w:p>
            <w:pPr>
              <w:pStyle w:val="yTableNAm"/>
              <w:jc w:val="right"/>
              <w:rPr>
                <w:szCs w:val="22"/>
              </w:rPr>
            </w:pPr>
            <w:r>
              <w:rPr>
                <w:szCs w:val="22"/>
              </w:rPr>
              <w:t>1 467.75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tcPr>
          <w:p>
            <w:pPr>
              <w:pStyle w:val="yTableNAm"/>
              <w:jc w:val="right"/>
              <w:rPr>
                <w:szCs w:val="22"/>
              </w:rPr>
            </w:pPr>
            <w:r>
              <w:rPr>
                <w:szCs w:val="22"/>
              </w:rPr>
              <w:t>379.60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tcPr>
          <w:p>
            <w:pPr>
              <w:pStyle w:val="yTableNAm"/>
              <w:jc w:val="right"/>
              <w:rPr>
                <w:szCs w:val="22"/>
              </w:rPr>
            </w:pPr>
            <w:r>
              <w:rPr>
                <w:szCs w:val="22"/>
              </w:rPr>
              <w:t>806.20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tcPr>
          <w:p>
            <w:pPr>
              <w:pStyle w:val="yTableNAm"/>
              <w:jc w:val="right"/>
              <w:rPr>
                <w:szCs w:val="22"/>
              </w:rPr>
            </w:pPr>
            <w:r>
              <w:rPr>
                <w:szCs w:val="22"/>
              </w:rPr>
              <w:t>1 009.30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tcPr>
          <w:p>
            <w:pPr>
              <w:pStyle w:val="yTableNAm"/>
              <w:jc w:val="right"/>
              <w:rPr>
                <w:szCs w:val="22"/>
              </w:rPr>
            </w:pPr>
            <w:r>
              <w:rPr>
                <w:szCs w:val="22"/>
              </w:rPr>
              <w:t>932.15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tcPr>
          <w:p>
            <w:pPr>
              <w:pStyle w:val="yTableNAm"/>
              <w:jc w:val="right"/>
              <w:rPr>
                <w:szCs w:val="22"/>
              </w:rPr>
            </w:pPr>
            <w:r>
              <w:rPr>
                <w:szCs w:val="22"/>
              </w:rPr>
              <w:t>912.30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tcPr>
          <w:p>
            <w:pPr>
              <w:pStyle w:val="yTableNAm"/>
              <w:jc w:val="right"/>
              <w:rPr>
                <w:szCs w:val="22"/>
              </w:rPr>
            </w:pPr>
            <w:r>
              <w:rPr>
                <w:szCs w:val="22"/>
              </w:rPr>
              <w:t>1 108.05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tcPr>
          <w:p>
            <w:pPr>
              <w:pStyle w:val="yTableNAm"/>
              <w:jc w:val="right"/>
              <w:rPr>
                <w:szCs w:val="22"/>
              </w:rPr>
            </w:pPr>
            <w:r>
              <w:rPr>
                <w:szCs w:val="22"/>
              </w:rPr>
              <w:t>835.05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tcPr>
          <w:p>
            <w:pPr>
              <w:pStyle w:val="yTableNAm"/>
              <w:jc w:val="right"/>
              <w:rPr>
                <w:szCs w:val="22"/>
              </w:rPr>
            </w:pPr>
            <w:r>
              <w:rPr>
                <w:szCs w:val="22"/>
              </w:rPr>
              <w:t>1 034.00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tcPr>
          <w:p>
            <w:pPr>
              <w:pStyle w:val="yTableNAm"/>
              <w:jc w:val="right"/>
              <w:rPr>
                <w:szCs w:val="22"/>
              </w:rPr>
            </w:pPr>
            <w:r>
              <w:rPr>
                <w:szCs w:val="22"/>
              </w:rPr>
              <w:t>1 130.70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tcPr>
          <w:p>
            <w:pPr>
              <w:pStyle w:val="yTableNAm"/>
              <w:jc w:val="right"/>
              <w:rPr>
                <w:szCs w:val="22"/>
              </w:rPr>
            </w:pPr>
            <w:r>
              <w:rPr>
                <w:szCs w:val="22"/>
              </w:rPr>
              <w:t>822.80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tcPr>
          <w:p>
            <w:pPr>
              <w:pStyle w:val="yTableNAm"/>
              <w:jc w:val="right"/>
              <w:rPr>
                <w:szCs w:val="22"/>
              </w:rPr>
            </w:pPr>
            <w:r>
              <w:rPr>
                <w:szCs w:val="22"/>
              </w:rPr>
              <w:t>1 264.10</w:t>
            </w:r>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lastRenderedPageBreak/>
              <w:t>61445</w:t>
            </w:r>
          </w:p>
        </w:tc>
        <w:tc>
          <w:tcPr>
            <w:tcW w:w="1154" w:type="dxa"/>
            <w:noWrap/>
          </w:tcPr>
          <w:p>
            <w:pPr>
              <w:pStyle w:val="yTableNAm"/>
              <w:keepNext/>
              <w:keepLines/>
              <w:jc w:val="right"/>
              <w:rPr>
                <w:szCs w:val="22"/>
              </w:rPr>
            </w:pPr>
            <w:r>
              <w:rPr>
                <w:szCs w:val="22"/>
              </w:rPr>
              <w:t>481.85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tcPr>
          <w:p>
            <w:pPr>
              <w:pStyle w:val="yTableNAm"/>
              <w:jc w:val="right"/>
              <w:rPr>
                <w:szCs w:val="22"/>
              </w:rPr>
            </w:pPr>
            <w:r>
              <w:rPr>
                <w:szCs w:val="22"/>
              </w:rPr>
              <w:t>560.50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tcPr>
          <w:p>
            <w:pPr>
              <w:pStyle w:val="yTableNAm"/>
              <w:jc w:val="right"/>
              <w:rPr>
                <w:szCs w:val="22"/>
              </w:rPr>
            </w:pPr>
            <w:r>
              <w:rPr>
                <w:szCs w:val="22"/>
              </w:rPr>
              <w:t>766.45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tcPr>
          <w:p>
            <w:pPr>
              <w:pStyle w:val="yTableNAm"/>
              <w:jc w:val="right"/>
              <w:rPr>
                <w:szCs w:val="22"/>
              </w:rPr>
            </w:pPr>
            <w:r>
              <w:rPr>
                <w:szCs w:val="22"/>
              </w:rPr>
              <w:t>667.90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tcPr>
          <w:p>
            <w:pPr>
              <w:pStyle w:val="yTableNAm"/>
              <w:jc w:val="right"/>
              <w:rPr>
                <w:szCs w:val="22"/>
              </w:rPr>
            </w:pPr>
            <w:r>
              <w:rPr>
                <w:szCs w:val="22"/>
              </w:rPr>
              <w:t>864.80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tcPr>
          <w:p>
            <w:pPr>
              <w:pStyle w:val="yTableNAm"/>
              <w:jc w:val="right"/>
              <w:rPr>
                <w:szCs w:val="22"/>
              </w:rPr>
            </w:pPr>
            <w:r>
              <w:rPr>
                <w:szCs w:val="22"/>
              </w:rPr>
              <w:t>790.45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tcPr>
          <w:p>
            <w:pPr>
              <w:pStyle w:val="yTableNAm"/>
              <w:jc w:val="right"/>
              <w:rPr>
                <w:szCs w:val="22"/>
              </w:rPr>
            </w:pPr>
            <w:r>
              <w:rPr>
                <w:szCs w:val="22"/>
              </w:rPr>
              <w:t>886.75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tcPr>
          <w:p>
            <w:pPr>
              <w:pStyle w:val="yTableNAm"/>
              <w:jc w:val="right"/>
              <w:rPr>
                <w:szCs w:val="22"/>
              </w:rPr>
            </w:pPr>
            <w:r>
              <w:rPr>
                <w:szCs w:val="22"/>
              </w:rPr>
              <w:t>218.95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tcPr>
          <w:p>
            <w:pPr>
              <w:pStyle w:val="yTableNAm"/>
              <w:jc w:val="right"/>
              <w:rPr>
                <w:szCs w:val="22"/>
              </w:rPr>
            </w:pPr>
            <w:r>
              <w:rPr>
                <w:szCs w:val="22"/>
              </w:rPr>
              <w:t>584.80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tcPr>
          <w:p>
            <w:pPr>
              <w:pStyle w:val="yTableNAm"/>
              <w:jc w:val="right"/>
              <w:rPr>
                <w:szCs w:val="22"/>
              </w:rPr>
            </w:pPr>
            <w:r>
              <w:rPr>
                <w:szCs w:val="22"/>
              </w:rPr>
              <w:t>294.60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tcPr>
          <w:p>
            <w:pPr>
              <w:pStyle w:val="yTableNAm"/>
              <w:jc w:val="right"/>
              <w:rPr>
                <w:szCs w:val="22"/>
              </w:rPr>
            </w:pPr>
            <w:r>
              <w:rPr>
                <w:szCs w:val="22"/>
              </w:rPr>
              <w:t>650.05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tcPr>
          <w:p>
            <w:pPr>
              <w:pStyle w:val="yTableNAm"/>
              <w:jc w:val="right"/>
              <w:rPr>
                <w:szCs w:val="22"/>
              </w:rPr>
            </w:pPr>
            <w:r>
              <w:rPr>
                <w:szCs w:val="22"/>
              </w:rPr>
              <w:t>1 678.85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tcPr>
          <w:p>
            <w:pPr>
              <w:pStyle w:val="yTableNAm"/>
              <w:jc w:val="right"/>
              <w:rPr>
                <w:szCs w:val="22"/>
              </w:rPr>
            </w:pPr>
            <w:r>
              <w:rPr>
                <w:szCs w:val="22"/>
              </w:rPr>
              <w:t>374.95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tcPr>
          <w:p>
            <w:pPr>
              <w:pStyle w:val="yTableNAm"/>
              <w:jc w:val="right"/>
              <w:rPr>
                <w:szCs w:val="22"/>
              </w:rPr>
            </w:pPr>
            <w:r>
              <w:rPr>
                <w:szCs w:val="22"/>
              </w:rPr>
              <w:t>425.10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tcPr>
          <w:p>
            <w:pPr>
              <w:pStyle w:val="yTableNAm"/>
              <w:jc w:val="right"/>
              <w:rPr>
                <w:szCs w:val="22"/>
              </w:rPr>
            </w:pPr>
            <w:r>
              <w:rPr>
                <w:szCs w:val="22"/>
              </w:rPr>
              <w:t>1 476.30</w:t>
            </w:r>
          </w:p>
        </w:tc>
      </w:tr>
    </w:tbl>
    <w:p>
      <w:pPr>
        <w:pStyle w:val="yMiscellaneousBody"/>
        <w:keepNext/>
        <w:spacing w:after="60"/>
      </w:pPr>
      <w:r>
        <w:lastRenderedPageBreak/>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rPr>
                <w:b/>
                <w:bCs/>
              </w:rPr>
            </w:pPr>
            <w:r>
              <w:rPr>
                <w:b/>
                <w:bCs/>
              </w:rPr>
              <w:t>MBS item number</w:t>
            </w:r>
          </w:p>
        </w:tc>
        <w:tc>
          <w:tcPr>
            <w:tcW w:w="1134" w:type="dxa"/>
            <w:tcBorders>
              <w:top w:val="single" w:sz="4" w:space="0" w:color="auto"/>
              <w:bottom w:val="single" w:sz="4" w:space="0" w:color="auto"/>
            </w:tcBorders>
            <w:noWrap/>
          </w:tcPr>
          <w:p>
            <w:pPr>
              <w:pStyle w:val="yTableNAm"/>
              <w:keepNext/>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keepNext/>
            </w:pPr>
            <w:r>
              <w:t>63000—63200</w:t>
            </w:r>
          </w:p>
        </w:tc>
        <w:tc>
          <w:tcPr>
            <w:tcW w:w="1134" w:type="dxa"/>
            <w:tcBorders>
              <w:top w:val="single" w:sz="4" w:space="0" w:color="auto"/>
            </w:tcBorders>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63201</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63202—63203</w:t>
            </w:r>
          </w:p>
        </w:tc>
        <w:tc>
          <w:tcPr>
            <w:tcW w:w="1134" w:type="dxa"/>
            <w:noWrap/>
          </w:tcPr>
          <w:p>
            <w:pPr>
              <w:pStyle w:val="yTableNAm"/>
              <w:keepNext/>
              <w:jc w:val="right"/>
            </w:pPr>
            <w:r>
              <w:t>1 094.10</w:t>
            </w:r>
          </w:p>
        </w:tc>
      </w:tr>
      <w:tr>
        <w:tblPrEx>
          <w:tblCellMar>
            <w:left w:w="108" w:type="dxa"/>
            <w:right w:w="108" w:type="dxa"/>
          </w:tblCellMar>
        </w:tblPrEx>
        <w:trPr>
          <w:trHeight w:val="312"/>
          <w:jc w:val="center"/>
        </w:trPr>
        <w:tc>
          <w:tcPr>
            <w:tcW w:w="4535" w:type="dxa"/>
            <w:noWrap/>
          </w:tcPr>
          <w:p>
            <w:pPr>
              <w:pStyle w:val="yTableNAm"/>
              <w:keepNext/>
            </w:pPr>
            <w:r>
              <w:t>63204</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pPr>
            <w:r>
              <w:t>63219—63243</w:t>
            </w:r>
          </w:p>
        </w:tc>
        <w:tc>
          <w:tcPr>
            <w:tcW w:w="1134" w:type="dxa"/>
            <w:noWrap/>
          </w:tcPr>
          <w:p>
            <w:pPr>
              <w:pStyle w:val="yTableNAm"/>
              <w:keepNext/>
              <w:jc w:val="right"/>
            </w:pPr>
            <w:r>
              <w:t>1 641.15</w:t>
            </w:r>
          </w:p>
        </w:tc>
      </w:tr>
      <w:tr>
        <w:tblPrEx>
          <w:tblCellMar>
            <w:left w:w="108" w:type="dxa"/>
            <w:right w:w="108" w:type="dxa"/>
          </w:tblCellMar>
        </w:tblPrEx>
        <w:trPr>
          <w:trHeight w:val="312"/>
          <w:jc w:val="center"/>
        </w:trPr>
        <w:tc>
          <w:tcPr>
            <w:tcW w:w="4535" w:type="dxa"/>
            <w:noWrap/>
          </w:tcPr>
          <w:p>
            <w:pPr>
              <w:pStyle w:val="yTableNAm"/>
              <w:keepNext/>
              <w:keepLines/>
            </w:pPr>
            <w:r>
              <w:t>63271—63473</w:t>
            </w:r>
          </w:p>
        </w:tc>
        <w:tc>
          <w:tcPr>
            <w:tcW w:w="1134" w:type="dxa"/>
            <w:noWrap/>
          </w:tcPr>
          <w:p>
            <w:pPr>
              <w:pStyle w:val="yTableNAm"/>
              <w:keepNext/>
              <w:keepLines/>
              <w:jc w:val="right"/>
            </w:pPr>
            <w:r>
              <w:t>1 094.10</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jc w:val="right"/>
            </w:pPr>
            <w:r>
              <w:t>125.10</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jc w:val="right"/>
            </w:pPr>
            <w:r>
              <w:t>375.50</w:t>
            </w:r>
          </w:p>
        </w:tc>
      </w:tr>
    </w:tbl>
    <w:p>
      <w:pPr>
        <w:pStyle w:val="yFootnoteheading"/>
        <w:spacing w:after="60"/>
      </w:pPr>
      <w:r>
        <w:tab/>
        <w:t>[Part 3 inserted: SL 2020/203 r. 7.]</w:t>
      </w:r>
    </w:p>
    <w:p>
      <w:pPr>
        <w:pStyle w:val="yScheduleHeading"/>
      </w:pPr>
      <w:bookmarkStart w:id="35" w:name="_Toc84342602"/>
      <w:bookmarkStart w:id="36" w:name="_Toc84342824"/>
      <w:bookmarkStart w:id="37" w:name="_Toc84413620"/>
      <w:r>
        <w:rPr>
          <w:rStyle w:val="CharSchNo"/>
        </w:rPr>
        <w:lastRenderedPageBreak/>
        <w:t>Schedule 2</w:t>
      </w:r>
      <w:r>
        <w:t> — </w:t>
      </w:r>
      <w:r>
        <w:rPr>
          <w:rStyle w:val="CharSchText"/>
        </w:rPr>
        <w:t>Scale of fees: physiotherapists</w:t>
      </w:r>
      <w:bookmarkEnd w:id="35"/>
      <w:bookmarkEnd w:id="36"/>
      <w:bookmarkEnd w:id="37"/>
    </w:p>
    <w:p>
      <w:pPr>
        <w:pStyle w:val="yShoulderClause"/>
      </w:pPr>
      <w:r>
        <w:t>[r. 3]</w:t>
      </w:r>
    </w:p>
    <w:p>
      <w:pPr>
        <w:pStyle w:val="yFootnoteheading"/>
      </w:pPr>
      <w:r>
        <w:tab/>
        <w:t>[Heading inserted: SL 2020/203 r. 8.]</w:t>
      </w:r>
    </w:p>
    <w:p>
      <w:pPr>
        <w:pStyle w:val="yHeading3"/>
      </w:pPr>
      <w:bookmarkStart w:id="38" w:name="_Toc84342603"/>
      <w:bookmarkStart w:id="39" w:name="_Toc84342825"/>
      <w:bookmarkStart w:id="40" w:name="_Toc84413621"/>
      <w:r>
        <w:rPr>
          <w:rStyle w:val="CharSDivNo"/>
        </w:rPr>
        <w:t>Part 1</w:t>
      </w:r>
      <w:r>
        <w:t> — </w:t>
      </w:r>
      <w:r>
        <w:rPr>
          <w:rStyle w:val="CharSDivText"/>
        </w:rPr>
        <w:t>General</w:t>
      </w:r>
      <w:bookmarkEnd w:id="38"/>
      <w:bookmarkEnd w:id="39"/>
      <w:bookmarkEnd w:id="40"/>
    </w:p>
    <w:p>
      <w:pPr>
        <w:pStyle w:val="yFootnoteheading"/>
      </w:pPr>
      <w:r>
        <w:tab/>
        <w:t>[Heading inserted: SL 2020/203 r. 8.]</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noWrap/>
          </w:tcPr>
          <w:p>
            <w:pPr>
              <w:pStyle w:val="yTableNAm"/>
              <w:rPr>
                <w:b/>
                <w:bCs/>
              </w:rPr>
            </w:pPr>
            <w:r>
              <w:rPr>
                <w:b/>
                <w:bCs/>
              </w:rPr>
              <w:t>Service Code</w:t>
            </w:r>
          </w:p>
        </w:tc>
        <w:tc>
          <w:tcPr>
            <w:tcW w:w="4110" w:type="dxa"/>
            <w:tcBorders>
              <w:top w:val="single" w:sz="4" w:space="0" w:color="auto"/>
              <w:bottom w:val="single" w:sz="4" w:space="0" w:color="auto"/>
            </w:tcBorders>
            <w:noWrap/>
          </w:tcPr>
          <w:p>
            <w:pPr>
              <w:pStyle w:val="yTableNAm"/>
              <w:rPr>
                <w:b/>
                <w:bCs/>
              </w:rPr>
            </w:pPr>
            <w:r>
              <w:rPr>
                <w:b/>
                <w:bCs/>
              </w:rPr>
              <w:t>Service</w:t>
            </w:r>
          </w:p>
        </w:tc>
        <w:tc>
          <w:tcPr>
            <w:tcW w:w="1418" w:type="dxa"/>
            <w:tcBorders>
              <w:top w:val="single" w:sz="4" w:space="0" w:color="auto"/>
              <w:bottom w:val="single" w:sz="4" w:space="0" w:color="auto"/>
            </w:tcBorders>
            <w:noWrap/>
          </w:tcPr>
          <w:p>
            <w:pPr>
              <w:pStyle w:val="yTableNAm"/>
              <w:rPr>
                <w:b/>
                <w:bCs/>
              </w:rPr>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noWrap/>
          </w:tcPr>
          <w:p>
            <w:pPr>
              <w:pStyle w:val="yTableNAm"/>
              <w:rPr>
                <w:b/>
              </w:rPr>
            </w:pPr>
            <w:r>
              <w:rPr>
                <w:b/>
              </w:rPr>
              <w:t>Set Fee</w:t>
            </w:r>
          </w:p>
          <w:p>
            <w:pPr>
              <w:pStyle w:val="yTableNAm"/>
            </w:pPr>
            <w:r>
              <w:t>$89.45</w:t>
            </w:r>
          </w:p>
        </w:tc>
      </w:tr>
      <w:tr>
        <w:trPr>
          <w:cantSplit/>
        </w:trPr>
        <w:tc>
          <w:tcPr>
            <w:tcW w:w="1560" w:type="dxa"/>
            <w:noWrap/>
          </w:tcPr>
          <w:p>
            <w:pPr>
              <w:pStyle w:val="yTableNAm"/>
            </w:pPr>
          </w:p>
        </w:tc>
        <w:tc>
          <w:tcPr>
            <w:tcW w:w="4110" w:type="dxa"/>
            <w:noWrap/>
          </w:tcPr>
          <w:p>
            <w:pPr>
              <w:pStyle w:val="yTableNAm"/>
              <w:rPr>
                <w:b/>
              </w:rPr>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Courtesy communication by the physiotherapist with the medical practitioner such as acknowledgment of referral.</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The physiotherapist’s notes of the consultation.</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567" w:hanging="567"/>
            </w:pPr>
            <w:r>
              <w:t>•</w:t>
            </w:r>
            <w:r>
              <w:tab/>
              <w:t>The physiotherapist’s involvement in case conferences. This service has a specific item number in this Table (PQ001).</w:t>
            </w:r>
          </w:p>
        </w:tc>
        <w:tc>
          <w:tcPr>
            <w:tcW w:w="1418"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lastRenderedPageBreak/>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noWrap/>
          </w:tcPr>
          <w:p>
            <w:pPr>
              <w:pStyle w:val="yTableNAm"/>
            </w:pPr>
            <w:r>
              <w:rPr>
                <w:b/>
              </w:rPr>
              <w:t>Set Fee</w:t>
            </w:r>
          </w:p>
          <w:p>
            <w:pPr>
              <w:pStyle w:val="yTableNAm"/>
            </w:pPr>
            <w:r>
              <w:t>$71.85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subjective re</w:t>
            </w:r>
            <w:r>
              <w:noBreakHyphen/>
              <w:t>assessment;</w:t>
            </w:r>
          </w:p>
          <w:p>
            <w:pPr>
              <w:pStyle w:val="yTableNAm"/>
              <w:ind w:left="567" w:hanging="567"/>
            </w:pPr>
            <w:r>
              <w:t>•</w:t>
            </w:r>
            <w:r>
              <w:tab/>
              <w:t>objective re</w:t>
            </w:r>
            <w:r>
              <w:noBreakHyphen/>
              <w:t>assessment;</w:t>
            </w:r>
          </w:p>
          <w:p>
            <w:pPr>
              <w:pStyle w:val="yTableNAm"/>
              <w:ind w:left="567" w:hanging="567"/>
            </w:pPr>
            <w:r>
              <w:t>•</w:t>
            </w:r>
            <w:r>
              <w:tab/>
              <w:t>appropriate management, intervention or advice;</w:t>
            </w:r>
          </w:p>
          <w:p>
            <w:pPr>
              <w:pStyle w:val="yTableNAm"/>
              <w:ind w:left="567" w:hanging="567"/>
            </w:pPr>
            <w:r>
              <w:t>•</w:t>
            </w:r>
            <w:r>
              <w:tab/>
              <w:t>documentation of consultation.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rPr>
                <w:b/>
              </w:rPr>
              <w:t>Does not include</w:t>
            </w:r>
            <w:r>
              <w:t>:</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The physiotherapist’s involvement in case conferences. This service has a specific item number in this Table (PQ001).</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PC001</w:t>
            </w:r>
          </w:p>
        </w:tc>
        <w:tc>
          <w:tcPr>
            <w:tcW w:w="4110" w:type="dxa"/>
            <w:tcBorders>
              <w:left w:val="nil"/>
              <w:bottom w:val="single" w:sz="4" w:space="0" w:color="auto"/>
              <w:right w:val="nil"/>
            </w:tcBorders>
            <w:noWrap/>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noWrap/>
          </w:tcPr>
          <w:p>
            <w:pPr>
              <w:pStyle w:val="yTableNAm"/>
            </w:pPr>
            <w:r>
              <w:rPr>
                <w:b/>
              </w:rPr>
              <w:t>Set Fee</w:t>
            </w:r>
          </w:p>
          <w:p>
            <w:pPr>
              <w:pStyle w:val="yTableNAm"/>
            </w:pPr>
            <w:r>
              <w:t>$90.80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one individual whether —</w:t>
            </w:r>
          </w:p>
          <w:p>
            <w:pPr>
              <w:pStyle w:val="yTableNAm"/>
              <w:ind w:left="567" w:hanging="567"/>
            </w:pPr>
            <w:r>
              <w:t>•</w:t>
            </w:r>
            <w:r>
              <w:tab/>
              <w:t>in rooms, home or hospital;</w:t>
            </w:r>
          </w:p>
        </w:tc>
        <w:tc>
          <w:tcPr>
            <w:tcW w:w="1418" w:type="dxa"/>
            <w:tcBorders>
              <w:left w:val="nil"/>
              <w:bottom w:val="nil"/>
              <w:right w:val="nil"/>
            </w:tcBorders>
            <w:noWrap/>
          </w:tcPr>
          <w:p>
            <w:pPr>
              <w:pStyle w:val="yTableNAm"/>
              <w:rPr>
                <w:b/>
              </w:rPr>
            </w:pPr>
            <w:r>
              <w:rPr>
                <w:b/>
              </w:rPr>
              <w:t>Cost per participant</w:t>
            </w:r>
          </w:p>
          <w:p>
            <w:pPr>
              <w:pStyle w:val="yTableNAm"/>
            </w:pPr>
            <w:r>
              <w:t>$22.15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hydrotherapy treatment;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extended treatments;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services provided outside of normal business hours.</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567" w:hanging="567"/>
            </w:pPr>
            <w:r>
              <w:t>•</w:t>
            </w:r>
            <w:r>
              <w:tab/>
              <w:t>a summary of assessment findings;</w:t>
            </w:r>
          </w:p>
        </w:tc>
        <w:tc>
          <w:tcPr>
            <w:tcW w:w="1418" w:type="dxa"/>
            <w:tcBorders>
              <w:top w:val="nil"/>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treatment/management services provided and results obtained;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recommendations for further treatment/management;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functional and objective improvements;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treatment duration required;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return to work recommendation;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barriers to return to work;</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questionnaire results and implications.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lastRenderedPageBreak/>
              <w:t>PR003</w:t>
            </w:r>
          </w:p>
        </w:tc>
        <w:tc>
          <w:tcPr>
            <w:tcW w:w="4110" w:type="dxa"/>
            <w:tcBorders>
              <w:top w:val="single" w:sz="4" w:space="0" w:color="auto"/>
              <w:left w:val="nil"/>
              <w:bottom w:val="nil"/>
              <w:right w:val="nil"/>
            </w:tcBorders>
            <w:noWrap/>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noWrap/>
          </w:tcPr>
          <w:p>
            <w:pPr>
              <w:pStyle w:val="yTableNAm"/>
            </w:pPr>
            <w:r>
              <w:rPr>
                <w:b/>
              </w:rPr>
              <w:t>Set Fee</w:t>
            </w:r>
          </w:p>
          <w:p>
            <w:pPr>
              <w:pStyle w:val="yTableNAm"/>
            </w:pPr>
            <w:r>
              <w:t>$89.45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clinical assessment of injured worker and results of any investigation;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injured worker’s current work status and level of incapacity;</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 xml:space="preserve">proposed management plan including — </w:t>
            </w:r>
          </w:p>
          <w:p>
            <w:pPr>
              <w:pStyle w:val="yTableNAm"/>
              <w:ind w:left="1134" w:hanging="567"/>
            </w:pPr>
            <w:r>
              <w:t>1.</w:t>
            </w:r>
            <w:r>
              <w:tab/>
              <w:t>the proposed work and functional goals and estimated timeframe in weeks;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2.</w:t>
            </w:r>
            <w:r>
              <w:tab/>
              <w:t>description and number of proposed treatment methods;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3.</w:t>
            </w:r>
            <w:r>
              <w:tab/>
              <w:t>the number of weeks during which treatment is to be conducted;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4.</w:t>
            </w:r>
            <w:r>
              <w:tab/>
              <w:t>the injured worker’s expected fitness for work at the end of the management plan;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r>
              <w:t>5.</w:t>
            </w:r>
            <w:r>
              <w:tab/>
              <w:t>other comments or recommendations (including barriers to recovery where relevant).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lastRenderedPageBreak/>
              <w:t>PT001</w:t>
            </w:r>
          </w:p>
        </w:tc>
        <w:tc>
          <w:tcPr>
            <w:tcW w:w="4110" w:type="dxa"/>
            <w:tcBorders>
              <w:left w:val="nil"/>
              <w:bottom w:val="nil"/>
              <w:right w:val="nil"/>
            </w:tcBorders>
            <w:noWrap/>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noWrap/>
          </w:tcPr>
          <w:p>
            <w:pPr>
              <w:pStyle w:val="yTableNAm"/>
            </w:pPr>
            <w:r>
              <w:rPr>
                <w:b/>
              </w:rPr>
              <w:t>Hourly rate</w:t>
            </w:r>
            <w:r>
              <w:t>**</w:t>
            </w:r>
          </w:p>
          <w:p>
            <w:pPr>
              <w:pStyle w:val="yTableNAm"/>
            </w:pPr>
            <w:r>
              <w:t>$163.25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noWrap/>
          </w:tcPr>
          <w:p>
            <w:pPr>
              <w:pStyle w:val="yTableNAm"/>
            </w:pPr>
          </w:p>
          <w:p>
            <w:pPr>
              <w:pStyle w:val="yTableNAm"/>
            </w:pPr>
            <w:r>
              <w:t>$20.45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doctor, employer, insurer/claims manager, rehabilitation providers and worker.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noWrap/>
          </w:tcPr>
          <w:p>
            <w:pPr>
              <w:pStyle w:val="yTableNAm"/>
            </w:pPr>
          </w:p>
          <w:p>
            <w:pPr>
              <w:pStyle w:val="yTableNAm"/>
            </w:pPr>
            <w:r>
              <w:t>$20.45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noWrap/>
          </w:tcPr>
          <w:p>
            <w:pPr>
              <w:pStyle w:val="yTableNAm"/>
            </w:pPr>
            <w:r>
              <w:rPr>
                <w:b/>
              </w:rPr>
              <w:t>Hourly rate</w:t>
            </w:r>
            <w:r>
              <w:t>**</w:t>
            </w:r>
          </w:p>
          <w:p>
            <w:pPr>
              <w:pStyle w:val="yTableNAm"/>
            </w:pPr>
            <w:r>
              <w:t>$203.90</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1 inserted: SL 2020/203 r. 8.]</w:t>
      </w:r>
    </w:p>
    <w:p>
      <w:pPr>
        <w:pStyle w:val="yHeading3"/>
        <w:keepLines/>
      </w:pPr>
      <w:bookmarkStart w:id="41" w:name="_Toc84342604"/>
      <w:bookmarkStart w:id="42" w:name="_Toc84342826"/>
      <w:bookmarkStart w:id="43" w:name="_Toc84413622"/>
      <w:r>
        <w:rPr>
          <w:rStyle w:val="CharSDivNo"/>
        </w:rPr>
        <w:lastRenderedPageBreak/>
        <w:t>Part 2</w:t>
      </w:r>
      <w:r>
        <w:t> — </w:t>
      </w:r>
      <w:r>
        <w:rPr>
          <w:rStyle w:val="CharSDivText"/>
        </w:rPr>
        <w:t>Exercise</w:t>
      </w:r>
      <w:r>
        <w:rPr>
          <w:rStyle w:val="CharSDivText"/>
        </w:rPr>
        <w:noBreakHyphen/>
        <w:t>based programs</w:t>
      </w:r>
      <w:bookmarkEnd w:id="41"/>
      <w:bookmarkEnd w:id="42"/>
      <w:bookmarkEnd w:id="43"/>
    </w:p>
    <w:p>
      <w:pPr>
        <w:pStyle w:val="yFootnoteheading"/>
        <w:keepNext/>
        <w:keepLines/>
      </w:pPr>
      <w:r>
        <w:tab/>
        <w:t>[Heading inserted: SL 2020/203 r. 8.]</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559"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noWrap/>
          </w:tcPr>
          <w:p>
            <w:pPr>
              <w:pStyle w:val="yTableNAm"/>
            </w:pPr>
          </w:p>
          <w:p>
            <w:pPr>
              <w:pStyle w:val="yTableNAm"/>
            </w:pPr>
            <w:r>
              <w:t>$203.90</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559" w:type="dxa"/>
            <w:tcBorders>
              <w:top w:val="single" w:sz="4" w:space="0" w:color="auto"/>
              <w:bottom w:val="single" w:sz="4" w:space="0" w:color="auto"/>
            </w:tcBorders>
            <w:noWrap/>
          </w:tcPr>
          <w:p>
            <w:pPr>
              <w:pStyle w:val="yTableNAm"/>
            </w:pPr>
            <w:r>
              <w:br/>
            </w:r>
          </w:p>
          <w:p>
            <w:pPr>
              <w:pStyle w:val="yTableNAm"/>
            </w:pPr>
            <w:r>
              <w:t>$203.90</w:t>
            </w:r>
            <w:r>
              <w:br/>
              <w:t>per hour to a maximum of 1 hour**</w:t>
            </w:r>
          </w:p>
        </w:tc>
      </w:tr>
      <w:tr>
        <w:trPr>
          <w:cantSplit/>
        </w:trPr>
        <w:tc>
          <w:tcPr>
            <w:tcW w:w="1560" w:type="dxa"/>
            <w:tcBorders>
              <w:top w:val="single" w:sz="4" w:space="0" w:color="auto"/>
            </w:tcBorders>
            <w:noWrap/>
          </w:tcPr>
          <w:p>
            <w:pPr>
              <w:pStyle w:val="yTableNAm"/>
            </w:pPr>
            <w:r>
              <w:lastRenderedPageBreak/>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559" w:type="dxa"/>
            <w:tcBorders>
              <w:top w:val="single" w:sz="4" w:space="0" w:color="auto"/>
            </w:tcBorders>
            <w:noWrap/>
          </w:tcPr>
          <w:p>
            <w:pPr>
              <w:pStyle w:val="yTableNAm"/>
            </w:pPr>
          </w:p>
          <w:p>
            <w:pPr>
              <w:pStyle w:val="yTableNAm"/>
            </w:pPr>
            <w:r>
              <w:t>$203.90</w:t>
            </w:r>
            <w:r>
              <w:br/>
              <w:t>per hour to a maximum of 1 hour**</w:t>
            </w:r>
          </w:p>
        </w:tc>
      </w:tr>
      <w:tr>
        <w:trPr>
          <w:cantSplit/>
        </w:trPr>
        <w:tc>
          <w:tcPr>
            <w:tcW w:w="1560" w:type="dxa"/>
            <w:noWrap/>
          </w:tcPr>
          <w:p>
            <w:pPr>
              <w:pStyle w:val="yTableNAm"/>
            </w:pPr>
          </w:p>
        </w:tc>
        <w:tc>
          <w:tcPr>
            <w:tcW w:w="3969" w:type="dxa"/>
            <w:noWrap/>
          </w:tcPr>
          <w:p>
            <w:pPr>
              <w:pStyle w:val="yTableNAm"/>
              <w:ind w:left="567" w:hanging="567"/>
            </w:pPr>
            <w:r>
              <w:t>•</w:t>
            </w:r>
            <w:r>
              <w:tab/>
              <w:t>current status as per medical certification and proposed outcome status;</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567" w:hanging="567"/>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noWrap/>
          </w:tcPr>
          <w:p>
            <w:pPr>
              <w:pStyle w:val="yTableNAm"/>
            </w:pPr>
          </w:p>
          <w:p>
            <w:pPr>
              <w:pStyle w:val="yTableNAm"/>
              <w:rPr>
                <w:spacing w:val="-6"/>
              </w:rPr>
            </w:pPr>
            <w:r>
              <w:t>$203.90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559"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EXE05</w:t>
            </w:r>
          </w:p>
        </w:tc>
        <w:tc>
          <w:tcPr>
            <w:tcW w:w="3970"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lastRenderedPageBreak/>
              <w:t>EXE06</w:t>
            </w:r>
          </w:p>
        </w:tc>
        <w:tc>
          <w:tcPr>
            <w:tcW w:w="3970"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70"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70"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noWrap/>
          </w:tcPr>
          <w:p>
            <w:pPr>
              <w:pStyle w:val="yTableNAm"/>
            </w:pPr>
            <w:r>
              <w:br/>
            </w:r>
          </w:p>
          <w:p>
            <w:pPr>
              <w:pStyle w:val="yTableNAm"/>
            </w:pPr>
            <w:r>
              <w:t>$203.90</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rPr>
          <w:rStyle w:val="DraftersNotes"/>
          <w:b w:val="0"/>
          <w:i/>
          <w:sz w:val="22"/>
        </w:rPr>
      </w:pPr>
      <w:r>
        <w:tab/>
        <w:t>[Part 2 inserted: SL 2020/203 r. 8.]</w:t>
      </w:r>
    </w:p>
    <w:p>
      <w:pPr>
        <w:pStyle w:val="yScheduleHeading"/>
      </w:pPr>
      <w:bookmarkStart w:id="44" w:name="_Toc84342605"/>
      <w:bookmarkStart w:id="45" w:name="_Toc84342827"/>
      <w:bookmarkStart w:id="46" w:name="_Toc84413623"/>
      <w:r>
        <w:rPr>
          <w:rStyle w:val="CharSchNo"/>
        </w:rPr>
        <w:lastRenderedPageBreak/>
        <w:t>Schedule 3</w:t>
      </w:r>
      <w:r>
        <w:rPr>
          <w:rStyle w:val="CharSDivNo"/>
          <w:sz w:val="28"/>
        </w:rPr>
        <w:t> </w:t>
      </w:r>
      <w:r>
        <w:t>—</w:t>
      </w:r>
      <w:r>
        <w:rPr>
          <w:rStyle w:val="CharSDivText"/>
          <w:sz w:val="28"/>
        </w:rPr>
        <w:t> </w:t>
      </w:r>
      <w:r>
        <w:rPr>
          <w:rStyle w:val="CharSchText"/>
        </w:rPr>
        <w:t>Scale of fees: chiropractors</w:t>
      </w:r>
      <w:bookmarkEnd w:id="44"/>
      <w:bookmarkEnd w:id="45"/>
      <w:bookmarkEnd w:id="46"/>
    </w:p>
    <w:p>
      <w:pPr>
        <w:pStyle w:val="yShoulderClause"/>
      </w:pPr>
      <w:r>
        <w:t>[r. 4]</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tcPr>
          <w:p>
            <w:pPr>
              <w:pStyle w:val="yTableNAm"/>
              <w:jc w:val="right"/>
            </w:pPr>
            <w:r>
              <w:t>$70.65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tcPr>
          <w:p>
            <w:pPr>
              <w:pStyle w:val="yTableNAm"/>
              <w:jc w:val="right"/>
            </w:pPr>
            <w:r>
              <w:t>$58.95</w:t>
            </w:r>
          </w:p>
        </w:tc>
      </w:tr>
      <w:tr>
        <w:trPr>
          <w:cantSplit/>
        </w:trPr>
        <w:tc>
          <w:tcPr>
            <w:tcW w:w="578" w:type="dxa"/>
            <w:noWrap/>
          </w:tcPr>
          <w:p>
            <w:pPr>
              <w:pStyle w:val="yTableNAm"/>
            </w:pPr>
            <w:r>
              <w:t>3.</w:t>
            </w:r>
          </w:p>
        </w:tc>
        <w:tc>
          <w:tcPr>
            <w:tcW w:w="5234" w:type="dxa"/>
            <w:noWrap/>
          </w:tcPr>
          <w:p>
            <w:pPr>
              <w:pStyle w:val="yTableNAm"/>
            </w:pPr>
            <w:r>
              <w:t>Spinal x</w:t>
            </w:r>
            <w:r>
              <w:noBreakHyphen/>
              <w:t>ray, one region</w:t>
            </w:r>
          </w:p>
        </w:tc>
        <w:tc>
          <w:tcPr>
            <w:tcW w:w="992" w:type="dxa"/>
            <w:noWrap/>
          </w:tcPr>
          <w:p>
            <w:pPr>
              <w:pStyle w:val="yTableNAm"/>
              <w:jc w:val="right"/>
            </w:pPr>
            <w:r>
              <w:t>$140.45</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tcPr>
          <w:p>
            <w:pPr>
              <w:pStyle w:val="yTableNAm"/>
              <w:jc w:val="right"/>
            </w:pPr>
            <w:r>
              <w:t>$210.90</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tcPr>
          <w:p>
            <w:pPr>
              <w:pStyle w:val="yTableNAm"/>
              <w:jc w:val="right"/>
            </w:pPr>
            <w:r>
              <w:t>$1.00</w:t>
            </w:r>
          </w:p>
        </w:tc>
      </w:tr>
    </w:tbl>
    <w:p>
      <w:pPr>
        <w:pStyle w:val="yFootnoteheading"/>
        <w:spacing w:after="60"/>
      </w:pPr>
      <w:r>
        <w:tab/>
        <w:t>[Schedule 3 inserted: SL 2020/203 r. 8.]</w:t>
      </w:r>
    </w:p>
    <w:p>
      <w:pPr>
        <w:pStyle w:val="yScheduleHeading"/>
      </w:pPr>
      <w:bookmarkStart w:id="47" w:name="_Toc84342606"/>
      <w:bookmarkStart w:id="48" w:name="_Toc84342828"/>
      <w:bookmarkStart w:id="49" w:name="_Toc84413624"/>
      <w:r>
        <w:rPr>
          <w:rStyle w:val="CharSchNo"/>
        </w:rPr>
        <w:lastRenderedPageBreak/>
        <w:t>Schedule 4</w:t>
      </w:r>
      <w:r>
        <w:rPr>
          <w:rStyle w:val="CharSDivNo"/>
        </w:rPr>
        <w:t> </w:t>
      </w:r>
      <w:r>
        <w:t>—</w:t>
      </w:r>
      <w:r>
        <w:rPr>
          <w:rStyle w:val="CharSDivText"/>
        </w:rPr>
        <w:t> </w:t>
      </w:r>
      <w:r>
        <w:rPr>
          <w:rStyle w:val="CharSchText"/>
        </w:rPr>
        <w:t>Scale of fees: occupational therapists</w:t>
      </w:r>
      <w:bookmarkEnd w:id="47"/>
      <w:bookmarkEnd w:id="48"/>
      <w:bookmarkEnd w:id="49"/>
    </w:p>
    <w:p>
      <w:pPr>
        <w:pStyle w:val="yShoulderClause"/>
      </w:pPr>
      <w:r>
        <w:t>[r. 5]</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tcPr>
          <w:p>
            <w:pPr>
              <w:pStyle w:val="yTableNAm"/>
              <w:jc w:val="right"/>
            </w:pPr>
            <w:r>
              <w:rPr>
                <w:szCs w:val="22"/>
              </w:rPr>
              <w:t>$30.40</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tcPr>
          <w:p>
            <w:pPr>
              <w:pStyle w:val="yTableNAm"/>
              <w:jc w:val="right"/>
            </w:pPr>
            <w:r>
              <w:rPr>
                <w:szCs w:val="22"/>
              </w:rPr>
              <w:t>$61.15</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tcPr>
          <w:p>
            <w:pPr>
              <w:pStyle w:val="yTableNAm"/>
              <w:jc w:val="right"/>
            </w:pPr>
            <w:r>
              <w:rPr>
                <w:szCs w:val="22"/>
              </w:rPr>
              <w:t>$100.85</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tcPr>
          <w:p>
            <w:pPr>
              <w:pStyle w:val="yTableNAm"/>
              <w:jc w:val="right"/>
            </w:pPr>
            <w:r>
              <w:rPr>
                <w:szCs w:val="22"/>
              </w:rPr>
              <w:t>$151.20</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tcPr>
          <w:p>
            <w:pPr>
              <w:pStyle w:val="yTableNAm"/>
              <w:jc w:val="right"/>
            </w:pPr>
            <w:r>
              <w:rPr>
                <w:szCs w:val="22"/>
              </w:rPr>
              <w:t>$201.85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tcPr>
          <w:p>
            <w:pPr>
              <w:pStyle w:val="yTableNAm"/>
              <w:jc w:val="right"/>
            </w:pPr>
            <w:r>
              <w:rPr>
                <w:szCs w:val="22"/>
              </w:rPr>
              <w:t>$66.30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tcPr>
          <w:p>
            <w:pPr>
              <w:pStyle w:val="yTableNAm"/>
              <w:jc w:val="right"/>
            </w:pPr>
            <w:r>
              <w:rPr>
                <w:szCs w:val="22"/>
              </w:rPr>
              <w:t>$201.85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tcPr>
          <w:p>
            <w:pPr>
              <w:pStyle w:val="yTableNAm"/>
              <w:jc w:val="right"/>
            </w:pPr>
            <w:r>
              <w:rPr>
                <w:szCs w:val="22"/>
              </w:rPr>
              <w:t>$89.45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4 inserted: SL 2020/203 r. 8.]</w:t>
      </w:r>
    </w:p>
    <w:p>
      <w:pPr>
        <w:pStyle w:val="yScheduleHeading"/>
      </w:pPr>
      <w:bookmarkStart w:id="50" w:name="_Toc84342607"/>
      <w:bookmarkStart w:id="51" w:name="_Toc84342829"/>
      <w:bookmarkStart w:id="52" w:name="_Toc84413625"/>
      <w:r>
        <w:rPr>
          <w:rStyle w:val="CharSchNo"/>
        </w:rPr>
        <w:lastRenderedPageBreak/>
        <w:t>Schedule 5</w:t>
      </w:r>
      <w:r>
        <w:rPr>
          <w:rStyle w:val="CharSDivNo"/>
        </w:rPr>
        <w:t> </w:t>
      </w:r>
      <w:r>
        <w:t>—</w:t>
      </w:r>
      <w:r>
        <w:rPr>
          <w:rStyle w:val="CharSDivText"/>
        </w:rPr>
        <w:t> </w:t>
      </w:r>
      <w:r>
        <w:rPr>
          <w:rStyle w:val="CharSchText"/>
        </w:rPr>
        <w:t>Scale of fees: speech pathologists</w:t>
      </w:r>
      <w:bookmarkEnd w:id="50"/>
      <w:bookmarkEnd w:id="51"/>
      <w:bookmarkEnd w:id="52"/>
    </w:p>
    <w:p>
      <w:pPr>
        <w:pStyle w:val="yShoulderClause"/>
      </w:pPr>
      <w:r>
        <w:t>[r. 7]</w:t>
      </w:r>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keepNext/>
            </w:pPr>
          </w:p>
        </w:tc>
        <w:tc>
          <w:tcPr>
            <w:tcW w:w="5092" w:type="dxa"/>
            <w:tcBorders>
              <w:top w:val="single" w:sz="4" w:space="0" w:color="auto"/>
              <w:bottom w:val="single" w:sz="4" w:space="0" w:color="auto"/>
            </w:tcBorders>
            <w:noWrap/>
          </w:tcPr>
          <w:p>
            <w:pPr>
              <w:pStyle w:val="yTableNAm"/>
              <w:keepNext/>
            </w:pPr>
            <w:r>
              <w:rPr>
                <w:b/>
              </w:rPr>
              <w:t>Type of service</w:t>
            </w:r>
          </w:p>
        </w:tc>
        <w:tc>
          <w:tcPr>
            <w:tcW w:w="1134" w:type="dxa"/>
            <w:tcBorders>
              <w:top w:val="single" w:sz="4" w:space="0" w:color="auto"/>
              <w:bottom w:val="single" w:sz="4" w:space="0" w:color="auto"/>
            </w:tcBorders>
            <w:noWrap/>
          </w:tcPr>
          <w:p>
            <w:pPr>
              <w:pStyle w:val="yTableNAm"/>
              <w:keepNext/>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tcPr>
          <w:p>
            <w:pPr>
              <w:pStyle w:val="yTableNAm"/>
              <w:jc w:val="right"/>
            </w:pPr>
            <w:r>
              <w:br/>
              <w:t>$186.45</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tcPr>
          <w:p>
            <w:pPr>
              <w:pStyle w:val="yTableNAm"/>
              <w:jc w:val="right"/>
            </w:pPr>
            <w:r>
              <w:t>$241.45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tcPr>
          <w:p>
            <w:pPr>
              <w:pStyle w:val="yTableNAm"/>
              <w:jc w:val="right"/>
            </w:pPr>
            <w:r>
              <w:t>$81.30</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tcPr>
          <w:p>
            <w:pPr>
              <w:pStyle w:val="yTableNAm"/>
              <w:jc w:val="right"/>
            </w:pPr>
            <w:r>
              <w:t>$105.60</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tcPr>
          <w:p>
            <w:pPr>
              <w:pStyle w:val="yTableNAm"/>
              <w:jc w:val="right"/>
            </w:pPr>
            <w:r>
              <w:t>$142.50</w:t>
            </w:r>
          </w:p>
        </w:tc>
      </w:tr>
    </w:tbl>
    <w:p>
      <w:pPr>
        <w:pStyle w:val="yFootnoteheading"/>
        <w:spacing w:after="60"/>
      </w:pPr>
      <w:r>
        <w:tab/>
        <w:t>[Schedule 5 inserted: SL 2020/203 r. 8.]</w:t>
      </w:r>
    </w:p>
    <w:p>
      <w:pPr>
        <w:pStyle w:val="yScheduleHeading"/>
      </w:pPr>
      <w:bookmarkStart w:id="53" w:name="_Toc84342608"/>
      <w:bookmarkStart w:id="54" w:name="_Toc84342830"/>
      <w:bookmarkStart w:id="55" w:name="_Toc84413626"/>
      <w:r>
        <w:rPr>
          <w:rStyle w:val="CharSchNo"/>
        </w:rPr>
        <w:lastRenderedPageBreak/>
        <w:t>Schedule 5A</w:t>
      </w:r>
      <w:r>
        <w:rPr>
          <w:rStyle w:val="CharSDivNo"/>
        </w:rPr>
        <w:t> </w:t>
      </w:r>
      <w:r>
        <w:t>—</w:t>
      </w:r>
      <w:r>
        <w:rPr>
          <w:rStyle w:val="CharSDivText"/>
        </w:rPr>
        <w:t> </w:t>
      </w:r>
      <w:r>
        <w:rPr>
          <w:rStyle w:val="CharSchText"/>
        </w:rPr>
        <w:t>Scale of fees: exercise physiologists</w:t>
      </w:r>
      <w:bookmarkEnd w:id="53"/>
      <w:bookmarkEnd w:id="54"/>
      <w:bookmarkEnd w:id="55"/>
    </w:p>
    <w:p>
      <w:pPr>
        <w:pStyle w:val="yShoulderClause"/>
      </w:pPr>
      <w:r>
        <w:t>[r. 7B]</w:t>
      </w:r>
    </w:p>
    <w:p>
      <w:pPr>
        <w:pStyle w:val="yFootnoteheading"/>
      </w:pPr>
      <w:r>
        <w:tab/>
        <w:t>[Heading inserted: SL 2020/203 r. 8.]</w:t>
      </w:r>
    </w:p>
    <w:p>
      <w:pPr>
        <w:pStyle w:val="yHeading3"/>
      </w:pPr>
      <w:bookmarkStart w:id="56" w:name="_Toc84342609"/>
      <w:bookmarkStart w:id="57" w:name="_Toc84342831"/>
      <w:bookmarkStart w:id="58" w:name="_Toc84413627"/>
      <w:r>
        <w:t>Exercise</w:t>
      </w:r>
      <w:r>
        <w:noBreakHyphen/>
        <w:t>based programs</w:t>
      </w:r>
      <w:bookmarkEnd w:id="56"/>
      <w:bookmarkEnd w:id="57"/>
      <w:bookmarkEnd w:id="58"/>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$203.90</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t>program implementation — prescription and provision of exercises (land or pool based);</w:t>
            </w:r>
          </w:p>
          <w:p>
            <w:pPr>
              <w:pStyle w:val="yTableNAm"/>
              <w:ind w:left="567" w:hanging="567"/>
            </w:pPr>
            <w:r>
              <w:t>•</w:t>
            </w:r>
            <w:r>
              <w:tab/>
              <w:t>program monitoring;</w:t>
            </w:r>
          </w:p>
          <w:p>
            <w:pPr>
              <w:pStyle w:val="yTableNAm"/>
              <w:ind w:left="567" w:hanging="567"/>
            </w:pPr>
            <w:r>
              <w:t>•</w:t>
            </w:r>
            <w:r>
              <w:tab/>
              <w:t>post program screening questionnaire relating to worker’s level of function;</w:t>
            </w:r>
          </w:p>
          <w:p>
            <w:pPr>
              <w:pStyle w:val="yTableNAm"/>
              <w:ind w:left="567" w:hanging="567"/>
            </w:pPr>
            <w:r>
              <w:t>•</w:t>
            </w:r>
            <w:r>
              <w:tab/>
              <w:t>psychosocial reassessment;</w:t>
            </w:r>
          </w:p>
          <w:p>
            <w:pPr>
              <w:pStyle w:val="yTableNAm"/>
              <w:ind w:left="567" w:hanging="567"/>
            </w:pPr>
            <w:r>
              <w:lastRenderedPageBreak/>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$203.90</w:t>
            </w:r>
            <w:r>
              <w:br/>
              <w:t>per hour to a maximum of 1 hour**</w:t>
            </w:r>
          </w:p>
        </w:tc>
      </w:tr>
      <w:tr>
        <w:trPr>
          <w:cantSplit/>
        </w:trPr>
        <w:tc>
          <w:tcPr>
            <w:tcW w:w="992" w:type="dxa"/>
            <w:noWrap/>
          </w:tcPr>
          <w:p>
            <w:pPr>
              <w:pStyle w:val="yTableNAm"/>
            </w:pPr>
          </w:p>
        </w:tc>
        <w:tc>
          <w:tcPr>
            <w:tcW w:w="4536" w:type="dxa"/>
            <w:noWrap/>
          </w:tcPr>
          <w:p>
            <w:pPr>
              <w:pStyle w:val="yTableNAm"/>
              <w:ind w:left="567" w:hanging="567"/>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567" w:hanging="567"/>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567" w:hanging="567"/>
            </w:pPr>
            <w:r>
              <w:t>•</w:t>
            </w:r>
            <w:r>
              <w:tab/>
              <w:t>physiological testing results pre and post program;</w:t>
            </w:r>
          </w:p>
          <w:p>
            <w:pPr>
              <w:pStyle w:val="yTableNAm"/>
              <w:ind w:left="567" w:hanging="567"/>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$203.90</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lastRenderedPageBreak/>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$163.25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$20.45</w:t>
            </w:r>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$203.90</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[Schedule 5A inserted: SL 2020/203 r. 8.]</w:t>
      </w:r>
    </w:p>
    <w:p>
      <w:pPr>
        <w:pStyle w:val="yScheduleHeading"/>
      </w:pPr>
      <w:bookmarkStart w:id="59" w:name="_Toc84342610"/>
      <w:bookmarkStart w:id="60" w:name="_Toc84342832"/>
      <w:bookmarkStart w:id="61" w:name="_Toc84413628"/>
      <w:r>
        <w:rPr>
          <w:rStyle w:val="CharSchNo"/>
        </w:rPr>
        <w:lastRenderedPageBreak/>
        <w:t>Schedule 6</w:t>
      </w:r>
      <w:r>
        <w:t> — </w:t>
      </w:r>
      <w:r>
        <w:rPr>
          <w:rStyle w:val="CharSchText"/>
        </w:rPr>
        <w:t>Scale of maximum fees: approved medical specialists</w:t>
      </w:r>
      <w:bookmarkEnd w:id="59"/>
      <w:bookmarkEnd w:id="60"/>
      <w:bookmarkEnd w:id="61"/>
    </w:p>
    <w:p>
      <w:pPr>
        <w:pStyle w:val="yShoulderClause"/>
      </w:pPr>
      <w:r>
        <w:t>[r. 9]</w:t>
      </w:r>
    </w:p>
    <w:p>
      <w:pPr>
        <w:pStyle w:val="yFootnoteheading"/>
      </w:pPr>
      <w:r>
        <w:tab/>
        <w:t>[Heading inserted: SL 2020/203 r. 8.]</w:t>
      </w:r>
    </w:p>
    <w:p>
      <w:pPr>
        <w:pStyle w:val="yHeading3"/>
      </w:pPr>
      <w:bookmarkStart w:id="62" w:name="_Toc84342611"/>
      <w:bookmarkStart w:id="63" w:name="_Toc84342833"/>
      <w:bookmarkStart w:id="64" w:name="_Toc84413629"/>
      <w:r>
        <w:rPr>
          <w:rStyle w:val="CharSDivNo"/>
        </w:rPr>
        <w:t>Part 1</w:t>
      </w:r>
      <w:r>
        <w:t> — </w:t>
      </w:r>
      <w:r>
        <w:rPr>
          <w:rStyle w:val="CharSDivText"/>
        </w:rPr>
        <w:t>Assessments</w:t>
      </w:r>
      <w:bookmarkEnd w:id="62"/>
      <w:bookmarkEnd w:id="63"/>
      <w:bookmarkEnd w:id="64"/>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pPr>
          </w:p>
        </w:tc>
        <w:tc>
          <w:tcPr>
            <w:tcW w:w="4113" w:type="dxa"/>
            <w:tcBorders>
              <w:top w:val="single" w:sz="4" w:space="0" w:color="auto"/>
              <w:bottom w:val="single" w:sz="4" w:space="0" w:color="auto"/>
            </w:tcBorders>
            <w:noWrap/>
          </w:tcPr>
          <w:p>
            <w:pPr>
              <w:pStyle w:val="yTableNAm"/>
              <w:keepNext/>
            </w:pPr>
            <w:r>
              <w:rPr>
                <w:b/>
              </w:rPr>
              <w:t>Description of assessment</w:t>
            </w:r>
          </w:p>
        </w:tc>
        <w:tc>
          <w:tcPr>
            <w:tcW w:w="2266" w:type="dxa"/>
            <w:tcBorders>
              <w:top w:val="single" w:sz="4" w:space="0" w:color="auto"/>
              <w:bottom w:val="single" w:sz="4" w:space="0" w:color="auto"/>
            </w:tcBorders>
            <w:noWrap/>
          </w:tcPr>
          <w:p>
            <w:pPr>
              <w:pStyle w:val="yTableNAm"/>
              <w:keepNext/>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noWrap/>
          </w:tcPr>
          <w:p>
            <w:pPr>
              <w:pStyle w:val="yTableNAm"/>
            </w:pPr>
            <w:r>
              <w:t>$1 719.50 (or, if an interpreter is present at the examination, $2 063.40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$1 375.60 (or, if an interpreter is present at the examination, $1 719.50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$2 063.40 (or, if an interpreter is present at the examination, $2 407.20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$3 438.80 (or, if an interpreter is present at the examination, $3 782.65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$687.75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$1 031.65 (or, if an interpreter is present at the examination, $1 375.60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$343.95</w:t>
            </w:r>
          </w:p>
        </w:tc>
      </w:tr>
    </w:tbl>
    <w:p>
      <w:pPr>
        <w:pStyle w:val="yFootnoteheading"/>
        <w:spacing w:after="60"/>
      </w:pPr>
      <w:r>
        <w:tab/>
        <w:t>[Part 1 inserted: SL 2020/203 r. 8.]</w:t>
      </w:r>
    </w:p>
    <w:p>
      <w:pPr>
        <w:pStyle w:val="yHeading3"/>
      </w:pPr>
      <w:bookmarkStart w:id="65" w:name="_Toc84342612"/>
      <w:bookmarkStart w:id="66" w:name="_Toc84342834"/>
      <w:bookmarkStart w:id="67" w:name="_Toc84413630"/>
      <w:r>
        <w:rPr>
          <w:rStyle w:val="CharSDivNo"/>
        </w:rPr>
        <w:t>Part 2</w:t>
      </w:r>
      <w:r>
        <w:t> — </w:t>
      </w:r>
      <w:r>
        <w:rPr>
          <w:rStyle w:val="CharSDivText"/>
        </w:rPr>
        <w:t>Attempted assessments</w:t>
      </w:r>
      <w:bookmarkEnd w:id="65"/>
      <w:bookmarkEnd w:id="66"/>
      <w:bookmarkEnd w:id="67"/>
    </w:p>
    <w:p>
      <w:pPr>
        <w:pStyle w:val="yFootnoteheading"/>
      </w:pPr>
      <w:r>
        <w:tab/>
        <w:t>[Heading inserted: SL 2020/203 r. 8.]</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keepLines/>
            </w:pPr>
          </w:p>
        </w:tc>
        <w:tc>
          <w:tcPr>
            <w:tcW w:w="4113" w:type="dxa"/>
            <w:tcBorders>
              <w:top w:val="single" w:sz="4" w:space="0" w:color="auto"/>
              <w:bottom w:val="single" w:sz="4" w:space="0" w:color="auto"/>
            </w:tcBorders>
            <w:noWrap/>
          </w:tcPr>
          <w:p>
            <w:pPr>
              <w:pStyle w:val="yTableNAm"/>
              <w:keepNext/>
              <w:keepLines/>
            </w:pPr>
            <w:r>
              <w:rPr>
                <w:b/>
              </w:rPr>
              <w:t>Description of circumstances</w:t>
            </w:r>
          </w:p>
        </w:tc>
        <w:tc>
          <w:tcPr>
            <w:tcW w:w="2266" w:type="dxa"/>
            <w:tcBorders>
              <w:top w:val="single" w:sz="4" w:space="0" w:color="auto"/>
              <w:bottom w:val="single" w:sz="4" w:space="0" w:color="auto"/>
            </w:tcBorders>
            <w:noWrap/>
          </w:tcPr>
          <w:p>
            <w:pPr>
              <w:pStyle w:val="yTableNAm"/>
              <w:keepNext/>
              <w:keepLines/>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$687.75</w:t>
            </w:r>
          </w:p>
        </w:tc>
      </w:tr>
      <w:tr>
        <w:trPr>
          <w:cantSplit/>
        </w:trPr>
        <w:tc>
          <w:tcPr>
            <w:tcW w:w="425" w:type="dxa"/>
            <w:noWrap/>
          </w:tcPr>
          <w:p>
            <w:pPr>
              <w:pStyle w:val="yTableNAm"/>
            </w:pPr>
          </w:p>
        </w:tc>
        <w:tc>
          <w:tcPr>
            <w:tcW w:w="4113" w:type="dxa"/>
            <w:noWrap/>
          </w:tcPr>
          <w:p>
            <w:pPr>
              <w:pStyle w:val="yTableNAm"/>
              <w:ind w:left="567" w:hanging="567"/>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heading"/>
        <w:spacing w:after="60"/>
      </w:pPr>
      <w:r>
        <w:tab/>
        <w:t>[Part 2 inserted: SL 2020/203 r.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9" w:name="_Toc84342613"/>
      <w:bookmarkStart w:id="70" w:name="_Toc84342835"/>
      <w:bookmarkStart w:id="71" w:name="_Toc84413631"/>
      <w:r>
        <w:lastRenderedPageBreak/>
        <w:t>Notes</w:t>
      </w:r>
      <w:bookmarkEnd w:id="69"/>
      <w:bookmarkEnd w:id="70"/>
      <w:bookmarkEnd w:id="71"/>
    </w:p>
    <w:p>
      <w:pPr>
        <w:pStyle w:val="nStatement"/>
      </w:pPr>
      <w:r>
        <w:t xml:space="preserve">This is a compilation of the </w:t>
      </w:r>
      <w:r>
        <w:rPr>
          <w:i/>
          <w:noProof/>
        </w:rPr>
        <w:t>Workers’ Compensation and Injury Management (Scales of Fees) Regulations 1998</w:t>
      </w:r>
      <w:r>
        <w:t xml:space="preserve"> and includes amendments made by other written laws </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72" w:name="_Toc84413632"/>
      <w:r>
        <w:t>Compilation table</w:t>
      </w:r>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Workers’ Compensation and Injury Management (Scales of Fees) Amendment Regulations 2020 </w:t>
            </w:r>
          </w:p>
        </w:tc>
        <w:tc>
          <w:tcPr>
            <w:tcW w:w="1276" w:type="dxa"/>
            <w:tcBorders>
              <w:bottom w:val="single" w:sz="4" w:space="0" w:color="auto"/>
            </w:tcBorders>
          </w:tcPr>
          <w:p>
            <w:pPr>
              <w:pStyle w:val="nTable"/>
              <w:spacing w:after="40"/>
            </w:pPr>
            <w:r>
              <w:t>SL 2020/203 23 Oct 2020</w:t>
            </w:r>
          </w:p>
        </w:tc>
        <w:tc>
          <w:tcPr>
            <w:tcW w:w="2693" w:type="dxa"/>
            <w:tcBorders>
              <w:bottom w:val="single" w:sz="4" w:space="0" w:color="auto"/>
            </w:tcBorders>
          </w:tcPr>
          <w:p>
            <w:pPr>
              <w:pStyle w:val="nTable"/>
              <w:spacing w:after="40"/>
            </w:pPr>
            <w:r>
              <w:t>r. 1 and 2: 23 Oct 2020 (see r. 2(a));</w:t>
            </w:r>
            <w:r>
              <w:br/>
              <w:t>Regulations other than r. 1 and 2: 1 Nov 2020 (see r. 2(b))</w:t>
            </w:r>
          </w:p>
        </w:tc>
      </w:tr>
    </w:tbl>
    <w:p>
      <w:pPr>
        <w:pStyle w:val="nHeading3"/>
      </w:pPr>
      <w:bookmarkStart w:id="73" w:name="_Toc84413633"/>
      <w:r>
        <w:t>Uncommenced provisions table</w:t>
      </w:r>
      <w:bookmarkEnd w:id="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Workers’ Compensation and Injury Management (Scales of Fees) Amendment Regulations 2021</w:t>
            </w:r>
            <w:r>
              <w:t xml:space="preserve"> r. 3</w:t>
            </w:r>
            <w:r>
              <w:noBreakHyphen/>
              <w:t>6</w:t>
            </w:r>
          </w:p>
        </w:tc>
        <w:tc>
          <w:tcPr>
            <w:tcW w:w="1276" w:type="dxa"/>
            <w:shd w:val="clear" w:color="auto" w:fill="auto"/>
          </w:tcPr>
          <w:p>
            <w:pPr>
              <w:pStyle w:val="nTable"/>
              <w:spacing w:after="40"/>
            </w:pPr>
            <w:r>
              <w:t>SL 2021/169 8 Oct 2021</w:t>
            </w:r>
          </w:p>
        </w:tc>
        <w:tc>
          <w:tcPr>
            <w:tcW w:w="2693" w:type="dxa"/>
            <w:shd w:val="clear" w:color="auto" w:fill="auto"/>
          </w:tcPr>
          <w:p>
            <w:pPr>
              <w:pStyle w:val="nTable"/>
              <w:spacing w:after="40"/>
            </w:pPr>
            <w:r>
              <w:t>1 Nov 2021 (see r. 2(b))</w:t>
            </w:r>
          </w:p>
        </w:tc>
      </w:tr>
    </w:tbl>
    <w:p>
      <w:pPr>
        <w:pStyle w:val="nHeading3"/>
      </w:pPr>
      <w:bookmarkStart w:id="74" w:name="_Toc84413634"/>
      <w:r>
        <w:lastRenderedPageBreak/>
        <w:t>Other notes</w:t>
      </w:r>
      <w:bookmarkEnd w:id="74"/>
    </w:p>
    <w:p>
      <w:pPr>
        <w:pStyle w:val="nNote"/>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sectPr>
          <w:headerReference w:type="even" r:id="rId28"/>
          <w:headerReference w:type="default" r:id="rId29"/>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76" w:name="_Toc84342616"/>
      <w:bookmarkStart w:id="77" w:name="_Toc84342839"/>
      <w:bookmarkStart w:id="78" w:name="_Toc84413635"/>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60701"/>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B878C-00E5-4351-88BD-B4A99A24C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13712</Words>
  <Characters>75005</Characters>
  <Application>Microsoft Office Word</Application>
  <DocSecurity>0</DocSecurity>
  <Lines>4412</Lines>
  <Paragraphs>3285</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1998 - 05-q0-00</dc:title>
  <dc:subject/>
  <dc:creator/>
  <cp:keywords/>
  <dc:description/>
  <cp:lastModifiedBy>Master Repository Process</cp:lastModifiedBy>
  <cp:revision>4</cp:revision>
  <cp:lastPrinted>2019-10-30T04:52:00Z</cp:lastPrinted>
  <dcterms:created xsi:type="dcterms:W3CDTF">2021-10-08T03:10:00Z</dcterms:created>
  <dcterms:modified xsi:type="dcterms:W3CDTF">2021-10-08T03:11:00Z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08 Oct 2021</vt:lpwstr>
  </property>
  <property fmtid="{D5CDD505-2E9C-101B-9397-08002B2CF9AE}" pid="8" name="Suffix">
    <vt:lpwstr>05-q0-00</vt:lpwstr>
  </property>
  <property fmtid="{D5CDD505-2E9C-101B-9397-08002B2CF9AE}" pid="9" name="CommencementDate">
    <vt:lpwstr>20211008</vt:lpwstr>
  </property>
</Properties>
</file>