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Bush Fires Act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_Toc85638690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Commencement</w:t>
      </w:r>
      <w:r>
        <w:tab/>
      </w:r>
      <w:r>
        <w:fldChar w:fldCharType="begin"/>
      </w:r>
      <w:r>
        <w:instrText xml:space="preserve"> PAGEREF _Toc85638691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Saving provisions</w:t>
      </w:r>
      <w:r>
        <w:tab/>
      </w:r>
      <w:r>
        <w:fldChar w:fldCharType="begin"/>
      </w:r>
      <w:r>
        <w:instrText xml:space="preserve"> PAGEREF _Toc85638692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_Toc85638693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_Toc85638695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FES Commissioner</w:t>
      </w:r>
      <w:r>
        <w:tab/>
      </w:r>
      <w:r>
        <w:fldChar w:fldCharType="begin"/>
      </w:r>
      <w:r>
        <w:instrText xml:space="preserve"> PAGEREF _Toc85638696 \h </w:instrText>
      </w:r>
      <w:r>
        <w:fldChar w:fldCharType="separate"/>
      </w:r>
      <w:r>
        <w:t>6</w:t>
      </w:r>
      <w:r>
        <w:fldChar w:fldCharType="end"/>
      </w:r>
    </w:p>
    <w:p>
      <w:pPr>
        <w:pStyle w:val="TOC8"/>
        <w:rPr>
          <w:rFonts w:asciiTheme="minorHAnsi" w:eastAsiaTheme="minorEastAsia" w:hAnsiTheme="minorHAnsi" w:cstheme="minorBidi"/>
          <w:szCs w:val="22"/>
        </w:rPr>
      </w:pPr>
      <w:r>
        <w:t>12.</w:t>
      </w:r>
      <w:r>
        <w:tab/>
        <w:t>Bush fire liaison officers</w:t>
      </w:r>
      <w:r>
        <w:tab/>
      </w:r>
      <w:r>
        <w:fldChar w:fldCharType="begin"/>
      </w:r>
      <w:r>
        <w:instrText xml:space="preserve"> PAGEREF _Toc85638697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Duties and powers of bush fire liaison officers</w:t>
      </w:r>
      <w:r>
        <w:tab/>
      </w:r>
      <w:r>
        <w:fldChar w:fldCharType="begin"/>
      </w:r>
      <w:r>
        <w:instrText xml:space="preserve"> PAGEREF _Toc85638698 \h </w:instrText>
      </w:r>
      <w:r>
        <w:fldChar w:fldCharType="separate"/>
      </w:r>
      <w:r>
        <w:t>8</w:t>
      </w:r>
      <w:r>
        <w:fldChar w:fldCharType="end"/>
      </w:r>
    </w:p>
    <w:p>
      <w:pPr>
        <w:pStyle w:val="TOC8"/>
        <w:rPr>
          <w:rFonts w:asciiTheme="minorHAnsi" w:eastAsiaTheme="minorEastAsia" w:hAnsiTheme="minorHAnsi" w:cstheme="minorBidi"/>
          <w:szCs w:val="22"/>
        </w:rPr>
      </w:pPr>
      <w:r>
        <w:t>14A.</w:t>
      </w:r>
      <w:r>
        <w:tab/>
        <w:t xml:space="preserve">Powers and duties under section 13 not affected by certain powers under </w:t>
      </w:r>
      <w:r>
        <w:rPr>
          <w:i/>
          <w:iCs/>
        </w:rPr>
        <w:t>Emergency Management Act 2005</w:t>
      </w:r>
      <w:r>
        <w:tab/>
      </w:r>
      <w:r>
        <w:fldChar w:fldCharType="begin"/>
      </w:r>
      <w:r>
        <w:instrText xml:space="preserve"> PAGEREF _Toc85638699 \h </w:instrText>
      </w:r>
      <w:r>
        <w:fldChar w:fldCharType="separate"/>
      </w:r>
      <w:r>
        <w:t>9</w:t>
      </w:r>
      <w:r>
        <w:fldChar w:fldCharType="end"/>
      </w:r>
    </w:p>
    <w:p>
      <w:pPr>
        <w:pStyle w:val="TOC8"/>
        <w:rPr>
          <w:rFonts w:asciiTheme="minorHAnsi" w:eastAsiaTheme="minorEastAsia" w:hAnsiTheme="minorHAnsi" w:cstheme="minorBidi"/>
          <w:szCs w:val="22"/>
        </w:rPr>
      </w:pPr>
      <w:r>
        <w:t>14B.</w:t>
      </w:r>
      <w:r>
        <w:tab/>
        <w:t>Powers of authorised persons and police officers during authorised periods</w:t>
      </w:r>
      <w:r>
        <w:tab/>
      </w:r>
      <w:r>
        <w:fldChar w:fldCharType="begin"/>
      </w:r>
      <w:r>
        <w:instrText xml:space="preserve"> PAGEREF _Toc85638700 \h </w:instrText>
      </w:r>
      <w:r>
        <w:fldChar w:fldCharType="separate"/>
      </w:r>
      <w:r>
        <w:t>10</w:t>
      </w:r>
      <w:r>
        <w:fldChar w:fldCharType="end"/>
      </w:r>
    </w:p>
    <w:p>
      <w:pPr>
        <w:pStyle w:val="TOC8"/>
        <w:rPr>
          <w:rFonts w:asciiTheme="minorHAnsi" w:eastAsiaTheme="minorEastAsia" w:hAnsiTheme="minorHAnsi" w:cstheme="minorBidi"/>
          <w:szCs w:val="22"/>
        </w:rPr>
      </w:pPr>
      <w:r>
        <w:t>14C.</w:t>
      </w:r>
      <w:r>
        <w:tab/>
        <w:t>Failure to comply with directions</w:t>
      </w:r>
      <w:r>
        <w:tab/>
      </w:r>
      <w:r>
        <w:fldChar w:fldCharType="begin"/>
      </w:r>
      <w:r>
        <w:instrText xml:space="preserve"> PAGEREF _Toc85638701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persons may enter land or building for purposes of Act</w:t>
      </w:r>
      <w:r>
        <w:tab/>
      </w:r>
      <w:r>
        <w:fldChar w:fldCharType="begin"/>
      </w:r>
      <w:r>
        <w:instrText xml:space="preserve"> PAGEREF _Toc85638702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Prevention of bush fires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Prohibited burning times</w:t>
      </w:r>
    </w:p>
    <w:p>
      <w:pPr>
        <w:pStyle w:val="TOC8"/>
        <w:rPr>
          <w:rFonts w:asciiTheme="minorHAnsi" w:eastAsiaTheme="minorEastAsia" w:hAnsiTheme="minorHAnsi" w:cstheme="minorBidi"/>
          <w:szCs w:val="22"/>
        </w:rPr>
      </w:pPr>
      <w:r>
        <w:t>17</w:t>
      </w:r>
      <w:r>
        <w:rPr>
          <w:snapToGrid w:val="0"/>
        </w:rPr>
        <w:t>.</w:t>
      </w:r>
      <w:r>
        <w:rPr>
          <w:snapToGrid w:val="0"/>
        </w:rPr>
        <w:tab/>
        <w:t>Prohibited burning times may be declared by Minister</w:t>
      </w:r>
      <w:r>
        <w:tab/>
      </w:r>
      <w:r>
        <w:fldChar w:fldCharType="begin"/>
      </w:r>
      <w:r>
        <w:instrText xml:space="preserve"> PAGEREF _Toc85638705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Restricted burning times</w:t>
      </w:r>
    </w:p>
    <w:p>
      <w:pPr>
        <w:pStyle w:val="TOC8"/>
        <w:rPr>
          <w:rFonts w:asciiTheme="minorHAnsi" w:eastAsiaTheme="minorEastAsia" w:hAnsiTheme="minorHAnsi" w:cstheme="minorBidi"/>
          <w:szCs w:val="22"/>
        </w:rPr>
      </w:pPr>
      <w:r>
        <w:t>18</w:t>
      </w:r>
      <w:r>
        <w:rPr>
          <w:snapToGrid w:val="0"/>
        </w:rPr>
        <w:t>.</w:t>
      </w:r>
      <w:r>
        <w:rPr>
          <w:snapToGrid w:val="0"/>
        </w:rPr>
        <w:tab/>
        <w:t>Restricted burning times may be declared by FES Commissioner</w:t>
      </w:r>
      <w:r>
        <w:tab/>
      </w:r>
      <w:r>
        <w:fldChar w:fldCharType="begin"/>
      </w:r>
      <w:r>
        <w:instrText xml:space="preserve"> PAGEREF _Toc85638707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Regulations as to restricted burning times</w:t>
      </w:r>
      <w:r>
        <w:tab/>
      </w:r>
      <w:r>
        <w:fldChar w:fldCharType="begin"/>
      </w:r>
      <w:r>
        <w:instrText xml:space="preserve"> PAGEREF _Toc85638708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Total fire ban</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_Toc85638710 \h </w:instrText>
      </w:r>
      <w:r>
        <w:fldChar w:fldCharType="separate"/>
      </w:r>
      <w:r>
        <w:t>21</w:t>
      </w:r>
      <w:r>
        <w:fldChar w:fldCharType="end"/>
      </w:r>
    </w:p>
    <w:p>
      <w:pPr>
        <w:pStyle w:val="TOC8"/>
        <w:rPr>
          <w:rFonts w:asciiTheme="minorHAnsi" w:eastAsiaTheme="minorEastAsia" w:hAnsiTheme="minorHAnsi" w:cstheme="minorBidi"/>
          <w:szCs w:val="22"/>
        </w:rPr>
      </w:pPr>
      <w:r>
        <w:t>22A.</w:t>
      </w:r>
      <w:r>
        <w:tab/>
        <w:t>Minister may declare total fire ban</w:t>
      </w:r>
      <w:r>
        <w:tab/>
      </w:r>
      <w:r>
        <w:fldChar w:fldCharType="begin"/>
      </w:r>
      <w:r>
        <w:instrText xml:space="preserve"> PAGEREF _Toc85638711 \h </w:instrText>
      </w:r>
      <w:r>
        <w:fldChar w:fldCharType="separate"/>
      </w:r>
      <w:r>
        <w:t>21</w:t>
      </w:r>
      <w:r>
        <w:fldChar w:fldCharType="end"/>
      </w:r>
    </w:p>
    <w:p>
      <w:pPr>
        <w:pStyle w:val="TOC8"/>
        <w:rPr>
          <w:rFonts w:asciiTheme="minorHAnsi" w:eastAsiaTheme="minorEastAsia" w:hAnsiTheme="minorHAnsi" w:cstheme="minorBidi"/>
          <w:szCs w:val="22"/>
        </w:rPr>
      </w:pPr>
      <w:r>
        <w:t>22B.</w:t>
      </w:r>
      <w:r>
        <w:tab/>
        <w:t>Lighting of fires prohibited during total fire ban</w:t>
      </w:r>
      <w:r>
        <w:tab/>
      </w:r>
      <w:r>
        <w:fldChar w:fldCharType="begin"/>
      </w:r>
      <w:r>
        <w:instrText xml:space="preserve"> PAGEREF _Toc85638712 \h </w:instrText>
      </w:r>
      <w:r>
        <w:fldChar w:fldCharType="separate"/>
      </w:r>
      <w:r>
        <w:t>22</w:t>
      </w:r>
      <w:r>
        <w:fldChar w:fldCharType="end"/>
      </w:r>
    </w:p>
    <w:p>
      <w:pPr>
        <w:pStyle w:val="TOC8"/>
        <w:rPr>
          <w:rFonts w:asciiTheme="minorHAnsi" w:eastAsiaTheme="minorEastAsia" w:hAnsiTheme="minorHAnsi" w:cstheme="minorBidi"/>
          <w:szCs w:val="22"/>
        </w:rPr>
      </w:pPr>
      <w:r>
        <w:t>22C.</w:t>
      </w:r>
      <w:r>
        <w:tab/>
        <w:t>Power of Minister to exempt from provisions of section 22B</w:t>
      </w:r>
      <w:r>
        <w:tab/>
      </w:r>
      <w:r>
        <w:fldChar w:fldCharType="begin"/>
      </w:r>
      <w:r>
        <w:instrText xml:space="preserve"> PAGEREF _Toc85638713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Burning during prohibited times and restricted times</w:t>
      </w:r>
    </w:p>
    <w:p>
      <w:pPr>
        <w:pStyle w:val="TOC8"/>
        <w:rPr>
          <w:rFonts w:asciiTheme="minorHAnsi" w:eastAsiaTheme="minorEastAsia" w:hAnsiTheme="minorHAnsi" w:cstheme="minorBidi"/>
          <w:szCs w:val="22"/>
        </w:rPr>
      </w:pPr>
      <w:r>
        <w:t>22</w:t>
      </w:r>
      <w:r>
        <w:rPr>
          <w:snapToGrid w:val="0"/>
        </w:rPr>
        <w:t>.</w:t>
      </w:r>
      <w:r>
        <w:rPr>
          <w:snapToGrid w:val="0"/>
        </w:rPr>
        <w:tab/>
        <w:t>Burning on exempt land and land adjoining exempt land</w:t>
      </w:r>
      <w:r>
        <w:tab/>
      </w:r>
      <w:r>
        <w:fldChar w:fldCharType="begin"/>
      </w:r>
      <w:r>
        <w:instrText xml:space="preserve"> PAGEREF _Toc85638715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Burning during prohibited burning times</w:t>
      </w:r>
      <w:r>
        <w:tab/>
      </w:r>
      <w:r>
        <w:fldChar w:fldCharType="begin"/>
      </w:r>
      <w:r>
        <w:instrText xml:space="preserve"> PAGEREF _Toc85638716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Bush on land growing subterranean clover may be burnt during prohibited burning times</w:t>
      </w:r>
      <w:r>
        <w:tab/>
      </w:r>
      <w:r>
        <w:fldChar w:fldCharType="begin"/>
      </w:r>
      <w:r>
        <w:instrText xml:space="preserve"> PAGEREF _Toc85638717 \h </w:instrText>
      </w:r>
      <w:r>
        <w:fldChar w:fldCharType="separate"/>
      </w:r>
      <w:r>
        <w:t>28</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Bush on land in prescribed irrigation areas may be burnt during prohibited times for purpose of germinating clover</w:t>
      </w:r>
      <w:r>
        <w:tab/>
      </w:r>
      <w:r>
        <w:fldChar w:fldCharType="begin"/>
      </w:r>
      <w:r>
        <w:instrText xml:space="preserve"> PAGEREF _Toc85638718 \h </w:instrText>
      </w:r>
      <w:r>
        <w:fldChar w:fldCharType="separate"/>
      </w:r>
      <w:r>
        <w:t>29</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Production of permit to burn may be required</w:t>
      </w:r>
      <w:r>
        <w:tab/>
      </w:r>
      <w:r>
        <w:fldChar w:fldCharType="begin"/>
      </w:r>
      <w:r>
        <w:instrText xml:space="preserve"> PAGEREF _Toc85638719 \h </w:instrText>
      </w:r>
      <w:r>
        <w:fldChar w:fldCharType="separate"/>
      </w:r>
      <w:r>
        <w:t>30</w:t>
      </w:r>
      <w:r>
        <w:fldChar w:fldCharType="end"/>
      </w:r>
    </w:p>
    <w:p>
      <w:pPr>
        <w:pStyle w:val="TOC8"/>
        <w:rPr>
          <w:rFonts w:asciiTheme="minorHAnsi" w:eastAsiaTheme="minorEastAsia" w:hAnsiTheme="minorHAnsi" w:cstheme="minorBidi"/>
          <w:szCs w:val="22"/>
        </w:rPr>
      </w:pPr>
      <w:r>
        <w:t>24C.</w:t>
      </w:r>
      <w:r>
        <w:tab/>
        <w:t>Terms used</w:t>
      </w:r>
      <w:r>
        <w:tab/>
      </w:r>
      <w:r>
        <w:fldChar w:fldCharType="begin"/>
      </w:r>
      <w:r>
        <w:instrText xml:space="preserve"> PAGEREF _Toc85638720 \h </w:instrText>
      </w:r>
      <w:r>
        <w:fldChar w:fldCharType="separate"/>
      </w:r>
      <w:r>
        <w:t>30</w:t>
      </w:r>
      <w:r>
        <w:fldChar w:fldCharType="end"/>
      </w:r>
    </w:p>
    <w:p>
      <w:pPr>
        <w:pStyle w:val="TOC8"/>
        <w:rPr>
          <w:rFonts w:asciiTheme="minorHAnsi" w:eastAsiaTheme="minorEastAsia" w:hAnsiTheme="minorHAnsi" w:cstheme="minorBidi"/>
          <w:szCs w:val="22"/>
        </w:rPr>
      </w:pPr>
      <w:r>
        <w:t>24D.</w:t>
      </w:r>
      <w:r>
        <w:tab/>
        <w:t>Burning garden refuse prohibited if fire danger very high to catastrophic</w:t>
      </w:r>
      <w:r>
        <w:tab/>
      </w:r>
      <w:r>
        <w:fldChar w:fldCharType="begin"/>
      </w:r>
      <w:r>
        <w:instrText xml:space="preserve"> PAGEREF _Toc85638721 \h </w:instrText>
      </w:r>
      <w:r>
        <w:fldChar w:fldCharType="separate"/>
      </w:r>
      <w:r>
        <w:t>31</w:t>
      </w:r>
      <w:r>
        <w:fldChar w:fldCharType="end"/>
      </w:r>
    </w:p>
    <w:p>
      <w:pPr>
        <w:pStyle w:val="TOC8"/>
        <w:rPr>
          <w:rFonts w:asciiTheme="minorHAnsi" w:eastAsiaTheme="minorEastAsia" w:hAnsiTheme="minorHAnsi" w:cstheme="minorBidi"/>
          <w:szCs w:val="22"/>
        </w:rPr>
      </w:pPr>
      <w:r>
        <w:t>24E.</w:t>
      </w:r>
      <w:r>
        <w:tab/>
        <w:t>Burning of garden refuse at rubbish tips</w:t>
      </w:r>
      <w:r>
        <w:tab/>
      </w:r>
      <w:r>
        <w:fldChar w:fldCharType="begin"/>
      </w:r>
      <w:r>
        <w:instrText xml:space="preserve"> PAGEREF _Toc85638722 \h </w:instrText>
      </w:r>
      <w:r>
        <w:fldChar w:fldCharType="separate"/>
      </w:r>
      <w:r>
        <w:t>31</w:t>
      </w:r>
      <w:r>
        <w:fldChar w:fldCharType="end"/>
      </w:r>
    </w:p>
    <w:p>
      <w:pPr>
        <w:pStyle w:val="TOC8"/>
        <w:rPr>
          <w:rFonts w:asciiTheme="minorHAnsi" w:eastAsiaTheme="minorEastAsia" w:hAnsiTheme="minorHAnsi" w:cstheme="minorBidi"/>
          <w:szCs w:val="22"/>
        </w:rPr>
      </w:pPr>
      <w:r>
        <w:t>24F.</w:t>
      </w:r>
      <w:r>
        <w:tab/>
        <w:t>Burning garden refuse during limited burning times</w:t>
      </w:r>
      <w:r>
        <w:tab/>
      </w:r>
      <w:r>
        <w:fldChar w:fldCharType="begin"/>
      </w:r>
      <w:r>
        <w:instrText xml:space="preserve"> PAGEREF _Toc85638723 \h </w:instrText>
      </w:r>
      <w:r>
        <w:fldChar w:fldCharType="separate"/>
      </w:r>
      <w:r>
        <w:t>32</w:t>
      </w:r>
      <w:r>
        <w:fldChar w:fldCharType="end"/>
      </w:r>
    </w:p>
    <w:p>
      <w:pPr>
        <w:pStyle w:val="TOC8"/>
        <w:rPr>
          <w:rFonts w:asciiTheme="minorHAnsi" w:eastAsiaTheme="minorEastAsia" w:hAnsiTheme="minorHAnsi" w:cstheme="minorBidi"/>
          <w:szCs w:val="22"/>
        </w:rPr>
      </w:pPr>
      <w:r>
        <w:t>24G.</w:t>
      </w:r>
      <w:r>
        <w:tab/>
        <w:t>Minister or local government may further restrict burning of garden refuse</w:t>
      </w:r>
      <w:r>
        <w:tab/>
      </w:r>
      <w:r>
        <w:fldChar w:fldCharType="begin"/>
      </w:r>
      <w:r>
        <w:instrText xml:space="preserve"> PAGEREF _Toc85638724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 fire to be lit in open air unless certain precautions taken</w:t>
      </w:r>
      <w:r>
        <w:tab/>
      </w:r>
      <w:r>
        <w:fldChar w:fldCharType="begin"/>
      </w:r>
      <w:r>
        <w:instrText xml:space="preserve"> PAGEREF _Toc85638725 \h </w:instrText>
      </w:r>
      <w:r>
        <w:fldChar w:fldCharType="separate"/>
      </w:r>
      <w:r>
        <w:t>34</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Power of Minister to exempt from provisions of section 25</w:t>
      </w:r>
      <w:r>
        <w:tab/>
      </w:r>
      <w:r>
        <w:fldChar w:fldCharType="begin"/>
      </w:r>
      <w:r>
        <w:instrText xml:space="preserve"> PAGEREF _Toc85638726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Burning of plants to eradicate disease during prohibited burning times</w:t>
      </w:r>
      <w:r>
        <w:tab/>
      </w:r>
      <w:r>
        <w:fldChar w:fldCharType="begin"/>
      </w:r>
      <w:r>
        <w:instrText xml:space="preserve"> PAGEREF _Toc85638727 \h </w:instrText>
      </w:r>
      <w:r>
        <w:fldChar w:fldCharType="separate"/>
      </w:r>
      <w:r>
        <w:t>40</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Burning of declared plants during prohibited burning times</w:t>
      </w:r>
      <w:r>
        <w:tab/>
      </w:r>
      <w:r>
        <w:fldChar w:fldCharType="begin"/>
      </w:r>
      <w:r>
        <w:instrText xml:space="preserve"> PAGEREF _Toc85638728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restrictions, prohibitions and offences</w:t>
      </w:r>
    </w:p>
    <w:p>
      <w:pPr>
        <w:pStyle w:val="TOC8"/>
        <w:rPr>
          <w:rFonts w:asciiTheme="minorHAnsi" w:eastAsiaTheme="minorEastAsia" w:hAnsiTheme="minorHAnsi" w:cstheme="minorBidi"/>
          <w:szCs w:val="22"/>
        </w:rPr>
      </w:pPr>
      <w:r>
        <w:t>27</w:t>
      </w:r>
      <w:r>
        <w:rPr>
          <w:snapToGrid w:val="0"/>
        </w:rPr>
        <w:t>.</w:t>
      </w:r>
      <w:r>
        <w:rPr>
          <w:snapToGrid w:val="0"/>
        </w:rPr>
        <w:tab/>
        <w:t>Prohibition on use of tractors or engines except under certain conditions</w:t>
      </w:r>
      <w:r>
        <w:tab/>
      </w:r>
      <w:r>
        <w:fldChar w:fldCharType="begin"/>
      </w:r>
      <w:r>
        <w:instrText xml:space="preserve"> PAGEREF _Toc85638730 \h </w:instrText>
      </w:r>
      <w:r>
        <w:fldChar w:fldCharType="separate"/>
      </w:r>
      <w:r>
        <w:t>41</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Regulation of blasting and matters likely to create bush fire danger</w:t>
      </w:r>
      <w:r>
        <w:tab/>
      </w:r>
      <w:r>
        <w:fldChar w:fldCharType="begin"/>
      </w:r>
      <w:r>
        <w:instrText xml:space="preserve"> PAGEREF _Toc85638731 \h </w:instrText>
      </w:r>
      <w:r>
        <w:fldChar w:fldCharType="separate"/>
      </w:r>
      <w:r>
        <w:t>44</w:t>
      </w:r>
      <w:r>
        <w:fldChar w:fldCharType="end"/>
      </w:r>
    </w:p>
    <w:p>
      <w:pPr>
        <w:pStyle w:val="TOC8"/>
        <w:rPr>
          <w:rFonts w:asciiTheme="minorHAnsi" w:eastAsiaTheme="minorEastAsia" w:hAnsiTheme="minorHAnsi" w:cstheme="minorBidi"/>
          <w:szCs w:val="22"/>
        </w:rPr>
      </w:pPr>
      <w:r>
        <w:lastRenderedPageBreak/>
        <w:t>27B</w:t>
      </w:r>
      <w:r>
        <w:rPr>
          <w:snapToGrid w:val="0"/>
        </w:rPr>
        <w:t>.</w:t>
      </w:r>
      <w:r>
        <w:rPr>
          <w:snapToGrid w:val="0"/>
        </w:rPr>
        <w:tab/>
        <w:t>False alarms</w:t>
      </w:r>
      <w:r>
        <w:tab/>
      </w:r>
      <w:r>
        <w:fldChar w:fldCharType="begin"/>
      </w:r>
      <w:r>
        <w:instrText xml:space="preserve"> PAGEREF _Toc85638732 \h </w:instrText>
      </w:r>
      <w:r>
        <w:fldChar w:fldCharType="separate"/>
      </w:r>
      <w:r>
        <w:t>44</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Vandalism</w:t>
      </w:r>
      <w:r>
        <w:tab/>
      </w:r>
      <w:r>
        <w:fldChar w:fldCharType="begin"/>
      </w:r>
      <w:r>
        <w:instrText xml:space="preserve"> PAGEREF _Toc85638733 \h </w:instrText>
      </w:r>
      <w:r>
        <w:fldChar w:fldCharType="separate"/>
      </w:r>
      <w:r>
        <w:t>45</w:t>
      </w:r>
      <w:r>
        <w:fldChar w:fldCharType="end"/>
      </w:r>
    </w:p>
    <w:p>
      <w:pPr>
        <w:pStyle w:val="TOC8"/>
        <w:rPr>
          <w:rFonts w:asciiTheme="minorHAnsi" w:eastAsiaTheme="minorEastAsia" w:hAnsiTheme="minorHAnsi" w:cstheme="minorBidi"/>
          <w:szCs w:val="22"/>
        </w:rPr>
      </w:pPr>
      <w:r>
        <w:t>27D</w:t>
      </w:r>
      <w:r>
        <w:rPr>
          <w:snapToGrid w:val="0"/>
        </w:rPr>
        <w:t>.</w:t>
      </w:r>
      <w:r>
        <w:rPr>
          <w:snapToGrid w:val="0"/>
        </w:rPr>
        <w:tab/>
        <w:t>Requirements for carriage and deposit of incendiary material</w:t>
      </w:r>
      <w:r>
        <w:tab/>
      </w:r>
      <w:r>
        <w:fldChar w:fldCharType="begin"/>
      </w:r>
      <w:r>
        <w:instrText xml:space="preserve"> PAGEREF _Toc85638734 \h </w:instrText>
      </w:r>
      <w:r>
        <w:fldChar w:fldCharType="separate"/>
      </w:r>
      <w:r>
        <w:t>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Occupier of land to extinguish bush fire occurring on own land</w:t>
      </w:r>
      <w:r>
        <w:tab/>
      </w:r>
      <w:r>
        <w:fldChar w:fldCharType="begin"/>
      </w:r>
      <w:r>
        <w:instrText xml:space="preserve"> PAGEREF _Toc85638735 \h </w:instrText>
      </w:r>
      <w:r>
        <w:fldChar w:fldCharType="separate"/>
      </w:r>
      <w:r>
        <w:t>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Disposal of burning cigarettes etc.</w:t>
      </w:r>
      <w:r>
        <w:tab/>
      </w:r>
      <w:r>
        <w:fldChar w:fldCharType="begin"/>
      </w:r>
      <w:r>
        <w:instrText xml:space="preserve"> PAGEREF _Toc85638736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Offences of lighting or attempting to light fire likely to injure</w:t>
      </w:r>
      <w:r>
        <w:tab/>
      </w:r>
      <w:r>
        <w:fldChar w:fldCharType="begin"/>
      </w:r>
      <w:r>
        <w:instrText xml:space="preserve"> PAGEREF _Toc85638737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Local government may require occupier of land to plough or clear fire</w:t>
      </w:r>
      <w:r>
        <w:rPr>
          <w:snapToGrid w:val="0"/>
        </w:rPr>
        <w:noBreakHyphen/>
        <w:t>break</w:t>
      </w:r>
      <w:r>
        <w:tab/>
      </w:r>
      <w:r>
        <w:fldChar w:fldCharType="begin"/>
      </w:r>
      <w:r>
        <w:instrText xml:space="preserve"> PAGEREF _Toc85638738 \h </w:instrText>
      </w:r>
      <w:r>
        <w:fldChar w:fldCharType="separate"/>
      </w:r>
      <w:r>
        <w:t>49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Burning on Crown lands</w:t>
      </w:r>
      <w:r>
        <w:tab/>
      </w:r>
      <w:r>
        <w:fldChar w:fldCharType="begin"/>
      </w:r>
      <w:r>
        <w:instrText xml:space="preserve"> PAGEREF _Toc85638739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of FES Commissioner on default by local government</w:t>
      </w:r>
      <w:r>
        <w:tab/>
      </w:r>
      <w:r>
        <w:fldChar w:fldCharType="begin"/>
      </w:r>
      <w:r>
        <w:instrText xml:space="preserve"> PAGEREF _Toc85638740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 — Bush fire risk treatment standards</w:t>
      </w:r>
    </w:p>
    <w:p>
      <w:pPr>
        <w:pStyle w:val="TOC8"/>
        <w:rPr>
          <w:rFonts w:asciiTheme="minorHAnsi" w:eastAsiaTheme="minorEastAsia" w:hAnsiTheme="minorHAnsi" w:cstheme="minorBidi"/>
          <w:szCs w:val="22"/>
        </w:rPr>
      </w:pPr>
      <w:r>
        <w:t>35AA.</w:t>
      </w:r>
      <w:r>
        <w:tab/>
        <w:t>FES Commissioner may make bush fire risk treatment standards</w:t>
      </w:r>
      <w:r>
        <w:tab/>
      </w:r>
      <w:r>
        <w:fldChar w:fldCharType="begin"/>
      </w:r>
      <w:r>
        <w:instrText xml:space="preserve"> PAGEREF _Toc85638742 \h </w:instrText>
      </w:r>
      <w:r>
        <w:fldChar w:fldCharType="separate"/>
      </w:r>
      <w:r>
        <w:t>57</w:t>
      </w:r>
      <w:r>
        <w:fldChar w:fldCharType="end"/>
      </w:r>
    </w:p>
    <w:p>
      <w:pPr>
        <w:pStyle w:val="TOC8"/>
        <w:rPr>
          <w:rFonts w:asciiTheme="minorHAnsi" w:eastAsiaTheme="minorEastAsia" w:hAnsiTheme="minorHAnsi" w:cstheme="minorBidi"/>
          <w:szCs w:val="22"/>
        </w:rPr>
      </w:pPr>
      <w:r>
        <w:t>35AB.</w:t>
      </w:r>
      <w:r>
        <w:tab/>
        <w:t>Compliance with bush fire risk treatment standards</w:t>
      </w:r>
      <w:r>
        <w:tab/>
      </w:r>
      <w:r>
        <w:fldChar w:fldCharType="begin"/>
      </w:r>
      <w:r>
        <w:instrText xml:space="preserve"> PAGEREF _Toc85638743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and extinguishment of bush fires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Local governments</w:t>
      </w:r>
    </w:p>
    <w:p>
      <w:pPr>
        <w:pStyle w:val="TOC8"/>
        <w:rPr>
          <w:rFonts w:asciiTheme="minorHAnsi" w:eastAsiaTheme="minorEastAsia" w:hAnsiTheme="minorHAnsi" w:cstheme="minorBidi"/>
          <w:szCs w:val="22"/>
        </w:rPr>
      </w:pPr>
      <w:r>
        <w:t>35A</w:t>
      </w:r>
      <w:r>
        <w:rPr>
          <w:snapToGrid w:val="0"/>
        </w:rPr>
        <w:t>.</w:t>
      </w:r>
      <w:r>
        <w:rPr>
          <w:snapToGrid w:val="0"/>
        </w:rPr>
        <w:tab/>
        <w:t>Terms used</w:t>
      </w:r>
      <w:r>
        <w:tab/>
      </w:r>
      <w:r>
        <w:fldChar w:fldCharType="begin"/>
      </w:r>
      <w:r>
        <w:instrText xml:space="preserve"> PAGEREF _Toc85638746 \h </w:instrText>
      </w:r>
      <w:r>
        <w:fldChar w:fldCharType="separate"/>
      </w:r>
      <w:r>
        <w:t>60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Local government may expend moneys in connection with control and extinguishment of bush fires</w:t>
      </w:r>
      <w:r>
        <w:tab/>
      </w:r>
      <w:r>
        <w:fldChar w:fldCharType="begin"/>
      </w:r>
      <w:r>
        <w:instrText xml:space="preserve"> PAGEREF _Toc85638747 \h </w:instrText>
      </w:r>
      <w:r>
        <w:fldChar w:fldCharType="separate"/>
      </w:r>
      <w:r>
        <w:t>61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Local government may appoint bush fire control officer</w:t>
      </w:r>
      <w:r>
        <w:tab/>
      </w:r>
      <w:r>
        <w:fldChar w:fldCharType="begin"/>
      </w:r>
      <w:r>
        <w:instrText xml:space="preserve"> PAGEREF _Toc85638748 \h </w:instrText>
      </w:r>
      <w:r>
        <w:fldChar w:fldCharType="separate"/>
      </w:r>
      <w:r>
        <w:t>62</w:t>
      </w:r>
      <w:r>
        <w:fldChar w:fldCharType="end"/>
      </w:r>
    </w:p>
    <w:p>
      <w:pPr>
        <w:pStyle w:val="TOC8"/>
        <w:rPr>
          <w:rFonts w:asciiTheme="minorHAnsi" w:eastAsiaTheme="minorEastAsia" w:hAnsiTheme="minorHAnsi" w:cstheme="minorBidi"/>
          <w:szCs w:val="22"/>
        </w:rPr>
      </w:pPr>
      <w:r>
        <w:t>38A.</w:t>
      </w:r>
      <w:r>
        <w:tab/>
        <w:t>FES Commissioner may designate person employed in Department as Chief Bush Fire Control Officer</w:t>
      </w:r>
      <w:r>
        <w:tab/>
      </w:r>
      <w:r>
        <w:fldChar w:fldCharType="begin"/>
      </w:r>
      <w:r>
        <w:instrText xml:space="preserve"> PAGEREF _Toc85638749 \h </w:instrText>
      </w:r>
      <w:r>
        <w:fldChar w:fldCharType="separate"/>
      </w:r>
      <w:r>
        <w:t>66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Special powers of bush fire control officers</w:t>
      </w:r>
      <w:r>
        <w:tab/>
      </w:r>
      <w:r>
        <w:fldChar w:fldCharType="begin"/>
      </w:r>
      <w:r>
        <w:instrText xml:space="preserve"> PAGEREF _Toc85638750 \h </w:instrText>
      </w:r>
      <w:r>
        <w:fldChar w:fldCharType="separate"/>
      </w:r>
      <w:r>
        <w:t>67</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Duties of bush fire authorities on outbreak of fire</w:t>
      </w:r>
      <w:r>
        <w:tab/>
      </w:r>
      <w:r>
        <w:fldChar w:fldCharType="begin"/>
      </w:r>
      <w:r>
        <w:instrText xml:space="preserve"> PAGEREF _Toc85638751 \h </w:instrText>
      </w:r>
      <w:r>
        <w:fldChar w:fldCharType="separate"/>
      </w:r>
      <w:r>
        <w:t>69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Local governments may join in appointing and employing bush fire control officers</w:t>
      </w:r>
      <w:r>
        <w:tab/>
      </w:r>
      <w:r>
        <w:fldChar w:fldCharType="begin"/>
      </w:r>
      <w:r>
        <w:instrText xml:space="preserve"> PAGEREF _Toc85638752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Bush fire brigades</w:t>
      </w:r>
    </w:p>
    <w:p>
      <w:pPr>
        <w:pStyle w:val="TOC8"/>
        <w:rPr>
          <w:rFonts w:asciiTheme="minorHAnsi" w:eastAsiaTheme="minorEastAsia" w:hAnsiTheme="minorHAnsi" w:cstheme="minorBidi"/>
          <w:szCs w:val="22"/>
        </w:rPr>
      </w:pPr>
      <w:r>
        <w:t>41</w:t>
      </w:r>
      <w:r>
        <w:rPr>
          <w:snapToGrid w:val="0"/>
        </w:rPr>
        <w:t>.</w:t>
      </w:r>
      <w:r>
        <w:rPr>
          <w:snapToGrid w:val="0"/>
        </w:rPr>
        <w:tab/>
        <w:t>Bush fire brigades</w:t>
      </w:r>
      <w:r>
        <w:tab/>
      </w:r>
      <w:r>
        <w:fldChar w:fldCharType="begin"/>
      </w:r>
      <w:r>
        <w:instrText xml:space="preserve"> PAGEREF _Toc85638754 \h </w:instrText>
      </w:r>
      <w:r>
        <w:fldChar w:fldCharType="separate"/>
      </w:r>
      <w:r>
        <w:t>70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Local governments may join in establishing bush fire brigade</w:t>
      </w:r>
      <w:r>
        <w:tab/>
      </w:r>
      <w:r>
        <w:fldChar w:fldCharType="begin"/>
      </w:r>
      <w:r>
        <w:instrText xml:space="preserve"> PAGEREF _Toc85638755 \h </w:instrText>
      </w:r>
      <w:r>
        <w:fldChar w:fldCharType="separate"/>
      </w:r>
      <w:r>
        <w:t>70</w:t>
      </w:r>
      <w:r>
        <w:fldChar w:fldCharType="end"/>
      </w:r>
    </w:p>
    <w:p>
      <w:pPr>
        <w:pStyle w:val="TOC8"/>
        <w:rPr>
          <w:rFonts w:asciiTheme="minorHAnsi" w:eastAsiaTheme="minorEastAsia" w:hAnsiTheme="minorHAnsi" w:cstheme="minorBidi"/>
          <w:szCs w:val="22"/>
        </w:rPr>
      </w:pPr>
      <w:r>
        <w:lastRenderedPageBreak/>
        <w:t>42A.</w:t>
      </w:r>
      <w:r>
        <w:tab/>
        <w:t>Constitution of bush fire brigade</w:t>
      </w:r>
      <w:r>
        <w:tab/>
      </w:r>
      <w:r>
        <w:fldChar w:fldCharType="begin"/>
      </w:r>
      <w:r>
        <w:instrText xml:space="preserve"> PAGEREF _Toc85638756 \h </w:instrText>
      </w:r>
      <w:r>
        <w:fldChar w:fldCharType="separate"/>
      </w:r>
      <w:r>
        <w:t>71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Election and duties of officers of bush fire brigades</w:t>
      </w:r>
      <w:r>
        <w:tab/>
      </w:r>
      <w:r>
        <w:fldChar w:fldCharType="begin"/>
      </w:r>
      <w:r>
        <w:instrText xml:space="preserve"> PAGEREF _Toc85638757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Powers and authorities of officers of bush fire brigade</w:t>
      </w:r>
      <w:r>
        <w:tab/>
      </w:r>
      <w:r>
        <w:fldChar w:fldCharType="begin"/>
      </w:r>
      <w:r>
        <w:instrText xml:space="preserve"> PAGEREF _Toc85638758 \h </w:instrText>
      </w:r>
      <w:r>
        <w:fldChar w:fldCharType="separate"/>
      </w:r>
      <w:r>
        <w:t>71</w:t>
      </w:r>
      <w:r>
        <w:fldChar w:fldCharType="end"/>
      </w:r>
    </w:p>
    <w:p>
      <w:pPr>
        <w:pStyle w:val="TOC8"/>
        <w:rPr>
          <w:rFonts w:asciiTheme="minorHAnsi" w:eastAsiaTheme="minorEastAsia" w:hAnsiTheme="minorHAnsi" w:cstheme="minorBidi"/>
          <w:szCs w:val="22"/>
        </w:rPr>
      </w:pPr>
      <w:r>
        <w:t>45A.</w:t>
      </w:r>
      <w:r>
        <w:tab/>
        <w:t>Requests to authorised CALM Act officers to take control of bush fires</w:t>
      </w:r>
      <w:r>
        <w:tab/>
      </w:r>
      <w:r>
        <w:fldChar w:fldCharType="begin"/>
      </w:r>
      <w:r>
        <w:instrText xml:space="preserve"> PAGEREF _Toc85638759 \h </w:instrText>
      </w:r>
      <w:r>
        <w:fldChar w:fldCharType="separate"/>
      </w:r>
      <w:r>
        <w:t>74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Powers and authorities exercisable by authorised CALM Act officers</w:t>
      </w:r>
      <w:r>
        <w:tab/>
      </w:r>
      <w:r>
        <w:fldChar w:fldCharType="begin"/>
      </w:r>
      <w:r>
        <w:instrText xml:space="preserve"> PAGEREF _Toc85638760 \h </w:instrText>
      </w:r>
      <w:r>
        <w:fldChar w:fldCharType="separate"/>
      </w:r>
      <w:r>
        <w:t>74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Bush fire control officer or forest officer may postpone lighting fire</w:t>
      </w:r>
      <w:r>
        <w:tab/>
      </w:r>
      <w:r>
        <w:fldChar w:fldCharType="begin"/>
      </w:r>
      <w:r>
        <w:instrText xml:space="preserve"> PAGEREF _Toc85638761 \h </w:instrText>
      </w:r>
      <w:r>
        <w:fldChar w:fldCharType="separate"/>
      </w:r>
      <w:r>
        <w:t>76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Fire</w:t>
      </w:r>
      <w:r>
        <w:rPr>
          <w:snapToGrid w:val="0"/>
        </w:rPr>
        <w:noBreakHyphen/>
        <w:t>break not to be lit when bush fire burning</w:t>
      </w:r>
      <w:r>
        <w:tab/>
      </w:r>
      <w:r>
        <w:fldChar w:fldCharType="begin"/>
      </w:r>
      <w:r>
        <w:instrText xml:space="preserve"> PAGEREF _Toc85638762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48.</w:t>
      </w:r>
      <w:r>
        <w:tab/>
        <w:t>Delegation by local governments</w:t>
      </w:r>
      <w:r>
        <w:tab/>
      </w:r>
      <w:r>
        <w:fldChar w:fldCharType="begin"/>
      </w:r>
      <w:r>
        <w:instrText xml:space="preserve"> PAGEREF _Toc85638764 \h </w:instrText>
      </w:r>
      <w:r>
        <w:fldChar w:fldCharType="separate"/>
      </w:r>
      <w:r>
        <w:t>79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Records to be maintained by local governments</w:t>
      </w:r>
      <w:r>
        <w:tab/>
      </w:r>
      <w:r>
        <w:fldChar w:fldCharType="begin"/>
      </w:r>
      <w:r>
        <w:instrText xml:space="preserve"> PAGEREF _Toc85638765 \h </w:instrText>
      </w:r>
      <w:r>
        <w:fldChar w:fldCharType="separate"/>
      </w:r>
      <w:r>
        <w:t>79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Saving of remedies</w:t>
      </w:r>
      <w:r>
        <w:tab/>
      </w:r>
      <w:r>
        <w:fldChar w:fldCharType="begin"/>
      </w:r>
      <w:r>
        <w:instrText xml:space="preserve"> PAGEREF _Toc85638766 \h </w:instrText>
      </w:r>
      <w:r>
        <w:fldChar w:fldCharType="separate"/>
      </w:r>
      <w:r>
        <w:t>80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Approved area may be declared</w:t>
      </w:r>
      <w:r>
        <w:tab/>
      </w:r>
      <w:r>
        <w:fldChar w:fldCharType="begin"/>
      </w:r>
      <w:r>
        <w:instrText xml:space="preserve"> PAGEREF _Toc85638767 \h </w:instrText>
      </w:r>
      <w:r>
        <w:fldChar w:fldCharType="separate"/>
      </w:r>
      <w:r>
        <w:t>81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Reduction in insurance premium of crops in approved area</w:t>
      </w:r>
      <w:r>
        <w:tab/>
      </w:r>
      <w:r>
        <w:fldChar w:fldCharType="begin"/>
      </w:r>
      <w:r>
        <w:instrText xml:space="preserve"> PAGEREF _Toc85638768 \h </w:instrText>
      </w:r>
      <w:r>
        <w:fldChar w:fldCharType="separate"/>
      </w:r>
      <w:r>
        <w:t>81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Approved area may be cancelled</w:t>
      </w:r>
      <w:r>
        <w:tab/>
      </w:r>
      <w:r>
        <w:fldChar w:fldCharType="begin"/>
      </w:r>
      <w:r>
        <w:instrText xml:space="preserve"> PAGEREF _Toc85638769 \h </w:instrText>
      </w:r>
      <w:r>
        <w:fldChar w:fldCharType="separate"/>
      </w:r>
      <w:r>
        <w:t>82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police officers, bush fire control officers etc.</w:t>
      </w:r>
      <w:r>
        <w:tab/>
      </w:r>
      <w:r>
        <w:fldChar w:fldCharType="begin"/>
      </w:r>
      <w:r>
        <w:instrText xml:space="preserve"> PAGEREF _Toc85638770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officers</w:t>
      </w:r>
      <w:r>
        <w:tab/>
      </w:r>
      <w:r>
        <w:fldChar w:fldCharType="begin"/>
      </w:r>
      <w:r>
        <w:instrText xml:space="preserve"> PAGEREF _Toc85638771 \h </w:instrText>
      </w:r>
      <w:r>
        <w:fldChar w:fldCharType="separate"/>
      </w:r>
      <w:r>
        <w:t>83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General penalty and recovery of expenses incurred</w:t>
      </w:r>
      <w:r>
        <w:tab/>
      </w:r>
      <w:r>
        <w:fldChar w:fldCharType="begin"/>
      </w:r>
      <w:r>
        <w:instrText xml:space="preserve"> PAGEREF _Toc85638772 \h </w:instrText>
      </w:r>
      <w:r>
        <w:fldChar w:fldCharType="separate"/>
      </w:r>
      <w:r>
        <w:t>84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Prosecution of offences</w:t>
      </w:r>
      <w:r>
        <w:tab/>
      </w:r>
      <w:r>
        <w:fldChar w:fldCharType="begin"/>
      </w:r>
      <w:r>
        <w:instrText xml:space="preserve"> PAGEREF _Toc85638773 \h </w:instrText>
      </w:r>
      <w:r>
        <w:fldChar w:fldCharType="separate"/>
      </w:r>
      <w:r>
        <w:t>86</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Alternative procedure — infringement notices</w:t>
      </w:r>
      <w:r>
        <w:tab/>
      </w:r>
      <w:r>
        <w:fldChar w:fldCharType="begin"/>
      </w:r>
      <w:r>
        <w:instrText xml:space="preserve"> PAGEREF _Toc85638774 \h </w:instrText>
      </w:r>
      <w:r>
        <w:fldChar w:fldCharType="separate"/>
      </w:r>
      <w:r>
        <w:t>87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Assisting to commit an offence</w:t>
      </w:r>
      <w:r>
        <w:tab/>
      </w:r>
      <w:r>
        <w:fldChar w:fldCharType="begin"/>
      </w:r>
      <w:r>
        <w:instrText xml:space="preserve"> PAGEREF _Toc85638775 \h </w:instrText>
      </w:r>
      <w:r>
        <w:fldChar w:fldCharType="separate"/>
      </w:r>
      <w:r>
        <w:t>88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_Toc85638776 \h </w:instrText>
      </w:r>
      <w:r>
        <w:fldChar w:fldCharType="separate"/>
      </w:r>
      <w:r>
        <w:t>89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Local government may make local laws</w:t>
      </w:r>
      <w:r>
        <w:tab/>
      </w:r>
      <w:r>
        <w:fldChar w:fldCharType="begin"/>
      </w:r>
      <w:r>
        <w:instrText xml:space="preserve"> PAGEREF _Toc85638777 \h </w:instrText>
      </w:r>
      <w:r>
        <w:fldChar w:fldCharType="separate"/>
      </w:r>
      <w:r>
        <w:t>89</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Governor may amend or repeal local laws</w:t>
      </w:r>
      <w:r>
        <w:tab/>
      </w:r>
      <w:r>
        <w:fldChar w:fldCharType="begin"/>
      </w:r>
      <w:r>
        <w:instrText xml:space="preserve"> PAGEREF _Toc85638778 \h </w:instrText>
      </w:r>
      <w:r>
        <w:fldChar w:fldCharType="separate"/>
      </w:r>
      <w:r>
        <w:t>90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Prohibitions excluded by certain circumstances</w:t>
      </w:r>
      <w:r>
        <w:tab/>
      </w:r>
      <w:r>
        <w:fldChar w:fldCharType="begin"/>
      </w:r>
      <w:r>
        <w:instrText xml:space="preserve"> PAGEREF _Toc85638779 \h </w:instrText>
      </w:r>
      <w:r>
        <w:fldChar w:fldCharType="separate"/>
      </w:r>
      <w:r>
        <w:t>90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Proof of certain matters</w:t>
      </w:r>
      <w:r>
        <w:tab/>
      </w:r>
      <w:r>
        <w:fldChar w:fldCharType="begin"/>
      </w:r>
      <w:r>
        <w:instrText xml:space="preserve"> PAGEREF _Toc85638780 \h </w:instrText>
      </w:r>
      <w:r>
        <w:fldChar w:fldCharType="separate"/>
      </w:r>
      <w:r>
        <w:t>90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Proof of ownership or occupancy</w:t>
      </w:r>
      <w:r>
        <w:tab/>
      </w:r>
      <w:r>
        <w:fldChar w:fldCharType="begin"/>
      </w:r>
      <w:r>
        <w:instrText xml:space="preserve"> PAGEREF _Toc85638781 \h </w:instrText>
      </w:r>
      <w:r>
        <w:fldChar w:fldCharType="separate"/>
      </w:r>
      <w:r>
        <w:t>92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Advisory committees</w:t>
      </w:r>
      <w:r>
        <w:tab/>
      </w:r>
      <w:r>
        <w:fldChar w:fldCharType="begin"/>
      </w:r>
      <w:r>
        <w:instrText xml:space="preserve"> PAGEREF _Toc85638782 \h </w:instrText>
      </w:r>
      <w:r>
        <w:fldChar w:fldCharType="separate"/>
      </w:r>
      <w:r>
        <w:t>94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Regional advisory committees</w:t>
      </w:r>
      <w:r>
        <w:tab/>
      </w:r>
      <w:r>
        <w:fldChar w:fldCharType="begin"/>
      </w:r>
      <w:r>
        <w:instrText xml:space="preserve"> PAGEREF _Toc85638783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_Toc85638785 \h </w:instrText>
      </w:r>
      <w:r>
        <w:fldChar w:fldCharType="separate"/>
      </w:r>
      <w:r>
        <w:t>97</w:t>
      </w:r>
      <w:r>
        <w:fldChar w:fldCharType="end"/>
      </w:r>
    </w:p>
    <w:p>
      <w:pPr>
        <w:pStyle w:val="TOC8"/>
        <w:keepNext/>
        <w:rPr>
          <w:rFonts w:asciiTheme="minorHAnsi" w:eastAsiaTheme="minorEastAsia" w:hAnsiTheme="minorHAnsi" w:cstheme="minorBidi"/>
          <w:szCs w:val="22"/>
        </w:rPr>
      </w:pPr>
      <w:r>
        <w:tab/>
        <w:t>Other notes</w:t>
      </w:r>
      <w:r>
        <w:tab/>
      </w:r>
      <w:r>
        <w:fldChar w:fldCharType="begin"/>
      </w:r>
      <w:r>
        <w:instrText xml:space="preserve"> PAGEREF _Toc85638786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after="960"/>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snapToGrid w:val="0"/>
          <w:vertAlign w:val="superscript"/>
        </w:rPr>
        <w:t>1</w:t>
      </w:r>
      <w:r>
        <w:rPr>
          <w:snapToGrid w:val="0"/>
        </w:rPr>
        <w:t xml:space="preserve"> and for other purposes.</w:t>
      </w:r>
    </w:p>
    <w:p>
      <w:pPr>
        <w:pStyle w:val="Heading2"/>
        <w:rPr>
          <w:rStyle w:val="CharPartText"/>
        </w:rPr>
      </w:pPr>
      <w:bookmarkStart w:id="3" w:name="_Toc85616447"/>
      <w:bookmarkStart w:id="4" w:name="_Toc85616547"/>
      <w:bookmarkStart w:id="5" w:name="_Toc85638689"/>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No. 19 of 2010 s. 43(3)(a).]</w:t>
      </w:r>
    </w:p>
    <w:p>
      <w:pPr>
        <w:pStyle w:val="Heading5"/>
        <w:rPr>
          <w:snapToGrid w:val="0"/>
        </w:rPr>
      </w:pPr>
      <w:bookmarkStart w:id="6" w:name="_Toc85638690"/>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w:t>
      </w:r>
    </w:p>
    <w:p>
      <w:pPr>
        <w:pStyle w:val="Ednotesection"/>
      </w:pPr>
      <w:r>
        <w:t>[</w:t>
      </w:r>
      <w:r>
        <w:rPr>
          <w:b/>
        </w:rPr>
        <w:t>2.</w:t>
      </w:r>
      <w:r>
        <w:tab/>
        <w:t>Deleted: No. 8 of 1987 s. 3.]</w:t>
      </w:r>
    </w:p>
    <w:p>
      <w:pPr>
        <w:pStyle w:val="Ednotepart"/>
      </w:pPr>
      <w:r>
        <w:t>[Heading deleted: No. 19 of 2010 s. 43(3)(b).]</w:t>
      </w:r>
    </w:p>
    <w:p>
      <w:pPr>
        <w:pStyle w:val="Heading5"/>
        <w:spacing w:before="180"/>
        <w:rPr>
          <w:snapToGrid w:val="0"/>
        </w:rPr>
      </w:pPr>
      <w:bookmarkStart w:id="7" w:name="_Toc85638691"/>
      <w:r>
        <w:rPr>
          <w:rStyle w:val="CharSectno"/>
        </w:rPr>
        <w:t>3</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a date to be fixed by proclamation.</w:t>
      </w:r>
    </w:p>
    <w:p>
      <w:pPr>
        <w:pStyle w:val="Heading5"/>
        <w:spacing w:before="180"/>
        <w:rPr>
          <w:snapToGrid w:val="0"/>
        </w:rPr>
      </w:pPr>
      <w:bookmarkStart w:id="8" w:name="_Toc85638692"/>
      <w:r>
        <w:rPr>
          <w:rStyle w:val="CharSectno"/>
        </w:rPr>
        <w:t>4</w:t>
      </w:r>
      <w:r>
        <w:rPr>
          <w:snapToGrid w:val="0"/>
        </w:rPr>
        <w:t>.</w:t>
      </w:r>
      <w:r>
        <w:rPr>
          <w:snapToGrid w:val="0"/>
        </w:rPr>
        <w:tab/>
        <w:t>Saving provisions</w:t>
      </w:r>
      <w:bookmarkEnd w:id="8"/>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No. 38 of 2002 s. 17.]</w:t>
      </w:r>
    </w:p>
    <w:p>
      <w:pPr>
        <w:pStyle w:val="Heading5"/>
        <w:spacing w:before="180"/>
        <w:rPr>
          <w:snapToGrid w:val="0"/>
        </w:rPr>
      </w:pPr>
      <w:bookmarkStart w:id="9" w:name="_Toc85638693"/>
      <w:r>
        <w:rPr>
          <w:rStyle w:val="CharSectno"/>
        </w:rPr>
        <w:t>7</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keepNext/>
      </w:pPr>
      <w:r>
        <w:lastRenderedPageBreak/>
        <w:tab/>
      </w:r>
      <w:r>
        <w:rPr>
          <w:rStyle w:val="CharDefText"/>
        </w:rPr>
        <w:t>authorised CALM Act officer</w:t>
      </w:r>
      <w:r>
        <w:t xml:space="preserve"> means — </w:t>
      </w:r>
    </w:p>
    <w:p>
      <w:pPr>
        <w:pStyle w:val="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Defpara"/>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w:t>
      </w:r>
      <w:r>
        <w:lastRenderedPageBreak/>
        <w:t>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 xml:space="preserve">does not include any period by which those times are reduced, or for which those times are suspended, under </w:t>
      </w:r>
      <w:r>
        <w:lastRenderedPageBreak/>
        <w:t>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No. 11 of 1963 s. 3; No. 65 of 1977 s. 4; No. 112 of 1984 s. 22; No. 60 of 1992 s. 4; No. 14 of 1996 s. 4; No. 42 of 1998 s. 4 and 16; No. 38 of 2002 s. 18; No. 70 of 2003 s. 6; No. 28 of 2006 s. 387; No. 22 of 2012 s. 46 and 69; No. 24 of 2016 s. 312.]</w:t>
      </w:r>
    </w:p>
    <w:p>
      <w:pPr>
        <w:pStyle w:val="Heading2"/>
      </w:pPr>
      <w:bookmarkStart w:id="10" w:name="_Toc85616452"/>
      <w:bookmarkStart w:id="11" w:name="_Toc85616552"/>
      <w:bookmarkStart w:id="12" w:name="_Toc85638694"/>
      <w:r>
        <w:rPr>
          <w:rStyle w:val="CharPartNo"/>
        </w:rPr>
        <w:lastRenderedPageBreak/>
        <w:t>Part II</w:t>
      </w:r>
      <w:r>
        <w:rPr>
          <w:rStyle w:val="CharDivNo"/>
        </w:rPr>
        <w:t> </w:t>
      </w:r>
      <w:r>
        <w:t>—</w:t>
      </w:r>
      <w:r>
        <w:rPr>
          <w:rStyle w:val="CharDivText"/>
        </w:rPr>
        <w:t> </w:t>
      </w:r>
      <w:r>
        <w:rPr>
          <w:rStyle w:val="CharPartText"/>
        </w:rPr>
        <w:t>Administration</w:t>
      </w:r>
      <w:bookmarkEnd w:id="10"/>
      <w:bookmarkEnd w:id="11"/>
      <w:bookmarkEnd w:id="12"/>
    </w:p>
    <w:p>
      <w:pPr>
        <w:pStyle w:val="Ednotedivision"/>
      </w:pPr>
      <w:r>
        <w:t>[Division 1 heading deleted: No. 42 of 1998 s. 5.]</w:t>
      </w:r>
    </w:p>
    <w:p>
      <w:pPr>
        <w:pStyle w:val="Ednotesection"/>
        <w:ind w:left="890" w:hanging="890"/>
      </w:pPr>
      <w:r>
        <w:t>[</w:t>
      </w:r>
      <w:r>
        <w:rPr>
          <w:b/>
        </w:rPr>
        <w:t>8.</w:t>
      </w:r>
      <w:r>
        <w:tab/>
        <w:t>Deleted: No. 42 of 1998 s. 6.]</w:t>
      </w:r>
    </w:p>
    <w:p>
      <w:pPr>
        <w:pStyle w:val="Heading5"/>
      </w:pPr>
      <w:bookmarkStart w:id="13" w:name="_Toc85638695"/>
      <w:r>
        <w:rPr>
          <w:rStyle w:val="CharSectno"/>
        </w:rPr>
        <w:t>9</w:t>
      </w:r>
      <w:r>
        <w:t>.</w:t>
      </w:r>
      <w:r>
        <w:tab/>
        <w:t>Terms used</w:t>
      </w:r>
      <w:bookmarkEnd w:id="13"/>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No. 25 of 2009 s. 4.]</w:t>
      </w:r>
    </w:p>
    <w:p>
      <w:pPr>
        <w:pStyle w:val="Ednotedivision"/>
      </w:pPr>
      <w:r>
        <w:t>[Division 2 heading deleted: No. 42 of 1998 s. 7.]</w:t>
      </w:r>
    </w:p>
    <w:p>
      <w:pPr>
        <w:pStyle w:val="Heading5"/>
        <w:rPr>
          <w:snapToGrid w:val="0"/>
        </w:rPr>
      </w:pPr>
      <w:bookmarkStart w:id="14" w:name="_Toc85638696"/>
      <w:r>
        <w:rPr>
          <w:rStyle w:val="CharSectno"/>
        </w:rPr>
        <w:t>10</w:t>
      </w:r>
      <w:r>
        <w:rPr>
          <w:snapToGrid w:val="0"/>
        </w:rPr>
        <w:t>.</w:t>
      </w:r>
      <w:r>
        <w:rPr>
          <w:snapToGrid w:val="0"/>
        </w:rPr>
        <w:tab/>
        <w:t>Powers of FES Commissioner</w:t>
      </w:r>
      <w:bookmarkEnd w:id="14"/>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lastRenderedPageBreak/>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No. 65 of 1977 s. 7; No. 42 of 1998 s. 8 and 16; No. 22 of 2012 s. 47 and 69.]</w:t>
      </w:r>
    </w:p>
    <w:p>
      <w:pPr>
        <w:pStyle w:val="Ednotesection"/>
        <w:spacing w:before="180"/>
      </w:pPr>
      <w:r>
        <w:t>[</w:t>
      </w:r>
      <w:r>
        <w:rPr>
          <w:b/>
        </w:rPr>
        <w:t>11, 11A.</w:t>
      </w:r>
      <w:r>
        <w:rPr>
          <w:b/>
        </w:rPr>
        <w:tab/>
      </w:r>
      <w:r>
        <w:t>Deleted: No. 42 of 1998 s. 9.]</w:t>
      </w:r>
    </w:p>
    <w:p>
      <w:pPr>
        <w:pStyle w:val="Heading5"/>
      </w:pPr>
      <w:bookmarkStart w:id="15" w:name="_Toc85638697"/>
      <w:r>
        <w:rPr>
          <w:rStyle w:val="CharSectno"/>
        </w:rPr>
        <w:t>12</w:t>
      </w:r>
      <w:r>
        <w:t>.</w:t>
      </w:r>
      <w:r>
        <w:tab/>
        <w:t>Bush fire liaison officers</w:t>
      </w:r>
      <w:bookmarkEnd w:id="15"/>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lastRenderedPageBreak/>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No. 22 of 2012 s. 48.]</w:t>
      </w:r>
    </w:p>
    <w:p>
      <w:pPr>
        <w:pStyle w:val="Heading5"/>
        <w:spacing w:before="180"/>
        <w:rPr>
          <w:snapToGrid w:val="0"/>
        </w:rPr>
      </w:pPr>
      <w:bookmarkStart w:id="16" w:name="_Toc85638698"/>
      <w:r>
        <w:rPr>
          <w:rStyle w:val="CharSectno"/>
        </w:rPr>
        <w:t>13</w:t>
      </w:r>
      <w:r>
        <w:rPr>
          <w:snapToGrid w:val="0"/>
        </w:rPr>
        <w:t>.</w:t>
      </w:r>
      <w:r>
        <w:rPr>
          <w:snapToGrid w:val="0"/>
        </w:rPr>
        <w:tab/>
        <w:t>Duties and powers of bush fire liaison officers</w:t>
      </w:r>
      <w:bookmarkEnd w:id="16"/>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lastRenderedPageBreak/>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No. 65 of 1977 s. 10; amended: No. 42 of 1998 s. 16; No. 38 of 2002 s. 19; No. 25 of 2009 s. 5; No. 22 of 2012 s. 69.]</w:t>
      </w:r>
    </w:p>
    <w:p>
      <w:pPr>
        <w:pStyle w:val="Heading5"/>
      </w:pPr>
      <w:bookmarkStart w:id="17" w:name="_Toc85638699"/>
      <w:r>
        <w:rPr>
          <w:rStyle w:val="CharSectno"/>
        </w:rPr>
        <w:t>14A</w:t>
      </w:r>
      <w:r>
        <w:t>.</w:t>
      </w:r>
      <w:r>
        <w:tab/>
        <w:t xml:space="preserve">Powers and duties under section 13 not affected by certain powers under </w:t>
      </w:r>
      <w:r>
        <w:rPr>
          <w:i/>
          <w:iCs/>
        </w:rPr>
        <w:t>Emergency Management Act 2005</w:t>
      </w:r>
      <w:bookmarkEnd w:id="17"/>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lastRenderedPageBreak/>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No. 25 of 2009 s. 6.]</w:t>
      </w:r>
    </w:p>
    <w:p>
      <w:pPr>
        <w:pStyle w:val="Heading5"/>
      </w:pPr>
      <w:bookmarkStart w:id="18" w:name="_Toc85638700"/>
      <w:r>
        <w:rPr>
          <w:rStyle w:val="CharSectno"/>
        </w:rPr>
        <w:t>14B</w:t>
      </w:r>
      <w:r>
        <w:t>.</w:t>
      </w:r>
      <w:r>
        <w:tab/>
        <w:t>Powers of authorised persons and police officers during authorised periods</w:t>
      </w:r>
      <w:bookmarkEnd w:id="18"/>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w:t>
      </w:r>
      <w:r>
        <w:lastRenderedPageBreak/>
        <w:t xml:space="preserve">may use a vehicle in any place and in any circumstance despite any provision of the </w:t>
      </w:r>
      <w:r>
        <w:rPr>
          <w:i/>
        </w:rPr>
        <w:t xml:space="preserve">Road Traffic (Vehicles) Act 2012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No. 25 of 2009 s. 6; amended: No. 22 of 2012 s. 49 and 69; No. 8 of 2012 s. 47.]</w:t>
      </w:r>
    </w:p>
    <w:p>
      <w:pPr>
        <w:pStyle w:val="Heading5"/>
      </w:pPr>
      <w:bookmarkStart w:id="19" w:name="_Toc85638701"/>
      <w:r>
        <w:rPr>
          <w:rStyle w:val="CharSectno"/>
        </w:rPr>
        <w:t>14C</w:t>
      </w:r>
      <w:r>
        <w:t>.</w:t>
      </w:r>
      <w:r>
        <w:tab/>
        <w:t>Failure to comply with directions</w:t>
      </w:r>
      <w:bookmarkEnd w:id="19"/>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No. 25 of 2009 s. 6; amended: No. 22 of 2012 s. 69.]</w:t>
      </w:r>
    </w:p>
    <w:p>
      <w:pPr>
        <w:pStyle w:val="Heading5"/>
        <w:rPr>
          <w:snapToGrid w:val="0"/>
        </w:rPr>
      </w:pPr>
      <w:bookmarkStart w:id="20" w:name="_Toc85638702"/>
      <w:r>
        <w:rPr>
          <w:rStyle w:val="CharSectno"/>
        </w:rPr>
        <w:t>14</w:t>
      </w:r>
      <w:r>
        <w:rPr>
          <w:snapToGrid w:val="0"/>
        </w:rPr>
        <w:t>.</w:t>
      </w:r>
      <w:r>
        <w:rPr>
          <w:snapToGrid w:val="0"/>
        </w:rPr>
        <w:tab/>
        <w:t>Certain persons may enter land or building for purposes of Act</w:t>
      </w:r>
      <w:bookmarkEnd w:id="20"/>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lastRenderedPageBreak/>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No. 11 of 1963 s. 5; No. 65 of 1977 s. 11 and 47; No. 60 of 1992 s. 8; No. 42 of 1998 s. 16; No. 38 of 2002 s. 20; No. 19 of 2010 s. 52(4); No. 22 of 2012 s. 50.]</w:t>
      </w:r>
    </w:p>
    <w:p>
      <w:pPr>
        <w:pStyle w:val="Ednotedivision"/>
      </w:pPr>
      <w:r>
        <w:t>[Divisions 3 and 4 (s. 15</w:t>
      </w:r>
      <w:r>
        <w:noBreakHyphen/>
        <w:t>16E) deleted: No. 42 of 1998 s. 11(1).]</w:t>
      </w:r>
    </w:p>
    <w:p>
      <w:pPr>
        <w:pStyle w:val="Heading2"/>
      </w:pPr>
      <w:bookmarkStart w:id="21" w:name="_Toc85616461"/>
      <w:bookmarkStart w:id="22" w:name="_Toc85616561"/>
      <w:bookmarkStart w:id="23" w:name="_Toc85638703"/>
      <w:r>
        <w:rPr>
          <w:rStyle w:val="CharPartNo"/>
        </w:rPr>
        <w:lastRenderedPageBreak/>
        <w:t>Part III</w:t>
      </w:r>
      <w:r>
        <w:t> — </w:t>
      </w:r>
      <w:r>
        <w:rPr>
          <w:rStyle w:val="CharPartText"/>
        </w:rPr>
        <w:t>Prevention of bush fires</w:t>
      </w:r>
      <w:bookmarkEnd w:id="21"/>
      <w:bookmarkEnd w:id="22"/>
      <w:bookmarkEnd w:id="23"/>
    </w:p>
    <w:p>
      <w:pPr>
        <w:pStyle w:val="Ednotedivision"/>
        <w:rPr>
          <w:highlight w:val="cyan"/>
        </w:rPr>
      </w:pPr>
      <w:r>
        <w:t>[Division 1 deleted: No. 65 of 1977 s. 12.]</w:t>
      </w:r>
    </w:p>
    <w:p>
      <w:pPr>
        <w:pStyle w:val="Heading3"/>
      </w:pPr>
      <w:bookmarkStart w:id="24" w:name="_Toc85616462"/>
      <w:bookmarkStart w:id="25" w:name="_Toc85616562"/>
      <w:bookmarkStart w:id="26" w:name="_Toc85638704"/>
      <w:r>
        <w:rPr>
          <w:rStyle w:val="CharDivNo"/>
        </w:rPr>
        <w:t>Division 2</w:t>
      </w:r>
      <w:r>
        <w:rPr>
          <w:snapToGrid w:val="0"/>
        </w:rPr>
        <w:t> — </w:t>
      </w:r>
      <w:r>
        <w:rPr>
          <w:rStyle w:val="CharDivText"/>
        </w:rPr>
        <w:t>Prohibited burning times</w:t>
      </w:r>
      <w:bookmarkEnd w:id="24"/>
      <w:bookmarkEnd w:id="25"/>
      <w:bookmarkEnd w:id="26"/>
    </w:p>
    <w:p>
      <w:pPr>
        <w:pStyle w:val="Heading5"/>
        <w:rPr>
          <w:snapToGrid w:val="0"/>
        </w:rPr>
      </w:pPr>
      <w:bookmarkStart w:id="27" w:name="_Toc85638705"/>
      <w:r>
        <w:rPr>
          <w:rStyle w:val="CharSectno"/>
        </w:rPr>
        <w:t>17</w:t>
      </w:r>
      <w:r>
        <w:rPr>
          <w:snapToGrid w:val="0"/>
        </w:rPr>
        <w:t>.</w:t>
      </w:r>
      <w:r>
        <w:rPr>
          <w:snapToGrid w:val="0"/>
        </w:rPr>
        <w:tab/>
        <w:t>Prohibited burning times may be declared by Minister</w:t>
      </w:r>
      <w:bookmarkEnd w:id="27"/>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w:t>
      </w:r>
      <w:r>
        <w:rPr>
          <w:snapToGrid w:val="0"/>
        </w:rPr>
        <w:lastRenderedPageBreak/>
        <w:t>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 xml:space="preserve">shall, by the quickest means available to it and not later than 2 days before the first day affected by the variation, give notice of the variation to </w:t>
      </w:r>
      <w:r>
        <w:rPr>
          <w:snapToGrid w:val="0"/>
        </w:rPr>
        <w:lastRenderedPageBreak/>
        <w:t>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lastRenderedPageBreak/>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No. 65 of 1977 s. 13; amended: No. 8 of 1987 s. 8; No. 14 of 1996 s. 4; No. 42 of 1998 s. 16; No. 38 of 2002 s. 21 and 40(1); No. 19 of 2010 s. 52(4); No. 22 of 2012 s. 51 and 69.]</w:t>
      </w:r>
    </w:p>
    <w:p>
      <w:pPr>
        <w:pStyle w:val="Heading3"/>
      </w:pPr>
      <w:bookmarkStart w:id="28" w:name="_Toc85616464"/>
      <w:bookmarkStart w:id="29" w:name="_Toc85616564"/>
      <w:bookmarkStart w:id="30" w:name="_Toc85638706"/>
      <w:r>
        <w:rPr>
          <w:rStyle w:val="CharDivNo"/>
        </w:rPr>
        <w:t>Division 3</w:t>
      </w:r>
      <w:r>
        <w:rPr>
          <w:snapToGrid w:val="0"/>
        </w:rPr>
        <w:t> — </w:t>
      </w:r>
      <w:r>
        <w:rPr>
          <w:rStyle w:val="CharDivText"/>
        </w:rPr>
        <w:t>Restricted burning times</w:t>
      </w:r>
      <w:bookmarkEnd w:id="28"/>
      <w:bookmarkEnd w:id="29"/>
      <w:bookmarkEnd w:id="30"/>
    </w:p>
    <w:p>
      <w:pPr>
        <w:pStyle w:val="Heading5"/>
        <w:rPr>
          <w:snapToGrid w:val="0"/>
        </w:rPr>
      </w:pPr>
      <w:bookmarkStart w:id="31" w:name="_Toc85638707"/>
      <w:r>
        <w:rPr>
          <w:rStyle w:val="CharSectno"/>
        </w:rPr>
        <w:t>18</w:t>
      </w:r>
      <w:r>
        <w:rPr>
          <w:snapToGrid w:val="0"/>
        </w:rPr>
        <w:t>.</w:t>
      </w:r>
      <w:r>
        <w:rPr>
          <w:snapToGrid w:val="0"/>
        </w:rPr>
        <w:tab/>
        <w:t>Restricted burning times may be declared by FES Commissioner</w:t>
      </w:r>
      <w:bookmarkEnd w:id="31"/>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 xml:space="preserve">Where by declaration made under subsection (2) restricted burning times have been declared in respect of a zone of the State then, subject to such variations (if any) as are made under </w:t>
      </w:r>
      <w:r>
        <w:rPr>
          <w:snapToGrid w:val="0"/>
        </w:rPr>
        <w:lastRenderedPageBreak/>
        <w:t>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lastRenderedPageBreak/>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lastRenderedPageBreak/>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 xml:space="preserve">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w:t>
      </w:r>
      <w:r>
        <w:rPr>
          <w:snapToGrid w:val="0"/>
        </w:rPr>
        <w:lastRenderedPageBreak/>
        <w:t>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No. 65 of 1977 s. 14; amended: No. 8 of 1987 s. 8; No. 14 of 1996 s. 4; No. 42 of 1998 s. 16; No. 38 of 2002 s. 22, 39 and 40(1); No. 19 of 2010 s. 52(4); No. 22 of 2012 s. 69.]</w:t>
      </w:r>
    </w:p>
    <w:p>
      <w:pPr>
        <w:pStyle w:val="Ednotesection"/>
        <w:spacing w:before="180"/>
      </w:pPr>
      <w:r>
        <w:t>[</w:t>
      </w:r>
      <w:r>
        <w:rPr>
          <w:b/>
        </w:rPr>
        <w:t>19.</w:t>
      </w:r>
      <w:r>
        <w:tab/>
        <w:t>Deleted: No. 65 of 1977 s. 15.]</w:t>
      </w:r>
    </w:p>
    <w:p>
      <w:pPr>
        <w:pStyle w:val="Heading5"/>
        <w:spacing w:before="180"/>
        <w:rPr>
          <w:snapToGrid w:val="0"/>
        </w:rPr>
      </w:pPr>
      <w:bookmarkStart w:id="32" w:name="_Toc85638708"/>
      <w:r>
        <w:rPr>
          <w:rStyle w:val="CharSectno"/>
        </w:rPr>
        <w:t>20</w:t>
      </w:r>
      <w:r>
        <w:rPr>
          <w:snapToGrid w:val="0"/>
        </w:rPr>
        <w:t>.</w:t>
      </w:r>
      <w:r>
        <w:rPr>
          <w:snapToGrid w:val="0"/>
        </w:rPr>
        <w:tab/>
        <w:t>Regulations as to restricted burning times</w:t>
      </w:r>
      <w:bookmarkEnd w:id="32"/>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lastRenderedPageBreak/>
        <w:tab/>
        <w:t>(b)</w:t>
      </w:r>
      <w:r>
        <w:rPr>
          <w:snapToGrid w:val="0"/>
        </w:rPr>
        <w:tab/>
        <w:t>so that different regulations apply to different parts of the State.</w:t>
      </w:r>
    </w:p>
    <w:p>
      <w:pPr>
        <w:pStyle w:val="Footnotesection"/>
        <w:spacing w:before="100"/>
        <w:ind w:left="890" w:hanging="890"/>
      </w:pPr>
      <w:r>
        <w:tab/>
        <w:t>[Section 20 inserted: No. 65 of 1977 s. 16.]</w:t>
      </w:r>
    </w:p>
    <w:p>
      <w:pPr>
        <w:pStyle w:val="Heading3"/>
      </w:pPr>
      <w:bookmarkStart w:id="33" w:name="_Toc85616467"/>
      <w:bookmarkStart w:id="34" w:name="_Toc85616567"/>
      <w:bookmarkStart w:id="35" w:name="_Toc85638709"/>
      <w:r>
        <w:rPr>
          <w:rStyle w:val="CharDivNo"/>
        </w:rPr>
        <w:t>Division 4</w:t>
      </w:r>
      <w:r>
        <w:t> — </w:t>
      </w:r>
      <w:r>
        <w:rPr>
          <w:rStyle w:val="CharDivText"/>
        </w:rPr>
        <w:t>Total fire ban</w:t>
      </w:r>
      <w:bookmarkEnd w:id="33"/>
      <w:bookmarkEnd w:id="34"/>
      <w:bookmarkEnd w:id="35"/>
    </w:p>
    <w:p>
      <w:pPr>
        <w:pStyle w:val="Footnoteheading"/>
        <w:spacing w:before="100"/>
      </w:pPr>
      <w:r>
        <w:tab/>
        <w:t>[Heading inserted: No. 25 of 2009 s. 7.]</w:t>
      </w:r>
    </w:p>
    <w:p>
      <w:pPr>
        <w:pStyle w:val="Heading5"/>
      </w:pPr>
      <w:bookmarkStart w:id="36" w:name="_Toc85638710"/>
      <w:r>
        <w:rPr>
          <w:rStyle w:val="CharSectno"/>
        </w:rPr>
        <w:t>21</w:t>
      </w:r>
      <w:r>
        <w:t>.</w:t>
      </w:r>
      <w:r>
        <w:tab/>
        <w:t>Terms used</w:t>
      </w:r>
      <w:bookmarkEnd w:id="36"/>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No. 25 of 2009 s. 7.]</w:t>
      </w:r>
    </w:p>
    <w:p>
      <w:pPr>
        <w:pStyle w:val="Heading5"/>
      </w:pPr>
      <w:bookmarkStart w:id="37" w:name="_Toc85638711"/>
      <w:r>
        <w:rPr>
          <w:rStyle w:val="CharSectno"/>
        </w:rPr>
        <w:t>22A</w:t>
      </w:r>
      <w:r>
        <w:t>.</w:t>
      </w:r>
      <w:r>
        <w:tab/>
        <w:t>Minister may declare total fire ban</w:t>
      </w:r>
      <w:bookmarkEnd w:id="37"/>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lastRenderedPageBreak/>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No. 25 of 2009 s. 7.]</w:t>
      </w:r>
    </w:p>
    <w:p>
      <w:pPr>
        <w:pStyle w:val="Heading5"/>
      </w:pPr>
      <w:bookmarkStart w:id="38" w:name="_Toc85638712"/>
      <w:r>
        <w:rPr>
          <w:rStyle w:val="CharSectno"/>
        </w:rPr>
        <w:t>22B</w:t>
      </w:r>
      <w:r>
        <w:t>.</w:t>
      </w:r>
      <w:r>
        <w:tab/>
        <w:t>Lighting of fires prohibited during total fire ban</w:t>
      </w:r>
      <w:bookmarkEnd w:id="38"/>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lastRenderedPageBreak/>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No. 25 of 2009 s. 7.]</w:t>
      </w:r>
    </w:p>
    <w:p>
      <w:pPr>
        <w:pStyle w:val="Heading5"/>
      </w:pPr>
      <w:bookmarkStart w:id="39" w:name="_Toc85638713"/>
      <w:r>
        <w:rPr>
          <w:rStyle w:val="CharSectno"/>
        </w:rPr>
        <w:t>22C</w:t>
      </w:r>
      <w:r>
        <w:t>.</w:t>
      </w:r>
      <w:r>
        <w:tab/>
        <w:t>Power of Minister to exempt from provisions of section 22B</w:t>
      </w:r>
      <w:bookmarkEnd w:id="39"/>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lastRenderedPageBreak/>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No. 25 of 2009 s. 7; amended: No. 22 of 2012 s. 52.]</w:t>
      </w:r>
    </w:p>
    <w:p>
      <w:pPr>
        <w:pStyle w:val="Heading3"/>
        <w:keepLines/>
        <w:spacing w:before="220"/>
      </w:pPr>
      <w:bookmarkStart w:id="40" w:name="_Toc85616472"/>
      <w:bookmarkStart w:id="41" w:name="_Toc85616572"/>
      <w:bookmarkStart w:id="42" w:name="_Toc85638714"/>
      <w:r>
        <w:rPr>
          <w:rStyle w:val="CharDivNo"/>
        </w:rPr>
        <w:lastRenderedPageBreak/>
        <w:t>Division 5</w:t>
      </w:r>
      <w:r>
        <w:rPr>
          <w:snapToGrid w:val="0"/>
        </w:rPr>
        <w:t> — </w:t>
      </w:r>
      <w:r>
        <w:rPr>
          <w:rStyle w:val="CharDivText"/>
        </w:rPr>
        <w:t>Burning during prohibited times and restricted times</w:t>
      </w:r>
      <w:bookmarkEnd w:id="40"/>
      <w:bookmarkEnd w:id="41"/>
      <w:bookmarkEnd w:id="42"/>
    </w:p>
    <w:p>
      <w:pPr>
        <w:pStyle w:val="Heading5"/>
        <w:spacing w:before="160"/>
        <w:rPr>
          <w:snapToGrid w:val="0"/>
        </w:rPr>
      </w:pPr>
      <w:bookmarkStart w:id="43" w:name="_Toc85638715"/>
      <w:r>
        <w:rPr>
          <w:rStyle w:val="CharSectno"/>
        </w:rPr>
        <w:t>22</w:t>
      </w:r>
      <w:r>
        <w:rPr>
          <w:snapToGrid w:val="0"/>
        </w:rPr>
        <w:t>.</w:t>
      </w:r>
      <w:r>
        <w:rPr>
          <w:snapToGrid w:val="0"/>
        </w:rPr>
        <w:tab/>
        <w:t>Burning on exempt land and land adjoining exempt land</w:t>
      </w:r>
      <w:bookmarkEnd w:id="43"/>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 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lastRenderedPageBreak/>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No. 11 of 1963 s. 9; No. 94 of 1972 s. 4 (as amended: No. 83 of 1973 s. 3); No. 65 of 1977 s. 17; No. 51 of 1979 s. 5; No. 14 of 1996 s. 4; No. 19 of 2010 s. 52(4).]</w:t>
      </w:r>
    </w:p>
    <w:p>
      <w:pPr>
        <w:pStyle w:val="Heading5"/>
        <w:spacing w:before="180"/>
        <w:rPr>
          <w:snapToGrid w:val="0"/>
        </w:rPr>
      </w:pPr>
      <w:bookmarkStart w:id="44" w:name="_Toc85638716"/>
      <w:r>
        <w:rPr>
          <w:rStyle w:val="CharSectno"/>
        </w:rPr>
        <w:t>23</w:t>
      </w:r>
      <w:r>
        <w:rPr>
          <w:snapToGrid w:val="0"/>
        </w:rPr>
        <w:t>.</w:t>
      </w:r>
      <w:r>
        <w:rPr>
          <w:snapToGrid w:val="0"/>
        </w:rPr>
        <w:tab/>
        <w:t>Burning during prohibited burning times</w:t>
      </w:r>
      <w:bookmarkEnd w:id="44"/>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lastRenderedPageBreak/>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 xml:space="preserve">in the case of burning carried out pursuant to subsection (1)(b)(ii), the bush shall be burnt </w:t>
      </w:r>
      <w:r>
        <w:rPr>
          <w:snapToGrid w:val="0"/>
        </w:rPr>
        <w:lastRenderedPageBreak/>
        <w:t>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No. 65 of 1977 s. 18; amended: No. 14 of 1996 s. 4.]</w:t>
      </w:r>
    </w:p>
    <w:p>
      <w:pPr>
        <w:pStyle w:val="Heading5"/>
        <w:rPr>
          <w:snapToGrid w:val="0"/>
        </w:rPr>
      </w:pPr>
      <w:bookmarkStart w:id="45" w:name="_Toc85638717"/>
      <w:r>
        <w:rPr>
          <w:rStyle w:val="CharSectno"/>
        </w:rPr>
        <w:t>24</w:t>
      </w:r>
      <w:r>
        <w:rPr>
          <w:snapToGrid w:val="0"/>
        </w:rPr>
        <w:t>.</w:t>
      </w:r>
      <w:r>
        <w:rPr>
          <w:snapToGrid w:val="0"/>
        </w:rPr>
        <w:tab/>
        <w:t>Bush on land growing subterranean clover may be burnt during prohibited burning times</w:t>
      </w:r>
      <w:bookmarkEnd w:id="45"/>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lastRenderedPageBreak/>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 No. 94 of 1972 s. 4 (as amended: No. 83 of 1973 s. 3); No. 65 of 1977 s. 19; No. 51 of 1979 s. 5; No. 14 of 1996 s. 4.]</w:t>
      </w:r>
    </w:p>
    <w:p>
      <w:pPr>
        <w:pStyle w:val="Heading5"/>
        <w:rPr>
          <w:snapToGrid w:val="0"/>
        </w:rPr>
      </w:pPr>
      <w:bookmarkStart w:id="46" w:name="_Toc85638718"/>
      <w:r>
        <w:rPr>
          <w:rStyle w:val="CharSectno"/>
        </w:rPr>
        <w:t>24A</w:t>
      </w:r>
      <w:r>
        <w:rPr>
          <w:snapToGrid w:val="0"/>
        </w:rPr>
        <w:t>.</w:t>
      </w:r>
      <w:r>
        <w:rPr>
          <w:snapToGrid w:val="0"/>
        </w:rPr>
        <w:tab/>
        <w:t>Bush on land in prescribed irrigation areas may be burnt during prohibited times for purpose of germinating clover</w:t>
      </w:r>
      <w:bookmarkEnd w:id="46"/>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No. 35 of 1957 s. 4; amended: No. 11 of 1963 s. 10; No. 19 of 2010 s. 52(4).]</w:t>
      </w:r>
    </w:p>
    <w:p>
      <w:pPr>
        <w:pStyle w:val="Heading5"/>
        <w:rPr>
          <w:snapToGrid w:val="0"/>
        </w:rPr>
      </w:pPr>
      <w:bookmarkStart w:id="47" w:name="_Toc85638719"/>
      <w:r>
        <w:rPr>
          <w:rStyle w:val="CharSectno"/>
        </w:rPr>
        <w:lastRenderedPageBreak/>
        <w:t>24B</w:t>
      </w:r>
      <w:r>
        <w:rPr>
          <w:snapToGrid w:val="0"/>
        </w:rPr>
        <w:t>.</w:t>
      </w:r>
      <w:r>
        <w:rPr>
          <w:snapToGrid w:val="0"/>
        </w:rPr>
        <w:tab/>
        <w:t>Production of permit to burn may be required</w:t>
      </w:r>
      <w:bookmarkEnd w:id="47"/>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No. 11 of 1963 s. 11; amended: No. 113 of 1965 s. 8(1); No. 65 of 1977 s. 20 and 47; No. 51 of 1979 s. 5; No. 8 of 1987 s. 8; No. 14 of 1996 s. 4; No. 42 of 1998 s. 16; No. 22 of 2012 s. 53.]</w:t>
      </w:r>
    </w:p>
    <w:p>
      <w:pPr>
        <w:pStyle w:val="Heading5"/>
        <w:spacing w:before="180"/>
      </w:pPr>
      <w:bookmarkStart w:id="48" w:name="_Toc85638720"/>
      <w:r>
        <w:rPr>
          <w:rStyle w:val="CharSectno"/>
        </w:rPr>
        <w:t>24C</w:t>
      </w:r>
      <w:r>
        <w:t>.</w:t>
      </w:r>
      <w:r>
        <w:tab/>
        <w:t>Terms used</w:t>
      </w:r>
      <w:bookmarkEnd w:id="48"/>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lastRenderedPageBreak/>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tab/>
      </w:r>
      <w:r>
        <w:rPr>
          <w:rStyle w:val="CharDefText"/>
        </w:rPr>
        <w:t>rubbish tip</w:t>
      </w:r>
      <w:r>
        <w:t xml:space="preserve"> means disposal premises as defined in the </w:t>
      </w:r>
      <w:r>
        <w:rPr>
          <w:i/>
        </w:rPr>
        <w:t>Waste Avoidance and Resource Recovery Levy Act 2007</w:t>
      </w:r>
      <w:r>
        <w:t xml:space="preserve"> section 3;</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No. 38 of 2002 s. 24; amended: No. 25 of 2009 s. 8; No. 40 of 2020 s. 114(2).]</w:t>
      </w:r>
    </w:p>
    <w:p>
      <w:pPr>
        <w:pStyle w:val="Heading5"/>
        <w:spacing w:before="180"/>
      </w:pPr>
      <w:bookmarkStart w:id="49" w:name="_Toc85638721"/>
      <w:r>
        <w:rPr>
          <w:rStyle w:val="CharSectno"/>
        </w:rPr>
        <w:t>24D</w:t>
      </w:r>
      <w:r>
        <w:t>.</w:t>
      </w:r>
      <w:r>
        <w:tab/>
        <w:t>Burning garden refuse prohibited if fire danger very high to catastrophic</w:t>
      </w:r>
      <w:bookmarkEnd w:id="49"/>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No. 38 of 2002 s. 24; amended: No. 25 of 2009 s. 9.]</w:t>
      </w:r>
    </w:p>
    <w:p>
      <w:pPr>
        <w:pStyle w:val="Heading5"/>
        <w:spacing w:before="180"/>
      </w:pPr>
      <w:bookmarkStart w:id="50" w:name="_Toc85638722"/>
      <w:r>
        <w:rPr>
          <w:rStyle w:val="CharSectno"/>
        </w:rPr>
        <w:t>24E</w:t>
      </w:r>
      <w:r>
        <w:t>.</w:t>
      </w:r>
      <w:r>
        <w:tab/>
        <w:t>Burning of garden refuse at rubbish tips</w:t>
      </w:r>
      <w:bookmarkEnd w:id="50"/>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lastRenderedPageBreak/>
        <w:tab/>
        <w:t>(3)</w:t>
      </w:r>
      <w:r>
        <w:tab/>
        <w:t>In a notice under subsection (2) the Minister —</w:t>
      </w:r>
    </w:p>
    <w:p>
      <w:pPr>
        <w:pStyle w:val="Indenta"/>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No. 38 of 2002 s. 24; amended: No. 22 of 2012 s. 54.]</w:t>
      </w:r>
    </w:p>
    <w:p>
      <w:pPr>
        <w:pStyle w:val="Heading5"/>
      </w:pPr>
      <w:bookmarkStart w:id="51" w:name="_Toc85638723"/>
      <w:r>
        <w:rPr>
          <w:rStyle w:val="CharSectno"/>
        </w:rPr>
        <w:t>24F</w:t>
      </w:r>
      <w:r>
        <w:t>.</w:t>
      </w:r>
      <w:r>
        <w:tab/>
        <w:t>Burning garden refuse during limited burning times</w:t>
      </w:r>
      <w:bookmarkEnd w:id="51"/>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Next/>
        <w:keepLines/>
      </w:pPr>
      <w:r>
        <w:tab/>
        <w:t>(i)</w:t>
      </w:r>
      <w:r>
        <w:tab/>
        <w:t>the incinerator is situated 2 m or more away from any building or fence; or</w:t>
      </w:r>
    </w:p>
    <w:p>
      <w:pPr>
        <w:pStyle w:val="Indenti"/>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lastRenderedPageBreak/>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No. 38 of 2002 s. 24.]</w:t>
      </w:r>
    </w:p>
    <w:p>
      <w:pPr>
        <w:pStyle w:val="Heading5"/>
        <w:spacing w:before="260"/>
      </w:pPr>
      <w:bookmarkStart w:id="52" w:name="_Toc85638724"/>
      <w:r>
        <w:rPr>
          <w:rStyle w:val="CharSectno"/>
        </w:rPr>
        <w:t>24G</w:t>
      </w:r>
      <w:r>
        <w:t>.</w:t>
      </w:r>
      <w:r>
        <w:tab/>
        <w:t>Minister or local government may further restrict burning of garden refuse</w:t>
      </w:r>
      <w:bookmarkEnd w:id="52"/>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lastRenderedPageBreak/>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spacing w:before="180"/>
      </w:pPr>
      <w:r>
        <w:tab/>
        <w:t>(3)</w:t>
      </w:r>
      <w:r>
        <w:tab/>
        <w:t>A person must not burn garden refuse contrary to a prohibition or restriction imposed under this section.</w:t>
      </w:r>
    </w:p>
    <w:p>
      <w:pPr>
        <w:pStyle w:val="Penstart"/>
      </w:pPr>
      <w:r>
        <w:tab/>
        <w:t>Penalty: $3 000.</w:t>
      </w:r>
    </w:p>
    <w:p>
      <w:pPr>
        <w:pStyle w:val="Subsection"/>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pPr>
      <w:r>
        <w:tab/>
        <w:t>(c)</w:t>
      </w:r>
      <w:r>
        <w:tab/>
        <w:t>the period during which,</w:t>
      </w:r>
    </w:p>
    <w:p>
      <w:pPr>
        <w:pStyle w:val="Subsection"/>
        <w:spacing w:before="180"/>
      </w:pPr>
      <w:r>
        <w:tab/>
      </w:r>
      <w:r>
        <w:tab/>
        <w:t>the notice applies.</w:t>
      </w:r>
    </w:p>
    <w:p>
      <w:pPr>
        <w:pStyle w:val="Subsection"/>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 No. 38 of 2002 s. 24; amended: No. 22 of 2012 s. 55.]</w:t>
      </w:r>
    </w:p>
    <w:p>
      <w:pPr>
        <w:pStyle w:val="Heading5"/>
        <w:spacing w:before="240"/>
        <w:rPr>
          <w:snapToGrid w:val="0"/>
        </w:rPr>
      </w:pPr>
      <w:bookmarkStart w:id="53" w:name="_Toc85638725"/>
      <w:r>
        <w:rPr>
          <w:rStyle w:val="CharSectno"/>
        </w:rPr>
        <w:t>25</w:t>
      </w:r>
      <w:r>
        <w:rPr>
          <w:snapToGrid w:val="0"/>
        </w:rPr>
        <w:t>.</w:t>
      </w:r>
      <w:r>
        <w:rPr>
          <w:snapToGrid w:val="0"/>
        </w:rPr>
        <w:tab/>
        <w:t>No fire to be lit in open air unless certain precautions taken</w:t>
      </w:r>
      <w:bookmarkEnd w:id="53"/>
    </w:p>
    <w:p>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w:t>
      </w:r>
      <w:r>
        <w:rPr>
          <w:snapToGrid w:val="0"/>
        </w:rPr>
        <w:lastRenderedPageBreak/>
        <w:t xml:space="preserve">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lastRenderedPageBreak/>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 xml:space="preserve">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w:t>
      </w:r>
      <w:r>
        <w:rPr>
          <w:snapToGrid w:val="0"/>
        </w:rPr>
        <w:lastRenderedPageBreak/>
        <w:t>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lastRenderedPageBreak/>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No. 11 of 1963 s. 12; No. 15 of 1965 s. 2; No. 113 of 1965 s. 8(1); No. 101 of 1969 s. 5; No. 67 of 1970 s. 2; No. 94 of 1972 s. 4 (as amended: No. 83 of 1973 s. 3); No. 65 of 1977 s. 21, 47 and 48; No. 51 of 1979 s. 5; No. 8 of 1987 s. 8; No. 60 of 1992 s. 23; No. 14 of 1996 s. 4; No. 57 of 1997 s. 26(1); No. 10 of 1998 s. 20(1); No. 38 of 2002 s. 25, 39 and 40; No. 25 of 2009 s. 10; No. 19 of 2010 s. 52(4).]</w:t>
      </w:r>
    </w:p>
    <w:p>
      <w:pPr>
        <w:pStyle w:val="Heading5"/>
        <w:rPr>
          <w:snapToGrid w:val="0"/>
        </w:rPr>
      </w:pPr>
      <w:bookmarkStart w:id="54" w:name="_Toc85638726"/>
      <w:r>
        <w:rPr>
          <w:rStyle w:val="CharSectno"/>
        </w:rPr>
        <w:t>25A</w:t>
      </w:r>
      <w:r>
        <w:rPr>
          <w:snapToGrid w:val="0"/>
        </w:rPr>
        <w:t>.</w:t>
      </w:r>
      <w:r>
        <w:rPr>
          <w:snapToGrid w:val="0"/>
        </w:rPr>
        <w:tab/>
        <w:t>Power of Minister to exempt from provisions of section 25</w:t>
      </w:r>
      <w:bookmarkEnd w:id="54"/>
    </w:p>
    <w:p>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lastRenderedPageBreak/>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No. 15 of 1965 s. 3; amended: No. 113 of 1965 s. 8(1); No. 65 of 1977 s. 22 and 48; No. 8 of 1987 s. 8; No. 14 of 1996 s. 4; No. 42 of 1998 s. 16; No. 38 of 2002 s. 26 and 39; No. 22 of 2012 s. 56.]</w:t>
      </w:r>
    </w:p>
    <w:p>
      <w:pPr>
        <w:pStyle w:val="Ednotesection"/>
        <w:ind w:left="890" w:hanging="890"/>
      </w:pPr>
      <w:r>
        <w:t>[</w:t>
      </w:r>
      <w:r>
        <w:rPr>
          <w:b/>
        </w:rPr>
        <w:t>25B.</w:t>
      </w:r>
      <w:r>
        <w:tab/>
        <w:t>Deleted: No. 38 of 2002 s. 27(1).]</w:t>
      </w:r>
    </w:p>
    <w:p>
      <w:pPr>
        <w:pStyle w:val="Heading5"/>
        <w:rPr>
          <w:snapToGrid w:val="0"/>
        </w:rPr>
      </w:pPr>
      <w:bookmarkStart w:id="55" w:name="_Toc85638727"/>
      <w:r>
        <w:rPr>
          <w:rStyle w:val="CharSectno"/>
        </w:rPr>
        <w:lastRenderedPageBreak/>
        <w:t>26</w:t>
      </w:r>
      <w:r>
        <w:rPr>
          <w:snapToGrid w:val="0"/>
        </w:rPr>
        <w:t>.</w:t>
      </w:r>
      <w:r>
        <w:rPr>
          <w:snapToGrid w:val="0"/>
        </w:rPr>
        <w:tab/>
        <w:t>Burning of plants to eradicate disease during prohibited burning times</w:t>
      </w:r>
      <w:bookmarkEnd w:id="55"/>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No. 35 of 1957 s. 5; No. 113 of 1965 s. 8(1); No. 65 of 1977 s. 23 and 48;  No. 24 of 2007 s. 28(2); No. 38 of 2002 s. 39.]</w:t>
      </w:r>
    </w:p>
    <w:p>
      <w:pPr>
        <w:pStyle w:val="Heading5"/>
        <w:spacing w:before="180"/>
        <w:rPr>
          <w:snapToGrid w:val="0"/>
        </w:rPr>
      </w:pPr>
      <w:bookmarkStart w:id="56" w:name="_Toc85638728"/>
      <w:r>
        <w:rPr>
          <w:rStyle w:val="CharSectno"/>
        </w:rPr>
        <w:lastRenderedPageBreak/>
        <w:t>26A</w:t>
      </w:r>
      <w:r>
        <w:rPr>
          <w:snapToGrid w:val="0"/>
        </w:rPr>
        <w:t>.</w:t>
      </w:r>
      <w:r>
        <w:rPr>
          <w:snapToGrid w:val="0"/>
        </w:rPr>
        <w:tab/>
        <w:t>Burning of declared plants during prohibited burning times</w:t>
      </w:r>
      <w:bookmarkEnd w:id="56"/>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[Section 26A inserted: No. 65 of 1977 s. 24; amended: No. 38 of 2002 s. 39; No. 24 of 2007 s. 28(3).]</w:t>
      </w:r>
    </w:p>
    <w:p>
      <w:pPr>
        <w:pStyle w:val="Heading3"/>
        <w:spacing w:before="200"/>
      </w:pPr>
      <w:bookmarkStart w:id="57" w:name="_Toc85616487"/>
      <w:bookmarkStart w:id="58" w:name="_Toc85616587"/>
      <w:bookmarkStart w:id="59" w:name="_Toc85638729"/>
      <w:r>
        <w:rPr>
          <w:rStyle w:val="CharDivNo"/>
        </w:rPr>
        <w:t>Division 6</w:t>
      </w:r>
      <w:r>
        <w:rPr>
          <w:snapToGrid w:val="0"/>
        </w:rPr>
        <w:t> — </w:t>
      </w:r>
      <w:r>
        <w:rPr>
          <w:rStyle w:val="CharDivText"/>
        </w:rPr>
        <w:t>General restrictions, prohibitions and offences</w:t>
      </w:r>
      <w:bookmarkEnd w:id="57"/>
      <w:bookmarkEnd w:id="58"/>
      <w:bookmarkEnd w:id="59"/>
    </w:p>
    <w:p>
      <w:pPr>
        <w:pStyle w:val="Heading5"/>
        <w:spacing w:before="180"/>
        <w:rPr>
          <w:snapToGrid w:val="0"/>
        </w:rPr>
      </w:pPr>
      <w:bookmarkStart w:id="60" w:name="_Toc85638730"/>
      <w:r>
        <w:rPr>
          <w:rStyle w:val="CharSectno"/>
        </w:rPr>
        <w:t>27</w:t>
      </w:r>
      <w:r>
        <w:rPr>
          <w:snapToGrid w:val="0"/>
        </w:rPr>
        <w:t>.</w:t>
      </w:r>
      <w:r>
        <w:rPr>
          <w:snapToGrid w:val="0"/>
        </w:rPr>
        <w:tab/>
        <w:t>Prohibition on use of tractors or engines except under certain conditions</w:t>
      </w:r>
      <w:bookmarkEnd w:id="60"/>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rPr>
          <w:snapToGrid w:val="0"/>
        </w:rPr>
      </w:pPr>
      <w:r>
        <w:rPr>
          <w:snapToGrid w:val="0"/>
        </w:rPr>
        <w:lastRenderedPageBreak/>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Lines/>
        <w:rPr>
          <w:snapToGrid w:val="0"/>
        </w:rPr>
      </w:pPr>
      <w:r>
        <w:rPr>
          <w:snapToGrid w:val="0"/>
        </w:rPr>
        <w:lastRenderedPageBreak/>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No. 11 of 1963 s. 13; No. 65 of 1977 s. 25; No. 51 of 1979 s. 2; No. 95 of 1981 s. 2; No. 8 of 1987 s. 8; No. 14 of 1996 s. 4; No. 38 of 2002 s. 39.]</w:t>
      </w:r>
    </w:p>
    <w:p>
      <w:pPr>
        <w:pStyle w:val="Heading5"/>
        <w:rPr>
          <w:snapToGrid w:val="0"/>
        </w:rPr>
      </w:pPr>
      <w:bookmarkStart w:id="61" w:name="_Toc85638731"/>
      <w:r>
        <w:rPr>
          <w:rStyle w:val="CharSectno"/>
        </w:rPr>
        <w:lastRenderedPageBreak/>
        <w:t>27A</w:t>
      </w:r>
      <w:r>
        <w:rPr>
          <w:snapToGrid w:val="0"/>
        </w:rPr>
        <w:t>.</w:t>
      </w:r>
      <w:r>
        <w:rPr>
          <w:snapToGrid w:val="0"/>
        </w:rPr>
        <w:tab/>
        <w:t>Regulation of blasting and matters likely to create bush fire danger</w:t>
      </w:r>
      <w:bookmarkEnd w:id="6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No. 35 of 1957 s. 6; amended: No. 113 of 1965 s. 8; No. 65 of 1977 s. 26 and 48; No. 8 of 1987 s. 8(1); No. 38 of 2002 s. 39 and 40(2).]</w:t>
      </w:r>
    </w:p>
    <w:p>
      <w:pPr>
        <w:pStyle w:val="Heading5"/>
        <w:rPr>
          <w:snapToGrid w:val="0"/>
        </w:rPr>
      </w:pPr>
      <w:bookmarkStart w:id="62" w:name="_Toc85638732"/>
      <w:r>
        <w:rPr>
          <w:rStyle w:val="CharSectno"/>
        </w:rPr>
        <w:t>27B</w:t>
      </w:r>
      <w:r>
        <w:rPr>
          <w:snapToGrid w:val="0"/>
        </w:rPr>
        <w:t>.</w:t>
      </w:r>
      <w:r>
        <w:rPr>
          <w:snapToGrid w:val="0"/>
        </w:rPr>
        <w:tab/>
        <w:t>False alarms</w:t>
      </w:r>
      <w:bookmarkEnd w:id="62"/>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 xml:space="preserve">authorised </w:t>
      </w:r>
      <w:r>
        <w:lastRenderedPageBreak/>
        <w:t>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No. 35 of 1957 s. 6; amended: No. 113 of 1965 s. 8(1); No. 65 of 1977 s. 47 and 48; No. 8 of 1987 s. 8; No. 14 of 1996 s. 4; No. 42 of 1998 s. 16; No. 38 of 2002 s. 39 and 40(2); No. 22 of 2012 s. 57 and 69.]</w:t>
      </w:r>
    </w:p>
    <w:p>
      <w:pPr>
        <w:pStyle w:val="Heading5"/>
        <w:rPr>
          <w:snapToGrid w:val="0"/>
        </w:rPr>
      </w:pPr>
      <w:bookmarkStart w:id="63" w:name="_Toc85638733"/>
      <w:r>
        <w:rPr>
          <w:rStyle w:val="CharSectno"/>
        </w:rPr>
        <w:t>27C</w:t>
      </w:r>
      <w:r>
        <w:rPr>
          <w:snapToGrid w:val="0"/>
        </w:rPr>
        <w:t>.</w:t>
      </w:r>
      <w:r>
        <w:rPr>
          <w:snapToGrid w:val="0"/>
        </w:rPr>
        <w:tab/>
        <w:t>Vandalism</w:t>
      </w:r>
      <w:bookmarkEnd w:id="63"/>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No. 35 of 1957 s. 6; amended: No. 8 of 1987 s. 8; No. 14 of 1996 s. 4; No. 42 of 1998 s. 16; No. 38 of 2002 s. 39; No. 22 of 2012 s. 69.]</w:t>
      </w:r>
    </w:p>
    <w:p>
      <w:pPr>
        <w:pStyle w:val="Heading5"/>
        <w:rPr>
          <w:snapToGrid w:val="0"/>
        </w:rPr>
      </w:pPr>
      <w:bookmarkStart w:id="64" w:name="_Toc85638734"/>
      <w:r>
        <w:rPr>
          <w:rStyle w:val="CharSectno"/>
        </w:rPr>
        <w:lastRenderedPageBreak/>
        <w:t>27D</w:t>
      </w:r>
      <w:r>
        <w:rPr>
          <w:snapToGrid w:val="0"/>
        </w:rPr>
        <w:t>.</w:t>
      </w:r>
      <w:r>
        <w:rPr>
          <w:snapToGrid w:val="0"/>
        </w:rPr>
        <w:tab/>
        <w:t>Requirements for carriage and deposit of incendiary material</w:t>
      </w:r>
      <w:bookmarkEnd w:id="64"/>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 No. 101 of 1969 s. 7; amended: No. 94 of 1972 s. 4 (as amended: No. 83 of 1973 s. 3); No. 65 of 1977 s. 47 and 48; No. 8 of 1987 s. 8; No. 14 of 1996 s. 4; No. 38 of 2002 s. 40(1).]</w:t>
      </w:r>
    </w:p>
    <w:p>
      <w:pPr>
        <w:pStyle w:val="Heading5"/>
        <w:rPr>
          <w:snapToGrid w:val="0"/>
        </w:rPr>
      </w:pPr>
      <w:bookmarkStart w:id="65" w:name="_Toc85638735"/>
      <w:r>
        <w:rPr>
          <w:rStyle w:val="CharSectno"/>
        </w:rPr>
        <w:lastRenderedPageBreak/>
        <w:t>28</w:t>
      </w:r>
      <w:r>
        <w:rPr>
          <w:snapToGrid w:val="0"/>
        </w:rPr>
        <w:t>.</w:t>
      </w:r>
      <w:r>
        <w:rPr>
          <w:snapToGrid w:val="0"/>
        </w:rPr>
        <w:tab/>
        <w:t>Occupier of land to extinguish bush fire occurring on own land</w:t>
      </w:r>
      <w:bookmarkEnd w:id="65"/>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lastRenderedPageBreak/>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No. 11 of 1963 s. 14; No. 113 of 1965 s. 8(1); No. 94 of 1972 s. 4 (as amended: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No. 65 of 1977 s. 28.]</w:t>
      </w:r>
    </w:p>
    <w:p>
      <w:pPr>
        <w:pStyle w:val="Heading5"/>
        <w:spacing w:before="240"/>
        <w:rPr>
          <w:snapToGrid w:val="0"/>
        </w:rPr>
      </w:pPr>
      <w:bookmarkStart w:id="66" w:name="_Toc85638736"/>
      <w:r>
        <w:rPr>
          <w:rStyle w:val="CharSectno"/>
        </w:rPr>
        <w:t>30</w:t>
      </w:r>
      <w:r>
        <w:rPr>
          <w:snapToGrid w:val="0"/>
        </w:rPr>
        <w:t>.</w:t>
      </w:r>
      <w:r>
        <w:rPr>
          <w:snapToGrid w:val="0"/>
        </w:rPr>
        <w:tab/>
        <w:t>Disposal of burning cigarettes etc.</w:t>
      </w:r>
      <w:bookmarkEnd w:id="66"/>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No. 65 of 1977 s. 29; amended: No. 8 of 1987 s. 8; No. 38 of 2002 s. 39.]</w:t>
      </w:r>
    </w:p>
    <w:p>
      <w:pPr>
        <w:pStyle w:val="Ednotesection"/>
      </w:pPr>
      <w:r>
        <w:t>[</w:t>
      </w:r>
      <w:r>
        <w:rPr>
          <w:b/>
        </w:rPr>
        <w:t>31.</w:t>
      </w:r>
      <w:r>
        <w:tab/>
        <w:t>Deleted: No. 65 of 1977 s. 30.]</w:t>
      </w:r>
    </w:p>
    <w:p>
      <w:pPr>
        <w:pStyle w:val="Heading5"/>
        <w:spacing w:before="240"/>
        <w:rPr>
          <w:snapToGrid w:val="0"/>
        </w:rPr>
      </w:pPr>
      <w:bookmarkStart w:id="67" w:name="_Toc85638737"/>
      <w:r>
        <w:rPr>
          <w:rStyle w:val="CharSectno"/>
        </w:rPr>
        <w:lastRenderedPageBreak/>
        <w:t>32</w:t>
      </w:r>
      <w:r>
        <w:rPr>
          <w:snapToGrid w:val="0"/>
        </w:rPr>
        <w:t>.</w:t>
      </w:r>
      <w:r>
        <w:rPr>
          <w:snapToGrid w:val="0"/>
        </w:rPr>
        <w:tab/>
        <w:t>Offences of lighting or attempting to light fire likely to injure</w:t>
      </w:r>
      <w:bookmarkEnd w:id="67"/>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No. 113 of 1965 s. 8(1); No. 65 of 1977 s. 31 and 48; No. 8 of 1987 s. 8; No. 101 of 1990 s. 56; No. 4 of 2004 s. 58; No. 25 of 2009 s. 11; No. 43 of 2009 s. 4.]</w:t>
      </w:r>
    </w:p>
    <w:p>
      <w:pPr>
        <w:pStyle w:val="Heading5"/>
        <w:rPr>
          <w:snapToGrid w:val="0"/>
        </w:rPr>
      </w:pPr>
      <w:bookmarkStart w:id="68" w:name="_Toc85638738"/>
      <w:r>
        <w:rPr>
          <w:rStyle w:val="CharSectno"/>
        </w:rPr>
        <w:t>33</w:t>
      </w:r>
      <w:r>
        <w:rPr>
          <w:snapToGrid w:val="0"/>
        </w:rPr>
        <w:t>.</w:t>
      </w:r>
      <w:r>
        <w:rPr>
          <w:snapToGrid w:val="0"/>
        </w:rPr>
        <w:tab/>
        <w:t>Local government may require occupier of land to plough or clear fire</w:t>
      </w:r>
      <w:r>
        <w:rPr>
          <w:snapToGrid w:val="0"/>
        </w:rPr>
        <w:noBreakHyphen/>
        <w:t>break</w:t>
      </w:r>
      <w:bookmarkEnd w:id="68"/>
    </w:p>
    <w:p>
      <w:pPr>
        <w:pStyle w:val="Subsection"/>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w:t>
      </w:r>
      <w:r>
        <w:rPr>
          <w:snapToGrid w:val="0"/>
        </w:rPr>
        <w:lastRenderedPageBreak/>
        <w:t>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lastRenderedPageBreak/>
        <w:tab/>
        <w:t>Penalty: $5 000.</w:t>
      </w:r>
    </w:p>
    <w:p>
      <w:pPr>
        <w:pStyle w:val="Subsection"/>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 xml:space="preserve">breaks in such manner, at such places, at such times, of such dimensions and to such number, and whether in parallel or otherwise, as are specified in the </w:t>
      </w:r>
      <w:r>
        <w:rPr>
          <w:snapToGrid w:val="0"/>
        </w:rPr>
        <w:lastRenderedPageBreak/>
        <w:t>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keepNext/>
        <w:spacing w:before="180"/>
        <w:rPr>
          <w:snapToGrid w:val="0"/>
        </w:rPr>
      </w:pPr>
      <w:r>
        <w:rPr>
          <w:snapToGrid w:val="0"/>
        </w:rPr>
        <w:lastRenderedPageBreak/>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No. 11 of 1963 s. 15; No. 113 of 1965 s. 8(1); No. 65 of 1977 s. 32 and 48; No. 51 of 1979 s. 3 and 5; No. 8 of 1987 s. 8; No. 14 of 1996 s. 4; No. 38 of 2002 s. 28 and 39; No. 70 of 2003 s. 7; No. 19 of 2010 s. 52(4).]</w:t>
      </w:r>
    </w:p>
    <w:p>
      <w:pPr>
        <w:pStyle w:val="Heading5"/>
        <w:rPr>
          <w:snapToGrid w:val="0"/>
        </w:rPr>
      </w:pPr>
      <w:bookmarkStart w:id="69" w:name="_Toc85638739"/>
      <w:r>
        <w:rPr>
          <w:rStyle w:val="CharSectno"/>
        </w:rPr>
        <w:t>34</w:t>
      </w:r>
      <w:r>
        <w:rPr>
          <w:snapToGrid w:val="0"/>
        </w:rPr>
        <w:t>.</w:t>
      </w:r>
      <w:r>
        <w:rPr>
          <w:snapToGrid w:val="0"/>
        </w:rPr>
        <w:tab/>
        <w:t>Burning on Crown lands</w:t>
      </w:r>
      <w:bookmarkEnd w:id="69"/>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lastRenderedPageBreak/>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keepNext/>
        <w:spacing w:before="180"/>
        <w:rPr>
          <w:snapToGrid w:val="0"/>
        </w:rPr>
      </w:pPr>
      <w:r>
        <w:rPr>
          <w:snapToGrid w:val="0"/>
        </w:rPr>
        <w:lastRenderedPageBreak/>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No. 11 of 1963 s. 16; No. 94 of 1972 s. 4 (as amended: No. 83 of 1973 s. 3); No. 65 of 1977 s. 33; No. 51 of 1979 s. 5; No. 14 of 1996 s. 4; No. 42 of 1998 s. 16; No. 28 of 2006 s. 389; No. 19 of 2010 s. 52(4); No. 22 of 2012 s. 69.]</w:t>
      </w:r>
    </w:p>
    <w:p>
      <w:pPr>
        <w:pStyle w:val="Heading5"/>
        <w:rPr>
          <w:snapToGrid w:val="0"/>
        </w:rPr>
      </w:pPr>
      <w:bookmarkStart w:id="70" w:name="_Toc85638740"/>
      <w:r>
        <w:rPr>
          <w:rStyle w:val="CharSectno"/>
        </w:rPr>
        <w:t>35</w:t>
      </w:r>
      <w:r>
        <w:rPr>
          <w:snapToGrid w:val="0"/>
        </w:rPr>
        <w:t>.</w:t>
      </w:r>
      <w:r>
        <w:rPr>
          <w:snapToGrid w:val="0"/>
        </w:rPr>
        <w:tab/>
        <w:t>Powers of FES Commissioner on default by local government</w:t>
      </w:r>
      <w:bookmarkEnd w:id="70"/>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lastRenderedPageBreak/>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lastRenderedPageBreak/>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No. 65 of 1977 s. 34 and 47; No. 60 of 1992 s. 11; No. 14 of 1996 s. 4; No. 42 of 1998 s. 16; No. 19 of 2010 s. 52(4); No. 22 of 2012 s. 59 and 69.]</w:t>
      </w:r>
    </w:p>
    <w:p>
      <w:pPr>
        <w:pStyle w:val="Heading3"/>
        <w:rPr>
          <w:rStyle w:val="CharDivText"/>
        </w:rPr>
      </w:pPr>
      <w:bookmarkStart w:id="71" w:name="_Toc85616499"/>
      <w:bookmarkStart w:id="72" w:name="_Toc85616599"/>
      <w:bookmarkStart w:id="73" w:name="_Toc85638741"/>
      <w:r>
        <w:rPr>
          <w:rStyle w:val="CharDivNo"/>
        </w:rPr>
        <w:t>Division 7</w:t>
      </w:r>
      <w:r>
        <w:t> — </w:t>
      </w:r>
      <w:r>
        <w:rPr>
          <w:rStyle w:val="CharDivText"/>
        </w:rPr>
        <w:t>Bush fire risk treatment standards</w:t>
      </w:r>
      <w:bookmarkEnd w:id="71"/>
      <w:bookmarkEnd w:id="72"/>
      <w:bookmarkEnd w:id="73"/>
    </w:p>
    <w:p>
      <w:pPr>
        <w:pStyle w:val="Footnoteheading"/>
      </w:pPr>
      <w:r>
        <w:tab/>
        <w:t>[Heading inserted: No. 27 of 2016 s. 4.]</w:t>
      </w:r>
    </w:p>
    <w:p>
      <w:pPr>
        <w:pStyle w:val="Heading5"/>
      </w:pPr>
      <w:bookmarkStart w:id="74" w:name="_Toc85638742"/>
      <w:r>
        <w:rPr>
          <w:rStyle w:val="CharSectno"/>
        </w:rPr>
        <w:t>35AA</w:t>
      </w:r>
      <w:r>
        <w:t>.</w:t>
      </w:r>
      <w:r>
        <w:tab/>
        <w:t>FES Commissioner may make bush fire risk treatment standards</w:t>
      </w:r>
      <w:bookmarkEnd w:id="74"/>
    </w:p>
    <w:p>
      <w:pPr>
        <w:pStyle w:val="Subsection"/>
      </w:pPr>
      <w:r>
        <w:tab/>
        <w:t>(1)</w:t>
      </w:r>
      <w:r>
        <w:tab/>
        <w:t>The FES Commissioner may make standards (</w:t>
      </w:r>
      <w:r>
        <w:rPr>
          <w:rStyle w:val="CharDefText"/>
        </w:rPr>
        <w:t>bush fire risk treatment standards</w:t>
      </w:r>
      <w:r>
        <w:t xml:space="preserve">) specifying measures for — </w:t>
      </w:r>
    </w:p>
    <w:p>
      <w:pPr>
        <w:pStyle w:val="Defpara"/>
      </w:pPr>
      <w:r>
        <w:tab/>
        <w:t>(a)</w:t>
      </w:r>
      <w:r>
        <w:tab/>
        <w:t>preventing the outbreak of a bush fire or the spread or extension of a bush fire; and</w:t>
      </w:r>
    </w:p>
    <w:p>
      <w:pPr>
        <w:pStyle w:val="Defpara"/>
      </w:pPr>
      <w:r>
        <w:tab/>
        <w:t>(b)</w:t>
      </w:r>
      <w:r>
        <w:tab/>
        <w:t>mitigating the effects of a bush fire on any property.</w:t>
      </w:r>
    </w:p>
    <w:p>
      <w:pPr>
        <w:pStyle w:val="Subsection"/>
      </w:pPr>
      <w:r>
        <w:tab/>
        <w:t>(2)</w:t>
      </w:r>
      <w:r>
        <w:tab/>
        <w:t xml:space="preserve">The measures that may be specified in bush fire risk treatment standards are — </w:t>
      </w:r>
    </w:p>
    <w:p>
      <w:pPr>
        <w:pStyle w:val="Indenta"/>
      </w:pPr>
      <w:r>
        <w:tab/>
        <w:t>(a)</w:t>
      </w:r>
      <w:r>
        <w:tab/>
        <w:t>all or any of the things mentioned in section 33(1)(a) and (b); and</w:t>
      </w:r>
    </w:p>
    <w:p>
      <w:pPr>
        <w:pStyle w:val="Indenta"/>
      </w:pPr>
      <w:r>
        <w:tab/>
        <w:t>(b)</w:t>
      </w:r>
      <w:r>
        <w:tab/>
        <w:t>any other measures the FES Commissioner considers appropriate.</w:t>
      </w:r>
    </w:p>
    <w:p>
      <w:pPr>
        <w:pStyle w:val="Subsection"/>
      </w:pPr>
      <w:r>
        <w:tab/>
        <w:t>(3)</w:t>
      </w:r>
      <w:r>
        <w:tab/>
        <w:t xml:space="preserve">Bush fire risk treatment standards may apply to — </w:t>
      </w:r>
    </w:p>
    <w:p>
      <w:pPr>
        <w:pStyle w:val="Indenta"/>
      </w:pPr>
      <w:r>
        <w:tab/>
        <w:t>(a)</w:t>
      </w:r>
      <w:r>
        <w:tab/>
        <w:t>the whole of the State; or</w:t>
      </w:r>
    </w:p>
    <w:p>
      <w:pPr>
        <w:pStyle w:val="Indenta"/>
      </w:pPr>
      <w:r>
        <w:tab/>
        <w:t>(b)</w:t>
      </w:r>
      <w:r>
        <w:tab/>
        <w:t>one or more specified areas of the State.</w:t>
      </w:r>
    </w:p>
    <w:p>
      <w:pPr>
        <w:pStyle w:val="Subsection"/>
      </w:pPr>
      <w:r>
        <w:tab/>
        <w:t>(4)</w:t>
      </w:r>
      <w:r>
        <w:tab/>
        <w:t>The FES Commissioner may amend bush fire risk treatment standards or revoke them and make new bush fire risk treatment standards.</w:t>
      </w:r>
    </w:p>
    <w:p>
      <w:pPr>
        <w:pStyle w:val="Subsection"/>
      </w:pPr>
      <w:r>
        <w:lastRenderedPageBreak/>
        <w:tab/>
        <w:t>(5)</w:t>
      </w:r>
      <w:r>
        <w:tab/>
        <w:t xml:space="preserve">If the FES Commissioner makes bush fire risk treatment standards, the FES Commissioner must publish those standards and any amendment or revocation of them — </w:t>
      </w:r>
    </w:p>
    <w:p>
      <w:pPr>
        <w:pStyle w:val="Indenta"/>
      </w:pPr>
      <w:r>
        <w:tab/>
        <w:t>(a)</w:t>
      </w:r>
      <w:r>
        <w:tab/>
        <w:t>in a newspaper circulating throughout the State or the relevant areas of the State, as the case requires; or</w:t>
      </w:r>
    </w:p>
    <w:p>
      <w:pPr>
        <w:pStyle w:val="Indenta"/>
      </w:pPr>
      <w:r>
        <w:tab/>
        <w:t>(b)</w:t>
      </w:r>
      <w:r>
        <w:tab/>
        <w:t>on a website maintained by the FES Commissioner; or</w:t>
      </w:r>
    </w:p>
    <w:p>
      <w:pPr>
        <w:pStyle w:val="Indenta"/>
      </w:pPr>
      <w:r>
        <w:tab/>
        <w:t>(c)</w:t>
      </w:r>
      <w:r>
        <w:tab/>
        <w:t>as the FES Commissioner otherwise considers appropriate.</w:t>
      </w:r>
    </w:p>
    <w:p>
      <w:pPr>
        <w:pStyle w:val="Subsection"/>
      </w:pPr>
      <w:r>
        <w:tab/>
        <w:t>(6)</w:t>
      </w:r>
      <w:r>
        <w:tab/>
        <w:t>The FES Commissioner must consult with the Minister before making, amending or revoking any bush fire risk treatment standards.</w:t>
      </w:r>
    </w:p>
    <w:p>
      <w:pPr>
        <w:pStyle w:val="Subsection"/>
      </w:pPr>
      <w:r>
        <w:tab/>
        <w:t>(7)</w:t>
      </w:r>
      <w:r>
        <w:tab/>
        <w:t xml:space="preserve">The </w:t>
      </w:r>
      <w:r>
        <w:rPr>
          <w:i/>
        </w:rPr>
        <w:t>Interpretation Act 1984</w:t>
      </w:r>
      <w:r>
        <w:t xml:space="preserve"> section 42 applies to and in relation to the bush fire risk treatment standards as if they were regulations.</w:t>
      </w:r>
    </w:p>
    <w:p>
      <w:pPr>
        <w:pStyle w:val="Footnotesection"/>
      </w:pPr>
      <w:r>
        <w:tab/>
        <w:t>[Section 35AA inserted: No. 27 of 2016 s. 4.]</w:t>
      </w:r>
    </w:p>
    <w:p>
      <w:pPr>
        <w:pStyle w:val="Heading5"/>
      </w:pPr>
      <w:bookmarkStart w:id="75" w:name="_Toc85638743"/>
      <w:r>
        <w:rPr>
          <w:rStyle w:val="CharSectno"/>
        </w:rPr>
        <w:t>35AB</w:t>
      </w:r>
      <w:r>
        <w:t>.</w:t>
      </w:r>
      <w:r>
        <w:tab/>
        <w:t>Compliance with bush fire risk treatment standards</w:t>
      </w:r>
      <w:bookmarkEnd w:id="75"/>
    </w:p>
    <w:p>
      <w:pPr>
        <w:pStyle w:val="Subsection"/>
      </w:pPr>
      <w:r>
        <w:tab/>
        <w:t>(1)</w:t>
      </w:r>
      <w:r>
        <w:tab/>
        <w:t xml:space="preserve">In this section — </w:t>
      </w:r>
    </w:p>
    <w:p>
      <w:pPr>
        <w:pStyle w:val="Defstart"/>
      </w:pPr>
      <w:r>
        <w:tab/>
      </w:r>
      <w:r>
        <w:rPr>
          <w:rStyle w:val="CharDefText"/>
        </w:rPr>
        <w:t>bush fire risk treatment standards</w:t>
      </w:r>
      <w:r>
        <w:t xml:space="preserve"> means bush fire risk treatment standards published under section 35AA(5);</w:t>
      </w:r>
    </w:p>
    <w:p>
      <w:pPr>
        <w:pStyle w:val="Defstart"/>
      </w:pPr>
      <w:r>
        <w:tab/>
      </w:r>
      <w:r>
        <w:rPr>
          <w:rStyle w:val="CharDefText"/>
        </w:rPr>
        <w:t>owner or occupier of land</w:t>
      </w:r>
      <w:r>
        <w:t xml:space="preserve"> includes a department of the Public Service that occupies land or a State agency or instrumentality that owns or occupies land.</w:t>
      </w:r>
    </w:p>
    <w:p>
      <w:pPr>
        <w:pStyle w:val="Subsection"/>
      </w:pPr>
      <w:r>
        <w:tab/>
        <w:t>(2)</w:t>
      </w:r>
      <w:r>
        <w:tab/>
        <w:t>An owner or occupier of land may comply with bush fire risk treatment standards that apply to the land, but is not required to do so.</w:t>
      </w:r>
    </w:p>
    <w:p>
      <w:pPr>
        <w:pStyle w:val="Subsection"/>
      </w:pPr>
      <w:r>
        <w:tab/>
        <w:t>(3)</w:t>
      </w:r>
      <w:r>
        <w:tab/>
        <w:t xml:space="preserve">Subsection (2) does not authorise an owner or occupier of land to comply with bush fire risk treatment standards that apply to the land if that compliance would result in the owner or occupier failing to comply with — </w:t>
      </w:r>
    </w:p>
    <w:p>
      <w:pPr>
        <w:pStyle w:val="Indenta"/>
      </w:pPr>
      <w:r>
        <w:tab/>
        <w:t>(a)</w:t>
      </w:r>
      <w:r>
        <w:tab/>
        <w:t>another provision of this Act that has effect in relation to the land; or</w:t>
      </w:r>
    </w:p>
    <w:p>
      <w:pPr>
        <w:pStyle w:val="Indenta"/>
      </w:pPr>
      <w:r>
        <w:lastRenderedPageBreak/>
        <w:tab/>
        <w:t>(b)</w:t>
      </w:r>
      <w:r>
        <w:tab/>
        <w:t>a provision of another written law that has effect in relation to the land and that is prescribed by the regulations for the purposes of this subsection; or</w:t>
      </w:r>
    </w:p>
    <w:p>
      <w:pPr>
        <w:pStyle w:val="Indenta"/>
      </w:pPr>
      <w:r>
        <w:tab/>
        <w:t>(c)</w:t>
      </w:r>
      <w:r>
        <w:tab/>
        <w:t>local laws referred to in section 33(5a) that apply to the land.</w:t>
      </w:r>
    </w:p>
    <w:p>
      <w:pPr>
        <w:pStyle w:val="Subsection"/>
      </w:pPr>
      <w:r>
        <w:tab/>
        <w:t>(4)</w:t>
      </w:r>
      <w:r>
        <w:tab/>
        <w:t>Except as provided in subsection (3), an owner or occupier of land may comply with bush fire risk treatment standards that apply to the land despite any other written law.</w:t>
      </w:r>
    </w:p>
    <w:p>
      <w:pPr>
        <w:pStyle w:val="Footnotesection"/>
      </w:pPr>
      <w:r>
        <w:tab/>
        <w:t>[Section 35AB inserted: No. 27 of 2016 s. 4.]</w:t>
      </w:r>
    </w:p>
    <w:p>
      <w:pPr>
        <w:pStyle w:val="Heading2"/>
      </w:pPr>
      <w:bookmarkStart w:id="76" w:name="_Toc85616502"/>
      <w:bookmarkStart w:id="77" w:name="_Toc85616602"/>
      <w:bookmarkStart w:id="78" w:name="_Toc85638744"/>
      <w:r>
        <w:rPr>
          <w:rStyle w:val="CharPartNo"/>
        </w:rPr>
        <w:lastRenderedPageBreak/>
        <w:t>Part IV</w:t>
      </w:r>
      <w:r>
        <w:t> — </w:t>
      </w:r>
      <w:r>
        <w:rPr>
          <w:rStyle w:val="CharPartText"/>
        </w:rPr>
        <w:t>Control and extinguishment of bush fires</w:t>
      </w:r>
      <w:bookmarkEnd w:id="76"/>
      <w:bookmarkEnd w:id="77"/>
      <w:bookmarkEnd w:id="78"/>
    </w:p>
    <w:p>
      <w:pPr>
        <w:pStyle w:val="Heading3"/>
      </w:pPr>
      <w:bookmarkStart w:id="79" w:name="_Toc85616503"/>
      <w:bookmarkStart w:id="80" w:name="_Toc85616603"/>
      <w:bookmarkStart w:id="81" w:name="_Toc85638745"/>
      <w:r>
        <w:rPr>
          <w:rStyle w:val="CharDivNo"/>
        </w:rPr>
        <w:t>Division 1</w:t>
      </w:r>
      <w:r>
        <w:rPr>
          <w:snapToGrid w:val="0"/>
        </w:rPr>
        <w:t> — </w:t>
      </w:r>
      <w:r>
        <w:rPr>
          <w:rStyle w:val="CharDivText"/>
        </w:rPr>
        <w:t>Local governments</w:t>
      </w:r>
      <w:bookmarkEnd w:id="79"/>
      <w:bookmarkEnd w:id="80"/>
      <w:bookmarkEnd w:id="81"/>
    </w:p>
    <w:p>
      <w:pPr>
        <w:pStyle w:val="Footnoteheading"/>
        <w:ind w:left="890"/>
        <w:rPr>
          <w:snapToGrid w:val="0"/>
        </w:rPr>
      </w:pPr>
      <w:r>
        <w:rPr>
          <w:snapToGrid w:val="0"/>
        </w:rPr>
        <w:tab/>
        <w:t>[Heading amended: No. 14 of 1996 s. 4.]</w:t>
      </w:r>
    </w:p>
    <w:p>
      <w:pPr>
        <w:pStyle w:val="Heading5"/>
        <w:rPr>
          <w:snapToGrid w:val="0"/>
        </w:rPr>
      </w:pPr>
      <w:bookmarkStart w:id="82" w:name="_Toc85638746"/>
      <w:r>
        <w:rPr>
          <w:rStyle w:val="CharSectno"/>
        </w:rPr>
        <w:t>35A</w:t>
      </w:r>
      <w:r>
        <w:rPr>
          <w:snapToGrid w:val="0"/>
        </w:rPr>
        <w:t>.</w:t>
      </w:r>
      <w:r>
        <w:rPr>
          <w:snapToGrid w:val="0"/>
        </w:rPr>
        <w:tab/>
        <w:t>Terms used</w:t>
      </w:r>
      <w:bookmarkEnd w:id="82"/>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34(2) or 35(1) or a local law made under section 33(5a);</w:t>
      </w:r>
    </w:p>
    <w:p>
      <w:pPr>
        <w:pStyle w:val="Defpara"/>
      </w:pPr>
      <w:r>
        <w:tab/>
        <w:t>(d)</w:t>
      </w:r>
      <w:r>
        <w:tab/>
        <w:t>demonstrations, exercises, fundraising, promotions, public education, competitions or a training process for volunteers;</w:t>
      </w:r>
    </w:p>
    <w:p>
      <w:pPr>
        <w:pStyle w:val="Defpara"/>
      </w:pPr>
      <w:r>
        <w:lastRenderedPageBreak/>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No. 60 of 1992 s. 18; amended: No. 14 of 1996 s. 4; No. 27 of 2016 s. 5, No. 28 of 2016 s. 4.]</w:t>
      </w:r>
    </w:p>
    <w:p>
      <w:pPr>
        <w:pStyle w:val="Heading5"/>
        <w:rPr>
          <w:snapToGrid w:val="0"/>
        </w:rPr>
      </w:pPr>
      <w:bookmarkStart w:id="83" w:name="_Toc85638747"/>
      <w:r>
        <w:rPr>
          <w:rStyle w:val="CharSectno"/>
        </w:rPr>
        <w:t>36</w:t>
      </w:r>
      <w:r>
        <w:rPr>
          <w:snapToGrid w:val="0"/>
        </w:rPr>
        <w:t>.</w:t>
      </w:r>
      <w:r>
        <w:rPr>
          <w:snapToGrid w:val="0"/>
        </w:rPr>
        <w:tab/>
        <w:t>Local government may expend moneys in connection with control and extinguishment of bush fires</w:t>
      </w:r>
      <w:bookmarkEnd w:id="83"/>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lastRenderedPageBreak/>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No. 11 of 1963 s. 17; No. 51 of 1979 s. 5; No. 60 of 1992 s. 19; No. 14 of 1996 s. 4; No. 57 of 1997 s. 26(2).]</w:t>
      </w:r>
    </w:p>
    <w:p>
      <w:pPr>
        <w:pStyle w:val="Ednotesection"/>
        <w:rPr>
          <w:b/>
        </w:rPr>
      </w:pPr>
      <w:r>
        <w:t>[</w:t>
      </w:r>
      <w:r>
        <w:rPr>
          <w:b/>
        </w:rPr>
        <w:t>37.</w:t>
      </w:r>
      <w:r>
        <w:tab/>
        <w:t>Deleted: No. 28 of 2016 s. 5.]</w:t>
      </w:r>
    </w:p>
    <w:p>
      <w:pPr>
        <w:pStyle w:val="Heading5"/>
        <w:spacing w:before="240"/>
        <w:rPr>
          <w:snapToGrid w:val="0"/>
        </w:rPr>
      </w:pPr>
      <w:bookmarkStart w:id="84" w:name="_Toc85638748"/>
      <w:r>
        <w:rPr>
          <w:rStyle w:val="CharSectno"/>
        </w:rPr>
        <w:t>38</w:t>
      </w:r>
      <w:r>
        <w:rPr>
          <w:snapToGrid w:val="0"/>
        </w:rPr>
        <w:t>.</w:t>
      </w:r>
      <w:r>
        <w:rPr>
          <w:snapToGrid w:val="0"/>
        </w:rPr>
        <w:tab/>
        <w:t>Local government may appoint bush fire control officer</w:t>
      </w:r>
      <w:bookmarkEnd w:id="84"/>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lastRenderedPageBreak/>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r>
        <w:t>FES Commissioner</w:t>
      </w:r>
      <w:r>
        <w:rPr>
          <w:snapToGrid w:val="0"/>
        </w:rPr>
        <w:t xml:space="preserve">, by the </w:t>
      </w:r>
      <w:r>
        <w:t>FES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lastRenderedPageBreak/>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lastRenderedPageBreak/>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 xml:space="preserve">An approved local government may appoint a committee for the purpose of advising and assisting a fire weather officer or any deputy of a fire weather officer acting in the place of that officer under </w:t>
      </w:r>
      <w:r>
        <w:t>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lastRenderedPageBreak/>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(a)</w:t>
      </w:r>
      <w:r>
        <w:tab/>
        <w:t>during the prohibited burning times; or</w:t>
      </w:r>
    </w:p>
    <w:p>
      <w:pPr>
        <w:pStyle w:val="Indenta"/>
        <w:rPr>
          <w:snapToGrid w:val="0"/>
        </w:rPr>
      </w:pPr>
      <w:r>
        <w:tab/>
        <w:t>(b)</w:t>
      </w:r>
      <w:r>
        <w:tab/>
        <w:t>during the period in which, and in the area of the State in respect of which, a total fire ban is declared under section 22A to have effect.</w:t>
      </w:r>
    </w:p>
    <w:p>
      <w:pPr>
        <w:pStyle w:val="Footnotesection"/>
        <w:spacing w:before="80"/>
        <w:ind w:left="890" w:hanging="890"/>
      </w:pPr>
      <w:r>
        <w:tab/>
        <w:t>[Section 38 amended: No. 35 of 1957 s. 7; No. 20 of 1958 s. 2; No. 11 of 1963 s. 18; No. 67 of 1970 s. 4; No. 65 of 1977 s. 36; No. 51 of 1979 s. 4; No. 60 of 1992 s. 21; No. 14 of 1996 s. 4; No. 10 of 1998 s. 20(2); No. 42 of 1998 s. 16; No. 38 of 2002 s. 29; No. 25 of 2009 s. 12; No. 19 of 2010 s. 52(4); No. 22 of 2012 s. 60 and 69; No. 17 of 2014 s. 17(2) and (3).]</w:t>
      </w:r>
    </w:p>
    <w:p>
      <w:pPr>
        <w:pStyle w:val="Heading5"/>
        <w:spacing w:before="180"/>
      </w:pPr>
      <w:bookmarkStart w:id="85" w:name="_Toc85638749"/>
      <w:r>
        <w:rPr>
          <w:rStyle w:val="CharSectno"/>
        </w:rPr>
        <w:t>38A</w:t>
      </w:r>
      <w:r>
        <w:t>.</w:t>
      </w:r>
      <w:r>
        <w:tab/>
        <w:t>FES Commissioner may designate person employed in Department as Chief Bush Fire Control Officer</w:t>
      </w:r>
      <w:bookmarkEnd w:id="85"/>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lastRenderedPageBreak/>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spacing w:before="80"/>
        <w:ind w:left="890" w:hanging="890"/>
      </w:pPr>
      <w:r>
        <w:tab/>
        <w:t>[Section 38A inserted: No. 38 of 2002 s. 30; amended: No. 19 of 2010 s. 52(4); No. 22 of 2012 s. 61 and 69.]</w:t>
      </w:r>
    </w:p>
    <w:p>
      <w:pPr>
        <w:pStyle w:val="Heading5"/>
        <w:rPr>
          <w:snapToGrid w:val="0"/>
        </w:rPr>
      </w:pPr>
      <w:bookmarkStart w:id="86" w:name="_Toc85638750"/>
      <w:r>
        <w:rPr>
          <w:rStyle w:val="CharSectno"/>
        </w:rPr>
        <w:t>39</w:t>
      </w:r>
      <w:r>
        <w:rPr>
          <w:snapToGrid w:val="0"/>
        </w:rPr>
        <w:t>.</w:t>
      </w:r>
      <w:r>
        <w:rPr>
          <w:snapToGrid w:val="0"/>
        </w:rPr>
        <w:tab/>
        <w:t>Special powers of bush fire control officers</w:t>
      </w:r>
      <w:bookmarkEnd w:id="86"/>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 xml:space="preserve">breaks to be ploughed or cleared on land, whether private land or not, and take such other appropriate measures on the land as he may deem </w:t>
      </w:r>
      <w:r>
        <w:rPr>
          <w:snapToGrid w:val="0"/>
        </w:rPr>
        <w:lastRenderedPageBreak/>
        <w:t>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20"/>
      </w:pPr>
      <w:r>
        <w:tab/>
        <w:t>[(2)</w:t>
      </w:r>
      <w:r>
        <w:tab/>
        <w:t>deleted]</w:t>
      </w:r>
    </w:p>
    <w:p>
      <w:pPr>
        <w:pStyle w:val="Footnotesection"/>
        <w:ind w:left="890" w:hanging="890"/>
      </w:pPr>
      <w:r>
        <w:tab/>
        <w:t>[Section 39 amended: No. 11 of 1963 s. 19; No. 51 of 1979 s. 5; No. 8 of 1987 s. 4; No. 14 of 1996 s. 4; No. 38 of 2002 s. 31 and 40; No. 25 of 2009 s. 13; No. 22 of 2012 s. 62.]</w:t>
      </w:r>
    </w:p>
    <w:p>
      <w:pPr>
        <w:pStyle w:val="Heading5"/>
        <w:rPr>
          <w:snapToGrid w:val="0"/>
        </w:rPr>
      </w:pPr>
      <w:bookmarkStart w:id="87" w:name="_Toc85638751"/>
      <w:r>
        <w:rPr>
          <w:rStyle w:val="CharSectno"/>
        </w:rPr>
        <w:lastRenderedPageBreak/>
        <w:t>39A</w:t>
      </w:r>
      <w:r>
        <w:rPr>
          <w:snapToGrid w:val="0"/>
        </w:rPr>
        <w:t>.</w:t>
      </w:r>
      <w:r>
        <w:rPr>
          <w:snapToGrid w:val="0"/>
        </w:rPr>
        <w:tab/>
        <w:t>Duties of bush fire authorities on outbreak of fire</w:t>
      </w:r>
      <w:bookmarkEnd w:id="87"/>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[Section 39A inserted: No. 35 of 1957 s. 8; amended: No. 51 of 1979 s. 5; No. 14 of 1996 s. 4.]</w:t>
      </w:r>
    </w:p>
    <w:p>
      <w:pPr>
        <w:pStyle w:val="Heading5"/>
        <w:spacing w:before="280"/>
        <w:rPr>
          <w:snapToGrid w:val="0"/>
        </w:rPr>
      </w:pPr>
      <w:bookmarkStart w:id="88" w:name="_Toc85638752"/>
      <w:r>
        <w:rPr>
          <w:rStyle w:val="CharSectno"/>
        </w:rPr>
        <w:t>40</w:t>
      </w:r>
      <w:r>
        <w:rPr>
          <w:snapToGrid w:val="0"/>
        </w:rPr>
        <w:t>.</w:t>
      </w:r>
      <w:r>
        <w:rPr>
          <w:snapToGrid w:val="0"/>
        </w:rPr>
        <w:tab/>
        <w:t>Local governments may join in appointing and employing bush fire control officers</w:t>
      </w:r>
      <w:bookmarkEnd w:id="88"/>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lastRenderedPageBreak/>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No. 14 of 1996 s. 4.]</w:t>
      </w:r>
    </w:p>
    <w:p>
      <w:pPr>
        <w:pStyle w:val="Heading3"/>
        <w:keepNext w:val="0"/>
      </w:pPr>
      <w:bookmarkStart w:id="89" w:name="_Toc85616511"/>
      <w:bookmarkStart w:id="90" w:name="_Toc85616611"/>
      <w:bookmarkStart w:id="91" w:name="_Toc85638753"/>
      <w:r>
        <w:rPr>
          <w:rStyle w:val="CharDivNo"/>
        </w:rPr>
        <w:t>Division 2</w:t>
      </w:r>
      <w:r>
        <w:rPr>
          <w:snapToGrid w:val="0"/>
        </w:rPr>
        <w:t> — </w:t>
      </w:r>
      <w:r>
        <w:rPr>
          <w:rStyle w:val="CharDivText"/>
        </w:rPr>
        <w:t>Bush fire brigades</w:t>
      </w:r>
      <w:bookmarkEnd w:id="89"/>
      <w:bookmarkEnd w:id="90"/>
      <w:bookmarkEnd w:id="91"/>
    </w:p>
    <w:p>
      <w:pPr>
        <w:pStyle w:val="Heading5"/>
        <w:spacing w:before="280"/>
        <w:rPr>
          <w:snapToGrid w:val="0"/>
        </w:rPr>
      </w:pPr>
      <w:bookmarkStart w:id="92" w:name="_Toc85638754"/>
      <w:r>
        <w:rPr>
          <w:rStyle w:val="CharSectno"/>
        </w:rPr>
        <w:t>41</w:t>
      </w:r>
      <w:r>
        <w:rPr>
          <w:snapToGrid w:val="0"/>
        </w:rPr>
        <w:t>.</w:t>
      </w:r>
      <w:r>
        <w:rPr>
          <w:snapToGrid w:val="0"/>
        </w:rPr>
        <w:tab/>
        <w:t>Bush fire brigades</w:t>
      </w:r>
      <w:bookmarkEnd w:id="92"/>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No. 65 of 1977 s. 37; amended: No. 60 of 1992 s. 22; No. 14 of 1996 s. 4; No. 38 of 2002 s. 32; No. 22 of 2012 s. 69.]</w:t>
      </w:r>
    </w:p>
    <w:p>
      <w:pPr>
        <w:pStyle w:val="Heading5"/>
        <w:spacing w:before="200"/>
        <w:rPr>
          <w:snapToGrid w:val="0"/>
        </w:rPr>
      </w:pPr>
      <w:bookmarkStart w:id="93" w:name="_Toc85638755"/>
      <w:r>
        <w:rPr>
          <w:rStyle w:val="CharSectno"/>
        </w:rPr>
        <w:t>42</w:t>
      </w:r>
      <w:r>
        <w:rPr>
          <w:snapToGrid w:val="0"/>
        </w:rPr>
        <w:t>.</w:t>
      </w:r>
      <w:r>
        <w:rPr>
          <w:snapToGrid w:val="0"/>
        </w:rPr>
        <w:tab/>
        <w:t>Local governments may join in establishing bush fire brigade</w:t>
      </w:r>
      <w:bookmarkEnd w:id="93"/>
    </w:p>
    <w:p>
      <w:pPr>
        <w:pStyle w:val="Subsection"/>
        <w:rPr>
          <w:snapToGrid w:val="0"/>
        </w:rPr>
      </w:pPr>
      <w:r>
        <w:rPr>
          <w:snapToGrid w:val="0"/>
        </w:rPr>
        <w:tab/>
        <w:t>(1)</w:t>
      </w:r>
      <w:r>
        <w:rPr>
          <w:snapToGrid w:val="0"/>
        </w:rPr>
        <w:tab/>
        <w:t xml:space="preserve">Two or more local governments may by agreement join in establishing, maintaining, and equipping with appliances, equipment and apparatus, a bush fire brigade to act as the bush </w:t>
      </w:r>
      <w:r>
        <w:rPr>
          <w:snapToGrid w:val="0"/>
        </w:rPr>
        <w:lastRenderedPageBreak/>
        <w:t>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No. 14 of 1996 s. 4; No. 38 of 2002 s. 33.]</w:t>
      </w:r>
    </w:p>
    <w:p>
      <w:pPr>
        <w:pStyle w:val="Heading5"/>
      </w:pPr>
      <w:bookmarkStart w:id="94" w:name="_Toc85638756"/>
      <w:r>
        <w:rPr>
          <w:rStyle w:val="CharSectno"/>
        </w:rPr>
        <w:t>42A</w:t>
      </w:r>
      <w:r>
        <w:t>.</w:t>
      </w:r>
      <w:r>
        <w:tab/>
        <w:t>Constitution of bush fire brigade</w:t>
      </w:r>
      <w:bookmarkEnd w:id="94"/>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No. 38 of 2002 s. 34.]</w:t>
      </w:r>
    </w:p>
    <w:p>
      <w:pPr>
        <w:pStyle w:val="Heading5"/>
        <w:rPr>
          <w:snapToGrid w:val="0"/>
        </w:rPr>
      </w:pPr>
      <w:bookmarkStart w:id="95" w:name="_Toc85638757"/>
      <w:r>
        <w:rPr>
          <w:rStyle w:val="CharSectno"/>
        </w:rPr>
        <w:t>43</w:t>
      </w:r>
      <w:r>
        <w:rPr>
          <w:snapToGrid w:val="0"/>
        </w:rPr>
        <w:t>.</w:t>
      </w:r>
      <w:r>
        <w:rPr>
          <w:snapToGrid w:val="0"/>
        </w:rPr>
        <w:tab/>
        <w:t>Election and duties of officers of bush fire brigades</w:t>
      </w:r>
      <w:bookmarkEnd w:id="95"/>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No. 51 of 1979 s. 5; No. 14 of 1996 s. 4.]</w:t>
      </w:r>
    </w:p>
    <w:p>
      <w:pPr>
        <w:pStyle w:val="Heading5"/>
        <w:rPr>
          <w:snapToGrid w:val="0"/>
        </w:rPr>
      </w:pPr>
      <w:bookmarkStart w:id="96" w:name="_Toc85638758"/>
      <w:r>
        <w:rPr>
          <w:rStyle w:val="CharSectno"/>
        </w:rPr>
        <w:t>44</w:t>
      </w:r>
      <w:r>
        <w:rPr>
          <w:snapToGrid w:val="0"/>
        </w:rPr>
        <w:t>.</w:t>
      </w:r>
      <w:r>
        <w:rPr>
          <w:snapToGrid w:val="0"/>
        </w:rPr>
        <w:tab/>
        <w:t>Powers and authorities of officers of bush fire brigade</w:t>
      </w:r>
      <w:bookmarkEnd w:id="96"/>
    </w:p>
    <w:p>
      <w:pPr>
        <w:pStyle w:val="Subsection"/>
        <w:keepNext/>
        <w:rPr>
          <w:snapToGrid w:val="0"/>
        </w:rPr>
      </w:pPr>
      <w:r>
        <w:rPr>
          <w:snapToGrid w:val="0"/>
        </w:rPr>
        <w:tab/>
        <w:t>(1)</w:t>
      </w:r>
      <w:r>
        <w:rPr>
          <w:snapToGrid w:val="0"/>
        </w:rPr>
        <w:tab/>
        <w:t xml:space="preserve">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w:t>
      </w:r>
      <w:r>
        <w:rPr>
          <w:snapToGrid w:val="0"/>
        </w:rPr>
        <w:lastRenderedPageBreak/>
        <w:t>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lastRenderedPageBreak/>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tab/>
        <w:t>(3)</w:t>
      </w:r>
      <w:r>
        <w:tab/>
        <w:t>Subject</w:t>
      </w:r>
      <w:r>
        <w:rPr>
          <w:snapToGrid w:val="0"/>
        </w:rPr>
        <w:t xml:space="preserve"> </w:t>
      </w:r>
      <w:r>
        <w:t>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No. 35 of 1957 s. 9; No. 14 of 1996 s. 4; No. 25 of 2009 s. 14; No. 19 of 2010 s. 52(4); No. 17 of 2014 s. 17(4).]</w:t>
      </w:r>
    </w:p>
    <w:p>
      <w:pPr>
        <w:pStyle w:val="Heading5"/>
      </w:pPr>
      <w:bookmarkStart w:id="97" w:name="_Toc85638759"/>
      <w:r>
        <w:rPr>
          <w:rStyle w:val="CharSectno"/>
        </w:rPr>
        <w:lastRenderedPageBreak/>
        <w:t>45A</w:t>
      </w:r>
      <w:r>
        <w:t>.</w:t>
      </w:r>
      <w:r>
        <w:tab/>
        <w:t>Requests to authorised CALM Act officers to take control of bush fires</w:t>
      </w:r>
      <w:bookmarkEnd w:id="97"/>
    </w:p>
    <w:p>
      <w:pPr>
        <w:pStyle w:val="Subsection"/>
        <w:keepNext/>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No. 25 of 2009 s. 15; amended: No. 22 of 2012 s. 69.]</w:t>
      </w:r>
    </w:p>
    <w:p>
      <w:pPr>
        <w:pStyle w:val="Heading5"/>
        <w:spacing w:before="200"/>
        <w:rPr>
          <w:snapToGrid w:val="0"/>
        </w:rPr>
      </w:pPr>
      <w:bookmarkStart w:id="98" w:name="_Toc85638760"/>
      <w:r>
        <w:rPr>
          <w:rStyle w:val="CharSectno"/>
        </w:rPr>
        <w:t>45</w:t>
      </w:r>
      <w:r>
        <w:rPr>
          <w:snapToGrid w:val="0"/>
        </w:rPr>
        <w:t>.</w:t>
      </w:r>
      <w:r>
        <w:rPr>
          <w:snapToGrid w:val="0"/>
        </w:rPr>
        <w:tab/>
        <w:t>Powers and authorities exercisable by authorised CALM Act officers</w:t>
      </w:r>
      <w:bookmarkEnd w:id="98"/>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lastRenderedPageBreak/>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lastRenderedPageBreak/>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No. 11 of 1963 s. 20; No. 8 of 1987 s. 5; No. 38 of 2002 s. 40(1); No. 25 of 2009 s. 16; No. 22 of 2012 s. 69.]</w:t>
      </w:r>
    </w:p>
    <w:p>
      <w:pPr>
        <w:pStyle w:val="Heading5"/>
        <w:rPr>
          <w:snapToGrid w:val="0"/>
        </w:rPr>
      </w:pPr>
      <w:bookmarkStart w:id="99" w:name="_Toc85638761"/>
      <w:r>
        <w:rPr>
          <w:rStyle w:val="CharSectno"/>
        </w:rPr>
        <w:t>46</w:t>
      </w:r>
      <w:r>
        <w:rPr>
          <w:snapToGrid w:val="0"/>
        </w:rPr>
        <w:t>.</w:t>
      </w:r>
      <w:r>
        <w:rPr>
          <w:snapToGrid w:val="0"/>
        </w:rPr>
        <w:tab/>
        <w:t>Bush fire control officer or forest officer may postpone lighting fire</w:t>
      </w:r>
      <w:bookmarkEnd w:id="99"/>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 xml:space="preserve">where a fire is burning on land and the bush fire control officer or the local government as the case may be is of the opinion that the fire is in danger of escaping from that land, he or it may direct that all reasonable steps be </w:t>
      </w:r>
      <w:r>
        <w:rPr>
          <w:snapToGrid w:val="0"/>
        </w:rPr>
        <w:lastRenderedPageBreak/>
        <w:t>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No. 11 of 1963 s. 21; No. 113 of 1965 s. 8(1); No. 94 of 1972 s. 4 (as amended: No. 83 of 1973 s. 3); No. 65 of 1977 s. 48; No. 8 of 1987 s. 8; No. 78 of 1995 s. 147; No. 14 of 1996 s. 4; No. 38 of 2002 s. 39 and 40(1); No. 19 of 2010 s. 52(4).]</w:t>
      </w:r>
    </w:p>
    <w:p>
      <w:pPr>
        <w:pStyle w:val="Heading5"/>
        <w:rPr>
          <w:snapToGrid w:val="0"/>
        </w:rPr>
      </w:pPr>
      <w:bookmarkStart w:id="100" w:name="_Toc85638762"/>
      <w:r>
        <w:rPr>
          <w:rStyle w:val="CharSectno"/>
        </w:rPr>
        <w:t>47</w:t>
      </w:r>
      <w:r>
        <w:rPr>
          <w:snapToGrid w:val="0"/>
        </w:rPr>
        <w:t>.</w:t>
      </w:r>
      <w:r>
        <w:rPr>
          <w:snapToGrid w:val="0"/>
        </w:rPr>
        <w:tab/>
        <w:t>Fire</w:t>
      </w:r>
      <w:r>
        <w:rPr>
          <w:snapToGrid w:val="0"/>
        </w:rPr>
        <w:noBreakHyphen/>
        <w:t>break not to be lit when bush fire burning</w:t>
      </w:r>
      <w:bookmarkEnd w:id="100"/>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 xml:space="preserve">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w:t>
      </w:r>
      <w:r>
        <w:rPr>
          <w:snapToGrid w:val="0"/>
        </w:rPr>
        <w:lastRenderedPageBreak/>
        <w:t>absence, a member of the bush fire brigade who is present at the bush fire.</w:t>
      </w:r>
    </w:p>
    <w:p>
      <w:pPr>
        <w:pStyle w:val="Footnotesection"/>
      </w:pPr>
      <w:r>
        <w:tab/>
        <w:t>[Section 47 amended: No. 8 of 1987 s. 6; No. 25 of 2009 s. 17.]</w:t>
      </w:r>
    </w:p>
    <w:p>
      <w:pPr>
        <w:pStyle w:val="Heading2"/>
      </w:pPr>
      <w:bookmarkStart w:id="101" w:name="_Toc85616521"/>
      <w:bookmarkStart w:id="102" w:name="_Toc85616621"/>
      <w:bookmarkStart w:id="103" w:name="_Toc85638763"/>
      <w:r>
        <w:rPr>
          <w:rStyle w:val="CharPartNo"/>
        </w:rPr>
        <w:lastRenderedPageBreak/>
        <w:t>Part V</w:t>
      </w:r>
      <w:r>
        <w:rPr>
          <w:rStyle w:val="CharDivNo"/>
        </w:rPr>
        <w:t> </w:t>
      </w:r>
      <w:r>
        <w:t>—</w:t>
      </w:r>
      <w:r>
        <w:rPr>
          <w:rStyle w:val="CharDivText"/>
        </w:rPr>
        <w:t> </w:t>
      </w:r>
      <w:r>
        <w:rPr>
          <w:rStyle w:val="CharPartText"/>
        </w:rPr>
        <w:t>Miscellaneous</w:t>
      </w:r>
      <w:bookmarkEnd w:id="101"/>
      <w:bookmarkEnd w:id="102"/>
      <w:bookmarkEnd w:id="103"/>
    </w:p>
    <w:p>
      <w:pPr>
        <w:pStyle w:val="Heading5"/>
      </w:pPr>
      <w:bookmarkStart w:id="104" w:name="_Toc85638764"/>
      <w:r>
        <w:rPr>
          <w:rStyle w:val="CharSectno"/>
        </w:rPr>
        <w:t>48</w:t>
      </w:r>
      <w:r>
        <w:t>.</w:t>
      </w:r>
      <w:r>
        <w:tab/>
        <w:t>Delegation by local governments</w:t>
      </w:r>
      <w:bookmarkEnd w:id="104"/>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No. 38 of 2002 s. 35.]</w:t>
      </w:r>
    </w:p>
    <w:p>
      <w:pPr>
        <w:pStyle w:val="Ednotesection"/>
      </w:pPr>
      <w:r>
        <w:t>[</w:t>
      </w:r>
      <w:r>
        <w:rPr>
          <w:b/>
        </w:rPr>
        <w:t>49.</w:t>
      </w:r>
      <w:r>
        <w:tab/>
        <w:t>Deleted: No. 2 of 1996 s. 61.]</w:t>
      </w:r>
    </w:p>
    <w:p>
      <w:pPr>
        <w:pStyle w:val="Heading5"/>
        <w:rPr>
          <w:snapToGrid w:val="0"/>
        </w:rPr>
      </w:pPr>
      <w:bookmarkStart w:id="105" w:name="_Toc85638765"/>
      <w:r>
        <w:rPr>
          <w:rStyle w:val="CharSectno"/>
        </w:rPr>
        <w:t>50</w:t>
      </w:r>
      <w:r>
        <w:rPr>
          <w:snapToGrid w:val="0"/>
        </w:rPr>
        <w:t>.</w:t>
      </w:r>
      <w:r>
        <w:rPr>
          <w:snapToGrid w:val="0"/>
        </w:rPr>
        <w:tab/>
        <w:t>Records to be maintained by local governments</w:t>
      </w:r>
      <w:bookmarkEnd w:id="105"/>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lastRenderedPageBreak/>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No. 113 of 1965 s. 8(1); No. 65 of 1977 s. 39; No. 14 of 1996 s. 4; No. 42 of 1998 s. 16; No. 38 of 2002 s. 39; No. 22 of 2012 s. 69.]</w:t>
      </w:r>
    </w:p>
    <w:p>
      <w:pPr>
        <w:pStyle w:val="Heading5"/>
        <w:rPr>
          <w:snapToGrid w:val="0"/>
        </w:rPr>
      </w:pPr>
      <w:bookmarkStart w:id="106" w:name="_Toc85638766"/>
      <w:r>
        <w:rPr>
          <w:rStyle w:val="CharSectno"/>
        </w:rPr>
        <w:t>51</w:t>
      </w:r>
      <w:r>
        <w:rPr>
          <w:snapToGrid w:val="0"/>
        </w:rPr>
        <w:t>.</w:t>
      </w:r>
      <w:r>
        <w:rPr>
          <w:snapToGrid w:val="0"/>
        </w:rPr>
        <w:tab/>
        <w:t>Saving of remedies</w:t>
      </w:r>
      <w:bookmarkEnd w:id="106"/>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lastRenderedPageBreak/>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No. 42 of 1998 s. 12; No. 22 of 2012 s. 63.]</w:t>
      </w:r>
    </w:p>
    <w:p>
      <w:pPr>
        <w:pStyle w:val="Heading5"/>
        <w:spacing w:before="240"/>
        <w:rPr>
          <w:snapToGrid w:val="0"/>
        </w:rPr>
      </w:pPr>
      <w:bookmarkStart w:id="107" w:name="_Toc85638767"/>
      <w:r>
        <w:rPr>
          <w:rStyle w:val="CharSectno"/>
        </w:rPr>
        <w:t>52</w:t>
      </w:r>
      <w:r>
        <w:rPr>
          <w:snapToGrid w:val="0"/>
        </w:rPr>
        <w:t>.</w:t>
      </w:r>
      <w:r>
        <w:rPr>
          <w:snapToGrid w:val="0"/>
        </w:rPr>
        <w:tab/>
        <w:t>Approved area may be declared</w:t>
      </w:r>
      <w:bookmarkEnd w:id="107"/>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No. 14 of 1996 s. 4.]</w:t>
      </w:r>
    </w:p>
    <w:p>
      <w:pPr>
        <w:pStyle w:val="Heading5"/>
        <w:spacing w:before="240"/>
        <w:rPr>
          <w:snapToGrid w:val="0"/>
        </w:rPr>
      </w:pPr>
      <w:bookmarkStart w:id="108" w:name="_Toc85638768"/>
      <w:r>
        <w:rPr>
          <w:rStyle w:val="CharSectno"/>
        </w:rPr>
        <w:t>53</w:t>
      </w:r>
      <w:r>
        <w:rPr>
          <w:snapToGrid w:val="0"/>
        </w:rPr>
        <w:t>.</w:t>
      </w:r>
      <w:r>
        <w:rPr>
          <w:snapToGrid w:val="0"/>
        </w:rPr>
        <w:tab/>
        <w:t>Reduction in insurance premium of crops in approved area</w:t>
      </w:r>
      <w:bookmarkEnd w:id="108"/>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lastRenderedPageBreak/>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No. 113 of 1965 s. 8(1); No. 65 of 1977 s. 40 and 48; No. 38 of 2002 s. 39.]</w:t>
      </w:r>
    </w:p>
    <w:p>
      <w:pPr>
        <w:pStyle w:val="Heading5"/>
        <w:spacing w:before="240"/>
        <w:rPr>
          <w:snapToGrid w:val="0"/>
        </w:rPr>
      </w:pPr>
      <w:bookmarkStart w:id="109" w:name="_Toc85638769"/>
      <w:r>
        <w:rPr>
          <w:rStyle w:val="CharSectno"/>
        </w:rPr>
        <w:t>54</w:t>
      </w:r>
      <w:r>
        <w:rPr>
          <w:snapToGrid w:val="0"/>
        </w:rPr>
        <w:t>.</w:t>
      </w:r>
      <w:r>
        <w:rPr>
          <w:snapToGrid w:val="0"/>
        </w:rPr>
        <w:tab/>
        <w:t>Approved area may be cancelled</w:t>
      </w:r>
      <w:bookmarkEnd w:id="109"/>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No. 11 of 1963 s. 22; No. 14 of 1996 s. 4; No. 42 of 1998 s. 16; No. 22 of 2012 s. 69.]</w:t>
      </w:r>
    </w:p>
    <w:p>
      <w:pPr>
        <w:pStyle w:val="Ednotesection"/>
        <w:ind w:left="890" w:hanging="890"/>
      </w:pPr>
      <w:r>
        <w:t>[</w:t>
      </w:r>
      <w:r>
        <w:rPr>
          <w:b/>
        </w:rPr>
        <w:t>55.</w:t>
      </w:r>
      <w:r>
        <w:tab/>
        <w:t>Deleted: No. 22 of 2012 s. 64.]</w:t>
      </w:r>
    </w:p>
    <w:p>
      <w:pPr>
        <w:pStyle w:val="Heading5"/>
        <w:spacing w:before="240"/>
        <w:rPr>
          <w:snapToGrid w:val="0"/>
        </w:rPr>
      </w:pPr>
      <w:bookmarkStart w:id="110" w:name="_Toc85638770"/>
      <w:r>
        <w:rPr>
          <w:rStyle w:val="CharSectno"/>
        </w:rPr>
        <w:t>56</w:t>
      </w:r>
      <w:r>
        <w:rPr>
          <w:snapToGrid w:val="0"/>
        </w:rPr>
        <w:t>.</w:t>
      </w:r>
      <w:r>
        <w:rPr>
          <w:snapToGrid w:val="0"/>
        </w:rPr>
        <w:tab/>
        <w:t>Duties of police officers, bush fire control officers etc.</w:t>
      </w:r>
      <w:bookmarkEnd w:id="110"/>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xml:space="preserve">, who finds a person committing an offence against this Act to </w:t>
      </w:r>
      <w:r>
        <w:rPr>
          <w:snapToGrid w:val="0"/>
        </w:rPr>
        <w:lastRenderedPageBreak/>
        <w:t>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111" w:name="_Toc85638771"/>
      <w:r>
        <w:rPr>
          <w:rStyle w:val="CharSectno"/>
        </w:rPr>
        <w:t>57</w:t>
      </w:r>
      <w:r>
        <w:rPr>
          <w:snapToGrid w:val="0"/>
        </w:rPr>
        <w:t>.</w:t>
      </w:r>
      <w:r>
        <w:rPr>
          <w:snapToGrid w:val="0"/>
        </w:rPr>
        <w:tab/>
        <w:t>Obstructing officers</w:t>
      </w:r>
      <w:bookmarkEnd w:id="111"/>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xml:space="preserve">, or an officer or member of a bush fire brigade or other person acting with authority under this Act, in the performance or doing of </w:t>
      </w:r>
      <w:r>
        <w:rPr>
          <w:snapToGrid w:val="0"/>
        </w:rPr>
        <w:lastRenderedPageBreak/>
        <w:t>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No. 11 of 1963 s. 24; No. 113 of 1965 s. 8(1); No. 65 of 1977 s. 48; No. 8 of 1987 s. 8; No. 60 of 1992 s. 13; No. 78 of 1995 s. 147; No. 42 of 1998 s. 16; No. 38 of 2002 s. 39 and 40(1); No. 22 of 2012 s. 66.]</w:t>
      </w:r>
    </w:p>
    <w:p>
      <w:pPr>
        <w:pStyle w:val="Heading5"/>
        <w:rPr>
          <w:snapToGrid w:val="0"/>
        </w:rPr>
      </w:pPr>
      <w:bookmarkStart w:id="112" w:name="_Toc85638772"/>
      <w:r>
        <w:rPr>
          <w:rStyle w:val="CharSectno"/>
        </w:rPr>
        <w:t>58</w:t>
      </w:r>
      <w:r>
        <w:rPr>
          <w:snapToGrid w:val="0"/>
        </w:rPr>
        <w:t>.</w:t>
      </w:r>
      <w:r>
        <w:rPr>
          <w:snapToGrid w:val="0"/>
        </w:rPr>
        <w:tab/>
        <w:t>General penalty and recovery of expenses incurred</w:t>
      </w:r>
      <w:bookmarkEnd w:id="112"/>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lastRenderedPageBreak/>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if the expense is incurred by any other person acting pursuant to this Act, the FES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113" w:name="_Toc85638773"/>
      <w:r>
        <w:rPr>
          <w:rStyle w:val="CharSectno"/>
        </w:rPr>
        <w:lastRenderedPageBreak/>
        <w:t>59</w:t>
      </w:r>
      <w:r>
        <w:rPr>
          <w:snapToGrid w:val="0"/>
        </w:rPr>
        <w:t>.</w:t>
      </w:r>
      <w:r>
        <w:rPr>
          <w:snapToGrid w:val="0"/>
        </w:rPr>
        <w:tab/>
        <w:t>Prosecution of offences</w:t>
      </w:r>
      <w:bookmarkEnd w:id="113"/>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No. 35 of 1957 s. 10; No. 11 of 1963 s. 25; No. 65 of 1977 s. 41; No. 14 of 1996 s. 4; No. 42 of 1998 s. 16; No. 38 of 2002 s. 36 and 40(1); No. 59 of 2004 s. 141; No. 19 of 2010 s. 52(4); No. 22 of 2012 s. 67.]</w:t>
      </w:r>
    </w:p>
    <w:p>
      <w:pPr>
        <w:pStyle w:val="Heading5"/>
        <w:rPr>
          <w:snapToGrid w:val="0"/>
        </w:rPr>
      </w:pPr>
      <w:bookmarkStart w:id="114" w:name="_Toc85638774"/>
      <w:r>
        <w:rPr>
          <w:rStyle w:val="CharSectno"/>
        </w:rPr>
        <w:lastRenderedPageBreak/>
        <w:t>59A</w:t>
      </w:r>
      <w:r>
        <w:rPr>
          <w:snapToGrid w:val="0"/>
        </w:rPr>
        <w:t>.</w:t>
      </w:r>
      <w:r>
        <w:rPr>
          <w:snapToGrid w:val="0"/>
        </w:rPr>
        <w:tab/>
        <w:t>Alternative procedure — infringement notices</w:t>
      </w:r>
      <w:bookmarkEnd w:id="114"/>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 xml:space="preserve">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w:t>
      </w:r>
      <w:r>
        <w:rPr>
          <w:snapToGrid w:val="0"/>
        </w:rPr>
        <w:lastRenderedPageBreak/>
        <w:t>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No. 65 of 1977 s. 42; amended: No. 8 of 1987 s. 8; No. 14 of 1996 s. 4; No. 38 of 2002 s. 37 and 39; No. 84 of 2004 s. 80.]</w:t>
      </w:r>
    </w:p>
    <w:p>
      <w:pPr>
        <w:pStyle w:val="Heading5"/>
        <w:rPr>
          <w:snapToGrid w:val="0"/>
        </w:rPr>
      </w:pPr>
      <w:bookmarkStart w:id="115" w:name="_Toc85638775"/>
      <w:r>
        <w:rPr>
          <w:rStyle w:val="CharSectno"/>
        </w:rPr>
        <w:t>60</w:t>
      </w:r>
      <w:r>
        <w:rPr>
          <w:snapToGrid w:val="0"/>
        </w:rPr>
        <w:t>.</w:t>
      </w:r>
      <w:r>
        <w:rPr>
          <w:snapToGrid w:val="0"/>
        </w:rPr>
        <w:tab/>
        <w:t>Assisting to commit an offence</w:t>
      </w:r>
      <w:bookmarkEnd w:id="115"/>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116" w:name="_Toc85638776"/>
      <w:r>
        <w:rPr>
          <w:rStyle w:val="CharSectno"/>
        </w:rPr>
        <w:lastRenderedPageBreak/>
        <w:t>61</w:t>
      </w:r>
      <w:r>
        <w:rPr>
          <w:snapToGrid w:val="0"/>
        </w:rPr>
        <w:t>.</w:t>
      </w:r>
      <w:r>
        <w:rPr>
          <w:snapToGrid w:val="0"/>
        </w:rPr>
        <w:tab/>
        <w:t>Regulations</w:t>
      </w:r>
      <w:bookmarkEnd w:id="116"/>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No. 113 of 1965 s. 8(1); No. 65 of 1977 s. 48; No. 8 of 1987 s. 8; No. 38 of 2002 s. 39.]</w:t>
      </w:r>
    </w:p>
    <w:p>
      <w:pPr>
        <w:pStyle w:val="Heading5"/>
        <w:rPr>
          <w:snapToGrid w:val="0"/>
        </w:rPr>
      </w:pPr>
      <w:bookmarkStart w:id="117" w:name="_Toc85638777"/>
      <w:r>
        <w:rPr>
          <w:rStyle w:val="CharSectno"/>
        </w:rPr>
        <w:t>62</w:t>
      </w:r>
      <w:r>
        <w:rPr>
          <w:snapToGrid w:val="0"/>
        </w:rPr>
        <w:t>.</w:t>
      </w:r>
      <w:r>
        <w:rPr>
          <w:snapToGrid w:val="0"/>
        </w:rPr>
        <w:tab/>
        <w:t>Local government may make local laws</w:t>
      </w:r>
      <w:bookmarkEnd w:id="117"/>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No. 14 of 1996 s. 4.]</w:t>
      </w:r>
    </w:p>
    <w:p>
      <w:pPr>
        <w:pStyle w:val="Heading5"/>
        <w:rPr>
          <w:snapToGrid w:val="0"/>
        </w:rPr>
      </w:pPr>
      <w:bookmarkStart w:id="118" w:name="_Toc85638778"/>
      <w:r>
        <w:rPr>
          <w:rStyle w:val="CharSectno"/>
        </w:rPr>
        <w:lastRenderedPageBreak/>
        <w:t>62A</w:t>
      </w:r>
      <w:r>
        <w:rPr>
          <w:snapToGrid w:val="0"/>
        </w:rPr>
        <w:t>.</w:t>
      </w:r>
      <w:r>
        <w:rPr>
          <w:snapToGrid w:val="0"/>
        </w:rPr>
        <w:tab/>
        <w:t>Governor may amend or repeal local laws</w:t>
      </w:r>
      <w:bookmarkEnd w:id="118"/>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No. 14 of 1996 s. 4.]</w:t>
      </w:r>
    </w:p>
    <w:p>
      <w:pPr>
        <w:pStyle w:val="Ednotesection"/>
        <w:spacing w:before="160"/>
        <w:ind w:left="890" w:hanging="890"/>
      </w:pPr>
      <w:r>
        <w:t>[</w:t>
      </w:r>
      <w:r>
        <w:rPr>
          <w:b/>
        </w:rPr>
        <w:t>63.</w:t>
      </w:r>
      <w:r>
        <w:tab/>
        <w:t>Deleted: No. 42 of 1998 s. 13.]</w:t>
      </w:r>
    </w:p>
    <w:p>
      <w:pPr>
        <w:pStyle w:val="Heading5"/>
        <w:spacing w:before="180"/>
        <w:rPr>
          <w:snapToGrid w:val="0"/>
        </w:rPr>
      </w:pPr>
      <w:bookmarkStart w:id="119" w:name="_Toc85638779"/>
      <w:r>
        <w:rPr>
          <w:rStyle w:val="CharSectno"/>
        </w:rPr>
        <w:t>64</w:t>
      </w:r>
      <w:r>
        <w:rPr>
          <w:snapToGrid w:val="0"/>
        </w:rPr>
        <w:t>.</w:t>
      </w:r>
      <w:r>
        <w:rPr>
          <w:snapToGrid w:val="0"/>
        </w:rPr>
        <w:tab/>
        <w:t>Prohibitions excluded by certain circumstances</w:t>
      </w:r>
      <w:bookmarkEnd w:id="119"/>
    </w:p>
    <w:p>
      <w:pPr>
        <w:pStyle w:val="Subsection"/>
        <w:tabs>
          <w:tab w:val="left" w:pos="5387"/>
        </w:tabs>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2</w:t>
      </w:r>
      <w:r>
        <w:rPr>
          <w:snapToGrid w:val="0"/>
        </w:rPr>
        <w:t>.</w:t>
      </w:r>
    </w:p>
    <w:p>
      <w:pPr>
        <w:pStyle w:val="Footnotesection"/>
        <w:spacing w:before="100"/>
        <w:ind w:left="890" w:hanging="890"/>
      </w:pPr>
      <w:r>
        <w:tab/>
        <w:t>[Section 64 amended: No. 65 of 1977 s. 43; No. 51 of 1979 s. 5; No. 38 of 2002 s. 38; No. 25 of 2009 s. 18; No. 19 of 2010 s. 52(4).]</w:t>
      </w:r>
    </w:p>
    <w:p>
      <w:pPr>
        <w:pStyle w:val="Heading5"/>
        <w:spacing w:before="180"/>
        <w:rPr>
          <w:snapToGrid w:val="0"/>
        </w:rPr>
      </w:pPr>
      <w:bookmarkStart w:id="120" w:name="_Toc85638780"/>
      <w:r>
        <w:rPr>
          <w:rStyle w:val="CharSectno"/>
        </w:rPr>
        <w:t>65</w:t>
      </w:r>
      <w:r>
        <w:rPr>
          <w:snapToGrid w:val="0"/>
        </w:rPr>
        <w:t>.</w:t>
      </w:r>
      <w:r>
        <w:rPr>
          <w:snapToGrid w:val="0"/>
        </w:rPr>
        <w:tab/>
        <w:t>Proof of certain matters</w:t>
      </w:r>
      <w:bookmarkEnd w:id="120"/>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lastRenderedPageBreak/>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pPr>
      <w:r>
        <w:tab/>
        <w:t>(ca)</w:t>
      </w:r>
      <w:r>
        <w:tab/>
        <w:t>a copy purporting to be a true copy of bush fire risk treatment standards published under section 35AA(5) certified as such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w:t>
      </w:r>
      <w:r>
        <w:t>order, notice or standard,</w:t>
      </w:r>
      <w:r>
        <w:rPr>
          <w:snapToGrid w:val="0"/>
        </w:rPr>
        <w:t xml:space="preserv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lastRenderedPageBreak/>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No. 35 of 1957 s. 11; No. 11 of 1963 s. 27; No. 65 of 1977 s. 44; No. 60 of 1992 s. 15; No. 14 of 1996 s. 4; No. 10 of 1998 s. 20(3); No. 42 of 1998 s. 14 and 16; No. 84 of 2004 s. 80; No. 25 of 2009 s. 19; No. 22 of 2012 s. 68; No. 27 of 2016 s. 6.]</w:t>
      </w:r>
    </w:p>
    <w:p>
      <w:pPr>
        <w:pStyle w:val="Heading5"/>
        <w:rPr>
          <w:snapToGrid w:val="0"/>
        </w:rPr>
      </w:pPr>
      <w:bookmarkStart w:id="121" w:name="_Toc85638781"/>
      <w:r>
        <w:rPr>
          <w:rStyle w:val="CharSectno"/>
        </w:rPr>
        <w:t>66</w:t>
      </w:r>
      <w:r>
        <w:rPr>
          <w:snapToGrid w:val="0"/>
        </w:rPr>
        <w:t>.</w:t>
      </w:r>
      <w:r>
        <w:rPr>
          <w:snapToGrid w:val="0"/>
        </w:rPr>
        <w:tab/>
        <w:t>Proof of ownership or occupancy</w:t>
      </w:r>
      <w:bookmarkEnd w:id="121"/>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keepNext/>
        <w:rPr>
          <w:snapToGrid w:val="0"/>
        </w:rPr>
      </w:pPr>
      <w:r>
        <w:rPr>
          <w:snapToGrid w:val="0"/>
        </w:rPr>
        <w:lastRenderedPageBreak/>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lastRenderedPageBreak/>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No. 11 of 1963 s. 28; amended: No. 14 of 1996 s. 4; No. 81 of 1996 s. 153(1); No. 57 of 1997 s. 26(3); No. 84 of 2004 s. 80; No. 28 of 2006 s. 392; No. 60 of 2006 s. 126</w:t>
      </w:r>
      <w:r>
        <w:rPr>
          <w:spacing w:val="-4"/>
        </w:rPr>
        <w:t>; No. 47 of 2011 s.</w:t>
      </w:r>
      <w:r>
        <w:t> 16.]</w:t>
      </w:r>
    </w:p>
    <w:p>
      <w:pPr>
        <w:pStyle w:val="Heading5"/>
        <w:rPr>
          <w:snapToGrid w:val="0"/>
        </w:rPr>
      </w:pPr>
      <w:bookmarkStart w:id="122" w:name="_Toc85638782"/>
      <w:r>
        <w:rPr>
          <w:rStyle w:val="CharSectno"/>
        </w:rPr>
        <w:t>67</w:t>
      </w:r>
      <w:r>
        <w:rPr>
          <w:snapToGrid w:val="0"/>
        </w:rPr>
        <w:t>.</w:t>
      </w:r>
      <w:r>
        <w:rPr>
          <w:snapToGrid w:val="0"/>
        </w:rPr>
        <w:tab/>
        <w:t>Advisory committees</w:t>
      </w:r>
      <w:bookmarkEnd w:id="122"/>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lastRenderedPageBreak/>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No. 11 of 1963 s. 28; amended: No. 67 of 1970 s. 5; No. 65 of 1977 s. 45; No. 14 of 1996 s. 4.]</w:t>
      </w:r>
    </w:p>
    <w:p>
      <w:pPr>
        <w:pStyle w:val="Heading5"/>
        <w:rPr>
          <w:snapToGrid w:val="0"/>
        </w:rPr>
      </w:pPr>
      <w:bookmarkStart w:id="123" w:name="_Toc85638783"/>
      <w:r>
        <w:rPr>
          <w:rStyle w:val="CharSectno"/>
        </w:rPr>
        <w:t>68</w:t>
      </w:r>
      <w:r>
        <w:rPr>
          <w:snapToGrid w:val="0"/>
        </w:rPr>
        <w:t>.</w:t>
      </w:r>
      <w:r>
        <w:rPr>
          <w:snapToGrid w:val="0"/>
        </w:rPr>
        <w:tab/>
        <w:t>Regional advisory committees</w:t>
      </w:r>
      <w:bookmarkEnd w:id="123"/>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 xml:space="preserve">shall be entitled to appoint the same number of persons as members of the committee and, </w:t>
      </w:r>
      <w:r>
        <w:rPr>
          <w:snapToGrid w:val="0"/>
        </w:rPr>
        <w:lastRenderedPageBreak/>
        <w:t>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No. 65 of 1977 s. 46; amended: No. 14 of 1996 s. 4.]</w:t>
      </w:r>
    </w:p>
    <w:p>
      <w:pPr>
        <w:pStyle w:val="Ednotesection"/>
      </w:pPr>
      <w:r>
        <w:t>[</w:t>
      </w:r>
      <w:r>
        <w:rPr>
          <w:b/>
        </w:rPr>
        <w:t>69.</w:t>
      </w:r>
      <w:r>
        <w:tab/>
        <w:t>Deleted: No. 42 of 1998 s.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24" w:name="_Toc85616542"/>
      <w:bookmarkStart w:id="125" w:name="_Toc85616642"/>
      <w:bookmarkStart w:id="126" w:name="_Toc85638784"/>
      <w:r>
        <w:lastRenderedPageBreak/>
        <w:t>Notes</w:t>
      </w:r>
      <w:bookmarkEnd w:id="124"/>
      <w:bookmarkEnd w:id="125"/>
      <w:bookmarkEnd w:id="126"/>
    </w:p>
    <w:p>
      <w:pPr>
        <w:pStyle w:val="nStatement"/>
      </w:pPr>
      <w:r>
        <w:t xml:space="preserve">This is a compilation of the </w:t>
      </w:r>
      <w:r>
        <w:rPr>
          <w:i/>
          <w:noProof/>
        </w:rPr>
        <w:t>Bush Fires Act 1954</w:t>
      </w:r>
      <w:r>
        <w:t xml:space="preserve"> and includes amendments made by other written laws. For provisions that have come into operation, and for information about any reprints, see the compilation table. </w:t>
      </w:r>
    </w:p>
    <w:p>
      <w:pPr>
        <w:pStyle w:val="nHeading3"/>
      </w:pPr>
      <w:bookmarkStart w:id="127" w:name="_Toc85638785"/>
      <w:r>
        <w:t>Compilation table</w:t>
      </w:r>
      <w:bookmarkEnd w:id="1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5"/>
        <w:gridCol w:w="2552"/>
        <w:gridCol w:w="9"/>
      </w:tblGrid>
      <w:tr>
        <w:trPr>
          <w:gridAfter w:val="1"/>
          <w:wAfter w:w="9" w:type="dxa"/>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5"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1954</w:t>
            </w:r>
          </w:p>
        </w:tc>
        <w:tc>
          <w:tcPr>
            <w:tcW w:w="1139" w:type="dxa"/>
          </w:tcPr>
          <w:p>
            <w:pPr>
              <w:pStyle w:val="nTable"/>
              <w:spacing w:after="40"/>
            </w:pPr>
            <w:r>
              <w:t>53 of 1954</w:t>
            </w:r>
            <w:r>
              <w:br/>
              <w:t>(3 Eliz. II No. 53)</w:t>
            </w:r>
          </w:p>
        </w:tc>
        <w:tc>
          <w:tcPr>
            <w:tcW w:w="1135" w:type="dxa"/>
          </w:tcPr>
          <w:p>
            <w:pPr>
              <w:pStyle w:val="nTable"/>
              <w:spacing w:after="40"/>
            </w:pPr>
            <w:r>
              <w:t>23 Dec 1954</w:t>
            </w:r>
          </w:p>
        </w:tc>
        <w:tc>
          <w:tcPr>
            <w:tcW w:w="2561" w:type="dxa"/>
            <w:gridSpan w:val="2"/>
          </w:tcPr>
          <w:p>
            <w:pPr>
              <w:pStyle w:val="nTable"/>
              <w:spacing w:after="40"/>
            </w:pPr>
            <w:r>
              <w:t xml:space="preserve">29 Apr 1955 (see s. 3 and </w:t>
            </w:r>
            <w:r>
              <w:rPr>
                <w:i/>
              </w:rPr>
              <w:t>Gazette</w:t>
            </w:r>
            <w:r>
              <w:t xml:space="preserve"> 29 Apr 1955 p. 749)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1957</w:t>
            </w:r>
          </w:p>
        </w:tc>
        <w:tc>
          <w:tcPr>
            <w:tcW w:w="1139" w:type="dxa"/>
          </w:tcPr>
          <w:p>
            <w:pPr>
              <w:pStyle w:val="nTable"/>
              <w:spacing w:after="40"/>
            </w:pPr>
            <w:r>
              <w:t>35 of 1957</w:t>
            </w:r>
            <w:r>
              <w:br/>
              <w:t>(6 Eliz. II No. 35)</w:t>
            </w:r>
          </w:p>
        </w:tc>
        <w:tc>
          <w:tcPr>
            <w:tcW w:w="1135" w:type="dxa"/>
          </w:tcPr>
          <w:p>
            <w:pPr>
              <w:pStyle w:val="nTable"/>
              <w:spacing w:after="40"/>
            </w:pPr>
            <w:r>
              <w:t>5 Nov 1957</w:t>
            </w:r>
          </w:p>
        </w:tc>
        <w:tc>
          <w:tcPr>
            <w:tcW w:w="2561" w:type="dxa"/>
            <w:gridSpan w:val="2"/>
          </w:tcPr>
          <w:p>
            <w:pPr>
              <w:pStyle w:val="nTable"/>
              <w:spacing w:after="40"/>
            </w:pPr>
            <w:r>
              <w:t>5 Nov 1957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1958</w:t>
            </w:r>
          </w:p>
        </w:tc>
        <w:tc>
          <w:tcPr>
            <w:tcW w:w="1139" w:type="dxa"/>
          </w:tcPr>
          <w:p>
            <w:pPr>
              <w:pStyle w:val="nTable"/>
              <w:spacing w:after="40"/>
            </w:pPr>
            <w:r>
              <w:t>20 of 1958</w:t>
            </w:r>
            <w:r>
              <w:br/>
              <w:t>(7 Eliz. II No. 20)</w:t>
            </w:r>
          </w:p>
        </w:tc>
        <w:tc>
          <w:tcPr>
            <w:tcW w:w="1135" w:type="dxa"/>
          </w:tcPr>
          <w:p>
            <w:pPr>
              <w:pStyle w:val="nTable"/>
              <w:spacing w:after="40"/>
            </w:pPr>
            <w:r>
              <w:t>22 Oct 1958</w:t>
            </w:r>
          </w:p>
        </w:tc>
        <w:tc>
          <w:tcPr>
            <w:tcW w:w="2561" w:type="dxa"/>
            <w:gridSpan w:val="2"/>
          </w:tcPr>
          <w:p>
            <w:pPr>
              <w:pStyle w:val="nTable"/>
              <w:spacing w:after="40"/>
            </w:pPr>
            <w:r>
              <w:t>22 Oct 1958</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approved 3 Jul 1961 in Vol. 15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1963</w:t>
            </w:r>
          </w:p>
        </w:tc>
        <w:tc>
          <w:tcPr>
            <w:tcW w:w="1139" w:type="dxa"/>
          </w:tcPr>
          <w:p>
            <w:pPr>
              <w:pStyle w:val="nTable"/>
              <w:spacing w:after="40"/>
            </w:pPr>
            <w:r>
              <w:t>11 of 1963</w:t>
            </w:r>
            <w:r>
              <w:br/>
              <w:t>(12 Eliz. II No. 11)</w:t>
            </w:r>
          </w:p>
        </w:tc>
        <w:tc>
          <w:tcPr>
            <w:tcW w:w="1135" w:type="dxa"/>
          </w:tcPr>
          <w:p>
            <w:pPr>
              <w:pStyle w:val="nTable"/>
              <w:spacing w:after="40"/>
            </w:pPr>
            <w:r>
              <w:t>22 Oct 1963</w:t>
            </w:r>
          </w:p>
        </w:tc>
        <w:tc>
          <w:tcPr>
            <w:tcW w:w="2561" w:type="dxa"/>
            <w:gridSpan w:val="2"/>
          </w:tcPr>
          <w:p>
            <w:pPr>
              <w:pStyle w:val="nTable"/>
              <w:spacing w:after="40"/>
            </w:pPr>
            <w:r>
              <w:t xml:space="preserve">22 Nov 1963 (see s. 2 and </w:t>
            </w:r>
            <w:r>
              <w:rPr>
                <w:i/>
              </w:rPr>
              <w:t>Gazette</w:t>
            </w:r>
            <w:r>
              <w:t xml:space="preserve"> 22 Nov 1963 p. 3618)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1964</w:t>
            </w:r>
          </w:p>
        </w:tc>
        <w:tc>
          <w:tcPr>
            <w:tcW w:w="1139" w:type="dxa"/>
          </w:tcPr>
          <w:p>
            <w:pPr>
              <w:pStyle w:val="nTable"/>
              <w:spacing w:after="40"/>
            </w:pPr>
            <w:r>
              <w:t>23 of 1964</w:t>
            </w:r>
            <w:r>
              <w:br/>
              <w:t>(13 Eliz. II No. 23)</w:t>
            </w:r>
          </w:p>
        </w:tc>
        <w:tc>
          <w:tcPr>
            <w:tcW w:w="1135" w:type="dxa"/>
          </w:tcPr>
          <w:p>
            <w:pPr>
              <w:pStyle w:val="nTable"/>
              <w:spacing w:after="40"/>
            </w:pPr>
            <w:r>
              <w:t>28 Oct 1964</w:t>
            </w:r>
          </w:p>
        </w:tc>
        <w:tc>
          <w:tcPr>
            <w:tcW w:w="2561" w:type="dxa"/>
            <w:gridSpan w:val="2"/>
          </w:tcPr>
          <w:p>
            <w:pPr>
              <w:pStyle w:val="nTable"/>
              <w:spacing w:after="40"/>
            </w:pPr>
            <w:r>
              <w:t>28 Oct 1964</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1965</w:t>
            </w:r>
          </w:p>
        </w:tc>
        <w:tc>
          <w:tcPr>
            <w:tcW w:w="1139" w:type="dxa"/>
          </w:tcPr>
          <w:p>
            <w:pPr>
              <w:pStyle w:val="nTable"/>
              <w:spacing w:after="40"/>
            </w:pPr>
            <w:r>
              <w:t>15 of 1965</w:t>
            </w:r>
          </w:p>
        </w:tc>
        <w:tc>
          <w:tcPr>
            <w:tcW w:w="1135" w:type="dxa"/>
          </w:tcPr>
          <w:p>
            <w:pPr>
              <w:pStyle w:val="nTable"/>
              <w:spacing w:after="40"/>
            </w:pPr>
            <w:r>
              <w:t>1 Oct 1965</w:t>
            </w:r>
          </w:p>
        </w:tc>
        <w:tc>
          <w:tcPr>
            <w:tcW w:w="2561" w:type="dxa"/>
            <w:gridSpan w:val="2"/>
          </w:tcPr>
          <w:p>
            <w:pPr>
              <w:pStyle w:val="nTable"/>
              <w:spacing w:after="40"/>
            </w:pPr>
            <w:r>
              <w:t>1 Oct 1965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Decimal Currency Act 1965</w:t>
            </w:r>
          </w:p>
        </w:tc>
        <w:tc>
          <w:tcPr>
            <w:tcW w:w="1139" w:type="dxa"/>
          </w:tcPr>
          <w:p>
            <w:pPr>
              <w:pStyle w:val="nTable"/>
              <w:spacing w:after="40"/>
            </w:pPr>
            <w:r>
              <w:t>113 of 1965</w:t>
            </w:r>
          </w:p>
        </w:tc>
        <w:tc>
          <w:tcPr>
            <w:tcW w:w="1135" w:type="dxa"/>
          </w:tcPr>
          <w:p>
            <w:pPr>
              <w:pStyle w:val="nTable"/>
              <w:spacing w:after="40"/>
            </w:pPr>
            <w:r>
              <w:t>21 Dec 1965</w:t>
            </w:r>
          </w:p>
        </w:tc>
        <w:tc>
          <w:tcPr>
            <w:tcW w:w="2561"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1969</w:t>
            </w:r>
          </w:p>
        </w:tc>
        <w:tc>
          <w:tcPr>
            <w:tcW w:w="1139" w:type="dxa"/>
          </w:tcPr>
          <w:p>
            <w:pPr>
              <w:pStyle w:val="nTable"/>
              <w:spacing w:after="40"/>
            </w:pPr>
            <w:r>
              <w:t>101 of 1969</w:t>
            </w:r>
          </w:p>
        </w:tc>
        <w:tc>
          <w:tcPr>
            <w:tcW w:w="1135" w:type="dxa"/>
          </w:tcPr>
          <w:p>
            <w:pPr>
              <w:pStyle w:val="nTable"/>
              <w:spacing w:after="40"/>
            </w:pPr>
            <w:r>
              <w:t>25 Nov 1969</w:t>
            </w:r>
          </w:p>
        </w:tc>
        <w:tc>
          <w:tcPr>
            <w:tcW w:w="2561" w:type="dxa"/>
            <w:gridSpan w:val="2"/>
          </w:tcPr>
          <w:p>
            <w:pPr>
              <w:pStyle w:val="nTable"/>
              <w:spacing w:after="40"/>
            </w:pPr>
            <w:r>
              <w:t>25 Nov 1969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1970</w:t>
            </w:r>
          </w:p>
        </w:tc>
        <w:tc>
          <w:tcPr>
            <w:tcW w:w="1139" w:type="dxa"/>
          </w:tcPr>
          <w:p>
            <w:pPr>
              <w:pStyle w:val="nTable"/>
              <w:spacing w:after="40"/>
            </w:pPr>
            <w:r>
              <w:t>67 of 1970</w:t>
            </w:r>
          </w:p>
        </w:tc>
        <w:tc>
          <w:tcPr>
            <w:tcW w:w="1135" w:type="dxa"/>
          </w:tcPr>
          <w:p>
            <w:pPr>
              <w:pStyle w:val="nTable"/>
              <w:spacing w:after="40"/>
            </w:pPr>
            <w:r>
              <w:t>17 Nov 1970</w:t>
            </w:r>
          </w:p>
        </w:tc>
        <w:tc>
          <w:tcPr>
            <w:tcW w:w="2561" w:type="dxa"/>
            <w:gridSpan w:val="2"/>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approved 14 Apr 1971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Metric Conversion Act 1972</w:t>
            </w:r>
          </w:p>
        </w:tc>
        <w:tc>
          <w:tcPr>
            <w:tcW w:w="1139" w:type="dxa"/>
          </w:tcPr>
          <w:p>
            <w:pPr>
              <w:pStyle w:val="nTable"/>
              <w:keepNext/>
              <w:keepLines/>
              <w:spacing w:after="40"/>
            </w:pPr>
            <w:r>
              <w:t>94 of 1972</w:t>
            </w:r>
            <w:r>
              <w:br/>
              <w:t>(as amended by No. 83 of 1973 s. 3)</w:t>
            </w:r>
          </w:p>
        </w:tc>
        <w:tc>
          <w:tcPr>
            <w:tcW w:w="1135" w:type="dxa"/>
          </w:tcPr>
          <w:p>
            <w:pPr>
              <w:pStyle w:val="nTable"/>
              <w:keepNext/>
              <w:keepLines/>
              <w:spacing w:after="40"/>
            </w:pPr>
            <w:r>
              <w:t>4 Dec 1972</w:t>
            </w:r>
          </w:p>
        </w:tc>
        <w:tc>
          <w:tcPr>
            <w:tcW w:w="2561" w:type="dxa"/>
            <w:gridSpan w:val="2"/>
          </w:tcPr>
          <w:p>
            <w:pPr>
              <w:pStyle w:val="nTable"/>
              <w:keepNext/>
              <w:keepLines/>
              <w:spacing w:after="40"/>
            </w:pPr>
            <w:r>
              <w:t>Relevant amendments (see Third Sch. </w:t>
            </w:r>
            <w:r>
              <w:rPr>
                <w:vertAlign w:val="superscript"/>
              </w:rPr>
              <w:t>3</w:t>
            </w:r>
            <w:r>
              <w:t xml:space="preserve">) took effect on 1 Jun 1974 (see s. 4(2) and </w:t>
            </w:r>
            <w:r>
              <w:rPr>
                <w:i/>
              </w:rPr>
              <w:t>Gazette</w:t>
            </w:r>
            <w:r>
              <w:t xml:space="preserve"> 24 May 1974 p. 1626)</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lastRenderedPageBreak/>
              <w:t>Bush Fires Act Amendment Act 1977</w:t>
            </w:r>
          </w:p>
        </w:tc>
        <w:tc>
          <w:tcPr>
            <w:tcW w:w="1139" w:type="dxa"/>
          </w:tcPr>
          <w:p>
            <w:pPr>
              <w:pStyle w:val="nTable"/>
              <w:spacing w:after="40"/>
            </w:pPr>
            <w:r>
              <w:t>65 of 1977</w:t>
            </w:r>
          </w:p>
        </w:tc>
        <w:tc>
          <w:tcPr>
            <w:tcW w:w="1135" w:type="dxa"/>
          </w:tcPr>
          <w:p>
            <w:pPr>
              <w:pStyle w:val="nTable"/>
              <w:spacing w:after="40"/>
            </w:pPr>
            <w:r>
              <w:t>28 Nov 1977</w:t>
            </w:r>
          </w:p>
        </w:tc>
        <w:tc>
          <w:tcPr>
            <w:tcW w:w="2561" w:type="dxa"/>
            <w:gridSpan w:val="2"/>
          </w:tcPr>
          <w:p>
            <w:pPr>
              <w:pStyle w:val="nTable"/>
              <w:spacing w:after="40"/>
            </w:pPr>
            <w:r>
              <w:t xml:space="preserve">1 Jun 1978 (see s. 2 and </w:t>
            </w:r>
            <w:r>
              <w:rPr>
                <w:i/>
              </w:rPr>
              <w:t xml:space="preserve">Gazette </w:t>
            </w:r>
            <w:r>
              <w:t>10 Mar 1978 p. 667)</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approved 21 Jun 1978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1979</w:t>
            </w:r>
          </w:p>
        </w:tc>
        <w:tc>
          <w:tcPr>
            <w:tcW w:w="1139" w:type="dxa"/>
          </w:tcPr>
          <w:p>
            <w:pPr>
              <w:pStyle w:val="nTable"/>
              <w:spacing w:after="40"/>
            </w:pPr>
            <w:r>
              <w:t>51 of 1979</w:t>
            </w:r>
          </w:p>
        </w:tc>
        <w:tc>
          <w:tcPr>
            <w:tcW w:w="1135" w:type="dxa"/>
          </w:tcPr>
          <w:p>
            <w:pPr>
              <w:pStyle w:val="nTable"/>
              <w:spacing w:after="40"/>
            </w:pPr>
            <w:r>
              <w:t>7 Nov 1979</w:t>
            </w:r>
          </w:p>
        </w:tc>
        <w:tc>
          <w:tcPr>
            <w:tcW w:w="2561" w:type="dxa"/>
            <w:gridSpan w:val="2"/>
          </w:tcPr>
          <w:p>
            <w:pPr>
              <w:pStyle w:val="nTable"/>
              <w:spacing w:after="40"/>
            </w:pPr>
            <w:r>
              <w:t>7 Nov 1979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Amendment Act 1981</w:t>
            </w:r>
          </w:p>
        </w:tc>
        <w:tc>
          <w:tcPr>
            <w:tcW w:w="1139" w:type="dxa"/>
          </w:tcPr>
          <w:p>
            <w:pPr>
              <w:pStyle w:val="nTable"/>
              <w:spacing w:after="40"/>
            </w:pPr>
            <w:r>
              <w:t>95 of 1981</w:t>
            </w:r>
          </w:p>
        </w:tc>
        <w:tc>
          <w:tcPr>
            <w:tcW w:w="1135" w:type="dxa"/>
          </w:tcPr>
          <w:p>
            <w:pPr>
              <w:pStyle w:val="nTable"/>
              <w:spacing w:after="40"/>
            </w:pPr>
            <w:r>
              <w:t>4 Dec 1981</w:t>
            </w:r>
          </w:p>
        </w:tc>
        <w:tc>
          <w:tcPr>
            <w:tcW w:w="2561" w:type="dxa"/>
            <w:gridSpan w:val="2"/>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(Conservation and Land Management) Act 1984</w:t>
            </w:r>
            <w:r>
              <w:t xml:space="preserve"> Pt. IV</w:t>
            </w:r>
          </w:p>
        </w:tc>
        <w:tc>
          <w:tcPr>
            <w:tcW w:w="1139" w:type="dxa"/>
          </w:tcPr>
          <w:p>
            <w:pPr>
              <w:pStyle w:val="nTable"/>
              <w:spacing w:after="40"/>
            </w:pPr>
            <w:r>
              <w:t>112 of 1984</w:t>
            </w:r>
          </w:p>
        </w:tc>
        <w:tc>
          <w:tcPr>
            <w:tcW w:w="1135" w:type="dxa"/>
          </w:tcPr>
          <w:p>
            <w:pPr>
              <w:pStyle w:val="nTable"/>
              <w:spacing w:after="40"/>
            </w:pPr>
            <w:r>
              <w:t>19 Dec 1984</w:t>
            </w:r>
          </w:p>
        </w:tc>
        <w:tc>
          <w:tcPr>
            <w:tcW w:w="2561" w:type="dxa"/>
            <w:gridSpan w:val="2"/>
          </w:tcPr>
          <w:p>
            <w:pPr>
              <w:pStyle w:val="nTable"/>
              <w:spacing w:after="40"/>
            </w:pPr>
            <w:r>
              <w:t xml:space="preserve">22 Mar 1985 (see s. 2 and </w:t>
            </w:r>
            <w:r>
              <w:rPr>
                <w:i/>
              </w:rPr>
              <w:t>Gazette</w:t>
            </w:r>
            <w:r>
              <w:t xml:space="preserve"> 15 Mar 1985 p. 931)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Amendment Act 1987</w:t>
            </w:r>
          </w:p>
        </w:tc>
        <w:tc>
          <w:tcPr>
            <w:tcW w:w="1139" w:type="dxa"/>
          </w:tcPr>
          <w:p>
            <w:pPr>
              <w:pStyle w:val="nTable"/>
              <w:spacing w:after="40"/>
            </w:pPr>
            <w:r>
              <w:t>8 of 1987</w:t>
            </w:r>
          </w:p>
        </w:tc>
        <w:tc>
          <w:tcPr>
            <w:tcW w:w="1135" w:type="dxa"/>
          </w:tcPr>
          <w:p>
            <w:pPr>
              <w:pStyle w:val="nTable"/>
              <w:spacing w:after="40"/>
            </w:pPr>
            <w:r>
              <w:t>5 Jun 1987</w:t>
            </w:r>
          </w:p>
        </w:tc>
        <w:tc>
          <w:tcPr>
            <w:tcW w:w="2561" w:type="dxa"/>
            <w:gridSpan w:val="2"/>
          </w:tcPr>
          <w:p>
            <w:pPr>
              <w:pStyle w:val="nTable"/>
              <w:spacing w:after="40"/>
            </w:pPr>
            <w:r>
              <w:t>3 Jul 1987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Criminal Law Amendment Act 1990</w:t>
            </w:r>
            <w:r>
              <w:t xml:space="preserve"> Pt. 3</w:t>
            </w:r>
          </w:p>
        </w:tc>
        <w:tc>
          <w:tcPr>
            <w:tcW w:w="1139" w:type="dxa"/>
          </w:tcPr>
          <w:p>
            <w:pPr>
              <w:pStyle w:val="nTable"/>
              <w:spacing w:after="40"/>
            </w:pPr>
            <w:r>
              <w:t>101 of 1990</w:t>
            </w:r>
          </w:p>
        </w:tc>
        <w:tc>
          <w:tcPr>
            <w:tcW w:w="1135" w:type="dxa"/>
          </w:tcPr>
          <w:p>
            <w:pPr>
              <w:pStyle w:val="nTable"/>
              <w:spacing w:after="40"/>
            </w:pPr>
            <w:r>
              <w:t>20 Dec 1990</w:t>
            </w:r>
          </w:p>
        </w:tc>
        <w:tc>
          <w:tcPr>
            <w:tcW w:w="2561" w:type="dxa"/>
            <w:gridSpan w:val="2"/>
          </w:tcPr>
          <w:p>
            <w:pPr>
              <w:pStyle w:val="nTable"/>
              <w:spacing w:after="40"/>
            </w:pPr>
            <w:r>
              <w:t>14 Feb 1991 (see s. 2(1))</w:t>
            </w:r>
          </w:p>
        </w:tc>
      </w:tr>
      <w:tr>
        <w:tblPrEx>
          <w:tblBorders>
            <w:top w:val="none" w:sz="0" w:space="0" w:color="auto"/>
            <w:bottom w:val="none" w:sz="0" w:space="0" w:color="auto"/>
            <w:insideH w:val="none" w:sz="0" w:space="0" w:color="auto"/>
          </w:tblBorders>
        </w:tblPrEx>
        <w:trPr>
          <w:cantSplit/>
        </w:trPr>
        <w:tc>
          <w:tcPr>
            <w:tcW w:w="7108" w:type="dxa"/>
            <w:gridSpan w:val="5"/>
            <w:shd w:val="clear" w:color="auto" w:fill="auto"/>
          </w:tcPr>
          <w:p>
            <w:pPr>
              <w:pStyle w:val="nTable"/>
              <w:spacing w:after="40"/>
            </w:pPr>
            <w:r>
              <w:rPr>
                <w:b/>
              </w:rPr>
              <w:t xml:space="preserve">Reprint of the </w:t>
            </w:r>
            <w:r>
              <w:rPr>
                <w:b/>
                <w:i/>
              </w:rPr>
              <w:t>Bush Fires Act 1954</w:t>
            </w:r>
            <w:r>
              <w:rPr>
                <w:b/>
              </w:rPr>
              <w:t xml:space="preserve"> as at 27 Feb 1992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rPr>
                <w:vertAlign w:val="superscript"/>
              </w:rPr>
            </w:pPr>
            <w:r>
              <w:rPr>
                <w:i/>
              </w:rPr>
              <w:t>Bush Fires Amendment Act 1992 </w:t>
            </w:r>
            <w:r>
              <w:rPr>
                <w:i/>
                <w:vertAlign w:val="superscript"/>
              </w:rPr>
              <w:t>4</w:t>
            </w:r>
          </w:p>
        </w:tc>
        <w:tc>
          <w:tcPr>
            <w:tcW w:w="1139" w:type="dxa"/>
          </w:tcPr>
          <w:p>
            <w:pPr>
              <w:pStyle w:val="nTable"/>
              <w:spacing w:after="40"/>
            </w:pPr>
            <w:r>
              <w:t>60 of 1992</w:t>
            </w:r>
          </w:p>
        </w:tc>
        <w:tc>
          <w:tcPr>
            <w:tcW w:w="1135" w:type="dxa"/>
          </w:tcPr>
          <w:p>
            <w:pPr>
              <w:pStyle w:val="nTable"/>
              <w:spacing w:after="40"/>
            </w:pPr>
            <w:r>
              <w:t>11 Dec 1992</w:t>
            </w:r>
          </w:p>
        </w:tc>
        <w:tc>
          <w:tcPr>
            <w:tcW w:w="2561" w:type="dxa"/>
            <w:gridSpan w:val="2"/>
          </w:tcPr>
          <w:p>
            <w:pPr>
              <w:pStyle w:val="nTable"/>
              <w:spacing w:after="40"/>
            </w:pPr>
            <w:r>
              <w:t>Act other than Pt. 2: 11 Dec 1992 (see s. 2(1));</w:t>
            </w:r>
            <w:r>
              <w:br/>
              <w:t xml:space="preserve">Pt. 2: 25 Mar 1993 (see s. 2(2) and </w:t>
            </w:r>
            <w:r>
              <w:rPr>
                <w:i/>
              </w:rPr>
              <w:t>Gazette</w:t>
            </w:r>
            <w:r>
              <w:t xml:space="preserve"> 19 Mar 1993 p. 1635)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Financial Administration Legislation Amendment Act 1993</w:t>
            </w:r>
            <w:r>
              <w:t xml:space="preserve"> s. 11</w:t>
            </w:r>
          </w:p>
        </w:tc>
        <w:tc>
          <w:tcPr>
            <w:tcW w:w="1139" w:type="dxa"/>
          </w:tcPr>
          <w:p>
            <w:pPr>
              <w:pStyle w:val="nTable"/>
              <w:keepNext/>
              <w:keepLines/>
              <w:spacing w:after="40"/>
            </w:pPr>
            <w:r>
              <w:t>6 of 1993</w:t>
            </w:r>
          </w:p>
        </w:tc>
        <w:tc>
          <w:tcPr>
            <w:tcW w:w="1135" w:type="dxa"/>
          </w:tcPr>
          <w:p>
            <w:pPr>
              <w:pStyle w:val="nTable"/>
              <w:keepNext/>
              <w:keepLines/>
              <w:spacing w:after="40"/>
            </w:pPr>
            <w:r>
              <w:t>27 Aug 1993</w:t>
            </w:r>
          </w:p>
        </w:tc>
        <w:tc>
          <w:tcPr>
            <w:tcW w:w="2561" w:type="dxa"/>
            <w:gridSpan w:val="2"/>
          </w:tcPr>
          <w:p>
            <w:pPr>
              <w:pStyle w:val="nTable"/>
              <w:keepNext/>
              <w:keepLines/>
              <w:spacing w:after="40"/>
            </w:pPr>
            <w:r>
              <w:t>1 Jul 1993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(Public Sector Management) Act 1994</w:t>
            </w:r>
            <w:r>
              <w:t xml:space="preserve"> s. 19</w:t>
            </w:r>
          </w:p>
        </w:tc>
        <w:tc>
          <w:tcPr>
            <w:tcW w:w="1139" w:type="dxa"/>
          </w:tcPr>
          <w:p>
            <w:pPr>
              <w:pStyle w:val="nTable"/>
              <w:spacing w:after="40"/>
            </w:pPr>
            <w:r>
              <w:t>32 of 1994</w:t>
            </w:r>
          </w:p>
        </w:tc>
        <w:tc>
          <w:tcPr>
            <w:tcW w:w="1135" w:type="dxa"/>
          </w:tcPr>
          <w:p>
            <w:pPr>
              <w:pStyle w:val="nTable"/>
              <w:spacing w:after="40"/>
            </w:pPr>
            <w:r>
              <w:t>29 Jun 1994</w:t>
            </w:r>
          </w:p>
        </w:tc>
        <w:tc>
          <w:tcPr>
            <w:tcW w:w="2561"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Fire Brigades Amendment Act 1994</w:t>
            </w:r>
            <w:r>
              <w:t xml:space="preserve"> s. 36</w:t>
            </w:r>
          </w:p>
        </w:tc>
        <w:tc>
          <w:tcPr>
            <w:tcW w:w="1139" w:type="dxa"/>
          </w:tcPr>
          <w:p>
            <w:pPr>
              <w:pStyle w:val="nTable"/>
              <w:spacing w:after="40"/>
            </w:pPr>
            <w:r>
              <w:t>52 of 1994</w:t>
            </w:r>
          </w:p>
        </w:tc>
        <w:tc>
          <w:tcPr>
            <w:tcW w:w="1135" w:type="dxa"/>
          </w:tcPr>
          <w:p>
            <w:pPr>
              <w:pStyle w:val="nTable"/>
              <w:spacing w:after="40"/>
            </w:pPr>
            <w:r>
              <w:t>2 Nov 1994</w:t>
            </w:r>
          </w:p>
        </w:tc>
        <w:tc>
          <w:tcPr>
            <w:tcW w:w="2561" w:type="dxa"/>
            <w:gridSpan w:val="2"/>
          </w:tcPr>
          <w:p>
            <w:pPr>
              <w:pStyle w:val="nTable"/>
              <w:spacing w:after="40"/>
            </w:pPr>
            <w:r>
              <w:t xml:space="preserve">10 Dec 1994 (see s. 2 and </w:t>
            </w:r>
            <w:r>
              <w:rPr>
                <w:i/>
              </w:rPr>
              <w:t>Gazette</w:t>
            </w:r>
            <w:r>
              <w:t xml:space="preserve"> 9 Dec 1994 p. 6647)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Planning Legislation Amendment Act (No. 2) 1994</w:t>
            </w:r>
            <w:r>
              <w:t xml:space="preserve"> s. 46(1)</w:t>
            </w:r>
          </w:p>
        </w:tc>
        <w:tc>
          <w:tcPr>
            <w:tcW w:w="1139" w:type="dxa"/>
          </w:tcPr>
          <w:p>
            <w:pPr>
              <w:pStyle w:val="nTable"/>
              <w:spacing w:after="40"/>
            </w:pPr>
            <w:r>
              <w:t>84 of 1994</w:t>
            </w:r>
          </w:p>
        </w:tc>
        <w:tc>
          <w:tcPr>
            <w:tcW w:w="1135" w:type="dxa"/>
          </w:tcPr>
          <w:p>
            <w:pPr>
              <w:pStyle w:val="nTable"/>
              <w:spacing w:after="40"/>
            </w:pPr>
            <w:r>
              <w:t>13 Jan 1995</w:t>
            </w:r>
          </w:p>
        </w:tc>
        <w:tc>
          <w:tcPr>
            <w:tcW w:w="2561" w:type="dxa"/>
            <w:gridSpan w:val="2"/>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Sentencing (Consequential Provisions) Act 1995</w:t>
            </w:r>
            <w:r>
              <w:t xml:space="preserve"> Pt. 6 and s. 147</w:t>
            </w:r>
          </w:p>
        </w:tc>
        <w:tc>
          <w:tcPr>
            <w:tcW w:w="1139" w:type="dxa"/>
          </w:tcPr>
          <w:p>
            <w:pPr>
              <w:pStyle w:val="nTable"/>
              <w:spacing w:after="40"/>
            </w:pPr>
            <w:r>
              <w:t>78 of 1995</w:t>
            </w:r>
          </w:p>
        </w:tc>
        <w:tc>
          <w:tcPr>
            <w:tcW w:w="1135" w:type="dxa"/>
          </w:tcPr>
          <w:p>
            <w:pPr>
              <w:pStyle w:val="nTable"/>
              <w:spacing w:after="40"/>
            </w:pPr>
            <w:r>
              <w:t>16 Jan 1996</w:t>
            </w:r>
          </w:p>
        </w:tc>
        <w:tc>
          <w:tcPr>
            <w:tcW w:w="2561"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Coroners Act 1996</w:t>
            </w:r>
            <w:r>
              <w:t xml:space="preserve"> s. 61</w:t>
            </w:r>
          </w:p>
        </w:tc>
        <w:tc>
          <w:tcPr>
            <w:tcW w:w="1139" w:type="dxa"/>
          </w:tcPr>
          <w:p>
            <w:pPr>
              <w:pStyle w:val="nTable"/>
              <w:spacing w:after="40"/>
            </w:pPr>
            <w:r>
              <w:t>2 of 1996</w:t>
            </w:r>
          </w:p>
        </w:tc>
        <w:tc>
          <w:tcPr>
            <w:tcW w:w="1135" w:type="dxa"/>
          </w:tcPr>
          <w:p>
            <w:pPr>
              <w:pStyle w:val="nTable"/>
              <w:spacing w:after="40"/>
            </w:pPr>
            <w:r>
              <w:t>24 May 1996</w:t>
            </w:r>
          </w:p>
        </w:tc>
        <w:tc>
          <w:tcPr>
            <w:tcW w:w="2561"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lastRenderedPageBreak/>
              <w:t>Local Government (Consequential Amendments) Act 1996</w:t>
            </w:r>
            <w:r>
              <w:t xml:space="preserve"> s. 4</w:t>
            </w:r>
          </w:p>
        </w:tc>
        <w:tc>
          <w:tcPr>
            <w:tcW w:w="1139" w:type="dxa"/>
          </w:tcPr>
          <w:p>
            <w:pPr>
              <w:pStyle w:val="nTable"/>
              <w:spacing w:after="40"/>
            </w:pPr>
            <w:r>
              <w:t>14 of 1996</w:t>
            </w:r>
          </w:p>
        </w:tc>
        <w:tc>
          <w:tcPr>
            <w:tcW w:w="1135" w:type="dxa"/>
          </w:tcPr>
          <w:p>
            <w:pPr>
              <w:pStyle w:val="nTable"/>
              <w:spacing w:after="40"/>
            </w:pPr>
            <w:r>
              <w:t>28 Jun 1996</w:t>
            </w:r>
          </w:p>
        </w:tc>
        <w:tc>
          <w:tcPr>
            <w:tcW w:w="2561"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Financial Legislation Amendment Act 1996</w:t>
            </w:r>
            <w:r>
              <w:t xml:space="preserve"> s. 64</w:t>
            </w:r>
          </w:p>
        </w:tc>
        <w:tc>
          <w:tcPr>
            <w:tcW w:w="1139" w:type="dxa"/>
          </w:tcPr>
          <w:p>
            <w:pPr>
              <w:pStyle w:val="nTable"/>
              <w:spacing w:after="40"/>
            </w:pPr>
            <w:r>
              <w:t>49 of 1996</w:t>
            </w:r>
          </w:p>
        </w:tc>
        <w:tc>
          <w:tcPr>
            <w:tcW w:w="1135" w:type="dxa"/>
          </w:tcPr>
          <w:p>
            <w:pPr>
              <w:pStyle w:val="nTable"/>
              <w:spacing w:after="40"/>
            </w:pPr>
            <w:r>
              <w:t>25 Oct 1996</w:t>
            </w:r>
          </w:p>
        </w:tc>
        <w:tc>
          <w:tcPr>
            <w:tcW w:w="2561"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Transfer of Land Amendment Act 1996</w:t>
            </w:r>
            <w:r>
              <w:t xml:space="preserve"> s. 153(1)</w:t>
            </w:r>
          </w:p>
        </w:tc>
        <w:tc>
          <w:tcPr>
            <w:tcW w:w="1139" w:type="dxa"/>
          </w:tcPr>
          <w:p>
            <w:pPr>
              <w:pStyle w:val="nTable"/>
              <w:spacing w:after="40"/>
            </w:pPr>
            <w:r>
              <w:t>81 of 1996</w:t>
            </w:r>
          </w:p>
        </w:tc>
        <w:tc>
          <w:tcPr>
            <w:tcW w:w="1135" w:type="dxa"/>
          </w:tcPr>
          <w:p>
            <w:pPr>
              <w:pStyle w:val="nTable"/>
              <w:spacing w:after="40"/>
            </w:pPr>
            <w:r>
              <w:t>14 Nov 1996</w:t>
            </w:r>
          </w:p>
        </w:tc>
        <w:tc>
          <w:tcPr>
            <w:tcW w:w="2561" w:type="dxa"/>
            <w:gridSpan w:val="2"/>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as at 20 Jan 1997 </w:t>
            </w:r>
            <w:r>
              <w:t xml:space="preserve">(includes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Statutes (Repeals and Minor Amendments) Act 1997</w:t>
            </w:r>
            <w:r>
              <w:t xml:space="preserve"> s. 26</w:t>
            </w:r>
          </w:p>
        </w:tc>
        <w:tc>
          <w:tcPr>
            <w:tcW w:w="1139" w:type="dxa"/>
          </w:tcPr>
          <w:p>
            <w:pPr>
              <w:pStyle w:val="nTable"/>
              <w:spacing w:after="40"/>
            </w:pPr>
            <w:r>
              <w:t>57 of 1997</w:t>
            </w:r>
          </w:p>
        </w:tc>
        <w:tc>
          <w:tcPr>
            <w:tcW w:w="1135" w:type="dxa"/>
          </w:tcPr>
          <w:p>
            <w:pPr>
              <w:pStyle w:val="nTable"/>
              <w:spacing w:after="40"/>
            </w:pPr>
            <w:r>
              <w:t>15 Dec 1997</w:t>
            </w:r>
          </w:p>
        </w:tc>
        <w:tc>
          <w:tcPr>
            <w:tcW w:w="2561"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Statutes (Repeals and Minor Amendments) Act (No. 2) 1998</w:t>
            </w:r>
            <w:r>
              <w:t xml:space="preserve"> s. 20</w:t>
            </w:r>
          </w:p>
        </w:tc>
        <w:tc>
          <w:tcPr>
            <w:tcW w:w="1139" w:type="dxa"/>
          </w:tcPr>
          <w:p>
            <w:pPr>
              <w:pStyle w:val="nTable"/>
              <w:spacing w:after="40"/>
            </w:pPr>
            <w:r>
              <w:t>10 of 1998</w:t>
            </w:r>
          </w:p>
        </w:tc>
        <w:tc>
          <w:tcPr>
            <w:tcW w:w="1135" w:type="dxa"/>
          </w:tcPr>
          <w:p>
            <w:pPr>
              <w:pStyle w:val="nTable"/>
              <w:spacing w:after="40"/>
            </w:pPr>
            <w:r>
              <w:t>30 Apr 1998</w:t>
            </w:r>
          </w:p>
        </w:tc>
        <w:tc>
          <w:tcPr>
            <w:tcW w:w="2561"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vertAlign w:val="superscript"/>
              </w:rPr>
            </w:pPr>
            <w:r>
              <w:rPr>
                <w:i/>
              </w:rPr>
              <w:t>Fire and Emergency Services Authority of Western Australia (Consequential Provisions) Act 1998</w:t>
            </w:r>
            <w:r>
              <w:t xml:space="preserve"> Pt. 2 </w:t>
            </w:r>
            <w:r>
              <w:rPr>
                <w:vertAlign w:val="superscript"/>
              </w:rPr>
              <w:t>5</w:t>
            </w:r>
          </w:p>
        </w:tc>
        <w:tc>
          <w:tcPr>
            <w:tcW w:w="1139" w:type="dxa"/>
          </w:tcPr>
          <w:p>
            <w:pPr>
              <w:pStyle w:val="nTable"/>
              <w:spacing w:after="40"/>
            </w:pPr>
            <w:r>
              <w:t>42 of 1998</w:t>
            </w:r>
          </w:p>
        </w:tc>
        <w:tc>
          <w:tcPr>
            <w:tcW w:w="1135" w:type="dxa"/>
          </w:tcPr>
          <w:p>
            <w:pPr>
              <w:pStyle w:val="nTable"/>
              <w:spacing w:after="40"/>
            </w:pPr>
            <w:r>
              <w:t>4 Nov 1998</w:t>
            </w:r>
          </w:p>
        </w:tc>
        <w:tc>
          <w:tcPr>
            <w:tcW w:w="2561" w:type="dxa"/>
            <w:gridSpan w:val="2"/>
          </w:tcPr>
          <w:p>
            <w:pPr>
              <w:pStyle w:val="nTable"/>
              <w:spacing w:after="40"/>
            </w:pP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vertAlign w:val="superscript"/>
              </w:rPr>
            </w:pPr>
            <w:r>
              <w:rPr>
                <w:i/>
              </w:rPr>
              <w:t xml:space="preserve">Fire and Emergency Services Legislation Amendment Act 2002 </w:t>
            </w:r>
            <w:r>
              <w:t>s. 15</w:t>
            </w:r>
            <w:r>
              <w:noBreakHyphen/>
              <w:t>40 </w:t>
            </w:r>
            <w:r>
              <w:rPr>
                <w:vertAlign w:val="superscript"/>
              </w:rPr>
              <w:t>6</w:t>
            </w:r>
          </w:p>
        </w:tc>
        <w:tc>
          <w:tcPr>
            <w:tcW w:w="1139" w:type="dxa"/>
          </w:tcPr>
          <w:p>
            <w:pPr>
              <w:pStyle w:val="nTable"/>
              <w:spacing w:after="40"/>
            </w:pPr>
            <w:r>
              <w:t>38 of 2002</w:t>
            </w:r>
          </w:p>
        </w:tc>
        <w:tc>
          <w:tcPr>
            <w:tcW w:w="1135" w:type="dxa"/>
          </w:tcPr>
          <w:p>
            <w:pPr>
              <w:pStyle w:val="nTable"/>
              <w:spacing w:after="40"/>
            </w:pPr>
            <w:r>
              <w:t>20 Nov 2002</w:t>
            </w:r>
          </w:p>
        </w:tc>
        <w:tc>
          <w:tcPr>
            <w:tcW w:w="2561" w:type="dxa"/>
            <w:gridSpan w:val="2"/>
          </w:tcPr>
          <w:p>
            <w:pPr>
              <w:pStyle w:val="nTable"/>
              <w:spacing w:after="40"/>
            </w:pPr>
            <w:r>
              <w:t xml:space="preserve">30 Nov 2002 (see s. 2 and </w:t>
            </w:r>
            <w:r>
              <w:rPr>
                <w:i/>
              </w:rPr>
              <w:t>Gazette</w:t>
            </w:r>
            <w:r>
              <w:t xml:space="preserve"> 29 Nov 2002 p. 5651</w:t>
            </w:r>
            <w:r>
              <w:noBreakHyphen/>
              <w:t>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(Equality of Status) Act 2003</w:t>
            </w:r>
            <w:r>
              <w:t xml:space="preserve"> Pt. 4</w:t>
            </w:r>
          </w:p>
        </w:tc>
        <w:tc>
          <w:tcPr>
            <w:tcW w:w="1139" w:type="dxa"/>
          </w:tcPr>
          <w:p>
            <w:pPr>
              <w:pStyle w:val="nTable"/>
              <w:spacing w:after="40"/>
            </w:pPr>
            <w:r>
              <w:t>28 of 2003</w:t>
            </w:r>
          </w:p>
        </w:tc>
        <w:tc>
          <w:tcPr>
            <w:tcW w:w="1135" w:type="dxa"/>
          </w:tcPr>
          <w:p>
            <w:pPr>
              <w:pStyle w:val="nTable"/>
              <w:spacing w:after="40"/>
            </w:pPr>
            <w:r>
              <w:t>22 May 2003</w:t>
            </w:r>
          </w:p>
        </w:tc>
        <w:tc>
          <w:tcPr>
            <w:tcW w:w="2561" w:type="dxa"/>
            <w:gridSpan w:val="2"/>
          </w:tcPr>
          <w:p>
            <w:pPr>
              <w:pStyle w:val="nTable"/>
              <w:spacing w:after="40"/>
            </w:pPr>
            <w:r>
              <w:t xml:space="preserve">1 Jul 2003 (see s. 2 and </w:t>
            </w:r>
            <w:r>
              <w:rPr>
                <w:i/>
              </w:rPr>
              <w:t>Gazette</w:t>
            </w:r>
            <w:r>
              <w:t xml:space="preserve"> 30 Jun 2003 p. 2579)</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6: The </w:t>
            </w:r>
            <w:r>
              <w:rPr>
                <w:b/>
                <w:i/>
              </w:rPr>
              <w:t>Bush Fires Act 1954</w:t>
            </w:r>
            <w:r>
              <w:rPr>
                <w:b/>
              </w:rPr>
              <w:t xml:space="preserve"> as at 1 Aug 2003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and Repeal (Competition Policy) Act 2003</w:t>
            </w:r>
            <w:r>
              <w:t xml:space="preserve"> Pt. 3</w:t>
            </w:r>
          </w:p>
        </w:tc>
        <w:tc>
          <w:tcPr>
            <w:tcW w:w="1139" w:type="dxa"/>
          </w:tcPr>
          <w:p>
            <w:pPr>
              <w:pStyle w:val="nTable"/>
              <w:spacing w:after="40"/>
            </w:pPr>
            <w:r>
              <w:t>70 of 2003</w:t>
            </w:r>
          </w:p>
        </w:tc>
        <w:tc>
          <w:tcPr>
            <w:tcW w:w="1135" w:type="dxa"/>
          </w:tcPr>
          <w:p>
            <w:pPr>
              <w:pStyle w:val="nTable"/>
              <w:spacing w:after="40"/>
            </w:pPr>
            <w:r>
              <w:t>15 Dec 2003</w:t>
            </w:r>
          </w:p>
        </w:tc>
        <w:tc>
          <w:tcPr>
            <w:tcW w:w="2561" w:type="dxa"/>
            <w:gridSpan w:val="2"/>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
              </w:rPr>
            </w:pPr>
            <w:r>
              <w:rPr>
                <w:i/>
              </w:rPr>
              <w:t>Criminal Code Amendment Act 2004</w:t>
            </w:r>
            <w:r>
              <w:t xml:space="preserve"> s. 58</w:t>
            </w:r>
          </w:p>
        </w:tc>
        <w:tc>
          <w:tcPr>
            <w:tcW w:w="1139" w:type="dxa"/>
          </w:tcPr>
          <w:p>
            <w:pPr>
              <w:pStyle w:val="nTable"/>
              <w:spacing w:after="40"/>
            </w:pPr>
            <w:r>
              <w:t>4 of 2004</w:t>
            </w:r>
          </w:p>
        </w:tc>
        <w:tc>
          <w:tcPr>
            <w:tcW w:w="1135" w:type="dxa"/>
          </w:tcPr>
          <w:p>
            <w:pPr>
              <w:pStyle w:val="nTable"/>
              <w:spacing w:after="40"/>
            </w:pPr>
            <w:r>
              <w:t>23 Apr 2004</w:t>
            </w:r>
          </w:p>
        </w:tc>
        <w:tc>
          <w:tcPr>
            <w:tcW w:w="2561" w:type="dxa"/>
            <w:gridSpan w:val="2"/>
          </w:tcPr>
          <w:p>
            <w:pPr>
              <w:pStyle w:val="nTable"/>
              <w:spacing w:after="40"/>
            </w:pPr>
            <w:r>
              <w:t>21 May 2004 (see s. 2)</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vertAlign w:val="superscript"/>
              </w:rPr>
            </w:pPr>
            <w:r>
              <w:rPr>
                <w:i/>
                <w:iCs/>
                <w:snapToGrid w:val="0"/>
              </w:rPr>
              <w:t>Workers’ Compensation Reform Act 2004</w:t>
            </w:r>
            <w:r>
              <w:rPr>
                <w:snapToGrid w:val="0"/>
              </w:rPr>
              <w:t xml:space="preserve"> s. 174</w:t>
            </w:r>
          </w:p>
        </w:tc>
        <w:tc>
          <w:tcPr>
            <w:tcW w:w="1139" w:type="dxa"/>
            <w:tcBorders>
              <w:top w:val="nil"/>
              <w:bottom w:val="nil"/>
            </w:tcBorders>
          </w:tcPr>
          <w:p>
            <w:pPr>
              <w:pStyle w:val="nTable"/>
              <w:spacing w:after="40"/>
              <w:rPr>
                <w:snapToGrid w:val="0"/>
              </w:rPr>
            </w:pPr>
            <w:r>
              <w:rPr>
                <w:snapToGrid w:val="0"/>
              </w:rPr>
              <w:t>42 of 2004</w:t>
            </w:r>
          </w:p>
        </w:tc>
        <w:tc>
          <w:tcPr>
            <w:tcW w:w="1135" w:type="dxa"/>
            <w:tcBorders>
              <w:top w:val="nil"/>
              <w:bottom w:val="nil"/>
            </w:tcBorders>
          </w:tcPr>
          <w:p>
            <w:pPr>
              <w:pStyle w:val="nTable"/>
              <w:spacing w:after="40"/>
            </w:pPr>
            <w:r>
              <w:t>9 Nov 2004</w:t>
            </w:r>
          </w:p>
        </w:tc>
        <w:tc>
          <w:tcPr>
            <w:tcW w:w="2561" w:type="dxa"/>
            <w:gridSpan w:val="2"/>
            <w:tcBorders>
              <w:top w:val="nil"/>
              <w:bottom w:val="nil"/>
            </w:tcBorders>
          </w:tcPr>
          <w:p>
            <w:pPr>
              <w:pStyle w:val="nTable"/>
              <w:spacing w:after="40"/>
              <w:rPr>
                <w:snapToGrid w:val="0"/>
              </w:rPr>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rPr>
            </w:pPr>
            <w:r>
              <w:rPr>
                <w:i/>
                <w:iCs/>
                <w:snapToGrid w:val="0"/>
              </w:rPr>
              <w:t>Courts Legislation Amendment and Repeal Act 2004</w:t>
            </w:r>
            <w:r>
              <w:rPr>
                <w:snapToGrid w:val="0"/>
              </w:rPr>
              <w:t xml:space="preserve"> s. 141</w:t>
            </w:r>
          </w:p>
        </w:tc>
        <w:tc>
          <w:tcPr>
            <w:tcW w:w="1139" w:type="dxa"/>
            <w:tcBorders>
              <w:top w:val="nil"/>
              <w:bottom w:val="nil"/>
            </w:tcBorders>
          </w:tcPr>
          <w:p>
            <w:pPr>
              <w:pStyle w:val="nTable"/>
              <w:spacing w:after="40"/>
              <w:rPr>
                <w:snapToGrid w:val="0"/>
              </w:rPr>
            </w:pPr>
            <w:r>
              <w:rPr>
                <w:snapToGrid w:val="0"/>
              </w:rPr>
              <w:t>59 of 2004</w:t>
            </w:r>
          </w:p>
        </w:tc>
        <w:tc>
          <w:tcPr>
            <w:tcW w:w="1135" w:type="dxa"/>
            <w:tcBorders>
              <w:top w:val="nil"/>
              <w:bottom w:val="nil"/>
            </w:tcBorders>
          </w:tcPr>
          <w:p>
            <w:pPr>
              <w:pStyle w:val="nTable"/>
              <w:spacing w:after="40"/>
            </w:pPr>
            <w:r>
              <w:t>23 Nov 2004</w:t>
            </w:r>
          </w:p>
        </w:tc>
        <w:tc>
          <w:tcPr>
            <w:tcW w:w="2561" w:type="dxa"/>
            <w:gridSpan w:val="2"/>
            <w:tcBorders>
              <w:top w:val="nil"/>
              <w:bottom w:val="nil"/>
            </w:tcBorders>
          </w:tcPr>
          <w:p>
            <w:pPr>
              <w:pStyle w:val="nTable"/>
              <w:spacing w:after="40"/>
              <w:rPr>
                <w:iCs/>
                <w:snapToGrid w:val="0"/>
                <w:spacing w:val="-2"/>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vertAlign w:val="superscript"/>
              </w:rPr>
            </w:pPr>
            <w:r>
              <w:rPr>
                <w:i/>
                <w:iCs/>
                <w:snapToGrid w:val="0"/>
              </w:rPr>
              <w:lastRenderedPageBreak/>
              <w:t>Criminal Procedure and Appeals (Consequential and Other Provisions) Act 2004</w:t>
            </w:r>
            <w:r>
              <w:rPr>
                <w:snapToGrid w:val="0"/>
              </w:rPr>
              <w:t xml:space="preserve"> s. 80</w:t>
            </w:r>
          </w:p>
        </w:tc>
        <w:tc>
          <w:tcPr>
            <w:tcW w:w="1139" w:type="dxa"/>
            <w:tcBorders>
              <w:top w:val="nil"/>
              <w:bottom w:val="nil"/>
            </w:tcBorders>
          </w:tcPr>
          <w:p>
            <w:pPr>
              <w:pStyle w:val="nTable"/>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61" w:type="dxa"/>
            <w:gridSpan w:val="2"/>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108" w:type="dxa"/>
            <w:gridSpan w:val="5"/>
            <w:tcBorders>
              <w:top w:val="nil"/>
              <w:bottom w:val="nil"/>
            </w:tcBorders>
          </w:tcPr>
          <w:p>
            <w:pPr>
              <w:pStyle w:val="nTable"/>
              <w:spacing w:after="40"/>
              <w:rPr>
                <w:snapToGrid w:val="0"/>
              </w:rPr>
            </w:pPr>
            <w:r>
              <w:rPr>
                <w:b/>
              </w:rPr>
              <w:t xml:space="preserve">Reprint 7: The </w:t>
            </w:r>
            <w:r>
              <w:rPr>
                <w:b/>
                <w:i/>
              </w:rPr>
              <w:t>Bush Fires Act 1954</w:t>
            </w:r>
            <w:r>
              <w:rPr>
                <w:b/>
              </w:rPr>
              <w:t xml:space="preserve"> as at 3 Mar 2006 </w:t>
            </w:r>
            <w:r>
              <w:t>(includes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rPr>
            </w:pPr>
            <w:r>
              <w:rPr>
                <w:i/>
                <w:iCs/>
                <w:snapToGrid w:val="0"/>
              </w:rPr>
              <w:t xml:space="preserve">Machinery of Government (Miscellaneous Amendments) Act 2006 </w:t>
            </w:r>
            <w:r>
              <w:rPr>
                <w:snapToGrid w:val="0"/>
              </w:rPr>
              <w:t>Pt. 14 Div. 1</w:t>
            </w:r>
          </w:p>
        </w:tc>
        <w:tc>
          <w:tcPr>
            <w:tcW w:w="1139" w:type="dxa"/>
            <w:tcBorders>
              <w:top w:val="nil"/>
              <w:bottom w:val="nil"/>
            </w:tcBorders>
          </w:tcPr>
          <w:p>
            <w:pPr>
              <w:pStyle w:val="nTable"/>
              <w:spacing w:after="40"/>
              <w:rPr>
                <w:snapToGrid w:val="0"/>
              </w:rPr>
            </w:pPr>
            <w:r>
              <w:rPr>
                <w:snapToGrid w:val="0"/>
              </w:rPr>
              <w:t>28 of 2006</w:t>
            </w:r>
          </w:p>
        </w:tc>
        <w:tc>
          <w:tcPr>
            <w:tcW w:w="1135" w:type="dxa"/>
            <w:tcBorders>
              <w:top w:val="nil"/>
              <w:bottom w:val="nil"/>
            </w:tcBorders>
          </w:tcPr>
          <w:p>
            <w:pPr>
              <w:pStyle w:val="nTable"/>
              <w:spacing w:after="40"/>
            </w:pPr>
            <w:r>
              <w:t>26 Jun 2006</w:t>
            </w:r>
          </w:p>
        </w:tc>
        <w:tc>
          <w:tcPr>
            <w:tcW w:w="2561" w:type="dxa"/>
            <w:gridSpan w:val="2"/>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126</w:t>
            </w:r>
          </w:p>
        </w:tc>
        <w:tc>
          <w:tcPr>
            <w:tcW w:w="1139" w:type="dxa"/>
            <w:tcBorders>
              <w:top w:val="nil"/>
              <w:bottom w:val="nil"/>
            </w:tcBorders>
          </w:tcPr>
          <w:p>
            <w:pPr>
              <w:pStyle w:val="nTable"/>
              <w:spacing w:after="40"/>
              <w:rPr>
                <w:snapToGrid w:val="0"/>
              </w:rPr>
            </w:pPr>
            <w:r>
              <w:rPr>
                <w:snapToGrid w:val="0"/>
              </w:rPr>
              <w:t>60 of 2006</w:t>
            </w:r>
          </w:p>
        </w:tc>
        <w:tc>
          <w:tcPr>
            <w:tcW w:w="1135" w:type="dxa"/>
            <w:tcBorders>
              <w:top w:val="nil"/>
              <w:bottom w:val="nil"/>
            </w:tcBorders>
          </w:tcPr>
          <w:p>
            <w:pPr>
              <w:pStyle w:val="nTable"/>
              <w:spacing w:after="40"/>
            </w:pPr>
            <w:r>
              <w:rPr>
                <w:snapToGrid w:val="0"/>
              </w:rPr>
              <w:t>16 Nov 2006</w:t>
            </w:r>
          </w:p>
        </w:tc>
        <w:tc>
          <w:tcPr>
            <w:tcW w:w="2561" w:type="dxa"/>
            <w:gridSpan w:val="2"/>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28</w:t>
            </w:r>
          </w:p>
        </w:tc>
        <w:tc>
          <w:tcPr>
            <w:tcW w:w="1139" w:type="dxa"/>
          </w:tcPr>
          <w:p>
            <w:pPr>
              <w:pStyle w:val="nTable"/>
              <w:spacing w:after="40"/>
            </w:pPr>
            <w:r>
              <w:rPr>
                <w:snapToGrid w:val="0"/>
              </w:rPr>
              <w:t>24 of 2007</w:t>
            </w:r>
          </w:p>
        </w:tc>
        <w:tc>
          <w:tcPr>
            <w:tcW w:w="1135" w:type="dxa"/>
          </w:tcPr>
          <w:p>
            <w:pPr>
              <w:pStyle w:val="nTable"/>
              <w:spacing w:after="40"/>
            </w:pPr>
            <w:r>
              <w:rPr>
                <w:snapToGrid w:val="0"/>
              </w:rPr>
              <w:t>12 Oct 2007</w:t>
            </w:r>
          </w:p>
        </w:tc>
        <w:tc>
          <w:tcPr>
            <w:tcW w:w="2561" w:type="dxa"/>
            <w:gridSpan w:val="2"/>
          </w:tcPr>
          <w:p>
            <w:pPr>
              <w:pStyle w:val="nTable"/>
              <w:spacing w:after="40"/>
              <w:rPr>
                <w:b/>
              </w:rPr>
            </w:pPr>
            <w:r>
              <w:rPr>
                <w:snapToGrid w:val="0"/>
              </w:rPr>
              <w:t xml:space="preserve">1 May 2013 (see s. 2(2) and </w:t>
            </w:r>
            <w:r>
              <w:rPr>
                <w:i/>
                <w:snapToGrid w:val="0"/>
              </w:rPr>
              <w:t>Gazette</w:t>
            </w:r>
            <w:r>
              <w:rPr>
                <w:snapToGrid w:val="0"/>
              </w:rPr>
              <w:t xml:space="preserve"> 5 Feb 2013 p. 823)</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rPr>
            </w:pPr>
            <w:r>
              <w:rPr>
                <w:i/>
                <w:snapToGrid w:val="0"/>
              </w:rPr>
              <w:t>Bush Fires Amendment Act 2009</w:t>
            </w:r>
            <w:r>
              <w:rPr>
                <w:iCs/>
                <w:snapToGrid w:val="0"/>
              </w:rPr>
              <w:t xml:space="preserve"> Pt. 2</w:t>
            </w:r>
          </w:p>
        </w:tc>
        <w:tc>
          <w:tcPr>
            <w:tcW w:w="1139" w:type="dxa"/>
            <w:tcBorders>
              <w:top w:val="nil"/>
              <w:bottom w:val="nil"/>
            </w:tcBorders>
          </w:tcPr>
          <w:p>
            <w:pPr>
              <w:pStyle w:val="nTable"/>
              <w:spacing w:after="40"/>
              <w:rPr>
                <w:snapToGrid w:val="0"/>
              </w:rPr>
            </w:pPr>
            <w:r>
              <w:rPr>
                <w:snapToGrid w:val="0"/>
              </w:rPr>
              <w:t>25 of 2009</w:t>
            </w:r>
          </w:p>
        </w:tc>
        <w:tc>
          <w:tcPr>
            <w:tcW w:w="1135" w:type="dxa"/>
            <w:tcBorders>
              <w:top w:val="nil"/>
              <w:bottom w:val="nil"/>
            </w:tcBorders>
          </w:tcPr>
          <w:p>
            <w:pPr>
              <w:pStyle w:val="nTable"/>
              <w:spacing w:after="40"/>
              <w:rPr>
                <w:snapToGrid w:val="0"/>
              </w:rPr>
            </w:pPr>
            <w:r>
              <w:rPr>
                <w:snapToGrid w:val="0"/>
              </w:rPr>
              <w:t>17 Nov 2009</w:t>
            </w:r>
          </w:p>
        </w:tc>
        <w:tc>
          <w:tcPr>
            <w:tcW w:w="2561" w:type="dxa"/>
            <w:gridSpan w:val="2"/>
            <w:tcBorders>
              <w:top w:val="nil"/>
              <w:bottom w:val="nil"/>
            </w:tcBorders>
          </w:tcPr>
          <w:p>
            <w:pPr>
              <w:pStyle w:val="nTable"/>
              <w:spacing w:after="40"/>
              <w:rPr>
                <w:snapToGrid w:val="0"/>
              </w:rPr>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Cs/>
                <w:snapToGrid w:val="0"/>
              </w:rPr>
            </w:pPr>
            <w:r>
              <w:rPr>
                <w:i/>
                <w:snapToGrid w:val="0"/>
              </w:rPr>
              <w:t>Arson Legislation Amendment Act 2009</w:t>
            </w:r>
            <w:r>
              <w:rPr>
                <w:iCs/>
                <w:snapToGrid w:val="0"/>
              </w:rPr>
              <w:t xml:space="preserve"> Pt. 2</w:t>
            </w:r>
          </w:p>
        </w:tc>
        <w:tc>
          <w:tcPr>
            <w:tcW w:w="1139" w:type="dxa"/>
          </w:tcPr>
          <w:p>
            <w:pPr>
              <w:pStyle w:val="nTable"/>
              <w:spacing w:after="40"/>
            </w:pPr>
            <w:r>
              <w:t>43 of 2009</w:t>
            </w:r>
          </w:p>
        </w:tc>
        <w:tc>
          <w:tcPr>
            <w:tcW w:w="1135" w:type="dxa"/>
          </w:tcPr>
          <w:p>
            <w:pPr>
              <w:pStyle w:val="nTable"/>
              <w:spacing w:after="40"/>
            </w:pPr>
            <w:r>
              <w:t>3 Dec 2009</w:t>
            </w:r>
          </w:p>
        </w:tc>
        <w:tc>
          <w:tcPr>
            <w:tcW w:w="2561" w:type="dxa"/>
            <w:gridSpan w:val="2"/>
          </w:tcPr>
          <w:p>
            <w:pPr>
              <w:pStyle w:val="nTable"/>
              <w:spacing w:after="40"/>
              <w:rPr>
                <w:snapToGrid w:val="0"/>
              </w:rPr>
            </w:pPr>
            <w:r>
              <w:rPr>
                <w:snapToGrid w:val="0"/>
              </w:rPr>
              <w:t xml:space="preserve">19 Dec 2009 (see s. 2(b) and </w:t>
            </w:r>
            <w:r>
              <w:rPr>
                <w:i/>
                <w:iCs/>
                <w:snapToGrid w:val="0"/>
              </w:rPr>
              <w:t>Gazette</w:t>
            </w:r>
            <w:r>
              <w:rPr>
                <w:snapToGrid w:val="0"/>
              </w:rPr>
              <w:t xml:space="preserve"> 18 Dec 2009 p. 5167)</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rPr>
                <w:snapToGrid w:val="0"/>
              </w:rPr>
            </w:pPr>
            <w:r>
              <w:rPr>
                <w:b/>
              </w:rPr>
              <w:t xml:space="preserve">Reprint 8: The </w:t>
            </w:r>
            <w:r>
              <w:rPr>
                <w:b/>
                <w:i/>
              </w:rPr>
              <w:t>Bush Fires Act 1954</w:t>
            </w:r>
            <w:r>
              <w:rPr>
                <w:b/>
              </w:rPr>
              <w:t xml:space="preserve"> as at 9 Apr 2010 </w:t>
            </w:r>
            <w:r>
              <w:t xml:space="preserve">(includes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43(3) and 52</w:t>
            </w:r>
            <w:r>
              <w:rPr>
                <w:iCs/>
                <w:snapToGrid w:val="0"/>
                <w:vertAlign w:val="superscript"/>
              </w:rPr>
              <w:t> 7</w:t>
            </w:r>
          </w:p>
        </w:tc>
        <w:tc>
          <w:tcPr>
            <w:tcW w:w="1139" w:type="dxa"/>
          </w:tcPr>
          <w:p>
            <w:pPr>
              <w:pStyle w:val="nTable"/>
              <w:spacing w:after="40"/>
              <w:rPr>
                <w:snapToGrid w:val="0"/>
              </w:rPr>
            </w:pPr>
            <w:r>
              <w:rPr>
                <w:snapToGrid w:val="0"/>
              </w:rPr>
              <w:t>19 of 2010 (as amended by No. 17 of 2014 s. 39(5)</w:t>
            </w:r>
            <w:r>
              <w:rPr>
                <w:snapToGrid w:val="0"/>
              </w:rPr>
              <w:noBreakHyphen/>
              <w:t>(8))</w:t>
            </w:r>
          </w:p>
        </w:tc>
        <w:tc>
          <w:tcPr>
            <w:tcW w:w="1135" w:type="dxa"/>
          </w:tcPr>
          <w:p>
            <w:pPr>
              <w:pStyle w:val="nTable"/>
              <w:spacing w:after="40"/>
              <w:rPr>
                <w:snapToGrid w:val="0"/>
              </w:rPr>
            </w:pPr>
            <w:r>
              <w:rPr>
                <w:snapToGrid w:val="0"/>
              </w:rPr>
              <w:t>28 Jun 2010</w:t>
            </w:r>
          </w:p>
        </w:tc>
        <w:tc>
          <w:tcPr>
            <w:tcW w:w="2561" w:type="dxa"/>
            <w:gridSpan w:val="2"/>
          </w:tcPr>
          <w:p>
            <w:pPr>
              <w:pStyle w:val="nTable"/>
              <w:spacing w:after="40"/>
              <w:rPr>
                <w:snapToGrid w:val="0"/>
              </w:rPr>
            </w:pPr>
            <w:r>
              <w:rPr>
                <w:color w:val="000000"/>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rPr>
              <w:t xml:space="preserve">Gazette </w:t>
            </w:r>
            <w:r>
              <w:rPr>
                <w:color w:val="000000"/>
              </w:rPr>
              <w:t>10 Sep 2010 p. 4341)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9" w:type="dxa"/>
          </w:tcPr>
          <w:p>
            <w:pPr>
              <w:pStyle w:val="nTable"/>
              <w:spacing w:after="40"/>
              <w:rPr>
                <w:snapToGrid w:val="0"/>
              </w:rPr>
            </w:pPr>
            <w:r>
              <w:rPr>
                <w:snapToGrid w:val="0"/>
              </w:rPr>
              <w:t>47 of 2011</w:t>
            </w:r>
          </w:p>
        </w:tc>
        <w:tc>
          <w:tcPr>
            <w:tcW w:w="1135" w:type="dxa"/>
          </w:tcPr>
          <w:p>
            <w:pPr>
              <w:pStyle w:val="nTable"/>
              <w:spacing w:after="40"/>
              <w:rPr>
                <w:snapToGrid w:val="0"/>
              </w:rPr>
            </w:pPr>
            <w:r>
              <w:rPr>
                <w:snapToGrid w:val="0"/>
              </w:rPr>
              <w:t>25 Oct 2011</w:t>
            </w:r>
          </w:p>
        </w:tc>
        <w:tc>
          <w:tcPr>
            <w:tcW w:w="2561" w:type="dxa"/>
            <w:gridSpan w:val="2"/>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w:t>
            </w:r>
            <w:r>
              <w:rPr>
                <w:snapToGrid w:val="0"/>
                <w:vertAlign w:val="superscript"/>
              </w:rPr>
              <w:t> </w:t>
            </w:r>
          </w:p>
        </w:tc>
        <w:tc>
          <w:tcPr>
            <w:tcW w:w="1139" w:type="dxa"/>
          </w:tcPr>
          <w:p>
            <w:pPr>
              <w:pStyle w:val="nTable"/>
              <w:spacing w:after="40"/>
              <w:rPr>
                <w:snapToGrid w:val="0"/>
              </w:rPr>
            </w:pPr>
            <w:r>
              <w:rPr>
                <w:snapToGrid w:val="0"/>
              </w:rPr>
              <w:t>8 of 2012</w:t>
            </w:r>
          </w:p>
        </w:tc>
        <w:tc>
          <w:tcPr>
            <w:tcW w:w="1135" w:type="dxa"/>
          </w:tcPr>
          <w:p>
            <w:pPr>
              <w:pStyle w:val="nTable"/>
              <w:spacing w:after="40"/>
              <w:rPr>
                <w:snapToGrid w:val="0"/>
              </w:rPr>
            </w:pPr>
            <w:r>
              <w:rPr>
                <w:snapToGrid w:val="0"/>
              </w:rPr>
              <w:t>21 May 2012</w:t>
            </w:r>
          </w:p>
        </w:tc>
        <w:tc>
          <w:tcPr>
            <w:tcW w:w="2561"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lastRenderedPageBreak/>
              <w:t>Fire and Emergency Services Legislation Amendment Act 2012</w:t>
            </w:r>
            <w:r>
              <w:rPr>
                <w:snapToGrid w:val="0"/>
              </w:rPr>
              <w:t xml:space="preserve"> Pt. 3</w:t>
            </w:r>
          </w:p>
        </w:tc>
        <w:tc>
          <w:tcPr>
            <w:tcW w:w="1139" w:type="dxa"/>
            <w:shd w:val="clear" w:color="auto" w:fill="auto"/>
          </w:tcPr>
          <w:p>
            <w:pPr>
              <w:pStyle w:val="nTable"/>
              <w:spacing w:after="40"/>
              <w:rPr>
                <w:snapToGrid w:val="0"/>
              </w:rPr>
            </w:pPr>
            <w:r>
              <w:rPr>
                <w:snapToGrid w:val="0"/>
              </w:rPr>
              <w:t>22 of 2012</w:t>
            </w:r>
          </w:p>
        </w:tc>
        <w:tc>
          <w:tcPr>
            <w:tcW w:w="1135" w:type="dxa"/>
            <w:shd w:val="clear" w:color="auto" w:fill="auto"/>
          </w:tcPr>
          <w:p>
            <w:pPr>
              <w:pStyle w:val="nTable"/>
              <w:spacing w:after="40"/>
              <w:rPr>
                <w:snapToGrid w:val="0"/>
              </w:rPr>
            </w:pPr>
            <w:r>
              <w:rPr>
                <w:snapToGrid w:val="0"/>
              </w:rPr>
              <w:t>29 Aug 2012</w:t>
            </w:r>
          </w:p>
        </w:tc>
        <w:tc>
          <w:tcPr>
            <w:tcW w:w="2561" w:type="dxa"/>
            <w:gridSpan w:val="2"/>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7108" w:type="dxa"/>
            <w:gridSpan w:val="5"/>
            <w:shd w:val="clear" w:color="auto" w:fill="auto"/>
          </w:tcPr>
          <w:p>
            <w:pPr>
              <w:pStyle w:val="nTable"/>
              <w:spacing w:after="40"/>
              <w:rPr>
                <w:snapToGrid w:val="0"/>
              </w:rPr>
            </w:pPr>
            <w:r>
              <w:rPr>
                <w:b/>
              </w:rPr>
              <w:t xml:space="preserve">Reprint 9:  The </w:t>
            </w:r>
            <w:r>
              <w:rPr>
                <w:b/>
                <w:i/>
              </w:rPr>
              <w:t>Bush Fires Act 1954</w:t>
            </w:r>
            <w:r>
              <w:rPr>
                <w:b/>
              </w:rPr>
              <w:t xml:space="preserve"> as at 11 Oct 2013 </w:t>
            </w:r>
            <w:r>
              <w:t xml:space="preserve">(includes amendments listed above except those in the </w:t>
            </w:r>
            <w:r>
              <w:rPr>
                <w:i/>
                <w:snapToGrid w:val="0"/>
              </w:rPr>
              <w:t xml:space="preserve">Road Traffic Legislation Amendment Act 2012 </w:t>
            </w:r>
            <w:r>
              <w:rPr>
                <w:snapToGrid w:val="0"/>
              </w:rPr>
              <w:t>Pt. 4 Div. </w:t>
            </w:r>
            <w:r>
              <w:t>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17</w:t>
            </w:r>
          </w:p>
        </w:tc>
        <w:tc>
          <w:tcPr>
            <w:tcW w:w="1139" w:type="dxa"/>
            <w:shd w:val="clear" w:color="auto" w:fill="auto"/>
          </w:tcPr>
          <w:p>
            <w:pPr>
              <w:pStyle w:val="nTable"/>
              <w:spacing w:after="40"/>
              <w:rPr>
                <w:snapToGrid w:val="0"/>
              </w:rPr>
            </w:pPr>
            <w:r>
              <w:rPr>
                <w:snapToGrid w:val="0"/>
              </w:rPr>
              <w:t>17 of 2014</w:t>
            </w:r>
          </w:p>
        </w:tc>
        <w:tc>
          <w:tcPr>
            <w:tcW w:w="1135" w:type="dxa"/>
            <w:shd w:val="clear" w:color="auto" w:fill="auto"/>
          </w:tcPr>
          <w:p>
            <w:pPr>
              <w:pStyle w:val="nTable"/>
              <w:spacing w:after="40"/>
              <w:rPr>
                <w:snapToGrid w:val="0"/>
              </w:rPr>
            </w:pPr>
            <w:r>
              <w:rPr>
                <w:snapToGrid w:val="0"/>
              </w:rPr>
              <w:t>2 Jul 2014</w:t>
            </w:r>
          </w:p>
        </w:tc>
        <w:tc>
          <w:tcPr>
            <w:tcW w:w="2561" w:type="dxa"/>
            <w:gridSpan w:val="2"/>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Bush Fires Amendment Act 2016</w:t>
            </w:r>
            <w:r>
              <w:rPr>
                <w:snapToGrid w:val="0"/>
              </w:rPr>
              <w:t xml:space="preserve"> </w:t>
            </w:r>
          </w:p>
        </w:tc>
        <w:tc>
          <w:tcPr>
            <w:tcW w:w="1139" w:type="dxa"/>
            <w:shd w:val="clear" w:color="auto" w:fill="auto"/>
          </w:tcPr>
          <w:p>
            <w:pPr>
              <w:pStyle w:val="nTable"/>
              <w:spacing w:after="40"/>
              <w:rPr>
                <w:snapToGrid w:val="0"/>
              </w:rPr>
            </w:pPr>
            <w:r>
              <w:t>27 of 2016</w:t>
            </w:r>
          </w:p>
        </w:tc>
        <w:tc>
          <w:tcPr>
            <w:tcW w:w="1135" w:type="dxa"/>
            <w:shd w:val="clear" w:color="auto" w:fill="auto"/>
          </w:tcPr>
          <w:p>
            <w:pPr>
              <w:pStyle w:val="nTable"/>
              <w:spacing w:after="40"/>
              <w:rPr>
                <w:snapToGrid w:val="0"/>
              </w:rPr>
            </w:pPr>
            <w:r>
              <w:t>21 Sep 2016</w:t>
            </w:r>
          </w:p>
        </w:tc>
        <w:tc>
          <w:tcPr>
            <w:tcW w:w="2561" w:type="dxa"/>
            <w:gridSpan w:val="2"/>
            <w:shd w:val="clear" w:color="auto" w:fill="auto"/>
          </w:tcPr>
          <w:p>
            <w:pPr>
              <w:pStyle w:val="nTable"/>
              <w:spacing w:after="40"/>
              <w:rPr>
                <w:i/>
                <w:snapToGrid w:val="0"/>
              </w:rPr>
            </w:pPr>
            <w:r>
              <w:t>s. 1 and 2: 21 Sep 2016 (see s. 2(a));</w:t>
            </w:r>
            <w:r>
              <w:br/>
              <w:t xml:space="preserve">Act other than s. 1 and 2: 1 Jul 2017 (see s. 2(b) and </w:t>
            </w:r>
            <w:r>
              <w:rPr>
                <w:i/>
              </w:rPr>
              <w:t xml:space="preserve">Gazette </w:t>
            </w:r>
            <w:r>
              <w:t>30 Jun 2017 p. 3552)</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Biodiversity Conservation Act 2016</w:t>
            </w:r>
            <w:r>
              <w:t xml:space="preserve"> s. 312</w:t>
            </w:r>
          </w:p>
        </w:tc>
        <w:tc>
          <w:tcPr>
            <w:tcW w:w="1139" w:type="dxa"/>
            <w:shd w:val="clear" w:color="auto" w:fill="auto"/>
          </w:tcPr>
          <w:p>
            <w:pPr>
              <w:pStyle w:val="nTable"/>
              <w:spacing w:after="40"/>
            </w:pPr>
            <w:r>
              <w:t>24 of 2016</w:t>
            </w:r>
          </w:p>
        </w:tc>
        <w:tc>
          <w:tcPr>
            <w:tcW w:w="1135" w:type="dxa"/>
            <w:shd w:val="clear" w:color="auto" w:fill="auto"/>
          </w:tcPr>
          <w:p>
            <w:pPr>
              <w:pStyle w:val="nTable"/>
              <w:spacing w:after="40"/>
            </w:pPr>
            <w:r>
              <w:t>21 Sep 2016</w:t>
            </w:r>
          </w:p>
        </w:tc>
        <w:tc>
          <w:tcPr>
            <w:tcW w:w="2561" w:type="dxa"/>
            <w:gridSpan w:val="2"/>
            <w:shd w:val="clear" w:color="auto" w:fill="auto"/>
          </w:tcPr>
          <w:p>
            <w:pPr>
              <w:pStyle w:val="nTable"/>
              <w:spacing w:after="40"/>
            </w:pPr>
            <w:r>
              <w:t xml:space="preserve">1 Jan 2019 (see s. 2(b) and </w:t>
            </w:r>
            <w:r>
              <w:rPr>
                <w:i/>
              </w:rPr>
              <w:t>Gazette</w:t>
            </w:r>
            <w:r>
              <w:t xml:space="preserve"> 14 Sep 2018 p. 3305)</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2</w:t>
            </w:r>
            <w:r>
              <w:rPr>
                <w:snapToGrid w:val="0"/>
                <w:vertAlign w:val="superscript"/>
              </w:rPr>
              <w:t> </w:t>
            </w:r>
          </w:p>
        </w:tc>
        <w:tc>
          <w:tcPr>
            <w:tcW w:w="1139" w:type="dxa"/>
            <w:tcBorders>
              <w:top w:val="nil"/>
              <w:bottom w:val="nil"/>
            </w:tcBorders>
            <w:shd w:val="clear" w:color="auto" w:fill="auto"/>
          </w:tcPr>
          <w:p>
            <w:pPr>
              <w:pStyle w:val="nTable"/>
              <w:spacing w:after="40"/>
            </w:pPr>
            <w:r>
              <w:t>28 of 2016</w:t>
            </w:r>
          </w:p>
        </w:tc>
        <w:tc>
          <w:tcPr>
            <w:tcW w:w="1135"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pPr>
            <w:r>
              <w:t xml:space="preserve">16 Sep 2017 (see s. 2(b) and </w:t>
            </w:r>
            <w:r>
              <w:rPr>
                <w:i/>
              </w:rPr>
              <w:t xml:space="preserve">Gazette </w:t>
            </w:r>
            <w:r>
              <w:t>15 Sep 2017 p. 4791)</w:t>
            </w:r>
          </w:p>
        </w:tc>
      </w:tr>
      <w:tr>
        <w:tblPrEx>
          <w:tblBorders>
            <w:top w:val="none" w:sz="0" w:space="0" w:color="auto"/>
            <w:bottom w:val="none" w:sz="0" w:space="0" w:color="auto"/>
            <w:insideH w:val="none" w:sz="0" w:space="0" w:color="auto"/>
          </w:tblBorders>
        </w:tblPrEx>
        <w:trPr>
          <w:cantSplit/>
        </w:trPr>
        <w:tc>
          <w:tcPr>
            <w:tcW w:w="2273" w:type="dxa"/>
            <w:tcBorders>
              <w:bottom w:val="single" w:sz="2" w:space="0" w:color="auto"/>
            </w:tcBorders>
            <w:shd w:val="clear" w:color="auto" w:fill="auto"/>
          </w:tcPr>
          <w:p>
            <w:pPr>
              <w:pStyle w:val="nTable"/>
              <w:spacing w:after="40"/>
              <w:ind w:right="113"/>
              <w:rPr>
                <w:i/>
                <w:snapToGrid w:val="0"/>
              </w:rPr>
            </w:pPr>
            <w:r>
              <w:rPr>
                <w:i/>
              </w:rPr>
              <w:t>Environmental Protection Amendment Act 2020</w:t>
            </w:r>
            <w:r>
              <w:t xml:space="preserve"> s. 114</w:t>
            </w:r>
          </w:p>
        </w:tc>
        <w:tc>
          <w:tcPr>
            <w:tcW w:w="1139" w:type="dxa"/>
            <w:tcBorders>
              <w:bottom w:val="single" w:sz="2" w:space="0" w:color="auto"/>
            </w:tcBorders>
            <w:shd w:val="clear" w:color="auto" w:fill="auto"/>
          </w:tcPr>
          <w:p>
            <w:pPr>
              <w:pStyle w:val="nTable"/>
              <w:spacing w:after="40"/>
            </w:pPr>
            <w:r>
              <w:t>40 of 2020</w:t>
            </w:r>
          </w:p>
        </w:tc>
        <w:tc>
          <w:tcPr>
            <w:tcW w:w="1135" w:type="dxa"/>
            <w:tcBorders>
              <w:bottom w:val="single" w:sz="2" w:space="0" w:color="auto"/>
            </w:tcBorders>
            <w:shd w:val="clear" w:color="auto" w:fill="auto"/>
          </w:tcPr>
          <w:p>
            <w:pPr>
              <w:pStyle w:val="nTable"/>
              <w:spacing w:after="40"/>
            </w:pPr>
            <w:r>
              <w:t>19 Nov 2020</w:t>
            </w:r>
          </w:p>
        </w:tc>
        <w:tc>
          <w:tcPr>
            <w:tcW w:w="2561" w:type="dxa"/>
            <w:gridSpan w:val="2"/>
            <w:tcBorders>
              <w:bottom w:val="single" w:sz="2" w:space="0" w:color="auto"/>
            </w:tcBorders>
            <w:shd w:val="clear" w:color="auto" w:fill="auto"/>
          </w:tcPr>
          <w:p>
            <w:pPr>
              <w:pStyle w:val="nTable"/>
              <w:spacing w:after="40"/>
            </w:pPr>
            <w:r>
              <w:t>23 Oct 2021 (see s. 2(1)(e) and SL 2021/176 cl. 2)</w:t>
            </w:r>
          </w:p>
        </w:tc>
      </w:tr>
    </w:tbl>
    <w:p>
      <w:pPr>
        <w:pStyle w:val="nHeading3"/>
      </w:pPr>
      <w:bookmarkStart w:id="128" w:name="_Toc85638786"/>
      <w:r>
        <w:t>Other notes</w:t>
      </w:r>
      <w:bookmarkEnd w:id="128"/>
    </w:p>
    <w:p>
      <w:pPr>
        <w:pStyle w:val="nNote"/>
        <w:spacing w:before="160"/>
        <w:rPr>
          <w:snapToGrid w:val="0"/>
        </w:rPr>
      </w:pPr>
      <w:r>
        <w:rPr>
          <w:snapToGrid w:val="0"/>
          <w:vertAlign w:val="superscript"/>
        </w:rPr>
        <w:t>1</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Note"/>
        <w:keepNext/>
        <w:keepLines/>
        <w:rPr>
          <w:i/>
          <w:snapToGrid w:val="0"/>
        </w:rPr>
      </w:pPr>
      <w:r>
        <w:rPr>
          <w:snapToGrid w:val="0"/>
          <w:vertAlign w:val="superscript"/>
        </w:rPr>
        <w:t>3</w:t>
      </w:r>
      <w:r>
        <w:rPr>
          <w:snapToGrid w:val="0"/>
        </w:rPr>
        <w:tab/>
        <w:t xml:space="preserve">The Third Schedule was inserted by the </w:t>
      </w:r>
      <w:r>
        <w:rPr>
          <w:i/>
          <w:snapToGrid w:val="0"/>
        </w:rPr>
        <w:t>Metric Conversion Act Amendment Act (No. 2) 1973.</w:t>
      </w:r>
    </w:p>
    <w:p>
      <w:pPr>
        <w:pStyle w:val="nNote"/>
        <w:rPr>
          <w:snapToGrid w:val="0"/>
        </w:rPr>
      </w:pPr>
      <w:r>
        <w:rPr>
          <w:snapToGrid w:val="0"/>
          <w:vertAlign w:val="superscript"/>
        </w:rPr>
        <w:t>4</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 xml:space="preserve">Where, immediately before the commencement of this Act, a delegation was in force under section 9(1)(a) or (c) of the principal </w:t>
      </w:r>
      <w:r>
        <w:rPr>
          <w:snapToGrid w:val="0"/>
        </w:rPr>
        <w:lastRenderedPageBreak/>
        <w:t>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Fire and Emergency Services Authority of Western Australia (Consequential Provisions) Act 1998</w:t>
      </w:r>
      <w:r>
        <w:rPr>
          <w:snapToGrid w:val="0"/>
        </w:rPr>
        <w:t xml:space="preserve"> s. 11(2) is a transitional provision that is of no further effect.</w:t>
      </w:r>
    </w:p>
    <w:p>
      <w:pPr>
        <w:pStyle w:val="nNote"/>
        <w:keepNext/>
        <w:keepLines/>
        <w:rPr>
          <w:snapToGrid w:val="0"/>
        </w:rPr>
      </w:pPr>
      <w:r>
        <w:rPr>
          <w:snapToGrid w:val="0"/>
          <w:vertAlign w:val="superscript"/>
        </w:rPr>
        <w:t>6</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Note"/>
        <w:keepNext/>
        <w:keepLines/>
        <w:rPr>
          <w:snapToGrid w:val="0"/>
        </w:rPr>
      </w:pPr>
      <w:r>
        <w:rPr>
          <w:snapToGrid w:val="0"/>
          <w:vertAlign w:val="superscript"/>
        </w:rPr>
        <w:t>7</w:t>
      </w:r>
      <w:r>
        <w:rPr>
          <w:snapToGrid w:val="0"/>
        </w:rPr>
        <w:tab/>
        <w:t xml:space="preserve">The </w:t>
      </w:r>
      <w:r>
        <w:rPr>
          <w:i/>
          <w:snapToGrid w:val="0"/>
        </w:rPr>
        <w:t>Standardisation of Formatting Act 2010</w:t>
      </w:r>
      <w:r>
        <w:rPr>
          <w:snapToGrid w:val="0"/>
        </w:rPr>
        <w:t xml:space="preserve"> s. 52(4) in relation to amendments to the </w:t>
      </w:r>
      <w:r>
        <w:rPr>
          <w:i/>
          <w:snapToGrid w:val="0"/>
        </w:rPr>
        <w:t>Bush Fires Act 1954</w:t>
      </w:r>
      <w:r>
        <w:rPr>
          <w:snapToGrid w:val="0"/>
        </w:rPr>
        <w:t xml:space="preserve"> s. 21(1), (2) and (3), s. 39(2), s. 45 and s. 47, the amendment to s. 44(3) to delete “(3)(a) Where” and insert “(3) Where” and the amendments to s. 64 to delete “s. 21(2),” and insert “s. 21(2A) and (2B), had not come into operation when it was deleted by the </w:t>
      </w:r>
      <w:r>
        <w:rPr>
          <w:i/>
          <w:snapToGrid w:val="0"/>
        </w:rPr>
        <w:t>Statutes (Repeals and Minor Amendments) Act 2014</w:t>
      </w:r>
      <w:r>
        <w:rPr>
          <w:snapToGrid w:val="0"/>
        </w:rPr>
        <w:t xml:space="preserve"> s. 39(5)-(8).</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30" w:name="_Toc85616546"/>
      <w:bookmarkStart w:id="131" w:name="_Toc85616645"/>
      <w:bookmarkStart w:id="132" w:name="_Toc85638787"/>
      <w:r>
        <w:rPr>
          <w:sz w:val="28"/>
        </w:rPr>
        <w:lastRenderedPageBreak/>
        <w:t>Defined terms</w:t>
      </w:r>
      <w:bookmarkEnd w:id="130"/>
      <w:bookmarkEnd w:id="131"/>
      <w:bookmarkEnd w:id="1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adjoining</w:t>
      </w:r>
      <w:r>
        <w:tab/>
        <w:t>7(1)</w:t>
      </w:r>
    </w:p>
    <w:p>
      <w:pPr>
        <w:pStyle w:val="DefinedTerms"/>
      </w:pPr>
      <w:r>
        <w:t>affected area</w:t>
      </w:r>
      <w:r>
        <w:tab/>
        <w:t>14B(1)</w:t>
      </w:r>
    </w:p>
    <w:p>
      <w:pPr>
        <w:pStyle w:val="DefinedTerms"/>
      </w:pPr>
      <w:r>
        <w:t>approved local government</w:t>
      </w:r>
      <w:r>
        <w:tab/>
        <w:t>38(6)</w:t>
      </w:r>
    </w:p>
    <w:p>
      <w:pPr>
        <w:pStyle w:val="DefinedTerms"/>
      </w:pPr>
      <w:r>
        <w:t>area of the State</w:t>
      </w:r>
      <w:r>
        <w:tab/>
        <w:t>21</w:t>
      </w:r>
    </w:p>
    <w:p>
      <w:pPr>
        <w:pStyle w:val="DefinedTerms"/>
      </w:pPr>
      <w:r>
        <w:t>authorisation</w:t>
      </w:r>
      <w:r>
        <w:tab/>
        <w:t>14B(1)</w:t>
      </w:r>
    </w:p>
    <w:p>
      <w:pPr>
        <w:pStyle w:val="DefinedTerms"/>
      </w:pPr>
      <w:r>
        <w:t>authorised CALM Act officer</w:t>
      </w:r>
      <w:r>
        <w:tab/>
        <w:t>7(1)</w:t>
      </w:r>
    </w:p>
    <w:p>
      <w:pPr>
        <w:pStyle w:val="DefinedTerms"/>
      </w:pPr>
      <w:r>
        <w:t>authorised period</w:t>
      </w:r>
      <w:r>
        <w:tab/>
        <w:t>14B(1)</w:t>
      </w:r>
    </w:p>
    <w:p>
      <w:pPr>
        <w:pStyle w:val="DefinedTerms"/>
      </w:pPr>
      <w:r>
        <w:t>authorised person</w:t>
      </w:r>
      <w:r>
        <w:tab/>
        <w:t>13(6), 14B(1)</w:t>
      </w:r>
    </w:p>
    <w:p>
      <w:pPr>
        <w:pStyle w:val="DefinedTerms"/>
      </w:pPr>
      <w:r>
        <w:t>burn garden refuse</w:t>
      </w:r>
      <w:r>
        <w:tab/>
        <w:t>24C</w:t>
      </w:r>
    </w:p>
    <w:p>
      <w:pPr>
        <w:pStyle w:val="DefinedTerms"/>
      </w:pPr>
      <w:r>
        <w:t>bush</w:t>
      </w:r>
      <w:r>
        <w:tab/>
        <w:t>7(1)</w:t>
      </w:r>
    </w:p>
    <w:p>
      <w:pPr>
        <w:pStyle w:val="DefinedTerms"/>
      </w:pPr>
      <w:r>
        <w:t>bush fire</w:t>
      </w:r>
      <w:r>
        <w:tab/>
        <w:t>35A</w:t>
      </w:r>
    </w:p>
    <w:p>
      <w:pPr>
        <w:pStyle w:val="DefinedTerms"/>
      </w:pPr>
      <w:r>
        <w:t>bush fire brigade</w:t>
      </w:r>
      <w:r>
        <w:tab/>
        <w:t>7(1)</w:t>
      </w:r>
    </w:p>
    <w:p>
      <w:pPr>
        <w:pStyle w:val="DefinedTerms"/>
      </w:pPr>
      <w:r>
        <w:t>bush fire officer</w:t>
      </w:r>
      <w:r>
        <w:tab/>
        <w:t>45A(1), 45(1)</w:t>
      </w:r>
    </w:p>
    <w:p>
      <w:pPr>
        <w:pStyle w:val="DefinedTerms"/>
      </w:pPr>
      <w:r>
        <w:t>bush fire risk treatment standards</w:t>
      </w:r>
      <w:r>
        <w:tab/>
        <w:t>35AA(1), 35AB(1)</w:t>
      </w:r>
    </w:p>
    <w:p>
      <w:pPr>
        <w:pStyle w:val="DefinedTerms"/>
      </w:pPr>
      <w:r>
        <w:t>CALM Act</w:t>
      </w:r>
      <w:r>
        <w:tab/>
        <w:t>45(1)</w:t>
      </w:r>
    </w:p>
    <w:p>
      <w:pPr>
        <w:pStyle w:val="DefinedTerms"/>
      </w:pPr>
      <w:r>
        <w:t>CALM Act CEO</w:t>
      </w:r>
      <w:r>
        <w:tab/>
        <w:t>7(1)</w:t>
      </w:r>
    </w:p>
    <w:p>
      <w:pPr>
        <w:pStyle w:val="DefinedTerms"/>
      </w:pPr>
      <w:r>
        <w:t>CALM Act Department</w:t>
      </w:r>
      <w:r>
        <w:tab/>
        <w:t>7(1)</w:t>
      </w:r>
    </w:p>
    <w:p>
      <w:pPr>
        <w:pStyle w:val="DefinedTerms"/>
      </w:pPr>
      <w:r>
        <w:t>common boundary</w:t>
      </w:r>
      <w:r>
        <w:tab/>
        <w:t>22(1)</w:t>
      </w:r>
    </w:p>
    <w:p>
      <w:pPr>
        <w:pStyle w:val="DefinedTerms"/>
      </w:pPr>
      <w:r>
        <w:t>conservation land</w:t>
      </w:r>
      <w:r>
        <w:tab/>
        <w:t>9, 45(1)</w:t>
      </w:r>
    </w:p>
    <w:p>
      <w:pPr>
        <w:pStyle w:val="DefinedTerms"/>
      </w:pPr>
      <w:r>
        <w:t>crop</w:t>
      </w:r>
      <w:r>
        <w:tab/>
        <w:t>53(3)</w:t>
      </w:r>
    </w:p>
    <w:p>
      <w:pPr>
        <w:pStyle w:val="DefinedTerms"/>
      </w:pPr>
      <w:r>
        <w:t>Department</w:t>
      </w:r>
      <w:r>
        <w:tab/>
        <w:t>7(1)</w:t>
      </w:r>
    </w:p>
    <w:p>
      <w:pPr>
        <w:pStyle w:val="DefinedTerms"/>
      </w:pPr>
      <w:r>
        <w:t>departmental officer</w:t>
      </w:r>
      <w:r>
        <w:tab/>
        <w:t>12(1)</w:t>
      </w:r>
    </w:p>
    <w:p>
      <w:pPr>
        <w:pStyle w:val="DefinedTerms"/>
      </w:pPr>
      <w:r>
        <w:t>designation</w:t>
      </w:r>
      <w:r>
        <w:tab/>
        <w:t>12(1)</w:t>
      </w:r>
    </w:p>
    <w:p>
      <w:pPr>
        <w:pStyle w:val="DefinedTerms"/>
      </w:pPr>
      <w:r>
        <w:t>employed in the Department</w:t>
      </w:r>
      <w:r>
        <w:tab/>
        <w:t>7(1)</w:t>
      </w:r>
    </w:p>
    <w:p>
      <w:pPr>
        <w:pStyle w:val="DefinedTerms"/>
      </w:pPr>
      <w:r>
        <w:t>exempt land</w:t>
      </w:r>
      <w:r>
        <w:tab/>
        <w:t>22(1)</w:t>
      </w:r>
    </w:p>
    <w:p>
      <w:pPr>
        <w:pStyle w:val="DefinedTerms"/>
      </w:pPr>
      <w:r>
        <w:t>FES Act</w:t>
      </w:r>
      <w:r>
        <w:tab/>
        <w:t>7(1)</w:t>
      </w:r>
    </w:p>
    <w:p>
      <w:pPr>
        <w:pStyle w:val="DefinedTerms"/>
      </w:pPr>
      <w:r>
        <w:t>FES Commissioner</w:t>
      </w:r>
      <w:r>
        <w:tab/>
        <w:t>7(1)</w:t>
      </w:r>
    </w:p>
    <w:p>
      <w:pPr>
        <w:pStyle w:val="DefinedTerms"/>
      </w:pPr>
      <w:r>
        <w:t>forest land</w:t>
      </w:r>
      <w:r>
        <w:tab/>
        <w:t>7(1)</w:t>
      </w:r>
    </w:p>
    <w:p>
      <w:pPr>
        <w:pStyle w:val="DefinedTerms"/>
      </w:pPr>
      <w:r>
        <w:t>incendiary material</w:t>
      </w:r>
      <w:r>
        <w:tab/>
        <w:t>27D(1)</w:t>
      </w:r>
    </w:p>
    <w:p>
      <w:pPr>
        <w:pStyle w:val="DefinedTerms"/>
      </w:pPr>
      <w:r>
        <w:t>infringement notice</w:t>
      </w:r>
      <w:r>
        <w:tab/>
        <w:t>59A(2)</w:t>
      </w:r>
    </w:p>
    <w:p>
      <w:pPr>
        <w:pStyle w:val="DefinedTerms"/>
      </w:pPr>
      <w:r>
        <w:t>land other than conservation land</w:t>
      </w:r>
      <w:r>
        <w:tab/>
        <w:t>9, 45(1)</w:t>
      </w:r>
    </w:p>
    <w:p>
      <w:pPr>
        <w:pStyle w:val="DefinedTerms"/>
      </w:pPr>
      <w:r>
        <w:t>limited burning times</w:t>
      </w:r>
      <w:r>
        <w:tab/>
        <w:t>24C</w:t>
      </w:r>
    </w:p>
    <w:p>
      <w:pPr>
        <w:pStyle w:val="DefinedTerms"/>
      </w:pPr>
      <w:r>
        <w:t>normal brigade activities</w:t>
      </w:r>
      <w:r>
        <w:tab/>
        <w:t>35A</w:t>
      </w:r>
    </w:p>
    <w:p>
      <w:pPr>
        <w:pStyle w:val="DefinedTerms"/>
      </w:pPr>
      <w:r>
        <w:t>occupier of land</w:t>
      </w:r>
      <w:r>
        <w:tab/>
        <w:t>7(1)</w:t>
      </w:r>
    </w:p>
    <w:p>
      <w:pPr>
        <w:pStyle w:val="DefinedTerms"/>
      </w:pPr>
      <w:r>
        <w:t>owner or occupier of land</w:t>
      </w:r>
      <w:r>
        <w:tab/>
        <w:t>33(9), 35AB(1)</w:t>
      </w:r>
    </w:p>
    <w:p>
      <w:pPr>
        <w:pStyle w:val="DefinedTerms"/>
      </w:pPr>
      <w:r>
        <w:t>prescribed condition</w:t>
      </w:r>
      <w:r>
        <w:tab/>
        <w:t>18(5D)</w:t>
      </w:r>
    </w:p>
    <w:p>
      <w:pPr>
        <w:pStyle w:val="DefinedTerms"/>
      </w:pPr>
      <w:r>
        <w:t>prohibited burning times</w:t>
      </w:r>
      <w:r>
        <w:tab/>
        <w:t>7(1)</w:t>
      </w:r>
    </w:p>
    <w:p>
      <w:pPr>
        <w:pStyle w:val="DefinedTerms"/>
      </w:pPr>
      <w:r>
        <w:t>property</w:t>
      </w:r>
      <w:r>
        <w:tab/>
        <w:t>32(1)</w:t>
      </w:r>
    </w:p>
    <w:p>
      <w:pPr>
        <w:pStyle w:val="DefinedTerms"/>
      </w:pPr>
      <w:r>
        <w:t>prosecutor</w:t>
      </w:r>
      <w:r>
        <w:tab/>
        <w:t>59A(1)</w:t>
      </w:r>
    </w:p>
    <w:p>
      <w:pPr>
        <w:pStyle w:val="DefinedTerms"/>
      </w:pPr>
      <w:r>
        <w:t>publish</w:t>
      </w:r>
      <w:r>
        <w:tab/>
        <w:t>17(9)</w:t>
      </w:r>
    </w:p>
    <w:p>
      <w:pPr>
        <w:pStyle w:val="DefinedTerms"/>
      </w:pPr>
      <w:r>
        <w:lastRenderedPageBreak/>
        <w:t>relevant body</w:t>
      </w:r>
      <w:r>
        <w:tab/>
        <w:t>58(3A)</w:t>
      </w:r>
    </w:p>
    <w:p>
      <w:pPr>
        <w:pStyle w:val="DefinedTerms"/>
      </w:pPr>
      <w:r>
        <w:t>relevant bush fire</w:t>
      </w:r>
      <w:r>
        <w:tab/>
        <w:t>14B(1)</w:t>
      </w:r>
    </w:p>
    <w:p>
      <w:pPr>
        <w:pStyle w:val="DefinedTerms"/>
      </w:pPr>
      <w:r>
        <w:t>restricted burning times</w:t>
      </w:r>
      <w:r>
        <w:tab/>
        <w:t>7(1)</w:t>
      </w:r>
    </w:p>
    <w:p>
      <w:pPr>
        <w:pStyle w:val="DefinedTerms"/>
      </w:pPr>
      <w:r>
        <w:t>rubbish tip</w:t>
      </w:r>
      <w:r>
        <w:tab/>
        <w:t>24C</w:t>
      </w:r>
    </w:p>
    <w:p>
      <w:pPr>
        <w:pStyle w:val="DefinedTerms"/>
      </w:pPr>
      <w:r>
        <w:t>specified</w:t>
      </w:r>
      <w:r>
        <w:tab/>
        <w:t>24C</w:t>
      </w:r>
    </w:p>
    <w:p>
      <w:pPr>
        <w:pStyle w:val="DefinedTerms"/>
      </w:pPr>
      <w:r>
        <w:t>total fire ban</w:t>
      </w:r>
      <w:r>
        <w:tab/>
        <w:t>21</w:t>
      </w:r>
    </w:p>
    <w:p>
      <w:pPr>
        <w:pStyle w:val="DefinedTerms"/>
      </w:pPr>
      <w:r>
        <w:t>volunteer fire fighter</w:t>
      </w:r>
      <w:r>
        <w:tab/>
        <w:t>35A</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spacing w:after="40"/>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3" w:name="DefinedTerms"/>
    <w:bookmarkEnd w:id="1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4" w:name="Coversheet"/>
    <w:bookmarkEnd w:id="1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9EA4D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A8A12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C1A9B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B3829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A4257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CE06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3410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F8B0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0AE0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9EBA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2808C0"/>
    <w:multiLevelType w:val="singleLevel"/>
    <w:tmpl w:val="5C2211F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0093810"/>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 w:name="WAFER_20150325145623" w:val="ResetPageSize,UpdateArrangement,UpdateNTable"/>
    <w:docVar w:name="WAFER_20150325145623_GUID" w:val="8c70edaf-11f4-499d-b203-bcc65953c638"/>
    <w:docVar w:name="WAFER_20151102142131" w:val="UpdateStyles,UsedStyles"/>
    <w:docVar w:name="WAFER_20151102142131_GUID" w:val="d0e00ad3-b005-4d15-a39c-9fad533f29fc"/>
    <w:docVar w:name="WAFER_20170914141321" w:val="RemoveTocBookmarks,RemoveUnusedBookmarks,RemoveLanguageTags,UsedStyles,ResetPageSize"/>
    <w:docVar w:name="WAFER_20170914141321_GUID" w:val="ae998293-4faa-44e6-ac5c-069697d321c3"/>
    <w:docVar w:name="WAFER_20201118121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21013_GUID" w:val="5337651e-d2b0-4bab-91c5-37df3cca59e5"/>
    <w:docVar w:name="WAFER_202110200938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10_GUID" w:val="f5e2a353-7c5b-491a-8941-3d8ff52a88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2D6E8-EDF3-4100-A20C-3E10E7B9B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30612</Words>
  <Characters>138371</Characters>
  <Application>Microsoft Office Word</Application>
  <DocSecurity>0</DocSecurity>
  <Lines>3641</Lines>
  <Paragraphs>1724</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1954 - 09-j0-00</dc:title>
  <dc:subject/>
  <dc:creator/>
  <cp:keywords/>
  <dc:description/>
  <cp:lastModifiedBy>Master Repository Process</cp:lastModifiedBy>
  <cp:revision>4</cp:revision>
  <cp:lastPrinted>2014-09-08T05:27:00Z</cp:lastPrinted>
  <dcterms:created xsi:type="dcterms:W3CDTF">2021-10-22T01:26:00Z</dcterms:created>
  <dcterms:modified xsi:type="dcterms:W3CDTF">2021-10-22T01:26:00Z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DocumentType">
    <vt:lpwstr>Act</vt:lpwstr>
  </property>
  <property fmtid="{D5CDD505-2E9C-101B-9397-08002B2CF9AE}" pid="4" name="OwlsUID">
    <vt:i4>95</vt:i4>
  </property>
  <property fmtid="{D5CDD505-2E9C-101B-9397-08002B2CF9AE}" pid="5" name="ReprintNo">
    <vt:lpwstr>9</vt:lpwstr>
  </property>
  <property fmtid="{D5CDD505-2E9C-101B-9397-08002B2CF9AE}" pid="6" name="ReprintedAsAt">
    <vt:filetime>2013-10-10T16:00:00Z</vt:filetime>
  </property>
  <property fmtid="{D5CDD505-2E9C-101B-9397-08002B2CF9AE}" pid="7" name="AsAtDate">
    <vt:lpwstr>23 Oct 2021</vt:lpwstr>
  </property>
  <property fmtid="{D5CDD505-2E9C-101B-9397-08002B2CF9AE}" pid="8" name="Suffix">
    <vt:lpwstr>09-j0-00</vt:lpwstr>
  </property>
  <property fmtid="{D5CDD505-2E9C-101B-9397-08002B2CF9AE}" pid="9" name="CommencementDate">
    <vt:lpwstr>20211023</vt:lpwstr>
  </property>
</Properties>
</file>