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Retail Trading Hours Act 1987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Retail Trading Hours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_Toc86324362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_Toc86324363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_Toc86324364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w:t>
      </w:r>
      <w:r>
        <w:tab/>
      </w:r>
      <w:r>
        <w:fldChar w:fldCharType="begin"/>
      </w:r>
      <w:r>
        <w:instrText xml:space="preserve"> PAGEREF _Toc86324365 \h </w:instrText>
      </w:r>
      <w:r>
        <w:fldChar w:fldCharType="separate"/>
      </w:r>
      <w:r>
        <w:t>4</w:t>
      </w:r>
      <w:r>
        <w:fldChar w:fldCharType="end"/>
      </w:r>
    </w:p>
    <w:p>
      <w:pPr>
        <w:pStyle w:val="TOC8"/>
        <w:rPr>
          <w:rFonts w:asciiTheme="minorHAnsi" w:eastAsiaTheme="minorEastAsia" w:hAnsiTheme="minorHAnsi" w:cstheme="minorBidi"/>
          <w:szCs w:val="22"/>
        </w:rPr>
      </w:pPr>
      <w:r>
        <w:t>5.</w:t>
      </w:r>
      <w:r>
        <w:tab/>
        <w:t xml:space="preserve">Application of </w:t>
      </w:r>
      <w:r>
        <w:rPr>
          <w:i/>
        </w:rPr>
        <w:t>Interpretation Act 1984</w:t>
      </w:r>
      <w:r>
        <w:t xml:space="preserve"> to orders</w:t>
      </w:r>
      <w:r>
        <w:tab/>
      </w:r>
      <w:r>
        <w:fldChar w:fldCharType="begin"/>
      </w:r>
      <w:r>
        <w:instrText xml:space="preserve"> PAGEREF _Toc86324366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6</w:t>
      </w:r>
      <w:r>
        <w:rPr>
          <w:snapToGrid w:val="0"/>
        </w:rPr>
        <w:t>.</w:t>
      </w:r>
      <w:r>
        <w:rPr>
          <w:snapToGrid w:val="0"/>
        </w:rPr>
        <w:tab/>
        <w:t>Officers</w:t>
      </w:r>
      <w:r>
        <w:tab/>
      </w:r>
      <w:r>
        <w:fldChar w:fldCharType="begin"/>
      </w:r>
      <w:r>
        <w:instrText xml:space="preserve"> PAGEREF _Toc86324368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Inspectors</w:t>
      </w:r>
      <w:r>
        <w:tab/>
      </w:r>
      <w:r>
        <w:fldChar w:fldCharType="begin"/>
      </w:r>
      <w:r>
        <w:instrText xml:space="preserve"> PAGEREF _Toc86324369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Inspector’s certificate</w:t>
      </w:r>
      <w:r>
        <w:tab/>
      </w:r>
      <w:r>
        <w:fldChar w:fldCharType="begin"/>
      </w:r>
      <w:r>
        <w:instrText xml:space="preserve"> PAGEREF _Toc86324370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Inspector subject to chief executive officer</w:t>
      </w:r>
      <w:r>
        <w:tab/>
      </w:r>
      <w:r>
        <w:fldChar w:fldCharType="begin"/>
      </w:r>
      <w:r>
        <w:instrText xml:space="preserve"> PAGEREF _Toc86324371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Retail trading hours</w:t>
      </w:r>
    </w:p>
    <w:p>
      <w:pPr>
        <w:pStyle w:val="TOC8"/>
        <w:rPr>
          <w:rFonts w:asciiTheme="minorHAnsi" w:eastAsiaTheme="minorEastAsia" w:hAnsiTheme="minorHAnsi" w:cstheme="minorBidi"/>
          <w:szCs w:val="22"/>
        </w:rPr>
      </w:pPr>
      <w:r>
        <w:t>10</w:t>
      </w:r>
      <w:r>
        <w:rPr>
          <w:snapToGrid w:val="0"/>
        </w:rPr>
        <w:t>.</w:t>
      </w:r>
      <w:r>
        <w:rPr>
          <w:snapToGrid w:val="0"/>
        </w:rPr>
        <w:tab/>
        <w:t>Categories of retail shops</w:t>
      </w:r>
      <w:r>
        <w:tab/>
      </w:r>
      <w:r>
        <w:fldChar w:fldCharType="begin"/>
      </w:r>
      <w:r>
        <w:instrText xml:space="preserve"> PAGEREF _Toc86324373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Certifying shops as small retail shops or special retail shops</w:t>
      </w:r>
      <w:r>
        <w:tab/>
      </w:r>
      <w:r>
        <w:fldChar w:fldCharType="begin"/>
      </w:r>
      <w:r>
        <w:instrText xml:space="preserve"> PAGEREF _Toc86324374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Trading hours for some general retail shops</w:t>
      </w:r>
      <w:r>
        <w:tab/>
      </w:r>
      <w:r>
        <w:fldChar w:fldCharType="begin"/>
      </w:r>
      <w:r>
        <w:instrText xml:space="preserve"> PAGEREF _Toc86324375 \h </w:instrText>
      </w:r>
      <w:r>
        <w:fldChar w:fldCharType="separate"/>
      </w:r>
      <w:r>
        <w:t>14</w:t>
      </w:r>
      <w:r>
        <w:fldChar w:fldCharType="end"/>
      </w:r>
    </w:p>
    <w:p>
      <w:pPr>
        <w:pStyle w:val="TOC8"/>
        <w:rPr>
          <w:rFonts w:asciiTheme="minorHAnsi" w:eastAsiaTheme="minorEastAsia" w:hAnsiTheme="minorHAnsi" w:cstheme="minorBidi"/>
          <w:szCs w:val="22"/>
        </w:rPr>
      </w:pPr>
      <w:r>
        <w:t>12B.</w:t>
      </w:r>
      <w:r>
        <w:tab/>
        <w:t>Trading hours for motor vehicle shops</w:t>
      </w:r>
      <w:r>
        <w:tab/>
      </w:r>
      <w:r>
        <w:fldChar w:fldCharType="begin"/>
      </w:r>
      <w:r>
        <w:instrText xml:space="preserve"> PAGEREF _Toc86324376 \h </w:instrText>
      </w:r>
      <w:r>
        <w:fldChar w:fldCharType="separate"/>
      </w:r>
      <w:r>
        <w:t>15</w:t>
      </w:r>
      <w:r>
        <w:fldChar w:fldCharType="end"/>
      </w:r>
    </w:p>
    <w:p>
      <w:pPr>
        <w:pStyle w:val="TOC8"/>
        <w:rPr>
          <w:rFonts w:asciiTheme="minorHAnsi" w:eastAsiaTheme="minorEastAsia" w:hAnsiTheme="minorHAnsi" w:cstheme="minorBidi"/>
          <w:szCs w:val="22"/>
        </w:rPr>
      </w:pPr>
      <w:r>
        <w:t>12C.</w:t>
      </w:r>
      <w:r>
        <w:tab/>
        <w:t>No restriction on trading hours for small retail shops</w:t>
      </w:r>
      <w:r>
        <w:tab/>
      </w:r>
      <w:r>
        <w:fldChar w:fldCharType="begin"/>
      </w:r>
      <w:r>
        <w:instrText xml:space="preserve"> PAGEREF _Toc86324377 \h </w:instrText>
      </w:r>
      <w:r>
        <w:fldChar w:fldCharType="separate"/>
      </w:r>
      <w:r>
        <w:t>15</w:t>
      </w:r>
      <w:r>
        <w:fldChar w:fldCharType="end"/>
      </w:r>
    </w:p>
    <w:p>
      <w:pPr>
        <w:pStyle w:val="TOC8"/>
        <w:rPr>
          <w:rFonts w:asciiTheme="minorHAnsi" w:eastAsiaTheme="minorEastAsia" w:hAnsiTheme="minorHAnsi" w:cstheme="minorBidi"/>
          <w:szCs w:val="22"/>
        </w:rPr>
      </w:pPr>
      <w:r>
        <w:t>12D.</w:t>
      </w:r>
      <w:r>
        <w:tab/>
        <w:t>Trading hours for special retail shops</w:t>
      </w:r>
      <w:r>
        <w:tab/>
      </w:r>
      <w:r>
        <w:fldChar w:fldCharType="begin"/>
      </w:r>
      <w:r>
        <w:instrText xml:space="preserve"> PAGEREF _Toc86324378 \h </w:instrText>
      </w:r>
      <w:r>
        <w:fldChar w:fldCharType="separate"/>
      </w:r>
      <w:r>
        <w:t>15</w:t>
      </w:r>
      <w:r>
        <w:fldChar w:fldCharType="end"/>
      </w:r>
    </w:p>
    <w:p>
      <w:pPr>
        <w:pStyle w:val="TOC8"/>
        <w:rPr>
          <w:rFonts w:asciiTheme="minorHAnsi" w:eastAsiaTheme="minorEastAsia" w:hAnsiTheme="minorHAnsi" w:cstheme="minorBidi"/>
          <w:szCs w:val="22"/>
        </w:rPr>
      </w:pPr>
      <w:r>
        <w:t>12E.</w:t>
      </w:r>
      <w:r>
        <w:tab/>
        <w:t>Variation of trading hours</w:t>
      </w:r>
      <w:r>
        <w:tab/>
      </w:r>
      <w:r>
        <w:fldChar w:fldCharType="begin"/>
      </w:r>
      <w:r>
        <w:instrText xml:space="preserve"> PAGEREF _Toc86324379 \h </w:instrText>
      </w:r>
      <w:r>
        <w:fldChar w:fldCharType="separate"/>
      </w:r>
      <w:r>
        <w:t>16</w:t>
      </w:r>
      <w:r>
        <w:fldChar w:fldCharType="end"/>
      </w:r>
    </w:p>
    <w:p>
      <w:pPr>
        <w:pStyle w:val="TOC8"/>
        <w:rPr>
          <w:rFonts w:asciiTheme="minorHAnsi" w:eastAsiaTheme="minorEastAsia" w:hAnsiTheme="minorHAnsi" w:cstheme="minorBidi"/>
          <w:szCs w:val="22"/>
        </w:rPr>
      </w:pPr>
      <w:r>
        <w:t>14.</w:t>
      </w:r>
      <w:r>
        <w:tab/>
        <w:t>No restriction on trading hours for filling stations</w:t>
      </w:r>
      <w:r>
        <w:tab/>
      </w:r>
      <w:r>
        <w:fldChar w:fldCharType="begin"/>
      </w:r>
      <w:r>
        <w:instrText xml:space="preserve"> PAGEREF _Toc86324380 \h </w:instrText>
      </w:r>
      <w:r>
        <w:fldChar w:fldCharType="separate"/>
      </w:r>
      <w:r>
        <w:t>17</w:t>
      </w:r>
      <w:r>
        <w:fldChar w:fldCharType="end"/>
      </w:r>
    </w:p>
    <w:p>
      <w:pPr>
        <w:pStyle w:val="TOC8"/>
        <w:rPr>
          <w:rFonts w:asciiTheme="minorHAnsi" w:eastAsiaTheme="minorEastAsia" w:hAnsiTheme="minorHAnsi" w:cstheme="minorBidi"/>
          <w:szCs w:val="22"/>
        </w:rPr>
      </w:pPr>
      <w:r>
        <w:t>14A.</w:t>
      </w:r>
      <w:r>
        <w:tab/>
        <w:t>Goods that can be sold at filling stations</w:t>
      </w:r>
      <w:r>
        <w:tab/>
      </w:r>
      <w:r>
        <w:fldChar w:fldCharType="begin"/>
      </w:r>
      <w:r>
        <w:instrText xml:space="preserve"> PAGEREF _Toc86324381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Permits</w:t>
      </w:r>
      <w:r>
        <w:tab/>
      </w:r>
      <w:r>
        <w:fldChar w:fldCharType="begin"/>
      </w:r>
      <w:r>
        <w:instrText xml:space="preserve"> PAGEREF _Toc86324382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Covenants relating to opening of retail shops</w:t>
      </w:r>
      <w:r>
        <w:tab/>
      </w:r>
      <w:r>
        <w:fldChar w:fldCharType="begin"/>
      </w:r>
      <w:r>
        <w:instrText xml:space="preserve"> PAGEREF _Toc86324383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Miscellaneous</w:t>
      </w:r>
    </w:p>
    <w:p>
      <w:pPr>
        <w:pStyle w:val="TOC8"/>
        <w:rPr>
          <w:rFonts w:asciiTheme="minorHAnsi" w:eastAsiaTheme="minorEastAsia" w:hAnsiTheme="minorHAnsi" w:cstheme="minorBidi"/>
          <w:szCs w:val="22"/>
        </w:rPr>
      </w:pPr>
      <w:r>
        <w:t>22</w:t>
      </w:r>
      <w:r>
        <w:rPr>
          <w:snapToGrid w:val="0"/>
        </w:rPr>
        <w:t>.</w:t>
      </w:r>
      <w:r>
        <w:rPr>
          <w:snapToGrid w:val="0"/>
        </w:rPr>
        <w:tab/>
        <w:t>Covenants contrary to this Act negated</w:t>
      </w:r>
      <w:r>
        <w:tab/>
      </w:r>
      <w:r>
        <w:fldChar w:fldCharType="begin"/>
      </w:r>
      <w:r>
        <w:instrText xml:space="preserve"> PAGEREF _Toc86324385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Auctions of domestic furniture at dwelling house</w:t>
      </w:r>
      <w:r>
        <w:tab/>
      </w:r>
      <w:r>
        <w:fldChar w:fldCharType="begin"/>
      </w:r>
      <w:r>
        <w:instrText xml:space="preserve"> PAGEREF _Toc86324386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When retail shop deemed not to be closed</w:t>
      </w:r>
      <w:r>
        <w:tab/>
      </w:r>
      <w:r>
        <w:fldChar w:fldCharType="begin"/>
      </w:r>
      <w:r>
        <w:instrText xml:space="preserve"> PAGEREF _Toc86324387 \h </w:instrText>
      </w:r>
      <w:r>
        <w:fldChar w:fldCharType="separate"/>
      </w:r>
      <w:r>
        <w:t>21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Offences as to operating retail shops</w:t>
      </w:r>
      <w:r>
        <w:tab/>
      </w:r>
      <w:r>
        <w:fldChar w:fldCharType="begin"/>
      </w:r>
      <w:r>
        <w:instrText xml:space="preserve"> PAGEREF _Toc86324388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Advertisements of retail shopping hours, restrictions on</w:t>
      </w:r>
      <w:r>
        <w:tab/>
      </w:r>
      <w:r>
        <w:fldChar w:fldCharType="begin"/>
      </w:r>
      <w:r>
        <w:instrText xml:space="preserve"> PAGEREF _Toc86324389 \h </w:instrText>
      </w:r>
      <w:r>
        <w:fldChar w:fldCharType="separate"/>
      </w:r>
      <w:r>
        <w:t>22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Chief executive officer’s powers</w:t>
      </w:r>
      <w:r>
        <w:tab/>
      </w:r>
      <w:r>
        <w:fldChar w:fldCharType="begin"/>
      </w:r>
      <w:r>
        <w:instrText xml:space="preserve"> PAGEREF _Toc86324390 \h </w:instrText>
      </w:r>
      <w:r>
        <w:fldChar w:fldCharType="separate"/>
      </w:r>
      <w:r>
        <w:t>23</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Delegation</w:t>
      </w:r>
      <w:r>
        <w:tab/>
      </w:r>
      <w:r>
        <w:fldChar w:fldCharType="begin"/>
      </w:r>
      <w:r>
        <w:instrText xml:space="preserve"> PAGEREF _Toc86324391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Access to places, books etc.</w:t>
      </w:r>
      <w:r>
        <w:tab/>
      </w:r>
      <w:r>
        <w:fldChar w:fldCharType="begin"/>
      </w:r>
      <w:r>
        <w:instrText xml:space="preserve"> PAGEREF _Toc86324392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Inspector or authorised person may require information</w:t>
      </w:r>
      <w:r>
        <w:tab/>
      </w:r>
      <w:r>
        <w:fldChar w:fldCharType="begin"/>
      </w:r>
      <w:r>
        <w:instrText xml:space="preserve"> PAGEREF _Toc86324393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Obstructing etc. inspector, authorised person etc.</w:t>
      </w:r>
      <w:r>
        <w:tab/>
      </w:r>
      <w:r>
        <w:fldChar w:fldCharType="begin"/>
      </w:r>
      <w:r>
        <w:instrText xml:space="preserve"> PAGEREF _Toc86324394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Protection of person questioned</w:t>
      </w:r>
      <w:r>
        <w:tab/>
      </w:r>
      <w:r>
        <w:fldChar w:fldCharType="begin"/>
      </w:r>
      <w:r>
        <w:instrText xml:space="preserve"> PAGEREF _Toc86324395 \h </w:instrText>
      </w:r>
      <w:r>
        <w:fldChar w:fldCharType="separate"/>
      </w:r>
      <w:r>
        <w:t>26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Unauthorised disclosure of information</w:t>
      </w:r>
      <w:r>
        <w:tab/>
      </w:r>
      <w:r>
        <w:fldChar w:fldCharType="begin"/>
      </w:r>
      <w:r>
        <w:instrText xml:space="preserve"> PAGEREF _Toc86324396 \h </w:instrText>
      </w:r>
      <w:r>
        <w:fldChar w:fldCharType="separate"/>
      </w:r>
      <w:r>
        <w:t>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Offences as to dishonesty or damage</w:t>
      </w:r>
      <w:r>
        <w:tab/>
      </w:r>
      <w:r>
        <w:fldChar w:fldCharType="begin"/>
      </w:r>
      <w:r>
        <w:instrText xml:space="preserve"> PAGEREF _Toc86324397 \h </w:instrText>
      </w:r>
      <w:r>
        <w:fldChar w:fldCharType="separate"/>
      </w:r>
      <w:r>
        <w:t>27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Liability of directors etc. of bodies corporate</w:t>
      </w:r>
      <w:r>
        <w:tab/>
      </w:r>
      <w:r>
        <w:fldChar w:fldCharType="begin"/>
      </w:r>
      <w:r>
        <w:instrText xml:space="preserve"> PAGEREF _Toc86324398 \h </w:instrText>
      </w:r>
      <w:r>
        <w:fldChar w:fldCharType="separate"/>
      </w:r>
      <w:r>
        <w:t>27</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Records etc. for this Act, availability of</w:t>
      </w:r>
      <w:r>
        <w:tab/>
      </w:r>
      <w:r>
        <w:fldChar w:fldCharType="begin"/>
      </w:r>
      <w:r>
        <w:instrText xml:space="preserve"> PAGEREF _Toc86324399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Records etc. for this Act to be in English</w:t>
      </w:r>
      <w:r>
        <w:tab/>
      </w:r>
      <w:r>
        <w:fldChar w:fldCharType="begin"/>
      </w:r>
      <w:r>
        <w:instrText xml:space="preserve"> PAGEREF _Toc86324400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Prosecutions of offences need chief executive officer’s consent</w:t>
      </w:r>
      <w:r>
        <w:tab/>
      </w:r>
      <w:r>
        <w:fldChar w:fldCharType="begin"/>
      </w:r>
      <w:r>
        <w:instrText xml:space="preserve"> PAGEREF _Toc86324401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Protection of officers, members and others</w:t>
      </w:r>
      <w:r>
        <w:tab/>
      </w:r>
      <w:r>
        <w:fldChar w:fldCharType="begin"/>
      </w:r>
      <w:r>
        <w:instrText xml:space="preserve"> PAGEREF _Toc86324402 \h </w:instrText>
      </w:r>
      <w:r>
        <w:fldChar w:fldCharType="separate"/>
      </w:r>
      <w:r>
        <w:t>28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w:t>
      </w:r>
      <w:r>
        <w:tab/>
      </w:r>
      <w:r>
        <w:fldChar w:fldCharType="begin"/>
      </w:r>
      <w:r>
        <w:instrText xml:space="preserve"> PAGEREF _Toc86324403 \h </w:instrText>
      </w:r>
      <w:r>
        <w:fldChar w:fldCharType="separate"/>
      </w:r>
      <w:r>
        <w:t>29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Regulations</w:t>
      </w:r>
      <w:r>
        <w:tab/>
      </w:r>
      <w:r>
        <w:fldChar w:fldCharType="begin"/>
      </w:r>
      <w:r>
        <w:instrText xml:space="preserve"> PAGEREF _Toc86324404 \h </w:instrText>
      </w:r>
      <w:r>
        <w:fldChar w:fldCharType="separate"/>
      </w:r>
      <w:r>
        <w:t>30</w:t>
      </w:r>
      <w:r>
        <w:fldChar w:fldCharType="end"/>
      </w:r>
    </w:p>
    <w:p>
      <w:pPr>
        <w:pStyle w:val="TOC8"/>
        <w:rPr>
          <w:rFonts w:asciiTheme="minorHAnsi" w:eastAsiaTheme="minorEastAsia" w:hAnsiTheme="minorHAnsi" w:cstheme="minorBidi"/>
          <w:szCs w:val="22"/>
        </w:rPr>
      </w:pPr>
      <w:r>
        <w:t>41.</w:t>
      </w:r>
      <w:r>
        <w:tab/>
        <w:t>Review of Act</w:t>
      </w:r>
      <w:r>
        <w:tab/>
      </w:r>
      <w:r>
        <w:fldChar w:fldCharType="begin"/>
      </w:r>
      <w:r>
        <w:instrText xml:space="preserve"> PAGEREF _Toc86324405 \h </w:instrText>
      </w:r>
      <w:r>
        <w:fldChar w:fldCharType="separate"/>
      </w:r>
      <w:r>
        <w:t>31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Savings</w:t>
      </w:r>
      <w:r>
        <w:tab/>
      </w:r>
      <w:r>
        <w:fldChar w:fldCharType="begin"/>
      </w:r>
      <w:r>
        <w:instrText xml:space="preserve"> PAGEREF _Toc86324406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_Toc86324408 \h </w:instrText>
      </w:r>
      <w:r>
        <w:fldChar w:fldCharType="separate"/>
      </w:r>
      <w:r>
        <w:t>32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_Toc86324409 \h </w:instrText>
      </w:r>
      <w:r>
        <w:fldChar w:fldCharType="separate"/>
      </w:r>
      <w:r>
        <w:t>34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_Toc86324410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80" w:after="1800"/>
      </w:pPr>
      <w:r>
        <w:t xml:space="preserve">Retail Trading Hours Act 1987 </w:t>
      </w:r>
    </w:p>
    <w:p>
      <w:pPr>
        <w:pStyle w:val="LongTitle"/>
        <w:rPr>
          <w:snapToGrid w:val="0"/>
        </w:rPr>
      </w:pPr>
      <w:r>
        <w:rPr>
          <w:snapToGrid w:val="0"/>
        </w:rPr>
        <w:t xml:space="preserve">An Act relating to the hours of trading for retail shops and for other and incidental purposes. </w:t>
      </w:r>
    </w:p>
    <w:p>
      <w:pPr>
        <w:pStyle w:val="Heading2"/>
      </w:pPr>
      <w:bookmarkStart w:id="3" w:name="_Toc86316125"/>
      <w:bookmarkStart w:id="4" w:name="_Toc86317229"/>
      <w:bookmarkStart w:id="5" w:name="_Toc86317361"/>
      <w:bookmarkStart w:id="6" w:name="_Toc86317412"/>
      <w:bookmarkStart w:id="7" w:name="_Toc86324361"/>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86316126"/>
      <w:bookmarkStart w:id="9" w:name="_Toc86324362"/>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Retail Trading Hours Act 1987</w:t>
      </w:r>
      <w:r>
        <w:rPr>
          <w:snapToGrid w:val="0"/>
        </w:rPr>
        <w:t>.</w:t>
      </w:r>
    </w:p>
    <w:p>
      <w:pPr>
        <w:pStyle w:val="Heading5"/>
        <w:rPr>
          <w:snapToGrid w:val="0"/>
        </w:rPr>
      </w:pPr>
      <w:bookmarkStart w:id="10" w:name="_Toc86316127"/>
      <w:bookmarkStart w:id="11" w:name="_Toc86324363"/>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The provision of this Act shall come into operation on such day or days as is or are, respectively, fixed by proclamation.</w:t>
      </w:r>
    </w:p>
    <w:p>
      <w:pPr>
        <w:pStyle w:val="Heading5"/>
        <w:rPr>
          <w:snapToGrid w:val="0"/>
        </w:rPr>
      </w:pPr>
      <w:bookmarkStart w:id="12" w:name="_Toc86316128"/>
      <w:bookmarkStart w:id="13" w:name="_Toc86324364"/>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agreement</w:t>
      </w:r>
      <w:r>
        <w:t xml:space="preserve"> includes any agreement containing provisions, whether express or implied, under or by virtue of which — </w:t>
      </w:r>
    </w:p>
    <w:p>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 or</w:t>
      </w:r>
    </w:p>
    <w:p>
      <w:pPr>
        <w:pStyle w:val="Defpara"/>
      </w:pPr>
      <w:r>
        <w:tab/>
        <w:t>(b)</w:t>
      </w:r>
      <w:r>
        <w:tab/>
        <w:t>a person grants a right to, or otherwise authorises or permits, a person operating a retail shop to possess, occupy or use the retail shop in connection with the sale of any goods or the provision of any services; or</w:t>
      </w:r>
    </w:p>
    <w:p>
      <w:pPr>
        <w:pStyle w:val="Defpara"/>
      </w:pPr>
      <w:r>
        <w:tab/>
        <w:t>(c)</w:t>
      </w:r>
      <w:r>
        <w:tab/>
        <w:t>a person is entitled or required to supply goods or provide services to the person operating a retail shop for retail sale by the person operating the retail shop; or</w:t>
      </w:r>
    </w:p>
    <w:p>
      <w:pPr>
        <w:pStyle w:val="Defpara"/>
      </w:pPr>
      <w:r>
        <w:tab/>
        <w:t>(d)</w:t>
      </w:r>
      <w:r>
        <w:tab/>
        <w:t>a person operating a retail shop agrees with another person to acquire goods or services from another person (whether a party to the agreement or not) for retail sale by the person operating the retail shop;</w:t>
      </w:r>
    </w:p>
    <w:p>
      <w:pPr>
        <w:pStyle w:val="Defstart"/>
      </w:pPr>
      <w:r>
        <w:rPr>
          <w:b/>
        </w:rPr>
        <w:tab/>
      </w:r>
      <w:r>
        <w:rPr>
          <w:rStyle w:val="CharDefText"/>
        </w:rPr>
        <w:t>authorised person</w:t>
      </w:r>
      <w:r>
        <w:t xml:space="preserve"> means a person authorised in writing by the chief executive officer;</w:t>
      </w:r>
    </w:p>
    <w:p>
      <w:pPr>
        <w:pStyle w:val="Defstart"/>
      </w:pPr>
      <w:r>
        <w:rPr>
          <w:b/>
        </w:rPr>
        <w:tab/>
      </w:r>
      <w:r>
        <w:rPr>
          <w:rStyle w:val="CharDefText"/>
        </w:rPr>
        <w:t>chief executive officer</w:t>
      </w:r>
      <w:r>
        <w:t xml:space="preserve"> means the chief executive officer of the department principally assisting the Minister in the administration of this Act;</w:t>
      </w:r>
    </w:p>
    <w:p>
      <w:pPr>
        <w:pStyle w:val="Defstart"/>
      </w:pPr>
      <w:r>
        <w:rPr>
          <w:b/>
        </w:rPr>
        <w:lastRenderedPageBreak/>
        <w:tab/>
      </w:r>
      <w:r>
        <w:rPr>
          <w:rStyle w:val="CharDefText"/>
        </w:rPr>
        <w:t>filling station</w:t>
      </w:r>
      <w:r>
        <w:t xml:space="preserve"> means a retail shop referred to in section 10(5); </w:t>
      </w:r>
    </w:p>
    <w:p>
      <w:pPr>
        <w:pStyle w:val="Defstart"/>
      </w:pPr>
      <w:r>
        <w:rPr>
          <w:b/>
        </w:rPr>
        <w:tab/>
      </w:r>
      <w:r>
        <w:rPr>
          <w:rStyle w:val="CharDefText"/>
        </w:rPr>
        <w:t>fuel</w:t>
      </w:r>
      <w:r>
        <w:t xml:space="preserve"> means fuel for operating a motor vehicle;</w:t>
      </w:r>
    </w:p>
    <w:p>
      <w:pPr>
        <w:pStyle w:val="Defstart"/>
      </w:pPr>
      <w:r>
        <w:rPr>
          <w:b/>
        </w:rPr>
        <w:tab/>
      </w:r>
      <w:r>
        <w:rPr>
          <w:rStyle w:val="CharDefText"/>
        </w:rPr>
        <w:t>inspector</w:t>
      </w:r>
      <w:r>
        <w:t xml:space="preserve"> means a person designated as an inspector under section 7;</w:t>
      </w:r>
    </w:p>
    <w:p>
      <w:pPr>
        <w:pStyle w:val="Defstart"/>
      </w:pPr>
      <w:r>
        <w:rPr>
          <w:b/>
        </w:rPr>
        <w:tab/>
      </w:r>
      <w:r>
        <w:rPr>
          <w:rStyle w:val="CharDefText"/>
        </w:rPr>
        <w:t>motor vehicle</w:t>
      </w:r>
      <w:r>
        <w:t xml:space="preserve"> has the meaning given to that term in the </w:t>
      </w:r>
      <w:r>
        <w:rPr>
          <w:i/>
          <w:iCs/>
        </w:rPr>
        <w:t>Road Traffic (Administration) Act 2008</w:t>
      </w:r>
      <w:r>
        <w:t xml:space="preserve"> section 4;</w:t>
      </w:r>
    </w:p>
    <w:p>
      <w:pPr>
        <w:pStyle w:val="Defstart"/>
      </w:pPr>
      <w:r>
        <w:rPr>
          <w:b/>
        </w:rPr>
        <w:tab/>
      </w:r>
      <w:r>
        <w:rPr>
          <w:rStyle w:val="CharDefText"/>
        </w:rPr>
        <w:t>motor vehicle shop</w:t>
      </w:r>
      <w:r>
        <w:t xml:space="preserve"> means a general retail shop or portion of a general retail shop, as the case may be — </w:t>
      </w:r>
    </w:p>
    <w:p>
      <w:pPr>
        <w:pStyle w:val="Defpara"/>
      </w:pPr>
      <w:r>
        <w:tab/>
        <w:t>(a)</w:t>
      </w:r>
      <w:r>
        <w:tab/>
        <w:t>in, on or from which motor vehicles are sold by way of retail sale; or</w:t>
      </w:r>
    </w:p>
    <w:p>
      <w:pPr>
        <w:pStyle w:val="Defpara"/>
      </w:pPr>
      <w:r>
        <w:tab/>
        <w:t>(b)</w:t>
      </w:r>
      <w:r>
        <w:tab/>
        <w:t>in, on or from which spare parts for motor vehicles are sold by way of retail sale in conjunction with the sale of motor vehicles;</w:t>
      </w:r>
    </w:p>
    <w:p>
      <w:pPr>
        <w:pStyle w:val="Defstart"/>
      </w:pPr>
      <w:r>
        <w:rPr>
          <w:b/>
        </w:rPr>
        <w:tab/>
      </w:r>
      <w:r>
        <w:rPr>
          <w:rStyle w:val="CharDefText"/>
        </w:rPr>
        <w:t>operate</w:t>
      </w:r>
      <w:r>
        <w:t xml:space="preserve"> means, in relation to a retail shop, conducting or carrying on the business of a retail shop and includes causing, employing or engaging another person to carry on or conduct that business;</w:t>
      </w:r>
    </w:p>
    <w:p>
      <w:pPr>
        <w:pStyle w:val="Defstart"/>
      </w:pPr>
      <w:r>
        <w:rPr>
          <w:b/>
        </w:rPr>
        <w:tab/>
      </w:r>
      <w:r>
        <w:rPr>
          <w:rStyle w:val="CharDefText"/>
        </w:rPr>
        <w:t>place</w:t>
      </w:r>
      <w:r>
        <w:t xml:space="preserve"> includes a building, stall, tent, vehicle, boat or vessel;</w:t>
      </w:r>
    </w:p>
    <w:p>
      <w:pPr>
        <w:pStyle w:val="Defstart"/>
      </w:pPr>
      <w:r>
        <w:rPr>
          <w:b/>
        </w:rPr>
        <w:tab/>
      </w:r>
      <w:r>
        <w:rPr>
          <w:rStyle w:val="CharDefText"/>
        </w:rPr>
        <w:t>prescribed services</w:t>
      </w:r>
      <w:r>
        <w:t xml:space="preserve"> means any one or more of the following services — </w:t>
      </w:r>
    </w:p>
    <w:p>
      <w:pPr>
        <w:pStyle w:val="Defpara"/>
      </w:pPr>
      <w:r>
        <w:tab/>
        <w:t>(a)</w:t>
      </w:r>
      <w:r>
        <w:tab/>
        <w:t>hairdressing;</w:t>
      </w:r>
    </w:p>
    <w:p>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pPr>
        <w:pStyle w:val="Defpara"/>
      </w:pPr>
      <w:r>
        <w:tab/>
        <w:t>(c)</w:t>
      </w:r>
      <w:r>
        <w:tab/>
        <w:t>broking marine craft or motor vehicles;</w:t>
      </w:r>
    </w:p>
    <w:p>
      <w:pPr>
        <w:pStyle w:val="Defpara"/>
      </w:pPr>
      <w:r>
        <w:tab/>
        <w:t>(d)</w:t>
      </w:r>
      <w:r>
        <w:tab/>
        <w:t>such other services as may be prescribed;</w:t>
      </w:r>
    </w:p>
    <w:p>
      <w:pPr>
        <w:pStyle w:val="Defstart"/>
      </w:pPr>
      <w:r>
        <w:rPr>
          <w:b/>
        </w:rPr>
        <w:tab/>
      </w:r>
      <w:r>
        <w:rPr>
          <w:rStyle w:val="CharDefText"/>
        </w:rPr>
        <w:t>retail sale</w:t>
      </w:r>
      <w:r>
        <w:t xml:space="preserve"> means a sale of goods or services that is not for the purposes of their re</w:t>
      </w:r>
      <w:r>
        <w:noBreakHyphen/>
        <w:t>sale;</w:t>
      </w:r>
    </w:p>
    <w:p>
      <w:pPr>
        <w:pStyle w:val="Defstart"/>
      </w:pPr>
      <w:r>
        <w:rPr>
          <w:b/>
        </w:rPr>
        <w:tab/>
      </w:r>
      <w:r>
        <w:rPr>
          <w:rStyle w:val="CharDefText"/>
        </w:rPr>
        <w:t>retail shop</w:t>
      </w:r>
      <w:r>
        <w:t xml:space="preserve"> means any place at, in, on or from which — </w:t>
      </w:r>
    </w:p>
    <w:p>
      <w:pPr>
        <w:pStyle w:val="Defpara"/>
      </w:pPr>
      <w:r>
        <w:tab/>
        <w:t>(a)</w:t>
      </w:r>
      <w:r>
        <w:tab/>
        <w:t>goods are sold by way of retail sale; or</w:t>
      </w:r>
    </w:p>
    <w:p>
      <w:pPr>
        <w:pStyle w:val="Defpara"/>
      </w:pPr>
      <w:r>
        <w:tab/>
        <w:t>(b)</w:t>
      </w:r>
      <w:r>
        <w:tab/>
        <w:t>goods are displayed, kept or sold for retail sale; or</w:t>
      </w:r>
    </w:p>
    <w:p>
      <w:pPr>
        <w:pStyle w:val="Defpara"/>
      </w:pPr>
      <w:r>
        <w:tab/>
        <w:t>(c)</w:t>
      </w:r>
      <w:r>
        <w:tab/>
        <w:t>prescribed services are provided by way of retail sale;</w:t>
      </w:r>
    </w:p>
    <w:p>
      <w:pPr>
        <w:pStyle w:val="Defstart"/>
      </w:pPr>
      <w:r>
        <w:rPr>
          <w:b/>
        </w:rPr>
        <w:lastRenderedPageBreak/>
        <w:tab/>
      </w:r>
      <w:r>
        <w:rPr>
          <w:rStyle w:val="CharDefText"/>
        </w:rPr>
        <w:t>sell</w:t>
      </w:r>
      <w:r>
        <w:t xml:space="preserve"> includes barter, supply for profit, offer for sale, expose for sale, send forward or deliver for sale, cause or suffer or permit to be sold and disposal or offer for disposal of goods under credit sale agreement or hire purchase agreement.</w:t>
      </w:r>
    </w:p>
    <w:p>
      <w:pPr>
        <w:pStyle w:val="Subsection"/>
        <w:spacing w:before="120"/>
      </w:pPr>
      <w:r>
        <w:tab/>
        <w:t>(1a)</w:t>
      </w:r>
      <w:r>
        <w:tab/>
        <w:t>A place that is otherwise a retail shop does not cease to be a retail shop by reason only that meals or refreshments or both are also sold at that place.</w:t>
      </w:r>
    </w:p>
    <w:p>
      <w:pPr>
        <w:pStyle w:val="Subsection"/>
        <w:spacing w:before="120"/>
        <w:rPr>
          <w:snapToGrid w:val="0"/>
        </w:rPr>
      </w:pPr>
      <w:r>
        <w:rPr>
          <w:snapToGrid w:val="0"/>
        </w:rPr>
        <w:tab/>
        <w:t>(2)</w:t>
      </w:r>
      <w:r>
        <w:rPr>
          <w:snapToGrid w:val="0"/>
        </w:rPr>
        <w:tab/>
        <w:t>For the purposes of this Act a place at which — </w:t>
      </w:r>
    </w:p>
    <w:p>
      <w:pPr>
        <w:pStyle w:val="Indenta"/>
        <w:rPr>
          <w:snapToGrid w:val="0"/>
        </w:rPr>
      </w:pPr>
      <w:r>
        <w:rPr>
          <w:snapToGrid w:val="0"/>
        </w:rPr>
        <w:tab/>
        <w:t>(a)</w:t>
      </w:r>
      <w:r>
        <w:rPr>
          <w:snapToGrid w:val="0"/>
        </w:rPr>
        <w:tab/>
        <w:t>orders are received or obtained for the retail sale of goods or services; or</w:t>
      </w:r>
    </w:p>
    <w:p>
      <w:pPr>
        <w:pStyle w:val="Indenta"/>
        <w:rPr>
          <w:snapToGrid w:val="0"/>
        </w:rPr>
      </w:pPr>
      <w:r>
        <w:rPr>
          <w:snapToGrid w:val="0"/>
        </w:rPr>
        <w:tab/>
        <w:t>(b)</w:t>
      </w:r>
      <w:r>
        <w:rPr>
          <w:snapToGrid w:val="0"/>
        </w:rPr>
        <w:tab/>
        <w:t>goods are held or stored for the purposes of retail sale,</w:t>
      </w:r>
    </w:p>
    <w:p>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pPr>
        <w:pStyle w:val="Footnotesection"/>
      </w:pPr>
      <w:r>
        <w:tab/>
        <w:t xml:space="preserve">[Section 3 amended: No. 1 of 1991 s. 4 and 14; No. 88 of 1994 s. 100; No. 47 of 2006 s. 4; No. 8 of 2012 s. 169; No. 23 of 2014 s. 91.] </w:t>
      </w:r>
    </w:p>
    <w:p>
      <w:pPr>
        <w:pStyle w:val="Heading5"/>
        <w:spacing w:before="180"/>
        <w:rPr>
          <w:snapToGrid w:val="0"/>
        </w:rPr>
      </w:pPr>
      <w:bookmarkStart w:id="14" w:name="_Toc86316129"/>
      <w:bookmarkStart w:id="15" w:name="_Toc86324365"/>
      <w:r>
        <w:rPr>
          <w:rStyle w:val="CharSectno"/>
        </w:rPr>
        <w:t>4</w:t>
      </w:r>
      <w:r>
        <w:rPr>
          <w:snapToGrid w:val="0"/>
        </w:rPr>
        <w:t>.</w:t>
      </w:r>
      <w:r>
        <w:rPr>
          <w:snapToGrid w:val="0"/>
        </w:rPr>
        <w:tab/>
        <w:t>Application</w:t>
      </w:r>
      <w:bookmarkEnd w:id="14"/>
      <w:bookmarkEnd w:id="15"/>
      <w:r>
        <w:rPr>
          <w:snapToGrid w:val="0"/>
        </w:rPr>
        <w:t xml:space="preserve"> </w:t>
      </w:r>
    </w:p>
    <w:p>
      <w:pPr>
        <w:pStyle w:val="Subsection"/>
        <w:rPr>
          <w:snapToGrid w:val="0"/>
        </w:rPr>
      </w:pPr>
      <w:r>
        <w:rPr>
          <w:snapToGrid w:val="0"/>
        </w:rPr>
        <w:tab/>
        <w:t>(1)</w:t>
      </w:r>
      <w:r>
        <w:rPr>
          <w:snapToGrid w:val="0"/>
        </w:rPr>
        <w:tab/>
        <w:t>This Act applies only to the part of the State south of the 26th parallel of South Latitude.</w:t>
      </w:r>
    </w:p>
    <w:p>
      <w:pPr>
        <w:pStyle w:val="Subsection"/>
      </w:pPr>
      <w:r>
        <w:tab/>
        <w:t>(2A)</w:t>
      </w:r>
      <w:r>
        <w:tab/>
        <w:t>Despite subsection (1), this Act does not apply to Rottnest Island.</w:t>
      </w:r>
    </w:p>
    <w:p>
      <w:pPr>
        <w:pStyle w:val="Subsection"/>
        <w:rPr>
          <w:snapToGrid w:val="0"/>
        </w:rPr>
      </w:pPr>
      <w:r>
        <w:rPr>
          <w:snapToGrid w:val="0"/>
        </w:rPr>
        <w:tab/>
        <w:t>(2)</w:t>
      </w:r>
      <w:r>
        <w:rPr>
          <w:snapToGrid w:val="0"/>
        </w:rPr>
        <w:tab/>
        <w:t>This Act does not apply to a place that is used for or in connection with — </w:t>
      </w:r>
    </w:p>
    <w:p>
      <w:pPr>
        <w:pStyle w:val="Indenta"/>
        <w:rPr>
          <w:snapToGrid w:val="0"/>
        </w:rPr>
      </w:pPr>
      <w:r>
        <w:rPr>
          <w:snapToGrid w:val="0"/>
        </w:rPr>
        <w:lastRenderedPageBreak/>
        <w:tab/>
        <w:t>(a)</w:t>
      </w:r>
      <w:r>
        <w:rPr>
          <w:snapToGrid w:val="0"/>
        </w:rPr>
        <w:tab/>
        <w:t>a show held by an incorporated agricultural or horticultural society;</w:t>
      </w:r>
    </w:p>
    <w:p>
      <w:pPr>
        <w:pStyle w:val="Indenta"/>
        <w:rPr>
          <w:snapToGrid w:val="0"/>
        </w:rPr>
      </w:pPr>
      <w:r>
        <w:rPr>
          <w:snapToGrid w:val="0"/>
        </w:rPr>
        <w:tab/>
        <w:t>(b)</w:t>
      </w:r>
      <w:r>
        <w:rPr>
          <w:snapToGrid w:val="0"/>
        </w:rPr>
        <w:tab/>
        <w:t>a bazaar or fair the proceeds of which are intended for religious, charitable or public purposes.</w:t>
      </w:r>
    </w:p>
    <w:p>
      <w:pPr>
        <w:pStyle w:val="Subsection"/>
        <w:rPr>
          <w:snapToGrid w:val="0"/>
        </w:rPr>
      </w:pPr>
      <w:r>
        <w:rPr>
          <w:snapToGrid w:val="0"/>
        </w:rPr>
        <w:tab/>
        <w:t>(3)</w:t>
      </w:r>
      <w:r>
        <w:rPr>
          <w:snapToGrid w:val="0"/>
        </w:rPr>
        <w:tab/>
        <w:t>This Act does not apply to a place that</w:t>
      </w:r>
      <w:r>
        <w:t xml:space="preserve"> is —</w:t>
      </w:r>
    </w:p>
    <w:p>
      <w:pPr>
        <w:pStyle w:val="Indenta"/>
        <w:rPr>
          <w:snapToGrid w:val="0"/>
        </w:rPr>
      </w:pPr>
      <w:r>
        <w:rPr>
          <w:snapToGrid w:val="0"/>
        </w:rPr>
        <w:tab/>
        <w:t>(a)</w:t>
      </w:r>
      <w:r>
        <w:rPr>
          <w:snapToGrid w:val="0"/>
        </w:rPr>
        <w:tab/>
        <w:t>a restaurant or a cafe; or</w:t>
      </w:r>
    </w:p>
    <w:p>
      <w:pPr>
        <w:pStyle w:val="Indenta"/>
        <w:rPr>
          <w:snapToGrid w:val="0"/>
        </w:rPr>
      </w:pPr>
      <w:r>
        <w:rPr>
          <w:snapToGrid w:val="0"/>
        </w:rPr>
        <w:tab/>
        <w:t>(b)</w:t>
      </w:r>
      <w:r>
        <w:rPr>
          <w:snapToGrid w:val="0"/>
        </w:rPr>
        <w:tab/>
        <w:t>a take</w:t>
      </w:r>
      <w:r>
        <w:rPr>
          <w:snapToGrid w:val="0"/>
        </w:rPr>
        <w:noBreakHyphen/>
        <w:t>away</w:t>
      </w:r>
      <w:r>
        <w:rPr>
          <w:snapToGrid w:val="0"/>
        </w:rPr>
        <w:noBreakHyphen/>
        <w:t>food shop; or</w:t>
      </w:r>
    </w:p>
    <w:p>
      <w:pPr>
        <w:pStyle w:val="Indenta"/>
        <w:rPr>
          <w:snapToGrid w:val="0"/>
        </w:rPr>
      </w:pPr>
      <w:r>
        <w:rPr>
          <w:snapToGrid w:val="0"/>
        </w:rPr>
        <w:tab/>
        <w:t>(c)</w:t>
      </w:r>
      <w:r>
        <w:rPr>
          <w:snapToGrid w:val="0"/>
        </w:rPr>
        <w:tab/>
        <w:t>a veterinary clinic; or</w:t>
      </w:r>
    </w:p>
    <w:p>
      <w:pPr>
        <w:pStyle w:val="Indenta"/>
        <w:rPr>
          <w:snapToGrid w:val="0"/>
        </w:rPr>
      </w:pPr>
      <w:r>
        <w:rPr>
          <w:snapToGrid w:val="0"/>
        </w:rPr>
        <w:tab/>
        <w:t>(d)</w:t>
      </w:r>
      <w:r>
        <w:rPr>
          <w:snapToGrid w:val="0"/>
        </w:rPr>
        <w:tab/>
        <w:t>a retail shop located in a public passenger transport terminal or station where public passenger transport services are</w:t>
      </w:r>
      <w:r>
        <w:t xml:space="preserve"> running; or</w:t>
      </w:r>
    </w:p>
    <w:p>
      <w:pPr>
        <w:pStyle w:val="Indenta"/>
      </w:pPr>
      <w:r>
        <w:tab/>
        <w:t>(e)</w:t>
      </w:r>
      <w:r>
        <w:tab/>
        <w:t>a retail shop located in a short</w:t>
      </w:r>
      <w:r>
        <w:noBreakHyphen/>
        <w:t>term market.</w:t>
      </w:r>
    </w:p>
    <w:p>
      <w:pPr>
        <w:pStyle w:val="Subsection"/>
      </w:pPr>
      <w:r>
        <w:tab/>
        <w:t>(4A)</w:t>
      </w:r>
      <w:r>
        <w:tab/>
        <w:t>For the purposes of subsection (3)(e) a retail shop is located in a short</w:t>
      </w:r>
      <w:r>
        <w:noBreakHyphen/>
        <w:t xml:space="preserve">term market if — </w:t>
      </w:r>
    </w:p>
    <w:p>
      <w:pPr>
        <w:pStyle w:val="Indenta"/>
      </w:pPr>
      <w:r>
        <w:tab/>
        <w:t>(a)</w:t>
      </w:r>
      <w:r>
        <w:tab/>
        <w:t>it is one of a group of retail shops that are placed at a particular location on a particular day and removed from that location before midnight on that day; and</w:t>
      </w:r>
    </w:p>
    <w:p>
      <w:pPr>
        <w:pStyle w:val="Indenta"/>
      </w:pPr>
      <w:r>
        <w:tab/>
        <w:t>(b)</w:t>
      </w:r>
      <w:r>
        <w:tab/>
        <w:t>some or all of the retail shops in the group are operated by different persons; and</w:t>
      </w:r>
    </w:p>
    <w:p>
      <w:pPr>
        <w:pStyle w:val="Indenta"/>
      </w:pPr>
      <w:r>
        <w:tab/>
        <w:t>(c)</w:t>
      </w:r>
      <w:r>
        <w:tab/>
        <w:t>none of the shops in the group is a motor vehicle shop.</w:t>
      </w:r>
    </w:p>
    <w:p>
      <w:pPr>
        <w:pStyle w:val="Subsection"/>
        <w:rPr>
          <w:snapToGrid w:val="0"/>
        </w:rPr>
      </w:pPr>
      <w:r>
        <w:rPr>
          <w:snapToGrid w:val="0"/>
        </w:rPr>
        <w:tab/>
        <w:t>(4)</w:t>
      </w:r>
      <w:r>
        <w:rPr>
          <w:snapToGrid w:val="0"/>
        </w:rPr>
        <w:tab/>
        <w:t>Nothing in this Act affects the sale or supply of liquor at licensed premises under the</w:t>
      </w:r>
      <w:r>
        <w:rPr>
          <w:i/>
          <w:iCs/>
        </w:rPr>
        <w:t xml:space="preserve"> Liquor Control Act 1988</w:t>
      </w:r>
      <w:r>
        <w:rPr>
          <w:snapToGrid w:val="0"/>
        </w:rPr>
        <w:t>.</w:t>
      </w:r>
    </w:p>
    <w:p>
      <w:pPr>
        <w:pStyle w:val="Footnotesection"/>
      </w:pPr>
      <w:r>
        <w:tab/>
        <w:t>[Section 4 amended: No. 73 of 2006 s. 115; No. 35 of 2016 s. 4.]</w:t>
      </w:r>
    </w:p>
    <w:p>
      <w:pPr>
        <w:pStyle w:val="Heading5"/>
      </w:pPr>
      <w:bookmarkStart w:id="16" w:name="_Toc86316130"/>
      <w:bookmarkStart w:id="17" w:name="_Toc86324366"/>
      <w:r>
        <w:rPr>
          <w:rStyle w:val="CharSectno"/>
        </w:rPr>
        <w:t>5</w:t>
      </w:r>
      <w:r>
        <w:t>.</w:t>
      </w:r>
      <w:r>
        <w:tab/>
        <w:t xml:space="preserve">Application of </w:t>
      </w:r>
      <w:r>
        <w:rPr>
          <w:i/>
        </w:rPr>
        <w:t>Interpretation Act 1984</w:t>
      </w:r>
      <w:r>
        <w:t xml:space="preserve"> to orders</w:t>
      </w:r>
      <w:bookmarkEnd w:id="16"/>
      <w:bookmarkEnd w:id="17"/>
    </w:p>
    <w:p>
      <w:pPr>
        <w:pStyle w:val="Subsection"/>
      </w:pPr>
      <w:r>
        <w:tab/>
        <w:t>(1)</w:t>
      </w:r>
      <w:r>
        <w:tab/>
        <w:t xml:space="preserve">An order made by the Minister under this Act is subsidiary legislation as defined in the </w:t>
      </w:r>
      <w:r>
        <w:rPr>
          <w:i/>
        </w:rPr>
        <w:t>Interpretation Act 1984</w:t>
      </w:r>
      <w:r>
        <w:t xml:space="preserve"> section 5.</w:t>
      </w:r>
    </w:p>
    <w:p>
      <w:pPr>
        <w:pStyle w:val="Subsection"/>
      </w:pPr>
      <w:r>
        <w:tab/>
        <w:t>(2)</w:t>
      </w:r>
      <w:r>
        <w:tab/>
        <w:t xml:space="preserve">The </w:t>
      </w:r>
      <w:r>
        <w:rPr>
          <w:i/>
        </w:rPr>
        <w:t>Interpretation Act 1984</w:t>
      </w:r>
      <w:r>
        <w:t xml:space="preserve"> section 42 applies to an order made under section 10(3b) </w:t>
      </w:r>
      <w:r>
        <w:rPr>
          <w:szCs w:val="22"/>
        </w:rPr>
        <w:t>as if the order were a regulation</w:t>
      </w:r>
      <w:r>
        <w:t>.</w:t>
      </w:r>
    </w:p>
    <w:p>
      <w:pPr>
        <w:pStyle w:val="Footnotesection"/>
      </w:pPr>
      <w:r>
        <w:lastRenderedPageBreak/>
        <w:tab/>
        <w:t>[Section 5 inserted: No. 47 of 2006 s. 5; amended: No. 35 of 2016 s. 5.]</w:t>
      </w:r>
    </w:p>
    <w:p>
      <w:pPr>
        <w:pStyle w:val="Heading2"/>
      </w:pPr>
      <w:bookmarkStart w:id="18" w:name="_Toc86316131"/>
      <w:bookmarkStart w:id="19" w:name="_Toc86317235"/>
      <w:bookmarkStart w:id="20" w:name="_Toc86317367"/>
      <w:bookmarkStart w:id="21" w:name="_Toc86317418"/>
      <w:bookmarkStart w:id="22" w:name="_Toc86324367"/>
      <w:r>
        <w:rPr>
          <w:rStyle w:val="CharPartNo"/>
        </w:rPr>
        <w:lastRenderedPageBreak/>
        <w:t>Part II</w:t>
      </w:r>
      <w:r>
        <w:rPr>
          <w:rStyle w:val="CharDivNo"/>
        </w:rPr>
        <w:t> </w:t>
      </w:r>
      <w:r>
        <w:t>—</w:t>
      </w:r>
      <w:r>
        <w:rPr>
          <w:rStyle w:val="CharDivText"/>
        </w:rPr>
        <w:t> </w:t>
      </w:r>
      <w:r>
        <w:rPr>
          <w:rStyle w:val="CharPartText"/>
        </w:rPr>
        <w:t>Administration</w:t>
      </w:r>
      <w:bookmarkEnd w:id="18"/>
      <w:bookmarkEnd w:id="19"/>
      <w:bookmarkEnd w:id="20"/>
      <w:bookmarkEnd w:id="21"/>
      <w:bookmarkEnd w:id="22"/>
      <w:r>
        <w:rPr>
          <w:rStyle w:val="CharPartText"/>
        </w:rPr>
        <w:t xml:space="preserve"> </w:t>
      </w:r>
    </w:p>
    <w:p>
      <w:pPr>
        <w:pStyle w:val="Heading5"/>
        <w:rPr>
          <w:snapToGrid w:val="0"/>
        </w:rPr>
      </w:pPr>
      <w:bookmarkStart w:id="23" w:name="_Toc86316132"/>
      <w:bookmarkStart w:id="24" w:name="_Toc86324368"/>
      <w:r>
        <w:rPr>
          <w:rStyle w:val="CharSectno"/>
        </w:rPr>
        <w:t>6</w:t>
      </w:r>
      <w:r>
        <w:rPr>
          <w:snapToGrid w:val="0"/>
        </w:rPr>
        <w:t>.</w:t>
      </w:r>
      <w:r>
        <w:rPr>
          <w:snapToGrid w:val="0"/>
        </w:rPr>
        <w:tab/>
        <w:t>Officers</w:t>
      </w:r>
      <w:bookmarkEnd w:id="23"/>
      <w:bookmarkEnd w:id="24"/>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pPr>
        <w:pStyle w:val="Footnotesection"/>
      </w:pPr>
      <w:r>
        <w:tab/>
        <w:t xml:space="preserve">[Section 6 amended: No. 32 of 1994 s. 3(2).] </w:t>
      </w:r>
    </w:p>
    <w:p>
      <w:pPr>
        <w:pStyle w:val="Heading5"/>
        <w:rPr>
          <w:snapToGrid w:val="0"/>
        </w:rPr>
      </w:pPr>
      <w:bookmarkStart w:id="25" w:name="_Toc86316133"/>
      <w:bookmarkStart w:id="26" w:name="_Toc86324369"/>
      <w:r>
        <w:rPr>
          <w:rStyle w:val="CharSectno"/>
        </w:rPr>
        <w:t>7</w:t>
      </w:r>
      <w:r>
        <w:rPr>
          <w:snapToGrid w:val="0"/>
        </w:rPr>
        <w:t>.</w:t>
      </w:r>
      <w:r>
        <w:rPr>
          <w:snapToGrid w:val="0"/>
        </w:rPr>
        <w:tab/>
        <w:t>Inspectors</w:t>
      </w:r>
      <w:bookmarkEnd w:id="25"/>
      <w:bookmarkEnd w:id="26"/>
      <w:r>
        <w:rPr>
          <w:snapToGrid w:val="0"/>
        </w:rPr>
        <w:t xml:space="preserve"> </w:t>
      </w:r>
    </w:p>
    <w:p>
      <w:pPr>
        <w:pStyle w:val="Subsection"/>
        <w:rPr>
          <w:snapToGrid w:val="0"/>
        </w:rPr>
      </w:pPr>
      <w:r>
        <w:rPr>
          <w:snapToGrid w:val="0"/>
        </w:rPr>
        <w:tab/>
      </w:r>
      <w:r>
        <w:rPr>
          <w:snapToGrid w:val="0"/>
        </w:rPr>
        <w:tab/>
        <w:t>The chief executive officer may designate any person referred to in section 6 as an inspector.</w:t>
      </w:r>
    </w:p>
    <w:p>
      <w:pPr>
        <w:pStyle w:val="Footnotesection"/>
      </w:pPr>
      <w:r>
        <w:tab/>
        <w:t xml:space="preserve">[Section 7 amended: No. 1 of 1991 s. 14.] </w:t>
      </w:r>
    </w:p>
    <w:p>
      <w:pPr>
        <w:pStyle w:val="Heading5"/>
        <w:rPr>
          <w:snapToGrid w:val="0"/>
        </w:rPr>
      </w:pPr>
      <w:bookmarkStart w:id="27" w:name="_Toc86316134"/>
      <w:bookmarkStart w:id="28" w:name="_Toc86324370"/>
      <w:r>
        <w:rPr>
          <w:rStyle w:val="CharSectno"/>
        </w:rPr>
        <w:t>8</w:t>
      </w:r>
      <w:r>
        <w:rPr>
          <w:snapToGrid w:val="0"/>
        </w:rPr>
        <w:t>.</w:t>
      </w:r>
      <w:r>
        <w:rPr>
          <w:snapToGrid w:val="0"/>
        </w:rPr>
        <w:tab/>
        <w:t>Inspector’s certificate</w:t>
      </w:r>
      <w:bookmarkEnd w:id="27"/>
      <w:bookmarkEnd w:id="28"/>
    </w:p>
    <w:p>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pPr>
        <w:pStyle w:val="Footnotesection"/>
      </w:pPr>
      <w:r>
        <w:tab/>
        <w:t xml:space="preserve">[Section 8 amended: No. 1 of 1991 s. 14.] </w:t>
      </w:r>
    </w:p>
    <w:p>
      <w:pPr>
        <w:pStyle w:val="Heading5"/>
        <w:rPr>
          <w:snapToGrid w:val="0"/>
        </w:rPr>
      </w:pPr>
      <w:bookmarkStart w:id="29" w:name="_Toc86316135"/>
      <w:bookmarkStart w:id="30" w:name="_Toc86324371"/>
      <w:r>
        <w:rPr>
          <w:rStyle w:val="CharSectno"/>
        </w:rPr>
        <w:t>9</w:t>
      </w:r>
      <w:r>
        <w:rPr>
          <w:snapToGrid w:val="0"/>
        </w:rPr>
        <w:t>.</w:t>
      </w:r>
      <w:r>
        <w:rPr>
          <w:snapToGrid w:val="0"/>
        </w:rPr>
        <w:tab/>
        <w:t>Inspector subject to chief executive officer</w:t>
      </w:r>
      <w:bookmarkEnd w:id="29"/>
      <w:bookmarkEnd w:id="30"/>
      <w:r>
        <w:rPr>
          <w:snapToGrid w:val="0"/>
        </w:rPr>
        <w:t xml:space="preserve"> </w:t>
      </w:r>
    </w:p>
    <w:p>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pPr>
        <w:pStyle w:val="Footnotesection"/>
      </w:pPr>
      <w:r>
        <w:tab/>
        <w:t xml:space="preserve">[Section 9 amended: No. 1 of 1991 s. 14.] </w:t>
      </w:r>
    </w:p>
    <w:p>
      <w:pPr>
        <w:pStyle w:val="Heading2"/>
      </w:pPr>
      <w:bookmarkStart w:id="31" w:name="_Toc86316136"/>
      <w:bookmarkStart w:id="32" w:name="_Toc86317240"/>
      <w:bookmarkStart w:id="33" w:name="_Toc86317372"/>
      <w:bookmarkStart w:id="34" w:name="_Toc86317423"/>
      <w:bookmarkStart w:id="35" w:name="_Toc86324372"/>
      <w:r>
        <w:rPr>
          <w:rStyle w:val="CharPartNo"/>
        </w:rPr>
        <w:lastRenderedPageBreak/>
        <w:t>Part III</w:t>
      </w:r>
      <w:r>
        <w:rPr>
          <w:rStyle w:val="CharDivNo"/>
        </w:rPr>
        <w:t> </w:t>
      </w:r>
      <w:r>
        <w:t>—</w:t>
      </w:r>
      <w:r>
        <w:rPr>
          <w:rStyle w:val="CharDivText"/>
        </w:rPr>
        <w:t> </w:t>
      </w:r>
      <w:r>
        <w:rPr>
          <w:rStyle w:val="CharPartText"/>
        </w:rPr>
        <w:t>Retail trading hours</w:t>
      </w:r>
      <w:bookmarkEnd w:id="31"/>
      <w:bookmarkEnd w:id="32"/>
      <w:bookmarkEnd w:id="33"/>
      <w:bookmarkEnd w:id="34"/>
      <w:bookmarkEnd w:id="35"/>
      <w:r>
        <w:rPr>
          <w:rStyle w:val="CharPartText"/>
        </w:rPr>
        <w:t xml:space="preserve"> </w:t>
      </w:r>
    </w:p>
    <w:p>
      <w:pPr>
        <w:pStyle w:val="Heading5"/>
        <w:spacing w:before="200"/>
        <w:rPr>
          <w:snapToGrid w:val="0"/>
        </w:rPr>
      </w:pPr>
      <w:bookmarkStart w:id="36" w:name="_Toc86316137"/>
      <w:bookmarkStart w:id="37" w:name="_Toc86324373"/>
      <w:r>
        <w:rPr>
          <w:rStyle w:val="CharSectno"/>
        </w:rPr>
        <w:t>10</w:t>
      </w:r>
      <w:r>
        <w:rPr>
          <w:snapToGrid w:val="0"/>
        </w:rPr>
        <w:t>.</w:t>
      </w:r>
      <w:r>
        <w:rPr>
          <w:snapToGrid w:val="0"/>
        </w:rPr>
        <w:tab/>
        <w:t>Categories of retail shops</w:t>
      </w:r>
      <w:bookmarkEnd w:id="36"/>
      <w:bookmarkEnd w:id="37"/>
      <w:r>
        <w:rPr>
          <w:snapToGrid w:val="0"/>
        </w:rPr>
        <w:t xml:space="preserve"> </w:t>
      </w:r>
    </w:p>
    <w:p>
      <w:pPr>
        <w:pStyle w:val="Subsection"/>
        <w:rPr>
          <w:snapToGrid w:val="0"/>
        </w:rPr>
      </w:pPr>
      <w:r>
        <w:rPr>
          <w:snapToGrid w:val="0"/>
        </w:rPr>
        <w:tab/>
        <w:t>(1)</w:t>
      </w:r>
      <w:r>
        <w:rPr>
          <w:snapToGrid w:val="0"/>
        </w:rPr>
        <w:tab/>
        <w:t>For the purposes of this Act retail shops are assigned different categories as follows — </w:t>
      </w:r>
    </w:p>
    <w:p>
      <w:pPr>
        <w:pStyle w:val="Indenta"/>
        <w:rPr>
          <w:snapToGrid w:val="0"/>
        </w:rPr>
      </w:pPr>
      <w:r>
        <w:rPr>
          <w:snapToGrid w:val="0"/>
        </w:rPr>
        <w:tab/>
        <w:t>(a)</w:t>
      </w:r>
      <w:r>
        <w:rPr>
          <w:snapToGrid w:val="0"/>
        </w:rPr>
        <w:tab/>
        <w:t>general retail shops; and</w:t>
      </w:r>
    </w:p>
    <w:p>
      <w:pPr>
        <w:pStyle w:val="Indenta"/>
        <w:rPr>
          <w:snapToGrid w:val="0"/>
        </w:rPr>
      </w:pPr>
      <w:r>
        <w:rPr>
          <w:snapToGrid w:val="0"/>
        </w:rPr>
        <w:tab/>
        <w:t>(b)</w:t>
      </w:r>
      <w:r>
        <w:rPr>
          <w:snapToGrid w:val="0"/>
        </w:rPr>
        <w:tab/>
        <w:t>small retail shops; and</w:t>
      </w:r>
    </w:p>
    <w:p>
      <w:pPr>
        <w:pStyle w:val="Indenta"/>
        <w:rPr>
          <w:snapToGrid w:val="0"/>
        </w:rPr>
      </w:pPr>
      <w:r>
        <w:rPr>
          <w:snapToGrid w:val="0"/>
        </w:rPr>
        <w:tab/>
        <w:t>(c)</w:t>
      </w:r>
      <w:r>
        <w:rPr>
          <w:snapToGrid w:val="0"/>
        </w:rPr>
        <w:tab/>
        <w:t>special retail shops; and</w:t>
      </w:r>
    </w:p>
    <w:p>
      <w:pPr>
        <w:pStyle w:val="Indenta"/>
        <w:rPr>
          <w:snapToGrid w:val="0"/>
        </w:rPr>
      </w:pPr>
      <w:r>
        <w:rPr>
          <w:snapToGrid w:val="0"/>
        </w:rPr>
        <w:tab/>
        <w:t>(d)</w:t>
      </w:r>
      <w:r>
        <w:rPr>
          <w:snapToGrid w:val="0"/>
        </w:rPr>
        <w:tab/>
        <w:t>filling stations.</w:t>
      </w:r>
    </w:p>
    <w:p>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pPr>
        <w:pStyle w:val="Subsection"/>
        <w:rPr>
          <w:snapToGrid w:val="0"/>
        </w:rPr>
      </w:pPr>
      <w:r>
        <w:rPr>
          <w:snapToGrid w:val="0"/>
        </w:rPr>
        <w:tab/>
        <w:t>(3)</w:t>
      </w:r>
      <w:r>
        <w:rPr>
          <w:snapToGrid w:val="0"/>
        </w:rPr>
        <w:tab/>
        <w:t>Subject to this Act, a retail shop shall be regarded as a small retail shop if — </w:t>
      </w:r>
    </w:p>
    <w:p>
      <w:pPr>
        <w:pStyle w:val="Indenta"/>
      </w:pPr>
      <w:r>
        <w:tab/>
        <w:t>(a)</w:t>
      </w:r>
      <w:r>
        <w:tab/>
        <w:t>neither motor vehicles, nor goods or services prescribed for the purposes of this paragraph, are sold or provided at the retail shop; and</w:t>
      </w:r>
    </w:p>
    <w:p>
      <w:pPr>
        <w:pStyle w:val="Indenta"/>
        <w:rPr>
          <w:snapToGrid w:val="0"/>
        </w:rPr>
      </w:pPr>
      <w:r>
        <w:rPr>
          <w:snapToGrid w:val="0"/>
        </w:rPr>
        <w:tab/>
        <w:t>(b)</w:t>
      </w:r>
      <w:r>
        <w:rPr>
          <w:snapToGrid w:val="0"/>
        </w:rPr>
        <w:tab/>
        <w:t>the retail shop is owned by one eligible person or not more than 6 eligible persons trading in partnership or by a body corporate with not more than 6 shareholders all of whom are eligible persons; and</w:t>
      </w:r>
    </w:p>
    <w:p>
      <w:pPr>
        <w:pStyle w:val="Indenta"/>
        <w:rPr>
          <w:snapToGrid w:val="0"/>
        </w:rPr>
      </w:pPr>
      <w:r>
        <w:rPr>
          <w:snapToGrid w:val="0"/>
        </w:rPr>
        <w:tab/>
        <w:t>(ba)</w:t>
      </w:r>
      <w:r>
        <w:rPr>
          <w:snapToGrid w:val="0"/>
        </w:rPr>
        <w:tab/>
        <w:t>the retail shop is operated for the benefit of the eligible persons referred to in paragraph (b); and</w:t>
      </w:r>
    </w:p>
    <w:p>
      <w:pPr>
        <w:pStyle w:val="Indenta"/>
        <w:rPr>
          <w:snapToGrid w:val="0"/>
        </w:rPr>
      </w:pPr>
      <w:r>
        <w:rPr>
          <w:snapToGrid w:val="0"/>
        </w:rPr>
        <w:tab/>
        <w:t>(bb)</w:t>
      </w:r>
      <w:r>
        <w:rPr>
          <w:snapToGrid w:val="0"/>
        </w:rPr>
        <w:tab/>
        <w:t>the eligible persons referred to in paragraph (b) are personally and actively engaged in the retail shop; and</w:t>
      </w:r>
    </w:p>
    <w:p>
      <w:pPr>
        <w:pStyle w:val="Indenta"/>
        <w:rPr>
          <w:snapToGrid w:val="0"/>
        </w:rPr>
      </w:pPr>
      <w:r>
        <w:rPr>
          <w:snapToGrid w:val="0"/>
        </w:rPr>
        <w:tab/>
        <w:t>(bc)</w:t>
      </w:r>
      <w:r>
        <w:rPr>
          <w:snapToGrid w:val="0"/>
        </w:rPr>
        <w:tab/>
        <w:t xml:space="preserve">not more than </w:t>
      </w:r>
      <w:r>
        <w:t xml:space="preserve">25 persons </w:t>
      </w:r>
      <w:r>
        <w:rPr>
          <w:snapToGrid w:val="0"/>
        </w:rPr>
        <w:t>(inclusive of the eligible persons who own and operate the retail shop</w:t>
      </w:r>
      <w:r>
        <w:t xml:space="preserve"> but excluding any person who is employed at the retail shop as an</w:t>
      </w:r>
      <w:r>
        <w:rPr>
          <w:snapToGrid w:val="0"/>
        </w:rPr>
        <w:t xml:space="preserve"> </w:t>
      </w:r>
      <w:r>
        <w:t xml:space="preserve">apprentice under a training contract registered under the </w:t>
      </w:r>
      <w:r>
        <w:rPr>
          <w:i/>
        </w:rPr>
        <w:t>Vocational Education and Training Act 1996</w:t>
      </w:r>
      <w:r>
        <w:t xml:space="preserve"> Part 7 Division 2) </w:t>
      </w:r>
      <w:r>
        <w:rPr>
          <w:snapToGrid w:val="0"/>
        </w:rPr>
        <w:t>work in the retail shop at any one and the same time; and</w:t>
      </w:r>
    </w:p>
    <w:p>
      <w:pPr>
        <w:pStyle w:val="Indenta"/>
        <w:keepNext/>
        <w:rPr>
          <w:snapToGrid w:val="0"/>
        </w:rPr>
      </w:pPr>
      <w:r>
        <w:rPr>
          <w:snapToGrid w:val="0"/>
        </w:rPr>
        <w:lastRenderedPageBreak/>
        <w:tab/>
        <w:t>(bd)</w:t>
      </w:r>
      <w:r>
        <w:rPr>
          <w:snapToGrid w:val="0"/>
        </w:rPr>
        <w:tab/>
        <w:t>the retail shop is owned and operated in accordance with the directions given under subsection (3b); and</w:t>
      </w:r>
    </w:p>
    <w:p>
      <w:pPr>
        <w:pStyle w:val="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r>
        <w:t>, and that certificate has not been cancelled</w:t>
      </w:r>
      <w:r>
        <w:rPr>
          <w:snapToGrid w:val="0"/>
        </w:rPr>
        <w:t>.</w:t>
      </w:r>
    </w:p>
    <w:p>
      <w:pPr>
        <w:pStyle w:val="Subsection"/>
        <w:rPr>
          <w:snapToGrid w:val="0"/>
        </w:rPr>
      </w:pPr>
      <w:r>
        <w:rPr>
          <w:snapToGrid w:val="0"/>
        </w:rPr>
        <w:tab/>
        <w:t>(3a)</w:t>
      </w:r>
      <w:r>
        <w:rPr>
          <w:snapToGrid w:val="0"/>
        </w:rPr>
        <w:tab/>
        <w:t>A person is not an eligible person for the purposes of subsection (3) unless — </w:t>
      </w:r>
    </w:p>
    <w:p>
      <w:pPr>
        <w:pStyle w:val="Indenta"/>
        <w:rPr>
          <w:snapToGrid w:val="0"/>
        </w:rPr>
      </w:pPr>
      <w:r>
        <w:rPr>
          <w:snapToGrid w:val="0"/>
        </w:rPr>
        <w:tab/>
        <w:t>(a)</w:t>
      </w:r>
      <w:r>
        <w:rPr>
          <w:snapToGrid w:val="0"/>
        </w:rPr>
        <w:tab/>
        <w:t>in relation to a case where the person is the only person in question the person — </w:t>
      </w:r>
    </w:p>
    <w:p>
      <w:pPr>
        <w:pStyle w:val="Indenti"/>
        <w:rPr>
          <w:snapToGrid w:val="0"/>
        </w:rPr>
      </w:pPr>
      <w:r>
        <w:rPr>
          <w:snapToGrid w:val="0"/>
        </w:rPr>
        <w:tab/>
        <w:t>(i)</w:t>
      </w:r>
      <w:r>
        <w:rPr>
          <w:snapToGrid w:val="0"/>
        </w:rPr>
        <w:tab/>
        <w:t>is a natural person; and</w:t>
      </w:r>
    </w:p>
    <w:p>
      <w:pPr>
        <w:pStyle w:val="Indenti"/>
      </w:pPr>
      <w:r>
        <w:tab/>
        <w:t>(ii)</w:t>
      </w:r>
      <w:r>
        <w:tab/>
        <w:t xml:space="preserve">does not own or operate, either alone or together with any other person, more than 4 retail shops except as a shareholder in a listed corporation as defined in the Commonwealth </w:t>
      </w:r>
      <w:r>
        <w:rPr>
          <w:i/>
        </w:rPr>
        <w:t>Corporations Act 2001</w:t>
      </w:r>
      <w:r>
        <w:t xml:space="preserve"> section 9;</w:t>
      </w:r>
    </w:p>
    <w:p>
      <w:pPr>
        <w:pStyle w:val="Indenta"/>
        <w:rPr>
          <w:snapToGrid w:val="0"/>
        </w:rPr>
      </w:pPr>
      <w:r>
        <w:rPr>
          <w:snapToGrid w:val="0"/>
        </w:rPr>
        <w:tab/>
        <w:t>(b)</w:t>
      </w:r>
      <w:r>
        <w:rPr>
          <w:snapToGrid w:val="0"/>
        </w:rPr>
        <w:tab/>
        <w:t>in relation to a case where the person in question is one of a group of persons, the person — </w:t>
      </w:r>
    </w:p>
    <w:p>
      <w:pPr>
        <w:pStyle w:val="Indenti"/>
        <w:rPr>
          <w:snapToGrid w:val="0"/>
        </w:rPr>
      </w:pPr>
      <w:r>
        <w:rPr>
          <w:snapToGrid w:val="0"/>
        </w:rPr>
        <w:tab/>
        <w:t>(i)</w:t>
      </w:r>
      <w:r>
        <w:rPr>
          <w:snapToGrid w:val="0"/>
        </w:rPr>
        <w:tab/>
        <w:t>is a person to whom the provisions of paragraph (a)(i) and (ii) apply; and</w:t>
      </w:r>
    </w:p>
    <w:p>
      <w:pPr>
        <w:pStyle w:val="Indenti"/>
        <w:rPr>
          <w:snapToGrid w:val="0"/>
        </w:rPr>
      </w:pPr>
      <w:r>
        <w:rPr>
          <w:snapToGrid w:val="0"/>
        </w:rPr>
        <w:tab/>
        <w:t>(ii)</w:t>
      </w:r>
      <w:r>
        <w:rPr>
          <w:snapToGrid w:val="0"/>
        </w:rPr>
        <w:tab/>
        <w:t>does not own or operate another retail shop together with a person who is outside that group of persons; and</w:t>
      </w:r>
    </w:p>
    <w:p>
      <w:pPr>
        <w:pStyle w:val="Indenti"/>
      </w:pPr>
      <w:r>
        <w:tab/>
        <w:t>(iii)</w:t>
      </w:r>
      <w:r>
        <w:tab/>
        <w:t>does not himself or herself own or operate a retail shop alone if 3 or more other persons in the group each own or operate a retail shop that is not owned or operated together with the other persons in the group; and</w:t>
      </w:r>
    </w:p>
    <w:p>
      <w:pPr>
        <w:pStyle w:val="Indenti"/>
      </w:pPr>
      <w:r>
        <w:lastRenderedPageBreak/>
        <w:tab/>
        <w:t>(iv)</w:t>
      </w:r>
      <w:r>
        <w:tab/>
        <w:t>does not himself or herself own or operate a retail shop alone if another person in the group owns or operates 3 or more retail shops that are not owned or operated together with the other persons in the group.</w:t>
      </w:r>
    </w:p>
    <w:p>
      <w:pPr>
        <w:pStyle w:val="Subsection"/>
      </w:pPr>
      <w:r>
        <w:tab/>
        <w:t>(3aa)</w:t>
      </w:r>
      <w:r>
        <w:tab/>
        <w:t xml:space="preserve">The matters that the chief executive officer may have regard to when determining whether an owner of a retail shop is related to an owner of another retail shop for the purposes of subsection (3)(be) include — </w:t>
      </w:r>
    </w:p>
    <w:p>
      <w:pPr>
        <w:pStyle w:val="Indenta"/>
      </w:pPr>
      <w:r>
        <w:tab/>
        <w:t>(a)</w:t>
      </w:r>
      <w:r>
        <w:tab/>
        <w:t xml:space="preserve">whether one owner is — </w:t>
      </w:r>
    </w:p>
    <w:p>
      <w:pPr>
        <w:pStyle w:val="Indenti"/>
      </w:pPr>
      <w:r>
        <w:tab/>
        <w:t>(i)</w:t>
      </w:r>
      <w:r>
        <w:tab/>
        <w:t>the spouse or de facto partner of the other owner; or</w:t>
      </w:r>
    </w:p>
    <w:p>
      <w:pPr>
        <w:pStyle w:val="Indenti"/>
      </w:pPr>
      <w:r>
        <w:tab/>
        <w:t>(ii)</w:t>
      </w:r>
      <w:r>
        <w:tab/>
        <w:t>a child of the other owner or of the spouse or de facto partner of the other owner; or</w:t>
      </w:r>
    </w:p>
    <w:p>
      <w:pPr>
        <w:pStyle w:val="Indenti"/>
      </w:pPr>
      <w:r>
        <w:tab/>
        <w:t>(iii)</w:t>
      </w:r>
      <w:r>
        <w:tab/>
        <w:t>a parent of the other owner or of the spouse or de facto partner of the other owner; or</w:t>
      </w:r>
    </w:p>
    <w:p>
      <w:pPr>
        <w:pStyle w:val="Indenti"/>
      </w:pPr>
      <w:r>
        <w:tab/>
        <w:t>(iv)</w:t>
      </w:r>
      <w:r>
        <w:tab/>
        <w:t>a brother or sister of the other owner or of the spouse or de facto partner of the other owner;</w:t>
      </w:r>
    </w:p>
    <w:p>
      <w:pPr>
        <w:pStyle w:val="Indenta"/>
      </w:pPr>
      <w:r>
        <w:tab/>
      </w:r>
      <w:r>
        <w:tab/>
        <w:t>and</w:t>
      </w:r>
    </w:p>
    <w:p>
      <w:pPr>
        <w:pStyle w:val="Indenta"/>
      </w:pPr>
      <w:r>
        <w:tab/>
        <w:t>(b)</w:t>
      </w:r>
      <w:r>
        <w:tab/>
        <w:t>whether one owner is a related body corporate in relation to the other owner; and</w:t>
      </w:r>
    </w:p>
    <w:p>
      <w:pPr>
        <w:pStyle w:val="Indenta"/>
      </w:pPr>
      <w:r>
        <w:tab/>
        <w:t>(c)</w:t>
      </w:r>
      <w:r>
        <w:tab/>
        <w:t xml:space="preserve">whether one owner is a corporation and the other owner is — </w:t>
      </w:r>
    </w:p>
    <w:p>
      <w:pPr>
        <w:pStyle w:val="Indenti"/>
      </w:pPr>
      <w:r>
        <w:tab/>
        <w:t>(i)</w:t>
      </w:r>
      <w:r>
        <w:tab/>
        <w:t>an officer of the corporation; or</w:t>
      </w:r>
    </w:p>
    <w:p>
      <w:pPr>
        <w:pStyle w:val="Indenti"/>
      </w:pPr>
      <w:r>
        <w:tab/>
        <w:t>(ii)</w:t>
      </w:r>
      <w:r>
        <w:tab/>
        <w:t>a majority shareholder in the corporation;</w:t>
      </w:r>
    </w:p>
    <w:p>
      <w:pPr>
        <w:pStyle w:val="Indenta"/>
      </w:pPr>
      <w:r>
        <w:tab/>
      </w:r>
      <w:r>
        <w:tab/>
        <w:t>and</w:t>
      </w:r>
    </w:p>
    <w:p>
      <w:pPr>
        <w:pStyle w:val="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 and</w:t>
      </w:r>
    </w:p>
    <w:p>
      <w:pPr>
        <w:pStyle w:val="Indenta"/>
        <w:keepNext/>
      </w:pPr>
      <w:r>
        <w:tab/>
        <w:t>(e)</w:t>
      </w:r>
      <w:r>
        <w:tab/>
        <w:t xml:space="preserve">whether one owner is — </w:t>
      </w:r>
    </w:p>
    <w:p>
      <w:pPr>
        <w:pStyle w:val="Indenti"/>
      </w:pPr>
      <w:r>
        <w:tab/>
        <w:t>(i)</w:t>
      </w:r>
      <w:r>
        <w:tab/>
        <w:t>an employee or partner of the other owner; or</w:t>
      </w:r>
    </w:p>
    <w:p>
      <w:pPr>
        <w:pStyle w:val="Indenti"/>
        <w:spacing w:before="60"/>
      </w:pPr>
      <w:r>
        <w:lastRenderedPageBreak/>
        <w:tab/>
        <w:t>(ii)</w:t>
      </w:r>
      <w:r>
        <w:tab/>
        <w:t>an agent, banker, solicitor, accountant, auditor or other person acting in any capacity for or on behalf of the other owner;</w:t>
      </w:r>
    </w:p>
    <w:p>
      <w:pPr>
        <w:pStyle w:val="Indenta"/>
        <w:spacing w:before="60"/>
      </w:pPr>
      <w:r>
        <w:tab/>
      </w:r>
      <w:r>
        <w:tab/>
        <w:t>and</w:t>
      </w:r>
    </w:p>
    <w:p>
      <w:pPr>
        <w:pStyle w:val="Indenta"/>
        <w:spacing w:before="60"/>
      </w:pPr>
      <w:r>
        <w:tab/>
        <w:t>(f)</w:t>
      </w:r>
      <w:r>
        <w:tab/>
        <w:t xml:space="preserve">whether one owner is — </w:t>
      </w:r>
    </w:p>
    <w:p>
      <w:pPr>
        <w:pStyle w:val="Indenti"/>
        <w:spacing w:before="60"/>
      </w:pPr>
      <w:r>
        <w:tab/>
        <w:t>(i)</w:t>
      </w:r>
      <w:r>
        <w:tab/>
        <w:t>a trustee for the other owner; or</w:t>
      </w:r>
    </w:p>
    <w:p>
      <w:pPr>
        <w:pStyle w:val="Indenti"/>
        <w:spacing w:before="60"/>
      </w:pPr>
      <w:r>
        <w:tab/>
        <w:t>(ii)</w:t>
      </w:r>
      <w:r>
        <w:tab/>
        <w:t>a trustee of a trust of which the other owner is a discretionary or other beneficiary.</w:t>
      </w:r>
    </w:p>
    <w:p>
      <w:pPr>
        <w:pStyle w:val="Subsection"/>
        <w:spacing w:before="120"/>
      </w:pPr>
      <w:r>
        <w:tab/>
        <w:t>(3ab)</w:t>
      </w:r>
      <w:r>
        <w:tab/>
        <w:t xml:space="preserve">In subsection (3aa) — </w:t>
      </w:r>
    </w:p>
    <w:p>
      <w:pPr>
        <w:pStyle w:val="Defstart"/>
      </w:pPr>
      <w:r>
        <w:rPr>
          <w:b/>
        </w:rPr>
        <w:tab/>
      </w:r>
      <w:r>
        <w:rPr>
          <w:rStyle w:val="CharDefText"/>
        </w:rPr>
        <w:t>corporation</w:t>
      </w:r>
      <w:r>
        <w:t xml:space="preserve"> has the meaning given to that term in the Commonwealth </w:t>
      </w:r>
      <w:r>
        <w:rPr>
          <w:i/>
        </w:rPr>
        <w:t>Corporations Act 2001</w:t>
      </w:r>
      <w:r>
        <w:t xml:space="preserve"> section 57A;</w:t>
      </w:r>
    </w:p>
    <w:p>
      <w:pPr>
        <w:pStyle w:val="Defstart"/>
      </w:pPr>
      <w:r>
        <w:rPr>
          <w:b/>
        </w:rPr>
        <w:tab/>
      </w:r>
      <w:r>
        <w:rPr>
          <w:rStyle w:val="CharDefText"/>
        </w:rPr>
        <w:t>officer</w:t>
      </w:r>
      <w:r>
        <w:t xml:space="preserve"> has the meaning given to that term in the Commonwealth </w:t>
      </w:r>
      <w:r>
        <w:rPr>
          <w:i/>
        </w:rPr>
        <w:t>Corporations Act 2001</w:t>
      </w:r>
      <w:r>
        <w:t xml:space="preserve"> section 9;</w:t>
      </w:r>
    </w:p>
    <w:p>
      <w:pPr>
        <w:pStyle w:val="Defstart"/>
      </w:pPr>
      <w:r>
        <w:rPr>
          <w:b/>
        </w:rPr>
        <w:tab/>
      </w:r>
      <w:r>
        <w:rPr>
          <w:rStyle w:val="CharDefText"/>
        </w:rPr>
        <w:t>related body corporate</w:t>
      </w:r>
      <w:r>
        <w:t xml:space="preserve"> has the meaning given to that term in the Commonwealth </w:t>
      </w:r>
      <w:r>
        <w:rPr>
          <w:i/>
        </w:rPr>
        <w:t>Corporations Act 2001</w:t>
      </w:r>
      <w:r>
        <w:t xml:space="preserve"> section 9.</w:t>
      </w:r>
    </w:p>
    <w:p>
      <w:pPr>
        <w:pStyle w:val="Subsection"/>
        <w:spacing w:before="120"/>
      </w:pPr>
      <w:r>
        <w:tab/>
        <w:t>(3ac)</w:t>
      </w:r>
      <w:r>
        <w:tab/>
        <w:t xml:space="preserve">A person who operates a small retail shop is required to notify the chief executive officer within 14 days after — </w:t>
      </w:r>
    </w:p>
    <w:p>
      <w:pPr>
        <w:pStyle w:val="Indenta"/>
      </w:pPr>
      <w:r>
        <w:tab/>
        <w:t>(a)</w:t>
      </w:r>
      <w:r>
        <w:tab/>
        <w:t>a person becomes or ceases to be an owner of the retail shop; and</w:t>
      </w:r>
    </w:p>
    <w:p>
      <w:pPr>
        <w:pStyle w:val="Indenta"/>
      </w:pPr>
      <w:r>
        <w:tab/>
        <w:t>(b)</w:t>
      </w:r>
      <w:r>
        <w:tab/>
        <w:t>if the owner of the retail shop is a body corporate — a person becomes or ceases to be a shareholder of the body corporate.</w:t>
      </w:r>
    </w:p>
    <w:p>
      <w:pPr>
        <w:pStyle w:val="Subsection"/>
        <w:spacing w:before="120"/>
        <w:rPr>
          <w:snapToGrid w:val="0"/>
        </w:rPr>
      </w:pPr>
      <w:r>
        <w:rPr>
          <w:snapToGrid w:val="0"/>
        </w:rPr>
        <w:tab/>
        <w:t>(3b)</w:t>
      </w:r>
      <w:r>
        <w:rPr>
          <w:snapToGrid w:val="0"/>
        </w:rPr>
        <w:tab/>
        <w:t>The Minister may by order give directions for the purposes of subsection (3) and any such order may include directions with respect to — </w:t>
      </w:r>
    </w:p>
    <w:p>
      <w:pPr>
        <w:pStyle w:val="Indenta"/>
        <w:rPr>
          <w:snapToGrid w:val="0"/>
        </w:rPr>
      </w:pPr>
      <w:r>
        <w:rPr>
          <w:snapToGrid w:val="0"/>
        </w:rPr>
        <w:tab/>
        <w:t>(a)</w:t>
      </w:r>
      <w:r>
        <w:rPr>
          <w:snapToGrid w:val="0"/>
        </w:rPr>
        <w:tab/>
        <w:t>the persons who shall be, and, the persons who shall not be, regarded as owners for the purposes of subsection (3); and</w:t>
      </w:r>
    </w:p>
    <w:p>
      <w:pPr>
        <w:pStyle w:val="Indenta"/>
        <w:rPr>
          <w:snapToGrid w:val="0"/>
        </w:rPr>
      </w:pPr>
      <w:r>
        <w:rPr>
          <w:snapToGrid w:val="0"/>
        </w:rPr>
        <w:tab/>
        <w:t>(b)</w:t>
      </w:r>
      <w:r>
        <w:rPr>
          <w:snapToGrid w:val="0"/>
        </w:rPr>
        <w:tab/>
        <w:t>the persons for whose benefit a small retail shop may be owned and operated; and</w:t>
      </w:r>
    </w:p>
    <w:p>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 and</w:t>
      </w:r>
    </w:p>
    <w:p>
      <w:pPr>
        <w:pStyle w:val="Indenta"/>
        <w:rPr>
          <w:snapToGrid w:val="0"/>
        </w:rPr>
      </w:pPr>
      <w:r>
        <w:rPr>
          <w:snapToGrid w:val="0"/>
        </w:rPr>
        <w:lastRenderedPageBreak/>
        <w:tab/>
        <w:t>(d)</w:t>
      </w:r>
      <w:r>
        <w:rPr>
          <w:snapToGrid w:val="0"/>
        </w:rPr>
        <w:tab/>
        <w:t>the extent to which the natural persons who operate the retail shop shall be personally and actively engaged in the operations of the retail shop; and</w:t>
      </w:r>
    </w:p>
    <w:p>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pPr>
        <w:pStyle w:val="Subsection"/>
        <w:rPr>
          <w:snapToGrid w:val="0"/>
        </w:rPr>
      </w:pPr>
      <w:r>
        <w:rPr>
          <w:snapToGrid w:val="0"/>
        </w:rPr>
        <w:tab/>
      </w:r>
      <w:r>
        <w:rPr>
          <w:snapToGrid w:val="0"/>
        </w:rPr>
        <w:tab/>
        <w:t>and effect shall be given to any such order.</w:t>
      </w:r>
    </w:p>
    <w:p>
      <w:pPr>
        <w:pStyle w:val="Ednotesubsection"/>
      </w:pPr>
      <w:r>
        <w:tab/>
        <w:t>[(3c)</w:t>
      </w:r>
      <w:r>
        <w:tab/>
        <w:t>deleted]</w:t>
      </w:r>
    </w:p>
    <w:p>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pPr>
        <w:pStyle w:val="Subsection"/>
        <w:rPr>
          <w:snapToGrid w:val="0"/>
        </w:rPr>
      </w:pPr>
      <w:r>
        <w:rPr>
          <w:snapToGrid w:val="0"/>
        </w:rPr>
        <w:tab/>
        <w:t>(4)</w:t>
      </w:r>
      <w:r>
        <w:rPr>
          <w:snapToGrid w:val="0"/>
        </w:rPr>
        <w:tab/>
        <w:t>Subject to this Act, a retail shop shall be regarded as a special retail shop if — </w:t>
      </w:r>
    </w:p>
    <w:p>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pPr>
        <w:pStyle w:val="Subsection"/>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pPr>
        <w:pStyle w:val="Footnotesection"/>
      </w:pPr>
      <w:r>
        <w:tab/>
        <w:t xml:space="preserve">[Section 10 amended: No. 1 of 1991 s. 6 and 14; No. 47 of 2006 s. 6; No. 44 of 2008 s. 60; No. 40 of 2011 s. 4; No. 23 of 2014 s. 92.] </w:t>
      </w:r>
    </w:p>
    <w:p>
      <w:pPr>
        <w:pStyle w:val="Heading5"/>
        <w:rPr>
          <w:snapToGrid w:val="0"/>
        </w:rPr>
      </w:pPr>
      <w:bookmarkStart w:id="38" w:name="_Toc86316138"/>
      <w:bookmarkStart w:id="39" w:name="_Toc86324374"/>
      <w:r>
        <w:rPr>
          <w:rStyle w:val="CharSectno"/>
        </w:rPr>
        <w:t>11</w:t>
      </w:r>
      <w:r>
        <w:rPr>
          <w:snapToGrid w:val="0"/>
        </w:rPr>
        <w:t>.</w:t>
      </w:r>
      <w:r>
        <w:rPr>
          <w:snapToGrid w:val="0"/>
        </w:rPr>
        <w:tab/>
        <w:t>Certifying shops as small retail shops or special retail shops</w:t>
      </w:r>
      <w:bookmarkEnd w:id="38"/>
      <w:bookmarkEnd w:id="39"/>
    </w:p>
    <w:p>
      <w:pPr>
        <w:pStyle w:val="Subsection"/>
        <w:rPr>
          <w:snapToGrid w:val="0"/>
        </w:rPr>
      </w:pPr>
      <w:r>
        <w:rPr>
          <w:snapToGrid w:val="0"/>
        </w:rPr>
        <w:tab/>
        <w:t>(1)</w:t>
      </w:r>
      <w:r>
        <w:rPr>
          <w:snapToGrid w:val="0"/>
        </w:rPr>
        <w:tab/>
        <w:t xml:space="preserve">A person who desires to operate a small retail shop or a special retail shop at any place shall apply to the chief executive officer </w:t>
      </w:r>
      <w:r>
        <w:rPr>
          <w:snapToGrid w:val="0"/>
        </w:rPr>
        <w:lastRenderedPageBreak/>
        <w:t>for a certificate in relation to that place in accordance with the regulations.</w:t>
      </w:r>
    </w:p>
    <w:p>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pPr>
        <w:pStyle w:val="Subsection"/>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pPr>
        <w:pStyle w:val="Indenta"/>
        <w:keepNext/>
        <w:rPr>
          <w:snapToGrid w:val="0"/>
        </w:rPr>
      </w:pPr>
      <w:r>
        <w:rPr>
          <w:snapToGrid w:val="0"/>
        </w:rPr>
        <w:tab/>
        <w:t>(a)</w:t>
      </w:r>
      <w:r>
        <w:rPr>
          <w:snapToGrid w:val="0"/>
        </w:rPr>
        <w:tab/>
        <w:t>in relation to a small retail shop — </w:t>
      </w:r>
    </w:p>
    <w:p>
      <w:pPr>
        <w:pStyle w:val="Indenti"/>
      </w:pPr>
      <w:r>
        <w:tab/>
        <w:t>(i)</w:t>
      </w:r>
      <w:r>
        <w:tab/>
        <w:t>that any motor vehicle is, or any goods or service prescribed for the purposes of section 10(3)(a) are, sold or provided at that retail shop; or</w:t>
      </w:r>
    </w:p>
    <w:p>
      <w:pPr>
        <w:pStyle w:val="Indenti"/>
        <w:rPr>
          <w:snapToGrid w:val="0"/>
        </w:rPr>
      </w:pPr>
      <w:r>
        <w:rPr>
          <w:snapToGrid w:val="0"/>
        </w:rPr>
        <w:tab/>
        <w:t>(ii)</w:t>
      </w:r>
      <w:r>
        <w:rPr>
          <w:snapToGrid w:val="0"/>
        </w:rPr>
        <w:tab/>
        <w:t>that the retail shop is not owned or operated in terms of section 10(3) and (3b); or</w:t>
      </w:r>
    </w:p>
    <w:p>
      <w:pPr>
        <w:pStyle w:val="Indenti"/>
      </w:pPr>
      <w:r>
        <w:tab/>
        <w:t>(iii)</w:t>
      </w:r>
      <w:r>
        <w:tab/>
        <w:t>that notification has not been given as required by section 10(3ac);</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relation to a special retail shop — </w:t>
      </w:r>
    </w:p>
    <w:p>
      <w:pPr>
        <w:pStyle w:val="Indenti"/>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pPr>
        <w:pStyle w:val="Indenti"/>
        <w:rPr>
          <w:snapToGrid w:val="0"/>
        </w:rPr>
      </w:pPr>
      <w:r>
        <w:rPr>
          <w:snapToGrid w:val="0"/>
        </w:rPr>
        <w:tab/>
        <w:t>(ii)</w:t>
      </w:r>
      <w:r>
        <w:rPr>
          <w:snapToGrid w:val="0"/>
        </w:rPr>
        <w:tab/>
        <w:t>that the special retail shop is operated during the hours it is required to be closed under this Act.</w:t>
      </w:r>
    </w:p>
    <w:p>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pPr>
        <w:pStyle w:val="Subsection"/>
        <w:rPr>
          <w:snapToGrid w:val="0"/>
        </w:rPr>
      </w:pPr>
      <w:r>
        <w:rPr>
          <w:snapToGrid w:val="0"/>
        </w:rPr>
        <w:lastRenderedPageBreak/>
        <w:tab/>
        <w:t>(6)</w:t>
      </w:r>
      <w:r>
        <w:rPr>
          <w:snapToGrid w:val="0"/>
        </w:rPr>
        <w:tab/>
        <w:t>The cancellation of a certificate under this section does not prevent a person from being prosecuted for an offence against this Act.</w:t>
      </w:r>
    </w:p>
    <w:p>
      <w:pPr>
        <w:pStyle w:val="Footnotesection"/>
        <w:keepLines w:val="0"/>
        <w:ind w:left="890" w:hanging="890"/>
      </w:pPr>
      <w:r>
        <w:tab/>
        <w:t xml:space="preserve">[Section 11 amended: No. 1 of 1991 s. 7 and 14; No. 47 of 2006 s. 7.] </w:t>
      </w:r>
    </w:p>
    <w:p>
      <w:pPr>
        <w:pStyle w:val="Heading5"/>
        <w:rPr>
          <w:snapToGrid w:val="0"/>
        </w:rPr>
      </w:pPr>
      <w:bookmarkStart w:id="40" w:name="_Toc86316139"/>
      <w:bookmarkStart w:id="41" w:name="_Toc86324375"/>
      <w:r>
        <w:rPr>
          <w:rStyle w:val="CharSectno"/>
        </w:rPr>
        <w:t>12</w:t>
      </w:r>
      <w:r>
        <w:rPr>
          <w:snapToGrid w:val="0"/>
        </w:rPr>
        <w:t>.</w:t>
      </w:r>
      <w:r>
        <w:rPr>
          <w:snapToGrid w:val="0"/>
        </w:rPr>
        <w:tab/>
        <w:t>Trading hours for some general retail shops</w:t>
      </w:r>
      <w:bookmarkEnd w:id="40"/>
      <w:bookmarkEnd w:id="41"/>
      <w:r>
        <w:rPr>
          <w:snapToGrid w:val="0"/>
        </w:rPr>
        <w:t xml:space="preserve"> </w:t>
      </w:r>
    </w:p>
    <w:p>
      <w:pPr>
        <w:pStyle w:val="Subsection"/>
        <w:keepNext/>
        <w:rPr>
          <w:snapToGrid w:val="0"/>
        </w:rPr>
      </w:pPr>
      <w:r>
        <w:rPr>
          <w:snapToGrid w:val="0"/>
        </w:rPr>
        <w:tab/>
        <w:t>(1)</w:t>
      </w:r>
      <w:r>
        <w:rPr>
          <w:snapToGrid w:val="0"/>
        </w:rPr>
        <w:tab/>
        <w:t>Subject to this Act</w:t>
      </w:r>
      <w:r>
        <w:t xml:space="preserve"> and any order made under section 12E(1) that affects the trading hours of the general retail shop,</w:t>
      </w:r>
      <w:r>
        <w:rPr>
          <w:snapToGrid w:val="0"/>
        </w:rPr>
        <w:t xml:space="preserve"> a general retail shop</w:t>
      </w:r>
      <w:r>
        <w:t xml:space="preserve"> that is not in the metropolitan area</w:t>
      </w:r>
      <w:r>
        <w:rPr>
          <w:snapToGrid w:val="0"/>
        </w:rPr>
        <w:t xml:space="preserve"> shall be closed — </w:t>
      </w:r>
    </w:p>
    <w:p>
      <w:pPr>
        <w:pStyle w:val="Indenta"/>
        <w:rPr>
          <w:snapToGrid w:val="0"/>
        </w:rPr>
      </w:pPr>
      <w:r>
        <w:rPr>
          <w:snapToGrid w:val="0"/>
        </w:rPr>
        <w:tab/>
        <w:t>(a)</w:t>
      </w:r>
      <w:r>
        <w:rPr>
          <w:snapToGrid w:val="0"/>
        </w:rPr>
        <w:tab/>
        <w:t>on Monday, Tuesday, Wednesday and Friday in each week until 8 a.m. and from and after 6 p.m.; and</w:t>
      </w:r>
    </w:p>
    <w:p>
      <w:pPr>
        <w:pStyle w:val="Indenta"/>
        <w:rPr>
          <w:snapToGrid w:val="0"/>
        </w:rPr>
      </w:pPr>
      <w:r>
        <w:rPr>
          <w:snapToGrid w:val="0"/>
        </w:rPr>
        <w:tab/>
        <w:t>(b)</w:t>
      </w:r>
      <w:r>
        <w:rPr>
          <w:snapToGrid w:val="0"/>
        </w:rPr>
        <w:tab/>
        <w:t>on Thursday in each week, until 8 a.m. and from and after 9 p.m.; and</w:t>
      </w:r>
    </w:p>
    <w:p>
      <w:pPr>
        <w:pStyle w:val="Indenta"/>
        <w:rPr>
          <w:snapToGrid w:val="0"/>
        </w:rPr>
      </w:pPr>
      <w:r>
        <w:rPr>
          <w:snapToGrid w:val="0"/>
        </w:rPr>
        <w:tab/>
        <w:t>(c)</w:t>
      </w:r>
      <w:r>
        <w:rPr>
          <w:snapToGrid w:val="0"/>
        </w:rPr>
        <w:tab/>
        <w:t>on Saturday in each week, until 8 a.m. and from and after 5 p.m.; and</w:t>
      </w:r>
    </w:p>
    <w:p>
      <w:pPr>
        <w:pStyle w:val="Indenta"/>
        <w:rPr>
          <w:snapToGrid w:val="0"/>
        </w:rPr>
      </w:pPr>
      <w:r>
        <w:rPr>
          <w:snapToGrid w:val="0"/>
        </w:rPr>
        <w:tab/>
        <w:t>(d)</w:t>
      </w:r>
      <w:r>
        <w:rPr>
          <w:snapToGrid w:val="0"/>
        </w:rPr>
        <w:tab/>
        <w:t>on Sunday in each week; and</w:t>
      </w:r>
    </w:p>
    <w:p>
      <w:pPr>
        <w:pStyle w:val="Indenta"/>
        <w:rPr>
          <w:snapToGrid w:val="0"/>
        </w:rPr>
      </w:pPr>
      <w:r>
        <w:rPr>
          <w:snapToGrid w:val="0"/>
        </w:rPr>
        <w:tab/>
        <w:t>(e)</w:t>
      </w:r>
      <w:r>
        <w:rPr>
          <w:snapToGrid w:val="0"/>
        </w:rPr>
        <w:tab/>
        <w:t>on each public holiday and public half</w:t>
      </w:r>
      <w:r>
        <w:rPr>
          <w:snapToGrid w:val="0"/>
        </w:rPr>
        <w:noBreakHyphen/>
        <w:t>holiday.</w:t>
      </w:r>
    </w:p>
    <w:p>
      <w:pPr>
        <w:pStyle w:val="Subsection"/>
      </w:pPr>
      <w:r>
        <w:tab/>
        <w:t>(2)</w:t>
      </w:r>
      <w:r>
        <w:tab/>
        <w:t>Subsection (1) does not apply to a motor vehicle shop.</w:t>
      </w:r>
    </w:p>
    <w:p>
      <w:pPr>
        <w:pStyle w:val="Subsection"/>
      </w:pPr>
      <w:r>
        <w:tab/>
        <w:t>(3)</w:t>
      </w:r>
      <w:r>
        <w:tab/>
        <w:t xml:space="preserve">Subject to this Act and any order made under section 12E(1) that affects the trading hours of a general retail shop, a general retail shop in the metropolitan area shall be closed — </w:t>
      </w:r>
    </w:p>
    <w:p>
      <w:pPr>
        <w:pStyle w:val="Indenta"/>
      </w:pPr>
      <w:r>
        <w:tab/>
        <w:t>(a)</w:t>
      </w:r>
      <w:r>
        <w:tab/>
        <w:t>on Monday, Tuesday, Wednesday, Thursday and Friday in each week, until 8 a.m. and from and after 9 p.m.; and</w:t>
      </w:r>
    </w:p>
    <w:p>
      <w:pPr>
        <w:pStyle w:val="Indenta"/>
      </w:pPr>
      <w:r>
        <w:tab/>
        <w:t>(b)</w:t>
      </w:r>
      <w:r>
        <w:tab/>
        <w:t>on Saturday in each week, until 8 a.m. and from and after 5 p.m.; and</w:t>
      </w:r>
    </w:p>
    <w:p>
      <w:pPr>
        <w:pStyle w:val="Indenta"/>
      </w:pPr>
      <w:r>
        <w:tab/>
        <w:t>(c)</w:t>
      </w:r>
      <w:r>
        <w:tab/>
        <w:t>on Sunday in each week, until 11 a.m. and from and after 5 p.m.; and</w:t>
      </w:r>
    </w:p>
    <w:p>
      <w:pPr>
        <w:pStyle w:val="Indenta"/>
      </w:pPr>
      <w:r>
        <w:tab/>
        <w:t>(d)</w:t>
      </w:r>
      <w:r>
        <w:tab/>
        <w:t>on each public holiday and public half</w:t>
      </w:r>
      <w:r>
        <w:noBreakHyphen/>
        <w:t>holiday.</w:t>
      </w:r>
    </w:p>
    <w:p>
      <w:pPr>
        <w:pStyle w:val="Subsection"/>
      </w:pPr>
      <w:r>
        <w:tab/>
        <w:t>(4)</w:t>
      </w:r>
      <w:r>
        <w:tab/>
        <w:t>Subsection (3) does not apply to a motor vehicle shop.</w:t>
      </w:r>
    </w:p>
    <w:p>
      <w:pPr>
        <w:pStyle w:val="Footnotesection"/>
      </w:pPr>
      <w:r>
        <w:lastRenderedPageBreak/>
        <w:tab/>
        <w:t xml:space="preserve">[Section 12 amended: No. 1 of 1991 s. 8; No. 47 of 2006 s. 8; No. 22 of 2010 s. 4; No. 38 of 2010 s. 4; No. 13 of 2012 s. 4; No. 35 of 2016 s. 6.] </w:t>
      </w:r>
    </w:p>
    <w:p>
      <w:pPr>
        <w:pStyle w:val="Ednotesection"/>
      </w:pPr>
      <w:r>
        <w:t>[</w:t>
      </w:r>
      <w:r>
        <w:rPr>
          <w:b/>
          <w:bCs/>
        </w:rPr>
        <w:t>12A.</w:t>
      </w:r>
      <w:r>
        <w:tab/>
        <w:t>Deleted: No. 35 of 2016 s. 7.]</w:t>
      </w:r>
    </w:p>
    <w:p>
      <w:pPr>
        <w:pStyle w:val="Heading5"/>
      </w:pPr>
      <w:bookmarkStart w:id="42" w:name="_Toc86316140"/>
      <w:bookmarkStart w:id="43" w:name="_Toc86324376"/>
      <w:r>
        <w:rPr>
          <w:rStyle w:val="CharSectno"/>
        </w:rPr>
        <w:t>12B</w:t>
      </w:r>
      <w:r>
        <w:t>.</w:t>
      </w:r>
      <w:r>
        <w:tab/>
        <w:t>Trading hours for motor vehicle shops</w:t>
      </w:r>
      <w:bookmarkEnd w:id="42"/>
      <w:bookmarkEnd w:id="43"/>
    </w:p>
    <w:p>
      <w:pPr>
        <w:pStyle w:val="Subsection"/>
      </w:pPr>
      <w:r>
        <w:tab/>
      </w:r>
      <w:r>
        <w:tab/>
        <w:t xml:space="preserve">Subject to this Act and any order made under section 12E(1) that affects the trading hours of the motor vehicle shop, a motor vehicle shop is required to be closed — </w:t>
      </w:r>
    </w:p>
    <w:p>
      <w:pPr>
        <w:pStyle w:val="Indenta"/>
      </w:pPr>
      <w:r>
        <w:tab/>
        <w:t>(a)</w:t>
      </w:r>
      <w:r>
        <w:tab/>
        <w:t>on Monday, Tuesday, Thursday and Friday in each week — until 8 a.m. and from and after 6 p.m.; and</w:t>
      </w:r>
    </w:p>
    <w:p>
      <w:pPr>
        <w:pStyle w:val="Indenta"/>
      </w:pPr>
      <w:r>
        <w:tab/>
        <w:t>(b)</w:t>
      </w:r>
      <w:r>
        <w:tab/>
        <w:t>on Wednesday in each week — until 8 a.m. and from and after 9 p.m.; and</w:t>
      </w:r>
    </w:p>
    <w:p>
      <w:pPr>
        <w:pStyle w:val="Indenta"/>
      </w:pPr>
      <w:r>
        <w:tab/>
        <w:t>(c)</w:t>
      </w:r>
      <w:r>
        <w:tab/>
        <w:t>on Saturday in each week — until 8 a.m. and from and after 1 p.m.; and</w:t>
      </w:r>
    </w:p>
    <w:p>
      <w:pPr>
        <w:pStyle w:val="Indenta"/>
      </w:pPr>
      <w:r>
        <w:tab/>
        <w:t>(d)</w:t>
      </w:r>
      <w:r>
        <w:tab/>
        <w:t>on Sunday in each week; and</w:t>
      </w:r>
    </w:p>
    <w:p>
      <w:pPr>
        <w:pStyle w:val="Indenta"/>
      </w:pPr>
      <w:r>
        <w:tab/>
        <w:t>(e)</w:t>
      </w:r>
      <w:r>
        <w:tab/>
        <w:t>on each public holiday and public half</w:t>
      </w:r>
      <w:r>
        <w:noBreakHyphen/>
        <w:t>holiday.</w:t>
      </w:r>
    </w:p>
    <w:p>
      <w:pPr>
        <w:pStyle w:val="Footnotesection"/>
      </w:pPr>
      <w:r>
        <w:tab/>
        <w:t>[Section 12B inserted: No. 47 of 2006 s. 9.]</w:t>
      </w:r>
    </w:p>
    <w:p>
      <w:pPr>
        <w:pStyle w:val="Heading5"/>
      </w:pPr>
      <w:bookmarkStart w:id="44" w:name="_Toc86316141"/>
      <w:bookmarkStart w:id="45" w:name="_Toc86324377"/>
      <w:r>
        <w:rPr>
          <w:rStyle w:val="CharSectno"/>
        </w:rPr>
        <w:t>12C</w:t>
      </w:r>
      <w:r>
        <w:t>.</w:t>
      </w:r>
      <w:r>
        <w:tab/>
        <w:t>No restriction on trading hours for small retail shops</w:t>
      </w:r>
      <w:bookmarkEnd w:id="44"/>
      <w:bookmarkEnd w:id="45"/>
    </w:p>
    <w:p>
      <w:pPr>
        <w:pStyle w:val="Subsection"/>
      </w:pPr>
      <w:r>
        <w:tab/>
      </w:r>
      <w:r>
        <w:tab/>
        <w:t>A small retail shop may be open at any time.</w:t>
      </w:r>
    </w:p>
    <w:p>
      <w:pPr>
        <w:pStyle w:val="Footnotesection"/>
      </w:pPr>
      <w:r>
        <w:tab/>
        <w:t>[Section 12C inserted: No. 47 of 2006 s. 9.]</w:t>
      </w:r>
    </w:p>
    <w:p>
      <w:pPr>
        <w:pStyle w:val="Heading5"/>
      </w:pPr>
      <w:bookmarkStart w:id="46" w:name="_Toc86316142"/>
      <w:bookmarkStart w:id="47" w:name="_Toc86324378"/>
      <w:r>
        <w:rPr>
          <w:rStyle w:val="CharSectno"/>
        </w:rPr>
        <w:t>12D</w:t>
      </w:r>
      <w:r>
        <w:t>.</w:t>
      </w:r>
      <w:r>
        <w:tab/>
        <w:t>Trading hours for special retail shops</w:t>
      </w:r>
      <w:bookmarkEnd w:id="46"/>
      <w:bookmarkEnd w:id="47"/>
    </w:p>
    <w:p>
      <w:pPr>
        <w:pStyle w:val="Subsection"/>
      </w:pPr>
      <w:r>
        <w:tab/>
      </w:r>
      <w:r>
        <w:tab/>
        <w:t>Subject to this Act and any order made under section 12E(1) that affects the trading hours of the special retail shop, a special retail shop is required to be closed on every day of the year until 6 a.m. and from and after 11.30 p.m..</w:t>
      </w:r>
    </w:p>
    <w:p>
      <w:pPr>
        <w:pStyle w:val="Footnotesection"/>
      </w:pPr>
      <w:r>
        <w:tab/>
        <w:t>[Section 12D inserted: No. 47 of 2006 s. 9.]</w:t>
      </w:r>
    </w:p>
    <w:p>
      <w:pPr>
        <w:pStyle w:val="Heading5"/>
      </w:pPr>
      <w:bookmarkStart w:id="48" w:name="_Toc86316143"/>
      <w:bookmarkStart w:id="49" w:name="_Toc86324379"/>
      <w:r>
        <w:rPr>
          <w:rStyle w:val="CharSectno"/>
        </w:rPr>
        <w:lastRenderedPageBreak/>
        <w:t>12E</w:t>
      </w:r>
      <w:r>
        <w:t>.</w:t>
      </w:r>
      <w:r>
        <w:tab/>
        <w:t>Variation of trading hours</w:t>
      </w:r>
      <w:bookmarkEnd w:id="48"/>
      <w:bookmarkEnd w:id="49"/>
    </w:p>
    <w:p>
      <w:pPr>
        <w:pStyle w:val="Subsection"/>
      </w:pPr>
      <w:r>
        <w:tab/>
        <w:t>(1)</w:t>
      </w:r>
      <w:r>
        <w:tab/>
        <w:t xml:space="preserve">The Minister may by order vary the trading hours of retail shops by — </w:t>
      </w:r>
    </w:p>
    <w:p>
      <w:pPr>
        <w:pStyle w:val="Indenta"/>
      </w:pPr>
      <w:r>
        <w:tab/>
        <w:t>(a)</w:t>
      </w:r>
      <w:r>
        <w:tab/>
        <w:t>requiring retail shops to be closed at a time or times when the shops would otherwise not be required to be closed under section 12(1) or (3), 12B or 12D; or</w:t>
      </w:r>
    </w:p>
    <w:p>
      <w:pPr>
        <w:pStyle w:val="Indenta"/>
      </w:pPr>
      <w:r>
        <w:tab/>
        <w:t>(b)</w:t>
      </w:r>
      <w:r>
        <w:tab/>
        <w:t>authorising retail shops to be open at a time or times when the shops would otherwise be required to be closed under any of those provisions.</w:t>
      </w:r>
    </w:p>
    <w:p>
      <w:pPr>
        <w:pStyle w:val="Subsection"/>
      </w:pPr>
      <w:r>
        <w:tab/>
        <w:t>(2)</w:t>
      </w:r>
      <w:r>
        <w:tab/>
        <w:t xml:space="preserve">Without limiting the effect of subsection (3A), but despite any other provision of this section, an order can vary the trading hours of general retail shops in the metropolitan area only in relation to a day that is — </w:t>
      </w:r>
    </w:p>
    <w:p>
      <w:pPr>
        <w:pStyle w:val="Indenta"/>
      </w:pPr>
      <w:r>
        <w:tab/>
        <w:t>(a)</w:t>
      </w:r>
      <w:r>
        <w:tab/>
        <w:t>within the period of 28 days ending on 1 January; or</w:t>
      </w:r>
    </w:p>
    <w:p>
      <w:pPr>
        <w:pStyle w:val="Indenta"/>
      </w:pPr>
      <w:r>
        <w:tab/>
        <w:t>(b)</w:t>
      </w:r>
      <w:r>
        <w:tab/>
        <w:t>a public holiday or public half</w:t>
      </w:r>
      <w:r>
        <w:noBreakHyphen/>
        <w:t>holiday outside that period.</w:t>
      </w:r>
    </w:p>
    <w:p>
      <w:pPr>
        <w:pStyle w:val="Subsection"/>
      </w:pPr>
      <w:r>
        <w:tab/>
        <w:t>(3A)</w:t>
      </w:r>
      <w:r>
        <w:tab/>
        <w:t>An order cannot authorise general retail shops in the metropolitan area to be open on Anzac Day (25 April), Christmas Day (25 December) or Good Friday.</w:t>
      </w:r>
    </w:p>
    <w:p>
      <w:pPr>
        <w:pStyle w:val="Subsection"/>
      </w:pPr>
      <w:r>
        <w:tab/>
        <w:t>(3)</w:t>
      </w:r>
      <w:r>
        <w:tab/>
        <w:t xml:space="preserve">An order varying the trading hours of general retail shops may apply to — </w:t>
      </w:r>
    </w:p>
    <w:p>
      <w:pPr>
        <w:pStyle w:val="Indenta"/>
      </w:pPr>
      <w:r>
        <w:tab/>
        <w:t>(a)</w:t>
      </w:r>
      <w:r>
        <w:tab/>
        <w:t>all general retail shops; or</w:t>
      </w:r>
    </w:p>
    <w:p>
      <w:pPr>
        <w:pStyle w:val="Indenta"/>
      </w:pPr>
      <w:r>
        <w:tab/>
        <w:t>(b)</w:t>
      </w:r>
      <w:r>
        <w:tab/>
        <w:t>general retail shops of a specified class; or</w:t>
      </w:r>
    </w:p>
    <w:p>
      <w:pPr>
        <w:pStyle w:val="Indenta"/>
      </w:pPr>
      <w:r>
        <w:tab/>
        <w:t>(c)</w:t>
      </w:r>
      <w:r>
        <w:tab/>
        <w:t>general retail shops in a specified area; or</w:t>
      </w:r>
    </w:p>
    <w:p>
      <w:pPr>
        <w:pStyle w:val="Indenta"/>
      </w:pPr>
      <w:r>
        <w:tab/>
        <w:t>(d)</w:t>
      </w:r>
      <w:r>
        <w:tab/>
        <w:t>a specified general retail shop.</w:t>
      </w:r>
    </w:p>
    <w:p>
      <w:pPr>
        <w:pStyle w:val="Subsection"/>
      </w:pPr>
      <w:r>
        <w:tab/>
        <w:t>(4)</w:t>
      </w:r>
      <w:r>
        <w:tab/>
        <w:t xml:space="preserve">An order varying the trading hours of motor vehicle shops may apply to — </w:t>
      </w:r>
    </w:p>
    <w:p>
      <w:pPr>
        <w:pStyle w:val="Indenta"/>
      </w:pPr>
      <w:r>
        <w:tab/>
        <w:t>(a)</w:t>
      </w:r>
      <w:r>
        <w:tab/>
        <w:t>all motor vehicle shops; or</w:t>
      </w:r>
    </w:p>
    <w:p>
      <w:pPr>
        <w:pStyle w:val="Indenta"/>
      </w:pPr>
      <w:r>
        <w:tab/>
        <w:t>(b)</w:t>
      </w:r>
      <w:r>
        <w:tab/>
        <w:t>motor vehicle shops of a specified class; or</w:t>
      </w:r>
    </w:p>
    <w:p>
      <w:pPr>
        <w:pStyle w:val="Indenta"/>
      </w:pPr>
      <w:r>
        <w:tab/>
        <w:t>(c)</w:t>
      </w:r>
      <w:r>
        <w:tab/>
        <w:t>motor vehicle shops in a specified area; or</w:t>
      </w:r>
    </w:p>
    <w:p>
      <w:pPr>
        <w:pStyle w:val="Indenta"/>
      </w:pPr>
      <w:r>
        <w:tab/>
        <w:t>(d)</w:t>
      </w:r>
      <w:r>
        <w:tab/>
        <w:t>a specified motor vehicle shop.</w:t>
      </w:r>
    </w:p>
    <w:p>
      <w:pPr>
        <w:pStyle w:val="Subsection"/>
      </w:pPr>
      <w:r>
        <w:lastRenderedPageBreak/>
        <w:tab/>
        <w:t>(5)</w:t>
      </w:r>
      <w:r>
        <w:tab/>
        <w:t xml:space="preserve">An order varying the trading hours of special retail shops may apply to — </w:t>
      </w:r>
    </w:p>
    <w:p>
      <w:pPr>
        <w:pStyle w:val="Indenta"/>
      </w:pPr>
      <w:r>
        <w:tab/>
        <w:t>(a)</w:t>
      </w:r>
      <w:r>
        <w:tab/>
        <w:t>all special retail shops; or</w:t>
      </w:r>
    </w:p>
    <w:p>
      <w:pPr>
        <w:pStyle w:val="Indenta"/>
      </w:pPr>
      <w:r>
        <w:tab/>
        <w:t>(b)</w:t>
      </w:r>
      <w:r>
        <w:tab/>
        <w:t>special retail shops of a specified class; or</w:t>
      </w:r>
    </w:p>
    <w:p>
      <w:pPr>
        <w:pStyle w:val="Indenta"/>
      </w:pPr>
      <w:r>
        <w:tab/>
        <w:t>(c)</w:t>
      </w:r>
      <w:r>
        <w:tab/>
        <w:t>special retail shops in a specified area; or</w:t>
      </w:r>
    </w:p>
    <w:p>
      <w:pPr>
        <w:pStyle w:val="Indenta"/>
      </w:pPr>
      <w:r>
        <w:tab/>
        <w:t>(d)</w:t>
      </w:r>
      <w:r>
        <w:tab/>
        <w:t>a specified special retail shop.</w:t>
      </w:r>
    </w:p>
    <w:p>
      <w:pPr>
        <w:pStyle w:val="Subsection"/>
      </w:pPr>
      <w:r>
        <w:tab/>
        <w:t>(6)</w:t>
      </w:r>
      <w:r>
        <w:tab/>
        <w:t xml:space="preserve">An order varying the trading hours of retail shops may apply to — </w:t>
      </w:r>
    </w:p>
    <w:p>
      <w:pPr>
        <w:pStyle w:val="Indenta"/>
      </w:pPr>
      <w:r>
        <w:tab/>
        <w:t>(a)</w:t>
      </w:r>
      <w:r>
        <w:tab/>
        <w:t>all retail shops; or</w:t>
      </w:r>
    </w:p>
    <w:p>
      <w:pPr>
        <w:pStyle w:val="Indenta"/>
      </w:pPr>
      <w:r>
        <w:tab/>
        <w:t>(b)</w:t>
      </w:r>
      <w:r>
        <w:tab/>
        <w:t>any specified portion of retail shops,</w:t>
      </w:r>
    </w:p>
    <w:p>
      <w:pPr>
        <w:pStyle w:val="Subsection"/>
      </w:pPr>
      <w:r>
        <w:tab/>
      </w:r>
      <w:r>
        <w:tab/>
        <w:t>in which one or more classes of specified goods or services, or goods and services, are sold or provided.</w:t>
      </w:r>
    </w:p>
    <w:p>
      <w:pPr>
        <w:pStyle w:val="Subsection"/>
      </w:pPr>
      <w:r>
        <w:tab/>
        <w:t>(7)</w:t>
      </w:r>
      <w:r>
        <w:tab/>
        <w:t xml:space="preserve">An order varying the trading hours of retail shops may apply to — </w:t>
      </w:r>
    </w:p>
    <w:p>
      <w:pPr>
        <w:pStyle w:val="Indenta"/>
      </w:pPr>
      <w:r>
        <w:tab/>
        <w:t>(a)</w:t>
      </w:r>
      <w:r>
        <w:tab/>
        <w:t>any or every day in each week; or</w:t>
      </w:r>
    </w:p>
    <w:p>
      <w:pPr>
        <w:pStyle w:val="Indenta"/>
      </w:pPr>
      <w:r>
        <w:tab/>
        <w:t>(b)</w:t>
      </w:r>
      <w:r>
        <w:tab/>
        <w:t>a specified day or specified days.</w:t>
      </w:r>
    </w:p>
    <w:p>
      <w:pPr>
        <w:pStyle w:val="Subsection"/>
      </w:pPr>
      <w:r>
        <w:tab/>
        <w:t>(8)</w:t>
      </w:r>
      <w:r>
        <w:tab/>
        <w:t xml:space="preserve">In this section — </w:t>
      </w:r>
    </w:p>
    <w:p>
      <w:pPr>
        <w:pStyle w:val="Defstart"/>
      </w:pPr>
      <w:r>
        <w:tab/>
      </w:r>
      <w:r>
        <w:rPr>
          <w:rStyle w:val="CharDefText"/>
        </w:rPr>
        <w:t>order</w:t>
      </w:r>
      <w:r>
        <w:t xml:space="preserve"> means an order made under subsection (1);</w:t>
      </w:r>
    </w:p>
    <w:p>
      <w:pPr>
        <w:pStyle w:val="Defstart"/>
      </w:pPr>
      <w:r>
        <w:rPr>
          <w:b/>
        </w:rPr>
        <w:tab/>
      </w:r>
      <w:r>
        <w:rPr>
          <w:rStyle w:val="CharDefText"/>
        </w:rPr>
        <w:t>specified</w:t>
      </w:r>
      <w:r>
        <w:t>, in relation to an order, means specified in the order.</w:t>
      </w:r>
    </w:p>
    <w:p>
      <w:pPr>
        <w:pStyle w:val="Footnotesection"/>
      </w:pPr>
      <w:r>
        <w:tab/>
        <w:t>[Section 12E inserted: No. 47 of 2006 s. 9; amended: No. 38 of 2010 s. 5; No. 13 of 2012 s. 6.]</w:t>
      </w:r>
    </w:p>
    <w:p>
      <w:pPr>
        <w:pStyle w:val="Ednotesection"/>
      </w:pPr>
      <w:r>
        <w:t>[</w:t>
      </w:r>
      <w:r>
        <w:rPr>
          <w:b/>
          <w:bCs/>
        </w:rPr>
        <w:t>13.</w:t>
      </w:r>
      <w:r>
        <w:tab/>
        <w:t>Deleted: No. 47 of 2006 s. 10.]</w:t>
      </w:r>
    </w:p>
    <w:p>
      <w:pPr>
        <w:pStyle w:val="Heading5"/>
      </w:pPr>
      <w:bookmarkStart w:id="50" w:name="_Toc86316144"/>
      <w:bookmarkStart w:id="51" w:name="_Toc86324380"/>
      <w:r>
        <w:rPr>
          <w:rStyle w:val="CharSectno"/>
        </w:rPr>
        <w:t>14</w:t>
      </w:r>
      <w:r>
        <w:t>.</w:t>
      </w:r>
      <w:r>
        <w:tab/>
        <w:t>No restriction on trading hours for filling stations</w:t>
      </w:r>
      <w:bookmarkEnd w:id="50"/>
      <w:bookmarkEnd w:id="51"/>
    </w:p>
    <w:p>
      <w:pPr>
        <w:pStyle w:val="Subsection"/>
      </w:pPr>
      <w:r>
        <w:tab/>
      </w:r>
      <w:r>
        <w:tab/>
        <w:t>A filling station may be open at any time.</w:t>
      </w:r>
    </w:p>
    <w:p>
      <w:pPr>
        <w:pStyle w:val="Footnotesection"/>
      </w:pPr>
      <w:r>
        <w:tab/>
        <w:t>[Section 14 inserted: No. 47 of 2006 s. 11.]</w:t>
      </w:r>
    </w:p>
    <w:p>
      <w:pPr>
        <w:pStyle w:val="Heading5"/>
      </w:pPr>
      <w:bookmarkStart w:id="52" w:name="_Toc86316145"/>
      <w:bookmarkStart w:id="53" w:name="_Toc86324381"/>
      <w:r>
        <w:rPr>
          <w:rStyle w:val="CharSectno"/>
        </w:rPr>
        <w:t>14A</w:t>
      </w:r>
      <w:r>
        <w:t>.</w:t>
      </w:r>
      <w:r>
        <w:tab/>
        <w:t>Goods that can be sold at filling stations</w:t>
      </w:r>
      <w:bookmarkEnd w:id="52"/>
      <w:bookmarkEnd w:id="53"/>
    </w:p>
    <w:p>
      <w:pPr>
        <w:pStyle w:val="Subsection"/>
      </w:pPr>
      <w:r>
        <w:tab/>
        <w:t>(1)</w:t>
      </w:r>
      <w:r>
        <w:tab/>
        <w:t xml:space="preserve">A person who operates a filling station is not, at any time outside the trading hours referred to in section 12(1) if the </w:t>
      </w:r>
      <w:r>
        <w:lastRenderedPageBreak/>
        <w:t xml:space="preserve">filling station is not in the metropolitan area or section 12(3) if the filling station is in the metropolitan area, to sell or allow to be sold at the filling station any thing that is not — </w:t>
      </w:r>
    </w:p>
    <w:p>
      <w:pPr>
        <w:pStyle w:val="Indenta"/>
      </w:pPr>
      <w:r>
        <w:tab/>
        <w:t>(a)</w:t>
      </w:r>
      <w:r>
        <w:tab/>
        <w:t>fuel or an accessory; or</w:t>
      </w:r>
    </w:p>
    <w:p>
      <w:pPr>
        <w:pStyle w:val="Indenta"/>
      </w:pPr>
      <w:r>
        <w:tab/>
        <w:t>(b)</w:t>
      </w:r>
      <w:r>
        <w:tab/>
        <w:t>one of the goods prescribed for the purposes of this paragraph.</w:t>
      </w:r>
    </w:p>
    <w:p>
      <w:pPr>
        <w:pStyle w:val="Ednotepara"/>
      </w:pPr>
      <w:r>
        <w:tab/>
        <w:t>[(c), (d)</w:t>
      </w:r>
      <w:r>
        <w:tab/>
        <w:t>deleted]</w:t>
      </w:r>
    </w:p>
    <w:p>
      <w:pPr>
        <w:pStyle w:val="Subsection"/>
      </w:pPr>
      <w:r>
        <w:tab/>
        <w:t>(2)</w:t>
      </w:r>
      <w:r>
        <w:tab/>
        <w:t xml:space="preserve">In this section — </w:t>
      </w:r>
    </w:p>
    <w:p>
      <w:pPr>
        <w:pStyle w:val="Defstart"/>
      </w:pPr>
      <w:r>
        <w:rPr>
          <w:b/>
        </w:rPr>
        <w:tab/>
      </w:r>
      <w:r>
        <w:rPr>
          <w:rStyle w:val="CharDefText"/>
        </w:rPr>
        <w:t>accessory</w:t>
      </w:r>
      <w:r>
        <w:t xml:space="preserve"> means — </w:t>
      </w:r>
    </w:p>
    <w:p>
      <w:pPr>
        <w:pStyle w:val="Defpara"/>
      </w:pPr>
      <w:r>
        <w:tab/>
        <w:t>(a)</w:t>
      </w:r>
      <w:r>
        <w:tab/>
        <w:t>lubricant in any form, tyre, tube, battery, part or accessory; or</w:t>
      </w:r>
    </w:p>
    <w:p>
      <w:pPr>
        <w:pStyle w:val="Defpara"/>
      </w:pPr>
      <w:r>
        <w:tab/>
        <w:t>(b)</w:t>
      </w:r>
      <w:r>
        <w:tab/>
        <w:t>any other thing, other than fuel, required to equip or operate a motor vehicle.</w:t>
      </w:r>
    </w:p>
    <w:p>
      <w:pPr>
        <w:pStyle w:val="Footnotesection"/>
      </w:pPr>
      <w:r>
        <w:tab/>
        <w:t>[Section 14A inserted: No. 47 of 2006 s. 11; amended: No. 38 of 2010 s. 6; No. 35 of 2016 s. 8.]</w:t>
      </w:r>
    </w:p>
    <w:p>
      <w:pPr>
        <w:pStyle w:val="Ednotesection"/>
      </w:pPr>
      <w:r>
        <w:t>[</w:t>
      </w:r>
      <w:r>
        <w:rPr>
          <w:b/>
          <w:bCs/>
        </w:rPr>
        <w:t>14B, 14C.</w:t>
      </w:r>
      <w:r>
        <w:tab/>
        <w:t>Deleted: No. 35 of 2016 s. 9.]</w:t>
      </w:r>
    </w:p>
    <w:p>
      <w:pPr>
        <w:pStyle w:val="Heading5"/>
        <w:rPr>
          <w:snapToGrid w:val="0"/>
        </w:rPr>
      </w:pPr>
      <w:bookmarkStart w:id="54" w:name="_Toc86316146"/>
      <w:bookmarkStart w:id="55" w:name="_Toc86324382"/>
      <w:r>
        <w:rPr>
          <w:rStyle w:val="CharSectno"/>
        </w:rPr>
        <w:t>15</w:t>
      </w:r>
      <w:r>
        <w:rPr>
          <w:snapToGrid w:val="0"/>
        </w:rPr>
        <w:t>.</w:t>
      </w:r>
      <w:r>
        <w:rPr>
          <w:snapToGrid w:val="0"/>
        </w:rPr>
        <w:tab/>
        <w:t>Permits</w:t>
      </w:r>
      <w:bookmarkEnd w:id="54"/>
      <w:bookmarkEnd w:id="55"/>
      <w:r>
        <w:rPr>
          <w:snapToGrid w:val="0"/>
        </w:rPr>
        <w:t xml:space="preserve"> </w:t>
      </w:r>
    </w:p>
    <w:p>
      <w:pPr>
        <w:pStyle w:val="Subsection"/>
      </w:pPr>
      <w:r>
        <w:tab/>
        <w:t>(1)</w:t>
      </w:r>
      <w:r>
        <w:tab/>
        <w:t xml:space="preserve">Despite the provisions of this Part — </w:t>
      </w:r>
    </w:p>
    <w:p>
      <w:pPr>
        <w:pStyle w:val="Indenta"/>
      </w:pPr>
      <w:r>
        <w:tab/>
        <w:t>(a)</w:t>
      </w:r>
      <w:r>
        <w:tab/>
        <w:t>a person who operates a retail shop; or</w:t>
      </w:r>
    </w:p>
    <w:p>
      <w:pPr>
        <w:pStyle w:val="Indenta"/>
      </w:pPr>
      <w:r>
        <w:tab/>
        <w:t>(b)</w:t>
      </w:r>
      <w:r>
        <w:tab/>
        <w:t>a body consisting of, or representing, persons who operate a class of retail shops or retail shops in a part of the State; or</w:t>
      </w:r>
    </w:p>
    <w:p>
      <w:pPr>
        <w:pStyle w:val="Indenta"/>
      </w:pPr>
      <w:r>
        <w:tab/>
        <w:t>(c)</w:t>
      </w:r>
      <w:r>
        <w:tab/>
        <w:t>a local government, at the request of a person referred to in paragraph (a) or a body referred to in paragraph (b) in respect of a retail shop or retail shops, as the case requires, in the local government’s district,</w:t>
      </w:r>
    </w:p>
    <w:p>
      <w:pPr>
        <w:pStyle w:val="Subsection"/>
      </w:pPr>
      <w:r>
        <w:tab/>
      </w:r>
      <w:r>
        <w:tab/>
        <w:t xml:space="preserve">may apply to the chief executive officer for a permit — </w:t>
      </w:r>
    </w:p>
    <w:p>
      <w:pPr>
        <w:pStyle w:val="Indenta"/>
      </w:pPr>
      <w:r>
        <w:tab/>
        <w:t>(d)</w:t>
      </w:r>
      <w:r>
        <w:tab/>
        <w:t xml:space="preserve">to open the retail shop operated by the person or the retail shops operated by the persons who are members of, or represented by, the body, as the case requires, at </w:t>
      </w:r>
      <w:r>
        <w:lastRenderedPageBreak/>
        <w:t>times when the shop or shops would otherwise be required to be closed by section 12, 12B or 12D or by order under section 12A or 12E; or</w:t>
      </w:r>
    </w:p>
    <w:p>
      <w:pPr>
        <w:pStyle w:val="Indenta"/>
      </w:pPr>
      <w:r>
        <w:tab/>
        <w:t>(e)</w:t>
      </w:r>
      <w:r>
        <w:tab/>
        <w:t xml:space="preserve">to sell goods, or to allow goods to be sold, or to provide services despite those goods or services — </w:t>
      </w:r>
    </w:p>
    <w:p>
      <w:pPr>
        <w:pStyle w:val="Indenti"/>
      </w:pPr>
      <w:r>
        <w:tab/>
        <w:t>(i)</w:t>
      </w:r>
      <w:r>
        <w:tab/>
        <w:t>in the case of small retail shops — being goods referred to in, or goods or services prescribed for the purposes of, section 10(3)(a); or</w:t>
      </w:r>
    </w:p>
    <w:p>
      <w:pPr>
        <w:pStyle w:val="Indenti"/>
      </w:pPr>
      <w:r>
        <w:tab/>
        <w:t>(ii)</w:t>
      </w:r>
      <w:r>
        <w:tab/>
        <w:t>in the case of special retail shops — not being goods or services prescribed for the purposes of section 10(4)(b); or</w:t>
      </w:r>
    </w:p>
    <w:p>
      <w:pPr>
        <w:pStyle w:val="Indenti"/>
      </w:pPr>
      <w:r>
        <w:tab/>
        <w:t>(iii)</w:t>
      </w:r>
      <w:r>
        <w:tab/>
        <w:t>in the case of filling stations — not being goods referred to in section 14A(1)(a) or prescribed for the purposes of section 14A(1)(b).</w:t>
      </w:r>
    </w:p>
    <w:p>
      <w:pPr>
        <w:pStyle w:val="Subsection"/>
        <w:rPr>
          <w:snapToGrid w:val="0"/>
        </w:rPr>
      </w:pPr>
      <w:r>
        <w:rPr>
          <w:snapToGrid w:val="0"/>
        </w:rPr>
        <w:tab/>
        <w:t>(2)</w:t>
      </w:r>
      <w:r>
        <w:rPr>
          <w:snapToGrid w:val="0"/>
        </w:rPr>
        <w:tab/>
        <w:t xml:space="preserve">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w:t>
      </w:r>
      <w:r>
        <w:t>of the kind referred to in the application</w:t>
      </w:r>
      <w:r>
        <w:rPr>
          <w:snapToGrid w:val="0"/>
        </w:rPr>
        <w:t xml:space="preserve">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w:t>
      </w:r>
      <w:r>
        <w:t>provide such</w:t>
      </w:r>
      <w:r>
        <w:rPr>
          <w:snapToGrid w:val="0"/>
        </w:rPr>
        <w:t xml:space="preserve"> services as are specified in the permit or both.</w:t>
      </w:r>
    </w:p>
    <w:p>
      <w:pPr>
        <w:pStyle w:val="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pPr>
        <w:pStyle w:val="Subsection"/>
        <w:rPr>
          <w:snapToGrid w:val="0"/>
        </w:rPr>
      </w:pPr>
      <w:r>
        <w:rPr>
          <w:snapToGrid w:val="0"/>
        </w:rPr>
        <w:lastRenderedPageBreak/>
        <w:tab/>
        <w:t>(3)</w:t>
      </w:r>
      <w:r>
        <w:rPr>
          <w:snapToGrid w:val="0"/>
        </w:rPr>
        <w:tab/>
        <w:t>The chief executive officer may impose terms and conditions on a permit issued under subsection (2) including conditions as to the closing of retail shops specified in the permit.</w:t>
      </w:r>
    </w:p>
    <w:p>
      <w:pPr>
        <w:pStyle w:val="Subsection"/>
        <w:rPr>
          <w:snapToGrid w:val="0"/>
        </w:rPr>
      </w:pPr>
      <w:r>
        <w:rPr>
          <w:snapToGrid w:val="0"/>
        </w:rPr>
        <w:tab/>
        <w:t>(4)</w:t>
      </w:r>
      <w:r>
        <w:rPr>
          <w:snapToGrid w:val="0"/>
        </w:rPr>
        <w:tab/>
        <w:t>A person who contravenes any term or condition imposed under subsection (3) commits an offence.</w:t>
      </w:r>
    </w:p>
    <w:p>
      <w:pPr>
        <w:pStyle w:val="Penstart"/>
        <w:rPr>
          <w:snapToGrid w:val="0"/>
        </w:rPr>
      </w:pPr>
      <w:r>
        <w:rPr>
          <w:snapToGrid w:val="0"/>
        </w:rPr>
        <w:tab/>
        <w:t>Penalty: $5 000.</w:t>
      </w:r>
    </w:p>
    <w:p>
      <w:pPr>
        <w:pStyle w:val="Footnotesection"/>
      </w:pPr>
      <w:r>
        <w:tab/>
        <w:t xml:space="preserve">[Section 15 amended: No. 1 of 1991 s. 14; No. 47 of 2006 s. 12 and 17; No. 35 of 2016 s. 10.] </w:t>
      </w:r>
    </w:p>
    <w:p>
      <w:pPr>
        <w:pStyle w:val="Heading5"/>
        <w:spacing w:before="160"/>
        <w:rPr>
          <w:snapToGrid w:val="0"/>
        </w:rPr>
      </w:pPr>
      <w:bookmarkStart w:id="56" w:name="_Toc86316147"/>
      <w:bookmarkStart w:id="57" w:name="_Toc86324383"/>
      <w:r>
        <w:rPr>
          <w:rStyle w:val="CharSectno"/>
        </w:rPr>
        <w:t>16</w:t>
      </w:r>
      <w:r>
        <w:rPr>
          <w:snapToGrid w:val="0"/>
        </w:rPr>
        <w:t>.</w:t>
      </w:r>
      <w:r>
        <w:rPr>
          <w:snapToGrid w:val="0"/>
        </w:rPr>
        <w:tab/>
        <w:t>Covenants relating to opening of retail shops</w:t>
      </w:r>
      <w:bookmarkEnd w:id="56"/>
      <w:bookmarkEnd w:id="57"/>
      <w:r>
        <w:rPr>
          <w:snapToGrid w:val="0"/>
        </w:rPr>
        <w:t xml:space="preserve"> </w:t>
      </w:r>
    </w:p>
    <w:p>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pPr>
        <w:pStyle w:val="Footnotesection"/>
      </w:pPr>
      <w:r>
        <w:tab/>
        <w:t xml:space="preserve">[Section 16 amended: No. 1 of 1991 s. 11.] </w:t>
      </w:r>
    </w:p>
    <w:p>
      <w:pPr>
        <w:pStyle w:val="Ednotesection"/>
        <w:spacing w:before="160"/>
        <w:ind w:left="890" w:hanging="890"/>
      </w:pPr>
      <w:r>
        <w:t>[</w:t>
      </w:r>
      <w:r>
        <w:rPr>
          <w:b/>
          <w:bCs/>
        </w:rPr>
        <w:t>17-21.</w:t>
      </w:r>
      <w:r>
        <w:tab/>
        <w:t>Deleted: No. 23 of 2014 s. 93.]</w:t>
      </w:r>
    </w:p>
    <w:p>
      <w:pPr>
        <w:pStyle w:val="Heading2"/>
      </w:pPr>
      <w:bookmarkStart w:id="58" w:name="_Toc86316148"/>
      <w:bookmarkStart w:id="59" w:name="_Toc86317252"/>
      <w:bookmarkStart w:id="60" w:name="_Toc86317384"/>
      <w:bookmarkStart w:id="61" w:name="_Toc86317435"/>
      <w:bookmarkStart w:id="62" w:name="_Toc86324384"/>
      <w:r>
        <w:rPr>
          <w:rStyle w:val="CharPartNo"/>
        </w:rPr>
        <w:lastRenderedPageBreak/>
        <w:t>Part IV</w:t>
      </w:r>
      <w:r>
        <w:rPr>
          <w:rStyle w:val="CharDivNo"/>
        </w:rPr>
        <w:t> </w:t>
      </w:r>
      <w:r>
        <w:t>—</w:t>
      </w:r>
      <w:r>
        <w:rPr>
          <w:rStyle w:val="CharDivText"/>
        </w:rPr>
        <w:t> </w:t>
      </w:r>
      <w:r>
        <w:rPr>
          <w:rStyle w:val="CharPartText"/>
        </w:rPr>
        <w:t>Miscellaneous</w:t>
      </w:r>
      <w:bookmarkEnd w:id="58"/>
      <w:bookmarkEnd w:id="59"/>
      <w:bookmarkEnd w:id="60"/>
      <w:bookmarkEnd w:id="61"/>
      <w:bookmarkEnd w:id="62"/>
      <w:r>
        <w:rPr>
          <w:rStyle w:val="CharPartText"/>
        </w:rPr>
        <w:t xml:space="preserve"> </w:t>
      </w:r>
    </w:p>
    <w:p>
      <w:pPr>
        <w:pStyle w:val="Heading5"/>
        <w:rPr>
          <w:snapToGrid w:val="0"/>
        </w:rPr>
      </w:pPr>
      <w:bookmarkStart w:id="63" w:name="_Toc86316149"/>
      <w:bookmarkStart w:id="64" w:name="_Toc86324385"/>
      <w:r>
        <w:rPr>
          <w:rStyle w:val="CharSectno"/>
        </w:rPr>
        <w:t>22</w:t>
      </w:r>
      <w:r>
        <w:rPr>
          <w:snapToGrid w:val="0"/>
        </w:rPr>
        <w:t>.</w:t>
      </w:r>
      <w:r>
        <w:rPr>
          <w:snapToGrid w:val="0"/>
        </w:rPr>
        <w:tab/>
        <w:t>Covenants contrary to this Act negated</w:t>
      </w:r>
      <w:bookmarkEnd w:id="63"/>
      <w:bookmarkEnd w:id="64"/>
      <w:r>
        <w:rPr>
          <w:snapToGrid w:val="0"/>
        </w:rPr>
        <w:t xml:space="preserve"> </w:t>
      </w:r>
    </w:p>
    <w:p>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pPr>
        <w:pStyle w:val="Heading5"/>
        <w:rPr>
          <w:snapToGrid w:val="0"/>
        </w:rPr>
      </w:pPr>
      <w:bookmarkStart w:id="65" w:name="_Toc86316150"/>
      <w:bookmarkStart w:id="66" w:name="_Toc86324386"/>
      <w:r>
        <w:rPr>
          <w:rStyle w:val="CharSectno"/>
        </w:rPr>
        <w:t>23</w:t>
      </w:r>
      <w:r>
        <w:rPr>
          <w:snapToGrid w:val="0"/>
        </w:rPr>
        <w:t>.</w:t>
      </w:r>
      <w:r>
        <w:rPr>
          <w:snapToGrid w:val="0"/>
        </w:rPr>
        <w:tab/>
        <w:t>Auctions of domestic furniture at dwelling house</w:t>
      </w:r>
      <w:bookmarkEnd w:id="65"/>
      <w:bookmarkEnd w:id="66"/>
      <w:r>
        <w:rPr>
          <w:snapToGrid w:val="0"/>
        </w:rPr>
        <w:t xml:space="preserve"> </w:t>
      </w:r>
    </w:p>
    <w:p>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pPr>
        <w:pStyle w:val="Heading5"/>
        <w:rPr>
          <w:snapToGrid w:val="0"/>
        </w:rPr>
      </w:pPr>
      <w:bookmarkStart w:id="67" w:name="_Toc86316151"/>
      <w:bookmarkStart w:id="68" w:name="_Toc86324387"/>
      <w:r>
        <w:rPr>
          <w:rStyle w:val="CharSectno"/>
        </w:rPr>
        <w:t>24</w:t>
      </w:r>
      <w:r>
        <w:rPr>
          <w:snapToGrid w:val="0"/>
        </w:rPr>
        <w:t>.</w:t>
      </w:r>
      <w:r>
        <w:rPr>
          <w:snapToGrid w:val="0"/>
        </w:rPr>
        <w:tab/>
        <w:t>When retail shop deemed not to be closed</w:t>
      </w:r>
      <w:bookmarkEnd w:id="67"/>
      <w:bookmarkEnd w:id="68"/>
    </w:p>
    <w:p>
      <w:pPr>
        <w:pStyle w:val="Subsection"/>
        <w:rPr>
          <w:snapToGrid w:val="0"/>
        </w:rPr>
      </w:pPr>
      <w:r>
        <w:rPr>
          <w:snapToGrid w:val="0"/>
        </w:rPr>
        <w:tab/>
      </w:r>
      <w:r>
        <w:rPr>
          <w:snapToGrid w:val="0"/>
        </w:rPr>
        <w:tab/>
        <w:t>For the purposes of this Act, a retail shop is deemed not to be closed if — </w:t>
      </w:r>
    </w:p>
    <w:p>
      <w:pPr>
        <w:pStyle w:val="Indenta"/>
        <w:rPr>
          <w:snapToGrid w:val="0"/>
        </w:rPr>
      </w:pPr>
      <w:r>
        <w:rPr>
          <w:snapToGrid w:val="0"/>
        </w:rPr>
        <w:tab/>
        <w:t>(a)</w:t>
      </w:r>
      <w:r>
        <w:rPr>
          <w:snapToGrid w:val="0"/>
        </w:rPr>
        <w:tab/>
        <w:t>it is not locked or otherwise effectively secured to the complete exclusion of the public; or</w:t>
      </w:r>
    </w:p>
    <w:p>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pPr>
        <w:pStyle w:val="Heading5"/>
        <w:rPr>
          <w:snapToGrid w:val="0"/>
        </w:rPr>
      </w:pPr>
      <w:bookmarkStart w:id="69" w:name="_Toc86316152"/>
      <w:bookmarkStart w:id="70" w:name="_Toc86324388"/>
      <w:r>
        <w:rPr>
          <w:rStyle w:val="CharSectno"/>
        </w:rPr>
        <w:t>25</w:t>
      </w:r>
      <w:r>
        <w:rPr>
          <w:snapToGrid w:val="0"/>
        </w:rPr>
        <w:t>.</w:t>
      </w:r>
      <w:r>
        <w:rPr>
          <w:snapToGrid w:val="0"/>
        </w:rPr>
        <w:tab/>
        <w:t>Offences as to operating retail shops</w:t>
      </w:r>
      <w:bookmarkEnd w:id="69"/>
      <w:bookmarkEnd w:id="70"/>
    </w:p>
    <w:p>
      <w:pPr>
        <w:pStyle w:val="Subsection"/>
        <w:rPr>
          <w:snapToGrid w:val="0"/>
        </w:rPr>
      </w:pPr>
      <w:r>
        <w:rPr>
          <w:snapToGrid w:val="0"/>
        </w:rPr>
        <w:tab/>
        <w:t>(1)</w:t>
      </w:r>
      <w:r>
        <w:rPr>
          <w:snapToGrid w:val="0"/>
        </w:rPr>
        <w:tab/>
        <w:t>A person shall not in a retail shop — </w:t>
      </w:r>
    </w:p>
    <w:p>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pPr>
        <w:pStyle w:val="Subsection"/>
      </w:pPr>
      <w:r>
        <w:lastRenderedPageBreak/>
        <w:tab/>
        <w:t>(2)</w:t>
      </w:r>
      <w:r>
        <w:tab/>
        <w:t>A person commits an offence if the person operates a retail shop that is certified to be a small retail shop under section 10(3)(c) and is not owned and operated in accordance with section 10(3)(a), (b), (ba), (bb), (bc), (bd) and (be).</w:t>
      </w:r>
    </w:p>
    <w:p>
      <w:pPr>
        <w:pStyle w:val="Subsection"/>
        <w:rPr>
          <w:snapToGrid w:val="0"/>
        </w:rPr>
      </w:pPr>
      <w:r>
        <w:rPr>
          <w:snapToGrid w:val="0"/>
        </w:rPr>
        <w:tab/>
        <w:t>(3)</w:t>
      </w:r>
      <w:r>
        <w:rPr>
          <w:snapToGrid w:val="0"/>
        </w:rPr>
        <w:tab/>
        <w:t>A person who contravenes subsection (1) or commits an offence under subsection (2) is liable to a penalty as follows — </w:t>
      </w:r>
    </w:p>
    <w:p>
      <w:pPr>
        <w:pStyle w:val="Indenta"/>
        <w:rPr>
          <w:snapToGrid w:val="0"/>
        </w:rPr>
      </w:pPr>
      <w:r>
        <w:rPr>
          <w:snapToGrid w:val="0"/>
        </w:rPr>
        <w:tab/>
      </w:r>
      <w:r>
        <w:rPr>
          <w:snapToGrid w:val="0"/>
        </w:rPr>
        <w:tab/>
        <w:t>For a first offence, $5 000;</w:t>
      </w:r>
    </w:p>
    <w:p>
      <w:pPr>
        <w:pStyle w:val="Indenta"/>
        <w:rPr>
          <w:snapToGrid w:val="0"/>
        </w:rPr>
      </w:pPr>
      <w:r>
        <w:rPr>
          <w:snapToGrid w:val="0"/>
        </w:rPr>
        <w:tab/>
      </w:r>
      <w:r>
        <w:rPr>
          <w:snapToGrid w:val="0"/>
        </w:rPr>
        <w:tab/>
        <w:t>For a second offence, $6 000;</w:t>
      </w:r>
    </w:p>
    <w:p>
      <w:pPr>
        <w:pStyle w:val="Indenta"/>
        <w:rPr>
          <w:snapToGrid w:val="0"/>
        </w:rPr>
      </w:pPr>
      <w:r>
        <w:rPr>
          <w:snapToGrid w:val="0"/>
        </w:rPr>
        <w:tab/>
      </w:r>
      <w:r>
        <w:rPr>
          <w:snapToGrid w:val="0"/>
        </w:rPr>
        <w:tab/>
        <w:t>For a third offence,  $8 000,</w:t>
      </w:r>
    </w:p>
    <w:p>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pPr>
        <w:pStyle w:val="Footnotesection"/>
      </w:pPr>
      <w:r>
        <w:tab/>
        <w:t>[Section 25 amended: No. 47 of 2006 s. 13 and 17; No. 35 of 2016 s. 11.]</w:t>
      </w:r>
    </w:p>
    <w:p>
      <w:pPr>
        <w:pStyle w:val="Heading5"/>
        <w:rPr>
          <w:snapToGrid w:val="0"/>
        </w:rPr>
      </w:pPr>
      <w:bookmarkStart w:id="71" w:name="_Toc86316153"/>
      <w:bookmarkStart w:id="72" w:name="_Toc86324389"/>
      <w:r>
        <w:rPr>
          <w:rStyle w:val="CharSectno"/>
        </w:rPr>
        <w:t>26</w:t>
      </w:r>
      <w:r>
        <w:rPr>
          <w:snapToGrid w:val="0"/>
        </w:rPr>
        <w:t>.</w:t>
      </w:r>
      <w:r>
        <w:rPr>
          <w:snapToGrid w:val="0"/>
        </w:rPr>
        <w:tab/>
        <w:t>Advertisements of retail shopping hours, restrictions on</w:t>
      </w:r>
      <w:bookmarkEnd w:id="71"/>
      <w:bookmarkEnd w:id="72"/>
    </w:p>
    <w:p>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pPr>
        <w:pStyle w:val="Indenta"/>
        <w:rPr>
          <w:snapToGrid w:val="0"/>
        </w:rPr>
      </w:pPr>
      <w:r>
        <w:rPr>
          <w:snapToGrid w:val="0"/>
        </w:rPr>
        <w:tab/>
        <w:t>(a)</w:t>
      </w:r>
      <w:r>
        <w:rPr>
          <w:snapToGrid w:val="0"/>
        </w:rPr>
        <w:tab/>
        <w:t>that at a time when a retail shop is required by this Act to be closed — </w:t>
      </w:r>
    </w:p>
    <w:p>
      <w:pPr>
        <w:pStyle w:val="Indenti"/>
        <w:rPr>
          <w:snapToGrid w:val="0"/>
        </w:rPr>
      </w:pPr>
      <w:r>
        <w:rPr>
          <w:snapToGrid w:val="0"/>
        </w:rPr>
        <w:tab/>
        <w:t>(i)</w:t>
      </w:r>
      <w:r>
        <w:rPr>
          <w:snapToGrid w:val="0"/>
        </w:rPr>
        <w:tab/>
        <w:t>the retail shop will be open to the admission of the public for any purpose of trade or inspection; or</w:t>
      </w:r>
    </w:p>
    <w:p>
      <w:pPr>
        <w:pStyle w:val="Indenti"/>
        <w:rPr>
          <w:snapToGrid w:val="0"/>
        </w:rPr>
      </w:pPr>
      <w:r>
        <w:rPr>
          <w:snapToGrid w:val="0"/>
        </w:rPr>
        <w:tab/>
        <w:t>(ii)</w:t>
      </w:r>
      <w:r>
        <w:rPr>
          <w:snapToGrid w:val="0"/>
        </w:rPr>
        <w:tab/>
        <w:t>any goods or services will be sold, offered for sale or provided in the retail shop; or</w:t>
      </w:r>
    </w:p>
    <w:p>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pPr>
        <w:pStyle w:val="Indenta"/>
        <w:rPr>
          <w:snapToGrid w:val="0"/>
        </w:rPr>
      </w:pPr>
      <w:r>
        <w:rPr>
          <w:snapToGrid w:val="0"/>
        </w:rPr>
        <w:lastRenderedPageBreak/>
        <w:tab/>
      </w:r>
      <w:r>
        <w:rPr>
          <w:snapToGrid w:val="0"/>
        </w:rPr>
        <w:tab/>
        <w:t>or</w:t>
      </w:r>
    </w:p>
    <w:p>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In subsection (1) </w:t>
      </w:r>
      <w:r>
        <w:rPr>
          <w:rStyle w:val="CharDefText"/>
        </w:rPr>
        <w:t>publish</w:t>
      </w:r>
      <w:r>
        <w:rPr>
          <w:snapToGrid w:val="0"/>
        </w:rPr>
        <w:t xml:space="preserve"> includes — </w:t>
      </w:r>
    </w:p>
    <w:p>
      <w:pPr>
        <w:pStyle w:val="Indenta"/>
        <w:rPr>
          <w:snapToGrid w:val="0"/>
        </w:rPr>
      </w:pPr>
      <w:r>
        <w:rPr>
          <w:snapToGrid w:val="0"/>
        </w:rPr>
        <w:tab/>
        <w:t>(a)</w:t>
      </w:r>
      <w:r>
        <w:rPr>
          <w:snapToGrid w:val="0"/>
        </w:rPr>
        <w:tab/>
        <w:t>insert in any newspaper or publication in the State; and</w:t>
      </w:r>
    </w:p>
    <w:p>
      <w:pPr>
        <w:pStyle w:val="Indenta"/>
        <w:rPr>
          <w:snapToGrid w:val="0"/>
        </w:rPr>
      </w:pPr>
      <w:r>
        <w:rPr>
          <w:snapToGrid w:val="0"/>
        </w:rPr>
        <w:tab/>
        <w:t>(b)</w:t>
      </w:r>
      <w:r>
        <w:rPr>
          <w:snapToGrid w:val="0"/>
        </w:rPr>
        <w:tab/>
        <w:t>publicly exhibit — </w:t>
      </w:r>
    </w:p>
    <w:p>
      <w:pPr>
        <w:pStyle w:val="Indenti"/>
        <w:rPr>
          <w:snapToGrid w:val="0"/>
        </w:rPr>
      </w:pPr>
      <w:r>
        <w:rPr>
          <w:snapToGrid w:val="0"/>
        </w:rPr>
        <w:tab/>
        <w:t>(i)</w:t>
      </w:r>
      <w:r>
        <w:rPr>
          <w:snapToGrid w:val="0"/>
        </w:rPr>
        <w:tab/>
        <w:t>in, on, over, or under any building, vehicle, or place of whatsoever kind, whether on land or water; or</w:t>
      </w:r>
    </w:p>
    <w:p>
      <w:pPr>
        <w:pStyle w:val="Indenti"/>
        <w:rPr>
          <w:snapToGrid w:val="0"/>
        </w:rPr>
      </w:pPr>
      <w:r>
        <w:rPr>
          <w:snapToGrid w:val="0"/>
        </w:rPr>
        <w:tab/>
        <w:t>(ii)</w:t>
      </w:r>
      <w:r>
        <w:rPr>
          <w:snapToGrid w:val="0"/>
        </w:rPr>
        <w:tab/>
        <w:t>in the air in the view of persons being or passing in or on any street or public place;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contain in any document sent or delivered to any person or thrown or left upon any premises; and</w:t>
      </w:r>
    </w:p>
    <w:p>
      <w:pPr>
        <w:pStyle w:val="Indenta"/>
        <w:rPr>
          <w:snapToGrid w:val="0"/>
        </w:rPr>
      </w:pPr>
      <w:r>
        <w:rPr>
          <w:snapToGrid w:val="0"/>
        </w:rPr>
        <w:tab/>
        <w:t>(d)</w:t>
      </w:r>
      <w:r>
        <w:rPr>
          <w:snapToGrid w:val="0"/>
        </w:rPr>
        <w:tab/>
        <w:t>broadcast by wireless transmission or by television; and</w:t>
      </w:r>
    </w:p>
    <w:p>
      <w:pPr>
        <w:pStyle w:val="Indenta"/>
        <w:rPr>
          <w:snapToGrid w:val="0"/>
        </w:rPr>
      </w:pPr>
      <w:r>
        <w:rPr>
          <w:snapToGrid w:val="0"/>
        </w:rPr>
        <w:tab/>
        <w:t>(e)</w:t>
      </w:r>
      <w:r>
        <w:rPr>
          <w:snapToGrid w:val="0"/>
        </w:rPr>
        <w:tab/>
        <w:t>make verbally.</w:t>
      </w:r>
    </w:p>
    <w:p>
      <w:pPr>
        <w:pStyle w:val="Footnotesection"/>
      </w:pPr>
      <w:r>
        <w:tab/>
        <w:t>[Section 26 amended: No. 47 of 2006 s. 17.]</w:t>
      </w:r>
    </w:p>
    <w:p>
      <w:pPr>
        <w:pStyle w:val="Heading5"/>
        <w:rPr>
          <w:snapToGrid w:val="0"/>
        </w:rPr>
      </w:pPr>
      <w:bookmarkStart w:id="73" w:name="_Toc86316154"/>
      <w:bookmarkStart w:id="74" w:name="_Toc86324390"/>
      <w:r>
        <w:rPr>
          <w:rStyle w:val="CharSectno"/>
        </w:rPr>
        <w:t>27</w:t>
      </w:r>
      <w:r>
        <w:rPr>
          <w:snapToGrid w:val="0"/>
        </w:rPr>
        <w:t>.</w:t>
      </w:r>
      <w:r>
        <w:rPr>
          <w:snapToGrid w:val="0"/>
        </w:rPr>
        <w:tab/>
        <w:t>Chief executive officer’s powers</w:t>
      </w:r>
      <w:bookmarkEnd w:id="73"/>
      <w:bookmarkEnd w:id="74"/>
    </w:p>
    <w:p>
      <w:pPr>
        <w:pStyle w:val="Subsection"/>
        <w:rPr>
          <w:snapToGrid w:val="0"/>
        </w:rPr>
      </w:pPr>
      <w:r>
        <w:rPr>
          <w:snapToGrid w:val="0"/>
        </w:rPr>
        <w:tab/>
        <w:t>(1)</w:t>
      </w:r>
      <w:r>
        <w:rPr>
          <w:snapToGrid w:val="0"/>
        </w:rPr>
        <w:tab/>
        <w:t xml:space="preserve">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w:t>
      </w:r>
      <w:r>
        <w:rPr>
          <w:snapToGrid w:val="0"/>
        </w:rPr>
        <w:lastRenderedPageBreak/>
        <w:t>body corporate and may require that person to produce all books and other papers whatsoever in that person’s custody or under that person’s control relating thereto within the time specified in the notice.</w:t>
      </w:r>
    </w:p>
    <w:p>
      <w:pPr>
        <w:pStyle w:val="Subsection"/>
        <w:rPr>
          <w:snapToGrid w:val="0"/>
        </w:rPr>
      </w:pPr>
      <w:r>
        <w:rPr>
          <w:snapToGrid w:val="0"/>
        </w:rPr>
        <w:tab/>
        <w:t>(2)</w:t>
      </w:r>
      <w:r>
        <w:rPr>
          <w:snapToGrid w:val="0"/>
        </w:rPr>
        <w:tab/>
        <w:t>A person who fails to comply with a request by the chief executive officer made under subsection (1) commits an offence.</w:t>
      </w:r>
    </w:p>
    <w:p>
      <w:pPr>
        <w:pStyle w:val="Penstart"/>
        <w:rPr>
          <w:snapToGrid w:val="0"/>
        </w:rPr>
      </w:pPr>
      <w:r>
        <w:rPr>
          <w:snapToGrid w:val="0"/>
        </w:rPr>
        <w:tab/>
        <w:t>Penalty: $5 000.</w:t>
      </w:r>
    </w:p>
    <w:p>
      <w:pPr>
        <w:pStyle w:val="Footnotesection"/>
      </w:pPr>
      <w:r>
        <w:tab/>
        <w:t xml:space="preserve">[Section 27 amended: No. 1 of 1991 s. 14; No. 47 of 2006 s. 17.] </w:t>
      </w:r>
    </w:p>
    <w:p>
      <w:pPr>
        <w:pStyle w:val="Heading5"/>
        <w:rPr>
          <w:snapToGrid w:val="0"/>
        </w:rPr>
      </w:pPr>
      <w:bookmarkStart w:id="75" w:name="_Toc86316155"/>
      <w:bookmarkStart w:id="76" w:name="_Toc86324391"/>
      <w:r>
        <w:rPr>
          <w:rStyle w:val="CharSectno"/>
        </w:rPr>
        <w:t>27A</w:t>
      </w:r>
      <w:r>
        <w:rPr>
          <w:snapToGrid w:val="0"/>
        </w:rPr>
        <w:t>.</w:t>
      </w:r>
      <w:r>
        <w:rPr>
          <w:snapToGrid w:val="0"/>
        </w:rPr>
        <w:tab/>
        <w:t>Delegation</w:t>
      </w:r>
      <w:bookmarkEnd w:id="75"/>
      <w:bookmarkEnd w:id="76"/>
      <w:r>
        <w:rPr>
          <w:snapToGrid w:val="0"/>
        </w:rPr>
        <w:t xml:space="preserve"> </w:t>
      </w:r>
    </w:p>
    <w:p>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pPr>
        <w:pStyle w:val="Footnotesection"/>
      </w:pPr>
      <w:r>
        <w:tab/>
        <w:t xml:space="preserve">[Section 27A inserted: No. 1 of 1991 s. 13.] </w:t>
      </w:r>
    </w:p>
    <w:p>
      <w:pPr>
        <w:pStyle w:val="Heading5"/>
        <w:rPr>
          <w:snapToGrid w:val="0"/>
        </w:rPr>
      </w:pPr>
      <w:bookmarkStart w:id="77" w:name="_Toc86316156"/>
      <w:bookmarkStart w:id="78" w:name="_Toc86324392"/>
      <w:r>
        <w:rPr>
          <w:rStyle w:val="CharSectno"/>
        </w:rPr>
        <w:t>28</w:t>
      </w:r>
      <w:r>
        <w:rPr>
          <w:snapToGrid w:val="0"/>
        </w:rPr>
        <w:t>.</w:t>
      </w:r>
      <w:r>
        <w:rPr>
          <w:snapToGrid w:val="0"/>
        </w:rPr>
        <w:tab/>
        <w:t>Access to places, books etc.</w:t>
      </w:r>
      <w:bookmarkEnd w:id="77"/>
      <w:bookmarkEnd w:id="78"/>
      <w:r>
        <w:rPr>
          <w:snapToGrid w:val="0"/>
        </w:rPr>
        <w:t xml:space="preserve"> </w:t>
      </w:r>
    </w:p>
    <w:p>
      <w:pPr>
        <w:pStyle w:val="Subsection"/>
        <w:rPr>
          <w:snapToGrid w:val="0"/>
        </w:rPr>
      </w:pPr>
      <w:r>
        <w:rPr>
          <w:snapToGrid w:val="0"/>
        </w:rPr>
        <w:tab/>
      </w:r>
      <w:r>
        <w:rPr>
          <w:snapToGrid w:val="0"/>
        </w:rPr>
        <w:tab/>
        <w:t xml:space="preserve">The chief executive officer, an inspector or </w:t>
      </w:r>
      <w:r>
        <w:t>an authorised person</w:t>
      </w:r>
      <w:r>
        <w:rPr>
          <w:snapToGrid w:val="0"/>
        </w:rPr>
        <w:t xml:space="preserve"> shall have full and free access at any reasonable time to all buildings, places, books and other papers for any of the purposes of this Act and for any such purpose may take extracts from or copies of any such books or papers.</w:t>
      </w:r>
    </w:p>
    <w:p>
      <w:pPr>
        <w:pStyle w:val="Footnotesection"/>
      </w:pPr>
      <w:r>
        <w:tab/>
        <w:t xml:space="preserve">[Section 28 amended: No. 1 of 1991 s. 14; No. 47 of 2006 s. 16(1).] </w:t>
      </w:r>
    </w:p>
    <w:p>
      <w:pPr>
        <w:pStyle w:val="Heading5"/>
        <w:keepLines w:val="0"/>
        <w:widowControl w:val="0"/>
        <w:rPr>
          <w:snapToGrid w:val="0"/>
        </w:rPr>
      </w:pPr>
      <w:bookmarkStart w:id="79" w:name="_Toc86316157"/>
      <w:bookmarkStart w:id="80" w:name="_Toc86324393"/>
      <w:r>
        <w:rPr>
          <w:rStyle w:val="CharSectno"/>
        </w:rPr>
        <w:t>29</w:t>
      </w:r>
      <w:r>
        <w:rPr>
          <w:snapToGrid w:val="0"/>
        </w:rPr>
        <w:t>.</w:t>
      </w:r>
      <w:r>
        <w:rPr>
          <w:snapToGrid w:val="0"/>
        </w:rPr>
        <w:tab/>
        <w:t>Inspector or authorised person may require information</w:t>
      </w:r>
      <w:bookmarkEnd w:id="79"/>
      <w:bookmarkEnd w:id="80"/>
      <w:r>
        <w:rPr>
          <w:snapToGrid w:val="0"/>
        </w:rPr>
        <w:t xml:space="preserve"> </w:t>
      </w:r>
    </w:p>
    <w:p>
      <w:pPr>
        <w:pStyle w:val="Subsection"/>
        <w:rPr>
          <w:snapToGrid w:val="0"/>
        </w:rPr>
      </w:pPr>
      <w:r>
        <w:rPr>
          <w:snapToGrid w:val="0"/>
        </w:rPr>
        <w:tab/>
        <w:t>(1)</w:t>
      </w:r>
      <w:r>
        <w:rPr>
          <w:snapToGrid w:val="0"/>
        </w:rPr>
        <w:tab/>
        <w:t xml:space="preserve">An inspector or </w:t>
      </w:r>
      <w:r>
        <w:t>authorised person</w:t>
      </w:r>
      <w:r>
        <w:rPr>
          <w:snapToGrid w:val="0"/>
        </w:rPr>
        <w:t xml:space="preserve"> may question any person whom the inspector</w:t>
      </w:r>
      <w:r>
        <w:t xml:space="preserve"> or authorised person</w:t>
      </w:r>
      <w:r>
        <w:rPr>
          <w:snapToGrid w:val="0"/>
        </w:rPr>
        <w:t xml:space="preserve"> has reasonable cause to believe may be able to assist him with his inquiries under this Act.</w:t>
      </w:r>
    </w:p>
    <w:p>
      <w:pPr>
        <w:pStyle w:val="Subsection"/>
        <w:rPr>
          <w:snapToGrid w:val="0"/>
        </w:rPr>
      </w:pPr>
      <w:r>
        <w:rPr>
          <w:snapToGrid w:val="0"/>
        </w:rPr>
        <w:lastRenderedPageBreak/>
        <w:tab/>
        <w:t>(2)</w:t>
      </w:r>
      <w:r>
        <w:rPr>
          <w:snapToGrid w:val="0"/>
        </w:rPr>
        <w:tab/>
        <w:t xml:space="preserve">An inspector or </w:t>
      </w:r>
      <w:r>
        <w:t>authorised person</w:t>
      </w:r>
      <w:r>
        <w:rPr>
          <w:snapToGrid w:val="0"/>
        </w:rPr>
        <w:t xml:space="preserve">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pPr>
        <w:pStyle w:val="Footnotesection"/>
      </w:pPr>
      <w:r>
        <w:tab/>
        <w:t xml:space="preserve">[Section 29 amended: No. 1 of 1991 s. 14; No. 47 of 2006 s. 16(2) and (3).] </w:t>
      </w:r>
    </w:p>
    <w:p>
      <w:pPr>
        <w:pStyle w:val="Heading5"/>
        <w:rPr>
          <w:snapToGrid w:val="0"/>
        </w:rPr>
      </w:pPr>
      <w:bookmarkStart w:id="81" w:name="_Toc86316158"/>
      <w:bookmarkStart w:id="82" w:name="_Toc86324394"/>
      <w:r>
        <w:rPr>
          <w:rStyle w:val="CharSectno"/>
        </w:rPr>
        <w:t>30</w:t>
      </w:r>
      <w:r>
        <w:rPr>
          <w:snapToGrid w:val="0"/>
        </w:rPr>
        <w:t>.</w:t>
      </w:r>
      <w:r>
        <w:rPr>
          <w:snapToGrid w:val="0"/>
        </w:rPr>
        <w:tab/>
        <w:t>Obstructing etc. inspector, authorised person etc.</w:t>
      </w:r>
      <w:bookmarkEnd w:id="81"/>
      <w:bookmarkEnd w:id="8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 or</w:t>
      </w:r>
    </w:p>
    <w:p>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 or</w:t>
      </w:r>
    </w:p>
    <w:p>
      <w:pPr>
        <w:pStyle w:val="Indenta"/>
        <w:rPr>
          <w:snapToGrid w:val="0"/>
        </w:rPr>
      </w:pPr>
      <w:r>
        <w:rPr>
          <w:snapToGrid w:val="0"/>
        </w:rPr>
        <w:tab/>
        <w:t>(c)</w:t>
      </w:r>
      <w:r>
        <w:rPr>
          <w:snapToGrid w:val="0"/>
        </w:rPr>
        <w:tab/>
        <w:t>fail to comply in any respect with the lawful request, requirement, direction or order of an inspector or authorised person; or</w:t>
      </w:r>
    </w:p>
    <w:p>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 or</w:t>
      </w:r>
    </w:p>
    <w:p>
      <w:pPr>
        <w:pStyle w:val="Indenta"/>
        <w:rPr>
          <w:snapToGrid w:val="0"/>
        </w:rPr>
      </w:pPr>
      <w:r>
        <w:rPr>
          <w:snapToGrid w:val="0"/>
        </w:rPr>
        <w:lastRenderedPageBreak/>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 or</w:t>
      </w:r>
    </w:p>
    <w:p>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 or</w:t>
      </w:r>
    </w:p>
    <w:p>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pPr>
        <w:pStyle w:val="Indenta"/>
        <w:rPr>
          <w:snapToGrid w:val="0"/>
        </w:rPr>
      </w:pPr>
      <w:r>
        <w:rPr>
          <w:snapToGrid w:val="0"/>
        </w:rPr>
        <w:tab/>
        <w:t>(h)</w:t>
      </w:r>
      <w:r>
        <w:rPr>
          <w:snapToGrid w:val="0"/>
        </w:rPr>
        <w:tab/>
        <w:t>impersonate an inspector.</w:t>
      </w:r>
    </w:p>
    <w:p>
      <w:pPr>
        <w:pStyle w:val="Penstart"/>
        <w:rPr>
          <w:snapToGrid w:val="0"/>
        </w:rPr>
      </w:pPr>
      <w:r>
        <w:rPr>
          <w:snapToGrid w:val="0"/>
        </w:rPr>
        <w:tab/>
        <w:t>Penalty: $5 000.</w:t>
      </w:r>
    </w:p>
    <w:p>
      <w:pPr>
        <w:pStyle w:val="Footnotesection"/>
      </w:pPr>
      <w:r>
        <w:tab/>
        <w:t>[Section 30 amended: No. 47 of 2006 s. 17.]</w:t>
      </w:r>
    </w:p>
    <w:p>
      <w:pPr>
        <w:pStyle w:val="Heading5"/>
        <w:spacing w:before="240"/>
        <w:rPr>
          <w:snapToGrid w:val="0"/>
        </w:rPr>
      </w:pPr>
      <w:bookmarkStart w:id="83" w:name="_Toc86316159"/>
      <w:bookmarkStart w:id="84" w:name="_Toc86324395"/>
      <w:r>
        <w:rPr>
          <w:rStyle w:val="CharSectno"/>
        </w:rPr>
        <w:t>31</w:t>
      </w:r>
      <w:r>
        <w:rPr>
          <w:snapToGrid w:val="0"/>
        </w:rPr>
        <w:t>.</w:t>
      </w:r>
      <w:r>
        <w:rPr>
          <w:snapToGrid w:val="0"/>
        </w:rPr>
        <w:tab/>
        <w:t>Protection of person questioned</w:t>
      </w:r>
      <w:bookmarkEnd w:id="83"/>
      <w:bookmarkEnd w:id="84"/>
      <w:r>
        <w:rPr>
          <w:snapToGrid w:val="0"/>
        </w:rPr>
        <w:t xml:space="preserve"> </w:t>
      </w:r>
    </w:p>
    <w:p>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pPr>
        <w:pStyle w:val="Heading5"/>
        <w:keepLines w:val="0"/>
        <w:spacing w:before="240"/>
        <w:rPr>
          <w:snapToGrid w:val="0"/>
        </w:rPr>
      </w:pPr>
      <w:bookmarkStart w:id="85" w:name="_Toc86316160"/>
      <w:bookmarkStart w:id="86" w:name="_Toc86324396"/>
      <w:r>
        <w:rPr>
          <w:rStyle w:val="CharSectno"/>
        </w:rPr>
        <w:t>32</w:t>
      </w:r>
      <w:r>
        <w:rPr>
          <w:snapToGrid w:val="0"/>
        </w:rPr>
        <w:t>.</w:t>
      </w:r>
      <w:r>
        <w:rPr>
          <w:snapToGrid w:val="0"/>
        </w:rPr>
        <w:tab/>
        <w:t>Unauthorised disclosure of information</w:t>
      </w:r>
      <w:bookmarkEnd w:id="85"/>
      <w:bookmarkEnd w:id="86"/>
    </w:p>
    <w:p>
      <w:pPr>
        <w:pStyle w:val="Subsection"/>
        <w:spacing w:before="180"/>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pPr>
        <w:pStyle w:val="Indenta"/>
        <w:rPr>
          <w:snapToGrid w:val="0"/>
        </w:rPr>
      </w:pPr>
      <w:r>
        <w:rPr>
          <w:snapToGrid w:val="0"/>
        </w:rPr>
        <w:lastRenderedPageBreak/>
        <w:tab/>
        <w:t>(a)</w:t>
      </w:r>
      <w:r>
        <w:rPr>
          <w:snapToGrid w:val="0"/>
        </w:rPr>
        <w:tab/>
        <w:t>with the consent of the person carrying on or operating any business to which that information relates; or</w:t>
      </w:r>
    </w:p>
    <w:p>
      <w:pPr>
        <w:pStyle w:val="Indenta"/>
        <w:keepNext/>
        <w:rPr>
          <w:snapToGrid w:val="0"/>
        </w:rPr>
      </w:pPr>
      <w:r>
        <w:rPr>
          <w:snapToGrid w:val="0"/>
        </w:rPr>
        <w:tab/>
        <w:t>(b)</w:t>
      </w:r>
      <w:r>
        <w:rPr>
          <w:snapToGrid w:val="0"/>
        </w:rPr>
        <w:tab/>
        <w:t>for the purpose of giving effect to the objects of this Act.</w:t>
      </w:r>
    </w:p>
    <w:p>
      <w:pPr>
        <w:pStyle w:val="Penstart"/>
        <w:rPr>
          <w:snapToGrid w:val="0"/>
        </w:rPr>
      </w:pPr>
      <w:r>
        <w:rPr>
          <w:snapToGrid w:val="0"/>
        </w:rPr>
        <w:tab/>
        <w:t>Penalty: $5 000.</w:t>
      </w:r>
    </w:p>
    <w:p>
      <w:pPr>
        <w:pStyle w:val="Footnotesection"/>
      </w:pPr>
      <w:r>
        <w:tab/>
        <w:t>[Section 32 amended: No. 47 of 2006 s. 17.]</w:t>
      </w:r>
    </w:p>
    <w:p>
      <w:pPr>
        <w:pStyle w:val="Heading5"/>
        <w:spacing w:before="240"/>
        <w:rPr>
          <w:snapToGrid w:val="0"/>
        </w:rPr>
      </w:pPr>
      <w:bookmarkStart w:id="87" w:name="_Toc86316161"/>
      <w:bookmarkStart w:id="88" w:name="_Toc86324397"/>
      <w:r>
        <w:rPr>
          <w:rStyle w:val="CharSectno"/>
        </w:rPr>
        <w:t>33</w:t>
      </w:r>
      <w:r>
        <w:rPr>
          <w:snapToGrid w:val="0"/>
        </w:rPr>
        <w:t>.</w:t>
      </w:r>
      <w:r>
        <w:rPr>
          <w:snapToGrid w:val="0"/>
        </w:rPr>
        <w:tab/>
        <w:t>Offences as to dishonesty or damage</w:t>
      </w:r>
      <w:bookmarkEnd w:id="87"/>
      <w:bookmarkEnd w:id="88"/>
    </w:p>
    <w:p>
      <w:pPr>
        <w:pStyle w:val="Subsection"/>
        <w:spacing w:before="180"/>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forge, counterfeit or utter or wrongfully make use of, any certificate or permit for the purposes of this Act; or</w:t>
      </w:r>
    </w:p>
    <w:p>
      <w:pPr>
        <w:pStyle w:val="Indenta"/>
        <w:rPr>
          <w:snapToGrid w:val="0"/>
        </w:rPr>
      </w:pPr>
      <w:r>
        <w:rPr>
          <w:snapToGrid w:val="0"/>
        </w:rPr>
        <w:tab/>
        <w:t>(b)</w:t>
      </w:r>
      <w:r>
        <w:rPr>
          <w:snapToGrid w:val="0"/>
        </w:rPr>
        <w:tab/>
        <w:t>wilfully make or sign a false statement or declaration or return required under this Act; or</w:t>
      </w:r>
    </w:p>
    <w:p>
      <w:pPr>
        <w:pStyle w:val="Indenta"/>
        <w:rPr>
          <w:snapToGrid w:val="0"/>
        </w:rPr>
      </w:pPr>
      <w:r>
        <w:rPr>
          <w:snapToGrid w:val="0"/>
        </w:rPr>
        <w:tab/>
        <w:t>(c)</w:t>
      </w:r>
      <w:r>
        <w:rPr>
          <w:snapToGrid w:val="0"/>
        </w:rPr>
        <w:tab/>
        <w:t>wilfully make use of any entry, declaration or return, knowing it to be false.</w:t>
      </w:r>
    </w:p>
    <w:p>
      <w:pPr>
        <w:pStyle w:val="Subsection"/>
        <w:spacing w:before="180"/>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pPr>
        <w:pStyle w:val="Subsection"/>
        <w:spacing w:before="180"/>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$5 000.</w:t>
      </w:r>
    </w:p>
    <w:p>
      <w:pPr>
        <w:pStyle w:val="Footnotesection"/>
      </w:pPr>
      <w:r>
        <w:tab/>
        <w:t>[Section 33 amended: No. 47 of 2006 s. 17.]</w:t>
      </w:r>
    </w:p>
    <w:p>
      <w:pPr>
        <w:pStyle w:val="Heading5"/>
        <w:spacing w:before="240"/>
        <w:rPr>
          <w:snapToGrid w:val="0"/>
        </w:rPr>
      </w:pPr>
      <w:bookmarkStart w:id="89" w:name="_Toc86316162"/>
      <w:bookmarkStart w:id="90" w:name="_Toc86324398"/>
      <w:r>
        <w:rPr>
          <w:rStyle w:val="CharSectno"/>
        </w:rPr>
        <w:t>34</w:t>
      </w:r>
      <w:r>
        <w:rPr>
          <w:snapToGrid w:val="0"/>
        </w:rPr>
        <w:t>.</w:t>
      </w:r>
      <w:r>
        <w:rPr>
          <w:snapToGrid w:val="0"/>
        </w:rPr>
        <w:tab/>
        <w:t>Liability of directors etc. of bodies corporate</w:t>
      </w:r>
      <w:bookmarkEnd w:id="89"/>
      <w:bookmarkEnd w:id="90"/>
    </w:p>
    <w:p>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pPr>
        <w:pStyle w:val="Subsection"/>
        <w:rPr>
          <w:snapToGrid w:val="0"/>
        </w:rPr>
      </w:pPr>
      <w:r>
        <w:rPr>
          <w:snapToGrid w:val="0"/>
        </w:rPr>
        <w:lastRenderedPageBreak/>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pPr>
        <w:pStyle w:val="Heading5"/>
        <w:rPr>
          <w:snapToGrid w:val="0"/>
        </w:rPr>
      </w:pPr>
      <w:bookmarkStart w:id="91" w:name="_Toc86316163"/>
      <w:bookmarkStart w:id="92" w:name="_Toc86324399"/>
      <w:r>
        <w:rPr>
          <w:rStyle w:val="CharSectno"/>
        </w:rPr>
        <w:t>35</w:t>
      </w:r>
      <w:r>
        <w:rPr>
          <w:snapToGrid w:val="0"/>
        </w:rPr>
        <w:t>.</w:t>
      </w:r>
      <w:r>
        <w:rPr>
          <w:snapToGrid w:val="0"/>
        </w:rPr>
        <w:tab/>
        <w:t>Records etc. for this Act, availability of</w:t>
      </w:r>
      <w:bookmarkEnd w:id="91"/>
      <w:bookmarkEnd w:id="92"/>
    </w:p>
    <w:p>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pPr>
        <w:pStyle w:val="Heading5"/>
        <w:rPr>
          <w:snapToGrid w:val="0"/>
        </w:rPr>
      </w:pPr>
      <w:bookmarkStart w:id="93" w:name="_Toc86316164"/>
      <w:bookmarkStart w:id="94" w:name="_Toc86324400"/>
      <w:r>
        <w:rPr>
          <w:rStyle w:val="CharSectno"/>
        </w:rPr>
        <w:t>36</w:t>
      </w:r>
      <w:r>
        <w:rPr>
          <w:snapToGrid w:val="0"/>
        </w:rPr>
        <w:t>.</w:t>
      </w:r>
      <w:r>
        <w:rPr>
          <w:snapToGrid w:val="0"/>
        </w:rPr>
        <w:tab/>
        <w:t>Records etc. for this Act to be in English</w:t>
      </w:r>
      <w:bookmarkEnd w:id="93"/>
      <w:bookmarkEnd w:id="94"/>
    </w:p>
    <w:p>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pPr>
        <w:pStyle w:val="Heading5"/>
        <w:spacing w:before="180"/>
        <w:rPr>
          <w:snapToGrid w:val="0"/>
        </w:rPr>
      </w:pPr>
      <w:bookmarkStart w:id="95" w:name="_Toc86316165"/>
      <w:bookmarkStart w:id="96" w:name="_Toc86324401"/>
      <w:r>
        <w:rPr>
          <w:rStyle w:val="CharSectno"/>
        </w:rPr>
        <w:t>37</w:t>
      </w:r>
      <w:r>
        <w:rPr>
          <w:snapToGrid w:val="0"/>
        </w:rPr>
        <w:t>.</w:t>
      </w:r>
      <w:r>
        <w:rPr>
          <w:snapToGrid w:val="0"/>
        </w:rPr>
        <w:tab/>
        <w:t>Prosecutions of offences need chief executive officer’s consent</w:t>
      </w:r>
      <w:bookmarkEnd w:id="95"/>
      <w:bookmarkEnd w:id="96"/>
    </w:p>
    <w:p>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pPr>
        <w:pStyle w:val="Footnotesection"/>
      </w:pPr>
      <w:r>
        <w:tab/>
        <w:t xml:space="preserve">[Section 37 amended: No. 1 of 1991 s. 14.] </w:t>
      </w:r>
    </w:p>
    <w:p>
      <w:pPr>
        <w:pStyle w:val="Heading5"/>
        <w:spacing w:before="180"/>
        <w:rPr>
          <w:snapToGrid w:val="0"/>
        </w:rPr>
      </w:pPr>
      <w:bookmarkStart w:id="97" w:name="_Toc86316166"/>
      <w:bookmarkStart w:id="98" w:name="_Toc86324402"/>
      <w:r>
        <w:rPr>
          <w:rStyle w:val="CharSectno"/>
        </w:rPr>
        <w:t>38</w:t>
      </w:r>
      <w:r>
        <w:rPr>
          <w:snapToGrid w:val="0"/>
        </w:rPr>
        <w:t>.</w:t>
      </w:r>
      <w:r>
        <w:rPr>
          <w:snapToGrid w:val="0"/>
        </w:rPr>
        <w:tab/>
        <w:t>Protection of officers, members and others</w:t>
      </w:r>
      <w:bookmarkEnd w:id="97"/>
      <w:bookmarkEnd w:id="98"/>
      <w:r>
        <w:rPr>
          <w:snapToGrid w:val="0"/>
        </w:rPr>
        <w:t xml:space="preserve"> </w:t>
      </w:r>
    </w:p>
    <w:p>
      <w:pPr>
        <w:pStyle w:val="Subsection"/>
        <w:rPr>
          <w:snapToGrid w:val="0"/>
        </w:rPr>
      </w:pPr>
      <w:r>
        <w:rPr>
          <w:snapToGrid w:val="0"/>
        </w:rPr>
        <w:tab/>
      </w:r>
      <w:r>
        <w:rPr>
          <w:snapToGrid w:val="0"/>
        </w:rPr>
        <w:tab/>
        <w:t xml:space="preserve">No liability attaches to the chief executive officer, any inspector, authorised </w:t>
      </w:r>
      <w:r>
        <w:t>person or officer of the Department</w:t>
      </w:r>
      <w:r>
        <w:rPr>
          <w:snapToGrid w:val="0"/>
        </w:rPr>
        <w:t xml:space="preserve"> for any act or omission that occurred in good faith and in exercise or purported exercise or in discharge or purported discharge of his or its functions under this Act.</w:t>
      </w:r>
    </w:p>
    <w:p>
      <w:pPr>
        <w:pStyle w:val="Footnotesection"/>
        <w:spacing w:before="80"/>
        <w:ind w:left="890" w:hanging="890"/>
      </w:pPr>
      <w:r>
        <w:tab/>
        <w:t xml:space="preserve">[Section 38 amended: No. 1 of 1991 s. 14; No. 23 of 2014 s. 94.] </w:t>
      </w:r>
    </w:p>
    <w:p>
      <w:pPr>
        <w:pStyle w:val="Heading5"/>
        <w:rPr>
          <w:snapToGrid w:val="0"/>
        </w:rPr>
      </w:pPr>
      <w:bookmarkStart w:id="99" w:name="_Toc86316167"/>
      <w:bookmarkStart w:id="100" w:name="_Toc86324403"/>
      <w:r>
        <w:rPr>
          <w:rStyle w:val="CharSectno"/>
        </w:rPr>
        <w:lastRenderedPageBreak/>
        <w:t>39</w:t>
      </w:r>
      <w:r>
        <w:rPr>
          <w:snapToGrid w:val="0"/>
        </w:rPr>
        <w:t>.</w:t>
      </w:r>
      <w:r>
        <w:rPr>
          <w:snapToGrid w:val="0"/>
        </w:rPr>
        <w:tab/>
        <w:t>Evidentiary provisions</w:t>
      </w:r>
      <w:bookmarkEnd w:id="99"/>
      <w:bookmarkEnd w:id="100"/>
    </w:p>
    <w:p>
      <w:pPr>
        <w:pStyle w:val="Subsection"/>
        <w:keepNext/>
        <w:rPr>
          <w:snapToGrid w:val="0"/>
        </w:rPr>
      </w:pPr>
      <w:r>
        <w:rPr>
          <w:snapToGrid w:val="0"/>
        </w:rPr>
        <w:tab/>
      </w:r>
      <w:r>
        <w:rPr>
          <w:snapToGrid w:val="0"/>
        </w:rPr>
        <w:tab/>
        <w:t>In any prosecution for offences against this Act — </w:t>
      </w:r>
    </w:p>
    <w:p>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 and</w:t>
      </w:r>
    </w:p>
    <w:p>
      <w:pPr>
        <w:pStyle w:val="Indenta"/>
        <w:rPr>
          <w:snapToGrid w:val="0"/>
        </w:rPr>
      </w:pPr>
      <w:r>
        <w:rPr>
          <w:snapToGrid w:val="0"/>
        </w:rPr>
        <w:tab/>
        <w:t>(b)</w:t>
      </w:r>
      <w:r>
        <w:rPr>
          <w:snapToGrid w:val="0"/>
        </w:rPr>
        <w:tab/>
        <w:t>a signature purporting to be that of the Minister, the chief executive officer or any inspector or authorised person shall be taken to be the signature of the person whose signature it purports to be until the contrary is proved; and</w:t>
      </w:r>
    </w:p>
    <w:p>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 and</w:t>
      </w:r>
    </w:p>
    <w:p>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 and</w:t>
      </w:r>
    </w:p>
    <w:p>
      <w:pPr>
        <w:pStyle w:val="Indenta"/>
        <w:rPr>
          <w:snapToGrid w:val="0"/>
        </w:rPr>
      </w:pPr>
      <w:r>
        <w:rPr>
          <w:snapToGrid w:val="0"/>
        </w:rPr>
        <w:tab/>
        <w:t>(e)</w:t>
      </w:r>
      <w:r>
        <w:rPr>
          <w:snapToGrid w:val="0"/>
        </w:rPr>
        <w:tab/>
        <w:t>evidence of a person being found in any shop is proof that the person was employed therein unless the contrary is proved; and</w:t>
      </w:r>
    </w:p>
    <w:p>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 and</w:t>
      </w:r>
    </w:p>
    <w:p>
      <w:pPr>
        <w:pStyle w:val="Indenta"/>
        <w:rPr>
          <w:snapToGrid w:val="0"/>
        </w:rPr>
      </w:pPr>
      <w:r>
        <w:rPr>
          <w:snapToGrid w:val="0"/>
        </w:rPr>
        <w:tab/>
        <w:t>(g)</w:t>
      </w:r>
      <w:r>
        <w:rPr>
          <w:snapToGrid w:val="0"/>
        </w:rPr>
        <w:tab/>
        <w:t xml:space="preserve">a statement signed by the chief executive officer stating the class to which any retail shop specified in the certificate belongs, or stating that a class of articles as so specified are usually sold in a specified class of </w:t>
      </w:r>
      <w:r>
        <w:rPr>
          <w:snapToGrid w:val="0"/>
        </w:rPr>
        <w:lastRenderedPageBreak/>
        <w:t>business, is proof of the matters so specified until the contrary is proved; and</w:t>
      </w:r>
    </w:p>
    <w:p>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pPr>
        <w:pStyle w:val="Footnotesection"/>
      </w:pPr>
      <w:r>
        <w:tab/>
        <w:t>[Section 39 amended: No. 1 of 1991 s. 14; No. 84 of 2004 s. 80 and 82.]</w:t>
      </w:r>
    </w:p>
    <w:p>
      <w:pPr>
        <w:pStyle w:val="Heading5"/>
        <w:spacing w:before="240"/>
        <w:rPr>
          <w:snapToGrid w:val="0"/>
        </w:rPr>
      </w:pPr>
      <w:bookmarkStart w:id="101" w:name="_Toc86316168"/>
      <w:bookmarkStart w:id="102" w:name="_Toc86324404"/>
      <w:r>
        <w:rPr>
          <w:rStyle w:val="CharSectno"/>
        </w:rPr>
        <w:t>40</w:t>
      </w:r>
      <w:r>
        <w:rPr>
          <w:snapToGrid w:val="0"/>
        </w:rPr>
        <w:t>.</w:t>
      </w:r>
      <w:r>
        <w:rPr>
          <w:snapToGrid w:val="0"/>
        </w:rPr>
        <w:tab/>
        <w:t>Regulations</w:t>
      </w:r>
      <w:bookmarkEnd w:id="101"/>
      <w:bookmarkEnd w:id="102"/>
      <w:r>
        <w:rPr>
          <w:snapToGrid w:val="0"/>
        </w:rPr>
        <w:t xml:space="preserve"> </w:t>
      </w:r>
    </w:p>
    <w:p>
      <w:pPr>
        <w:pStyle w:val="Subsection"/>
        <w:spacing w:before="18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80"/>
        <w:rPr>
          <w:snapToGrid w:val="0"/>
        </w:rPr>
      </w:pPr>
      <w:r>
        <w:rPr>
          <w:snapToGrid w:val="0"/>
        </w:rPr>
        <w:tab/>
        <w:t>(2)</w:t>
      </w:r>
      <w:r>
        <w:rPr>
          <w:snapToGrid w:val="0"/>
        </w:rPr>
        <w:tab/>
        <w:t>Without limiting the generality of this subsection, the regulations may — </w:t>
      </w:r>
    </w:p>
    <w:p>
      <w:pPr>
        <w:pStyle w:val="Indenta"/>
        <w:rPr>
          <w:snapToGrid w:val="0"/>
        </w:rPr>
      </w:pPr>
      <w:r>
        <w:rPr>
          <w:snapToGrid w:val="0"/>
        </w:rPr>
        <w:tab/>
        <w:t>(a)</w:t>
      </w:r>
      <w:r>
        <w:rPr>
          <w:snapToGrid w:val="0"/>
        </w:rPr>
        <w:tab/>
        <w:t>prescribe the forms and documents that are required to be given under this Act or kept for the purposes of this Act;</w:t>
      </w:r>
    </w:p>
    <w:p>
      <w:pPr>
        <w:pStyle w:val="Indenta"/>
        <w:spacing w:before="100"/>
        <w:rPr>
          <w:snapToGrid w:val="0"/>
        </w:rPr>
      </w:pPr>
      <w:r>
        <w:rPr>
          <w:snapToGrid w:val="0"/>
        </w:rPr>
        <w:tab/>
        <w:t>(b)</w:t>
      </w:r>
      <w:r>
        <w:rPr>
          <w:snapToGrid w:val="0"/>
        </w:rPr>
        <w:tab/>
        <w:t>prescribe requirements relating to the giving, furnishing and keeping of information and forms under this Act;</w:t>
      </w:r>
    </w:p>
    <w:p>
      <w:pPr>
        <w:pStyle w:val="Indenta"/>
        <w:spacing w:before="100"/>
        <w:rPr>
          <w:snapToGrid w:val="0"/>
        </w:rPr>
      </w:pPr>
      <w:r>
        <w:rPr>
          <w:snapToGrid w:val="0"/>
        </w:rPr>
        <w:tab/>
        <w:t>(c)</w:t>
      </w:r>
      <w:r>
        <w:rPr>
          <w:snapToGrid w:val="0"/>
        </w:rPr>
        <w:tab/>
        <w:t>provide for and regulate applications for and the granting of permits, certificates or other authorities under this Act;</w:t>
      </w:r>
    </w:p>
    <w:p>
      <w:pPr>
        <w:pStyle w:val="Indenta"/>
        <w:spacing w:before="100"/>
        <w:rPr>
          <w:snapToGrid w:val="0"/>
        </w:rPr>
      </w:pPr>
      <w:r>
        <w:rPr>
          <w:snapToGrid w:val="0"/>
        </w:rPr>
        <w:tab/>
        <w:t>(d)</w:t>
      </w:r>
      <w:r>
        <w:rPr>
          <w:snapToGrid w:val="0"/>
        </w:rPr>
        <w:tab/>
        <w:t>prescribe fees payable under this Act;</w:t>
      </w:r>
    </w:p>
    <w:p>
      <w:pPr>
        <w:pStyle w:val="Indenta"/>
        <w:spacing w:before="100"/>
        <w:rPr>
          <w:snapToGrid w:val="0"/>
        </w:rPr>
      </w:pPr>
      <w:r>
        <w:rPr>
          <w:snapToGrid w:val="0"/>
        </w:rPr>
        <w:tab/>
        <w:t>(e)</w:t>
      </w:r>
      <w:r>
        <w:rPr>
          <w:snapToGrid w:val="0"/>
        </w:rPr>
        <w:tab/>
        <w:t>prescribe penalties not exceeding $2 000 for an offence against any regulations under this Act and provide in the case of a continuing offence for a penalty not exceeding $500 for every day during which the offence continues.</w:t>
      </w:r>
    </w:p>
    <w:p>
      <w:pPr>
        <w:pStyle w:val="Footnotesection"/>
      </w:pPr>
      <w:r>
        <w:tab/>
        <w:t>[Section 40 amended: No. 47 of 2006 s. 17.]</w:t>
      </w:r>
    </w:p>
    <w:p>
      <w:pPr>
        <w:pStyle w:val="Heading5"/>
      </w:pPr>
      <w:bookmarkStart w:id="103" w:name="_Toc86316169"/>
      <w:bookmarkStart w:id="104" w:name="_Toc86324405"/>
      <w:r>
        <w:rPr>
          <w:rStyle w:val="CharSectno"/>
        </w:rPr>
        <w:lastRenderedPageBreak/>
        <w:t>41</w:t>
      </w:r>
      <w:r>
        <w:t>.</w:t>
      </w:r>
      <w:r>
        <w:tab/>
        <w:t>Review of Act</w:t>
      </w:r>
      <w:bookmarkEnd w:id="103"/>
      <w:bookmarkEnd w:id="104"/>
    </w:p>
    <w:p>
      <w:pPr>
        <w:pStyle w:val="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p>
    <w:p>
      <w:pPr>
        <w:pStyle w:val="Subsection"/>
      </w:pPr>
      <w:r>
        <w:tab/>
        <w:t>(2)</w:t>
      </w:r>
      <w:r>
        <w:tab/>
        <w:t>The Minister is to prepare a report based on the review and, as soon as is practicable after the report is prepared, is to cause a copy of the report to be laid before each House of Parliament.</w:t>
      </w:r>
    </w:p>
    <w:p>
      <w:pPr>
        <w:pStyle w:val="Footnotesection"/>
      </w:pPr>
      <w:r>
        <w:tab/>
        <w:t>[Section 41 inserted: No. 47 of 2006 s. 14.]</w:t>
      </w:r>
    </w:p>
    <w:p>
      <w:pPr>
        <w:pStyle w:val="Heading5"/>
        <w:rPr>
          <w:snapToGrid w:val="0"/>
        </w:rPr>
      </w:pPr>
      <w:bookmarkStart w:id="105" w:name="_Toc86316170"/>
      <w:bookmarkStart w:id="106" w:name="_Toc86324406"/>
      <w:r>
        <w:rPr>
          <w:rStyle w:val="CharSectno"/>
        </w:rPr>
        <w:t>42</w:t>
      </w:r>
      <w:r>
        <w:rPr>
          <w:snapToGrid w:val="0"/>
        </w:rPr>
        <w:t>.</w:t>
      </w:r>
      <w:r>
        <w:rPr>
          <w:snapToGrid w:val="0"/>
        </w:rPr>
        <w:tab/>
        <w:t>Savings</w:t>
      </w:r>
      <w:bookmarkEnd w:id="105"/>
      <w:bookmarkEnd w:id="106"/>
      <w:r>
        <w:rPr>
          <w:snapToGrid w:val="0"/>
        </w:rPr>
        <w:t xml:space="preserve"> </w:t>
      </w:r>
    </w:p>
    <w:p>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2</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commencement day</w:t>
      </w:r>
      <w:r>
        <w:t xml:space="preserve"> means the day on which this Act comes into operation.</w:t>
      </w:r>
    </w:p>
    <w:p>
      <w:pPr>
        <w:pStyle w:val="Footnotesection"/>
      </w:pPr>
      <w:r>
        <w:tab/>
        <w:t xml:space="preserve">[Section 42 amended: No. 73 of 1994 s. 4.] </w:t>
      </w:r>
    </w:p>
    <w:p>
      <w:pPr>
        <w:pStyle w:val="Ednotesection"/>
      </w:pPr>
      <w:r>
        <w:t>[</w:t>
      </w:r>
      <w:r>
        <w:rPr>
          <w:b/>
          <w:bCs/>
        </w:rPr>
        <w:t>43.</w:t>
      </w:r>
      <w:r>
        <w:tab/>
        <w:t>Deleted: No. 47 of 2006 s. 15.]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107" w:name="_Toc86317275"/>
      <w:bookmarkStart w:id="108" w:name="_Toc86317407"/>
      <w:bookmarkStart w:id="109" w:name="_Toc86317458"/>
      <w:bookmarkStart w:id="110" w:name="_Toc86324407"/>
      <w:r>
        <w:lastRenderedPageBreak/>
        <w:t>Notes</w:t>
      </w:r>
      <w:bookmarkEnd w:id="107"/>
      <w:bookmarkEnd w:id="108"/>
      <w:bookmarkEnd w:id="109"/>
      <w:bookmarkEnd w:id="110"/>
    </w:p>
    <w:p>
      <w:pPr>
        <w:pStyle w:val="nStatement"/>
      </w:pPr>
      <w:r>
        <w:t xml:space="preserve">This is a compilation of the </w:t>
      </w:r>
      <w:r>
        <w:rPr>
          <w:i/>
          <w:noProof/>
        </w:rPr>
        <w:t>Retail Trading Hours Act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1" w:name="_Toc86324408"/>
      <w:r>
        <w:t>Compilation table</w:t>
      </w:r>
      <w:bookmarkEnd w:id="111"/>
    </w:p>
    <w:tbl>
      <w:tblPr>
        <w:tblW w:w="0" w:type="auto"/>
        <w:tblInd w:w="8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ind w:right="113"/>
            </w:pPr>
            <w:r>
              <w:rPr>
                <w:i/>
              </w:rPr>
              <w:t>Retail Trading Hours Act 1987</w:t>
            </w:r>
          </w:p>
        </w:tc>
        <w:tc>
          <w:tcPr>
            <w:tcW w:w="1134" w:type="dxa"/>
            <w:tcBorders>
              <w:top w:val="single" w:sz="8" w:space="0" w:color="auto"/>
            </w:tcBorders>
          </w:tcPr>
          <w:p>
            <w:pPr>
              <w:pStyle w:val="nTable"/>
              <w:spacing w:after="40"/>
            </w:pPr>
            <w:r>
              <w:t>123 of 1987</w:t>
            </w:r>
          </w:p>
        </w:tc>
        <w:tc>
          <w:tcPr>
            <w:tcW w:w="1134" w:type="dxa"/>
            <w:tcBorders>
              <w:top w:val="single" w:sz="8" w:space="0" w:color="auto"/>
            </w:tcBorders>
          </w:tcPr>
          <w:p>
            <w:pPr>
              <w:pStyle w:val="nTable"/>
              <w:spacing w:after="40"/>
            </w:pPr>
            <w:r>
              <w:t>31 Dec 1987</w:t>
            </w:r>
          </w:p>
        </w:tc>
        <w:tc>
          <w:tcPr>
            <w:tcW w:w="2552" w:type="dxa"/>
            <w:tcBorders>
              <w:top w:val="single" w:sz="8" w:space="0" w:color="auto"/>
            </w:tcBorders>
          </w:tcPr>
          <w:p>
            <w:pPr>
              <w:pStyle w:val="nTable"/>
              <w:spacing w:after="40"/>
            </w:pPr>
            <w:r>
              <w:t>s. 1 and 2: 31 Dec 1987;</w:t>
            </w:r>
            <w:r>
              <w:br/>
              <w:t xml:space="preserve">Act other than s. 1 and 2: 1 Sep 1988 (see s. 2 and </w:t>
            </w:r>
            <w:r>
              <w:rPr>
                <w:i/>
              </w:rPr>
              <w:t>Gazette</w:t>
            </w:r>
            <w:r>
              <w:t xml:space="preserve"> 12 Aug 1988 p. 2695)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Retail Trading Hours Amendment Act 1991</w:t>
            </w:r>
          </w:p>
        </w:tc>
        <w:tc>
          <w:tcPr>
            <w:tcW w:w="1134" w:type="dxa"/>
          </w:tcPr>
          <w:p>
            <w:pPr>
              <w:pStyle w:val="nTable"/>
              <w:spacing w:after="40"/>
            </w:pPr>
            <w:r>
              <w:t>1 of 1991</w:t>
            </w:r>
          </w:p>
        </w:tc>
        <w:tc>
          <w:tcPr>
            <w:tcW w:w="1134" w:type="dxa"/>
          </w:tcPr>
          <w:p>
            <w:pPr>
              <w:pStyle w:val="nTable"/>
              <w:spacing w:after="40"/>
            </w:pPr>
            <w:r>
              <w:t>17 May 1991</w:t>
            </w:r>
          </w:p>
        </w:tc>
        <w:tc>
          <w:tcPr>
            <w:tcW w:w="2552" w:type="dxa"/>
          </w:tcPr>
          <w:p>
            <w:pPr>
              <w:pStyle w:val="nTable"/>
              <w:spacing w:after="40"/>
            </w:pPr>
            <w:r>
              <w:t>s. 1 and 2: 17 May 1991;</w:t>
            </w:r>
            <w:r>
              <w:br/>
              <w:t xml:space="preserve">Act other than s. 1, 2 and 12: 2 Aug 1991 (see s. 2 and </w:t>
            </w:r>
            <w:r>
              <w:rPr>
                <w:i/>
              </w:rPr>
              <w:t>Gazette</w:t>
            </w:r>
            <w:r>
              <w:t xml:space="preserve"> 2 Aug 1991 p. 3991);</w:t>
            </w:r>
            <w:r>
              <w:br/>
              <w:t xml:space="preserve">s. 12: 1 Nov 1991 (see s. 2 and </w:t>
            </w:r>
            <w:r>
              <w:rPr>
                <w:i/>
              </w:rPr>
              <w:t>Gazette</w:t>
            </w:r>
            <w:r>
              <w:t xml:space="preserve"> 1 Nov 1991 p. 5588)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Statutes (Repeals and Minor Amendments) Act 1994 </w:t>
            </w:r>
            <w:r>
              <w:t xml:space="preserve">s. 4 </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Pawnbrokers and Second</w:t>
            </w:r>
            <w:r>
              <w:rPr>
                <w:i/>
              </w:rPr>
              <w:noBreakHyphen/>
              <w:t xml:space="preserve">hand Dealers Act 1994 </w:t>
            </w:r>
            <w:r>
              <w:t>s. 100</w:t>
            </w:r>
          </w:p>
        </w:tc>
        <w:tc>
          <w:tcPr>
            <w:tcW w:w="1134" w:type="dxa"/>
          </w:tcPr>
          <w:p>
            <w:pPr>
              <w:pStyle w:val="nTable"/>
              <w:spacing w:after="40"/>
            </w:pPr>
            <w:r>
              <w:t>88 of 1994</w:t>
            </w:r>
          </w:p>
        </w:tc>
        <w:tc>
          <w:tcPr>
            <w:tcW w:w="1134" w:type="dxa"/>
          </w:tcPr>
          <w:p>
            <w:pPr>
              <w:pStyle w:val="nTable"/>
              <w:spacing w:after="40"/>
            </w:pPr>
            <w:r>
              <w:t>5 Jan 1995</w:t>
            </w:r>
          </w:p>
        </w:tc>
        <w:tc>
          <w:tcPr>
            <w:tcW w:w="2552" w:type="dxa"/>
          </w:tcPr>
          <w:p>
            <w:pPr>
              <w:pStyle w:val="nTable"/>
              <w:spacing w:after="40"/>
            </w:pPr>
            <w:r>
              <w:t xml:space="preserve">1 Apr 1996 (see s. 2 and </w:t>
            </w:r>
            <w:r>
              <w:rPr>
                <w:i/>
              </w:rPr>
              <w:t>Gazette</w:t>
            </w:r>
            <w:r>
              <w:t xml:space="preserve"> 29 Mar 1996 p. 1495)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 xml:space="preserve">Local Government (Consequential Amendments) Act 1996 </w:t>
            </w:r>
            <w:r>
              <w:rPr>
                <w:kern w:val="20"/>
              </w:rP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Retail Trading Hours Act 1987</w:t>
            </w:r>
            <w:r>
              <w:rPr>
                <w:b/>
              </w:rPr>
              <w:t xml:space="preserve"> as at 18 Jan 2002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pPr>
            <w:r>
              <w:rPr>
                <w:i/>
              </w:rPr>
              <w:t>Retail Trading Hours Amendment (Referendums) Act 2004</w:t>
            </w:r>
          </w:p>
        </w:tc>
        <w:tc>
          <w:tcPr>
            <w:tcW w:w="1134" w:type="dxa"/>
          </w:tcPr>
          <w:p>
            <w:pPr>
              <w:pStyle w:val="nTable"/>
              <w:spacing w:after="40"/>
            </w:pPr>
            <w:r>
              <w:t>78 of 2004</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iCs/>
                <w:snapToGrid w:val="0"/>
                <w:vertAlign w:val="superscript"/>
              </w:rPr>
            </w:pPr>
            <w:r>
              <w:rPr>
                <w:i/>
                <w:iCs/>
                <w:snapToGrid w:val="0"/>
              </w:rPr>
              <w:lastRenderedPageBreak/>
              <w:t>Retail Shops and Fair Trading Legislation Amendment Act 2006</w:t>
            </w:r>
            <w:r>
              <w:rPr>
                <w:snapToGrid w:val="0"/>
              </w:rPr>
              <w:t> Pt. 2 </w:t>
            </w:r>
            <w:r>
              <w:rPr>
                <w:snapToGrid w:val="0"/>
                <w:vertAlign w:val="superscript"/>
              </w:rPr>
              <w:t>3</w:t>
            </w:r>
          </w:p>
        </w:tc>
        <w:tc>
          <w:tcPr>
            <w:tcW w:w="1134" w:type="dxa"/>
          </w:tcPr>
          <w:p>
            <w:pPr>
              <w:pStyle w:val="nTable"/>
              <w:spacing w:after="40"/>
              <w:rPr>
                <w:snapToGrid w:val="0"/>
              </w:rPr>
            </w:pPr>
            <w:r>
              <w:rPr>
                <w:snapToGrid w:val="0"/>
              </w:rPr>
              <w:t>47 of 2006</w:t>
            </w:r>
          </w:p>
        </w:tc>
        <w:tc>
          <w:tcPr>
            <w:tcW w:w="1134" w:type="dxa"/>
          </w:tcPr>
          <w:p>
            <w:pPr>
              <w:pStyle w:val="nTable"/>
              <w:spacing w:after="40"/>
            </w:pPr>
            <w:r>
              <w:t>4 Oct 2006</w:t>
            </w:r>
          </w:p>
        </w:tc>
        <w:tc>
          <w:tcPr>
            <w:tcW w:w="2552" w:type="dxa"/>
          </w:tcPr>
          <w:p>
            <w:pPr>
              <w:pStyle w:val="nTable"/>
              <w:spacing w:after="40"/>
              <w:rPr>
                <w:snapToGrid w:val="0"/>
              </w:rPr>
            </w:pPr>
            <w:r>
              <w:t xml:space="preserve">11 May 2007 (see s. 2 and </w:t>
            </w:r>
            <w:r>
              <w:rPr>
                <w:i/>
                <w:iCs/>
              </w:rPr>
              <w:t>Gazette</w:t>
            </w:r>
            <w:r>
              <w:t xml:space="preserve"> 11 May 2007 p. 2017)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iCs/>
                <w:snapToGrid w:val="0"/>
              </w:rPr>
            </w:pPr>
            <w:r>
              <w:rPr>
                <w:i/>
                <w:iCs/>
                <w:snapToGrid w:val="0"/>
              </w:rPr>
              <w:t xml:space="preserve">Liquor and Gaming Legislation Amendment Act 2006 </w:t>
            </w:r>
            <w:r>
              <w:rPr>
                <w:snapToGrid w:val="0"/>
              </w:rPr>
              <w:t>s. 115 </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2:  The </w:t>
            </w:r>
            <w:r>
              <w:rPr>
                <w:b/>
                <w:i/>
              </w:rPr>
              <w:t>Retail Trading Hours Act 1987</w:t>
            </w:r>
            <w:r>
              <w:rPr>
                <w:b/>
              </w:rPr>
              <w:t xml:space="preserve"> 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iCs/>
                <w:snapToGrid w:val="0"/>
              </w:rPr>
            </w:pPr>
            <w:r>
              <w:rPr>
                <w:i/>
                <w:iCs/>
                <w:snapToGrid w:val="0"/>
              </w:rPr>
              <w:t>Training Legislation Amendment and Repeal Act 2008</w:t>
            </w:r>
            <w:r>
              <w:rPr>
                <w:snapToGrid w:val="0"/>
              </w:rPr>
              <w:t xml:space="preserve"> s. 60</w:t>
            </w:r>
          </w:p>
        </w:tc>
        <w:tc>
          <w:tcPr>
            <w:tcW w:w="1134" w:type="dxa"/>
          </w:tcPr>
          <w:p>
            <w:pPr>
              <w:pStyle w:val="nTable"/>
              <w:spacing w:after="40"/>
              <w:rPr>
                <w:snapToGrid w:val="0"/>
              </w:rPr>
            </w:pPr>
            <w:r>
              <w:rPr>
                <w:snapToGrid w:val="0"/>
              </w:rPr>
              <w:t>44 of 2008</w:t>
            </w:r>
          </w:p>
        </w:tc>
        <w:tc>
          <w:tcPr>
            <w:tcW w:w="1134" w:type="dxa"/>
          </w:tcPr>
          <w:p>
            <w:pPr>
              <w:pStyle w:val="nTable"/>
              <w:spacing w:after="40"/>
            </w:pPr>
            <w:r>
              <w:rPr>
                <w:snapToGrid w:val="0"/>
              </w:rPr>
              <w:t>10 Dec 2008</w:t>
            </w:r>
          </w:p>
        </w:tc>
        <w:tc>
          <w:tcPr>
            <w:tcW w:w="2552" w:type="dxa"/>
          </w:tcPr>
          <w:p>
            <w:pPr>
              <w:pStyle w:val="nTable"/>
              <w:spacing w:after="40"/>
              <w:rPr>
                <w:snapToGrid w:val="0"/>
              </w:rPr>
            </w:pPr>
            <w:r>
              <w:rPr>
                <w:snapToGrid w:val="0"/>
              </w:rPr>
              <w:t>10 Jun 2009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75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(Joondalup Special Trading Precinct) Act 2010</w:t>
            </w:r>
          </w:p>
        </w:tc>
        <w:tc>
          <w:tcPr>
            <w:tcW w:w="1134" w:type="dxa"/>
          </w:tcPr>
          <w:p>
            <w:pPr>
              <w:pStyle w:val="nTable"/>
              <w:spacing w:after="40"/>
            </w:pPr>
            <w:r>
              <w:t>22 of 2010</w:t>
            </w:r>
          </w:p>
        </w:tc>
        <w:tc>
          <w:tcPr>
            <w:tcW w:w="1134" w:type="dxa"/>
          </w:tcPr>
          <w:p>
            <w:pPr>
              <w:pStyle w:val="nTable"/>
              <w:spacing w:after="40"/>
            </w:pPr>
            <w:r>
              <w:t>7 Jul 2010</w:t>
            </w:r>
          </w:p>
        </w:tc>
        <w:tc>
          <w:tcPr>
            <w:tcW w:w="2552" w:type="dxa"/>
          </w:tcPr>
          <w:p>
            <w:pPr>
              <w:pStyle w:val="nTable"/>
              <w:spacing w:after="40"/>
            </w:pPr>
            <w:r>
              <w:rPr>
                <w:snapToGrid w:val="0"/>
              </w:rPr>
              <w:t>s. 1 and 2: 7 Jul 2010 (see s. 2(a));</w:t>
            </w:r>
            <w:r>
              <w:rPr>
                <w:snapToGrid w:val="0"/>
              </w:rPr>
              <w:br/>
              <w:t>Act other than s. 1 and 2: 8 Jul 2010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(Armadale Special Trading Precinct) Act 2010</w:t>
            </w:r>
          </w:p>
        </w:tc>
        <w:tc>
          <w:tcPr>
            <w:tcW w:w="1134" w:type="dxa"/>
          </w:tcPr>
          <w:p>
            <w:pPr>
              <w:pStyle w:val="nTable"/>
              <w:spacing w:after="40"/>
            </w:pPr>
            <w:r>
              <w:t>36 of 2010</w:t>
            </w:r>
          </w:p>
        </w:tc>
        <w:tc>
          <w:tcPr>
            <w:tcW w:w="1134" w:type="dxa"/>
          </w:tcPr>
          <w:p>
            <w:pPr>
              <w:pStyle w:val="nTable"/>
              <w:spacing w:after="40"/>
            </w:pPr>
            <w:r>
              <w:t>22 Sep 2010</w:t>
            </w:r>
          </w:p>
        </w:tc>
        <w:tc>
          <w:tcPr>
            <w:tcW w:w="2552" w:type="dxa"/>
          </w:tcPr>
          <w:p>
            <w:pPr>
              <w:pStyle w:val="nTable"/>
              <w:spacing w:after="40"/>
              <w:rPr>
                <w:snapToGrid w:val="0"/>
              </w:rPr>
            </w:pPr>
            <w:r>
              <w:rPr>
                <w:snapToGrid w:val="0"/>
              </w:rPr>
              <w:t>s. 1 and 2: 22 Sep 2010 (see s. 2(a));</w:t>
            </w:r>
            <w:r>
              <w:rPr>
                <w:snapToGrid w:val="0"/>
              </w:rPr>
              <w:br/>
              <w:t>Act other than s. 1 and 2: 23 Sep 2010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(Midland Special Trading Precinct) Act 2010</w:t>
            </w:r>
          </w:p>
        </w:tc>
        <w:tc>
          <w:tcPr>
            <w:tcW w:w="1134" w:type="dxa"/>
          </w:tcPr>
          <w:p>
            <w:pPr>
              <w:pStyle w:val="nTable"/>
              <w:spacing w:after="40"/>
            </w:pPr>
            <w:r>
              <w:t>37 of 2010</w:t>
            </w:r>
          </w:p>
        </w:tc>
        <w:tc>
          <w:tcPr>
            <w:tcW w:w="1134" w:type="dxa"/>
          </w:tcPr>
          <w:p>
            <w:pPr>
              <w:pStyle w:val="nTable"/>
              <w:spacing w:after="40"/>
            </w:pPr>
            <w:r>
              <w:t>22 Sep 2010</w:t>
            </w:r>
          </w:p>
        </w:tc>
        <w:tc>
          <w:tcPr>
            <w:tcW w:w="2552" w:type="dxa"/>
          </w:tcPr>
          <w:p>
            <w:pPr>
              <w:pStyle w:val="nTable"/>
              <w:spacing w:after="40"/>
              <w:rPr>
                <w:snapToGrid w:val="0"/>
              </w:rPr>
            </w:pPr>
            <w:r>
              <w:rPr>
                <w:snapToGrid w:val="0"/>
              </w:rPr>
              <w:t>s. 1 and 2: 22 Sep 2010 (see s. 2(a));</w:t>
            </w:r>
            <w:r>
              <w:rPr>
                <w:snapToGrid w:val="0"/>
              </w:rPr>
              <w:br/>
              <w:t>Act other than s. 1 and 2: 23 Sep 2010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Act 2010</w:t>
            </w:r>
          </w:p>
        </w:tc>
        <w:tc>
          <w:tcPr>
            <w:tcW w:w="1134" w:type="dxa"/>
          </w:tcPr>
          <w:p>
            <w:pPr>
              <w:pStyle w:val="nTable"/>
              <w:spacing w:after="40"/>
            </w:pPr>
            <w:r>
              <w:t xml:space="preserve">38 of 2010 </w:t>
            </w:r>
          </w:p>
        </w:tc>
        <w:tc>
          <w:tcPr>
            <w:tcW w:w="1134" w:type="dxa"/>
          </w:tcPr>
          <w:p>
            <w:pPr>
              <w:pStyle w:val="nTable"/>
              <w:spacing w:after="40"/>
            </w:pPr>
            <w:r>
              <w:t>1 Oct 2010</w:t>
            </w:r>
          </w:p>
        </w:tc>
        <w:tc>
          <w:tcPr>
            <w:tcW w:w="2552" w:type="dxa"/>
          </w:tcPr>
          <w:p>
            <w:pPr>
              <w:pStyle w:val="nTable"/>
              <w:spacing w:after="40"/>
              <w:rPr>
                <w:snapToGrid w:val="0"/>
              </w:rPr>
            </w:pPr>
            <w:r>
              <w:rPr>
                <w:snapToGrid w:val="0"/>
              </w:rPr>
              <w:t>s. 1 and 2: 1 Oct 2010 (see s. 2(a));</w:t>
            </w:r>
            <w:r>
              <w:rPr>
                <w:snapToGrid w:val="0"/>
              </w:rPr>
              <w:br/>
              <w:t xml:space="preserve">Act other than s. 1 and 2: 1 Nov 2010 (see s. 2(b) and </w:t>
            </w:r>
            <w:r>
              <w:rPr>
                <w:i/>
                <w:iCs/>
                <w:snapToGrid w:val="0"/>
              </w:rPr>
              <w:t xml:space="preserve">Gazette </w:t>
            </w:r>
            <w:r>
              <w:rPr>
                <w:snapToGrid w:val="0"/>
              </w:rPr>
              <w:t>22 Oct 2010 p. 5207)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pacing w:val="-2"/>
              </w:rPr>
            </w:pPr>
            <w:r>
              <w:rPr>
                <w:b/>
              </w:rPr>
              <w:t xml:space="preserve">Reprint 3:  The </w:t>
            </w:r>
            <w:r>
              <w:rPr>
                <w:b/>
                <w:i/>
              </w:rPr>
              <w:t>Retail Trading Hours Act 1987</w:t>
            </w:r>
            <w:r>
              <w:rPr>
                <w:b/>
              </w:rPr>
              <w:t xml:space="preserve"> as at 4 Feb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Act 2011</w:t>
            </w:r>
          </w:p>
        </w:tc>
        <w:tc>
          <w:tcPr>
            <w:tcW w:w="1134" w:type="dxa"/>
          </w:tcPr>
          <w:p>
            <w:pPr>
              <w:pStyle w:val="nTable"/>
              <w:spacing w:after="40"/>
            </w:pPr>
            <w:r>
              <w:rPr>
                <w:snapToGrid w:val="0"/>
              </w:rPr>
              <w:t>40 of 2011</w:t>
            </w:r>
          </w:p>
        </w:tc>
        <w:tc>
          <w:tcPr>
            <w:tcW w:w="1134" w:type="dxa"/>
          </w:tcPr>
          <w:p>
            <w:pPr>
              <w:pStyle w:val="nTable"/>
              <w:spacing w:after="40"/>
            </w:pPr>
            <w:r>
              <w:t>4 Oct 2011</w:t>
            </w:r>
          </w:p>
        </w:tc>
        <w:tc>
          <w:tcPr>
            <w:tcW w:w="2552" w:type="dxa"/>
          </w:tcPr>
          <w:p>
            <w:pPr>
              <w:pStyle w:val="nTable"/>
              <w:spacing w:after="40"/>
              <w:rPr>
                <w:snapToGrid w:val="0"/>
                <w:spacing w:val="-2"/>
              </w:rPr>
            </w:pPr>
            <w:r>
              <w:rPr>
                <w:snapToGrid w:val="0"/>
              </w:rPr>
              <w:t>s. 1 and 2: 4 Oct 2011 (see s. 2(a));</w:t>
            </w:r>
            <w:r>
              <w:rPr>
                <w:snapToGrid w:val="0"/>
              </w:rPr>
              <w:br/>
              <w:t>Act other than s. 1 and 2: 5 Oct 2011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lastRenderedPageBreak/>
              <w:t xml:space="preserve">Road Traffic Legislation Amendment Act 2012 </w:t>
            </w:r>
            <w:r>
              <w:rPr>
                <w:snapToGrid w:val="0"/>
              </w:rPr>
              <w:t>Pt. 4 Div. 45</w:t>
            </w:r>
          </w:p>
        </w:tc>
        <w:tc>
          <w:tcPr>
            <w:tcW w:w="1134" w:type="dxa"/>
          </w:tcPr>
          <w:p>
            <w:pPr>
              <w:pStyle w:val="nTable"/>
              <w:spacing w:after="40"/>
              <w:rPr>
                <w:snapToGrid w:val="0"/>
              </w:rPr>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Retail Trading Hours Amendment Act 2012</w:t>
            </w:r>
          </w:p>
        </w:tc>
        <w:tc>
          <w:tcPr>
            <w:tcW w:w="1134" w:type="dxa"/>
          </w:tcPr>
          <w:p>
            <w:pPr>
              <w:pStyle w:val="nTable"/>
              <w:spacing w:after="40"/>
              <w:rPr>
                <w:snapToGrid w:val="0"/>
              </w:rPr>
            </w:pPr>
            <w:r>
              <w:rPr>
                <w:snapToGrid w:val="0"/>
              </w:rPr>
              <w:t>13 of 2012</w:t>
            </w:r>
          </w:p>
        </w:tc>
        <w:tc>
          <w:tcPr>
            <w:tcW w:w="1134" w:type="dxa"/>
          </w:tcPr>
          <w:p>
            <w:pPr>
              <w:pStyle w:val="nTable"/>
              <w:spacing w:after="40"/>
            </w:pPr>
            <w:r>
              <w:t>3 Jul 2012</w:t>
            </w:r>
          </w:p>
        </w:tc>
        <w:tc>
          <w:tcPr>
            <w:tcW w:w="2552" w:type="dxa"/>
          </w:tcPr>
          <w:p>
            <w:pPr>
              <w:pStyle w:val="nTable"/>
              <w:spacing w:after="40"/>
              <w:rPr>
                <w:snapToGrid w:val="0"/>
              </w:rPr>
            </w:pPr>
            <w:r>
              <w:rPr>
                <w:snapToGrid w:val="0"/>
              </w:rPr>
              <w:t>s. 1 and 2: 3 Jul 2012 (see s. 2(a));</w:t>
            </w:r>
            <w:r>
              <w:rPr>
                <w:snapToGrid w:val="0"/>
              </w:rPr>
              <w:br/>
              <w:t xml:space="preserve">s. 3-6: 26 Aug 2012 (see s. 2(b) and </w:t>
            </w:r>
            <w:r>
              <w:rPr>
                <w:i/>
                <w:snapToGrid w:val="0"/>
              </w:rPr>
              <w:t>Gazette</w:t>
            </w:r>
            <w:r>
              <w:rPr>
                <w:snapToGrid w:val="0"/>
              </w:rPr>
              <w:t xml:space="preserve"> 17 Aug 2012 p. 3899)</w:t>
            </w:r>
          </w:p>
        </w:tc>
      </w:tr>
      <w:tr>
        <w:tblPrEx>
          <w:tblBorders>
            <w:top w:val="none" w:sz="0" w:space="0" w:color="auto"/>
            <w:bottom w:val="none" w:sz="0" w:space="0" w:color="auto"/>
            <w:insideH w:val="none" w:sz="0" w:space="0" w:color="auto"/>
          </w:tblBorders>
        </w:tblPrEx>
        <w:trPr>
          <w:cantSplit/>
        </w:trPr>
        <w:tc>
          <w:tcPr>
            <w:tcW w:w="2269" w:type="dxa"/>
            <w:shd w:val="clear" w:color="auto" w:fill="auto"/>
          </w:tcPr>
          <w:p>
            <w:pPr>
              <w:pStyle w:val="nTable"/>
              <w:spacing w:after="40"/>
              <w:rPr>
                <w:i/>
                <w:snapToGrid w:val="0"/>
              </w:rPr>
            </w:pPr>
            <w:r>
              <w:rPr>
                <w:i/>
                <w:snapToGrid w:val="0"/>
              </w:rPr>
              <w:t>Consumer Protection Legislation Amendment Act 2014</w:t>
            </w:r>
            <w:r>
              <w:rPr>
                <w:snapToGrid w:val="0"/>
              </w:rPr>
              <w:t xml:space="preserve"> Pt. 13 Div. 1</w:t>
            </w:r>
          </w:p>
        </w:tc>
        <w:tc>
          <w:tcPr>
            <w:tcW w:w="1134" w:type="dxa"/>
            <w:shd w:val="clear" w:color="auto" w:fill="auto"/>
          </w:tcPr>
          <w:p>
            <w:pPr>
              <w:pStyle w:val="nTable"/>
              <w:spacing w:after="40"/>
              <w:rPr>
                <w:snapToGrid w:val="0"/>
              </w:rPr>
            </w:pPr>
            <w:r>
              <w:rPr>
                <w:snapToGrid w:val="0"/>
              </w:rPr>
              <w:t>23 of 2014</w:t>
            </w:r>
          </w:p>
        </w:tc>
        <w:tc>
          <w:tcPr>
            <w:tcW w:w="1134" w:type="dxa"/>
            <w:shd w:val="clear" w:color="auto" w:fill="auto"/>
          </w:tcPr>
          <w:p>
            <w:pPr>
              <w:pStyle w:val="nTable"/>
              <w:spacing w:after="40"/>
            </w:pPr>
            <w:r>
              <w:rPr>
                <w:snapToGrid w:val="0"/>
              </w:rPr>
              <w:t>9 Oct 2014</w:t>
            </w:r>
          </w:p>
        </w:tc>
        <w:tc>
          <w:tcPr>
            <w:tcW w:w="2552" w:type="dxa"/>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4: The </w:t>
            </w:r>
            <w:r>
              <w:rPr>
                <w:b/>
                <w:i/>
                <w:noProof/>
                <w:snapToGrid w:val="0"/>
              </w:rPr>
              <w:t>Retail Trading Hours Act 1987</w:t>
            </w:r>
            <w:r>
              <w:rPr>
                <w:b/>
                <w:snapToGrid w:val="0"/>
              </w:rPr>
              <w:t xml:space="preserve"> as at 7 Aug 2015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shd w:val="clear" w:color="auto" w:fill="auto"/>
          </w:tcPr>
          <w:p>
            <w:pPr>
              <w:pStyle w:val="nTable"/>
              <w:spacing w:after="40"/>
              <w:rPr>
                <w:i/>
                <w:snapToGrid w:val="0"/>
              </w:rPr>
            </w:pPr>
            <w:r>
              <w:rPr>
                <w:i/>
              </w:rPr>
              <w:t>Retail Trading Hours Amendment Act 2016</w:t>
            </w:r>
            <w:r>
              <w:t xml:space="preserve"> Pt. 2</w:t>
            </w:r>
          </w:p>
        </w:tc>
        <w:tc>
          <w:tcPr>
            <w:tcW w:w="1134" w:type="dxa"/>
            <w:tcBorders>
              <w:bottom w:val="single" w:sz="4" w:space="0" w:color="auto"/>
            </w:tcBorders>
            <w:shd w:val="clear" w:color="auto" w:fill="auto"/>
          </w:tcPr>
          <w:p>
            <w:pPr>
              <w:pStyle w:val="nTable"/>
              <w:spacing w:after="40"/>
              <w:rPr>
                <w:snapToGrid w:val="0"/>
              </w:rPr>
            </w:pPr>
            <w:r>
              <w:t>35 of 2016</w:t>
            </w:r>
          </w:p>
        </w:tc>
        <w:tc>
          <w:tcPr>
            <w:tcW w:w="1134" w:type="dxa"/>
            <w:tcBorders>
              <w:bottom w:val="single" w:sz="4" w:space="0" w:color="auto"/>
            </w:tcBorders>
            <w:shd w:val="clear" w:color="auto" w:fill="auto"/>
          </w:tcPr>
          <w:p>
            <w:pPr>
              <w:pStyle w:val="nTable"/>
              <w:spacing w:after="40"/>
            </w:pPr>
            <w:r>
              <w:t>16 Nov 2016</w:t>
            </w:r>
          </w:p>
        </w:tc>
        <w:tc>
          <w:tcPr>
            <w:tcW w:w="2552" w:type="dxa"/>
            <w:tcBorders>
              <w:bottom w:val="single" w:sz="4" w:space="0" w:color="auto"/>
            </w:tcBorders>
            <w:shd w:val="clear" w:color="auto" w:fill="auto"/>
          </w:tcPr>
          <w:p>
            <w:pPr>
              <w:pStyle w:val="nTable"/>
              <w:spacing w:after="40"/>
              <w:rPr>
                <w:snapToGrid w:val="0"/>
              </w:rPr>
            </w:pPr>
            <w:r>
              <w:rPr>
                <w:snapToGrid w:val="0"/>
              </w:rPr>
              <w:t xml:space="preserve">14 Dec 2016 (see s. 2(b) and </w:t>
            </w:r>
            <w:r>
              <w:rPr>
                <w:i/>
                <w:snapToGrid w:val="0"/>
              </w:rPr>
              <w:t>Gazette</w:t>
            </w:r>
            <w:r>
              <w:rPr>
                <w:snapToGrid w:val="0"/>
              </w:rPr>
              <w:t xml:space="preserve"> 13 Dec 2016 p. 5619)</w:t>
            </w:r>
          </w:p>
        </w:tc>
      </w:tr>
    </w:tbl>
    <w:p>
      <w:pPr>
        <w:pStyle w:val="nHeading3"/>
      </w:pPr>
      <w:bookmarkStart w:id="112" w:name="_Toc86324409"/>
      <w:r>
        <w:t>Uncommenced provisions table</w:t>
      </w:r>
      <w:bookmarkEnd w:id="11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Veterinary Practice Act 2021</w:t>
            </w:r>
            <w:r>
              <w:t xml:space="preserve"> s. 234</w:t>
            </w:r>
          </w:p>
        </w:tc>
        <w:tc>
          <w:tcPr>
            <w:tcW w:w="1134" w:type="dxa"/>
          </w:tcPr>
          <w:p>
            <w:pPr>
              <w:pStyle w:val="nTable"/>
              <w:spacing w:after="40"/>
            </w:pPr>
            <w:r>
              <w:t>19 of 2021</w:t>
            </w:r>
          </w:p>
        </w:tc>
        <w:tc>
          <w:tcPr>
            <w:tcW w:w="1134" w:type="dxa"/>
          </w:tcPr>
          <w:p>
            <w:pPr>
              <w:pStyle w:val="nTable"/>
              <w:spacing w:after="40"/>
            </w:pPr>
            <w:r>
              <w:t>27 Oct 2021</w:t>
            </w:r>
          </w:p>
        </w:tc>
        <w:tc>
          <w:tcPr>
            <w:tcW w:w="2552" w:type="dxa"/>
          </w:tcPr>
          <w:p>
            <w:pPr>
              <w:pStyle w:val="nTable"/>
              <w:spacing w:after="40"/>
            </w:pPr>
            <w:r>
              <w:rPr>
                <w:snapToGrid w:val="0"/>
              </w:rPr>
              <w:t>To be proclaimed (see s. 2(b))</w:t>
            </w:r>
          </w:p>
        </w:tc>
      </w:tr>
    </w:tbl>
    <w:p>
      <w:pPr>
        <w:pStyle w:val="nHeading3"/>
      </w:pPr>
      <w:bookmarkStart w:id="113" w:name="_Toc86324410"/>
      <w:r>
        <w:t>Other notes</w:t>
      </w:r>
      <w:bookmarkEnd w:id="113"/>
    </w:p>
    <w:p>
      <w:pPr>
        <w:pStyle w:val="nNote"/>
        <w:spacing w:before="160"/>
      </w:pPr>
      <w:r>
        <w:rPr>
          <w:vertAlign w:val="superscript"/>
        </w:rPr>
        <w:t>2</w:t>
      </w:r>
      <w:r>
        <w:tab/>
        <w:t xml:space="preserve">Repealed by the </w:t>
      </w:r>
      <w:r>
        <w:rPr>
          <w:i/>
        </w:rPr>
        <w:t>Industrial Relations Legislation Amendment and Repeal Act 1995</w:t>
      </w:r>
      <w:r>
        <w:t>.</w:t>
      </w:r>
    </w:p>
    <w:p>
      <w:pPr>
        <w:pStyle w:val="nNote"/>
        <w:keepNext/>
        <w:rPr>
          <w:snapToGrid w:val="0"/>
        </w:rPr>
      </w:pPr>
      <w:r>
        <w:rPr>
          <w:snapToGrid w:val="0"/>
          <w:vertAlign w:val="superscript"/>
        </w:rPr>
        <w:t>3</w:t>
      </w:r>
      <w:r>
        <w:rPr>
          <w:snapToGrid w:val="0"/>
        </w:rPr>
        <w:tab/>
        <w:t xml:space="preserve">The </w:t>
      </w:r>
      <w:r>
        <w:rPr>
          <w:i/>
          <w:iCs/>
          <w:snapToGrid w:val="0"/>
        </w:rPr>
        <w:t>Retail Shops and Fair Trading Legislation Amendment Act 2006</w:t>
      </w:r>
      <w:r>
        <w:rPr>
          <w:snapToGrid w:val="0"/>
        </w:rPr>
        <w:t xml:space="preserve"> s. 18 reads as follows:</w:t>
      </w:r>
    </w:p>
    <w:p>
      <w:pPr>
        <w:pStyle w:val="BlankOpen"/>
        <w:rPr>
          <w:snapToGrid w:val="0"/>
        </w:rPr>
      </w:pPr>
    </w:p>
    <w:p>
      <w:pPr>
        <w:pStyle w:val="nzHeading5"/>
      </w:pPr>
      <w:r>
        <w:rPr>
          <w:rStyle w:val="CharSectno"/>
        </w:rPr>
        <w:t>18</w:t>
      </w:r>
      <w:r>
        <w:t>.</w:t>
      </w:r>
      <w:r>
        <w:tab/>
        <w:t>Validation</w:t>
      </w:r>
    </w:p>
    <w:p>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pPr>
        <w:pStyle w:val="nzIndenta"/>
      </w:pPr>
      <w:r>
        <w:lastRenderedPageBreak/>
        <w:tab/>
        <w:t>(a)</w:t>
      </w:r>
      <w:r>
        <w:tab/>
        <w:t>is taken to have been validly made under that section of that Act;</w:t>
      </w:r>
    </w:p>
    <w:p>
      <w:pPr>
        <w:pStyle w:val="nzIndenta"/>
      </w:pPr>
      <w:r>
        <w:tab/>
        <w:t>(b)</w:t>
      </w:r>
      <w:r>
        <w:tab/>
        <w:t>continues, on and after that commencement, to have effect and the force of law; and</w:t>
      </w:r>
    </w:p>
    <w:p>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pPr>
        <w:pStyle w:val="BlankClose"/>
      </w:pP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115" w:name="_Toc86317279"/>
      <w:bookmarkStart w:id="116" w:name="_Toc86317411"/>
      <w:bookmarkStart w:id="117" w:name="_Toc86317462"/>
      <w:bookmarkStart w:id="118" w:name="_Toc86324411"/>
      <w:r>
        <w:rPr>
          <w:sz w:val="28"/>
        </w:rPr>
        <w:lastRenderedPageBreak/>
        <w:t>Defined terms</w:t>
      </w:r>
      <w:bookmarkEnd w:id="115"/>
      <w:bookmarkEnd w:id="116"/>
      <w:bookmarkEnd w:id="117"/>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w:t>
      </w:r>
      <w:r>
        <w:tab/>
        <w:t>14A(2)</w:t>
      </w:r>
    </w:p>
    <w:p>
      <w:pPr>
        <w:pStyle w:val="DefinedTerms"/>
      </w:pPr>
      <w:r>
        <w:t>agreement</w:t>
      </w:r>
      <w:r>
        <w:tab/>
        <w:t>3(1)</w:t>
      </w:r>
    </w:p>
    <w:p>
      <w:pPr>
        <w:pStyle w:val="DefinedTerms"/>
      </w:pPr>
      <w:r>
        <w:t>authorised person</w:t>
      </w:r>
      <w:r>
        <w:tab/>
        <w:t>3(1)</w:t>
      </w:r>
    </w:p>
    <w:p>
      <w:pPr>
        <w:pStyle w:val="DefinedTerms"/>
      </w:pPr>
      <w:r>
        <w:t>chief executive officer</w:t>
      </w:r>
      <w:r>
        <w:tab/>
        <w:t>3(1)</w:t>
      </w:r>
    </w:p>
    <w:p>
      <w:pPr>
        <w:pStyle w:val="DefinedTerms"/>
      </w:pPr>
      <w:r>
        <w:t>commencement day</w:t>
      </w:r>
      <w:r>
        <w:tab/>
        <w:t>42(2)</w:t>
      </w:r>
    </w:p>
    <w:p>
      <w:pPr>
        <w:pStyle w:val="DefinedTerms"/>
      </w:pPr>
      <w:r>
        <w:t>corporation</w:t>
      </w:r>
      <w:r>
        <w:tab/>
        <w:t>10(3ab)</w:t>
      </w:r>
    </w:p>
    <w:p>
      <w:pPr>
        <w:pStyle w:val="DefinedTerms"/>
      </w:pPr>
      <w:r>
        <w:t>filling station</w:t>
      </w:r>
      <w:r>
        <w:tab/>
        <w:t>3(1)</w:t>
      </w:r>
    </w:p>
    <w:p>
      <w:pPr>
        <w:pStyle w:val="DefinedTerms"/>
      </w:pPr>
      <w:r>
        <w:t>fuel</w:t>
      </w:r>
      <w:r>
        <w:tab/>
        <w:t>3(1)</w:t>
      </w:r>
    </w:p>
    <w:p>
      <w:pPr>
        <w:pStyle w:val="DefinedTerms"/>
      </w:pPr>
      <w:r>
        <w:t>inspector</w:t>
      </w:r>
      <w:r>
        <w:tab/>
        <w:t>3(1)</w:t>
      </w:r>
    </w:p>
    <w:p>
      <w:pPr>
        <w:pStyle w:val="DefinedTerms"/>
      </w:pPr>
      <w:r>
        <w:t>motor vehicle</w:t>
      </w:r>
      <w:r>
        <w:tab/>
        <w:t>3(1)</w:t>
      </w:r>
    </w:p>
    <w:p>
      <w:pPr>
        <w:pStyle w:val="DefinedTerms"/>
      </w:pPr>
      <w:r>
        <w:t>motor vehicle shop</w:t>
      </w:r>
      <w:r>
        <w:tab/>
        <w:t>3(1)</w:t>
      </w:r>
    </w:p>
    <w:p>
      <w:pPr>
        <w:pStyle w:val="DefinedTerms"/>
      </w:pPr>
      <w:r>
        <w:t>officer</w:t>
      </w:r>
      <w:r>
        <w:tab/>
        <w:t>10(3ab)</w:t>
      </w:r>
    </w:p>
    <w:p>
      <w:pPr>
        <w:pStyle w:val="DefinedTerms"/>
      </w:pPr>
      <w:r>
        <w:t>operate</w:t>
      </w:r>
      <w:r>
        <w:tab/>
        <w:t>3(1)</w:t>
      </w:r>
    </w:p>
    <w:p>
      <w:pPr>
        <w:pStyle w:val="DefinedTerms"/>
      </w:pPr>
      <w:r>
        <w:t>order</w:t>
      </w:r>
      <w:r>
        <w:tab/>
        <w:t>12E(8)</w:t>
      </w:r>
    </w:p>
    <w:p>
      <w:pPr>
        <w:pStyle w:val="DefinedTerms"/>
      </w:pPr>
      <w:r>
        <w:t>place</w:t>
      </w:r>
      <w:r>
        <w:tab/>
        <w:t>3(1)</w:t>
      </w:r>
    </w:p>
    <w:p>
      <w:pPr>
        <w:pStyle w:val="DefinedTerms"/>
      </w:pPr>
      <w:r>
        <w:t>prescribed services</w:t>
      </w:r>
      <w:r>
        <w:tab/>
        <w:t>3(1)</w:t>
      </w:r>
    </w:p>
    <w:p>
      <w:pPr>
        <w:pStyle w:val="DefinedTerms"/>
      </w:pPr>
      <w:r>
        <w:t>publish</w:t>
      </w:r>
      <w:r>
        <w:tab/>
        <w:t>26(2)</w:t>
      </w:r>
    </w:p>
    <w:p>
      <w:pPr>
        <w:pStyle w:val="DefinedTerms"/>
      </w:pPr>
      <w:r>
        <w:t>related body corporate</w:t>
      </w:r>
      <w:r>
        <w:tab/>
        <w:t>10(3ab)</w:t>
      </w:r>
    </w:p>
    <w:p>
      <w:pPr>
        <w:pStyle w:val="DefinedTerms"/>
      </w:pPr>
      <w:r>
        <w:t>retail sale</w:t>
      </w:r>
      <w:r>
        <w:tab/>
        <w:t>3(1)</w:t>
      </w:r>
    </w:p>
    <w:p>
      <w:pPr>
        <w:pStyle w:val="DefinedTerms"/>
      </w:pPr>
      <w:r>
        <w:t>retail shop</w:t>
      </w:r>
      <w:r>
        <w:tab/>
        <w:t>3(1)</w:t>
      </w:r>
    </w:p>
    <w:p>
      <w:pPr>
        <w:pStyle w:val="DefinedTerms"/>
      </w:pPr>
      <w:r>
        <w:t>sell</w:t>
      </w:r>
      <w:r>
        <w:tab/>
        <w:t>3(1)</w:t>
      </w:r>
    </w:p>
    <w:p>
      <w:pPr>
        <w:pStyle w:val="DefinedTerms"/>
      </w:pPr>
      <w:r>
        <w:t>specified</w:t>
      </w:r>
      <w:r>
        <w:tab/>
        <w:t>12E(8)</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Act 1987</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4" w:name="Compilation"/>
    <w:bookmarkEnd w:id="1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Retail Trading Hours Act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19" w:name="DefinedTerms"/>
    <w:bookmarkEnd w:id="11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0" w:name="Coversheet"/>
    <w:bookmarkEnd w:id="1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5E2916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8F0C3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7C8F27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4C8A8E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EF4D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B386A5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0C8488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76963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7927F2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9CE9C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46CBE1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8122044"/>
    <w:docVar w:name="WAFER_20140129115345" w:val="RemoveTocBookmarks,RemoveUnusedBookmarks,RemoveLanguageTags,UsedStyles,ResetPageSize,UpdateArrangement"/>
    <w:docVar w:name="WAFER_20140129115345_GUID" w:val="a3690614-3b8b-4b0c-b539-7444b4521126"/>
    <w:docVar w:name="WAFER_20140129130615" w:val="RemoveTocBookmarks,RunningHeaders"/>
    <w:docVar w:name="WAFER_20140129130615_GUID" w:val="987128a2-bc98-426a-90a3-71f2885f7156"/>
    <w:docVar w:name="WAFER_20141015123102" w:val="RemoveTocBookmarks,RemoveUnusedBookmarks,RemoveLanguageTags,UsedStyles,ResetPageSize,UpdateArrangement"/>
    <w:docVar w:name="WAFER_20141015123102_GUID" w:val="68b93da1-cd3e-44d7-852c-e4f8bdee707e"/>
    <w:docVar w:name="WAFER_20141119103520" w:val="RemoveTocBookmarks,RunningHeaders"/>
    <w:docVar w:name="WAFER_20141119103520_GUID" w:val="86ded48d-7f4c-4b23-a593-d56df598fe7e"/>
    <w:docVar w:name="WAFER_20150416145239" w:val="ResetPageSize,UpdateArrangement,UpdateNTable"/>
    <w:docVar w:name="WAFER_20150416145239_GUID" w:val="f8764094-cd97-4816-9a3f-7e38b0804ca0"/>
    <w:docVar w:name="WAFER_20151111175447" w:val="UpdateStyles,UsedStyles"/>
    <w:docVar w:name="WAFER_20151111175447_GUID" w:val="198688db-abbb-4e4b-8615-20522e86b9a3"/>
    <w:docVar w:name="WAFER_202110281220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22019_GUID" w:val="34aec83e-e119-4fdd-b1b8-1faf4ff5f74c"/>
    <w:docVar w:name="WAFER_20211028122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22044_GUID" w:val="6892d23d-617b-4d02-960f-c0255932b0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o:shapelayout v:ext="edit">
      <o:idmap v:ext="edit" data="1"/>
    </o:shapelayout>
  </w:shapeDefaults>
  <w:decimalSymbol w:val="."/>
  <w:listSeparator w:val=","/>
  <w15:docId w15:val="{33F2486E-3533-4F1F-BE43-A2B825C9B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9423</Words>
  <Characters>42312</Characters>
  <Application>Microsoft Office Word</Application>
  <DocSecurity>0</DocSecurity>
  <Lines>1244</Lines>
  <Paragraphs>749</Paragraphs>
  <ScaleCrop>false</ScaleCrop>
  <HeadingPairs>
    <vt:vector size="2" baseType="variant">
      <vt:variant>
        <vt:lpstr>Title</vt:lpstr>
      </vt:variant>
      <vt:variant>
        <vt:i4>1</vt:i4>
      </vt:variant>
    </vt:vector>
  </HeadingPairs>
  <TitlesOfParts>
    <vt:vector size="1" baseType="lpstr">
      <vt:lpstr>Retail Trading Hours Act 1987</vt:lpstr>
    </vt:vector>
  </TitlesOfParts>
  <Manager/>
  <Company/>
  <LinksUpToDate>false</LinksUpToDate>
  <CharactersWithSpaces>50986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1987 - 04-d0-00</dc:title>
  <dc:subject/>
  <dc:creator/>
  <cp:keywords/>
  <dc:description/>
  <cp:lastModifiedBy>Master Repository Process</cp:lastModifiedBy>
  <cp:revision>4</cp:revision>
  <cp:lastPrinted>2015-07-28T01:49:00Z</cp:lastPrinted>
  <dcterms:created xsi:type="dcterms:W3CDTF">2021-10-28T06:55:00Z</dcterms:created>
  <dcterms:modified xsi:type="dcterms:W3CDTF">2021-10-28T06:55:00Z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DocumentType">
    <vt:lpwstr>Act</vt:lpwstr>
  </property>
  <property fmtid="{D5CDD505-2E9C-101B-9397-08002B2CF9AE}" pid="4" name="OwlsUID">
    <vt:i4>696</vt:i4>
  </property>
  <property fmtid="{D5CDD505-2E9C-101B-9397-08002B2CF9AE}" pid="5" name="ReprintedAsAt">
    <vt:filetime>2015-08-06T16:00:00Z</vt:filetime>
  </property>
  <property fmtid="{D5CDD505-2E9C-101B-9397-08002B2CF9AE}" pid="6" name="ReprintNo">
    <vt:lpwstr>4</vt:lpwstr>
  </property>
  <property fmtid="{D5CDD505-2E9C-101B-9397-08002B2CF9AE}" pid="7" name="CommencementDate">
    <vt:lpwstr>20211027</vt:lpwstr>
  </property>
  <property fmtid="{D5CDD505-2E9C-101B-9397-08002B2CF9AE}" pid="8" name="AsAtDate">
    <vt:lpwstr>27 Oct 2021</vt:lpwstr>
  </property>
  <property fmtid="{D5CDD505-2E9C-101B-9397-08002B2CF9AE}" pid="9" name="Suffix">
    <vt:lpwstr>04-d0-00</vt:lpwstr>
  </property>
</Properties>
</file>